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88DC6">
      <w:pPr>
        <w:ind w:left="-199" w:leftChars="-95"/>
        <w:jc w:val="center"/>
        <w:rPr>
          <w:rFonts w:ascii="华文行楷" w:hAnsi="华文行楷" w:eastAsia="华文行楷" w:cs="华文行楷"/>
          <w:b/>
          <w:bCs/>
          <w:color w:val="auto"/>
          <w:w w:val="80"/>
          <w:sz w:val="52"/>
          <w:szCs w:val="52"/>
          <w:highlight w:val="none"/>
        </w:rPr>
      </w:pPr>
      <w:bookmarkStart w:id="0" w:name="_Toc175469002"/>
      <w:bookmarkStart w:id="1" w:name="_Toc215484934"/>
      <w:bookmarkStart w:id="2" w:name="_Toc324671604"/>
      <w:bookmarkStart w:id="3" w:name="_Toc370992969"/>
      <w:bookmarkStart w:id="4" w:name="_Toc163373161"/>
      <w:bookmarkStart w:id="5" w:name="_Toc209595447"/>
      <w:bookmarkStart w:id="6" w:name="_Toc11713"/>
      <w:bookmarkStart w:id="7" w:name="_Toc317685751"/>
      <w:bookmarkStart w:id="8" w:name="_Toc370992971"/>
      <w:bookmarkStart w:id="9" w:name="_Toc324671606"/>
      <w:bookmarkStart w:id="10" w:name="_Toc14578"/>
      <w:bookmarkStart w:id="11" w:name="_Toc149705135"/>
      <w:bookmarkStart w:id="12" w:name="_Toc146967236"/>
      <w:bookmarkStart w:id="13" w:name="_Toc188349438"/>
    </w:p>
    <w:p w14:paraId="1B75CB46">
      <w:pPr>
        <w:jc w:val="center"/>
        <w:rPr>
          <w:rFonts w:ascii="华文行楷" w:hAnsi="华文行楷" w:eastAsia="华文行楷" w:cs="华文行楷"/>
          <w:b/>
          <w:bCs/>
          <w:color w:val="auto"/>
          <w:w w:val="80"/>
          <w:sz w:val="52"/>
          <w:szCs w:val="52"/>
          <w:highlight w:val="none"/>
        </w:rPr>
      </w:pPr>
    </w:p>
    <w:p w14:paraId="799C2683">
      <w:pPr>
        <w:jc w:val="center"/>
        <w:rPr>
          <w:rFonts w:ascii="Arial Unicode MS" w:hAnsi="Arial Unicode MS" w:eastAsia="Arial Unicode MS" w:cs="Arial Unicode MS"/>
          <w:color w:val="auto"/>
          <w:sz w:val="52"/>
          <w:szCs w:val="52"/>
          <w:highlight w:val="none"/>
        </w:rPr>
      </w:pPr>
    </w:p>
    <w:p w14:paraId="1AA499AC">
      <w:pPr>
        <w:jc w:val="center"/>
        <w:rPr>
          <w:rFonts w:ascii="宋体" w:hAnsi="宋体" w:cs="Arial Unicode MS"/>
          <w:color w:val="auto"/>
          <w:sz w:val="52"/>
          <w:szCs w:val="52"/>
          <w:highlight w:val="none"/>
        </w:rPr>
      </w:pPr>
      <w:r>
        <w:rPr>
          <w:rFonts w:hint="eastAsia" w:ascii="宋体" w:hAnsi="宋体" w:cs="Arial Unicode MS"/>
          <w:color w:val="auto"/>
          <w:sz w:val="52"/>
          <w:szCs w:val="52"/>
          <w:highlight w:val="none"/>
        </w:rPr>
        <w:t>凯赛</w:t>
      </w:r>
      <w:r>
        <w:rPr>
          <w:rFonts w:hint="eastAsia" w:ascii="宋体" w:hAnsi="宋体" w:cs="Arial Unicode MS"/>
          <w:color w:val="auto"/>
          <w:sz w:val="52"/>
          <w:szCs w:val="52"/>
          <w:highlight w:val="none"/>
          <w:lang w:eastAsia="zh-CN"/>
        </w:rPr>
        <w:t>（乌苏）</w:t>
      </w:r>
      <w:r>
        <w:rPr>
          <w:rFonts w:hint="eastAsia" w:ascii="宋体" w:hAnsi="宋体" w:cs="Arial Unicode MS"/>
          <w:color w:val="auto"/>
          <w:sz w:val="52"/>
          <w:szCs w:val="52"/>
          <w:highlight w:val="none"/>
        </w:rPr>
        <w:t>生物材料有限公司</w:t>
      </w:r>
    </w:p>
    <w:p w14:paraId="56FCA7D8">
      <w:pPr>
        <w:jc w:val="center"/>
        <w:rPr>
          <w:rFonts w:ascii="宋体" w:hAnsi="宋体" w:cs="Arial Unicode MS"/>
          <w:color w:val="auto"/>
          <w:sz w:val="52"/>
          <w:szCs w:val="52"/>
          <w:highlight w:val="none"/>
        </w:rPr>
      </w:pPr>
      <w:r>
        <w:rPr>
          <w:rFonts w:hint="eastAsia" w:ascii="宋体" w:hAnsi="宋体" w:cs="Arial Unicode MS"/>
          <w:color w:val="auto"/>
          <w:sz w:val="52"/>
          <w:szCs w:val="52"/>
          <w:highlight w:val="none"/>
        </w:rPr>
        <w:t>生物法年产40000吨二元酸项目</w:t>
      </w:r>
    </w:p>
    <w:p w14:paraId="0C8BFA9B">
      <w:pPr>
        <w:jc w:val="center"/>
        <w:rPr>
          <w:rFonts w:ascii="宋体" w:hAnsi="宋体" w:cs="Arial Unicode MS"/>
          <w:color w:val="auto"/>
          <w:sz w:val="52"/>
          <w:szCs w:val="52"/>
          <w:highlight w:val="none"/>
        </w:rPr>
      </w:pPr>
      <w:r>
        <w:rPr>
          <w:rFonts w:hint="eastAsia" w:ascii="宋体" w:hAnsi="宋体" w:cs="Arial Unicode MS"/>
          <w:color w:val="auto"/>
          <w:sz w:val="52"/>
          <w:szCs w:val="52"/>
          <w:highlight w:val="none"/>
          <w:lang w:val="en-US" w:eastAsia="zh-CN"/>
        </w:rPr>
        <w:t>生态</w:t>
      </w:r>
      <w:r>
        <w:rPr>
          <w:rFonts w:hint="eastAsia" w:ascii="宋体" w:hAnsi="宋体" w:cs="Arial Unicode MS"/>
          <w:color w:val="auto"/>
          <w:sz w:val="52"/>
          <w:szCs w:val="52"/>
          <w:highlight w:val="none"/>
        </w:rPr>
        <w:t>环境影响报告书</w:t>
      </w:r>
    </w:p>
    <w:p w14:paraId="34996B9C">
      <w:pPr>
        <w:jc w:val="center"/>
        <w:rPr>
          <w:rFonts w:ascii="宋体" w:hAnsi="宋体" w:cs="楷体"/>
          <w:b/>
          <w:bCs/>
          <w:color w:val="auto"/>
          <w:sz w:val="28"/>
          <w:szCs w:val="28"/>
          <w:highlight w:val="none"/>
        </w:rPr>
      </w:pPr>
      <w:r>
        <w:rPr>
          <w:rFonts w:hint="eastAsia" w:ascii="宋体" w:hAnsi="宋体" w:cs="Arial Unicode MS"/>
          <w:color w:val="auto"/>
          <w:sz w:val="52"/>
          <w:szCs w:val="52"/>
          <w:highlight w:val="none"/>
        </w:rPr>
        <w:t>（</w:t>
      </w:r>
      <w:r>
        <w:rPr>
          <w:rFonts w:hint="eastAsia" w:ascii="宋体" w:hAnsi="宋体" w:cs="Arial Unicode MS"/>
          <w:color w:val="auto"/>
          <w:sz w:val="52"/>
          <w:szCs w:val="52"/>
          <w:highlight w:val="none"/>
          <w:lang w:val="en-US" w:eastAsia="zh-CN"/>
        </w:rPr>
        <w:t>公示版</w:t>
      </w:r>
      <w:r>
        <w:rPr>
          <w:rFonts w:hint="eastAsia" w:ascii="宋体" w:hAnsi="宋体" w:cs="Arial Unicode MS"/>
          <w:color w:val="auto"/>
          <w:sz w:val="52"/>
          <w:szCs w:val="52"/>
          <w:highlight w:val="none"/>
        </w:rPr>
        <w:t>）</w:t>
      </w:r>
    </w:p>
    <w:p w14:paraId="1D7F2192">
      <w:pPr>
        <w:jc w:val="center"/>
        <w:rPr>
          <w:rFonts w:ascii="楷体" w:hAnsi="楷体" w:eastAsia="楷体" w:cs="楷体"/>
          <w:b/>
          <w:bCs/>
          <w:color w:val="auto"/>
          <w:sz w:val="32"/>
          <w:szCs w:val="32"/>
          <w:highlight w:val="none"/>
        </w:rPr>
      </w:pPr>
    </w:p>
    <w:p w14:paraId="44425998">
      <w:pPr>
        <w:ind w:firstLine="643"/>
        <w:rPr>
          <w:rFonts w:ascii="宋体" w:hAnsi="宋体" w:cs="宋体"/>
          <w:b/>
          <w:bCs/>
          <w:color w:val="auto"/>
          <w:sz w:val="32"/>
          <w:szCs w:val="32"/>
          <w:highlight w:val="none"/>
        </w:rPr>
      </w:pPr>
    </w:p>
    <w:p w14:paraId="5C4CEAAC">
      <w:pPr>
        <w:ind w:left="2884" w:hanging="2884" w:hangingChars="798"/>
        <w:rPr>
          <w:rFonts w:ascii="宋体" w:hAnsi="宋体"/>
          <w:b/>
          <w:color w:val="auto"/>
          <w:sz w:val="36"/>
          <w:szCs w:val="36"/>
          <w:highlight w:val="none"/>
        </w:rPr>
      </w:pPr>
    </w:p>
    <w:p w14:paraId="52A22D66">
      <w:pPr>
        <w:ind w:left="2884" w:hanging="2884" w:hangingChars="798"/>
        <w:rPr>
          <w:rFonts w:ascii="宋体" w:hAnsi="宋体"/>
          <w:b/>
          <w:color w:val="auto"/>
          <w:sz w:val="36"/>
          <w:szCs w:val="36"/>
          <w:highlight w:val="none"/>
        </w:rPr>
      </w:pPr>
    </w:p>
    <w:p w14:paraId="52EA95A5">
      <w:pPr>
        <w:ind w:left="2884" w:hanging="2884" w:hangingChars="798"/>
        <w:rPr>
          <w:rFonts w:ascii="宋体" w:hAnsi="宋体"/>
          <w:b/>
          <w:color w:val="auto"/>
          <w:sz w:val="36"/>
          <w:szCs w:val="36"/>
          <w:highlight w:val="none"/>
        </w:rPr>
      </w:pPr>
    </w:p>
    <w:p w14:paraId="21B51A04">
      <w:pPr>
        <w:ind w:left="2884" w:hanging="2884" w:hangingChars="798"/>
        <w:rPr>
          <w:rFonts w:ascii="宋体" w:hAnsi="宋体"/>
          <w:b/>
          <w:color w:val="auto"/>
          <w:sz w:val="36"/>
          <w:szCs w:val="36"/>
          <w:highlight w:val="none"/>
        </w:rPr>
      </w:pPr>
    </w:p>
    <w:p w14:paraId="6959682D">
      <w:pPr>
        <w:jc w:val="center"/>
        <w:rPr>
          <w:rFonts w:eastAsia="华文中宋"/>
          <w:b/>
          <w:bCs/>
          <w:color w:val="auto"/>
          <w:sz w:val="30"/>
          <w:szCs w:val="30"/>
          <w:highlight w:val="none"/>
        </w:rPr>
      </w:pPr>
    </w:p>
    <w:p w14:paraId="73161CAC">
      <w:pPr>
        <w:jc w:val="center"/>
        <w:rPr>
          <w:rFonts w:ascii="楷体_GB2312" w:hAnsi="楷体_GB2312"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建设单位：凯赛</w:t>
      </w:r>
      <w:r>
        <w:rPr>
          <w:rFonts w:hint="eastAsia" w:ascii="楷体_GB2312" w:hAnsi="楷体_GB2312" w:eastAsia="楷体_GB2312" w:cs="楷体_GB2312"/>
          <w:b/>
          <w:color w:val="auto"/>
          <w:sz w:val="32"/>
          <w:szCs w:val="32"/>
          <w:highlight w:val="none"/>
          <w:lang w:eastAsia="zh-CN"/>
        </w:rPr>
        <w:t>（乌苏）</w:t>
      </w:r>
      <w:r>
        <w:rPr>
          <w:rFonts w:hint="eastAsia" w:ascii="楷体_GB2312" w:hAnsi="楷体_GB2312" w:eastAsia="楷体_GB2312" w:cs="楷体_GB2312"/>
          <w:b/>
          <w:color w:val="auto"/>
          <w:sz w:val="32"/>
          <w:szCs w:val="32"/>
          <w:highlight w:val="none"/>
        </w:rPr>
        <w:t>生物材料有限公司</w:t>
      </w:r>
    </w:p>
    <w:p w14:paraId="63231F38">
      <w:pPr>
        <w:jc w:val="center"/>
        <w:rPr>
          <w:rFonts w:ascii="楷体_GB2312" w:hAnsi="楷体_GB2312" w:eastAsia="楷体_GB2312" w:cs="楷体_GB2312"/>
          <w:b/>
          <w:bCs/>
          <w:color w:val="auto"/>
          <w:sz w:val="32"/>
          <w:szCs w:val="32"/>
          <w:highlight w:val="none"/>
        </w:rPr>
      </w:pPr>
      <w:r>
        <w:rPr>
          <w:rFonts w:hint="eastAsia" w:ascii="楷体_GB2312" w:hAnsi="楷体_GB2312" w:eastAsia="楷体_GB2312" w:cs="楷体_GB2312"/>
          <w:b/>
          <w:color w:val="auto"/>
          <w:sz w:val="32"/>
          <w:szCs w:val="32"/>
          <w:highlight w:val="none"/>
        </w:rPr>
        <w:t>编制单位：新疆众智安环工程咨询服务有限公司</w:t>
      </w:r>
    </w:p>
    <w:p w14:paraId="7788C503">
      <w:pPr>
        <w:jc w:val="center"/>
        <w:rPr>
          <w:rFonts w:hint="eastAsia" w:ascii="楷体_GB2312" w:hAnsi="楷体_GB2312" w:eastAsia="楷体_GB2312" w:cs="楷体_GB2312"/>
          <w:b/>
          <w:color w:val="auto"/>
          <w:sz w:val="32"/>
          <w:szCs w:val="32"/>
          <w:highlight w:val="none"/>
        </w:rPr>
        <w:sectPr>
          <w:headerReference r:id="rId3" w:type="default"/>
          <w:footerReference r:id="rId4" w:type="default"/>
          <w:pgSz w:w="11906" w:h="16838"/>
          <w:pgMar w:top="1440" w:right="1700" w:bottom="1440" w:left="1985"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eastAsia" w:ascii="楷体_GB2312" w:hAnsi="楷体_GB2312" w:eastAsia="楷体_GB2312" w:cs="楷体_GB2312"/>
          <w:b/>
          <w:color w:val="auto"/>
          <w:sz w:val="32"/>
          <w:szCs w:val="32"/>
          <w:highlight w:val="none"/>
        </w:rPr>
        <w:t>二〇二六年</w:t>
      </w:r>
      <w:r>
        <w:rPr>
          <w:rFonts w:hint="eastAsia" w:ascii="楷体_GB2312" w:hAnsi="楷体_GB2312" w:eastAsia="楷体_GB2312" w:cs="楷体_GB2312"/>
          <w:b/>
          <w:color w:val="auto"/>
          <w:sz w:val="32"/>
          <w:szCs w:val="32"/>
          <w:highlight w:val="none"/>
          <w:lang w:val="en-US" w:eastAsia="zh-CN"/>
        </w:rPr>
        <w:t>九</w:t>
      </w:r>
      <w:r>
        <w:rPr>
          <w:rFonts w:hint="eastAsia" w:ascii="楷体_GB2312" w:hAnsi="楷体_GB2312" w:eastAsia="楷体_GB2312" w:cs="楷体_GB2312"/>
          <w:b/>
          <w:color w:val="auto"/>
          <w:sz w:val="32"/>
          <w:szCs w:val="32"/>
          <w:highlight w:val="none"/>
        </w:rPr>
        <w:t>月</w:t>
      </w:r>
    </w:p>
    <w:p w14:paraId="16AE1985">
      <w:pPr>
        <w:rPr>
          <w:color w:val="auto"/>
          <w:highlight w:val="none"/>
        </w:rPr>
      </w:pPr>
    </w:p>
    <w:p w14:paraId="63AF6F97">
      <w:pPr>
        <w:spacing w:line="360" w:lineRule="auto"/>
        <w:jc w:val="center"/>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目    录</w:t>
      </w:r>
    </w:p>
    <w:sdt>
      <w:sdtPr>
        <w:rPr>
          <w:rFonts w:ascii="宋体" w:hAnsi="宋体" w:eastAsia="宋体" w:cs="Times New Roman"/>
          <w:color w:val="auto"/>
          <w:kern w:val="2"/>
          <w:sz w:val="21"/>
          <w:szCs w:val="24"/>
          <w:highlight w:val="none"/>
          <w:lang w:val="en-US" w:eastAsia="zh-CN" w:bidi="ar-SA"/>
        </w:rPr>
        <w:id w:val="147461109"/>
        <w15:color w:val="DBDBDB"/>
        <w:docPartObj>
          <w:docPartGallery w:val="Table of Contents"/>
          <w:docPartUnique/>
        </w:docPartObj>
      </w:sdtPr>
      <w:sdtEndPr>
        <w:rPr>
          <w:rFonts w:ascii="Times New Roman" w:hAnsi="Times New Roman" w:eastAsia="宋体" w:cs="Times New Roman"/>
          <w:color w:val="auto"/>
          <w:kern w:val="0"/>
          <w:sz w:val="24"/>
          <w:szCs w:val="24"/>
          <w:highlight w:val="none"/>
          <w:lang w:val="en-US" w:eastAsia="zh-CN" w:bidi="ar-SA"/>
        </w:rPr>
      </w:sdtEndPr>
      <w:sdtContent>
        <w:p w14:paraId="2AFC8C1C">
          <w:pPr>
            <w:spacing w:before="0" w:beforeLines="0" w:after="0" w:afterLines="0" w:line="240" w:lineRule="auto"/>
            <w:ind w:left="0" w:leftChars="0" w:right="0" w:rightChars="0" w:firstLine="0" w:firstLineChars="0"/>
            <w:jc w:val="center"/>
            <w:rPr>
              <w:color w:val="auto"/>
              <w:highlight w:val="none"/>
            </w:rPr>
          </w:pPr>
        </w:p>
        <w:p w14:paraId="72040694">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TOC \o "1-2" \h \u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_Toc1565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snapToGrid w:val="0"/>
              <w:color w:val="auto"/>
              <w:kern w:val="0"/>
              <w:sz w:val="24"/>
              <w:szCs w:val="24"/>
              <w:highlight w:val="none"/>
            </w:rPr>
            <w:t>1  概 述</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_Toc1565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DED746D">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_Toc15535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1.1建设项目背景</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_Toc15535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AF74C20">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_Toc27763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shd w:val="clear" w:color="auto" w:fill="auto"/>
            </w:rPr>
            <w:t>1.2</w:t>
          </w:r>
          <w:r>
            <w:rPr>
              <w:rFonts w:hint="default" w:ascii="Times New Roman" w:hAnsi="Times New Roman" w:eastAsia="宋体" w:cs="Times New Roman"/>
              <w:bCs w:val="0"/>
              <w:snapToGrid w:val="0"/>
              <w:color w:val="auto"/>
              <w:kern w:val="0"/>
              <w:sz w:val="24"/>
              <w:szCs w:val="24"/>
              <w:highlight w:val="none"/>
              <w:shd w:val="clear" w:color="auto" w:fill="auto"/>
            </w:rPr>
            <w:t>建设项目特点</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_Toc27763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425649B">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_Toc19115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1.3</w:t>
          </w:r>
          <w:r>
            <w:rPr>
              <w:rFonts w:hint="eastAsia" w:ascii="Times New Roman" w:hAnsi="Times New Roman" w:eastAsia="宋体" w:cs="Times New Roman"/>
              <w:bCs w:val="0"/>
              <w:snapToGrid w:val="0"/>
              <w:color w:val="auto"/>
              <w:kern w:val="0"/>
              <w:sz w:val="24"/>
              <w:szCs w:val="24"/>
              <w:highlight w:val="none"/>
              <w:lang w:val="en-US" w:eastAsia="zh-CN"/>
            </w:rPr>
            <w:t>生态</w:t>
          </w:r>
          <w:r>
            <w:rPr>
              <w:rFonts w:hint="eastAsia" w:ascii="Times New Roman" w:hAnsi="Times New Roman" w:eastAsia="宋体" w:cs="Times New Roman"/>
              <w:bCs w:val="0"/>
              <w:snapToGrid w:val="0"/>
              <w:color w:val="auto"/>
              <w:kern w:val="0"/>
              <w:sz w:val="24"/>
              <w:szCs w:val="24"/>
              <w:highlight w:val="none"/>
            </w:rPr>
            <w:t>环境影响评价的工作过程</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_Toc19115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10EEB56A">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_Toc28582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1.4分析判定相关情况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_Toc28582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B03F777">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_Toc26939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1.5关注的主要</w:t>
          </w:r>
          <w:r>
            <w:rPr>
              <w:rFonts w:hint="eastAsia" w:ascii="Times New Roman" w:hAnsi="Times New Roman" w:eastAsia="宋体" w:cs="Times New Roman"/>
              <w:bCs w:val="0"/>
              <w:snapToGrid w:val="0"/>
              <w:color w:val="auto"/>
              <w:kern w:val="0"/>
              <w:sz w:val="24"/>
              <w:szCs w:val="24"/>
              <w:highlight w:val="none"/>
              <w:lang w:val="en-US" w:eastAsia="zh-CN"/>
            </w:rPr>
            <w:t>生态</w:t>
          </w:r>
          <w:r>
            <w:rPr>
              <w:rFonts w:hint="eastAsia" w:ascii="Times New Roman" w:hAnsi="Times New Roman" w:eastAsia="宋体" w:cs="Times New Roman"/>
              <w:bCs w:val="0"/>
              <w:snapToGrid w:val="0"/>
              <w:color w:val="auto"/>
              <w:kern w:val="0"/>
              <w:sz w:val="24"/>
              <w:szCs w:val="24"/>
              <w:highlight w:val="none"/>
            </w:rPr>
            <w:t>环境问题及</w:t>
          </w:r>
          <w:r>
            <w:rPr>
              <w:rFonts w:hint="eastAsia" w:ascii="Times New Roman" w:hAnsi="Times New Roman" w:eastAsia="宋体" w:cs="Times New Roman"/>
              <w:bCs w:val="0"/>
              <w:snapToGrid w:val="0"/>
              <w:color w:val="auto"/>
              <w:kern w:val="0"/>
              <w:sz w:val="24"/>
              <w:szCs w:val="24"/>
              <w:highlight w:val="none"/>
              <w:lang w:val="en-US" w:eastAsia="zh-CN"/>
            </w:rPr>
            <w:t>生态</w:t>
          </w:r>
          <w:r>
            <w:rPr>
              <w:rFonts w:hint="eastAsia" w:ascii="Times New Roman" w:hAnsi="Times New Roman" w:eastAsia="宋体" w:cs="Times New Roman"/>
              <w:bCs w:val="0"/>
              <w:snapToGrid w:val="0"/>
              <w:color w:val="auto"/>
              <w:kern w:val="0"/>
              <w:sz w:val="24"/>
              <w:szCs w:val="24"/>
              <w:highlight w:val="none"/>
            </w:rPr>
            <w:t>环境影响</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_Toc26939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097B1F5">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_Toc3224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1.6</w:t>
          </w:r>
          <w:r>
            <w:rPr>
              <w:rFonts w:hint="eastAsia" w:ascii="Times New Roman" w:hAnsi="Times New Roman" w:eastAsia="宋体" w:cs="Times New Roman"/>
              <w:bCs w:val="0"/>
              <w:snapToGrid w:val="0"/>
              <w:color w:val="auto"/>
              <w:kern w:val="0"/>
              <w:sz w:val="24"/>
              <w:szCs w:val="24"/>
              <w:highlight w:val="none"/>
              <w:lang w:val="en-US" w:eastAsia="zh-CN"/>
            </w:rPr>
            <w:t>生态</w:t>
          </w:r>
          <w:r>
            <w:rPr>
              <w:rFonts w:hint="eastAsia" w:ascii="Times New Roman" w:hAnsi="Times New Roman" w:eastAsia="宋体" w:cs="Times New Roman"/>
              <w:bCs w:val="0"/>
              <w:snapToGrid w:val="0"/>
              <w:color w:val="auto"/>
              <w:kern w:val="0"/>
              <w:sz w:val="24"/>
              <w:szCs w:val="24"/>
              <w:highlight w:val="none"/>
            </w:rPr>
            <w:t>环境影响报告书的主要结论</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_Toc3224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18EECC82">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_Toc21790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snapToGrid w:val="0"/>
              <w:color w:val="auto"/>
              <w:kern w:val="0"/>
              <w:sz w:val="24"/>
              <w:szCs w:val="24"/>
              <w:highlight w:val="none"/>
            </w:rPr>
            <w:t>2</w:t>
          </w:r>
          <w:r>
            <w:rPr>
              <w:rFonts w:ascii="Times New Roman" w:hAnsi="Times New Roman" w:eastAsia="宋体" w:cs="Times New Roman"/>
              <w:snapToGrid w:val="0"/>
              <w:color w:val="auto"/>
              <w:kern w:val="0"/>
              <w:sz w:val="24"/>
              <w:szCs w:val="24"/>
              <w:highlight w:val="none"/>
            </w:rPr>
            <w:t xml:space="preserve">  </w:t>
          </w:r>
          <w:r>
            <w:rPr>
              <w:rFonts w:hint="eastAsia" w:ascii="Times New Roman" w:hAnsi="Times New Roman" w:eastAsia="宋体" w:cs="Times New Roman"/>
              <w:snapToGrid w:val="0"/>
              <w:color w:val="auto"/>
              <w:kern w:val="0"/>
              <w:sz w:val="24"/>
              <w:szCs w:val="24"/>
              <w:highlight w:val="none"/>
            </w:rPr>
            <w:t>总 则</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_Toc21790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C53DC20">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_Toc31466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2.1 编制依据</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_Toc31466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4542358F">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_Toc1505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2.2 评价目的与原则</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_Toc1505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40</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6DE62B5">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_Toc16536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 xml:space="preserve">2.3 </w:t>
          </w:r>
          <w:r>
            <w:rPr>
              <w:rFonts w:hint="eastAsia" w:ascii="Times New Roman" w:hAnsi="Times New Roman" w:eastAsia="宋体" w:cs="Times New Roman"/>
              <w:bCs w:val="0"/>
              <w:snapToGrid w:val="0"/>
              <w:color w:val="auto"/>
              <w:kern w:val="0"/>
              <w:sz w:val="24"/>
              <w:szCs w:val="24"/>
              <w:highlight w:val="none"/>
              <w:lang w:val="en-US" w:eastAsia="zh-CN"/>
            </w:rPr>
            <w:t>生态</w:t>
          </w:r>
          <w:r>
            <w:rPr>
              <w:rFonts w:hint="eastAsia" w:ascii="Times New Roman" w:hAnsi="Times New Roman" w:eastAsia="宋体" w:cs="Times New Roman"/>
              <w:bCs w:val="0"/>
              <w:snapToGrid w:val="0"/>
              <w:color w:val="auto"/>
              <w:kern w:val="0"/>
              <w:sz w:val="24"/>
              <w:szCs w:val="24"/>
              <w:highlight w:val="none"/>
            </w:rPr>
            <w:t>环境影响因素识别及评价因子筛选</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_Toc16536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41</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4EFF8BD2">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_Toc19345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 xml:space="preserve">2.4 </w:t>
          </w:r>
          <w:r>
            <w:rPr>
              <w:rFonts w:hint="eastAsia" w:ascii="Times New Roman" w:hAnsi="Times New Roman" w:eastAsia="宋体" w:cs="Times New Roman"/>
              <w:bCs w:val="0"/>
              <w:snapToGrid w:val="0"/>
              <w:color w:val="auto"/>
              <w:kern w:val="0"/>
              <w:sz w:val="24"/>
              <w:szCs w:val="24"/>
              <w:highlight w:val="none"/>
              <w:lang w:val="en-US" w:eastAsia="zh-CN"/>
            </w:rPr>
            <w:t>生态</w:t>
          </w:r>
          <w:r>
            <w:rPr>
              <w:rFonts w:hint="eastAsia" w:ascii="Times New Roman" w:hAnsi="Times New Roman" w:eastAsia="宋体" w:cs="Times New Roman"/>
              <w:bCs w:val="0"/>
              <w:snapToGrid w:val="0"/>
              <w:color w:val="auto"/>
              <w:kern w:val="0"/>
              <w:sz w:val="24"/>
              <w:szCs w:val="24"/>
              <w:highlight w:val="none"/>
            </w:rPr>
            <w:t>环境功能区划</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_Toc19345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44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AC849CF">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_Toc20344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2.</w:t>
          </w:r>
          <w:r>
            <w:rPr>
              <w:rFonts w:hint="eastAsia" w:ascii="Times New Roman" w:hAnsi="Times New Roman" w:eastAsia="宋体" w:cs="Times New Roman"/>
              <w:bCs w:val="0"/>
              <w:snapToGrid w:val="0"/>
              <w:color w:val="auto"/>
              <w:kern w:val="0"/>
              <w:sz w:val="24"/>
              <w:szCs w:val="24"/>
              <w:highlight w:val="none"/>
              <w:lang w:val="en-US" w:eastAsia="zh-CN"/>
            </w:rPr>
            <w:t>5</w:t>
          </w:r>
          <w:r>
            <w:rPr>
              <w:rFonts w:hint="eastAsia" w:ascii="Times New Roman" w:hAnsi="Times New Roman" w:eastAsia="宋体" w:cs="Times New Roman"/>
              <w:bCs w:val="0"/>
              <w:snapToGrid w:val="0"/>
              <w:color w:val="auto"/>
              <w:kern w:val="0"/>
              <w:sz w:val="24"/>
              <w:szCs w:val="24"/>
              <w:highlight w:val="none"/>
            </w:rPr>
            <w:t>评价标准</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_Toc20344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45</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564936A">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_Toc4800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2.</w:t>
          </w:r>
          <w:r>
            <w:rPr>
              <w:rFonts w:hint="eastAsia" w:ascii="Times New Roman" w:hAnsi="Times New Roman" w:eastAsia="宋体" w:cs="Times New Roman"/>
              <w:bCs w:val="0"/>
              <w:snapToGrid w:val="0"/>
              <w:color w:val="auto"/>
              <w:kern w:val="0"/>
              <w:sz w:val="24"/>
              <w:szCs w:val="24"/>
              <w:highlight w:val="none"/>
              <w:lang w:val="en-US" w:eastAsia="zh-CN"/>
            </w:rPr>
            <w:t>6</w:t>
          </w:r>
          <w:r>
            <w:rPr>
              <w:rFonts w:hint="eastAsia" w:ascii="Times New Roman" w:hAnsi="Times New Roman" w:eastAsia="宋体" w:cs="Times New Roman"/>
              <w:bCs w:val="0"/>
              <w:snapToGrid w:val="0"/>
              <w:color w:val="auto"/>
              <w:kern w:val="0"/>
              <w:sz w:val="24"/>
              <w:szCs w:val="24"/>
              <w:highlight w:val="none"/>
            </w:rPr>
            <w:t xml:space="preserve"> 评价等级与评价范围</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_Toc4800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50</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21F1773">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_Toc25502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2.</w:t>
          </w:r>
          <w:r>
            <w:rPr>
              <w:rFonts w:hint="eastAsia" w:ascii="Times New Roman" w:hAnsi="Times New Roman" w:eastAsia="宋体" w:cs="Times New Roman"/>
              <w:bCs w:val="0"/>
              <w:snapToGrid w:val="0"/>
              <w:color w:val="auto"/>
              <w:kern w:val="0"/>
              <w:sz w:val="24"/>
              <w:szCs w:val="24"/>
              <w:highlight w:val="none"/>
              <w:lang w:val="en-US" w:eastAsia="zh-CN"/>
            </w:rPr>
            <w:t>7</w:t>
          </w:r>
          <w:r>
            <w:rPr>
              <w:rFonts w:hint="eastAsia" w:ascii="Times New Roman" w:hAnsi="Times New Roman" w:eastAsia="宋体" w:cs="Times New Roman"/>
              <w:bCs w:val="0"/>
              <w:snapToGrid w:val="0"/>
              <w:color w:val="auto"/>
              <w:kern w:val="0"/>
              <w:sz w:val="24"/>
              <w:szCs w:val="24"/>
              <w:highlight w:val="none"/>
            </w:rPr>
            <w:t xml:space="preserve"> 污染控制目标和环境保护目标</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_Toc25502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59</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742E4B6">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_Toc18900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snapToGrid w:val="0"/>
              <w:color w:val="auto"/>
              <w:kern w:val="0"/>
              <w:sz w:val="24"/>
              <w:szCs w:val="24"/>
              <w:highlight w:val="none"/>
            </w:rPr>
            <w:t>3</w:t>
          </w:r>
          <w:r>
            <w:rPr>
              <w:rFonts w:ascii="Times New Roman" w:hAnsi="Times New Roman" w:eastAsia="宋体" w:cs="Times New Roman"/>
              <w:snapToGrid w:val="0"/>
              <w:color w:val="auto"/>
              <w:kern w:val="0"/>
              <w:sz w:val="24"/>
              <w:szCs w:val="24"/>
              <w:highlight w:val="none"/>
            </w:rPr>
            <w:t xml:space="preserve">  </w:t>
          </w:r>
          <w:r>
            <w:rPr>
              <w:rFonts w:hint="eastAsia" w:ascii="Times New Roman" w:hAnsi="Times New Roman" w:eastAsia="宋体" w:cs="Times New Roman"/>
              <w:snapToGrid w:val="0"/>
              <w:color w:val="auto"/>
              <w:kern w:val="0"/>
              <w:sz w:val="24"/>
              <w:szCs w:val="24"/>
              <w:highlight w:val="none"/>
            </w:rPr>
            <w:t>现有工程回顾性评价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_Toc18900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63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744B9EB">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_Toc20980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3.1凯赛厂区基本情况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_Toc20980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63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5EF3752">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_Toc31167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3.2</w:t>
          </w:r>
          <w:r>
            <w:rPr>
              <w:rFonts w:hint="eastAsia" w:ascii="Times New Roman" w:hAnsi="Times New Roman" w:eastAsia="宋体" w:cs="Times New Roman"/>
              <w:bCs w:val="0"/>
              <w:snapToGrid w:val="0"/>
              <w:color w:val="auto"/>
              <w:kern w:val="0"/>
              <w:sz w:val="24"/>
              <w:szCs w:val="24"/>
              <w:highlight w:val="none"/>
              <w:lang w:val="en-US" w:eastAsia="zh-CN"/>
            </w:rPr>
            <w:t>材料公司</w:t>
          </w:r>
          <w:r>
            <w:rPr>
              <w:rFonts w:hint="eastAsia" w:ascii="Times New Roman" w:hAnsi="Times New Roman" w:eastAsia="宋体" w:cs="Times New Roman"/>
              <w:bCs w:val="0"/>
              <w:snapToGrid w:val="0"/>
              <w:color w:val="auto"/>
              <w:kern w:val="0"/>
              <w:sz w:val="24"/>
              <w:szCs w:val="24"/>
              <w:highlight w:val="none"/>
            </w:rPr>
            <w:t>现有工程概况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_Toc31167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66</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B0EC7FB">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_Toc12427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3.3现有工程工程分析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_Toc12427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72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44F402B5">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_Toc30098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rPr>
            <w:t>3.4现有工程</w:t>
          </w:r>
          <w:r>
            <w:rPr>
              <w:rFonts w:hint="eastAsia" w:ascii="Times New Roman" w:hAnsi="Times New Roman" w:eastAsia="宋体" w:cs="Times New Roman"/>
              <w:bCs w:val="0"/>
              <w:snapToGrid w:val="0"/>
              <w:color w:val="auto"/>
              <w:kern w:val="0"/>
              <w:sz w:val="24"/>
              <w:szCs w:val="24"/>
              <w:highlight w:val="none"/>
              <w:lang w:val="en-US" w:eastAsia="zh-CN"/>
            </w:rPr>
            <w:t>监测计划</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_Toc30098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93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2EAD874">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_Toc20074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3.5现有工程管理情况及</w:t>
          </w:r>
          <w:r>
            <w:rPr>
              <w:rFonts w:hint="eastAsia" w:ascii="Times New Roman" w:hAnsi="Times New Roman" w:eastAsia="宋体" w:cs="Times New Roman"/>
              <w:bCs w:val="0"/>
              <w:snapToGrid w:val="0"/>
              <w:color w:val="auto"/>
              <w:kern w:val="0"/>
              <w:sz w:val="24"/>
              <w:szCs w:val="24"/>
              <w:highlight w:val="none"/>
            </w:rPr>
            <w:t>污染物达标分析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_Toc20074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95</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0CA5E5C">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_Toc24457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3.6现有工程污染物排放情况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_Toc24457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114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1938E24">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_Toc24298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3.7现有工程存在的主要环境问题及整改措施</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_Toc24298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117</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4ED8537C">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_Toc30586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snapToGrid w:val="0"/>
              <w:color w:val="auto"/>
              <w:kern w:val="0"/>
              <w:sz w:val="24"/>
              <w:szCs w:val="24"/>
              <w:highlight w:val="none"/>
            </w:rPr>
            <w:t>4  建设项目工程分析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_Toc30586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119</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131A641">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_Toc7393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4.1项目概况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_Toc7393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119</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A2BE58C">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_Toc1494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4.2工艺流程与产排污环节</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_Toc1494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132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81DA236">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_Toc3110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4.3平衡分析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_Toc3110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137</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3202B57">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_Toc3997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4.4污染源强分析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_Toc3997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143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1CEB741C">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_Toc29748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4.5污染源清单及达标可行性分析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_Toc29748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153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1C9D357D">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_Toc8941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4.6非正常工况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_Toc8941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158</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4AE5272">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_Toc17658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4.7清洁生产分析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_Toc17658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158</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50C3DEF">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_Toc18711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snapToGrid w:val="0"/>
              <w:color w:val="auto"/>
              <w:kern w:val="0"/>
              <w:sz w:val="24"/>
              <w:szCs w:val="24"/>
              <w:highlight w:val="none"/>
            </w:rPr>
            <w:t>5</w:t>
          </w:r>
          <w:r>
            <w:rPr>
              <w:rFonts w:ascii="Times New Roman" w:hAnsi="Times New Roman" w:eastAsia="宋体" w:cs="Times New Roman"/>
              <w:snapToGrid w:val="0"/>
              <w:color w:val="auto"/>
              <w:kern w:val="0"/>
              <w:sz w:val="24"/>
              <w:szCs w:val="24"/>
              <w:highlight w:val="none"/>
            </w:rPr>
            <w:t xml:space="preserve">  </w:t>
          </w:r>
          <w:r>
            <w:rPr>
              <w:rFonts w:hint="eastAsia" w:ascii="Times New Roman" w:hAnsi="Times New Roman" w:eastAsia="宋体" w:cs="Times New Roman"/>
              <w:snapToGrid w:val="0"/>
              <w:color w:val="auto"/>
              <w:kern w:val="0"/>
              <w:sz w:val="24"/>
              <w:szCs w:val="24"/>
              <w:highlight w:val="none"/>
              <w:lang w:val="en-US" w:eastAsia="zh-CN"/>
            </w:rPr>
            <w:t>生态</w:t>
          </w:r>
          <w:r>
            <w:rPr>
              <w:rFonts w:ascii="Times New Roman" w:hAnsi="Times New Roman" w:eastAsia="宋体" w:cs="Times New Roman"/>
              <w:snapToGrid w:val="0"/>
              <w:color w:val="auto"/>
              <w:kern w:val="0"/>
              <w:sz w:val="24"/>
              <w:szCs w:val="24"/>
              <w:highlight w:val="none"/>
            </w:rPr>
            <w:t>环境现状调查与评价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_Toc18711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163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13D44A1">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_Toc24349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5.1 自然环境概况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_Toc24349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163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FC3EFA4">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_Toc21094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5.2 乌苏市化工产业集中区概况</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_Toc21094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174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9C1221E">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_Toc17194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5.3 生态环境质量现状评价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_Toc17194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186</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1AE0EB01">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_Toc4338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snapToGrid w:val="0"/>
              <w:color w:val="auto"/>
              <w:kern w:val="0"/>
              <w:sz w:val="24"/>
              <w:szCs w:val="24"/>
              <w:highlight w:val="none"/>
            </w:rPr>
            <w:t xml:space="preserve">6  </w:t>
          </w:r>
          <w:r>
            <w:rPr>
              <w:rFonts w:hint="eastAsia" w:ascii="Times New Roman" w:hAnsi="Times New Roman" w:eastAsia="宋体" w:cs="Times New Roman"/>
              <w:snapToGrid w:val="0"/>
              <w:color w:val="auto"/>
              <w:kern w:val="0"/>
              <w:sz w:val="24"/>
              <w:szCs w:val="24"/>
              <w:highlight w:val="none"/>
              <w:lang w:val="en-US" w:eastAsia="zh-CN"/>
            </w:rPr>
            <w:t>生态环境影响预测与评价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_Toc4338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212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62B58FF0">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_Toc1939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6.1施工期生态环境影响分析与评价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_Toc1939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212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4269A77D">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_Toc821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6.2运营期生态环境影响预测与评价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_Toc821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220</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3DEA157">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_Toc13169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6.3生态环境风险分析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_Toc13169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285</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EA7CE56">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_Toc13383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6.4温室气体排放影响评价</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_Toc13383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323</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092316B">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_Toc19542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color w:val="auto"/>
              <w:kern w:val="0"/>
              <w:sz w:val="24"/>
              <w:szCs w:val="24"/>
              <w:highlight w:val="none"/>
            </w:rPr>
            <w:t xml:space="preserve">7  </w:t>
          </w:r>
          <w:r>
            <w:rPr>
              <w:rFonts w:hint="eastAsia" w:ascii="Times New Roman" w:hAnsi="Times New Roman" w:eastAsia="宋体" w:cs="Times New Roman"/>
              <w:color w:val="auto"/>
              <w:kern w:val="0"/>
              <w:sz w:val="24"/>
              <w:szCs w:val="24"/>
              <w:highlight w:val="none"/>
              <w:lang w:val="en-US" w:eastAsia="zh-CN"/>
            </w:rPr>
            <w:t>生态</w:t>
          </w:r>
          <w:r>
            <w:rPr>
              <w:rFonts w:hint="eastAsia" w:ascii="Times New Roman" w:hAnsi="Times New Roman" w:eastAsia="宋体" w:cs="Times New Roman"/>
              <w:color w:val="auto"/>
              <w:kern w:val="0"/>
              <w:sz w:val="24"/>
              <w:szCs w:val="24"/>
              <w:highlight w:val="none"/>
            </w:rPr>
            <w:t>环境保护措施及其可行性论证</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_Toc19542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330</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633A9EC">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_Toc1764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7.1施工期生态环境保护措施</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_Toc1764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331</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674F180E">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_Toc6074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7.2运营期生态环境保护措施及可行性分析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_Toc6074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336</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BD29E4E">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_Toc2470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color w:val="auto"/>
              <w:kern w:val="0"/>
              <w:sz w:val="24"/>
              <w:szCs w:val="24"/>
              <w:highlight w:val="none"/>
            </w:rPr>
            <w:t xml:space="preserve">8  </w:t>
          </w:r>
          <w:r>
            <w:rPr>
              <w:rFonts w:hint="eastAsia" w:ascii="Times New Roman" w:hAnsi="Times New Roman" w:eastAsia="宋体" w:cs="Times New Roman"/>
              <w:color w:val="auto"/>
              <w:kern w:val="0"/>
              <w:sz w:val="24"/>
              <w:szCs w:val="24"/>
              <w:highlight w:val="none"/>
              <w:lang w:val="en-US" w:eastAsia="zh-CN"/>
            </w:rPr>
            <w:t>生态</w:t>
          </w:r>
          <w:r>
            <w:rPr>
              <w:rFonts w:hint="eastAsia" w:ascii="Times New Roman" w:hAnsi="Times New Roman" w:eastAsia="宋体" w:cs="Times New Roman"/>
              <w:color w:val="auto"/>
              <w:kern w:val="0"/>
              <w:sz w:val="24"/>
              <w:szCs w:val="24"/>
              <w:highlight w:val="none"/>
            </w:rPr>
            <w:t>环境</w:t>
          </w:r>
          <w:r>
            <w:rPr>
              <w:rFonts w:hint="eastAsia" w:ascii="Times New Roman" w:hAnsi="Times New Roman" w:eastAsia="宋体" w:cs="Times New Roman"/>
              <w:color w:val="auto"/>
              <w:kern w:val="0"/>
              <w:sz w:val="24"/>
              <w:szCs w:val="24"/>
              <w:highlight w:val="none"/>
              <w:lang w:val="en-US" w:eastAsia="zh-CN"/>
            </w:rPr>
            <w:t>影响</w:t>
          </w:r>
          <w:r>
            <w:rPr>
              <w:rFonts w:hint="eastAsia" w:ascii="Times New Roman" w:hAnsi="Times New Roman" w:eastAsia="宋体" w:cs="Times New Roman"/>
              <w:color w:val="auto"/>
              <w:kern w:val="0"/>
              <w:sz w:val="24"/>
              <w:szCs w:val="24"/>
              <w:highlight w:val="none"/>
            </w:rPr>
            <w:t>经济损益分析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_Toc2470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357</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96FDD4E">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_Toc21704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8.1环保设施内容及投资估算</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_Toc21704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357</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A9B5993">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_Toc9760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8.2 生态环境效益分析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_Toc9760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358</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1D367B5">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_Toc6547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8.3 社会效益分析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_Toc6547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358</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BC8824F">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_Toc18872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8.4 生态环境经济损益分析结论</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_Toc18872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359</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53CEC1D">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_Toc5886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color w:val="auto"/>
              <w:kern w:val="0"/>
              <w:sz w:val="24"/>
              <w:szCs w:val="24"/>
              <w:highlight w:val="none"/>
            </w:rPr>
            <w:t xml:space="preserve">9 </w:t>
          </w:r>
          <w:r>
            <w:rPr>
              <w:rFonts w:ascii="Times New Roman" w:hAnsi="Times New Roman" w:eastAsia="宋体" w:cs="Times New Roman"/>
              <w:color w:val="auto"/>
              <w:kern w:val="0"/>
              <w:sz w:val="24"/>
              <w:szCs w:val="24"/>
              <w:highlight w:val="none"/>
            </w:rPr>
            <w:t xml:space="preserve"> </w:t>
          </w:r>
          <w:r>
            <w:rPr>
              <w:rFonts w:hint="eastAsia" w:ascii="Times New Roman" w:hAnsi="Times New Roman" w:eastAsia="宋体" w:cs="Times New Roman"/>
              <w:color w:val="auto"/>
              <w:kern w:val="0"/>
              <w:sz w:val="24"/>
              <w:szCs w:val="24"/>
              <w:highlight w:val="none"/>
              <w:lang w:val="en-US" w:eastAsia="zh-CN"/>
            </w:rPr>
            <w:t>生态</w:t>
          </w:r>
          <w:r>
            <w:rPr>
              <w:rFonts w:ascii="Times New Roman" w:hAnsi="Times New Roman" w:eastAsia="宋体" w:cs="Times New Roman"/>
              <w:color w:val="auto"/>
              <w:kern w:val="0"/>
              <w:sz w:val="24"/>
              <w:szCs w:val="24"/>
              <w:highlight w:val="none"/>
            </w:rPr>
            <w:t>环境管理与监测计划</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_Toc5886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360</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1335A6E">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_Toc24183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9.1 生态环境管理</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_Toc24183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360</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13B8C770">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_Toc24798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9.2 生态环境监测</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_Toc24798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364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774703F">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_Toc23331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9.3排污许可与总量控制</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_Toc23331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372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7E7FCAC8">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_Toc1047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9.4 生态环境影响评价制度与排污许可制度衔接分析</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_Toc1047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379</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62289281">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_Toc11616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9.5 企业生态环境信息公开</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_Toc11616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381</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5F943F3F">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_Toc17097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9.6 竣工验收管理</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_Toc17097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382</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05C9531C">
          <w:pPr>
            <w:pStyle w:val="39"/>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_Toc5550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color w:val="auto"/>
              <w:kern w:val="0"/>
              <w:sz w:val="24"/>
              <w:szCs w:val="24"/>
              <w:highlight w:val="none"/>
            </w:rPr>
            <w:t xml:space="preserve">10  </w:t>
          </w:r>
          <w:r>
            <w:rPr>
              <w:rFonts w:hint="eastAsia" w:ascii="Times New Roman" w:hAnsi="Times New Roman" w:eastAsia="宋体" w:cs="Times New Roman"/>
              <w:color w:val="auto"/>
              <w:kern w:val="0"/>
              <w:sz w:val="24"/>
              <w:szCs w:val="24"/>
              <w:highlight w:val="none"/>
              <w:lang w:val="en-US" w:eastAsia="zh-CN"/>
            </w:rPr>
            <w:t>生态</w:t>
          </w:r>
          <w:r>
            <w:rPr>
              <w:rFonts w:ascii="Times New Roman" w:hAnsi="Times New Roman" w:eastAsia="宋体" w:cs="Times New Roman"/>
              <w:color w:val="auto"/>
              <w:kern w:val="0"/>
              <w:sz w:val="24"/>
              <w:szCs w:val="24"/>
              <w:highlight w:val="none"/>
            </w:rPr>
            <w:t>环境影响评价结论</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_Toc5550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384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27C3B5AE">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_Toc20172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10.1 结论</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_Toc20172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384</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A1FCA86">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_Toc3196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10.2 综合评价结论</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_Toc3196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387</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6F0CF543">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480" w:firstLineChars="200"/>
            <w:textAlignment w:val="auto"/>
            <w:rPr>
              <w:color w:val="auto"/>
              <w:highlight w:val="none"/>
            </w:rPr>
          </w:pP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HYPERLINK \l _Toc23809 </w:instrText>
          </w:r>
          <w:r>
            <w:rPr>
              <w:rFonts w:ascii="Times New Roman" w:hAnsi="Times New Roman" w:eastAsia="宋体" w:cs="Times New Roman"/>
              <w:color w:val="auto"/>
              <w:kern w:val="0"/>
              <w:sz w:val="24"/>
              <w:szCs w:val="24"/>
              <w:highlight w:val="none"/>
            </w:rPr>
            <w:fldChar w:fldCharType="separate"/>
          </w:r>
          <w:r>
            <w:rPr>
              <w:rFonts w:hint="eastAsia" w:ascii="Times New Roman" w:hAnsi="Times New Roman" w:eastAsia="宋体" w:cs="Times New Roman"/>
              <w:bCs w:val="0"/>
              <w:snapToGrid w:val="0"/>
              <w:color w:val="auto"/>
              <w:kern w:val="0"/>
              <w:sz w:val="24"/>
              <w:szCs w:val="24"/>
              <w:highlight w:val="none"/>
              <w:lang w:val="en-US" w:eastAsia="zh-CN"/>
            </w:rPr>
            <w:t>10.3 建议</w:t>
          </w:r>
          <w:r>
            <w:rPr>
              <w:rFonts w:ascii="Times New Roman" w:hAnsi="Times New Roman" w:eastAsia="宋体" w:cs="Times New Roman"/>
              <w:color w:val="auto"/>
              <w:kern w:val="0"/>
              <w:sz w:val="24"/>
              <w:szCs w:val="24"/>
              <w:highlight w:val="none"/>
            </w:rPr>
            <w:tab/>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PAGEREF _Toc23809 \h </w:instrText>
          </w:r>
          <w:r>
            <w:rPr>
              <w:rFonts w:ascii="Times New Roman" w:hAnsi="Times New Roman" w:eastAsia="宋体" w:cs="Times New Roman"/>
              <w:color w:val="auto"/>
              <w:kern w:val="0"/>
              <w:sz w:val="24"/>
              <w:szCs w:val="24"/>
              <w:highlight w:val="none"/>
            </w:rPr>
            <w:fldChar w:fldCharType="separate"/>
          </w:r>
          <w:r>
            <w:rPr>
              <w:rFonts w:ascii="Times New Roman" w:hAnsi="Times New Roman" w:eastAsia="宋体" w:cs="Times New Roman"/>
              <w:color w:val="auto"/>
              <w:kern w:val="0"/>
              <w:sz w:val="24"/>
              <w:szCs w:val="24"/>
              <w:highlight w:val="none"/>
            </w:rPr>
            <w:t>387</w:t>
          </w:r>
          <w:r>
            <w:rPr>
              <w:rFonts w:ascii="Times New Roman" w:hAnsi="Times New Roman" w:eastAsia="宋体" w:cs="Times New Roman"/>
              <w:color w:val="auto"/>
              <w:kern w:val="0"/>
              <w:sz w:val="24"/>
              <w:szCs w:val="24"/>
              <w:highlight w:val="none"/>
            </w:rPr>
            <w:fldChar w:fldCharType="end"/>
          </w:r>
          <w:r>
            <w:rPr>
              <w:rFonts w:ascii="Times New Roman" w:hAnsi="Times New Roman" w:eastAsia="宋体" w:cs="Times New Roman"/>
              <w:color w:val="auto"/>
              <w:kern w:val="0"/>
              <w:sz w:val="24"/>
              <w:szCs w:val="24"/>
              <w:highlight w:val="none"/>
            </w:rPr>
            <w:fldChar w:fldCharType="end"/>
          </w:r>
        </w:p>
        <w:p w14:paraId="356258DD">
          <w:pPr>
            <w:pStyle w:val="47"/>
            <w:keepNext w:val="0"/>
            <w:keepLines w:val="0"/>
            <w:pageBreakBefore w:val="0"/>
            <w:widowControl w:val="0"/>
            <w:tabs>
              <w:tab w:val="right" w:leader="dot" w:pos="8221"/>
            </w:tabs>
            <w:kinsoku/>
            <w:wordWrap/>
            <w:overflowPunct/>
            <w:topLinePunct w:val="0"/>
            <w:autoSpaceDE/>
            <w:autoSpaceDN/>
            <w:bidi w:val="0"/>
            <w:adjustRightInd w:val="0"/>
            <w:snapToGrid w:val="0"/>
            <w:spacing w:line="360" w:lineRule="auto"/>
            <w:ind w:left="0" w:leftChars="0" w:firstLine="0" w:firstLineChars="0"/>
            <w:textAlignment w:val="auto"/>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kern w:val="0"/>
              <w:szCs w:val="24"/>
              <w:highlight w:val="none"/>
            </w:rPr>
            <w:fldChar w:fldCharType="end"/>
          </w:r>
        </w:p>
      </w:sdtContent>
    </w:sdt>
    <w:p w14:paraId="29CC66F4">
      <w:pPr>
        <w:bidi w:val="0"/>
        <w:rPr>
          <w:color w:val="auto"/>
          <w:highlight w:val="none"/>
          <w:lang w:val="en-US" w:eastAsia="zh-CN"/>
        </w:rPr>
      </w:pPr>
    </w:p>
    <w:p w14:paraId="4FD9F41C">
      <w:pPr>
        <w:bidi w:val="0"/>
        <w:rPr>
          <w:color w:val="auto"/>
          <w:highlight w:val="none"/>
          <w:lang w:val="en-US" w:eastAsia="zh-CN"/>
        </w:rPr>
      </w:pPr>
    </w:p>
    <w:p w14:paraId="6D856AF9">
      <w:pPr>
        <w:tabs>
          <w:tab w:val="left" w:pos="6622"/>
        </w:tabs>
        <w:bidi w:val="0"/>
        <w:jc w:val="left"/>
        <w:rPr>
          <w:color w:val="auto"/>
          <w:highlight w:val="none"/>
        </w:rPr>
      </w:pPr>
      <w:r>
        <w:rPr>
          <w:rFonts w:hint="eastAsia"/>
          <w:color w:val="auto"/>
          <w:highlight w:val="none"/>
          <w:lang w:val="en-US" w:eastAsia="zh-CN"/>
        </w:rPr>
        <w:tab/>
      </w:r>
    </w:p>
    <w:p w14:paraId="57FFE50D">
      <w:pPr>
        <w:adjustRightInd w:val="0"/>
        <w:snapToGrid w:val="0"/>
        <w:spacing w:line="360" w:lineRule="auto"/>
        <w:ind w:firstLine="482" w:firstLineChars="200"/>
        <w:rPr>
          <w:rFonts w:ascii="楷体" w:hAnsi="楷体" w:eastAsia="楷体" w:cs="楷体"/>
          <w:b/>
          <w:bCs/>
          <w:color w:val="auto"/>
          <w:sz w:val="24"/>
          <w:highlight w:val="none"/>
        </w:rPr>
      </w:pPr>
      <w:r>
        <w:rPr>
          <w:rFonts w:hint="eastAsia" w:ascii="楷体" w:hAnsi="楷体" w:eastAsia="楷体" w:cs="楷体"/>
          <w:b/>
          <w:bCs/>
          <w:color w:val="auto"/>
          <w:sz w:val="24"/>
          <w:highlight w:val="none"/>
        </w:rPr>
        <w:t>附件：</w:t>
      </w:r>
    </w:p>
    <w:p w14:paraId="3AD11362">
      <w:pPr>
        <w:adjustRightInd w:val="0"/>
        <w:snapToGrid w:val="0"/>
        <w:spacing w:line="360" w:lineRule="auto"/>
        <w:ind w:firstLine="480" w:firstLineChars="200"/>
        <w:rPr>
          <w:rFonts w:ascii="楷体" w:hAnsi="楷体" w:eastAsia="楷体" w:cs="楷体"/>
          <w:color w:val="auto"/>
          <w:sz w:val="24"/>
          <w:highlight w:val="none"/>
        </w:rPr>
      </w:pPr>
      <w:r>
        <w:rPr>
          <w:rFonts w:hint="eastAsia" w:ascii="楷体" w:hAnsi="楷体" w:eastAsia="楷体" w:cs="楷体"/>
          <w:color w:val="auto"/>
          <w:sz w:val="24"/>
          <w:highlight w:val="none"/>
        </w:rPr>
        <w:t>附件1：委托书</w:t>
      </w:r>
    </w:p>
    <w:p w14:paraId="2D40F39D">
      <w:pPr>
        <w:adjustRightInd w:val="0"/>
        <w:snapToGrid w:val="0"/>
        <w:spacing w:line="360" w:lineRule="auto"/>
        <w:ind w:firstLine="480" w:firstLineChars="200"/>
        <w:rPr>
          <w:rFonts w:ascii="楷体" w:hAnsi="楷体" w:eastAsia="楷体" w:cs="楷体"/>
          <w:color w:val="auto"/>
          <w:sz w:val="24"/>
          <w:highlight w:val="none"/>
        </w:rPr>
      </w:pPr>
      <w:r>
        <w:rPr>
          <w:rFonts w:hint="eastAsia" w:ascii="楷体" w:hAnsi="楷体" w:eastAsia="楷体" w:cs="楷体"/>
          <w:color w:val="auto"/>
          <w:sz w:val="24"/>
          <w:highlight w:val="none"/>
        </w:rPr>
        <w:t>附件2：备案证</w:t>
      </w:r>
    </w:p>
    <w:p w14:paraId="245D1EFF">
      <w:pPr>
        <w:adjustRightInd w:val="0"/>
        <w:snapToGrid w:val="0"/>
        <w:spacing w:line="360" w:lineRule="auto"/>
        <w:ind w:firstLine="480" w:firstLineChars="200"/>
        <w:rPr>
          <w:rFonts w:ascii="楷体" w:hAnsi="楷体" w:eastAsia="楷体" w:cs="楷体"/>
          <w:color w:val="auto"/>
          <w:sz w:val="24"/>
          <w:highlight w:val="none"/>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3</w:t>
      </w:r>
      <w:r>
        <w:rPr>
          <w:rFonts w:hint="eastAsia" w:ascii="楷体" w:hAnsi="楷体" w:eastAsia="楷体" w:cs="楷体"/>
          <w:color w:val="auto"/>
          <w:sz w:val="24"/>
          <w:highlight w:val="none"/>
        </w:rPr>
        <w:t>：园区规划批复</w:t>
      </w:r>
    </w:p>
    <w:p w14:paraId="74B85432">
      <w:pPr>
        <w:adjustRightInd w:val="0"/>
        <w:snapToGrid w:val="0"/>
        <w:spacing w:line="360" w:lineRule="auto"/>
        <w:ind w:firstLine="480" w:firstLineChars="200"/>
        <w:rPr>
          <w:rFonts w:ascii="楷体" w:hAnsi="楷体" w:eastAsia="楷体" w:cs="楷体"/>
          <w:color w:val="auto"/>
          <w:sz w:val="24"/>
          <w:highlight w:val="none"/>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4</w:t>
      </w:r>
      <w:r>
        <w:rPr>
          <w:rFonts w:hint="eastAsia" w:ascii="楷体" w:hAnsi="楷体" w:eastAsia="楷体" w:cs="楷体"/>
          <w:color w:val="auto"/>
          <w:sz w:val="24"/>
          <w:highlight w:val="none"/>
        </w:rPr>
        <w:t>：规划环评审查意见</w:t>
      </w:r>
    </w:p>
    <w:p w14:paraId="3F11CC52">
      <w:pPr>
        <w:adjustRightInd w:val="0"/>
        <w:snapToGrid w:val="0"/>
        <w:spacing w:line="360" w:lineRule="auto"/>
        <w:ind w:firstLine="480" w:firstLineChars="200"/>
        <w:rPr>
          <w:rFonts w:ascii="楷体" w:hAnsi="楷体" w:eastAsia="楷体" w:cs="楷体"/>
          <w:color w:val="auto"/>
          <w:sz w:val="24"/>
          <w:highlight w:val="none"/>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5</w:t>
      </w:r>
      <w:r>
        <w:rPr>
          <w:rFonts w:hint="eastAsia" w:ascii="楷体" w:hAnsi="楷体" w:eastAsia="楷体" w:cs="楷体"/>
          <w:color w:val="auto"/>
          <w:sz w:val="24"/>
          <w:highlight w:val="none"/>
        </w:rPr>
        <w:t>：二元酸菌体污泥危险特性鉴别报告</w:t>
      </w:r>
    </w:p>
    <w:p w14:paraId="5883EC0B">
      <w:pPr>
        <w:adjustRightInd w:val="0"/>
        <w:snapToGrid w:val="0"/>
        <w:spacing w:line="360" w:lineRule="auto"/>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6</w:t>
      </w: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废水接收</w:t>
      </w:r>
      <w:r>
        <w:rPr>
          <w:rFonts w:hint="eastAsia" w:ascii="楷体" w:hAnsi="楷体" w:eastAsia="楷体" w:cs="楷体"/>
          <w:color w:val="auto"/>
          <w:sz w:val="24"/>
          <w:highlight w:val="none"/>
        </w:rPr>
        <w:t>协议</w:t>
      </w:r>
    </w:p>
    <w:p w14:paraId="34EBA034">
      <w:pPr>
        <w:adjustRightInd w:val="0"/>
        <w:snapToGrid w:val="0"/>
        <w:spacing w:line="360" w:lineRule="auto"/>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7</w:t>
      </w:r>
      <w:r>
        <w:rPr>
          <w:rFonts w:hint="eastAsia" w:ascii="楷体" w:hAnsi="楷体" w:eastAsia="楷体" w:cs="楷体"/>
          <w:color w:val="auto"/>
          <w:sz w:val="24"/>
          <w:highlight w:val="none"/>
        </w:rPr>
        <w:t>：乌苏市污水处理厂</w:t>
      </w:r>
      <w:r>
        <w:rPr>
          <w:rFonts w:hint="eastAsia" w:ascii="楷体" w:hAnsi="楷体" w:eastAsia="楷体" w:cs="楷体"/>
          <w:color w:val="auto"/>
          <w:sz w:val="24"/>
          <w:highlight w:val="none"/>
          <w:lang w:val="en-US" w:eastAsia="zh-CN"/>
        </w:rPr>
        <w:t>二期工程环评</w:t>
      </w:r>
      <w:r>
        <w:rPr>
          <w:rFonts w:hint="eastAsia" w:ascii="楷体" w:hAnsi="楷体" w:eastAsia="楷体" w:cs="楷体"/>
          <w:color w:val="auto"/>
          <w:sz w:val="24"/>
          <w:highlight w:val="none"/>
        </w:rPr>
        <w:t>批复</w:t>
      </w:r>
    </w:p>
    <w:p w14:paraId="56DBB86E">
      <w:pPr>
        <w:adjustRightInd w:val="0"/>
        <w:snapToGrid w:val="0"/>
        <w:spacing w:line="360" w:lineRule="auto"/>
        <w:ind w:firstLine="480" w:firstLineChars="200"/>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8</w:t>
      </w: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企业排污许可证</w:t>
      </w:r>
    </w:p>
    <w:p w14:paraId="2BEC0B17">
      <w:pPr>
        <w:adjustRightInd w:val="0"/>
        <w:snapToGrid w:val="0"/>
        <w:spacing w:line="360" w:lineRule="auto"/>
        <w:ind w:firstLine="480" w:firstLineChars="200"/>
        <w:rPr>
          <w:rFonts w:hint="default" w:ascii="楷体" w:hAnsi="楷体" w:eastAsia="楷体" w:cs="楷体"/>
          <w:color w:val="auto"/>
          <w:sz w:val="24"/>
          <w:highlight w:val="none"/>
          <w:lang w:val="en-US" w:eastAsia="zh-CN"/>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9</w:t>
      </w: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企业突发生态环境事件应急预案备案表</w:t>
      </w:r>
    </w:p>
    <w:p w14:paraId="0F97A43A">
      <w:pPr>
        <w:adjustRightInd w:val="0"/>
        <w:snapToGrid w:val="0"/>
        <w:spacing w:line="360" w:lineRule="auto"/>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附件</w:t>
      </w:r>
      <w:r>
        <w:rPr>
          <w:rFonts w:hint="eastAsia" w:ascii="楷体" w:hAnsi="楷体" w:eastAsia="楷体" w:cs="楷体"/>
          <w:color w:val="auto"/>
          <w:sz w:val="24"/>
          <w:highlight w:val="none"/>
          <w:lang w:val="en-US" w:eastAsia="zh-CN"/>
        </w:rPr>
        <w:t>10</w:t>
      </w: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生态</w:t>
      </w:r>
      <w:r>
        <w:rPr>
          <w:rFonts w:hint="eastAsia" w:ascii="楷体" w:hAnsi="楷体" w:eastAsia="楷体" w:cs="楷体"/>
          <w:color w:val="auto"/>
          <w:sz w:val="24"/>
          <w:highlight w:val="none"/>
        </w:rPr>
        <w:t>环境质量现状监测报告</w:t>
      </w:r>
    </w:p>
    <w:p w14:paraId="0128886D">
      <w:pPr>
        <w:adjustRightInd w:val="0"/>
        <w:snapToGrid w:val="0"/>
        <w:spacing w:line="360" w:lineRule="auto"/>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附件11</w:t>
      </w:r>
      <w:r>
        <w:rPr>
          <w:rFonts w:hint="eastAsia" w:ascii="楷体" w:hAnsi="楷体" w:eastAsia="楷体" w:cs="楷体"/>
          <w:color w:val="auto"/>
          <w:sz w:val="24"/>
          <w:highlight w:val="none"/>
          <w:lang w:eastAsia="zh-CN"/>
        </w:rPr>
        <w:t>：</w:t>
      </w:r>
      <w:r>
        <w:rPr>
          <w:rFonts w:hint="eastAsia" w:ascii="楷体" w:hAnsi="楷体" w:eastAsia="楷体" w:cs="楷体"/>
          <w:color w:val="auto"/>
          <w:sz w:val="24"/>
          <w:highlight w:val="none"/>
        </w:rPr>
        <w:t>关于认定第十批自治区化工产业集中区的批复</w:t>
      </w:r>
    </w:p>
    <w:p w14:paraId="202C1524">
      <w:pPr>
        <w:adjustRightInd w:val="0"/>
        <w:snapToGrid w:val="0"/>
        <w:spacing w:line="360" w:lineRule="auto"/>
        <w:ind w:firstLine="480" w:firstLineChars="200"/>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附件12：现有工程环评批复及验收意见</w:t>
      </w:r>
    </w:p>
    <w:p w14:paraId="23E91E9F">
      <w:pPr>
        <w:adjustRightInd w:val="0"/>
        <w:snapToGrid w:val="0"/>
        <w:spacing w:line="360" w:lineRule="auto"/>
        <w:ind w:firstLine="480" w:firstLineChars="200"/>
        <w:rPr>
          <w:rFonts w:hint="default"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附件13：塔城地区生态环境局乌苏市分局责令改正违法行为决定书</w:t>
      </w:r>
    </w:p>
    <w:p w14:paraId="5E4B25A9">
      <w:pPr>
        <w:adjustRightInd w:val="0"/>
        <w:snapToGrid w:val="0"/>
        <w:spacing w:line="360" w:lineRule="auto"/>
        <w:ind w:firstLine="480" w:firstLineChars="200"/>
        <w:rPr>
          <w:rFonts w:hint="default" w:ascii="楷体" w:hAnsi="楷体" w:eastAsia="楷体" w:cs="楷体"/>
          <w:color w:val="auto"/>
          <w:sz w:val="24"/>
          <w:highlight w:val="none"/>
          <w:lang w:val="en-US" w:eastAsia="zh-CN"/>
        </w:rPr>
      </w:pPr>
    </w:p>
    <w:p w14:paraId="76E74815">
      <w:pPr>
        <w:rPr>
          <w:color w:val="auto"/>
          <w:highlight w:val="none"/>
        </w:rPr>
      </w:pPr>
    </w:p>
    <w:p w14:paraId="109C9DD2">
      <w:pPr>
        <w:pStyle w:val="6"/>
        <w:ind w:firstLine="0" w:firstLineChars="0"/>
        <w:rPr>
          <w:color w:val="auto"/>
          <w:highlight w:val="none"/>
        </w:rPr>
        <w:sectPr>
          <w:headerReference r:id="rId5" w:type="default"/>
          <w:footerReference r:id="rId6" w:type="default"/>
          <w:pgSz w:w="11906" w:h="16838"/>
          <w:pgMar w:top="1440" w:right="1700" w:bottom="1440" w:left="1985"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bookmarkEnd w:id="0"/>
    <w:bookmarkEnd w:id="1"/>
    <w:bookmarkEnd w:id="2"/>
    <w:bookmarkEnd w:id="3"/>
    <w:bookmarkEnd w:id="4"/>
    <w:bookmarkEnd w:id="5"/>
    <w:bookmarkEnd w:id="6"/>
    <w:p w14:paraId="53AB1EC0">
      <w:pPr>
        <w:pStyle w:val="2"/>
        <w:keepNext w:val="0"/>
        <w:keepLines w:val="0"/>
        <w:pageBreakBefore w:val="0"/>
        <w:widowControl w:val="0"/>
        <w:kinsoku/>
        <w:wordWrap/>
        <w:overflowPunct/>
        <w:topLinePunct w:val="0"/>
        <w:autoSpaceDE/>
        <w:autoSpaceDN/>
        <w:bidi w:val="0"/>
        <w:adjustRightInd w:val="0"/>
        <w:snapToGrid w:val="0"/>
        <w:spacing w:before="0" w:after="0"/>
        <w:ind w:firstLine="0" w:firstLineChars="0"/>
        <w:jc w:val="center"/>
        <w:rPr>
          <w:rFonts w:ascii="Times New Roman" w:hAnsi="Times New Roman" w:cs="Times New Roman"/>
          <w:snapToGrid w:val="0"/>
          <w:color w:val="auto"/>
          <w:kern w:val="0"/>
          <w:highlight w:val="none"/>
        </w:rPr>
      </w:pPr>
      <w:bookmarkStart w:id="14" w:name="_Toc27618"/>
      <w:bookmarkStart w:id="15" w:name="_Toc1565"/>
      <w:r>
        <w:rPr>
          <w:rFonts w:hint="eastAsia" w:ascii="Times New Roman" w:hAnsi="Times New Roman" w:cs="Times New Roman"/>
          <w:snapToGrid w:val="0"/>
          <w:color w:val="auto"/>
          <w:kern w:val="0"/>
          <w:highlight w:val="none"/>
        </w:rPr>
        <w:t>1  概 述</w:t>
      </w:r>
      <w:bookmarkEnd w:id="14"/>
      <w:bookmarkEnd w:id="15"/>
    </w:p>
    <w:p w14:paraId="62C5BFC0">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ascii="Times New Roman" w:hAnsi="Times New Roman"/>
          <w:b w:val="0"/>
          <w:bCs w:val="0"/>
          <w:snapToGrid w:val="0"/>
          <w:color w:val="auto"/>
          <w:kern w:val="0"/>
          <w:sz w:val="28"/>
          <w:szCs w:val="28"/>
          <w:highlight w:val="none"/>
        </w:rPr>
      </w:pPr>
      <w:bookmarkStart w:id="16" w:name="_Toc13411"/>
      <w:bookmarkStart w:id="17" w:name="_Toc15535"/>
      <w:r>
        <w:rPr>
          <w:rFonts w:hint="eastAsia" w:ascii="Times New Roman" w:hAnsi="Times New Roman"/>
          <w:b w:val="0"/>
          <w:bCs w:val="0"/>
          <w:snapToGrid w:val="0"/>
          <w:color w:val="auto"/>
          <w:kern w:val="0"/>
          <w:sz w:val="28"/>
          <w:szCs w:val="28"/>
          <w:highlight w:val="none"/>
        </w:rPr>
        <w:t>1.1建设项目背景</w:t>
      </w:r>
      <w:bookmarkEnd w:id="16"/>
      <w:bookmarkEnd w:id="17"/>
    </w:p>
    <w:p w14:paraId="633B47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en-US"/>
        </w:rPr>
      </w:pP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是指碳链上含有</w:t>
      </w:r>
      <w:r>
        <w:rPr>
          <w:rFonts w:hint="eastAsia"/>
          <w:snapToGrid w:val="0"/>
          <w:color w:val="auto"/>
          <w:kern w:val="0"/>
          <w:sz w:val="24"/>
          <w:highlight w:val="none"/>
          <w:lang w:val="en-US" w:eastAsia="zh-CN" w:bidi="en-US"/>
        </w:rPr>
        <w:t>6</w:t>
      </w:r>
      <w:r>
        <w:rPr>
          <w:rFonts w:hint="eastAsia"/>
          <w:snapToGrid w:val="0"/>
          <w:color w:val="auto"/>
          <w:kern w:val="0"/>
          <w:sz w:val="24"/>
          <w:highlight w:val="none"/>
          <w:lang w:bidi="en-US"/>
        </w:rPr>
        <w:t>个</w:t>
      </w:r>
      <w:r>
        <w:rPr>
          <w:rFonts w:hint="eastAsia"/>
          <w:snapToGrid w:val="0"/>
          <w:color w:val="auto"/>
          <w:kern w:val="0"/>
          <w:sz w:val="24"/>
          <w:highlight w:val="none"/>
          <w:lang w:val="en-US" w:eastAsia="zh-CN" w:bidi="en-US"/>
        </w:rPr>
        <w:t>及</w:t>
      </w:r>
      <w:r>
        <w:rPr>
          <w:rFonts w:hint="eastAsia"/>
          <w:snapToGrid w:val="0"/>
          <w:color w:val="auto"/>
          <w:kern w:val="0"/>
          <w:sz w:val="24"/>
          <w:highlight w:val="none"/>
          <w:lang w:bidi="en-US"/>
        </w:rPr>
        <w:t>以上碳原子的直链脂肪族二元羧酸。由于其具有独特的疏水、柔软和两端的可反应性，</w:t>
      </w:r>
      <w:r>
        <w:rPr>
          <w:rFonts w:hint="eastAsia"/>
          <w:snapToGrid w:val="0"/>
          <w:color w:val="auto"/>
          <w:kern w:val="0"/>
          <w:sz w:val="24"/>
          <w:highlight w:val="none"/>
          <w:lang w:eastAsia="zh-CN" w:bidi="en-US"/>
        </w:rPr>
        <w:t>是</w:t>
      </w:r>
      <w:r>
        <w:rPr>
          <w:rFonts w:hint="eastAsia"/>
          <w:snapToGrid w:val="0"/>
          <w:color w:val="auto"/>
          <w:kern w:val="0"/>
          <w:sz w:val="24"/>
          <w:highlight w:val="none"/>
          <w:lang w:bidi="en-US"/>
        </w:rPr>
        <w:t>广泛应用于汽车部件和涂料的高档聚酰胺及聚酯材料的原料。</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也应用于防锈和香料等领域。在凯赛的生物法</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产业化成功之前，</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一直是以丁二烯为原料由化学合成方法生产，且合成技术一直由发达国家所垄断。</w:t>
      </w:r>
    </w:p>
    <w:p w14:paraId="309A2FE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en-US"/>
        </w:rPr>
      </w:pPr>
      <w:r>
        <w:rPr>
          <w:rFonts w:hint="eastAsia"/>
          <w:snapToGrid w:val="0"/>
          <w:color w:val="auto"/>
          <w:kern w:val="0"/>
          <w:sz w:val="24"/>
          <w:highlight w:val="none"/>
          <w:lang w:bidi="en-US"/>
        </w:rPr>
        <w:t>上海凯赛生物技术股份有限公司（以下简称“凯赛生物”）成立于2000年</w:t>
      </w:r>
      <w:r>
        <w:rPr>
          <w:rFonts w:hint="eastAsia"/>
          <w:snapToGrid w:val="0"/>
          <w:color w:val="auto"/>
          <w:kern w:val="0"/>
          <w:sz w:val="24"/>
          <w:highlight w:val="none"/>
          <w:lang w:eastAsia="zh-CN" w:bidi="en-US"/>
        </w:rPr>
        <w:t>，是</w:t>
      </w:r>
      <w:r>
        <w:rPr>
          <w:rFonts w:hint="eastAsia"/>
          <w:snapToGrid w:val="0"/>
          <w:color w:val="auto"/>
          <w:kern w:val="0"/>
          <w:sz w:val="24"/>
          <w:highlight w:val="none"/>
          <w:lang w:bidi="en-US"/>
        </w:rPr>
        <w:t>由中国留美学者和著名科学家于20世纪90年代创办的高科技产业公司。凯赛生物是一家以合成生物学等学科为基础，利用生物制造技术，从事生物基新材料的研发、生产及销售的科创板上市公司，多年来致力于新型材料和生物化工等绿色产业的技术开发和产业化，先后开发了生物法</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、生物丁醇、生物基聚酰胺56等一系列生物产业化技术，在世界生物制造领域占据领先地位，其中《生物基重大工程实施方案》重点项目，被国家工信部纳入《产业关键共性技术发展指南（2015年）》。</w:t>
      </w:r>
    </w:p>
    <w:p w14:paraId="1847D4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en-US"/>
        </w:rPr>
      </w:pPr>
      <w:r>
        <w:rPr>
          <w:rFonts w:hint="eastAsia"/>
          <w:snapToGrid w:val="0"/>
          <w:color w:val="auto"/>
          <w:kern w:val="0"/>
          <w:sz w:val="24"/>
          <w:highlight w:val="none"/>
          <w:lang w:bidi="en-US"/>
        </w:rPr>
        <w:t>目前，凯赛生物总部和研发中心（上海凯赛生物技术股份有限公司）位于上海，3个生产基地分别位于金乡、乌苏和太原</w:t>
      </w:r>
      <w:r>
        <w:rPr>
          <w:rFonts w:hint="eastAsia"/>
          <w:snapToGrid w:val="0"/>
          <w:color w:val="auto"/>
          <w:kern w:val="0"/>
          <w:sz w:val="24"/>
          <w:highlight w:val="none"/>
          <w:lang w:eastAsia="zh-CN" w:bidi="en-US"/>
        </w:rPr>
        <w:t>，</w:t>
      </w:r>
      <w:r>
        <w:rPr>
          <w:rFonts w:hint="eastAsia"/>
          <w:snapToGrid w:val="0"/>
          <w:color w:val="auto"/>
          <w:kern w:val="0"/>
          <w:sz w:val="24"/>
          <w:highlight w:val="none"/>
          <w:lang w:val="en-US" w:eastAsia="zh-CN" w:bidi="en-US"/>
        </w:rPr>
        <w:t>其中</w:t>
      </w:r>
      <w:r>
        <w:rPr>
          <w:rFonts w:hint="eastAsia"/>
          <w:snapToGrid w:val="0"/>
          <w:color w:val="auto"/>
          <w:kern w:val="0"/>
          <w:sz w:val="24"/>
          <w:highlight w:val="none"/>
          <w:lang w:bidi="en-US"/>
        </w:rPr>
        <w:t>位于乌苏的生产基地为凯赛（乌苏）生物材料有限公司（以下简称“材料公司”）</w:t>
      </w:r>
      <w:r>
        <w:rPr>
          <w:rFonts w:hint="eastAsia"/>
          <w:snapToGrid w:val="0"/>
          <w:color w:val="auto"/>
          <w:kern w:val="0"/>
          <w:sz w:val="24"/>
          <w:highlight w:val="none"/>
          <w:lang w:val="en-US" w:eastAsia="zh-CN" w:bidi="en-US"/>
        </w:rPr>
        <w:t>，</w:t>
      </w:r>
      <w:r>
        <w:rPr>
          <w:rFonts w:hint="eastAsia"/>
          <w:snapToGrid w:val="0"/>
          <w:color w:val="auto"/>
          <w:kern w:val="0"/>
          <w:sz w:val="24"/>
          <w:highlight w:val="none"/>
          <w:lang w:bidi="en-US"/>
        </w:rPr>
        <w:t>建设有5万吨生物基戊二胺、10万吨生物基聚酰胺生产线</w:t>
      </w:r>
      <w:r>
        <w:rPr>
          <w:rFonts w:hint="eastAsia"/>
          <w:snapToGrid w:val="0"/>
          <w:color w:val="auto"/>
          <w:kern w:val="0"/>
          <w:sz w:val="24"/>
          <w:highlight w:val="none"/>
          <w:lang w:eastAsia="zh-CN" w:bidi="en-US"/>
        </w:rPr>
        <w:t>；</w:t>
      </w:r>
      <w:r>
        <w:rPr>
          <w:rFonts w:hint="eastAsia"/>
          <w:snapToGrid w:val="0"/>
          <w:color w:val="auto"/>
          <w:kern w:val="0"/>
          <w:sz w:val="24"/>
          <w:highlight w:val="none"/>
          <w:lang w:bidi="en-US"/>
        </w:rPr>
        <w:t>凯赛（乌苏）生物技术有限公司（以下简称“技术公司”）建设有5万吨</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生产线。</w:t>
      </w:r>
    </w:p>
    <w:p w14:paraId="730EB9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snapToGrid w:val="0"/>
          <w:color w:val="auto"/>
          <w:kern w:val="0"/>
          <w:sz w:val="24"/>
          <w:highlight w:val="none"/>
          <w:lang w:bidi="en-US"/>
        </w:rPr>
      </w:pPr>
      <w:r>
        <w:rPr>
          <w:rFonts w:hint="eastAsia"/>
          <w:snapToGrid w:val="0"/>
          <w:color w:val="auto"/>
          <w:kern w:val="0"/>
          <w:sz w:val="24"/>
          <w:highlight w:val="none"/>
          <w:lang w:bidi="en-US"/>
        </w:rPr>
        <w:t>随着</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的下游产品高性能尼龙、工程塑料、高档热熔胶、高级润滑油、高级涂料等多领域的开发、利用，未来5-10年内国际需求量将持续扩大。鉴于发酵法生产</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工艺技术复杂度高、核心装置投入大，目前</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产能尚不能满足日益增长的市场需求。因此，材料公司计划在现有厂区内投资建设</w:t>
      </w:r>
      <w:r>
        <w:rPr>
          <w:rFonts w:hint="eastAsia"/>
          <w:color w:val="auto"/>
          <w:kern w:val="0"/>
          <w:sz w:val="24"/>
          <w:highlight w:val="none"/>
        </w:rPr>
        <w:t>凯赛（乌苏）生物材料有限公司生物法年产40000吨二元酸项目</w:t>
      </w:r>
      <w:r>
        <w:rPr>
          <w:rFonts w:hint="eastAsia"/>
          <w:snapToGrid w:val="0"/>
          <w:color w:val="auto"/>
          <w:kern w:val="0"/>
          <w:sz w:val="24"/>
          <w:highlight w:val="none"/>
          <w:lang w:bidi="en-US"/>
        </w:rPr>
        <w:t>（以下简称“本项目”），为以后材料公司进一步发展</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下游产品打下了坚实的基础，提升企业产品技术竞争力和市场竞争力。</w:t>
      </w:r>
    </w:p>
    <w:p w14:paraId="320AA0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eastAsia="宋体"/>
          <w:snapToGrid w:val="0"/>
          <w:color w:val="auto"/>
          <w:kern w:val="0"/>
          <w:sz w:val="24"/>
          <w:highlight w:val="none"/>
          <w:lang w:val="en-US" w:eastAsia="zh-CN" w:bidi="en-US"/>
        </w:rPr>
      </w:pPr>
      <w:r>
        <w:rPr>
          <w:rFonts w:hint="eastAsia"/>
          <w:snapToGrid w:val="0"/>
          <w:color w:val="auto"/>
          <w:kern w:val="0"/>
          <w:sz w:val="24"/>
          <w:highlight w:val="none"/>
          <w:lang w:val="en-US" w:eastAsia="zh-CN" w:bidi="en-US"/>
        </w:rPr>
        <w:t>本项目于2026年7月开工建设，现已建设部分发酵车间料罐及部分基础设施框架。塔城地区生态环境局乌苏市分局于2026年9月3日下发《塔城地区生态环境局乌苏市分局责令改正违法行为决定书》（塔地环乌责改</w:t>
      </w:r>
      <w:r>
        <w:rPr>
          <w:rFonts w:hint="eastAsia"/>
          <w:snapToGrid w:val="0"/>
          <w:color w:val="auto"/>
          <w:kern w:val="0"/>
          <w:sz w:val="24"/>
          <w:highlight w:val="none"/>
        </w:rPr>
        <w:t>〔</w:t>
      </w:r>
      <w:r>
        <w:rPr>
          <w:rFonts w:hint="eastAsia"/>
          <w:snapToGrid w:val="0"/>
          <w:color w:val="auto"/>
          <w:kern w:val="0"/>
          <w:sz w:val="24"/>
          <w:highlight w:val="none"/>
          <w:lang w:val="en-US" w:eastAsia="zh-CN"/>
        </w:rPr>
        <w:t>2026</w:t>
      </w:r>
      <w:r>
        <w:rPr>
          <w:rFonts w:hint="eastAsia"/>
          <w:snapToGrid w:val="0"/>
          <w:color w:val="auto"/>
          <w:kern w:val="0"/>
          <w:sz w:val="24"/>
          <w:highlight w:val="none"/>
        </w:rPr>
        <w:t>〕</w:t>
      </w:r>
      <w:r>
        <w:rPr>
          <w:rFonts w:hint="eastAsia"/>
          <w:snapToGrid w:val="0"/>
          <w:color w:val="auto"/>
          <w:kern w:val="0"/>
          <w:sz w:val="24"/>
          <w:highlight w:val="none"/>
          <w:lang w:val="en-US" w:eastAsia="zh-CN" w:bidi="en-US"/>
        </w:rPr>
        <w:t>20号），责令</w:t>
      </w:r>
      <w:r>
        <w:rPr>
          <w:rFonts w:hint="eastAsia"/>
          <w:color w:val="auto"/>
          <w:kern w:val="0"/>
          <w:sz w:val="24"/>
          <w:highlight w:val="none"/>
        </w:rPr>
        <w:t>凯赛（乌苏）生物材料有限公司</w:t>
      </w:r>
      <w:r>
        <w:rPr>
          <w:rFonts w:hint="eastAsia"/>
          <w:snapToGrid w:val="0"/>
          <w:color w:val="auto"/>
          <w:kern w:val="0"/>
          <w:sz w:val="24"/>
          <w:highlight w:val="none"/>
          <w:lang w:val="en-US" w:eastAsia="zh-CN" w:bidi="en-US"/>
        </w:rPr>
        <w:t>立即停止建设项目环境违法行为，待取得相关行政机关环评审批后方可开工建设。</w:t>
      </w:r>
    </w:p>
    <w:p w14:paraId="4FA080F4">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default" w:ascii="Times New Roman" w:hAnsi="Times New Roman" w:cs="Times New Roman"/>
          <w:b w:val="0"/>
          <w:bCs w:val="0"/>
          <w:snapToGrid w:val="0"/>
          <w:color w:val="auto"/>
          <w:kern w:val="0"/>
          <w:sz w:val="28"/>
          <w:szCs w:val="28"/>
          <w:highlight w:val="none"/>
          <w:shd w:val="clear" w:color="auto" w:fill="auto"/>
        </w:rPr>
      </w:pPr>
      <w:bookmarkStart w:id="18" w:name="_Toc15353"/>
      <w:bookmarkStart w:id="19" w:name="_Toc27763"/>
      <w:r>
        <w:rPr>
          <w:rFonts w:hint="eastAsia" w:ascii="Times New Roman" w:hAnsi="Times New Roman"/>
          <w:b w:val="0"/>
          <w:bCs w:val="0"/>
          <w:snapToGrid w:val="0"/>
          <w:color w:val="auto"/>
          <w:kern w:val="0"/>
          <w:sz w:val="28"/>
          <w:szCs w:val="28"/>
          <w:highlight w:val="none"/>
          <w:shd w:val="clear" w:color="auto" w:fill="auto"/>
        </w:rPr>
        <w:t>1.2</w:t>
      </w:r>
      <w:bookmarkEnd w:id="18"/>
      <w:r>
        <w:rPr>
          <w:rFonts w:hint="default" w:ascii="Times New Roman" w:hAnsi="Times New Roman" w:cs="Times New Roman"/>
          <w:b w:val="0"/>
          <w:bCs w:val="0"/>
          <w:snapToGrid w:val="0"/>
          <w:color w:val="auto"/>
          <w:kern w:val="0"/>
          <w:sz w:val="28"/>
          <w:szCs w:val="28"/>
          <w:highlight w:val="none"/>
          <w:shd w:val="clear" w:color="auto" w:fill="auto"/>
        </w:rPr>
        <w:t>建设项目特点</w:t>
      </w:r>
      <w:bookmarkEnd w:id="19"/>
    </w:p>
    <w:p w14:paraId="3E9B10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ar"/>
        </w:rPr>
      </w:pPr>
      <w:r>
        <w:rPr>
          <w:snapToGrid w:val="0"/>
          <w:color w:val="auto"/>
          <w:kern w:val="0"/>
          <w:sz w:val="24"/>
          <w:highlight w:val="none"/>
          <w:lang w:bidi="ar"/>
        </w:rPr>
        <w:t>（1）</w:t>
      </w:r>
      <w:r>
        <w:rPr>
          <w:rFonts w:hint="eastAsia"/>
          <w:snapToGrid w:val="0"/>
          <w:color w:val="auto"/>
          <w:kern w:val="0"/>
          <w:sz w:val="24"/>
          <w:highlight w:val="none"/>
          <w:lang w:bidi="ar"/>
        </w:rPr>
        <w:t>本</w:t>
      </w:r>
      <w:r>
        <w:rPr>
          <w:snapToGrid w:val="0"/>
          <w:color w:val="auto"/>
          <w:kern w:val="0"/>
          <w:sz w:val="24"/>
          <w:highlight w:val="none"/>
          <w:lang w:bidi="ar"/>
        </w:rPr>
        <w:t>项目</w:t>
      </w:r>
      <w:r>
        <w:rPr>
          <w:rFonts w:hint="eastAsia"/>
          <w:snapToGrid w:val="0"/>
          <w:color w:val="auto"/>
          <w:kern w:val="0"/>
          <w:sz w:val="24"/>
          <w:highlight w:val="none"/>
          <w:lang w:bidi="ar"/>
        </w:rPr>
        <w:t>位于乌苏市化工产业集中区，该</w:t>
      </w:r>
      <w:r>
        <w:rPr>
          <w:snapToGrid w:val="0"/>
          <w:color w:val="auto"/>
          <w:kern w:val="0"/>
          <w:sz w:val="24"/>
          <w:highlight w:val="none"/>
          <w:lang w:bidi="ar"/>
        </w:rPr>
        <w:t>园区基础设施较完备，园区能够保障本项目水、电等供应</w:t>
      </w:r>
      <w:r>
        <w:rPr>
          <w:rFonts w:hint="eastAsia"/>
          <w:snapToGrid w:val="0"/>
          <w:color w:val="auto"/>
          <w:kern w:val="0"/>
          <w:sz w:val="24"/>
          <w:highlight w:val="none"/>
          <w:lang w:eastAsia="zh-CN" w:bidi="ar"/>
        </w:rPr>
        <w:t>。</w:t>
      </w:r>
      <w:r>
        <w:rPr>
          <w:rFonts w:hint="eastAsia"/>
          <w:snapToGrid w:val="0"/>
          <w:color w:val="auto"/>
          <w:kern w:val="0"/>
          <w:sz w:val="24"/>
          <w:highlight w:val="none"/>
          <w:lang w:val="en-US" w:eastAsia="zh-CN" w:bidi="ar"/>
        </w:rPr>
        <w:t>本项目</w:t>
      </w:r>
      <w:r>
        <w:rPr>
          <w:rFonts w:hint="eastAsia" w:ascii="Times New Roman" w:hAnsi="Times New Roman" w:eastAsia="宋体" w:cs="Times New Roman"/>
          <w:snapToGrid w:val="0"/>
          <w:color w:val="auto"/>
          <w:kern w:val="0"/>
          <w:sz w:val="24"/>
          <w:szCs w:val="24"/>
          <w:highlight w:val="none"/>
        </w:rPr>
        <w:t>发酵清洗废水</w:t>
      </w:r>
      <w:r>
        <w:rPr>
          <w:rFonts w:hint="eastAsia" w:ascii="Times New Roman" w:hAnsi="Times New Roman" w:eastAsia="宋体" w:cs="Times New Roman"/>
          <w:color w:val="auto"/>
          <w:kern w:val="0"/>
          <w:sz w:val="24"/>
          <w:szCs w:val="24"/>
          <w:highlight w:val="none"/>
        </w:rPr>
        <w:t>、分离废水经调节池调节</w:t>
      </w:r>
      <w:r>
        <w:rPr>
          <w:rFonts w:hint="eastAsia" w:ascii="Times New Roman" w:hAnsi="Times New Roman" w:eastAsia="宋体" w:cs="Times New Roman"/>
          <w:color w:val="auto"/>
          <w:kern w:val="0"/>
          <w:sz w:val="24"/>
          <w:szCs w:val="24"/>
          <w:highlight w:val="none"/>
          <w:lang w:val="en-US" w:eastAsia="zh-CN"/>
        </w:rPr>
        <w:t>后排入</w:t>
      </w:r>
      <w:r>
        <w:rPr>
          <w:rFonts w:hint="eastAsia" w:ascii="Times New Roman" w:hAnsi="Times New Roman" w:eastAsia="宋体" w:cs="Times New Roman"/>
          <w:color w:val="auto"/>
          <w:kern w:val="0"/>
          <w:sz w:val="24"/>
          <w:szCs w:val="24"/>
          <w:highlight w:val="none"/>
        </w:rPr>
        <w:t>西区污水处理厂</w:t>
      </w:r>
      <w:r>
        <w:rPr>
          <w:rFonts w:hint="eastAsia" w:ascii="Times New Roman" w:hAnsi="Times New Roman" w:eastAsia="宋体" w:cs="Times New Roman"/>
          <w:color w:val="auto"/>
          <w:kern w:val="0"/>
          <w:sz w:val="24"/>
          <w:szCs w:val="24"/>
          <w:highlight w:val="none"/>
          <w:lang w:val="en-US" w:eastAsia="zh-CN"/>
        </w:rPr>
        <w:t>二</w:t>
      </w:r>
      <w:r>
        <w:rPr>
          <w:rFonts w:hint="eastAsia" w:ascii="Times New Roman" w:hAnsi="Times New Roman" w:eastAsia="宋体" w:cs="Times New Roman"/>
          <w:color w:val="auto"/>
          <w:kern w:val="0"/>
          <w:sz w:val="24"/>
          <w:szCs w:val="24"/>
          <w:highlight w:val="none"/>
        </w:rPr>
        <w:t>期工程</w:t>
      </w:r>
      <w:r>
        <w:rPr>
          <w:rFonts w:hint="eastAsia" w:ascii="Times New Roman" w:hAnsi="Times New Roman" w:eastAsia="宋体" w:cs="Times New Roman"/>
          <w:color w:val="auto"/>
          <w:kern w:val="0"/>
          <w:sz w:val="24"/>
          <w:szCs w:val="24"/>
          <w:highlight w:val="none"/>
          <w:lang w:val="en-US" w:eastAsia="zh-CN"/>
        </w:rPr>
        <w:t>处理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循环水排污依托</w:t>
      </w:r>
      <w:r>
        <w:rPr>
          <w:rFonts w:hint="eastAsia" w:ascii="Times New Roman" w:hAnsi="Times New Roman" w:eastAsia="宋体" w:cs="Times New Roman"/>
          <w:snapToGrid w:val="0"/>
          <w:color w:val="auto"/>
          <w:kern w:val="0"/>
          <w:sz w:val="24"/>
          <w:szCs w:val="24"/>
          <w:highlight w:val="none"/>
        </w:rPr>
        <w:t>现有污水处理站中水段</w:t>
      </w:r>
      <w:r>
        <w:rPr>
          <w:rFonts w:hint="eastAsia" w:ascii="Times New Roman" w:hAnsi="Times New Roman" w:eastAsia="宋体" w:cs="Times New Roman"/>
          <w:snapToGrid w:val="0"/>
          <w:color w:val="auto"/>
          <w:kern w:val="0"/>
          <w:sz w:val="24"/>
          <w:szCs w:val="24"/>
          <w:highlight w:val="none"/>
          <w:lang w:val="en-US" w:eastAsia="zh-CN"/>
        </w:rPr>
        <w:t>处理；</w:t>
      </w:r>
      <w:r>
        <w:rPr>
          <w:rFonts w:hint="eastAsia" w:ascii="Times New Roman" w:hAnsi="Times New Roman" w:eastAsia="宋体" w:cs="Times New Roman"/>
          <w:color w:val="auto"/>
          <w:kern w:val="0"/>
          <w:sz w:val="24"/>
          <w:szCs w:val="24"/>
          <w:highlight w:val="none"/>
        </w:rPr>
        <w:t>生活污水</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水洗塔定排和碱洗塔定排</w:t>
      </w:r>
      <w:r>
        <w:rPr>
          <w:rFonts w:hint="eastAsia" w:ascii="Times New Roman" w:hAnsi="Times New Roman" w:eastAsia="宋体" w:cs="Times New Roman"/>
          <w:color w:val="auto"/>
          <w:kern w:val="0"/>
          <w:sz w:val="24"/>
          <w:szCs w:val="24"/>
          <w:highlight w:val="none"/>
          <w:lang w:val="en-US" w:eastAsia="zh-CN"/>
        </w:rPr>
        <w:t>依托现有污水处理站生化段处理后</w:t>
      </w:r>
      <w:r>
        <w:rPr>
          <w:rFonts w:hint="eastAsia" w:ascii="Times New Roman" w:hAnsi="Times New Roman" w:eastAsia="宋体" w:cs="Times New Roman"/>
          <w:color w:val="auto"/>
          <w:kern w:val="0"/>
          <w:sz w:val="24"/>
          <w:szCs w:val="24"/>
          <w:highlight w:val="none"/>
        </w:rPr>
        <w:t>排入西区</w:t>
      </w:r>
      <w:r>
        <w:rPr>
          <w:rFonts w:hint="eastAsia" w:ascii="Times New Roman" w:hAnsi="Times New Roman" w:eastAsia="宋体" w:cs="Times New Roman"/>
          <w:snapToGrid w:val="0"/>
          <w:color w:val="auto"/>
          <w:kern w:val="0"/>
          <w:sz w:val="24"/>
          <w:szCs w:val="24"/>
          <w:highlight w:val="none"/>
        </w:rPr>
        <w:t>污水处理厂</w:t>
      </w:r>
      <w:r>
        <w:rPr>
          <w:rFonts w:hint="eastAsia" w:ascii="Times New Roman" w:hAnsi="Times New Roman" w:eastAsia="宋体" w:cs="Times New Roman"/>
          <w:snapToGrid w:val="0"/>
          <w:color w:val="auto"/>
          <w:kern w:val="0"/>
          <w:sz w:val="24"/>
          <w:szCs w:val="24"/>
          <w:highlight w:val="none"/>
          <w:lang w:val="en-US" w:eastAsia="zh-CN"/>
        </w:rPr>
        <w:t>一</w:t>
      </w:r>
      <w:r>
        <w:rPr>
          <w:rFonts w:hint="eastAsia" w:ascii="Times New Roman" w:hAnsi="Times New Roman" w:eastAsia="宋体" w:cs="Times New Roman"/>
          <w:snapToGrid w:val="0"/>
          <w:color w:val="auto"/>
          <w:kern w:val="0"/>
          <w:sz w:val="24"/>
          <w:szCs w:val="24"/>
          <w:highlight w:val="none"/>
        </w:rPr>
        <w:t>期</w:t>
      </w:r>
      <w:r>
        <w:rPr>
          <w:rFonts w:hint="eastAsia" w:ascii="Times New Roman" w:hAnsi="Times New Roman" w:eastAsia="宋体" w:cs="Times New Roman"/>
          <w:snapToGrid w:val="0"/>
          <w:color w:val="auto"/>
          <w:kern w:val="0"/>
          <w:sz w:val="24"/>
          <w:szCs w:val="24"/>
          <w:highlight w:val="none"/>
          <w:lang w:val="en-US" w:eastAsia="zh-CN"/>
        </w:rPr>
        <w:t>处理</w:t>
      </w:r>
      <w:r>
        <w:rPr>
          <w:snapToGrid w:val="0"/>
          <w:color w:val="auto"/>
          <w:kern w:val="0"/>
          <w:sz w:val="24"/>
          <w:highlight w:val="none"/>
          <w:lang w:bidi="ar"/>
        </w:rPr>
        <w:t>。</w:t>
      </w:r>
    </w:p>
    <w:p w14:paraId="3A60DE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ar"/>
        </w:rPr>
      </w:pPr>
      <w:r>
        <w:rPr>
          <w:snapToGrid w:val="0"/>
          <w:color w:val="auto"/>
          <w:kern w:val="0"/>
          <w:sz w:val="24"/>
          <w:highlight w:val="none"/>
          <w:lang w:bidi="ar"/>
        </w:rPr>
        <w:t>（2）</w:t>
      </w:r>
      <w:r>
        <w:rPr>
          <w:rFonts w:hint="eastAsia"/>
          <w:snapToGrid w:val="0"/>
          <w:color w:val="auto"/>
          <w:kern w:val="0"/>
          <w:sz w:val="24"/>
          <w:highlight w:val="none"/>
          <w:lang w:bidi="ar"/>
        </w:rPr>
        <w:t>本</w:t>
      </w:r>
      <w:r>
        <w:rPr>
          <w:snapToGrid w:val="0"/>
          <w:color w:val="auto"/>
          <w:kern w:val="0"/>
          <w:sz w:val="24"/>
          <w:highlight w:val="none"/>
          <w:lang w:bidi="ar"/>
        </w:rPr>
        <w:t>项目采用生物发酵法生产</w:t>
      </w:r>
      <w:r>
        <w:rPr>
          <w:rFonts w:hint="eastAsia"/>
          <w:snapToGrid w:val="0"/>
          <w:color w:val="auto"/>
          <w:kern w:val="0"/>
          <w:sz w:val="24"/>
          <w:highlight w:val="none"/>
          <w:lang w:eastAsia="zh-CN" w:bidi="ar"/>
        </w:rPr>
        <w:t>二元酸</w:t>
      </w:r>
      <w:r>
        <w:rPr>
          <w:snapToGrid w:val="0"/>
          <w:color w:val="auto"/>
          <w:kern w:val="0"/>
          <w:sz w:val="24"/>
          <w:highlight w:val="none"/>
          <w:lang w:bidi="ar"/>
        </w:rPr>
        <w:t>产品，生物发酵法较化学合成法具有生产条件温和、产品质量稳定、污染物产生较少、原材料成本低且易获得等优点。产品</w:t>
      </w:r>
      <w:r>
        <w:rPr>
          <w:rFonts w:hint="eastAsia"/>
          <w:snapToGrid w:val="0"/>
          <w:color w:val="auto"/>
          <w:kern w:val="0"/>
          <w:sz w:val="24"/>
          <w:highlight w:val="none"/>
          <w:lang w:eastAsia="zh-CN" w:bidi="ar"/>
        </w:rPr>
        <w:t>二元酸</w:t>
      </w:r>
      <w:r>
        <w:rPr>
          <w:snapToGrid w:val="0"/>
          <w:color w:val="auto"/>
          <w:kern w:val="0"/>
          <w:sz w:val="24"/>
          <w:highlight w:val="none"/>
          <w:lang w:bidi="ar"/>
        </w:rPr>
        <w:t>可用于制造生物基长链聚酰胺纤维以及高级润滑油、增塑剂、防锈剂等。</w:t>
      </w:r>
    </w:p>
    <w:p w14:paraId="1C8C126D">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auto"/>
        <w:rPr>
          <w:rFonts w:ascii="Times New Roman" w:hAnsi="Times New Roman"/>
          <w:b w:val="0"/>
          <w:bCs w:val="0"/>
          <w:snapToGrid w:val="0"/>
          <w:color w:val="auto"/>
          <w:kern w:val="0"/>
          <w:szCs w:val="28"/>
          <w:highlight w:val="none"/>
        </w:rPr>
      </w:pPr>
      <w:bookmarkStart w:id="20" w:name="_Toc19115"/>
      <w:bookmarkStart w:id="21" w:name="_Toc9048"/>
      <w:r>
        <w:rPr>
          <w:rFonts w:hint="eastAsia" w:ascii="Times New Roman" w:hAnsi="Times New Roman"/>
          <w:b w:val="0"/>
          <w:bCs w:val="0"/>
          <w:snapToGrid w:val="0"/>
          <w:color w:val="auto"/>
          <w:kern w:val="0"/>
          <w:szCs w:val="28"/>
          <w:highlight w:val="none"/>
        </w:rPr>
        <w:t>1.3</w:t>
      </w:r>
      <w:r>
        <w:rPr>
          <w:rFonts w:hint="eastAsia" w:ascii="Times New Roman" w:hAnsi="Times New Roman"/>
          <w:b w:val="0"/>
          <w:bCs w:val="0"/>
          <w:snapToGrid w:val="0"/>
          <w:color w:val="auto"/>
          <w:kern w:val="0"/>
          <w:szCs w:val="28"/>
          <w:highlight w:val="none"/>
          <w:lang w:val="en-US" w:eastAsia="zh-CN"/>
        </w:rPr>
        <w:t>生态</w:t>
      </w:r>
      <w:r>
        <w:rPr>
          <w:rFonts w:hint="eastAsia" w:ascii="Times New Roman" w:hAnsi="Times New Roman"/>
          <w:b w:val="0"/>
          <w:bCs w:val="0"/>
          <w:snapToGrid w:val="0"/>
          <w:color w:val="auto"/>
          <w:kern w:val="0"/>
          <w:szCs w:val="28"/>
          <w:highlight w:val="none"/>
        </w:rPr>
        <w:t>环境影响评价的工作过程</w:t>
      </w:r>
      <w:bookmarkEnd w:id="20"/>
      <w:bookmarkEnd w:id="21"/>
    </w:p>
    <w:p w14:paraId="769427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rPr>
          <w:snapToGrid w:val="0"/>
          <w:color w:val="auto"/>
          <w:kern w:val="0"/>
          <w:sz w:val="24"/>
          <w:highlight w:val="none"/>
        </w:rPr>
      </w:pPr>
      <w:r>
        <w:rPr>
          <w:rFonts w:hint="eastAsia"/>
          <w:snapToGrid w:val="0"/>
          <w:color w:val="auto"/>
          <w:kern w:val="0"/>
          <w:sz w:val="24"/>
          <w:highlight w:val="none"/>
        </w:rPr>
        <w:t>依据《中华人民共和国生态环境法典》及《建设项目环境保护管理条例》的规定，本项目应进行</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环境影响评价。根据《建设项目环境影响评价分类管理名录（2021年版）》，本项目属于“二十五、化学纤维制造业-51生物基材料制造-生物基化学纤维制造（单纯纺丝的除外）”</w:t>
      </w:r>
      <w:r>
        <w:rPr>
          <w:rFonts w:hint="eastAsia"/>
          <w:snapToGrid w:val="0"/>
          <w:color w:val="auto"/>
          <w:kern w:val="0"/>
          <w:sz w:val="24"/>
          <w:highlight w:val="none"/>
          <w:lang w:val="en-US" w:eastAsia="zh-CN"/>
        </w:rPr>
        <w:t>和</w:t>
      </w:r>
      <w:r>
        <w:rPr>
          <w:rFonts w:hint="eastAsia"/>
          <w:snapToGrid w:val="0"/>
          <w:color w:val="auto"/>
          <w:kern w:val="0"/>
          <w:sz w:val="24"/>
          <w:highlight w:val="none"/>
        </w:rPr>
        <w:t>“</w:t>
      </w:r>
      <w:r>
        <w:rPr>
          <w:rFonts w:hint="eastAsia"/>
          <w:snapToGrid w:val="0"/>
          <w:color w:val="auto"/>
          <w:kern w:val="0"/>
          <w:sz w:val="24"/>
          <w:highlight w:val="none"/>
          <w:lang w:val="en-US" w:eastAsia="zh-CN"/>
        </w:rPr>
        <w:t>二十三、化学原料和化学制品制造业26-44基础化学原料制造</w:t>
      </w:r>
      <w:r>
        <w:rPr>
          <w:rFonts w:hint="eastAsia"/>
          <w:snapToGrid w:val="0"/>
          <w:color w:val="auto"/>
          <w:kern w:val="0"/>
          <w:sz w:val="24"/>
          <w:highlight w:val="none"/>
        </w:rPr>
        <w:t>”，需要编制</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环境影响报告书。2026年5月，</w:t>
      </w:r>
      <w:r>
        <w:rPr>
          <w:rFonts w:hint="eastAsia"/>
          <w:snapToGrid w:val="0"/>
          <w:color w:val="auto"/>
          <w:kern w:val="0"/>
          <w:sz w:val="24"/>
          <w:highlight w:val="none"/>
          <w:lang w:bidi="en-US"/>
        </w:rPr>
        <w:t>凯赛（乌苏）生物材料有限公司</w:t>
      </w:r>
      <w:r>
        <w:rPr>
          <w:rFonts w:hint="eastAsia"/>
          <w:snapToGrid w:val="0"/>
          <w:color w:val="auto"/>
          <w:kern w:val="0"/>
          <w:sz w:val="24"/>
          <w:highlight w:val="none"/>
        </w:rPr>
        <w:t>委托新疆众智安环工程咨询服务有限公司开展本项目</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环境影响评价工作。评价单位接受委托后，通过现场踏勘、收集资料</w:t>
      </w:r>
      <w:r>
        <w:rPr>
          <w:rFonts w:hint="eastAsia"/>
          <w:snapToGrid w:val="0"/>
          <w:color w:val="auto"/>
          <w:kern w:val="0"/>
          <w:sz w:val="24"/>
          <w:highlight w:val="none"/>
          <w:lang w:eastAsia="zh-CN"/>
        </w:rPr>
        <w:t>，</w:t>
      </w:r>
      <w:r>
        <w:rPr>
          <w:rFonts w:hint="eastAsia"/>
          <w:snapToGrid w:val="0"/>
          <w:color w:val="auto"/>
          <w:kern w:val="0"/>
          <w:sz w:val="24"/>
          <w:highlight w:val="none"/>
        </w:rPr>
        <w:t>依据环境影响评价技术导则、规范及环境保护行政管理部门的要求开展相关工作。评价工作程序见图1.3-1。</w:t>
      </w:r>
    </w:p>
    <w:p w14:paraId="7FEB15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rPr>
          <w:snapToGrid w:val="0"/>
          <w:color w:val="auto"/>
          <w:kern w:val="0"/>
          <w:sz w:val="24"/>
          <w:highlight w:val="none"/>
        </w:rPr>
      </w:pPr>
    </w:p>
    <w:p w14:paraId="2BAC5000">
      <w:pPr>
        <w:keepNext w:val="0"/>
        <w:keepLines w:val="0"/>
        <w:pageBreakBefore w:val="0"/>
        <w:widowControl w:val="0"/>
        <w:kinsoku/>
        <w:wordWrap/>
        <w:overflowPunct/>
        <w:topLinePunct w:val="0"/>
        <w:autoSpaceDE/>
        <w:autoSpaceDN/>
        <w:bidi w:val="0"/>
        <w:adjustRightInd w:val="0"/>
        <w:snapToGrid w:val="0"/>
        <w:spacing w:line="360" w:lineRule="auto"/>
        <w:jc w:val="center"/>
        <w:rPr>
          <w:rFonts w:ascii="宋体" w:hAnsi="宋体"/>
          <w:color w:val="auto"/>
          <w:kern w:val="0"/>
          <w:sz w:val="24"/>
          <w:highlight w:val="none"/>
        </w:rPr>
      </w:pPr>
      <w:r>
        <w:rPr>
          <w:rFonts w:ascii="宋体" w:hAnsi="宋体"/>
          <w:color w:val="auto"/>
          <w:kern w:val="0"/>
          <w:sz w:val="24"/>
          <w:highlight w:val="none"/>
        </w:rPr>
        <w:drawing>
          <wp:inline distT="0" distB="0" distL="114300" distR="114300">
            <wp:extent cx="5229225" cy="6061710"/>
            <wp:effectExtent l="0" t="0" r="9525" b="15240"/>
            <wp:docPr id="28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1"/>
                    <pic:cNvPicPr>
                      <a:picLocks noChangeAspect="1"/>
                    </pic:cNvPicPr>
                  </pic:nvPicPr>
                  <pic:blipFill>
                    <a:blip r:embed="rId18"/>
                    <a:srcRect l="31874" t="16858" r="31175" b="19475"/>
                    <a:stretch>
                      <a:fillRect/>
                    </a:stretch>
                  </pic:blipFill>
                  <pic:spPr>
                    <a:xfrm>
                      <a:off x="0" y="0"/>
                      <a:ext cx="5229225" cy="6061710"/>
                    </a:xfrm>
                    <a:prstGeom prst="rect">
                      <a:avLst/>
                    </a:prstGeom>
                    <a:noFill/>
                    <a:ln>
                      <a:noFill/>
                    </a:ln>
                  </pic:spPr>
                </pic:pic>
              </a:graphicData>
            </a:graphic>
          </wp:inline>
        </w:drawing>
      </w:r>
    </w:p>
    <w:p w14:paraId="369566C0">
      <w:pPr>
        <w:keepNext w:val="0"/>
        <w:keepLines w:val="0"/>
        <w:pageBreakBefore w:val="0"/>
        <w:widowControl w:val="0"/>
        <w:kinsoku/>
        <w:wordWrap/>
        <w:overflowPunct/>
        <w:topLinePunct w:val="0"/>
        <w:autoSpaceDE/>
        <w:autoSpaceDN/>
        <w:bidi w:val="0"/>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 xml:space="preserve">图1.3-1 </w:t>
      </w:r>
      <w:r>
        <w:rPr>
          <w:rFonts w:hint="eastAsia" w:eastAsia="黑体"/>
          <w:snapToGrid w:val="0"/>
          <w:color w:val="auto"/>
          <w:kern w:val="0"/>
          <w:szCs w:val="21"/>
          <w:highlight w:val="none"/>
          <w:lang w:val="en-US" w:eastAsia="zh-CN"/>
        </w:rPr>
        <w:t>生态</w:t>
      </w:r>
      <w:r>
        <w:rPr>
          <w:rFonts w:hint="eastAsia" w:eastAsia="黑体"/>
          <w:snapToGrid w:val="0"/>
          <w:color w:val="auto"/>
          <w:kern w:val="0"/>
          <w:szCs w:val="21"/>
          <w:highlight w:val="none"/>
        </w:rPr>
        <w:t>环境影响评价工作程序图</w:t>
      </w:r>
    </w:p>
    <w:p w14:paraId="00DF63FE">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22" w:name="_Toc20099"/>
      <w:bookmarkStart w:id="23" w:name="_Toc28582"/>
      <w:r>
        <w:rPr>
          <w:rFonts w:hint="eastAsia" w:ascii="Times New Roman" w:hAnsi="Times New Roman" w:cs="Times New Roman"/>
          <w:b w:val="0"/>
          <w:bCs w:val="0"/>
          <w:snapToGrid w:val="0"/>
          <w:color w:val="auto"/>
          <w:kern w:val="0"/>
          <w:sz w:val="28"/>
          <w:szCs w:val="28"/>
          <w:highlight w:val="none"/>
        </w:rPr>
        <w:t>1.4分析判定相关情况</w:t>
      </w:r>
      <w:bookmarkEnd w:id="22"/>
      <w:bookmarkEnd w:id="23"/>
    </w:p>
    <w:p w14:paraId="38097F7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jc w:val="both"/>
        <w:textAlignment w:val="baseline"/>
        <w:rPr>
          <w:rFonts w:ascii="Times New Roman"/>
          <w:snapToGrid w:val="0"/>
          <w:color w:val="auto"/>
          <w:spacing w:val="0"/>
          <w:w w:val="100"/>
          <w:kern w:val="0"/>
          <w:sz w:val="24"/>
          <w:szCs w:val="24"/>
          <w:highlight w:val="none"/>
        </w:rPr>
      </w:pPr>
      <w:r>
        <w:rPr>
          <w:rFonts w:hint="eastAsia" w:ascii="Times New Roman"/>
          <w:snapToGrid w:val="0"/>
          <w:color w:val="auto"/>
          <w:spacing w:val="0"/>
          <w:w w:val="100"/>
          <w:kern w:val="0"/>
          <w:sz w:val="24"/>
          <w:szCs w:val="24"/>
          <w:highlight w:val="none"/>
        </w:rPr>
        <w:t>1.4.1</w:t>
      </w:r>
      <w:r>
        <w:rPr>
          <w:rFonts w:hint="eastAsia" w:ascii="Times New Roman"/>
          <w:snapToGrid w:val="0"/>
          <w:color w:val="auto"/>
          <w:spacing w:val="0"/>
          <w:w w:val="100"/>
          <w:kern w:val="0"/>
          <w:sz w:val="24"/>
          <w:szCs w:val="24"/>
          <w:highlight w:val="none"/>
          <w:lang w:val="en-US" w:eastAsia="zh-CN"/>
        </w:rPr>
        <w:t>产业</w:t>
      </w:r>
      <w:r>
        <w:rPr>
          <w:rFonts w:hint="eastAsia" w:ascii="Times New Roman"/>
          <w:snapToGrid w:val="0"/>
          <w:color w:val="auto"/>
          <w:spacing w:val="0"/>
          <w:w w:val="100"/>
          <w:kern w:val="0"/>
          <w:sz w:val="24"/>
          <w:szCs w:val="24"/>
          <w:highlight w:val="none"/>
        </w:rPr>
        <w:t>政策符合性分析</w:t>
      </w:r>
    </w:p>
    <w:p w14:paraId="555B084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default" w:ascii="宋体" w:hAnsi="宋体" w:eastAsia="宋体" w:cs="宋体"/>
          <w:b/>
          <w:bCs w:val="0"/>
          <w:snapToGrid w:val="0"/>
          <w:color w:val="auto"/>
          <w:spacing w:val="0"/>
          <w:w w:val="100"/>
          <w:kern w:val="0"/>
          <w:sz w:val="24"/>
          <w:szCs w:val="24"/>
          <w:highlight w:val="none"/>
          <w:lang w:val="en-US" w:eastAsia="zh-CN"/>
        </w:rPr>
      </w:pPr>
      <w:r>
        <w:rPr>
          <w:rFonts w:hint="default" w:ascii="宋体" w:hAnsi="宋体" w:eastAsia="宋体" w:cs="宋体"/>
          <w:b/>
          <w:bCs w:val="0"/>
          <w:snapToGrid w:val="0"/>
          <w:color w:val="auto"/>
          <w:spacing w:val="0"/>
          <w:w w:val="100"/>
          <w:kern w:val="0"/>
          <w:sz w:val="24"/>
          <w:szCs w:val="24"/>
          <w:highlight w:val="none"/>
          <w:lang w:val="en-US" w:eastAsia="zh-CN"/>
        </w:rPr>
        <w:t>1.4.</w:t>
      </w:r>
      <w:r>
        <w:rPr>
          <w:rFonts w:hint="eastAsia" w:ascii="宋体" w:hAnsi="宋体" w:eastAsia="宋体" w:cs="宋体"/>
          <w:b/>
          <w:bCs w:val="0"/>
          <w:snapToGrid w:val="0"/>
          <w:color w:val="auto"/>
          <w:spacing w:val="0"/>
          <w:w w:val="100"/>
          <w:kern w:val="0"/>
          <w:sz w:val="24"/>
          <w:szCs w:val="24"/>
          <w:highlight w:val="none"/>
          <w:lang w:val="en-US" w:eastAsia="zh-CN"/>
        </w:rPr>
        <w:t>1</w:t>
      </w:r>
      <w:r>
        <w:rPr>
          <w:rFonts w:hint="default" w:ascii="宋体" w:hAnsi="宋体" w:eastAsia="宋体" w:cs="宋体"/>
          <w:b/>
          <w:bCs w:val="0"/>
          <w:snapToGrid w:val="0"/>
          <w:color w:val="auto"/>
          <w:spacing w:val="0"/>
          <w:w w:val="100"/>
          <w:kern w:val="0"/>
          <w:sz w:val="24"/>
          <w:szCs w:val="24"/>
          <w:highlight w:val="none"/>
          <w:lang w:val="en-US" w:eastAsia="zh-CN"/>
        </w:rPr>
        <w:t>.</w:t>
      </w:r>
      <w:r>
        <w:rPr>
          <w:rFonts w:hint="eastAsia" w:ascii="宋体" w:hAnsi="宋体" w:eastAsia="宋体" w:cs="宋体"/>
          <w:b/>
          <w:bCs w:val="0"/>
          <w:snapToGrid w:val="0"/>
          <w:color w:val="auto"/>
          <w:spacing w:val="0"/>
          <w:w w:val="100"/>
          <w:kern w:val="0"/>
          <w:sz w:val="24"/>
          <w:szCs w:val="24"/>
          <w:highlight w:val="none"/>
          <w:lang w:val="en-US" w:eastAsia="zh-CN"/>
        </w:rPr>
        <w:t>1与产业结构调整指导目录相符性分析</w:t>
      </w:r>
    </w:p>
    <w:p w14:paraId="642B9C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en-US"/>
        </w:rPr>
      </w:pPr>
      <w:r>
        <w:rPr>
          <w:rFonts w:hint="eastAsia"/>
          <w:snapToGrid w:val="0"/>
          <w:color w:val="auto"/>
          <w:kern w:val="0"/>
          <w:sz w:val="24"/>
          <w:highlight w:val="none"/>
          <w:lang w:bidi="en-US"/>
        </w:rPr>
        <w:t>本项目采用生物发酵法生产</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，根据《产业结构调整指导目录（2024年本）》，本项目不属于鼓励类、限制类、淘汰类，</w:t>
      </w:r>
      <w:r>
        <w:rPr>
          <w:rFonts w:hint="eastAsia"/>
          <w:snapToGrid w:val="0"/>
          <w:color w:val="auto"/>
          <w:kern w:val="0"/>
          <w:sz w:val="24"/>
          <w:highlight w:val="none"/>
          <w:lang w:val="en-US" w:eastAsia="zh-CN" w:bidi="en-US"/>
        </w:rPr>
        <w:t>视为</w:t>
      </w:r>
      <w:r>
        <w:rPr>
          <w:rFonts w:hint="eastAsia"/>
          <w:snapToGrid w:val="0"/>
          <w:color w:val="auto"/>
          <w:kern w:val="0"/>
          <w:sz w:val="24"/>
          <w:highlight w:val="none"/>
          <w:lang w:bidi="en-US"/>
        </w:rPr>
        <w:t>允许类，符合《产业结构调整指导目录（2024年本）》的要求。</w:t>
      </w:r>
    </w:p>
    <w:p w14:paraId="4881E22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default" w:ascii="宋体" w:hAnsi="宋体" w:eastAsia="宋体" w:cs="宋体"/>
          <w:b/>
          <w:bCs w:val="0"/>
          <w:snapToGrid w:val="0"/>
          <w:color w:val="auto"/>
          <w:spacing w:val="0"/>
          <w:w w:val="100"/>
          <w:kern w:val="0"/>
          <w:sz w:val="24"/>
          <w:szCs w:val="24"/>
          <w:highlight w:val="none"/>
          <w:lang w:val="en-US" w:eastAsia="zh-CN"/>
        </w:rPr>
      </w:pPr>
      <w:r>
        <w:rPr>
          <w:rFonts w:hint="default" w:ascii="宋体" w:hAnsi="宋体" w:eastAsia="宋体" w:cs="宋体"/>
          <w:b/>
          <w:bCs w:val="0"/>
          <w:snapToGrid w:val="0"/>
          <w:color w:val="auto"/>
          <w:spacing w:val="0"/>
          <w:w w:val="100"/>
          <w:kern w:val="0"/>
          <w:sz w:val="24"/>
          <w:szCs w:val="24"/>
          <w:highlight w:val="none"/>
          <w:lang w:val="en-US" w:eastAsia="zh-CN"/>
        </w:rPr>
        <w:t>1.4.</w:t>
      </w:r>
      <w:r>
        <w:rPr>
          <w:rFonts w:hint="eastAsia" w:ascii="宋体" w:hAnsi="宋体" w:eastAsia="宋体" w:cs="宋体"/>
          <w:b/>
          <w:bCs w:val="0"/>
          <w:snapToGrid w:val="0"/>
          <w:color w:val="auto"/>
          <w:spacing w:val="0"/>
          <w:w w:val="100"/>
          <w:kern w:val="0"/>
          <w:sz w:val="24"/>
          <w:szCs w:val="24"/>
          <w:highlight w:val="none"/>
          <w:lang w:val="en-US" w:eastAsia="zh-CN"/>
        </w:rPr>
        <w:t>1</w:t>
      </w:r>
      <w:r>
        <w:rPr>
          <w:rFonts w:hint="default" w:ascii="宋体" w:hAnsi="宋体" w:eastAsia="宋体" w:cs="宋体"/>
          <w:b/>
          <w:bCs w:val="0"/>
          <w:snapToGrid w:val="0"/>
          <w:color w:val="auto"/>
          <w:spacing w:val="0"/>
          <w:w w:val="100"/>
          <w:kern w:val="0"/>
          <w:sz w:val="24"/>
          <w:szCs w:val="24"/>
          <w:highlight w:val="none"/>
          <w:lang w:val="en-US" w:eastAsia="zh-CN"/>
        </w:rPr>
        <w:t>.</w:t>
      </w:r>
      <w:r>
        <w:rPr>
          <w:rFonts w:hint="eastAsia" w:ascii="宋体" w:hAnsi="宋体" w:eastAsia="宋体" w:cs="宋体"/>
          <w:b/>
          <w:bCs w:val="0"/>
          <w:snapToGrid w:val="0"/>
          <w:color w:val="auto"/>
          <w:spacing w:val="0"/>
          <w:w w:val="100"/>
          <w:kern w:val="0"/>
          <w:sz w:val="24"/>
          <w:szCs w:val="24"/>
          <w:highlight w:val="none"/>
          <w:lang w:val="en-US" w:eastAsia="zh-CN"/>
        </w:rPr>
        <w:t>2与《市场准入负面清单（2025年版）》相符性分析</w:t>
      </w:r>
    </w:p>
    <w:p w14:paraId="495DF8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lang w:bidi="en-US"/>
        </w:rPr>
      </w:pPr>
      <w:r>
        <w:rPr>
          <w:rFonts w:hint="eastAsia"/>
          <w:snapToGrid w:val="0"/>
          <w:color w:val="auto"/>
          <w:kern w:val="0"/>
          <w:sz w:val="24"/>
          <w:highlight w:val="none"/>
          <w:lang w:bidi="en-US"/>
        </w:rPr>
        <w:t>对照《市场准入负面清单（2025年版）》，本项目与《市场准入负面清单（2025年版）》符合性分析见表1.4-1。</w:t>
      </w:r>
    </w:p>
    <w:p w14:paraId="6144074A">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1.4-1</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项目与《市场准入负面清单（2025年版）》符合性分析一览</w:t>
      </w:r>
      <w:r>
        <w:rPr>
          <w:rFonts w:ascii="Times New Roman" w:hAnsi="Times New Roman" w:cs="Times New Roman"/>
          <w:snapToGrid w:val="0"/>
          <w:color w:val="auto"/>
          <w:kern w:val="0"/>
          <w:sz w:val="21"/>
          <w:szCs w:val="21"/>
          <w:highlight w:val="none"/>
        </w:rPr>
        <w:t>表</w:t>
      </w:r>
    </w:p>
    <w:tbl>
      <w:tblPr>
        <w:tblStyle w:val="5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82"/>
        <w:gridCol w:w="3110"/>
        <w:gridCol w:w="3115"/>
        <w:gridCol w:w="481"/>
      </w:tblGrid>
      <w:tr w14:paraId="5256D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gridSpan w:val="4"/>
            <w:shd w:val="clear" w:color="auto" w:fill="auto"/>
            <w:vAlign w:val="center"/>
          </w:tcPr>
          <w:p w14:paraId="0F94D882">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《市场准入负面清单（202</w:t>
            </w:r>
            <w:r>
              <w:rPr>
                <w:rFonts w:hint="eastAsia" w:ascii="Times New Roman" w:hAnsi="Times New Roman" w:eastAsia="宋体" w:cs="Times New Roman"/>
                <w:color w:val="auto"/>
                <w:kern w:val="0"/>
                <w:sz w:val="21"/>
                <w:szCs w:val="21"/>
                <w:highlight w:val="none"/>
              </w:rPr>
              <w:t>5</w:t>
            </w:r>
            <w:r>
              <w:rPr>
                <w:rFonts w:ascii="Times New Roman" w:hAnsi="Times New Roman" w:eastAsia="宋体" w:cs="Times New Roman"/>
                <w:color w:val="auto"/>
                <w:kern w:val="0"/>
                <w:sz w:val="21"/>
                <w:szCs w:val="21"/>
                <w:highlight w:val="none"/>
              </w:rPr>
              <w:t>年版）》（发改体改规〔2025〕466号）</w:t>
            </w:r>
          </w:p>
        </w:tc>
      </w:tr>
      <w:tr w14:paraId="40B4D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gridSpan w:val="4"/>
            <w:shd w:val="clear" w:color="auto" w:fill="auto"/>
            <w:vAlign w:val="center"/>
          </w:tcPr>
          <w:p w14:paraId="368EFDC7">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一、禁止准入类</w:t>
            </w:r>
          </w:p>
        </w:tc>
      </w:tr>
      <w:tr w14:paraId="6BDBC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Align w:val="center"/>
          </w:tcPr>
          <w:p w14:paraId="4A32906B">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禁止或许可事项</w:t>
            </w:r>
          </w:p>
        </w:tc>
        <w:tc>
          <w:tcPr>
            <w:tcW w:w="1876" w:type="pct"/>
            <w:vAlign w:val="center"/>
          </w:tcPr>
          <w:p w14:paraId="1B669C24">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禁止或许可准入措施描述</w:t>
            </w:r>
          </w:p>
        </w:tc>
        <w:tc>
          <w:tcPr>
            <w:tcW w:w="1879" w:type="pct"/>
            <w:vAlign w:val="center"/>
          </w:tcPr>
          <w:p w14:paraId="7EF9D103">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本项目</w:t>
            </w:r>
            <w:r>
              <w:rPr>
                <w:rFonts w:hint="eastAsia" w:ascii="Times New Roman" w:hAnsi="Times New Roman" w:eastAsia="宋体" w:cs="Times New Roman"/>
                <w:color w:val="auto"/>
                <w:kern w:val="0"/>
                <w:sz w:val="21"/>
                <w:szCs w:val="21"/>
                <w:highlight w:val="none"/>
              </w:rPr>
              <w:t>情况</w:t>
            </w:r>
          </w:p>
        </w:tc>
        <w:tc>
          <w:tcPr>
            <w:tcW w:w="290" w:type="pct"/>
            <w:vAlign w:val="center"/>
          </w:tcPr>
          <w:p w14:paraId="0BB0184C">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符合性</w:t>
            </w:r>
          </w:p>
        </w:tc>
      </w:tr>
      <w:tr w14:paraId="73AAF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Align w:val="center"/>
          </w:tcPr>
          <w:p w14:paraId="515C50EA">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国家产业政策明令淘汰和限制的产品、技术、工艺、设备及行为</w:t>
            </w:r>
          </w:p>
        </w:tc>
        <w:tc>
          <w:tcPr>
            <w:tcW w:w="1876" w:type="pct"/>
            <w:vAlign w:val="center"/>
          </w:tcPr>
          <w:p w14:paraId="37E99AD8">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《产业结构调整指导目录》中的淘汰类项目，禁止投资；限制类项目，禁止新建</w:t>
            </w:r>
            <w:r>
              <w:rPr>
                <w:rFonts w:hint="eastAsia" w:ascii="Times New Roman" w:hAnsi="Times New Roman" w:eastAsia="宋体" w:cs="Times New Roman"/>
                <w:color w:val="auto"/>
                <w:kern w:val="0"/>
                <w:sz w:val="21"/>
                <w:szCs w:val="21"/>
                <w:highlight w:val="none"/>
              </w:rPr>
              <w:t>。</w:t>
            </w:r>
          </w:p>
        </w:tc>
        <w:tc>
          <w:tcPr>
            <w:tcW w:w="1879" w:type="pct"/>
            <w:vAlign w:val="center"/>
          </w:tcPr>
          <w:p w14:paraId="0C7A0673">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spacing w:val="-6"/>
                <w:kern w:val="0"/>
                <w:sz w:val="21"/>
                <w:szCs w:val="21"/>
                <w:highlight w:val="none"/>
              </w:rPr>
              <w:t>项目采用的工艺、技术和设备符合《产业结构调整指导目录（20</w:t>
            </w:r>
            <w:r>
              <w:rPr>
                <w:rFonts w:hint="eastAsia" w:ascii="Times New Roman" w:hAnsi="Times New Roman" w:eastAsia="宋体" w:cs="Times New Roman"/>
                <w:color w:val="auto"/>
                <w:spacing w:val="-6"/>
                <w:kern w:val="0"/>
                <w:sz w:val="21"/>
                <w:szCs w:val="21"/>
                <w:highlight w:val="none"/>
              </w:rPr>
              <w:t>24</w:t>
            </w:r>
            <w:r>
              <w:rPr>
                <w:rFonts w:ascii="Times New Roman" w:hAnsi="Times New Roman" w:eastAsia="宋体" w:cs="Times New Roman"/>
                <w:color w:val="auto"/>
                <w:spacing w:val="-6"/>
                <w:kern w:val="0"/>
                <w:sz w:val="21"/>
                <w:szCs w:val="21"/>
                <w:highlight w:val="none"/>
              </w:rPr>
              <w:t>年本）》，未采用国家和自治区淘汰或禁止使用的工艺、技术和设备。</w:t>
            </w:r>
          </w:p>
        </w:tc>
        <w:tc>
          <w:tcPr>
            <w:tcW w:w="290" w:type="pct"/>
            <w:vAlign w:val="center"/>
          </w:tcPr>
          <w:p w14:paraId="2F86B34F">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符合</w:t>
            </w:r>
          </w:p>
        </w:tc>
      </w:tr>
      <w:tr w14:paraId="499D1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Align w:val="center"/>
          </w:tcPr>
          <w:p w14:paraId="5B20958E">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不符合主体功能区建设要求的各类开发活动</w:t>
            </w:r>
          </w:p>
        </w:tc>
        <w:tc>
          <w:tcPr>
            <w:tcW w:w="1876" w:type="pct"/>
            <w:vAlign w:val="center"/>
          </w:tcPr>
          <w:p w14:paraId="220A8175">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spacing w:val="-6"/>
                <w:kern w:val="0"/>
                <w:sz w:val="21"/>
                <w:szCs w:val="21"/>
                <w:highlight w:val="none"/>
              </w:rPr>
            </w:pPr>
            <w:r>
              <w:rPr>
                <w:rFonts w:ascii="Times New Roman" w:hAnsi="Times New Roman" w:eastAsia="宋体" w:cs="Times New Roman"/>
                <w:color w:val="auto"/>
                <w:spacing w:val="-6"/>
                <w:kern w:val="0"/>
                <w:sz w:val="21"/>
                <w:szCs w:val="21"/>
                <w:highlight w:val="none"/>
              </w:rPr>
              <w:t>地方国家重点生态功能区产业准入负面清单（或禁止限制目录）、农产品主产区产业准入负面清单（或禁止限制目录）所列有关事项</w:t>
            </w:r>
            <w:r>
              <w:rPr>
                <w:rFonts w:hint="eastAsia" w:ascii="Times New Roman" w:hAnsi="Times New Roman" w:eastAsia="宋体" w:cs="Times New Roman"/>
                <w:color w:val="auto"/>
                <w:spacing w:val="-6"/>
                <w:kern w:val="0"/>
                <w:sz w:val="21"/>
                <w:szCs w:val="21"/>
                <w:highlight w:val="none"/>
              </w:rPr>
              <w:t>。</w:t>
            </w:r>
          </w:p>
        </w:tc>
        <w:tc>
          <w:tcPr>
            <w:tcW w:w="1879" w:type="pct"/>
            <w:vAlign w:val="center"/>
          </w:tcPr>
          <w:p w14:paraId="465A4152">
            <w:pPr>
              <w:pStyle w:val="6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spacing w:val="-6"/>
                <w:kern w:val="0"/>
                <w:sz w:val="21"/>
                <w:szCs w:val="21"/>
                <w:highlight w:val="none"/>
              </w:rPr>
            </w:pPr>
            <w:r>
              <w:rPr>
                <w:rFonts w:ascii="Times New Roman" w:hAnsi="Times New Roman" w:eastAsia="宋体" w:cs="Times New Roman"/>
                <w:color w:val="auto"/>
                <w:spacing w:val="-6"/>
                <w:kern w:val="0"/>
                <w:sz w:val="21"/>
                <w:szCs w:val="21"/>
                <w:highlight w:val="none"/>
              </w:rPr>
              <w:t>本项目位于乌苏市化工产业集中区，符合国家</w:t>
            </w:r>
            <w:r>
              <w:rPr>
                <w:rFonts w:hint="eastAsia" w:ascii="Times New Roman" w:hAnsi="Times New Roman" w:eastAsia="宋体" w:cs="Times New Roman"/>
                <w:color w:val="auto"/>
                <w:spacing w:val="-6"/>
                <w:kern w:val="0"/>
                <w:sz w:val="21"/>
                <w:szCs w:val="21"/>
                <w:highlight w:val="none"/>
              </w:rPr>
              <w:t>及地方</w:t>
            </w:r>
            <w:r>
              <w:rPr>
                <w:rFonts w:ascii="Times New Roman" w:hAnsi="Times New Roman" w:eastAsia="宋体" w:cs="Times New Roman"/>
                <w:color w:val="auto"/>
                <w:spacing w:val="-6"/>
                <w:kern w:val="0"/>
                <w:sz w:val="21"/>
                <w:szCs w:val="21"/>
                <w:highlight w:val="none"/>
              </w:rPr>
              <w:t>主体功能区规划，符合</w:t>
            </w:r>
            <w:r>
              <w:rPr>
                <w:rFonts w:hint="eastAsia" w:ascii="Times New Roman" w:hAnsi="Times New Roman" w:eastAsia="宋体" w:cs="Times New Roman"/>
                <w:color w:val="auto"/>
                <w:spacing w:val="-6"/>
                <w:kern w:val="0"/>
                <w:sz w:val="21"/>
                <w:szCs w:val="21"/>
                <w:highlight w:val="none"/>
              </w:rPr>
              <w:t>园区规划及</w:t>
            </w:r>
            <w:r>
              <w:rPr>
                <w:rFonts w:ascii="Times New Roman" w:hAnsi="Times New Roman" w:eastAsia="宋体" w:cs="Times New Roman"/>
                <w:color w:val="auto"/>
                <w:spacing w:val="-6"/>
                <w:kern w:val="0"/>
                <w:sz w:val="21"/>
                <w:szCs w:val="21"/>
                <w:highlight w:val="none"/>
              </w:rPr>
              <w:t>规划环评要求。</w:t>
            </w:r>
          </w:p>
        </w:tc>
        <w:tc>
          <w:tcPr>
            <w:tcW w:w="290" w:type="pct"/>
            <w:vAlign w:val="center"/>
          </w:tcPr>
          <w:p w14:paraId="203DBA5D">
            <w:pPr>
              <w:pStyle w:val="6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符合</w:t>
            </w:r>
          </w:p>
        </w:tc>
      </w:tr>
    </w:tbl>
    <w:p w14:paraId="02D0D8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w w:val="100"/>
          <w:kern w:val="0"/>
          <w:sz w:val="24"/>
          <w:highlight w:val="none"/>
          <w:lang w:bidi="en-US"/>
        </w:rPr>
      </w:pPr>
      <w:r>
        <w:rPr>
          <w:rFonts w:hint="eastAsia"/>
          <w:snapToGrid w:val="0"/>
          <w:color w:val="auto"/>
          <w:spacing w:val="0"/>
          <w:w w:val="100"/>
          <w:kern w:val="0"/>
          <w:sz w:val="24"/>
          <w:highlight w:val="none"/>
          <w:lang w:bidi="en-US"/>
        </w:rPr>
        <w:t>根据上表分析可知，本项目不属于《市场准入负面清单（2025年版）》中的禁止准入类。</w:t>
      </w:r>
    </w:p>
    <w:p w14:paraId="310D1F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w w:val="100"/>
          <w:kern w:val="0"/>
          <w:sz w:val="24"/>
          <w:highlight w:val="none"/>
          <w:lang w:bidi="en-US"/>
        </w:rPr>
      </w:pPr>
      <w:r>
        <w:rPr>
          <w:rFonts w:hint="eastAsia"/>
          <w:snapToGrid w:val="0"/>
          <w:color w:val="auto"/>
          <w:spacing w:val="0"/>
          <w:w w:val="100"/>
          <w:kern w:val="0"/>
          <w:sz w:val="24"/>
          <w:highlight w:val="none"/>
          <w:lang w:bidi="en-US"/>
        </w:rPr>
        <w:t>2026年4月21日，乌苏市发展和改革委员会出具了本项目备案证，项目代码：2604-654202-04-03-221969，同意项目建设。</w:t>
      </w:r>
    </w:p>
    <w:p w14:paraId="39DE8DF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1.4.1.3《新疆维吾尔自治区新建化工项目准入条件（试行）》（新工信石化〔2021〕1号）符合性分析</w:t>
      </w:r>
    </w:p>
    <w:p w14:paraId="4BCDB1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spacing w:val="0"/>
          <w:w w:val="100"/>
          <w:kern w:val="0"/>
          <w:sz w:val="24"/>
          <w:highlight w:val="none"/>
          <w:lang w:val="en-US" w:eastAsia="zh-CN" w:bidi="en-US"/>
        </w:rPr>
      </w:pPr>
      <w:r>
        <w:rPr>
          <w:rFonts w:hint="eastAsia" w:ascii="Times New Roman" w:hAnsi="Times New Roman" w:eastAsia="宋体" w:cs="Times New Roman"/>
          <w:snapToGrid w:val="0"/>
          <w:color w:val="auto"/>
          <w:spacing w:val="0"/>
          <w:w w:val="100"/>
          <w:kern w:val="0"/>
          <w:sz w:val="24"/>
          <w:highlight w:val="none"/>
          <w:lang w:val="en-US" w:eastAsia="zh-CN" w:bidi="en-US"/>
        </w:rPr>
        <w:t>本项目与《新疆维吾尔自治区新建化工项目准入条件（试行）》（新工信石化〔2021〕1号）符合性分析见表1.4-2。</w:t>
      </w:r>
    </w:p>
    <w:p w14:paraId="5076E6EA">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0" w:firstLineChars="0"/>
        <w:textAlignment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表</w:t>
      </w:r>
      <w:r>
        <w:rPr>
          <w:rFonts w:hint="default" w:ascii="Times New Roman" w:hAnsi="Times New Roman" w:cs="Times New Roman"/>
          <w:snapToGrid w:val="0"/>
          <w:color w:val="auto"/>
          <w:kern w:val="0"/>
          <w:sz w:val="21"/>
          <w:szCs w:val="21"/>
          <w:highlight w:val="none"/>
          <w:lang w:val="en-US" w:eastAsia="zh-CN"/>
        </w:rPr>
        <w:t>1.</w:t>
      </w:r>
      <w:r>
        <w:rPr>
          <w:rFonts w:hint="eastAsia" w:ascii="Times New Roman" w:hAnsi="Times New Roman" w:cs="Times New Roman"/>
          <w:snapToGrid w:val="0"/>
          <w:color w:val="auto"/>
          <w:kern w:val="0"/>
          <w:sz w:val="21"/>
          <w:szCs w:val="21"/>
          <w:highlight w:val="none"/>
          <w:lang w:val="en-US" w:eastAsia="zh-CN"/>
        </w:rPr>
        <w:t>4</w:t>
      </w:r>
      <w:r>
        <w:rPr>
          <w:rFonts w:hint="default" w:ascii="Times New Roman" w:hAnsi="Times New Roman" w:cs="Times New Roman"/>
          <w:snapToGrid w:val="0"/>
          <w:color w:val="auto"/>
          <w:kern w:val="0"/>
          <w:sz w:val="21"/>
          <w:szCs w:val="21"/>
          <w:highlight w:val="none"/>
        </w:rPr>
        <w:t>-</w:t>
      </w:r>
      <w:r>
        <w:rPr>
          <w:rFonts w:hint="eastAsia" w:ascii="Times New Roman" w:hAnsi="Times New Roman" w:cs="Times New Roman"/>
          <w:snapToGrid w:val="0"/>
          <w:color w:val="auto"/>
          <w:kern w:val="0"/>
          <w:sz w:val="21"/>
          <w:szCs w:val="21"/>
          <w:highlight w:val="none"/>
          <w:lang w:val="en-US" w:eastAsia="zh-CN"/>
        </w:rPr>
        <w:t>2</w:t>
      </w:r>
      <w:r>
        <w:rPr>
          <w:rFonts w:hint="default" w:ascii="Times New Roman" w:hAnsi="Times New Roman" w:cs="Times New Roman"/>
          <w:snapToGrid w:val="0"/>
          <w:color w:val="auto"/>
          <w:kern w:val="0"/>
          <w:sz w:val="21"/>
          <w:szCs w:val="21"/>
          <w:highlight w:val="none"/>
          <w:lang w:val="en-US" w:eastAsia="zh-CN"/>
        </w:rPr>
        <w:t xml:space="preserve"> </w:t>
      </w:r>
      <w:r>
        <w:rPr>
          <w:rFonts w:hint="default" w:ascii="Times New Roman" w:hAnsi="Times New Roman" w:cs="Times New Roman"/>
          <w:snapToGrid w:val="0"/>
          <w:color w:val="auto"/>
          <w:kern w:val="0"/>
          <w:sz w:val="21"/>
          <w:szCs w:val="21"/>
          <w:highlight w:val="none"/>
        </w:rPr>
        <w:t>与</w:t>
      </w:r>
      <w:r>
        <w:rPr>
          <w:rFonts w:hint="default" w:ascii="Times New Roman" w:hAnsi="Times New Roman" w:cs="Times New Roman"/>
          <w:snapToGrid w:val="0"/>
          <w:color w:val="auto"/>
          <w:kern w:val="0"/>
          <w:sz w:val="21"/>
          <w:szCs w:val="21"/>
          <w:highlight w:val="none"/>
          <w:lang w:val="en-US" w:eastAsia="zh-CN"/>
        </w:rPr>
        <w:t>《新疆维吾尔自治区新建化工项目准入条件（试行）》</w:t>
      </w:r>
      <w:r>
        <w:rPr>
          <w:rFonts w:hint="default" w:ascii="Times New Roman" w:hAnsi="Times New Roman" w:cs="Times New Roman"/>
          <w:snapToGrid w:val="0"/>
          <w:color w:val="auto"/>
          <w:kern w:val="0"/>
          <w:sz w:val="21"/>
          <w:szCs w:val="21"/>
          <w:highlight w:val="none"/>
        </w:rPr>
        <w:t>符合性分析</w:t>
      </w:r>
    </w:p>
    <w:tbl>
      <w:tblPr>
        <w:tblStyle w:val="56"/>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689"/>
        <w:gridCol w:w="3577"/>
        <w:gridCol w:w="3533"/>
        <w:gridCol w:w="503"/>
      </w:tblGrid>
      <w:tr w14:paraId="5AE5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10" w:hRule="atLeast"/>
          <w:jc w:val="center"/>
        </w:trPr>
        <w:tc>
          <w:tcPr>
            <w:tcW w:w="2569" w:type="pct"/>
            <w:gridSpan w:val="2"/>
            <w:tcBorders>
              <w:tl2br w:val="nil"/>
              <w:tr2bl w:val="nil"/>
            </w:tcBorders>
            <w:noWrap w:val="0"/>
            <w:vAlign w:val="center"/>
          </w:tcPr>
          <w:p w14:paraId="1DC3A6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内容</w:t>
            </w:r>
          </w:p>
        </w:tc>
        <w:tc>
          <w:tcPr>
            <w:tcW w:w="2127" w:type="pct"/>
            <w:tcBorders>
              <w:tl2br w:val="nil"/>
              <w:tr2bl w:val="nil"/>
            </w:tcBorders>
            <w:noWrap w:val="0"/>
            <w:vAlign w:val="center"/>
          </w:tcPr>
          <w:p w14:paraId="10564A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本项目概况</w:t>
            </w:r>
          </w:p>
        </w:tc>
        <w:tc>
          <w:tcPr>
            <w:tcW w:w="302" w:type="pct"/>
            <w:tcBorders>
              <w:tl2br w:val="nil"/>
              <w:tr2bl w:val="nil"/>
            </w:tcBorders>
            <w:noWrap w:val="0"/>
            <w:vAlign w:val="center"/>
          </w:tcPr>
          <w:p w14:paraId="3A81F3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符合性</w:t>
            </w:r>
          </w:p>
        </w:tc>
      </w:tr>
      <w:tr w14:paraId="62BA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81" w:hRule="atLeast"/>
          <w:jc w:val="center"/>
        </w:trPr>
        <w:tc>
          <w:tcPr>
            <w:tcW w:w="414" w:type="pct"/>
            <w:tcBorders>
              <w:tl2br w:val="nil"/>
              <w:tr2bl w:val="nil"/>
            </w:tcBorders>
            <w:noWrap w:val="0"/>
            <w:vAlign w:val="center"/>
          </w:tcPr>
          <w:p w14:paraId="31D1DD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严格规划空间布局准入</w:t>
            </w:r>
          </w:p>
        </w:tc>
        <w:tc>
          <w:tcPr>
            <w:tcW w:w="2154" w:type="pct"/>
            <w:tcBorders>
              <w:tl2br w:val="nil"/>
              <w:tr2bl w:val="nil"/>
            </w:tcBorders>
            <w:noWrap w:val="0"/>
            <w:vAlign w:val="center"/>
          </w:tcPr>
          <w:p w14:paraId="2B446B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严守规划分区管控。严格执行生态保护红线、永久基本农田管控要求，禁止新（改、扩）建化工项目违规占用生态保护红线和永久基本农田。</w:t>
            </w:r>
          </w:p>
        </w:tc>
        <w:tc>
          <w:tcPr>
            <w:tcW w:w="2127" w:type="pct"/>
            <w:tcBorders>
              <w:tl2br w:val="nil"/>
              <w:tr2bl w:val="nil"/>
            </w:tcBorders>
            <w:noWrap w:val="0"/>
            <w:vAlign w:val="center"/>
          </w:tcPr>
          <w:p w14:paraId="447FBF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项目位于工业园区内，</w:t>
            </w:r>
            <w:r>
              <w:rPr>
                <w:rFonts w:hint="eastAsia" w:ascii="Times New Roman" w:hAnsi="Times New Roman" w:eastAsia="宋体" w:cs="Times New Roman"/>
                <w:snapToGrid w:val="0"/>
                <w:color w:val="auto"/>
                <w:kern w:val="0"/>
                <w:sz w:val="21"/>
                <w:szCs w:val="21"/>
                <w:highlight w:val="none"/>
                <w:lang w:val="en-US" w:eastAsia="zh-CN" w:bidi="ar-SA"/>
              </w:rPr>
              <w:t>利用厂区内备用发展用地进行建设，</w:t>
            </w:r>
            <w:r>
              <w:rPr>
                <w:rFonts w:hint="default" w:ascii="Times New Roman" w:hAnsi="Times New Roman" w:eastAsia="宋体" w:cs="Times New Roman"/>
                <w:snapToGrid w:val="0"/>
                <w:color w:val="auto"/>
                <w:kern w:val="0"/>
                <w:sz w:val="21"/>
                <w:szCs w:val="21"/>
                <w:highlight w:val="none"/>
                <w:lang w:val="en-US" w:eastAsia="zh-CN" w:bidi="ar-SA"/>
              </w:rPr>
              <w:t>不占用生态保护红线和永久基本农田。</w:t>
            </w:r>
          </w:p>
        </w:tc>
        <w:tc>
          <w:tcPr>
            <w:tcW w:w="302" w:type="pct"/>
            <w:tcBorders>
              <w:tl2br w:val="nil"/>
              <w:tr2bl w:val="nil"/>
            </w:tcBorders>
            <w:noWrap w:val="0"/>
            <w:vAlign w:val="center"/>
          </w:tcPr>
          <w:p w14:paraId="43A8B7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符合</w:t>
            </w:r>
          </w:p>
        </w:tc>
      </w:tr>
      <w:tr w14:paraId="235F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81" w:hRule="atLeast"/>
          <w:jc w:val="center"/>
        </w:trPr>
        <w:tc>
          <w:tcPr>
            <w:tcW w:w="414" w:type="pct"/>
            <w:vMerge w:val="restart"/>
            <w:tcBorders>
              <w:tl2br w:val="nil"/>
              <w:tr2bl w:val="nil"/>
            </w:tcBorders>
            <w:noWrap w:val="0"/>
            <w:vAlign w:val="center"/>
          </w:tcPr>
          <w:p w14:paraId="4E1998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严格安全环保准入</w:t>
            </w:r>
          </w:p>
        </w:tc>
        <w:tc>
          <w:tcPr>
            <w:tcW w:w="2154" w:type="pct"/>
            <w:tcBorders>
              <w:tl2br w:val="nil"/>
              <w:tr2bl w:val="nil"/>
            </w:tcBorders>
            <w:noWrap w:val="0"/>
            <w:vAlign w:val="center"/>
          </w:tcPr>
          <w:p w14:paraId="7D9A8F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严格生态环境准入。新（改、扩）建化工项目应符合“三线一单”（生态保护红线、环境质量底线、资源利用上线和生态环境准入清单）生态环境分区管控要求，并符合园区产业定位、园区规划及规划环评要求，按照有关规定设置合理的环境防护距离，环境保护距离内不得有居民区、学校、医院等环境敏感目标，避免邻避效应。</w:t>
            </w:r>
          </w:p>
        </w:tc>
        <w:tc>
          <w:tcPr>
            <w:tcW w:w="2127" w:type="pct"/>
            <w:tcBorders>
              <w:tl2br w:val="nil"/>
              <w:tr2bl w:val="nil"/>
            </w:tcBorders>
            <w:noWrap w:val="0"/>
            <w:vAlign w:val="center"/>
          </w:tcPr>
          <w:p w14:paraId="3D26C8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项目符合《</w:t>
            </w:r>
            <w:r>
              <w:rPr>
                <w:rFonts w:hint="eastAsia" w:ascii="Times New Roman" w:hAnsi="Times New Roman" w:eastAsia="宋体" w:cs="Times New Roman"/>
                <w:snapToGrid w:val="0"/>
                <w:color w:val="auto"/>
                <w:kern w:val="0"/>
                <w:sz w:val="21"/>
                <w:szCs w:val="21"/>
                <w:highlight w:val="none"/>
                <w:lang w:val="en-US" w:eastAsia="zh-CN" w:bidi="ar-SA"/>
              </w:rPr>
              <w:t>塔城</w:t>
            </w:r>
            <w:r>
              <w:rPr>
                <w:rFonts w:hint="default" w:ascii="Times New Roman" w:hAnsi="Times New Roman" w:eastAsia="宋体" w:cs="Times New Roman"/>
                <w:snapToGrid w:val="0"/>
                <w:color w:val="auto"/>
                <w:kern w:val="0"/>
                <w:sz w:val="21"/>
                <w:szCs w:val="21"/>
                <w:highlight w:val="none"/>
                <w:lang w:val="en-US" w:eastAsia="zh-CN" w:bidi="ar-SA"/>
              </w:rPr>
              <w:t>地区</w:t>
            </w:r>
            <w:r>
              <w:rPr>
                <w:rFonts w:hint="eastAsia" w:ascii="Times New Roman" w:hAnsi="Times New Roman" w:eastAsia="宋体" w:cs="Times New Roman"/>
                <w:snapToGrid w:val="0"/>
                <w:color w:val="auto"/>
                <w:kern w:val="0"/>
                <w:sz w:val="21"/>
                <w:szCs w:val="21"/>
                <w:highlight w:val="none"/>
                <w:lang w:val="en-US" w:eastAsia="zh-CN" w:bidi="ar-SA"/>
              </w:rPr>
              <w:t>“三线一单”生态环境分区管控方案</w:t>
            </w:r>
            <w:r>
              <w:rPr>
                <w:rFonts w:hint="default" w:ascii="Times New Roman" w:hAnsi="Times New Roman" w:eastAsia="宋体" w:cs="Times New Roman"/>
                <w:snapToGrid w:val="0"/>
                <w:color w:val="auto"/>
                <w:kern w:val="0"/>
                <w:sz w:val="21"/>
                <w:szCs w:val="21"/>
                <w:highlight w:val="none"/>
                <w:lang w:val="en-US" w:eastAsia="zh-CN" w:bidi="ar-SA"/>
              </w:rPr>
              <w:t>》要求，</w:t>
            </w:r>
            <w:r>
              <w:rPr>
                <w:rFonts w:hint="eastAsia" w:ascii="Times New Roman" w:hAnsi="Times New Roman" w:eastAsia="宋体" w:cs="Times New Roman"/>
                <w:snapToGrid w:val="0"/>
                <w:color w:val="auto"/>
                <w:kern w:val="0"/>
                <w:sz w:val="21"/>
                <w:szCs w:val="21"/>
                <w:highlight w:val="none"/>
                <w:lang w:val="en-US" w:eastAsia="zh-CN" w:bidi="ar-SA"/>
              </w:rPr>
              <w:t>符合园区产业定位、园区规划及规划环评要求，本项目不设置大气环境防护距离</w:t>
            </w:r>
            <w:r>
              <w:rPr>
                <w:rFonts w:hint="default" w:ascii="Times New Roman" w:hAnsi="Times New Roman" w:eastAsia="宋体" w:cs="Times New Roman"/>
                <w:snapToGrid w:val="0"/>
                <w:color w:val="auto"/>
                <w:kern w:val="0"/>
                <w:sz w:val="21"/>
                <w:szCs w:val="21"/>
                <w:highlight w:val="none"/>
                <w:lang w:val="en-US" w:eastAsia="zh-CN" w:bidi="ar-SA"/>
              </w:rPr>
              <w:t>。</w:t>
            </w:r>
          </w:p>
        </w:tc>
        <w:tc>
          <w:tcPr>
            <w:tcW w:w="302" w:type="pct"/>
            <w:tcBorders>
              <w:tl2br w:val="nil"/>
              <w:tr2bl w:val="nil"/>
            </w:tcBorders>
            <w:noWrap w:val="0"/>
            <w:vAlign w:val="center"/>
          </w:tcPr>
          <w:p w14:paraId="403694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符合</w:t>
            </w:r>
          </w:p>
        </w:tc>
      </w:tr>
      <w:tr w14:paraId="4F7C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81" w:hRule="atLeast"/>
          <w:jc w:val="center"/>
        </w:trPr>
        <w:tc>
          <w:tcPr>
            <w:tcW w:w="414" w:type="pct"/>
            <w:vMerge w:val="continue"/>
            <w:tcBorders>
              <w:tl2br w:val="nil"/>
              <w:tr2bl w:val="nil"/>
            </w:tcBorders>
            <w:noWrap w:val="0"/>
            <w:vAlign w:val="center"/>
          </w:tcPr>
          <w:p w14:paraId="59DD07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p>
        </w:tc>
        <w:tc>
          <w:tcPr>
            <w:tcW w:w="2154" w:type="pct"/>
            <w:tcBorders>
              <w:tl2br w:val="nil"/>
              <w:tr2bl w:val="nil"/>
            </w:tcBorders>
            <w:noWrap w:val="0"/>
            <w:vAlign w:val="center"/>
          </w:tcPr>
          <w:p w14:paraId="5776A2B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新（改、扩）建化工项目应按照国家及自治区相关排放标准，采取有效措施从严控制特征污染物的逸散与排放，无组织排放应达到相应标准，严禁生产废水直接外排，产生的生化污泥或盐泥等固体废物要按照国家及自治区相关标准收集、贮存、运输、利用和处置，蒸发塘、晾晒池、氧化塘、暂存池等要严格按照相关标准进行建设。</w:t>
            </w:r>
          </w:p>
        </w:tc>
        <w:tc>
          <w:tcPr>
            <w:tcW w:w="2127" w:type="pct"/>
            <w:tcBorders>
              <w:tl2br w:val="nil"/>
              <w:tr2bl w:val="nil"/>
            </w:tcBorders>
            <w:noWrap w:val="0"/>
            <w:vAlign w:val="center"/>
          </w:tcPr>
          <w:p w14:paraId="30B635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spacing w:val="-6"/>
                <w:kern w:val="0"/>
                <w:sz w:val="21"/>
                <w:szCs w:val="21"/>
                <w:highlight w:val="none"/>
                <w:lang w:val="en-US" w:eastAsia="zh-CN" w:bidi="ar-SA"/>
              </w:rPr>
              <w:t>项目从严控制挥发性有机物的逸散与排放，废气污染物符合相应的排放标准</w:t>
            </w:r>
            <w:r>
              <w:rPr>
                <w:rFonts w:hint="eastAsia" w:ascii="Times New Roman" w:hAnsi="Times New Roman" w:eastAsia="宋体" w:cs="Times New Roman"/>
                <w:snapToGrid w:val="0"/>
                <w:color w:val="auto"/>
                <w:spacing w:val="-6"/>
                <w:kern w:val="0"/>
                <w:sz w:val="21"/>
                <w:szCs w:val="21"/>
                <w:highlight w:val="none"/>
                <w:lang w:val="en-US" w:eastAsia="zh-CN" w:bidi="ar-SA"/>
              </w:rPr>
              <w:t>；本项目发酵清洗废水、分离废水</w:t>
            </w:r>
            <w:r>
              <w:rPr>
                <w:rFonts w:hint="eastAsia" w:ascii="Times New Roman" w:hAnsi="Times New Roman" w:eastAsia="宋体" w:cs="Times New Roman"/>
                <w:color w:val="auto"/>
                <w:kern w:val="0"/>
                <w:sz w:val="21"/>
                <w:szCs w:val="21"/>
                <w:highlight w:val="none"/>
              </w:rPr>
              <w:t>经调节池调节</w:t>
            </w:r>
            <w:r>
              <w:rPr>
                <w:rFonts w:hint="eastAsia" w:ascii="Times New Roman" w:hAnsi="Times New Roman" w:eastAsia="宋体" w:cs="Times New Roman"/>
                <w:color w:val="auto"/>
                <w:kern w:val="0"/>
                <w:sz w:val="21"/>
                <w:szCs w:val="21"/>
                <w:highlight w:val="none"/>
                <w:lang w:val="en-US" w:eastAsia="zh-CN"/>
              </w:rPr>
              <w:t>后</w:t>
            </w:r>
            <w:r>
              <w:rPr>
                <w:rFonts w:hint="eastAsia" w:ascii="Times New Roman" w:hAnsi="Times New Roman" w:eastAsia="宋体" w:cs="Times New Roman"/>
                <w:snapToGrid w:val="0"/>
                <w:color w:val="auto"/>
                <w:spacing w:val="-6"/>
                <w:kern w:val="0"/>
                <w:sz w:val="21"/>
                <w:szCs w:val="21"/>
                <w:highlight w:val="none"/>
                <w:lang w:val="en-US" w:eastAsia="zh-CN" w:bidi="ar-SA"/>
              </w:rPr>
              <w:t>排入西区污水处理厂二期工程处理；循环水排污依托现有污水处理站中水段处理；生活污水、水洗塔定排和碱洗塔定排依托现有污水处理站生化段处理后排入西区污水处理厂一期处理</w:t>
            </w:r>
            <w:r>
              <w:rPr>
                <w:rFonts w:hint="default" w:ascii="Times New Roman" w:hAnsi="Times New Roman" w:eastAsia="宋体" w:cs="Times New Roman"/>
                <w:snapToGrid w:val="0"/>
                <w:color w:val="auto"/>
                <w:spacing w:val="-6"/>
                <w:kern w:val="0"/>
                <w:sz w:val="21"/>
                <w:szCs w:val="21"/>
                <w:highlight w:val="none"/>
                <w:lang w:val="en-US" w:eastAsia="zh-CN" w:bidi="ar-SA"/>
              </w:rPr>
              <w:t>，</w:t>
            </w:r>
            <w:r>
              <w:rPr>
                <w:rFonts w:hint="eastAsia" w:ascii="Times New Roman" w:hAnsi="Times New Roman" w:eastAsia="宋体" w:cs="Times New Roman"/>
                <w:snapToGrid w:val="0"/>
                <w:color w:val="auto"/>
                <w:spacing w:val="-6"/>
                <w:kern w:val="0"/>
                <w:sz w:val="21"/>
                <w:szCs w:val="21"/>
                <w:highlight w:val="none"/>
                <w:lang w:val="en-US" w:eastAsia="zh-CN" w:bidi="ar-SA"/>
              </w:rPr>
              <w:t>不</w:t>
            </w:r>
            <w:r>
              <w:rPr>
                <w:rFonts w:hint="default" w:ascii="Times New Roman" w:hAnsi="Times New Roman" w:eastAsia="宋体" w:cs="Times New Roman"/>
                <w:snapToGrid w:val="0"/>
                <w:color w:val="auto"/>
                <w:spacing w:val="-6"/>
                <w:kern w:val="0"/>
                <w:sz w:val="21"/>
                <w:szCs w:val="21"/>
                <w:highlight w:val="none"/>
                <w:lang w:val="en-US" w:eastAsia="zh-CN" w:bidi="ar-SA"/>
              </w:rPr>
              <w:t>直接外排</w:t>
            </w:r>
            <w:r>
              <w:rPr>
                <w:rFonts w:hint="eastAsia" w:ascii="Times New Roman" w:hAnsi="Times New Roman" w:eastAsia="宋体" w:cs="Times New Roman"/>
                <w:snapToGrid w:val="0"/>
                <w:color w:val="auto"/>
                <w:spacing w:val="-6"/>
                <w:kern w:val="0"/>
                <w:sz w:val="21"/>
                <w:szCs w:val="21"/>
                <w:highlight w:val="none"/>
                <w:lang w:val="en-US" w:eastAsia="zh-CN" w:bidi="ar-SA"/>
              </w:rPr>
              <w:t>；</w:t>
            </w:r>
            <w:r>
              <w:rPr>
                <w:rFonts w:hint="default" w:ascii="Times New Roman" w:hAnsi="Times New Roman" w:eastAsia="宋体" w:cs="Times New Roman"/>
                <w:snapToGrid w:val="0"/>
                <w:color w:val="auto"/>
                <w:spacing w:val="-6"/>
                <w:kern w:val="0"/>
                <w:sz w:val="21"/>
                <w:szCs w:val="21"/>
                <w:highlight w:val="none"/>
                <w:lang w:val="en-US" w:eastAsia="zh-CN" w:bidi="ar-SA"/>
              </w:rPr>
              <w:t>产生的固体废物按照国家及自治区相关标准收集、贮存、运输、利用和处置。</w:t>
            </w:r>
          </w:p>
        </w:tc>
        <w:tc>
          <w:tcPr>
            <w:tcW w:w="302" w:type="pct"/>
            <w:tcBorders>
              <w:tl2br w:val="nil"/>
              <w:tr2bl w:val="nil"/>
            </w:tcBorders>
            <w:noWrap w:val="0"/>
            <w:vAlign w:val="center"/>
          </w:tcPr>
          <w:p w14:paraId="0F172A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符合</w:t>
            </w:r>
          </w:p>
        </w:tc>
      </w:tr>
    </w:tbl>
    <w:p w14:paraId="07C255B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ascii="Times New Roman"/>
          <w:color w:val="auto"/>
          <w:spacing w:val="0"/>
          <w:w w:val="100"/>
          <w:kern w:val="0"/>
          <w:sz w:val="24"/>
          <w:szCs w:val="24"/>
          <w:highlight w:val="none"/>
        </w:rPr>
      </w:pPr>
      <w:r>
        <w:rPr>
          <w:rFonts w:hint="eastAsia" w:ascii="Times New Roman"/>
          <w:color w:val="auto"/>
          <w:spacing w:val="0"/>
          <w:w w:val="100"/>
          <w:kern w:val="0"/>
          <w:sz w:val="24"/>
          <w:szCs w:val="24"/>
          <w:highlight w:val="none"/>
        </w:rPr>
        <w:t>1.4.2园区规划及规划环评符合性分析</w:t>
      </w:r>
    </w:p>
    <w:p w14:paraId="7B2CD14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ascii="宋体" w:hAnsi="宋体" w:eastAsia="宋体" w:cs="宋体"/>
          <w:b/>
          <w:bCs w:val="0"/>
          <w:snapToGrid w:val="0"/>
          <w:color w:val="auto"/>
          <w:spacing w:val="-6"/>
          <w:w w:val="100"/>
          <w:kern w:val="0"/>
          <w:sz w:val="24"/>
          <w:szCs w:val="24"/>
          <w:highlight w:val="none"/>
        </w:rPr>
      </w:pPr>
      <w:r>
        <w:rPr>
          <w:rFonts w:hint="eastAsia" w:ascii="宋体" w:hAnsi="宋体" w:eastAsia="宋体" w:cs="宋体"/>
          <w:b/>
          <w:bCs w:val="0"/>
          <w:snapToGrid w:val="0"/>
          <w:color w:val="auto"/>
          <w:spacing w:val="-6"/>
          <w:w w:val="100"/>
          <w:kern w:val="0"/>
          <w:sz w:val="24"/>
          <w:szCs w:val="24"/>
          <w:highlight w:val="none"/>
        </w:rPr>
        <w:t>1.4.2.1与《乌苏市化工产业集中区总体规划（2024-2035年）》符合性分析</w:t>
      </w:r>
    </w:p>
    <w:p w14:paraId="480527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w w:val="100"/>
          <w:kern w:val="0"/>
          <w:sz w:val="24"/>
          <w:highlight w:val="none"/>
        </w:rPr>
      </w:pPr>
      <w:r>
        <w:rPr>
          <w:rFonts w:hint="eastAsia"/>
          <w:snapToGrid w:val="0"/>
          <w:color w:val="auto"/>
          <w:spacing w:val="0"/>
          <w:w w:val="100"/>
          <w:kern w:val="0"/>
          <w:sz w:val="24"/>
          <w:highlight w:val="none"/>
        </w:rPr>
        <w:t>2024年5月31日，乌苏市人民政府</w:t>
      </w:r>
      <w:r>
        <w:rPr>
          <w:rFonts w:hint="eastAsia"/>
          <w:snapToGrid w:val="0"/>
          <w:color w:val="auto"/>
          <w:spacing w:val="0"/>
          <w:w w:val="100"/>
          <w:kern w:val="0"/>
          <w:sz w:val="24"/>
          <w:highlight w:val="none"/>
          <w:lang w:val="en-US" w:eastAsia="zh-CN"/>
        </w:rPr>
        <w:t>办公室</w:t>
      </w:r>
      <w:r>
        <w:rPr>
          <w:rFonts w:hint="eastAsia"/>
          <w:snapToGrid w:val="0"/>
          <w:color w:val="auto"/>
          <w:spacing w:val="0"/>
          <w:w w:val="100"/>
          <w:kern w:val="0"/>
          <w:sz w:val="24"/>
          <w:highlight w:val="none"/>
        </w:rPr>
        <w:t>对《乌苏市化工产业集中区总体规划（2024-2035年）》进行了批复（批复文号：乌政</w:t>
      </w:r>
      <w:r>
        <w:rPr>
          <w:rFonts w:hint="eastAsia"/>
          <w:snapToGrid w:val="0"/>
          <w:color w:val="auto"/>
          <w:spacing w:val="0"/>
          <w:w w:val="100"/>
          <w:kern w:val="0"/>
          <w:sz w:val="24"/>
          <w:highlight w:val="none"/>
          <w:lang w:val="en-US" w:eastAsia="zh-CN"/>
        </w:rPr>
        <w:t>办</w:t>
      </w:r>
      <w:r>
        <w:rPr>
          <w:rFonts w:hint="eastAsia"/>
          <w:snapToGrid w:val="0"/>
          <w:color w:val="auto"/>
          <w:spacing w:val="0"/>
          <w:w w:val="100"/>
          <w:kern w:val="0"/>
          <w:sz w:val="24"/>
          <w:highlight w:val="none"/>
        </w:rPr>
        <w:t>函〔2024〕88号）。</w:t>
      </w:r>
    </w:p>
    <w:p w14:paraId="734568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w w:val="100"/>
          <w:kern w:val="0"/>
          <w:sz w:val="24"/>
          <w:highlight w:val="none"/>
        </w:rPr>
      </w:pPr>
      <w:r>
        <w:rPr>
          <w:rFonts w:hint="eastAsia"/>
          <w:snapToGrid w:val="0"/>
          <w:color w:val="auto"/>
          <w:spacing w:val="0"/>
          <w:w w:val="100"/>
          <w:kern w:val="0"/>
          <w:sz w:val="24"/>
          <w:highlight w:val="none"/>
        </w:rPr>
        <w:t>《乌苏市化工产业集中区总体规划（2024-2035年）》提出：到2035年，集中区各产业间合作体系日益完善，产业链互补、互强效益凸显，生物化工产品的市场占有率逐步提高，化工产业对集中区其他产业发展的强有力支撑格局已经形成，产业</w:t>
      </w:r>
      <w:r>
        <w:rPr>
          <w:rFonts w:hint="eastAsia"/>
          <w:snapToGrid w:val="0"/>
          <w:color w:val="auto"/>
          <w:spacing w:val="0"/>
          <w:w w:val="100"/>
          <w:kern w:val="0"/>
          <w:sz w:val="24"/>
          <w:highlight w:val="none"/>
          <w:lang w:eastAsia="zh-CN"/>
        </w:rPr>
        <w:t>集中区</w:t>
      </w:r>
      <w:r>
        <w:rPr>
          <w:rFonts w:hint="eastAsia"/>
          <w:snapToGrid w:val="0"/>
          <w:color w:val="auto"/>
          <w:spacing w:val="0"/>
          <w:w w:val="100"/>
          <w:kern w:val="0"/>
          <w:sz w:val="24"/>
          <w:highlight w:val="none"/>
        </w:rPr>
        <w:t>形成完整的多条产业链条。</w:t>
      </w:r>
    </w:p>
    <w:p w14:paraId="71DFDE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w w:val="100"/>
          <w:kern w:val="0"/>
          <w:sz w:val="24"/>
          <w:highlight w:val="none"/>
        </w:rPr>
      </w:pPr>
      <w:r>
        <w:rPr>
          <w:rFonts w:hint="eastAsia"/>
          <w:snapToGrid w:val="0"/>
          <w:color w:val="auto"/>
          <w:spacing w:val="0"/>
          <w:w w:val="100"/>
          <w:kern w:val="0"/>
          <w:sz w:val="24"/>
          <w:highlight w:val="none"/>
        </w:rPr>
        <w:t>乌苏市化工产业集中区产业发展定位：以凯赛生物化工新材料项目为契机，以生物化工产业为基础，按照“着力推进产业结构优化升级，实现产品向绿色化、差异化、高端化和高附加值方向发展”的战略规划，布局生物基化工新材料，推动园区产业向高端转型方向发展，强化地区产业特色，集聚链群效应，建设绿色低碳、特色鲜明和竞争力一流的化工园区。</w:t>
      </w:r>
    </w:p>
    <w:p w14:paraId="1053FD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w w:val="100"/>
          <w:kern w:val="0"/>
          <w:sz w:val="24"/>
          <w:highlight w:val="none"/>
        </w:rPr>
      </w:pPr>
      <w:r>
        <w:rPr>
          <w:rFonts w:hint="eastAsia"/>
          <w:snapToGrid w:val="0"/>
          <w:color w:val="auto"/>
          <w:spacing w:val="0"/>
          <w:w w:val="100"/>
          <w:kern w:val="0"/>
          <w:sz w:val="24"/>
          <w:highlight w:val="none"/>
        </w:rPr>
        <w:t>本项目以生物发酵法生产</w:t>
      </w:r>
      <w:r>
        <w:rPr>
          <w:rFonts w:hint="eastAsia"/>
          <w:snapToGrid w:val="0"/>
          <w:color w:val="auto"/>
          <w:spacing w:val="0"/>
          <w:w w:val="100"/>
          <w:kern w:val="0"/>
          <w:sz w:val="24"/>
          <w:highlight w:val="none"/>
          <w:lang w:eastAsia="zh-CN"/>
        </w:rPr>
        <w:t>二元酸</w:t>
      </w:r>
      <w:r>
        <w:rPr>
          <w:rFonts w:hint="eastAsia"/>
          <w:snapToGrid w:val="0"/>
          <w:color w:val="auto"/>
          <w:spacing w:val="0"/>
          <w:w w:val="100"/>
          <w:kern w:val="0"/>
          <w:sz w:val="24"/>
          <w:highlight w:val="none"/>
        </w:rPr>
        <w:t>，属于乌苏市化工产业集中区产业发展定位中生物基化工新材料，符合乌苏市化工产业集中区产业布局，本项目位于材料公司内</w:t>
      </w:r>
      <w:r>
        <w:rPr>
          <w:rFonts w:hint="eastAsia"/>
          <w:snapToGrid w:val="0"/>
          <w:color w:val="auto"/>
          <w:spacing w:val="0"/>
          <w:w w:val="100"/>
          <w:kern w:val="0"/>
          <w:sz w:val="24"/>
          <w:highlight w:val="none"/>
          <w:lang w:eastAsia="zh-CN"/>
        </w:rPr>
        <w:t>备用发展用地</w:t>
      </w:r>
      <w:r>
        <w:rPr>
          <w:rFonts w:hint="eastAsia"/>
          <w:snapToGrid w:val="0"/>
          <w:color w:val="auto"/>
          <w:spacing w:val="0"/>
          <w:w w:val="100"/>
          <w:kern w:val="0"/>
          <w:sz w:val="24"/>
          <w:highlight w:val="none"/>
        </w:rPr>
        <w:t>，属于乌苏市化工产业集中区三类工业用地，符合乌苏市化工产业集中区土地利用规划。综上，本项目符合《乌苏市化工产业集中区总体规划（2024-2035年）》中相关要求。</w:t>
      </w:r>
    </w:p>
    <w:p w14:paraId="1265B9F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1.4.2.2与《乌苏市化工产业集中区总体规划（2024-2035年）环境影响报告书》及</w:t>
      </w:r>
      <w:r>
        <w:rPr>
          <w:rFonts w:hint="eastAsia" w:ascii="宋体" w:hAnsi="宋体" w:eastAsia="宋体" w:cs="宋体"/>
          <w:b/>
          <w:bCs w:val="0"/>
          <w:snapToGrid w:val="0"/>
          <w:color w:val="auto"/>
          <w:spacing w:val="0"/>
          <w:w w:val="100"/>
          <w:kern w:val="0"/>
          <w:sz w:val="24"/>
          <w:szCs w:val="24"/>
          <w:highlight w:val="none"/>
          <w:lang w:val="en-US" w:eastAsia="zh-CN"/>
        </w:rPr>
        <w:t>其</w:t>
      </w:r>
      <w:r>
        <w:rPr>
          <w:rFonts w:hint="eastAsia" w:ascii="宋体" w:hAnsi="宋体" w:eastAsia="宋体" w:cs="宋体"/>
          <w:b/>
          <w:bCs w:val="0"/>
          <w:snapToGrid w:val="0"/>
          <w:color w:val="auto"/>
          <w:spacing w:val="0"/>
          <w:w w:val="100"/>
          <w:kern w:val="0"/>
          <w:sz w:val="24"/>
          <w:szCs w:val="24"/>
          <w:highlight w:val="none"/>
        </w:rPr>
        <w:t>审查意见符合性分析</w:t>
      </w:r>
    </w:p>
    <w:p w14:paraId="3A7459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snapToGrid w:val="0"/>
          <w:color w:val="auto"/>
          <w:spacing w:val="0"/>
          <w:w w:val="100"/>
          <w:kern w:val="0"/>
          <w:sz w:val="24"/>
          <w:highlight w:val="none"/>
        </w:rPr>
      </w:pPr>
      <w:r>
        <w:rPr>
          <w:rFonts w:hint="eastAsia"/>
          <w:snapToGrid w:val="0"/>
          <w:color w:val="auto"/>
          <w:spacing w:val="0"/>
          <w:w w:val="100"/>
          <w:kern w:val="0"/>
          <w:sz w:val="24"/>
          <w:highlight w:val="none"/>
        </w:rPr>
        <w:t>2024年4月，新疆化工设计研究院有限责任公司编制了《乌苏市化工产业集中区总体规划（2024-2035年）环境影响报告书》，</w:t>
      </w:r>
      <w:r>
        <w:rPr>
          <w:rFonts w:hint="eastAsia"/>
          <w:snapToGrid w:val="0"/>
          <w:color w:val="auto"/>
          <w:spacing w:val="0"/>
          <w:w w:val="100"/>
          <w:kern w:val="0"/>
          <w:sz w:val="24"/>
          <w:highlight w:val="none"/>
          <w:lang w:val="en-US" w:eastAsia="zh-CN"/>
        </w:rPr>
        <w:t>该规划环评</w:t>
      </w:r>
      <w:r>
        <w:rPr>
          <w:rFonts w:hint="eastAsia"/>
          <w:snapToGrid w:val="0"/>
          <w:color w:val="auto"/>
          <w:spacing w:val="0"/>
          <w:w w:val="100"/>
          <w:kern w:val="0"/>
          <w:sz w:val="24"/>
          <w:highlight w:val="none"/>
        </w:rPr>
        <w:t>于2024年6月19日通过塔城地区生态环境局审查（审查文号：塔地环审〔2024〕89号）。本项目与《乌苏市化工产业集中区总体规划（2024-2035年）环境影响报告书》审查意见的符合性分析见表1.4-</w:t>
      </w:r>
      <w:r>
        <w:rPr>
          <w:rFonts w:hint="eastAsia"/>
          <w:snapToGrid w:val="0"/>
          <w:color w:val="auto"/>
          <w:spacing w:val="0"/>
          <w:w w:val="100"/>
          <w:kern w:val="0"/>
          <w:sz w:val="24"/>
          <w:highlight w:val="none"/>
          <w:lang w:val="en-US" w:eastAsia="zh-CN"/>
        </w:rPr>
        <w:t>3</w:t>
      </w:r>
      <w:r>
        <w:rPr>
          <w:rFonts w:hint="eastAsia"/>
          <w:snapToGrid w:val="0"/>
          <w:color w:val="auto"/>
          <w:spacing w:val="0"/>
          <w:w w:val="100"/>
          <w:kern w:val="0"/>
          <w:sz w:val="24"/>
          <w:highlight w:val="none"/>
        </w:rPr>
        <w:t>。</w:t>
      </w:r>
    </w:p>
    <w:p w14:paraId="0BF9B3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snapToGrid w:val="0"/>
          <w:color w:val="auto"/>
          <w:spacing w:val="0"/>
          <w:w w:val="100"/>
          <w:kern w:val="0"/>
          <w:sz w:val="24"/>
          <w:highlight w:val="none"/>
        </w:rPr>
      </w:pPr>
    </w:p>
    <w:p w14:paraId="422922A8">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b/>
          <w:bCs/>
          <w:snapToGrid w:val="0"/>
          <w:color w:val="auto"/>
          <w:kern w:val="0"/>
          <w:sz w:val="21"/>
          <w:szCs w:val="21"/>
          <w:highlight w:val="none"/>
        </w:rPr>
      </w:pPr>
      <w:r>
        <w:rPr>
          <w:rFonts w:ascii="Times New Roman" w:hAnsi="Times New Roman" w:cs="Times New Roman"/>
          <w:b/>
          <w:bCs/>
          <w:snapToGrid w:val="0"/>
          <w:color w:val="auto"/>
          <w:kern w:val="0"/>
          <w:sz w:val="21"/>
          <w:szCs w:val="21"/>
          <w:highlight w:val="none"/>
        </w:rPr>
        <w:t>表</w:t>
      </w:r>
      <w:r>
        <w:rPr>
          <w:rFonts w:hint="eastAsia" w:ascii="Times New Roman" w:hAnsi="Times New Roman" w:cs="Times New Roman"/>
          <w:b/>
          <w:bCs/>
          <w:snapToGrid w:val="0"/>
          <w:color w:val="auto"/>
          <w:kern w:val="0"/>
          <w:sz w:val="21"/>
          <w:szCs w:val="21"/>
          <w:highlight w:val="none"/>
        </w:rPr>
        <w:t>1.4-</w:t>
      </w:r>
      <w:r>
        <w:rPr>
          <w:rFonts w:hint="eastAsia" w:ascii="Times New Roman" w:hAnsi="Times New Roman" w:cs="Times New Roman"/>
          <w:b/>
          <w:bCs/>
          <w:snapToGrid w:val="0"/>
          <w:color w:val="auto"/>
          <w:kern w:val="0"/>
          <w:sz w:val="21"/>
          <w:szCs w:val="21"/>
          <w:highlight w:val="none"/>
          <w:lang w:val="en-US" w:eastAsia="zh-CN"/>
        </w:rPr>
        <w:t>3</w:t>
      </w:r>
      <w:r>
        <w:rPr>
          <w:rFonts w:ascii="Times New Roman" w:hAnsi="Times New Roman" w:cs="Times New Roman"/>
          <w:b/>
          <w:bCs/>
          <w:snapToGrid w:val="0"/>
          <w:color w:val="auto"/>
          <w:kern w:val="0"/>
          <w:sz w:val="21"/>
          <w:szCs w:val="21"/>
          <w:highlight w:val="none"/>
        </w:rPr>
        <w:t xml:space="preserve"> </w:t>
      </w:r>
      <w:r>
        <w:rPr>
          <w:rFonts w:hint="eastAsia" w:ascii="Times New Roman" w:hAnsi="Times New Roman" w:cs="Times New Roman"/>
          <w:b/>
          <w:bCs/>
          <w:snapToGrid w:val="0"/>
          <w:color w:val="auto"/>
          <w:kern w:val="0"/>
          <w:sz w:val="21"/>
          <w:szCs w:val="21"/>
          <w:highlight w:val="none"/>
        </w:rPr>
        <w:t>本项目与《乌苏市化工产业集中区总体规划（2024-2035年）环境影响报告书》审查意见符合性分析</w:t>
      </w:r>
      <w:r>
        <w:rPr>
          <w:rFonts w:ascii="Times New Roman" w:hAnsi="Times New Roman" w:cs="Times New Roman"/>
          <w:b/>
          <w:bCs/>
          <w:snapToGrid w:val="0"/>
          <w:color w:val="auto"/>
          <w:kern w:val="0"/>
          <w:sz w:val="21"/>
          <w:szCs w:val="21"/>
          <w:highlight w:val="none"/>
        </w:rPr>
        <w:t>表</w:t>
      </w:r>
    </w:p>
    <w:tbl>
      <w:tblPr>
        <w:tblStyle w:val="56"/>
        <w:tblW w:w="507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510"/>
        <w:gridCol w:w="2214"/>
        <w:gridCol w:w="692"/>
      </w:tblGrid>
      <w:tr w14:paraId="35B33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273" w:type="pct"/>
            <w:shd w:val="clear" w:color="auto" w:fill="auto"/>
            <w:vAlign w:val="center"/>
          </w:tcPr>
          <w:p w14:paraId="5CABC94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审查意见</w:t>
            </w:r>
            <w:r>
              <w:rPr>
                <w:rFonts w:hint="eastAsia" w:ascii="Times New Roman" w:hAnsi="Times New Roman" w:eastAsia="宋体" w:cs="Times New Roman"/>
                <w:snapToGrid w:val="0"/>
                <w:color w:val="auto"/>
                <w:kern w:val="0"/>
                <w:sz w:val="21"/>
                <w:szCs w:val="21"/>
                <w:highlight w:val="none"/>
              </w:rPr>
              <w:t>要求</w:t>
            </w:r>
          </w:p>
        </w:tc>
        <w:tc>
          <w:tcPr>
            <w:tcW w:w="1315" w:type="pct"/>
            <w:shd w:val="clear" w:color="auto" w:fill="auto"/>
            <w:vAlign w:val="center"/>
          </w:tcPr>
          <w:p w14:paraId="288C53D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情况</w:t>
            </w:r>
          </w:p>
        </w:tc>
        <w:tc>
          <w:tcPr>
            <w:tcW w:w="411" w:type="pct"/>
            <w:shd w:val="clear" w:color="auto" w:fill="auto"/>
            <w:vAlign w:val="center"/>
          </w:tcPr>
          <w:p w14:paraId="500D71E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2B31C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273" w:type="pct"/>
            <w:shd w:val="clear" w:color="auto" w:fill="auto"/>
            <w:vAlign w:val="center"/>
          </w:tcPr>
          <w:p w14:paraId="361736AF">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坚持生态优先，绿色发展。</w:t>
            </w:r>
          </w:p>
          <w:p w14:paraId="7FF9B3FF">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深入贯彻落实习近平生态文明思想和习近平总书记“加强生态环境保护，努力建设天蓝地绿水清的美丽新疆”的重要指示批示精神，进一步明确《规划》的环境目标和“生态保护红线、环境质量底线、资源利用上线和生态环境准入清单”管控要求。结合区域主体功能定位和主导生态服务功能，以国家发展循环经济和低碳经济、走新型工业化道路、推进供给侧改革的大政方针为指导，切实落实各项生态环境保护对策和措施，充分发挥清洁能源产业基础和资源优势，进一步优化建设时序、开发范围、工业场地布局，促进乌苏市社会经济高质量发展与生态环境保护相协调。</w:t>
            </w:r>
          </w:p>
        </w:tc>
        <w:tc>
          <w:tcPr>
            <w:tcW w:w="1315" w:type="pct"/>
            <w:shd w:val="clear" w:color="auto" w:fill="auto"/>
            <w:vAlign w:val="center"/>
          </w:tcPr>
          <w:p w14:paraId="4BD8170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本项目坚持绿色发展理念，以改善区域生态环境质量为目标，采取严格的生态</w:t>
            </w:r>
            <w:r>
              <w:rPr>
                <w:rFonts w:hint="eastAsia" w:ascii="Times New Roman" w:hAnsi="Times New Roman" w:eastAsia="宋体" w:cs="Times New Roman"/>
                <w:snapToGrid w:val="0"/>
                <w:color w:val="auto"/>
                <w:kern w:val="0"/>
                <w:sz w:val="21"/>
                <w:szCs w:val="21"/>
                <w:highlight w:val="none"/>
              </w:rPr>
              <w:t>环境</w:t>
            </w:r>
            <w:r>
              <w:rPr>
                <w:rFonts w:ascii="Times New Roman" w:hAnsi="Times New Roman" w:eastAsia="宋体" w:cs="Times New Roman"/>
                <w:snapToGrid w:val="0"/>
                <w:color w:val="auto"/>
                <w:kern w:val="0"/>
                <w:sz w:val="21"/>
                <w:szCs w:val="21"/>
                <w:highlight w:val="none"/>
              </w:rPr>
              <w:t>保护措施</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符合塔城地区生态环境分区管控要求。</w:t>
            </w:r>
          </w:p>
        </w:tc>
        <w:tc>
          <w:tcPr>
            <w:tcW w:w="411" w:type="pct"/>
            <w:shd w:val="clear" w:color="auto" w:fill="auto"/>
            <w:vAlign w:val="center"/>
          </w:tcPr>
          <w:p w14:paraId="14BC370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FC8E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273" w:type="pct"/>
            <w:shd w:val="clear" w:color="auto" w:fill="auto"/>
            <w:vAlign w:val="center"/>
          </w:tcPr>
          <w:p w14:paraId="6D2DB59B">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严守环境质量底线。</w:t>
            </w:r>
          </w:p>
          <w:p w14:paraId="753F342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落实《报告书》要求，采取有效措施控制乌苏市化工产业集中区各类污染物排放量。化工产业集中区内各企业产生的废水及生活污水应经过企业内部水处理设施处理后，须达到《污水排入城镇下水道水质标准》（GB/T31962-2015）A级标准后，排入乌苏市西区污水处理厂处理。废水经处理后必须满足《城镇污水处理厂污染物排放标准》（</w:t>
            </w:r>
            <w:r>
              <w:rPr>
                <w:rFonts w:hint="eastAsia" w:ascii="Times New Roman" w:hAnsi="Times New Roman" w:eastAsia="宋体" w:cs="Times New Roman"/>
                <w:color w:val="auto"/>
                <w:kern w:val="0"/>
                <w:sz w:val="21"/>
                <w:szCs w:val="21"/>
                <w:highlight w:val="none"/>
                <w:lang w:eastAsia="zh-CN"/>
              </w:rPr>
              <w:t>GB 18918</w:t>
            </w:r>
            <w:r>
              <w:rPr>
                <w:rFonts w:hint="eastAsia" w:ascii="Times New Roman" w:hAnsi="Times New Roman" w:eastAsia="宋体" w:cs="Times New Roman"/>
                <w:color w:val="auto"/>
                <w:kern w:val="0"/>
                <w:sz w:val="21"/>
                <w:szCs w:val="21"/>
                <w:highlight w:val="none"/>
              </w:rPr>
              <w:t>-2002）一级A标准限值后输送至尾水库，污水未经达标处理不得外排。乌苏市化工产业集中区产生的一般工业固体废物，清运至乌苏工业园区一般工业固废填埋场填埋处置，处置和日常管理中应严格落实《一般工业固体废物贮存和填埋污染控制标准》（GB18599-2020）中的相关要求；生活垃圾应集中收集后由环卫部门运至乌苏市生活垃圾填埋场填埋。化工产业集中区产生的危险废物的收集、贮存、运输必须执行《危险废物贮存污染控制标准》（GB18597-2023）以及《危险废物收集、贮存、运输技术规范》（HJ2025-2012）中的要求。严格环境准入要求，园区引进</w:t>
            </w:r>
            <w:r>
              <w:rPr>
                <w:rFonts w:hint="eastAsia" w:ascii="Times New Roman" w:hAnsi="Times New Roman" w:eastAsia="宋体" w:cs="Times New Roman"/>
                <w:color w:val="auto"/>
                <w:kern w:val="0"/>
                <w:sz w:val="21"/>
                <w:szCs w:val="21"/>
                <w:highlight w:val="none"/>
                <w:lang w:eastAsia="zh-CN"/>
              </w:rPr>
              <w:t>建设项目</w:t>
            </w:r>
            <w:r>
              <w:rPr>
                <w:rFonts w:hint="eastAsia" w:ascii="Times New Roman" w:hAnsi="Times New Roman" w:eastAsia="宋体" w:cs="Times New Roman"/>
                <w:color w:val="auto"/>
                <w:kern w:val="0"/>
                <w:sz w:val="21"/>
                <w:szCs w:val="21"/>
                <w:highlight w:val="none"/>
              </w:rPr>
              <w:t>在符合园区规划及规划环评的前提下，化工产业集中区内新建、扩建、技术改造的建设项目，应对照《建设项目环境影响评价分类管理名录》的要求编制环境影响评价文件，在规划区域内新建、扩建、技术改造的建设项目，区域环境现状调查、污染源现状调查等评价内容可以适当简化。</w:t>
            </w:r>
          </w:p>
        </w:tc>
        <w:tc>
          <w:tcPr>
            <w:tcW w:w="1315" w:type="pct"/>
            <w:shd w:val="clear" w:color="auto" w:fill="auto"/>
            <w:vAlign w:val="center"/>
          </w:tcPr>
          <w:p w14:paraId="40B3FE4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本项目严格污染物总量管控，采取有效</w:t>
            </w:r>
            <w:r>
              <w:rPr>
                <w:rFonts w:hint="eastAsia" w:ascii="Times New Roman" w:hAnsi="Times New Roman" w:eastAsia="宋体" w:cs="Times New Roman"/>
                <w:snapToGrid w:val="0"/>
                <w:color w:val="auto"/>
                <w:kern w:val="0"/>
                <w:sz w:val="21"/>
                <w:szCs w:val="21"/>
                <w:highlight w:val="none"/>
                <w:lang w:val="en-US" w:eastAsia="zh-CN"/>
              </w:rPr>
              <w:t>治理</w:t>
            </w:r>
            <w:r>
              <w:rPr>
                <w:rFonts w:ascii="Times New Roman" w:hAnsi="Times New Roman" w:eastAsia="宋体" w:cs="Times New Roman"/>
                <w:snapToGrid w:val="0"/>
                <w:color w:val="auto"/>
                <w:kern w:val="0"/>
                <w:sz w:val="21"/>
                <w:szCs w:val="21"/>
                <w:highlight w:val="none"/>
              </w:rPr>
              <w:t>措施</w:t>
            </w:r>
            <w:r>
              <w:rPr>
                <w:rFonts w:hint="eastAsia" w:ascii="Times New Roman" w:hAnsi="Times New Roman" w:eastAsia="宋体" w:cs="Times New Roman"/>
                <w:snapToGrid w:val="0"/>
                <w:color w:val="auto"/>
                <w:kern w:val="0"/>
                <w:sz w:val="21"/>
                <w:szCs w:val="21"/>
                <w:highlight w:val="none"/>
                <w:lang w:val="en-US" w:eastAsia="zh-CN"/>
              </w:rPr>
              <w:t>减少</w:t>
            </w:r>
            <w:r>
              <w:rPr>
                <w:rFonts w:ascii="Times New Roman" w:hAnsi="Times New Roman" w:eastAsia="宋体" w:cs="Times New Roman"/>
                <w:snapToGrid w:val="0"/>
                <w:color w:val="auto"/>
                <w:kern w:val="0"/>
                <w:sz w:val="21"/>
                <w:szCs w:val="21"/>
                <w:highlight w:val="none"/>
              </w:rPr>
              <w:t>污染物的排放量。各类污染物排放满足污染物排放标准要求，</w:t>
            </w:r>
            <w:r>
              <w:rPr>
                <w:rFonts w:hint="eastAsia" w:ascii="Times New Roman" w:hAnsi="Times New Roman" w:eastAsia="宋体" w:cs="Times New Roman"/>
                <w:snapToGrid w:val="0"/>
                <w:color w:val="auto"/>
                <w:kern w:val="0"/>
                <w:sz w:val="21"/>
                <w:szCs w:val="21"/>
                <w:highlight w:val="none"/>
                <w:lang w:val="en-US" w:eastAsia="zh-CN"/>
              </w:rPr>
              <w:t>按要求</w:t>
            </w:r>
            <w:r>
              <w:rPr>
                <w:rFonts w:ascii="Times New Roman" w:hAnsi="Times New Roman" w:eastAsia="宋体" w:cs="Times New Roman"/>
                <w:snapToGrid w:val="0"/>
                <w:color w:val="auto"/>
                <w:kern w:val="0"/>
                <w:sz w:val="21"/>
                <w:szCs w:val="21"/>
                <w:highlight w:val="none"/>
              </w:rPr>
              <w:t>落实污染物总量控制。</w:t>
            </w:r>
            <w:r>
              <w:rPr>
                <w:rFonts w:hint="eastAsia" w:ascii="Times New Roman" w:hAnsi="Times New Roman" w:eastAsia="宋体" w:cs="Times New Roman"/>
                <w:snapToGrid w:val="0"/>
                <w:color w:val="auto"/>
                <w:kern w:val="0"/>
                <w:sz w:val="21"/>
                <w:szCs w:val="21"/>
                <w:highlight w:val="none"/>
                <w:lang w:val="en-US" w:eastAsia="zh-CN"/>
              </w:rPr>
              <w:t>本项目</w:t>
            </w:r>
            <w:r>
              <w:rPr>
                <w:rFonts w:hint="eastAsia" w:ascii="Times New Roman" w:hAnsi="Times New Roman" w:eastAsia="宋体" w:cs="Times New Roman"/>
                <w:snapToGrid w:val="0"/>
                <w:color w:val="auto"/>
                <w:kern w:val="0"/>
                <w:sz w:val="21"/>
                <w:szCs w:val="21"/>
                <w:highlight w:val="none"/>
              </w:rPr>
              <w:t>发酵清洗废水、分离废水</w:t>
            </w:r>
            <w:r>
              <w:rPr>
                <w:rFonts w:hint="eastAsia" w:ascii="Times New Roman" w:hAnsi="Times New Roman" w:eastAsia="宋体" w:cs="Times New Roman"/>
                <w:color w:val="auto"/>
                <w:kern w:val="0"/>
                <w:sz w:val="21"/>
                <w:szCs w:val="21"/>
                <w:highlight w:val="none"/>
              </w:rPr>
              <w:t>经调节池调节</w:t>
            </w:r>
            <w:r>
              <w:rPr>
                <w:rFonts w:hint="eastAsia" w:ascii="Times New Roman" w:hAnsi="Times New Roman" w:eastAsia="宋体" w:cs="Times New Roman"/>
                <w:color w:val="auto"/>
                <w:kern w:val="0"/>
                <w:sz w:val="21"/>
                <w:szCs w:val="21"/>
                <w:highlight w:val="none"/>
                <w:lang w:val="en-US" w:eastAsia="zh-CN"/>
              </w:rPr>
              <w:t>后</w:t>
            </w:r>
            <w:r>
              <w:rPr>
                <w:rFonts w:hint="eastAsia" w:ascii="Times New Roman" w:hAnsi="Times New Roman" w:eastAsia="宋体" w:cs="Times New Roman"/>
                <w:snapToGrid w:val="0"/>
                <w:color w:val="auto"/>
                <w:kern w:val="0"/>
                <w:sz w:val="21"/>
                <w:szCs w:val="21"/>
                <w:highlight w:val="none"/>
                <w:lang w:val="en-US" w:eastAsia="zh-CN"/>
              </w:rPr>
              <w:t>排入</w:t>
            </w:r>
            <w:r>
              <w:rPr>
                <w:rFonts w:hint="eastAsia" w:ascii="Times New Roman" w:hAnsi="Times New Roman" w:eastAsia="宋体" w:cs="Times New Roman"/>
                <w:snapToGrid w:val="0"/>
                <w:color w:val="auto"/>
                <w:kern w:val="0"/>
                <w:sz w:val="21"/>
                <w:szCs w:val="21"/>
                <w:highlight w:val="none"/>
              </w:rPr>
              <w:t>西区污水处理厂</w:t>
            </w:r>
            <w:r>
              <w:rPr>
                <w:rFonts w:hint="eastAsia" w:ascii="Times New Roman" w:hAnsi="Times New Roman" w:eastAsia="宋体" w:cs="Times New Roman"/>
                <w:snapToGrid w:val="0"/>
                <w:color w:val="auto"/>
                <w:kern w:val="0"/>
                <w:sz w:val="21"/>
                <w:szCs w:val="21"/>
                <w:highlight w:val="none"/>
                <w:lang w:val="en-US" w:eastAsia="zh-CN"/>
              </w:rPr>
              <w:t>二</w:t>
            </w:r>
            <w:r>
              <w:rPr>
                <w:rFonts w:hint="eastAsia" w:ascii="Times New Roman" w:hAnsi="Times New Roman" w:eastAsia="宋体" w:cs="Times New Roman"/>
                <w:snapToGrid w:val="0"/>
                <w:color w:val="auto"/>
                <w:kern w:val="0"/>
                <w:sz w:val="21"/>
                <w:szCs w:val="21"/>
                <w:highlight w:val="none"/>
              </w:rPr>
              <w:t>期工程</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循环水排污依托现有污水处理站中水段</w:t>
            </w:r>
            <w:r>
              <w:rPr>
                <w:rFonts w:hint="eastAsia" w:ascii="Times New Roman" w:hAnsi="Times New Roman" w:eastAsia="宋体" w:cs="Times New Roman"/>
                <w:snapToGrid w:val="0"/>
                <w:color w:val="auto"/>
                <w:kern w:val="0"/>
                <w:sz w:val="21"/>
                <w:szCs w:val="21"/>
                <w:highlight w:val="none"/>
                <w:lang w:val="en-US" w:eastAsia="zh-CN"/>
              </w:rPr>
              <w:t>处理；</w:t>
            </w:r>
            <w:r>
              <w:rPr>
                <w:rFonts w:hint="eastAsia" w:ascii="Times New Roman" w:hAnsi="Times New Roman" w:eastAsia="宋体" w:cs="Times New Roman"/>
                <w:snapToGrid w:val="0"/>
                <w:color w:val="auto"/>
                <w:kern w:val="0"/>
                <w:sz w:val="21"/>
                <w:szCs w:val="21"/>
                <w:highlight w:val="none"/>
              </w:rPr>
              <w:t>生活污水</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水洗塔定排和碱洗塔定排</w:t>
            </w:r>
            <w:r>
              <w:rPr>
                <w:rFonts w:hint="eastAsia" w:ascii="Times New Roman" w:hAnsi="Times New Roman" w:eastAsia="宋体" w:cs="Times New Roman"/>
                <w:snapToGrid w:val="0"/>
                <w:color w:val="auto"/>
                <w:kern w:val="0"/>
                <w:sz w:val="21"/>
                <w:szCs w:val="21"/>
                <w:highlight w:val="none"/>
                <w:lang w:val="en-US" w:eastAsia="zh-CN"/>
              </w:rPr>
              <w:t>依托现有污水处理站生化段处理后</w:t>
            </w:r>
            <w:r>
              <w:rPr>
                <w:rFonts w:hint="eastAsia" w:ascii="Times New Roman" w:hAnsi="Times New Roman" w:eastAsia="宋体" w:cs="Times New Roman"/>
                <w:snapToGrid w:val="0"/>
                <w:color w:val="auto"/>
                <w:kern w:val="0"/>
                <w:sz w:val="21"/>
                <w:szCs w:val="21"/>
                <w:highlight w:val="none"/>
              </w:rPr>
              <w:t>排入西区污水处理厂</w:t>
            </w:r>
            <w:r>
              <w:rPr>
                <w:rFonts w:hint="eastAsia" w:ascii="Times New Roman" w:hAnsi="Times New Roman" w:eastAsia="宋体" w:cs="Times New Roman"/>
                <w:snapToGrid w:val="0"/>
                <w:color w:val="auto"/>
                <w:kern w:val="0"/>
                <w:sz w:val="21"/>
                <w:szCs w:val="21"/>
                <w:highlight w:val="none"/>
                <w:lang w:val="en-US" w:eastAsia="zh-CN"/>
              </w:rPr>
              <w:t>一</w:t>
            </w:r>
            <w:r>
              <w:rPr>
                <w:rFonts w:hint="eastAsia" w:ascii="Times New Roman" w:hAnsi="Times New Roman" w:eastAsia="宋体" w:cs="Times New Roman"/>
                <w:snapToGrid w:val="0"/>
                <w:color w:val="auto"/>
                <w:kern w:val="0"/>
                <w:sz w:val="21"/>
                <w:szCs w:val="21"/>
                <w:highlight w:val="none"/>
              </w:rPr>
              <w:t>期</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固体废物均能够得到妥善处置。</w:t>
            </w:r>
            <w:r>
              <w:rPr>
                <w:rFonts w:hint="eastAsia" w:ascii="Times New Roman" w:hAnsi="Times New Roman" w:eastAsia="宋体" w:cs="Times New Roman"/>
                <w:snapToGrid w:val="0"/>
                <w:color w:val="auto"/>
                <w:kern w:val="0"/>
                <w:sz w:val="21"/>
                <w:szCs w:val="21"/>
                <w:highlight w:val="none"/>
              </w:rPr>
              <w:t>本项目按照《建设项目环境影响评价分类管理名录（2021年版）》要求编制</w:t>
            </w:r>
            <w:r>
              <w:rPr>
                <w:rFonts w:hint="eastAsia" w:ascii="Times New Roman" w:hAnsi="Times New Roman" w:eastAsia="宋体" w:cs="Times New Roman"/>
                <w:snapToGrid w:val="0"/>
                <w:color w:val="auto"/>
                <w:kern w:val="0"/>
                <w:sz w:val="21"/>
                <w:szCs w:val="21"/>
                <w:highlight w:val="none"/>
                <w:lang w:val="en-US" w:eastAsia="zh-CN"/>
              </w:rPr>
              <w:t>生态</w:t>
            </w:r>
            <w:r>
              <w:rPr>
                <w:rFonts w:hint="eastAsia" w:ascii="Times New Roman" w:hAnsi="Times New Roman" w:eastAsia="宋体" w:cs="Times New Roman"/>
                <w:snapToGrid w:val="0"/>
                <w:color w:val="auto"/>
                <w:kern w:val="0"/>
                <w:sz w:val="21"/>
                <w:szCs w:val="21"/>
                <w:highlight w:val="none"/>
              </w:rPr>
              <w:t>环境影响报告书。</w:t>
            </w:r>
          </w:p>
        </w:tc>
        <w:tc>
          <w:tcPr>
            <w:tcW w:w="411" w:type="pct"/>
            <w:shd w:val="clear" w:color="auto" w:fill="auto"/>
            <w:vAlign w:val="center"/>
          </w:tcPr>
          <w:p w14:paraId="7D5AE87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770D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273" w:type="pct"/>
            <w:shd w:val="clear" w:color="auto" w:fill="auto"/>
            <w:vAlign w:val="center"/>
          </w:tcPr>
          <w:p w14:paraId="478B50BE">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严格空间管控，优化化工产业集中区空间布局。</w:t>
            </w:r>
          </w:p>
          <w:p w14:paraId="0BEC34D3">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进一步优化乌苏市化工产业集中区的空间布局，通过优化化工产业集中区产业空间布局、调整土地用途等方式，完善生态保障空间要求。保护区域大气环境质量、化工产业集中区周边地表水水体水质、区域地下水环境、土壤环境，对乌苏市化工产业集中区中入驻企业提出具体管控要求。衔接最新自治区和塔城地区“三线一单”成果，落实、细化化工产业集中区所在生态环境管控单元的管控要求，保障规划实施不突破区域生态保护红线、环境质量底线和资源利用上线。做好与乌苏市国土空间规划的衔接，从全局的角度以资源承载能力和国土空间开发适宜性评价来支撑化工产业集中区规划实施，确保化工产业集中区产业布局与生态环境保护、人居环境安全相协调。</w:t>
            </w:r>
          </w:p>
        </w:tc>
        <w:tc>
          <w:tcPr>
            <w:tcW w:w="1315" w:type="pct"/>
            <w:shd w:val="clear" w:color="auto" w:fill="auto"/>
            <w:vAlign w:val="center"/>
          </w:tcPr>
          <w:p w14:paraId="39D3892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本项目以生物发酵法生产</w:t>
            </w:r>
            <w:r>
              <w:rPr>
                <w:rFonts w:hint="eastAsia" w:ascii="Times New Roman" w:hAnsi="Times New Roman" w:eastAsia="宋体" w:cs="Times New Roman"/>
                <w:snapToGrid w:val="0"/>
                <w:color w:val="auto"/>
                <w:kern w:val="0"/>
                <w:sz w:val="21"/>
                <w:szCs w:val="21"/>
                <w:highlight w:val="none"/>
                <w:lang w:eastAsia="zh-CN"/>
              </w:rPr>
              <w:t>二元酸</w:t>
            </w:r>
            <w:r>
              <w:rPr>
                <w:rFonts w:hint="eastAsia" w:ascii="Times New Roman" w:hAnsi="Times New Roman" w:eastAsia="宋体" w:cs="Times New Roman"/>
                <w:snapToGrid w:val="0"/>
                <w:color w:val="auto"/>
                <w:kern w:val="0"/>
                <w:sz w:val="21"/>
                <w:szCs w:val="21"/>
                <w:highlight w:val="none"/>
              </w:rPr>
              <w:t>，属于乌苏市化工产业集中区产业发展定位中生物基化工新材料，</w:t>
            </w:r>
            <w:r>
              <w:rPr>
                <w:rFonts w:ascii="Times New Roman" w:hAnsi="Times New Roman" w:eastAsia="宋体" w:cs="Times New Roman"/>
                <w:snapToGrid w:val="0"/>
                <w:color w:val="auto"/>
                <w:kern w:val="0"/>
                <w:sz w:val="21"/>
                <w:szCs w:val="21"/>
                <w:highlight w:val="none"/>
              </w:rPr>
              <w:t>采取严格的</w:t>
            </w:r>
            <w:r>
              <w:rPr>
                <w:rFonts w:hint="eastAsia" w:ascii="Times New Roman" w:hAnsi="Times New Roman" w:eastAsia="宋体" w:cs="Times New Roman"/>
                <w:snapToGrid w:val="0"/>
                <w:color w:val="auto"/>
                <w:kern w:val="0"/>
                <w:sz w:val="21"/>
                <w:szCs w:val="21"/>
                <w:highlight w:val="none"/>
                <w:lang w:val="en-US" w:eastAsia="zh-CN"/>
              </w:rPr>
              <w:t>生态</w:t>
            </w:r>
            <w:r>
              <w:rPr>
                <w:rFonts w:hint="eastAsia" w:ascii="Times New Roman" w:hAnsi="Times New Roman" w:eastAsia="宋体" w:cs="Times New Roman"/>
                <w:snapToGrid w:val="0"/>
                <w:color w:val="auto"/>
                <w:kern w:val="0"/>
                <w:sz w:val="21"/>
                <w:szCs w:val="21"/>
                <w:highlight w:val="none"/>
              </w:rPr>
              <w:t>环境</w:t>
            </w:r>
            <w:r>
              <w:rPr>
                <w:rFonts w:ascii="Times New Roman" w:hAnsi="Times New Roman" w:eastAsia="宋体" w:cs="Times New Roman"/>
                <w:snapToGrid w:val="0"/>
                <w:color w:val="auto"/>
                <w:kern w:val="0"/>
                <w:sz w:val="21"/>
                <w:szCs w:val="21"/>
                <w:highlight w:val="none"/>
              </w:rPr>
              <w:t>保护措施</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符合塔城地区生态环境分区管控要求。</w:t>
            </w:r>
          </w:p>
        </w:tc>
        <w:tc>
          <w:tcPr>
            <w:tcW w:w="411" w:type="pct"/>
            <w:shd w:val="clear" w:color="auto" w:fill="auto"/>
            <w:vAlign w:val="center"/>
          </w:tcPr>
          <w:p w14:paraId="5882015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7561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273" w:type="pct"/>
            <w:shd w:val="clear" w:color="auto" w:fill="auto"/>
            <w:vAlign w:val="center"/>
          </w:tcPr>
          <w:p w14:paraId="239FF814">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建立健全环境监测监控体系、完善环境风险应急能力建设。</w:t>
            </w:r>
          </w:p>
          <w:p w14:paraId="6D33F5BC">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根据乌苏市化工产业集中区功能分区、产业布局、重点企业分布、特征污染物的排放种类和状况、环境敏感目标分布等情况,建立包括环境空气、地表水、噪声、固废、地下水和土壤等环境要素的监控体系，并根据环境影响区域污染物削减措施实施的进度和效果等适时优化。定期开展环境质量跟踪监测，明确责任主体和实施时限，重点关注大气环境质量变化。要积极防范和及时处置可能出现的环境风险,着重做好乌苏市化工产业集中区内企业危险化学品、危险废物等储运的环境风险管理，强化应急响应联动机制，保证区域的环境安全，切实防止事故情况下对生态空间管控区造成不良影响。</w:t>
            </w:r>
          </w:p>
        </w:tc>
        <w:tc>
          <w:tcPr>
            <w:tcW w:w="1315" w:type="pct"/>
            <w:shd w:val="clear" w:color="auto" w:fill="auto"/>
            <w:vAlign w:val="center"/>
          </w:tcPr>
          <w:p w14:paraId="6A1469C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本项目提出了有效的风险防范措施，并要求与区域联动</w:t>
            </w:r>
            <w:r>
              <w:rPr>
                <w:rFonts w:hint="eastAsia" w:ascii="Times New Roman" w:hAnsi="Times New Roman" w:eastAsia="宋体" w:cs="Times New Roman"/>
                <w:snapToGrid w:val="0"/>
                <w:color w:val="auto"/>
                <w:kern w:val="0"/>
                <w:sz w:val="21"/>
                <w:szCs w:val="21"/>
                <w:highlight w:val="none"/>
              </w:rPr>
              <w:t>；同时</w:t>
            </w:r>
            <w:r>
              <w:rPr>
                <w:rFonts w:ascii="Times New Roman" w:hAnsi="Times New Roman" w:eastAsia="宋体" w:cs="Times New Roman"/>
                <w:snapToGrid w:val="0"/>
                <w:color w:val="auto"/>
                <w:kern w:val="0"/>
                <w:sz w:val="21"/>
                <w:szCs w:val="21"/>
                <w:highlight w:val="none"/>
              </w:rPr>
              <w:t>建立了</w:t>
            </w:r>
            <w:r>
              <w:rPr>
                <w:rFonts w:hint="eastAsia" w:ascii="Times New Roman" w:hAnsi="Times New Roman" w:eastAsia="宋体" w:cs="Times New Roman"/>
                <w:snapToGrid w:val="0"/>
                <w:color w:val="auto"/>
                <w:kern w:val="0"/>
                <w:sz w:val="21"/>
                <w:szCs w:val="21"/>
                <w:highlight w:val="none"/>
                <w:lang w:val="en-US" w:eastAsia="zh-CN"/>
              </w:rPr>
              <w:t>生态</w:t>
            </w:r>
            <w:r>
              <w:rPr>
                <w:rFonts w:ascii="Times New Roman" w:hAnsi="Times New Roman" w:eastAsia="宋体" w:cs="Times New Roman"/>
                <w:snapToGrid w:val="0"/>
                <w:color w:val="auto"/>
                <w:kern w:val="0"/>
                <w:sz w:val="21"/>
                <w:szCs w:val="21"/>
                <w:highlight w:val="none"/>
              </w:rPr>
              <w:t>环境</w:t>
            </w:r>
            <w:r>
              <w:rPr>
                <w:rFonts w:hint="eastAsia" w:ascii="Times New Roman" w:hAnsi="Times New Roman" w:eastAsia="宋体" w:cs="Times New Roman"/>
                <w:snapToGrid w:val="0"/>
                <w:color w:val="auto"/>
                <w:kern w:val="0"/>
                <w:sz w:val="21"/>
                <w:szCs w:val="21"/>
                <w:highlight w:val="none"/>
                <w:lang w:val="en-US" w:eastAsia="zh-CN"/>
              </w:rPr>
              <w:t>监测</w:t>
            </w:r>
            <w:r>
              <w:rPr>
                <w:rFonts w:ascii="Times New Roman" w:hAnsi="Times New Roman" w:eastAsia="宋体" w:cs="Times New Roman"/>
                <w:snapToGrid w:val="0"/>
                <w:color w:val="auto"/>
                <w:kern w:val="0"/>
                <w:sz w:val="21"/>
                <w:szCs w:val="21"/>
                <w:highlight w:val="none"/>
              </w:rPr>
              <w:t>计划。</w:t>
            </w:r>
          </w:p>
        </w:tc>
        <w:tc>
          <w:tcPr>
            <w:tcW w:w="411" w:type="pct"/>
            <w:shd w:val="clear" w:color="auto" w:fill="auto"/>
            <w:vAlign w:val="center"/>
          </w:tcPr>
          <w:p w14:paraId="6BB862F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bl>
    <w:p w14:paraId="692215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lang w:bidi="en-US"/>
        </w:rPr>
      </w:pPr>
      <w:r>
        <w:rPr>
          <w:rFonts w:hint="eastAsia"/>
          <w:snapToGrid w:val="0"/>
          <w:color w:val="auto"/>
          <w:kern w:val="0"/>
          <w:sz w:val="24"/>
          <w:highlight w:val="none"/>
          <w:lang w:bidi="en-US"/>
        </w:rPr>
        <w:t>综合分析，本项目建设符合</w:t>
      </w:r>
      <w:r>
        <w:rPr>
          <w:rFonts w:hint="eastAsia"/>
          <w:snapToGrid w:val="0"/>
          <w:color w:val="auto"/>
          <w:kern w:val="0"/>
          <w:sz w:val="24"/>
          <w:highlight w:val="none"/>
        </w:rPr>
        <w:t>《乌苏市化工产业集中区总体规划（2024-2035年）环境影响报告书》</w:t>
      </w:r>
      <w:r>
        <w:rPr>
          <w:rFonts w:hint="eastAsia"/>
          <w:snapToGrid w:val="0"/>
          <w:color w:val="auto"/>
          <w:kern w:val="0"/>
          <w:sz w:val="24"/>
          <w:highlight w:val="none"/>
          <w:lang w:val="en-US" w:eastAsia="zh-CN"/>
        </w:rPr>
        <w:t>及其</w:t>
      </w:r>
      <w:r>
        <w:rPr>
          <w:rFonts w:hint="eastAsia"/>
          <w:snapToGrid w:val="0"/>
          <w:color w:val="auto"/>
          <w:kern w:val="0"/>
          <w:sz w:val="24"/>
          <w:highlight w:val="none"/>
        </w:rPr>
        <w:t>审查意见</w:t>
      </w:r>
      <w:r>
        <w:rPr>
          <w:rFonts w:hint="eastAsia"/>
          <w:snapToGrid w:val="0"/>
          <w:color w:val="auto"/>
          <w:kern w:val="0"/>
          <w:sz w:val="24"/>
          <w:highlight w:val="none"/>
          <w:lang w:eastAsia="zh-CN"/>
        </w:rPr>
        <w:t>的</w:t>
      </w:r>
      <w:r>
        <w:rPr>
          <w:rFonts w:hint="eastAsia"/>
          <w:snapToGrid w:val="0"/>
          <w:color w:val="auto"/>
          <w:kern w:val="0"/>
          <w:sz w:val="24"/>
          <w:highlight w:val="none"/>
          <w:lang w:bidi="en-US"/>
        </w:rPr>
        <w:t>相关要求。</w:t>
      </w:r>
    </w:p>
    <w:p w14:paraId="1FD32A62">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color w:val="auto"/>
          <w:spacing w:val="0"/>
          <w:w w:val="100"/>
          <w:kern w:val="0"/>
          <w:sz w:val="24"/>
          <w:szCs w:val="24"/>
          <w:highlight w:val="none"/>
        </w:rPr>
      </w:pPr>
      <w:r>
        <w:rPr>
          <w:rFonts w:hint="eastAsia" w:ascii="Times New Roman" w:hAnsi="Times New Roman" w:cs="Times New Roman"/>
          <w:color w:val="auto"/>
          <w:spacing w:val="0"/>
          <w:w w:val="100"/>
          <w:kern w:val="0"/>
          <w:sz w:val="24"/>
          <w:szCs w:val="24"/>
          <w:highlight w:val="none"/>
        </w:rPr>
        <w:t>1.4.3其他规划符合性分析</w:t>
      </w:r>
    </w:p>
    <w:p w14:paraId="040A1C8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1.4.3.1与《</w:t>
      </w:r>
      <w:r>
        <w:rPr>
          <w:rFonts w:hint="eastAsia" w:ascii="宋体" w:hAnsi="宋体" w:eastAsia="宋体" w:cs="宋体"/>
          <w:b/>
          <w:bCs w:val="0"/>
          <w:snapToGrid w:val="0"/>
          <w:color w:val="auto"/>
          <w:spacing w:val="0"/>
          <w:w w:val="100"/>
          <w:kern w:val="0"/>
          <w:sz w:val="24"/>
          <w:szCs w:val="24"/>
          <w:highlight w:val="none"/>
          <w:lang w:val="en-US" w:eastAsia="zh-CN"/>
        </w:rPr>
        <w:t>工业绿色低碳发展“十五五”规划</w:t>
      </w:r>
      <w:r>
        <w:rPr>
          <w:rFonts w:hint="eastAsia" w:ascii="宋体" w:hAnsi="宋体" w:eastAsia="宋体" w:cs="宋体"/>
          <w:b/>
          <w:bCs w:val="0"/>
          <w:snapToGrid w:val="0"/>
          <w:color w:val="auto"/>
          <w:spacing w:val="0"/>
          <w:w w:val="100"/>
          <w:kern w:val="0"/>
          <w:sz w:val="24"/>
          <w:szCs w:val="24"/>
          <w:highlight w:val="none"/>
        </w:rPr>
        <w:t>》符合性分析</w:t>
      </w:r>
    </w:p>
    <w:p w14:paraId="05658DE9">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工业绿色低碳发展“十五五”规划</w:t>
      </w:r>
      <w:r>
        <w:rPr>
          <w:rFonts w:hint="eastAsia"/>
          <w:snapToGrid w:val="0"/>
          <w:color w:val="auto"/>
          <w:kern w:val="0"/>
          <w:sz w:val="24"/>
          <w:highlight w:val="none"/>
        </w:rPr>
        <w:t>》（工信部规〔</w:t>
      </w:r>
      <w:r>
        <w:rPr>
          <w:rFonts w:hint="eastAsia"/>
          <w:snapToGrid w:val="0"/>
          <w:color w:val="auto"/>
          <w:kern w:val="0"/>
          <w:sz w:val="24"/>
          <w:highlight w:val="none"/>
          <w:lang w:val="en-US" w:eastAsia="zh-CN"/>
        </w:rPr>
        <w:t>2026</w:t>
      </w:r>
      <w:r>
        <w:rPr>
          <w:rFonts w:hint="eastAsia"/>
          <w:snapToGrid w:val="0"/>
          <w:color w:val="auto"/>
          <w:kern w:val="0"/>
          <w:sz w:val="24"/>
          <w:highlight w:val="none"/>
        </w:rPr>
        <w:t>〕</w:t>
      </w:r>
      <w:r>
        <w:rPr>
          <w:rFonts w:hint="eastAsia"/>
          <w:snapToGrid w:val="0"/>
          <w:color w:val="auto"/>
          <w:kern w:val="0"/>
          <w:sz w:val="24"/>
          <w:highlight w:val="none"/>
          <w:lang w:val="en-US" w:eastAsia="zh-CN"/>
        </w:rPr>
        <w:t>169</w:t>
      </w:r>
      <w:r>
        <w:rPr>
          <w:rFonts w:hint="eastAsia"/>
          <w:snapToGrid w:val="0"/>
          <w:color w:val="auto"/>
          <w:kern w:val="0"/>
          <w:sz w:val="24"/>
          <w:highlight w:val="none"/>
        </w:rPr>
        <w:t>号）符合性分析见表1.4</w:t>
      </w:r>
      <w:r>
        <w:rPr>
          <w:rFonts w:hint="eastAsia"/>
          <w:snapToGrid w:val="0"/>
          <w:color w:val="auto"/>
          <w:kern w:val="0"/>
          <w:sz w:val="24"/>
          <w:highlight w:val="none"/>
          <w:lang w:val="en-US" w:eastAsia="zh-CN"/>
        </w:rPr>
        <w:t>-4</w:t>
      </w:r>
      <w:r>
        <w:rPr>
          <w:rFonts w:hint="eastAsia"/>
          <w:snapToGrid w:val="0"/>
          <w:color w:val="auto"/>
          <w:kern w:val="0"/>
          <w:sz w:val="24"/>
          <w:highlight w:val="none"/>
        </w:rPr>
        <w:t>。</w:t>
      </w:r>
    </w:p>
    <w:p w14:paraId="1F13EDFA">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4</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工业绿色低碳发展“十五五”规划</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01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21"/>
        <w:gridCol w:w="2591"/>
        <w:gridCol w:w="706"/>
      </w:tblGrid>
      <w:tr w14:paraId="0044A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8" w:type="pct"/>
            <w:shd w:val="clear" w:color="auto" w:fill="auto"/>
            <w:vAlign w:val="center"/>
          </w:tcPr>
          <w:p w14:paraId="2D043521">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规划</w:t>
            </w:r>
            <w:r>
              <w:rPr>
                <w:snapToGrid w:val="0"/>
                <w:color w:val="auto"/>
                <w:kern w:val="0"/>
                <w:szCs w:val="21"/>
                <w:highlight w:val="none"/>
              </w:rPr>
              <w:t>要求</w:t>
            </w:r>
          </w:p>
        </w:tc>
        <w:tc>
          <w:tcPr>
            <w:tcW w:w="1557" w:type="pct"/>
            <w:shd w:val="clear" w:color="auto" w:fill="auto"/>
            <w:vAlign w:val="center"/>
          </w:tcPr>
          <w:p w14:paraId="204123A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424" w:type="pct"/>
            <w:shd w:val="clear" w:color="auto" w:fill="auto"/>
            <w:vAlign w:val="center"/>
          </w:tcPr>
          <w:p w14:paraId="34CB004B">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7E500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8" w:type="pct"/>
            <w:shd w:val="clear" w:color="auto" w:fill="auto"/>
            <w:vAlign w:val="center"/>
          </w:tcPr>
          <w:p w14:paraId="06D94936">
            <w:pPr>
              <w:pStyle w:val="42"/>
              <w:widowControl/>
              <w:tabs>
                <w:tab w:val="left" w:pos="0"/>
              </w:tabs>
              <w:adjustRightInd w:val="0"/>
              <w:snapToGrid w:val="0"/>
              <w:ind w:left="0" w:firstLine="0" w:firstLineChars="0"/>
              <w:rPr>
                <w:snapToGrid w:val="0"/>
                <w:color w:val="auto"/>
                <w:kern w:val="0"/>
                <w:szCs w:val="21"/>
                <w:highlight w:val="none"/>
              </w:rPr>
            </w:pPr>
            <w:r>
              <w:rPr>
                <w:rFonts w:hint="eastAsia"/>
                <w:snapToGrid w:val="0"/>
                <w:color w:val="auto"/>
                <w:kern w:val="0"/>
                <w:szCs w:val="21"/>
                <w:highlight w:val="none"/>
              </w:rPr>
              <w:t>3.加力推进工业重点行业节能降碳。全面实施碳排放总量和强度双控制度，完善工业领域碳管理体系。聚焦钢铁、有色、石化化工、建材、光伏、算力设施等重点行业领域，加大工业节能监察执法力度，强化能效、碳排放等相关标准约束作用，提升能效碳效水平。</w:t>
            </w:r>
          </w:p>
        </w:tc>
        <w:tc>
          <w:tcPr>
            <w:tcW w:w="1557" w:type="pct"/>
            <w:shd w:val="clear" w:color="auto" w:fill="auto"/>
            <w:vAlign w:val="center"/>
          </w:tcPr>
          <w:p w14:paraId="04AE454D">
            <w:pPr>
              <w:pStyle w:val="42"/>
              <w:widowControl/>
              <w:tabs>
                <w:tab w:val="left" w:pos="0"/>
              </w:tabs>
              <w:adjustRightInd w:val="0"/>
              <w:snapToGrid w:val="0"/>
              <w:ind w:left="0" w:firstLine="0" w:firstLineChars="0"/>
              <w:rPr>
                <w:rFonts w:hint="eastAsia" w:eastAsia="宋体"/>
                <w:snapToGrid w:val="0"/>
                <w:color w:val="auto"/>
                <w:kern w:val="0"/>
                <w:szCs w:val="21"/>
                <w:highlight w:val="none"/>
                <w:lang w:val="en-US" w:eastAsia="zh-CN"/>
              </w:rPr>
            </w:pPr>
            <w:r>
              <w:rPr>
                <w:rFonts w:hint="eastAsia" w:ascii="Times New Roman" w:hAnsi="Times New Roman" w:eastAsia="宋体" w:cs="Times New Roman"/>
                <w:snapToGrid w:val="0"/>
                <w:color w:val="auto"/>
                <w:spacing w:val="-6"/>
                <w:kern w:val="0"/>
                <w:sz w:val="21"/>
                <w:szCs w:val="21"/>
                <w:highlight w:val="none"/>
                <w:lang w:val="en-US" w:eastAsia="zh-CN" w:bidi="ar-SA"/>
              </w:rPr>
              <w:t>本项目采取了一系列节能降耗措施，主要包括照明系统采用节能光源等；充分利用自然光和自然通风；供水、风机等设备均采用智能变频控制。</w:t>
            </w:r>
          </w:p>
        </w:tc>
        <w:tc>
          <w:tcPr>
            <w:tcW w:w="424" w:type="pct"/>
            <w:shd w:val="clear" w:color="auto" w:fill="auto"/>
            <w:vAlign w:val="center"/>
          </w:tcPr>
          <w:p w14:paraId="3C9AB4F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bl>
    <w:p w14:paraId="7B0A834B">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综合分析，本项目采用生物发酵生产</w:t>
      </w:r>
      <w:r>
        <w:rPr>
          <w:rFonts w:hint="eastAsia" w:ascii="Times New Roman" w:hAnsi="Times New Roman" w:eastAsia="宋体" w:cs="Times New Roman"/>
          <w:snapToGrid w:val="0"/>
          <w:color w:val="auto"/>
          <w:kern w:val="0"/>
          <w:sz w:val="24"/>
          <w:highlight w:val="none"/>
          <w:lang w:eastAsia="zh-CN"/>
        </w:rPr>
        <w:t>二元酸</w:t>
      </w:r>
      <w:r>
        <w:rPr>
          <w:rFonts w:hint="eastAsia" w:ascii="Times New Roman" w:hAnsi="Times New Roman" w:eastAsia="宋体" w:cs="Times New Roman"/>
          <w:snapToGrid w:val="0"/>
          <w:color w:val="auto"/>
          <w:kern w:val="0"/>
          <w:sz w:val="24"/>
          <w:highlight w:val="none"/>
        </w:rPr>
        <w:t>，比传统化学合成生产工艺在环保、物耗、能耗上均有巨大优势，同时项目采取了一系列节能降耗措施，符合《</w:t>
      </w:r>
      <w:r>
        <w:rPr>
          <w:rFonts w:hint="eastAsia" w:ascii="Times New Roman" w:hAnsi="Times New Roman" w:eastAsia="宋体" w:cs="Times New Roman"/>
          <w:snapToGrid w:val="0"/>
          <w:color w:val="auto"/>
          <w:kern w:val="0"/>
          <w:sz w:val="24"/>
          <w:highlight w:val="none"/>
          <w:lang w:val="en-US" w:eastAsia="zh-CN"/>
        </w:rPr>
        <w:t>工业绿色低碳发展“十五五”规划</w:t>
      </w:r>
      <w:r>
        <w:rPr>
          <w:rFonts w:hint="eastAsia" w:ascii="Times New Roman" w:hAnsi="Times New Roman" w:eastAsia="宋体" w:cs="Times New Roman"/>
          <w:snapToGrid w:val="0"/>
          <w:color w:val="auto"/>
          <w:kern w:val="0"/>
          <w:sz w:val="24"/>
          <w:highlight w:val="none"/>
        </w:rPr>
        <w:t>》的相关要求。</w:t>
      </w:r>
    </w:p>
    <w:p w14:paraId="2BB11BC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1.4.3.2与《</w:t>
      </w:r>
      <w:r>
        <w:rPr>
          <w:rFonts w:hint="eastAsia" w:ascii="宋体" w:hAnsi="宋体" w:eastAsia="宋体" w:cs="宋体"/>
          <w:b/>
          <w:bCs w:val="0"/>
          <w:snapToGrid w:val="0"/>
          <w:color w:val="auto"/>
          <w:spacing w:val="0"/>
          <w:w w:val="100"/>
          <w:kern w:val="0"/>
          <w:sz w:val="24"/>
          <w:szCs w:val="24"/>
          <w:highlight w:val="none"/>
          <w:lang w:val="en-US" w:eastAsia="zh-CN"/>
        </w:rPr>
        <w:t>“十五五”碳达峰行动方案</w:t>
      </w:r>
      <w:r>
        <w:rPr>
          <w:rFonts w:hint="eastAsia" w:ascii="宋体" w:hAnsi="宋体" w:eastAsia="宋体" w:cs="宋体"/>
          <w:b/>
          <w:bCs w:val="0"/>
          <w:snapToGrid w:val="0"/>
          <w:color w:val="auto"/>
          <w:spacing w:val="0"/>
          <w:w w:val="100"/>
          <w:kern w:val="0"/>
          <w:sz w:val="24"/>
          <w:szCs w:val="24"/>
          <w:highlight w:val="none"/>
        </w:rPr>
        <w:t>》符合性分析</w:t>
      </w:r>
    </w:p>
    <w:p w14:paraId="0648A6ED">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本项目与《</w:t>
      </w:r>
      <w:r>
        <w:rPr>
          <w:rFonts w:hint="eastAsia" w:ascii="Times New Roman" w:hAnsi="Times New Roman" w:eastAsia="宋体" w:cs="Times New Roman"/>
          <w:snapToGrid w:val="0"/>
          <w:color w:val="auto"/>
          <w:kern w:val="0"/>
          <w:sz w:val="24"/>
          <w:highlight w:val="none"/>
          <w:lang w:val="en-US" w:eastAsia="zh-CN"/>
        </w:rPr>
        <w:t>“十五五”碳达峰行动方案</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国发</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2026</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22</w:t>
      </w:r>
      <w:r>
        <w:rPr>
          <w:rFonts w:hint="eastAsia" w:ascii="Times New Roman" w:hAnsi="Times New Roman" w:eastAsia="宋体" w:cs="Times New Roman"/>
          <w:snapToGrid w:val="0"/>
          <w:color w:val="auto"/>
          <w:kern w:val="0"/>
          <w:sz w:val="24"/>
          <w:highlight w:val="none"/>
        </w:rPr>
        <w:t>号）符合性分析见表1.4-</w:t>
      </w:r>
      <w:r>
        <w:rPr>
          <w:rFonts w:hint="eastAsia" w:ascii="Times New Roman" w:hAnsi="Times New Roman" w:eastAsia="宋体" w:cs="Times New Roman"/>
          <w:snapToGrid w:val="0"/>
          <w:color w:val="auto"/>
          <w:kern w:val="0"/>
          <w:sz w:val="24"/>
          <w:highlight w:val="none"/>
          <w:lang w:val="en-US" w:eastAsia="zh-CN"/>
        </w:rPr>
        <w:t>5</w:t>
      </w:r>
      <w:r>
        <w:rPr>
          <w:rFonts w:hint="eastAsia" w:ascii="Times New Roman" w:hAnsi="Times New Roman" w:eastAsia="宋体" w:cs="Times New Roman"/>
          <w:snapToGrid w:val="0"/>
          <w:color w:val="auto"/>
          <w:kern w:val="0"/>
          <w:sz w:val="24"/>
          <w:highlight w:val="none"/>
        </w:rPr>
        <w:t>。</w:t>
      </w:r>
    </w:p>
    <w:p w14:paraId="4A6B89D8">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5</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“十五五”碳达峰行动方案</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0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179"/>
        <w:gridCol w:w="3453"/>
        <w:gridCol w:w="706"/>
      </w:tblGrid>
      <w:tr w14:paraId="2C801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06" w:type="pct"/>
            <w:shd w:val="clear" w:color="auto" w:fill="auto"/>
            <w:vAlign w:val="center"/>
          </w:tcPr>
          <w:p w14:paraId="36292FA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规划</w:t>
            </w:r>
            <w:r>
              <w:rPr>
                <w:rFonts w:ascii="Times New Roman" w:hAnsi="Times New Roman" w:eastAsia="宋体" w:cs="Times New Roman"/>
                <w:snapToGrid w:val="0"/>
                <w:color w:val="auto"/>
                <w:kern w:val="0"/>
                <w:sz w:val="21"/>
                <w:szCs w:val="21"/>
                <w:highlight w:val="none"/>
              </w:rPr>
              <w:t>要求</w:t>
            </w:r>
          </w:p>
        </w:tc>
        <w:tc>
          <w:tcPr>
            <w:tcW w:w="2070" w:type="pct"/>
            <w:shd w:val="clear" w:color="auto" w:fill="auto"/>
            <w:vAlign w:val="center"/>
          </w:tcPr>
          <w:p w14:paraId="15B1484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情况</w:t>
            </w:r>
          </w:p>
        </w:tc>
        <w:tc>
          <w:tcPr>
            <w:tcW w:w="423" w:type="pct"/>
            <w:shd w:val="clear" w:color="auto" w:fill="auto"/>
            <w:vAlign w:val="center"/>
          </w:tcPr>
          <w:p w14:paraId="31243FB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041C2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06" w:type="pct"/>
            <w:shd w:val="clear" w:color="auto" w:fill="auto"/>
            <w:vAlign w:val="center"/>
          </w:tcPr>
          <w:p w14:paraId="592243B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五</w:t>
            </w:r>
            <w:r>
              <w:rPr>
                <w:rFonts w:hint="eastAsia"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推动产业结构绿色低碳转型。稳妥有序推进重点行业化解结构性矛盾，依法依规淘汰落后低效产能和工艺设备。</w:t>
            </w:r>
          </w:p>
        </w:tc>
        <w:tc>
          <w:tcPr>
            <w:tcW w:w="2070" w:type="pct"/>
            <w:shd w:val="clear" w:color="auto" w:fill="auto"/>
            <w:vAlign w:val="center"/>
          </w:tcPr>
          <w:p w14:paraId="08B23A5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项目采用生物发酵生产</w:t>
            </w:r>
            <w:r>
              <w:rPr>
                <w:rFonts w:hint="default" w:ascii="Times New Roman" w:hAnsi="Times New Roman" w:eastAsia="宋体" w:cs="Times New Roman"/>
                <w:snapToGrid w:val="0"/>
                <w:color w:val="auto"/>
                <w:kern w:val="0"/>
                <w:sz w:val="21"/>
                <w:szCs w:val="21"/>
                <w:highlight w:val="none"/>
                <w:lang w:eastAsia="zh-CN"/>
              </w:rPr>
              <w:t>二元酸</w:t>
            </w:r>
            <w:r>
              <w:rPr>
                <w:rFonts w:hint="eastAsia" w:cs="Times New Roman"/>
                <w:snapToGrid w:val="0"/>
                <w:color w:val="auto"/>
                <w:kern w:val="0"/>
                <w:sz w:val="21"/>
                <w:szCs w:val="21"/>
                <w:highlight w:val="none"/>
                <w:lang w:eastAsia="zh-CN"/>
              </w:rPr>
              <w:t>，相</w:t>
            </w:r>
            <w:r>
              <w:rPr>
                <w:rFonts w:hint="default" w:ascii="Times New Roman" w:hAnsi="Times New Roman" w:eastAsia="宋体" w:cs="Times New Roman"/>
                <w:snapToGrid w:val="0"/>
                <w:color w:val="auto"/>
                <w:kern w:val="0"/>
                <w:sz w:val="21"/>
                <w:szCs w:val="21"/>
                <w:highlight w:val="none"/>
              </w:rPr>
              <w:t>比传统化学合成生产工艺在环保、物耗、能耗上均有巨大优势，生物法生产工艺简单、生产条件温和、整个生产过程在常温下进行、收率高、成本低</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不属于</w:t>
            </w:r>
            <w:r>
              <w:rPr>
                <w:rFonts w:hint="eastAsia" w:ascii="Times New Roman" w:hAnsi="Times New Roman" w:eastAsia="宋体" w:cs="Times New Roman"/>
                <w:snapToGrid w:val="0"/>
                <w:color w:val="auto"/>
                <w:kern w:val="0"/>
                <w:sz w:val="21"/>
                <w:szCs w:val="21"/>
                <w:highlight w:val="none"/>
              </w:rPr>
              <w:t>落后低效产能和工艺设备</w:t>
            </w:r>
            <w:r>
              <w:rPr>
                <w:rFonts w:hint="eastAsia" w:ascii="Times New Roman" w:hAnsi="Times New Roman" w:eastAsia="宋体" w:cs="Times New Roman"/>
                <w:snapToGrid w:val="0"/>
                <w:color w:val="auto"/>
                <w:kern w:val="0"/>
                <w:sz w:val="21"/>
                <w:szCs w:val="21"/>
                <w:highlight w:val="none"/>
                <w:lang w:eastAsia="zh-CN"/>
              </w:rPr>
              <w:t>。</w:t>
            </w:r>
          </w:p>
        </w:tc>
        <w:tc>
          <w:tcPr>
            <w:tcW w:w="423" w:type="pct"/>
            <w:shd w:val="clear" w:color="auto" w:fill="auto"/>
            <w:vAlign w:val="center"/>
          </w:tcPr>
          <w:p w14:paraId="7D1DF22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3F91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06" w:type="pct"/>
            <w:shd w:val="clear" w:color="auto" w:fill="auto"/>
            <w:vAlign w:val="center"/>
          </w:tcPr>
          <w:p w14:paraId="466EB8A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六</w:t>
            </w:r>
            <w:r>
              <w:rPr>
                <w:rFonts w:hint="eastAsia"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开展传统产业节能降碳改造。聚焦重点行业主要用能设备、装置、工序等，全面实施节能降碳改造，大力推广应用节能低碳技术和装备，强化低碳工艺革新和数字化转型，有效提升能源资源利用效率、降低碳排放水平。</w:t>
            </w:r>
          </w:p>
        </w:tc>
        <w:tc>
          <w:tcPr>
            <w:tcW w:w="2070" w:type="pct"/>
            <w:shd w:val="clear" w:color="auto" w:fill="auto"/>
            <w:vAlign w:val="center"/>
          </w:tcPr>
          <w:p w14:paraId="3F5B1C9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本项目采取了一系列节能降耗措施，主要包括照明系统采用节能光源等；充分利用自然光和自然通风；供水、风机等设备均采用智能变频控制。</w:t>
            </w:r>
          </w:p>
        </w:tc>
        <w:tc>
          <w:tcPr>
            <w:tcW w:w="423" w:type="pct"/>
            <w:shd w:val="clear" w:color="auto" w:fill="auto"/>
            <w:vAlign w:val="center"/>
          </w:tcPr>
          <w:p w14:paraId="30D4277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bl>
    <w:p w14:paraId="6CB6A541">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综合分析，本项目采用生物发酵生产</w:t>
      </w:r>
      <w:r>
        <w:rPr>
          <w:rFonts w:hint="eastAsia" w:ascii="Times New Roman" w:hAnsi="Times New Roman" w:eastAsia="宋体" w:cs="Times New Roman"/>
          <w:snapToGrid w:val="0"/>
          <w:color w:val="auto"/>
          <w:kern w:val="0"/>
          <w:sz w:val="24"/>
          <w:highlight w:val="none"/>
          <w:lang w:eastAsia="zh-CN"/>
        </w:rPr>
        <w:t>二元酸</w:t>
      </w:r>
      <w:r>
        <w:rPr>
          <w:rFonts w:hint="eastAsia" w:ascii="Times New Roman" w:hAnsi="Times New Roman" w:eastAsia="宋体" w:cs="Times New Roman"/>
          <w:snapToGrid w:val="0"/>
          <w:color w:val="auto"/>
          <w:kern w:val="0"/>
          <w:sz w:val="24"/>
          <w:highlight w:val="none"/>
        </w:rPr>
        <w:t>，比传统化学合成生产工艺在环保、物耗、能耗上均有巨大优势，同时项目采取了一系列节能降耗措施，符合《</w:t>
      </w:r>
      <w:r>
        <w:rPr>
          <w:rFonts w:hint="eastAsia" w:ascii="Times New Roman" w:hAnsi="Times New Roman" w:eastAsia="宋体" w:cs="Times New Roman"/>
          <w:snapToGrid w:val="0"/>
          <w:color w:val="auto"/>
          <w:kern w:val="0"/>
          <w:sz w:val="24"/>
          <w:highlight w:val="none"/>
          <w:lang w:val="en-US" w:eastAsia="zh-CN"/>
        </w:rPr>
        <w:t>“十五五”碳达峰行动方案</w:t>
      </w:r>
      <w:r>
        <w:rPr>
          <w:rFonts w:hint="eastAsia" w:ascii="Times New Roman" w:hAnsi="Times New Roman" w:eastAsia="宋体" w:cs="Times New Roman"/>
          <w:snapToGrid w:val="0"/>
          <w:color w:val="auto"/>
          <w:kern w:val="0"/>
          <w:sz w:val="24"/>
          <w:highlight w:val="none"/>
        </w:rPr>
        <w:t>》的相关要求。</w:t>
      </w:r>
    </w:p>
    <w:p w14:paraId="07A42A6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lang w:val="en-US" w:eastAsia="zh-CN"/>
        </w:rPr>
        <w:t>1.4.3.3</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美丽中国建设“十五五”规划</w:t>
      </w:r>
      <w:r>
        <w:rPr>
          <w:rFonts w:hint="eastAsia" w:ascii="宋体" w:hAnsi="宋体" w:eastAsia="宋体" w:cs="宋体"/>
          <w:b/>
          <w:bCs w:val="0"/>
          <w:snapToGrid w:val="0"/>
          <w:color w:val="auto"/>
          <w:spacing w:val="0"/>
          <w:w w:val="100"/>
          <w:kern w:val="0"/>
          <w:sz w:val="24"/>
          <w:szCs w:val="24"/>
          <w:highlight w:val="none"/>
        </w:rPr>
        <w:t>》符合性分析</w:t>
      </w:r>
    </w:p>
    <w:p w14:paraId="01B8C084">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美丽中国建设“十五五”规划</w:t>
      </w:r>
      <w:r>
        <w:rPr>
          <w:rFonts w:hint="eastAsia"/>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国发</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2026</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20</w:t>
      </w:r>
      <w:r>
        <w:rPr>
          <w:rFonts w:hint="eastAsia" w:ascii="Times New Roman" w:hAnsi="Times New Roman" w:eastAsia="宋体" w:cs="Times New Roman"/>
          <w:snapToGrid w:val="0"/>
          <w:color w:val="auto"/>
          <w:kern w:val="0"/>
          <w:sz w:val="24"/>
          <w:highlight w:val="none"/>
        </w:rPr>
        <w:t>号</w:t>
      </w:r>
      <w:r>
        <w:rPr>
          <w:rFonts w:hint="eastAsia"/>
          <w:snapToGrid w:val="0"/>
          <w:color w:val="auto"/>
          <w:kern w:val="0"/>
          <w:sz w:val="24"/>
          <w:highlight w:val="none"/>
        </w:rPr>
        <w:t>）符合性分析见表1.4-</w:t>
      </w:r>
      <w:r>
        <w:rPr>
          <w:rFonts w:hint="eastAsia"/>
          <w:snapToGrid w:val="0"/>
          <w:color w:val="auto"/>
          <w:kern w:val="0"/>
          <w:sz w:val="24"/>
          <w:highlight w:val="none"/>
          <w:lang w:val="en-US" w:eastAsia="zh-CN"/>
        </w:rPr>
        <w:t>6</w:t>
      </w:r>
      <w:r>
        <w:rPr>
          <w:rFonts w:hint="eastAsia"/>
          <w:snapToGrid w:val="0"/>
          <w:color w:val="auto"/>
          <w:kern w:val="0"/>
          <w:sz w:val="24"/>
          <w:highlight w:val="none"/>
        </w:rPr>
        <w:t>。</w:t>
      </w:r>
    </w:p>
    <w:p w14:paraId="02F51177">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6</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美丽中国建设“十五五”规划</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0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51"/>
        <w:gridCol w:w="2581"/>
        <w:gridCol w:w="706"/>
      </w:tblGrid>
      <w:tr w14:paraId="54693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28" w:type="pct"/>
            <w:shd w:val="clear" w:color="auto" w:fill="auto"/>
            <w:vAlign w:val="center"/>
          </w:tcPr>
          <w:p w14:paraId="2A3CB5F1">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规划</w:t>
            </w:r>
            <w:r>
              <w:rPr>
                <w:snapToGrid w:val="0"/>
                <w:color w:val="auto"/>
                <w:kern w:val="0"/>
                <w:szCs w:val="21"/>
                <w:highlight w:val="none"/>
              </w:rPr>
              <w:t>要求</w:t>
            </w:r>
          </w:p>
        </w:tc>
        <w:tc>
          <w:tcPr>
            <w:tcW w:w="1547" w:type="pct"/>
            <w:shd w:val="clear" w:color="auto" w:fill="auto"/>
            <w:vAlign w:val="center"/>
          </w:tcPr>
          <w:p w14:paraId="2151A07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423" w:type="pct"/>
            <w:shd w:val="clear" w:color="auto" w:fill="auto"/>
            <w:vAlign w:val="center"/>
          </w:tcPr>
          <w:p w14:paraId="1043832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3D80B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28" w:type="pct"/>
            <w:shd w:val="clear" w:color="auto" w:fill="auto"/>
            <w:vAlign w:val="center"/>
          </w:tcPr>
          <w:p w14:paraId="76780C24">
            <w:pPr>
              <w:pStyle w:val="42"/>
              <w:widowControl/>
              <w:tabs>
                <w:tab w:val="left" w:pos="0"/>
              </w:tabs>
              <w:adjustRightInd w:val="0"/>
              <w:snapToGrid w:val="0"/>
              <w:ind w:left="0" w:firstLine="0" w:firstLineChars="0"/>
              <w:rPr>
                <w:snapToGrid w:val="0"/>
                <w:color w:val="auto"/>
                <w:kern w:val="0"/>
                <w:szCs w:val="21"/>
                <w:highlight w:val="none"/>
              </w:rPr>
            </w:pPr>
            <w:r>
              <w:rPr>
                <w:rFonts w:hint="eastAsia"/>
                <w:snapToGrid w:val="0"/>
                <w:color w:val="auto"/>
                <w:spacing w:val="-6"/>
                <w:kern w:val="0"/>
                <w:sz w:val="21"/>
                <w:szCs w:val="21"/>
                <w:highlight w:val="none"/>
                <w:lang w:val="en-US" w:eastAsia="zh-CN"/>
              </w:rPr>
              <w:t>（一）推动空气质量持续改善。优化国家大气污染防治分区。加强城市空气质量达标管理。深入推进水泥、焦化等重点行业超低排放改造，鼓励垃圾焚烧企业超低排放改造。研究制修订重点产品</w:t>
            </w:r>
            <w:r>
              <w:rPr>
                <w:snapToGrid w:val="0"/>
                <w:color w:val="auto"/>
                <w:spacing w:val="-6"/>
                <w:kern w:val="0"/>
                <w:sz w:val="21"/>
                <w:szCs w:val="21"/>
                <w:highlight w:val="none"/>
                <w:lang w:val="en-US" w:eastAsia="zh-CN"/>
              </w:rPr>
              <w:t>VOCs</w:t>
            </w:r>
            <w:r>
              <w:rPr>
                <w:rFonts w:hint="eastAsia"/>
                <w:snapToGrid w:val="0"/>
                <w:color w:val="auto"/>
                <w:spacing w:val="-6"/>
                <w:kern w:val="0"/>
                <w:sz w:val="21"/>
                <w:szCs w:val="21"/>
                <w:highlight w:val="none"/>
                <w:lang w:val="en-US" w:eastAsia="zh-CN"/>
              </w:rPr>
              <w:t>含量限值强制性国家标准，推动</w:t>
            </w:r>
            <w:r>
              <w:rPr>
                <w:rFonts w:hint="default"/>
                <w:snapToGrid w:val="0"/>
                <w:color w:val="auto"/>
                <w:spacing w:val="-6"/>
                <w:kern w:val="0"/>
                <w:sz w:val="21"/>
                <w:szCs w:val="21"/>
                <w:highlight w:val="none"/>
                <w:lang w:val="en-US" w:eastAsia="zh-CN"/>
              </w:rPr>
              <w:t xml:space="preserve">VOCs </w:t>
            </w:r>
            <w:r>
              <w:rPr>
                <w:rFonts w:hint="eastAsia"/>
                <w:snapToGrid w:val="0"/>
                <w:color w:val="auto"/>
                <w:spacing w:val="-6"/>
                <w:kern w:val="0"/>
                <w:sz w:val="21"/>
                <w:szCs w:val="21"/>
                <w:highlight w:val="none"/>
                <w:lang w:val="en-US" w:eastAsia="zh-CN"/>
              </w:rPr>
              <w:t>源头替代和全流程治理。开展传统涉气产业集群整治提升。实施低效失效气污染治理设施排查整治。</w:t>
            </w:r>
          </w:p>
        </w:tc>
        <w:tc>
          <w:tcPr>
            <w:tcW w:w="1547" w:type="pct"/>
            <w:shd w:val="clear" w:color="auto" w:fill="auto"/>
            <w:vAlign w:val="center"/>
          </w:tcPr>
          <w:p w14:paraId="7874F087">
            <w:pPr>
              <w:pStyle w:val="42"/>
              <w:widowControl/>
              <w:tabs>
                <w:tab w:val="left" w:pos="0"/>
              </w:tabs>
              <w:adjustRightInd w:val="0"/>
              <w:snapToGrid w:val="0"/>
              <w:ind w:left="0" w:firstLine="0" w:firstLineChars="0"/>
              <w:rPr>
                <w:rFonts w:hint="eastAsia"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本项目采取有效治理措施减少污染物的排放量。各类污染物排放满足污染物排放标准要求。</w:t>
            </w:r>
          </w:p>
        </w:tc>
        <w:tc>
          <w:tcPr>
            <w:tcW w:w="423" w:type="pct"/>
            <w:shd w:val="clear" w:color="auto" w:fill="auto"/>
            <w:vAlign w:val="center"/>
          </w:tcPr>
          <w:p w14:paraId="71317B7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1B8BC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28" w:type="pct"/>
            <w:shd w:val="clear" w:color="auto" w:fill="auto"/>
            <w:vAlign w:val="center"/>
          </w:tcPr>
          <w:p w14:paraId="17F2F465">
            <w:pPr>
              <w:pStyle w:val="42"/>
              <w:widowControl/>
              <w:tabs>
                <w:tab w:val="left" w:pos="0"/>
              </w:tabs>
              <w:adjustRightInd w:val="0"/>
              <w:snapToGrid w:val="0"/>
              <w:ind w:left="0" w:firstLine="0" w:firstLineChars="0"/>
              <w:rPr>
                <w:rFonts w:hint="eastAsia" w:eastAsia="宋体"/>
                <w:snapToGrid w:val="0"/>
                <w:color w:val="auto"/>
                <w:kern w:val="0"/>
                <w:szCs w:val="21"/>
                <w:highlight w:val="none"/>
                <w:lang w:eastAsia="zh-CN"/>
              </w:rPr>
            </w:pPr>
            <w:r>
              <w:rPr>
                <w:rFonts w:hint="eastAsia"/>
                <w:snapToGrid w:val="0"/>
                <w:color w:val="auto"/>
                <w:kern w:val="0"/>
                <w:szCs w:val="21"/>
                <w:highlight w:val="none"/>
              </w:rPr>
              <w:t>系统推进美丽中国建设</w:t>
            </w:r>
            <w:r>
              <w:rPr>
                <w:rFonts w:hint="eastAsia"/>
                <w:snapToGrid w:val="0"/>
                <w:color w:val="auto"/>
                <w:kern w:val="0"/>
                <w:szCs w:val="21"/>
                <w:highlight w:val="none"/>
                <w:lang w:eastAsia="zh-CN"/>
              </w:rPr>
              <w:t>。</w:t>
            </w:r>
          </w:p>
          <w:p w14:paraId="3C40E2A3">
            <w:pPr>
              <w:pStyle w:val="42"/>
              <w:widowControl/>
              <w:tabs>
                <w:tab w:val="left" w:pos="0"/>
              </w:tabs>
              <w:adjustRightInd w:val="0"/>
              <w:snapToGrid w:val="0"/>
              <w:ind w:left="0" w:firstLine="0" w:firstLineChars="0"/>
              <w:rPr>
                <w:rFonts w:hint="eastAsia"/>
                <w:snapToGrid w:val="0"/>
                <w:color w:val="auto"/>
                <w:kern w:val="0"/>
                <w:szCs w:val="21"/>
                <w:highlight w:val="none"/>
              </w:rPr>
            </w:pPr>
            <w:r>
              <w:rPr>
                <w:rFonts w:hint="eastAsia"/>
                <w:snapToGrid w:val="0"/>
                <w:color w:val="auto"/>
                <w:kern w:val="0"/>
                <w:szCs w:val="21"/>
                <w:highlight w:val="none"/>
              </w:rPr>
              <w:t>统筹发展和减排，加快产业结构、能源结构、交通运输结构等调整优化。持续深入推进污染防治攻坚，推动生态环境质量改善由量变到质变。</w:t>
            </w:r>
          </w:p>
        </w:tc>
        <w:tc>
          <w:tcPr>
            <w:tcW w:w="1547" w:type="pct"/>
            <w:shd w:val="clear" w:color="auto" w:fill="auto"/>
            <w:vAlign w:val="center"/>
          </w:tcPr>
          <w:p w14:paraId="3B59A64E">
            <w:pPr>
              <w:pStyle w:val="42"/>
              <w:widowControl/>
              <w:tabs>
                <w:tab w:val="left" w:pos="0"/>
              </w:tabs>
              <w:adjustRightInd w:val="0"/>
              <w:snapToGrid w:val="0"/>
              <w:ind w:left="0" w:firstLine="0" w:firstLineChars="0"/>
              <w:rPr>
                <w:rFonts w:hint="default"/>
                <w:snapToGrid w:val="0"/>
                <w:color w:val="auto"/>
                <w:kern w:val="0"/>
                <w:szCs w:val="21"/>
                <w:highlight w:val="none"/>
                <w:lang w:val="en-US" w:eastAsia="zh-CN"/>
              </w:rPr>
            </w:pPr>
            <w:r>
              <w:rPr>
                <w:rFonts w:hint="default" w:ascii="Times New Roman" w:hAnsi="Times New Roman" w:eastAsia="宋体" w:cs="Times New Roman"/>
                <w:snapToGrid w:val="0"/>
                <w:color w:val="auto"/>
                <w:kern w:val="0"/>
                <w:sz w:val="21"/>
                <w:szCs w:val="21"/>
                <w:highlight w:val="none"/>
              </w:rPr>
              <w:t>项目采用生物发酵生产</w:t>
            </w:r>
            <w:r>
              <w:rPr>
                <w:rFonts w:hint="default" w:ascii="Times New Roman" w:hAnsi="Times New Roman" w:eastAsia="宋体" w:cs="Times New Roman"/>
                <w:snapToGrid w:val="0"/>
                <w:color w:val="auto"/>
                <w:kern w:val="0"/>
                <w:sz w:val="21"/>
                <w:szCs w:val="21"/>
                <w:highlight w:val="none"/>
                <w:lang w:eastAsia="zh-CN"/>
              </w:rPr>
              <w:t>二元酸</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同时</w:t>
            </w:r>
            <w:r>
              <w:rPr>
                <w:rFonts w:hint="default" w:ascii="Times New Roman" w:hAnsi="Times New Roman" w:eastAsia="宋体" w:cs="Times New Roman"/>
                <w:snapToGrid w:val="0"/>
                <w:color w:val="auto"/>
                <w:kern w:val="0"/>
                <w:sz w:val="21"/>
                <w:szCs w:val="21"/>
                <w:highlight w:val="none"/>
                <w:lang w:val="en-US" w:eastAsia="zh-CN"/>
              </w:rPr>
              <w:t>采取有效治理措施减少污染物的排放量。各类污染物排放满足污染物排放标准要求</w:t>
            </w:r>
            <w:r>
              <w:rPr>
                <w:rFonts w:hint="eastAsia" w:ascii="Times New Roman" w:hAnsi="Times New Roman" w:eastAsia="宋体" w:cs="Times New Roman"/>
                <w:snapToGrid w:val="0"/>
                <w:color w:val="auto"/>
                <w:kern w:val="0"/>
                <w:sz w:val="21"/>
                <w:szCs w:val="21"/>
                <w:highlight w:val="none"/>
                <w:lang w:val="en-US" w:eastAsia="zh-CN"/>
              </w:rPr>
              <w:t>。物料主要采用国六标准或新能源汽车运输。</w:t>
            </w:r>
          </w:p>
        </w:tc>
        <w:tc>
          <w:tcPr>
            <w:tcW w:w="423" w:type="pct"/>
            <w:shd w:val="clear" w:color="auto" w:fill="auto"/>
            <w:vAlign w:val="center"/>
          </w:tcPr>
          <w:p w14:paraId="6FB9E70E">
            <w:pPr>
              <w:pStyle w:val="42"/>
              <w:widowControl/>
              <w:tabs>
                <w:tab w:val="left" w:pos="0"/>
              </w:tabs>
              <w:adjustRightInd w:val="0"/>
              <w:snapToGrid w:val="0"/>
              <w:ind w:left="0" w:firstLine="0" w:firstLineChars="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符合</w:t>
            </w:r>
          </w:p>
        </w:tc>
      </w:tr>
    </w:tbl>
    <w:p w14:paraId="0FA3E2E9">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综合分析，本项目符合《</w:t>
      </w:r>
      <w:r>
        <w:rPr>
          <w:rFonts w:hint="eastAsia" w:ascii="Times New Roman" w:hAnsi="Times New Roman" w:eastAsia="宋体" w:cs="Times New Roman"/>
          <w:snapToGrid w:val="0"/>
          <w:color w:val="auto"/>
          <w:kern w:val="0"/>
          <w:sz w:val="24"/>
          <w:highlight w:val="none"/>
          <w:lang w:val="en-US" w:eastAsia="zh-CN"/>
        </w:rPr>
        <w:t>美丽中国建设“十五五”规划</w:t>
      </w:r>
      <w:r>
        <w:rPr>
          <w:rFonts w:hint="eastAsia" w:ascii="Times New Roman" w:hAnsi="Times New Roman" w:eastAsia="宋体" w:cs="Times New Roman"/>
          <w:snapToGrid w:val="0"/>
          <w:color w:val="auto"/>
          <w:kern w:val="0"/>
          <w:sz w:val="24"/>
          <w:highlight w:val="none"/>
        </w:rPr>
        <w:t>》的相关要求。</w:t>
      </w:r>
    </w:p>
    <w:p w14:paraId="5FBFFD5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lang w:val="en-US" w:eastAsia="zh-CN"/>
        </w:rPr>
        <w:t>1.4.3.4</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国家应对气候变化“十五五”规划</w:t>
      </w:r>
      <w:r>
        <w:rPr>
          <w:rFonts w:hint="eastAsia" w:ascii="宋体" w:hAnsi="宋体" w:eastAsia="宋体" w:cs="宋体"/>
          <w:b/>
          <w:bCs w:val="0"/>
          <w:snapToGrid w:val="0"/>
          <w:color w:val="auto"/>
          <w:spacing w:val="0"/>
          <w:w w:val="100"/>
          <w:kern w:val="0"/>
          <w:sz w:val="24"/>
          <w:szCs w:val="24"/>
          <w:highlight w:val="none"/>
        </w:rPr>
        <w:t>》符合性分析</w:t>
      </w:r>
    </w:p>
    <w:p w14:paraId="0A74A4DD">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80" w:firstLineChars="200"/>
        <w:textAlignment w:val="auto"/>
        <w:rPr>
          <w:rFonts w:hint="eastAsia"/>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国家应对气候变化“十五五”规划</w:t>
      </w:r>
      <w:r>
        <w:rPr>
          <w:rFonts w:hint="eastAsia"/>
          <w:snapToGrid w:val="0"/>
          <w:color w:val="auto"/>
          <w:kern w:val="0"/>
          <w:sz w:val="24"/>
          <w:highlight w:val="none"/>
        </w:rPr>
        <w:t>》（</w:t>
      </w:r>
      <w:r>
        <w:rPr>
          <w:rFonts w:hint="eastAsia"/>
          <w:snapToGrid w:val="0"/>
          <w:color w:val="auto"/>
          <w:kern w:val="0"/>
          <w:sz w:val="24"/>
          <w:highlight w:val="none"/>
          <w:lang w:val="en-US" w:eastAsia="zh-CN"/>
        </w:rPr>
        <w:t>环气候</w:t>
      </w:r>
      <w:r>
        <w:rPr>
          <w:rFonts w:hint="eastAsia"/>
          <w:snapToGrid w:val="0"/>
          <w:color w:val="auto"/>
          <w:kern w:val="0"/>
          <w:sz w:val="24"/>
          <w:highlight w:val="none"/>
        </w:rPr>
        <w:t>〔</w:t>
      </w:r>
      <w:r>
        <w:rPr>
          <w:rFonts w:hint="eastAsia"/>
          <w:snapToGrid w:val="0"/>
          <w:color w:val="auto"/>
          <w:kern w:val="0"/>
          <w:sz w:val="24"/>
          <w:highlight w:val="none"/>
          <w:lang w:val="en-US" w:eastAsia="zh-CN"/>
        </w:rPr>
        <w:t>2026</w:t>
      </w:r>
      <w:r>
        <w:rPr>
          <w:rFonts w:hint="eastAsia"/>
          <w:snapToGrid w:val="0"/>
          <w:color w:val="auto"/>
          <w:kern w:val="0"/>
          <w:sz w:val="24"/>
          <w:highlight w:val="none"/>
        </w:rPr>
        <w:t>〕</w:t>
      </w:r>
      <w:r>
        <w:rPr>
          <w:rFonts w:hint="eastAsia"/>
          <w:snapToGrid w:val="0"/>
          <w:color w:val="auto"/>
          <w:kern w:val="0"/>
          <w:sz w:val="24"/>
          <w:highlight w:val="none"/>
          <w:lang w:val="en-US" w:eastAsia="zh-CN"/>
        </w:rPr>
        <w:t>42</w:t>
      </w:r>
      <w:r>
        <w:rPr>
          <w:rFonts w:hint="eastAsia"/>
          <w:snapToGrid w:val="0"/>
          <w:color w:val="auto"/>
          <w:kern w:val="0"/>
          <w:sz w:val="24"/>
          <w:highlight w:val="none"/>
        </w:rPr>
        <w:t>号）符合性分析见表1.4-</w:t>
      </w:r>
      <w:r>
        <w:rPr>
          <w:rFonts w:hint="eastAsia"/>
          <w:snapToGrid w:val="0"/>
          <w:color w:val="auto"/>
          <w:kern w:val="0"/>
          <w:sz w:val="24"/>
          <w:highlight w:val="none"/>
          <w:lang w:val="en-US" w:eastAsia="zh-CN"/>
        </w:rPr>
        <w:t>7</w:t>
      </w:r>
      <w:r>
        <w:rPr>
          <w:rFonts w:hint="eastAsia"/>
          <w:snapToGrid w:val="0"/>
          <w:color w:val="auto"/>
          <w:kern w:val="0"/>
          <w:sz w:val="24"/>
          <w:highlight w:val="none"/>
        </w:rPr>
        <w:t>。</w:t>
      </w:r>
    </w:p>
    <w:p w14:paraId="0A552B7F">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7</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国家应对气候变化“十五五”规划</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03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950"/>
        <w:gridCol w:w="1692"/>
        <w:gridCol w:w="706"/>
      </w:tblGrid>
      <w:tr w14:paraId="76864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563" w:type="pct"/>
            <w:shd w:val="clear" w:color="auto" w:fill="auto"/>
            <w:vAlign w:val="center"/>
          </w:tcPr>
          <w:p w14:paraId="021D0B8F">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规划</w:t>
            </w:r>
            <w:r>
              <w:rPr>
                <w:snapToGrid w:val="0"/>
                <w:color w:val="auto"/>
                <w:kern w:val="0"/>
                <w:szCs w:val="21"/>
                <w:highlight w:val="none"/>
              </w:rPr>
              <w:t>要求</w:t>
            </w:r>
          </w:p>
        </w:tc>
        <w:tc>
          <w:tcPr>
            <w:tcW w:w="1013" w:type="pct"/>
            <w:shd w:val="clear" w:color="auto" w:fill="auto"/>
            <w:vAlign w:val="center"/>
          </w:tcPr>
          <w:p w14:paraId="14737B89">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423" w:type="pct"/>
            <w:shd w:val="clear" w:color="auto" w:fill="auto"/>
            <w:vAlign w:val="center"/>
          </w:tcPr>
          <w:p w14:paraId="08BCBB1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1EF41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563" w:type="pct"/>
            <w:shd w:val="clear" w:color="auto" w:fill="auto"/>
            <w:vAlign w:val="center"/>
          </w:tcPr>
          <w:p w14:paraId="788D5413">
            <w:pPr>
              <w:pStyle w:val="42"/>
              <w:widowControl/>
              <w:tabs>
                <w:tab w:val="left" w:pos="0"/>
              </w:tabs>
              <w:adjustRightInd w:val="0"/>
              <w:snapToGrid w:val="0"/>
              <w:ind w:left="0" w:firstLine="0" w:firstLineChars="0"/>
              <w:rPr>
                <w:snapToGrid w:val="0"/>
                <w:color w:val="auto"/>
                <w:kern w:val="0"/>
                <w:szCs w:val="21"/>
                <w:highlight w:val="none"/>
              </w:rPr>
            </w:pPr>
            <w:r>
              <w:rPr>
                <w:rFonts w:hint="eastAsia" w:eastAsia="宋体"/>
                <w:snapToGrid w:val="0"/>
                <w:color w:val="auto"/>
                <w:kern w:val="0"/>
                <w:szCs w:val="21"/>
                <w:highlight w:val="none"/>
                <w:lang w:val="en-US" w:eastAsia="zh-CN"/>
              </w:rPr>
              <w:t>（一）加快经济社会绿色低碳转型。实施碳排放总量和强度双控制度，加快建设新型能源体系，大力发展非化石能源，实施可再生能源消费替代，推动煤炭和石油消费达峰，国家大气污染防治重点区域内新建、改建、扩建用煤项目的，应当实行煤炭等量或减量替代。持续推动产业结构调整，加强温室气体排放生态环境影响评价、节能审查和碳排放评价，坚决遏制“两高一低”项目盲目上马，依法依规淘汰落后产能，加快出清低效产能。持续扩大绿电应用，高质量建设绿证市场。大力发展绿色低碳产业，建设生态工业园区、零碳工厂和园区、零碳算力设施。推动城乡建设绿色低碳转型，推广绿色建造方式。加快交通运输绿色低碳发展，提高大宗货物铁路、水路和新能源汽车运输比重。</w:t>
            </w:r>
          </w:p>
        </w:tc>
        <w:tc>
          <w:tcPr>
            <w:tcW w:w="1013" w:type="pct"/>
            <w:shd w:val="clear" w:color="auto" w:fill="auto"/>
            <w:vAlign w:val="center"/>
          </w:tcPr>
          <w:p w14:paraId="4C618782">
            <w:pPr>
              <w:pStyle w:val="42"/>
              <w:widowControl/>
              <w:tabs>
                <w:tab w:val="left" w:pos="0"/>
              </w:tabs>
              <w:adjustRightInd w:val="0"/>
              <w:snapToGrid w:val="0"/>
              <w:ind w:left="0" w:firstLine="0" w:firstLineChars="0"/>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本项目不新增煤炭用量，环评已编制温室气体排放影响评价，项目</w:t>
            </w:r>
            <w:r>
              <w:rPr>
                <w:rFonts w:hint="eastAsia" w:ascii="Times New Roman" w:hAnsi="Times New Roman" w:eastAsia="宋体" w:cs="Times New Roman"/>
                <w:snapToGrid w:val="0"/>
                <w:color w:val="auto"/>
                <w:kern w:val="0"/>
                <w:sz w:val="21"/>
                <w:szCs w:val="21"/>
                <w:highlight w:val="none"/>
                <w:lang w:val="en-US" w:eastAsia="zh-CN"/>
              </w:rPr>
              <w:t>物料主要采用国六标准或新能源汽车运输。</w:t>
            </w:r>
          </w:p>
        </w:tc>
        <w:tc>
          <w:tcPr>
            <w:tcW w:w="423" w:type="pct"/>
            <w:shd w:val="clear" w:color="auto" w:fill="auto"/>
            <w:vAlign w:val="center"/>
          </w:tcPr>
          <w:p w14:paraId="37417C02">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bl>
    <w:p w14:paraId="57EA5F69">
      <w:pPr>
        <w:pStyle w:val="71"/>
        <w:rPr>
          <w:rFonts w:hint="eastAsia"/>
          <w:snapToGrid w:val="0"/>
          <w:color w:val="auto"/>
          <w:kern w:val="0"/>
          <w:sz w:val="24"/>
          <w:highlight w:val="none"/>
        </w:rPr>
      </w:pPr>
      <w:r>
        <w:rPr>
          <w:rFonts w:hint="eastAsia"/>
          <w:snapToGrid w:val="0"/>
          <w:color w:val="auto"/>
          <w:kern w:val="0"/>
          <w:sz w:val="24"/>
          <w:highlight w:val="none"/>
        </w:rPr>
        <w:t>综合分析，本项目符合《</w:t>
      </w:r>
      <w:r>
        <w:rPr>
          <w:rFonts w:hint="eastAsia"/>
          <w:snapToGrid w:val="0"/>
          <w:color w:val="auto"/>
          <w:kern w:val="0"/>
          <w:sz w:val="24"/>
          <w:highlight w:val="none"/>
          <w:lang w:val="en-US" w:eastAsia="zh-CN"/>
        </w:rPr>
        <w:t>国家应对气候变化“十五五”规划</w:t>
      </w:r>
      <w:r>
        <w:rPr>
          <w:rFonts w:hint="eastAsia"/>
          <w:snapToGrid w:val="0"/>
          <w:color w:val="auto"/>
          <w:kern w:val="0"/>
          <w:sz w:val="24"/>
          <w:highlight w:val="none"/>
        </w:rPr>
        <w:t>》的相关要求。</w:t>
      </w:r>
    </w:p>
    <w:p w14:paraId="0224DBB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lang w:val="en-US" w:eastAsia="zh-CN"/>
        </w:rPr>
        <w:t>1.4.3.5</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新疆生态环境保护“十四五”规划</w:t>
      </w:r>
      <w:r>
        <w:rPr>
          <w:rFonts w:hint="eastAsia" w:ascii="宋体" w:hAnsi="宋体" w:eastAsia="宋体" w:cs="宋体"/>
          <w:b/>
          <w:bCs w:val="0"/>
          <w:snapToGrid w:val="0"/>
          <w:color w:val="auto"/>
          <w:spacing w:val="0"/>
          <w:w w:val="100"/>
          <w:kern w:val="0"/>
          <w:sz w:val="24"/>
          <w:szCs w:val="24"/>
          <w:highlight w:val="none"/>
        </w:rPr>
        <w:t>》符合性分析</w:t>
      </w:r>
    </w:p>
    <w:p w14:paraId="55E746A3">
      <w:pPr>
        <w:pStyle w:val="71"/>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本项目与《</w:t>
      </w:r>
      <w:r>
        <w:rPr>
          <w:rFonts w:hint="eastAsia" w:ascii="宋体" w:hAnsi="宋体" w:cs="宋体"/>
          <w:snapToGrid w:val="0"/>
          <w:color w:val="auto"/>
          <w:kern w:val="0"/>
          <w:sz w:val="24"/>
          <w:highlight w:val="none"/>
          <w:lang w:val="en-US" w:eastAsia="zh-CN"/>
        </w:rPr>
        <w:t>新疆生态环境保护“十四五”规划</w:t>
      </w:r>
      <w:r>
        <w:rPr>
          <w:rFonts w:hint="eastAsia" w:ascii="宋体" w:hAnsi="宋体" w:cs="宋体"/>
          <w:snapToGrid w:val="0"/>
          <w:color w:val="auto"/>
          <w:kern w:val="0"/>
          <w:sz w:val="24"/>
          <w:highlight w:val="none"/>
        </w:rPr>
        <w:t>》符合性分析见表1.4-</w:t>
      </w:r>
      <w:r>
        <w:rPr>
          <w:rFonts w:hint="eastAsia" w:ascii="宋体" w:hAnsi="宋体" w:cs="宋体"/>
          <w:snapToGrid w:val="0"/>
          <w:color w:val="auto"/>
          <w:kern w:val="0"/>
          <w:sz w:val="24"/>
          <w:highlight w:val="none"/>
          <w:lang w:val="en-US" w:eastAsia="zh-CN"/>
        </w:rPr>
        <w:t>8</w:t>
      </w:r>
      <w:r>
        <w:rPr>
          <w:rFonts w:hint="eastAsia" w:ascii="宋体" w:hAnsi="宋体" w:cs="宋体"/>
          <w:snapToGrid w:val="0"/>
          <w:color w:val="auto"/>
          <w:kern w:val="0"/>
          <w:sz w:val="24"/>
          <w:highlight w:val="none"/>
        </w:rPr>
        <w:t>。</w:t>
      </w:r>
    </w:p>
    <w:p w14:paraId="7E3C2FDE">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8</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新疆生态环境保护“十四五”规划</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0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28"/>
        <w:gridCol w:w="2594"/>
        <w:gridCol w:w="706"/>
      </w:tblGrid>
      <w:tr w14:paraId="4232D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8" w:type="pct"/>
            <w:shd w:val="clear" w:color="auto" w:fill="auto"/>
            <w:vAlign w:val="center"/>
          </w:tcPr>
          <w:p w14:paraId="09E368E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规划</w:t>
            </w:r>
            <w:r>
              <w:rPr>
                <w:rFonts w:ascii="Times New Roman" w:hAnsi="Times New Roman" w:eastAsia="宋体" w:cs="Times New Roman"/>
                <w:snapToGrid w:val="0"/>
                <w:color w:val="auto"/>
                <w:kern w:val="0"/>
                <w:sz w:val="21"/>
                <w:szCs w:val="21"/>
                <w:highlight w:val="none"/>
              </w:rPr>
              <w:t>要求</w:t>
            </w:r>
          </w:p>
        </w:tc>
        <w:tc>
          <w:tcPr>
            <w:tcW w:w="1557" w:type="pct"/>
            <w:shd w:val="clear" w:color="auto" w:fill="auto"/>
            <w:vAlign w:val="center"/>
          </w:tcPr>
          <w:p w14:paraId="7E0CA9D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情况</w:t>
            </w:r>
          </w:p>
        </w:tc>
        <w:tc>
          <w:tcPr>
            <w:tcW w:w="424" w:type="pct"/>
            <w:shd w:val="clear" w:color="auto" w:fill="auto"/>
            <w:vAlign w:val="center"/>
          </w:tcPr>
          <w:p w14:paraId="1054AEA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349A4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8" w:type="pct"/>
            <w:shd w:val="clear" w:color="auto" w:fill="auto"/>
            <w:vAlign w:val="center"/>
          </w:tcPr>
          <w:p w14:paraId="4937A4A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提升重点行业领域能效水平。加强高耗能行业企业的能效管理，提高能源利用效率，大力推动钢铁、建材、石油化工等重点行业以及其他行业重点用能单位持续开展节能工作，有效降低单位产品能耗。提高企业能源利用效率，实施重点工艺环节的能效提升改造，树立一批能效领跑、技术先进的示范领军企业。</w:t>
            </w:r>
          </w:p>
        </w:tc>
        <w:tc>
          <w:tcPr>
            <w:tcW w:w="1557" w:type="pct"/>
            <w:shd w:val="clear" w:color="auto" w:fill="auto"/>
            <w:vAlign w:val="center"/>
          </w:tcPr>
          <w:p w14:paraId="753E5968">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本项目采取了一系列节能降耗措施，主要包括照明系统采用节能光源等；充分利用自然光和自然通风；供水、风机等设备均采用智能变频控制，可有效降低能耗。</w:t>
            </w:r>
          </w:p>
        </w:tc>
        <w:tc>
          <w:tcPr>
            <w:tcW w:w="424" w:type="pct"/>
            <w:shd w:val="clear" w:color="auto" w:fill="auto"/>
            <w:vAlign w:val="center"/>
          </w:tcPr>
          <w:p w14:paraId="6BE07DE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55CE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8" w:type="pct"/>
            <w:shd w:val="clear" w:color="auto" w:fill="auto"/>
            <w:vAlign w:val="center"/>
          </w:tcPr>
          <w:p w14:paraId="52F2A12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加强重点行业VOCs治理。实施VOCs排放总量控制，重点推进石油天然气开采、石化、化工、包装印刷、工业涂装、油品储运销等重点行业排放源以及机动车等移动源VOCs污染防治，加强重点行业、重点企业的精细化管控；全面推进使用低VOCs含量涂料、油墨、胶粘剂、清洗剂等；加强汽修行业VOCs综合治理，加大餐饮油烟污染治理力度，持续削减VOCs排放量。</w:t>
            </w:r>
          </w:p>
        </w:tc>
        <w:tc>
          <w:tcPr>
            <w:tcW w:w="1557" w:type="pct"/>
            <w:shd w:val="clear" w:color="auto" w:fill="auto"/>
            <w:vAlign w:val="center"/>
          </w:tcPr>
          <w:p w14:paraId="1237E6C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rPr>
              <w:t>本项目含VOCs废气中</w:t>
            </w:r>
            <w:r>
              <w:rPr>
                <w:rFonts w:hint="eastAsia"/>
                <w:snapToGrid w:val="0"/>
                <w:color w:val="auto"/>
                <w:kern w:val="0"/>
                <w:szCs w:val="21"/>
                <w:highlight w:val="none"/>
              </w:rPr>
              <w:t>罐区</w:t>
            </w:r>
            <w:r>
              <w:rPr>
                <w:rFonts w:hint="eastAsia"/>
                <w:snapToGrid w:val="0"/>
                <w:color w:val="auto"/>
                <w:kern w:val="0"/>
                <w:szCs w:val="21"/>
                <w:highlight w:val="none"/>
                <w:lang w:val="en-US" w:eastAsia="zh-CN"/>
              </w:rPr>
              <w:t>有机</w:t>
            </w:r>
            <w:r>
              <w:rPr>
                <w:rFonts w:hint="eastAsia"/>
                <w:snapToGrid w:val="0"/>
                <w:color w:val="auto"/>
                <w:kern w:val="0"/>
                <w:szCs w:val="21"/>
                <w:highlight w:val="none"/>
              </w:rPr>
              <w:t>废气</w:t>
            </w:r>
            <w:r>
              <w:rPr>
                <w:rFonts w:hint="eastAsia"/>
                <w:snapToGrid w:val="0"/>
                <w:color w:val="auto"/>
                <w:kern w:val="0"/>
                <w:szCs w:val="21"/>
                <w:highlight w:val="none"/>
                <w:lang w:val="en-US" w:eastAsia="zh-CN"/>
              </w:rPr>
              <w:t>采用</w:t>
            </w:r>
            <w:r>
              <w:rPr>
                <w:rFonts w:hint="eastAsia"/>
                <w:snapToGrid w:val="0"/>
                <w:color w:val="auto"/>
                <w:kern w:val="0"/>
                <w:szCs w:val="21"/>
                <w:highlight w:val="none"/>
              </w:rPr>
              <w:t>冷凝+活性炭吸附</w:t>
            </w:r>
            <w:r>
              <w:rPr>
                <w:rFonts w:hint="eastAsia"/>
                <w:snapToGrid w:val="0"/>
                <w:color w:val="auto"/>
                <w:kern w:val="0"/>
                <w:szCs w:val="21"/>
                <w:highlight w:val="none"/>
                <w:lang w:val="en-US" w:eastAsia="zh-CN"/>
              </w:rPr>
              <w:t>工艺处理，</w:t>
            </w:r>
            <w:r>
              <w:rPr>
                <w:rFonts w:hint="eastAsia" w:cs="Times New Roman"/>
                <w:color w:val="auto"/>
                <w:kern w:val="0"/>
                <w:sz w:val="21"/>
                <w:szCs w:val="21"/>
                <w:highlight w:val="none"/>
                <w:lang w:val="en-US" w:eastAsia="zh-CN"/>
              </w:rPr>
              <w:t>其他有机废气</w:t>
            </w:r>
            <w:r>
              <w:rPr>
                <w:rFonts w:hint="eastAsia" w:ascii="Times New Roman" w:hAnsi="Times New Roman" w:eastAsia="宋体" w:cs="Times New Roman"/>
                <w:color w:val="auto"/>
                <w:kern w:val="0"/>
                <w:sz w:val="21"/>
                <w:szCs w:val="21"/>
                <w:highlight w:val="none"/>
              </w:rPr>
              <w:t>采用水吸收+碱吸收工艺处理</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可确保废气达标排放</w:t>
            </w:r>
            <w:r>
              <w:rPr>
                <w:rFonts w:hint="eastAsia" w:ascii="Times New Roman" w:hAnsi="Times New Roman" w:eastAsia="宋体" w:cs="Times New Roman"/>
                <w:color w:val="auto"/>
                <w:kern w:val="0"/>
                <w:sz w:val="21"/>
                <w:szCs w:val="21"/>
                <w:highlight w:val="none"/>
              </w:rPr>
              <w:t>。</w:t>
            </w:r>
          </w:p>
        </w:tc>
        <w:tc>
          <w:tcPr>
            <w:tcW w:w="424" w:type="pct"/>
            <w:shd w:val="clear" w:color="auto" w:fill="auto"/>
            <w:vAlign w:val="center"/>
          </w:tcPr>
          <w:p w14:paraId="7028D23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bl>
    <w:p w14:paraId="266D868F">
      <w:pPr>
        <w:pStyle w:val="71"/>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综合分析，本项目符合《</w:t>
      </w:r>
      <w:r>
        <w:rPr>
          <w:rFonts w:hint="eastAsia" w:ascii="宋体" w:hAnsi="宋体" w:cs="宋体"/>
          <w:snapToGrid w:val="0"/>
          <w:color w:val="auto"/>
          <w:kern w:val="0"/>
          <w:sz w:val="24"/>
          <w:highlight w:val="none"/>
          <w:lang w:val="en-US" w:eastAsia="zh-CN"/>
        </w:rPr>
        <w:t>新疆生态环境保护“十四五”规划</w:t>
      </w:r>
      <w:r>
        <w:rPr>
          <w:rFonts w:hint="eastAsia" w:ascii="宋体" w:hAnsi="宋体" w:cs="宋体"/>
          <w:snapToGrid w:val="0"/>
          <w:color w:val="auto"/>
          <w:kern w:val="0"/>
          <w:sz w:val="24"/>
          <w:highlight w:val="none"/>
        </w:rPr>
        <w:t>》的相关要求。</w:t>
      </w:r>
    </w:p>
    <w:p w14:paraId="145E488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lang w:val="en-US" w:eastAsia="zh-CN"/>
        </w:rPr>
        <w:t>1.4.3.6</w:t>
      </w:r>
      <w:r>
        <w:rPr>
          <w:rFonts w:hint="eastAsia" w:ascii="宋体" w:hAnsi="宋体" w:eastAsia="宋体" w:cs="宋体"/>
          <w:b/>
          <w:bCs w:val="0"/>
          <w:snapToGrid w:val="0"/>
          <w:color w:val="auto"/>
          <w:spacing w:val="0"/>
          <w:w w:val="100"/>
          <w:kern w:val="0"/>
          <w:sz w:val="24"/>
          <w:szCs w:val="24"/>
          <w:highlight w:val="none"/>
        </w:rPr>
        <w:t>与《新疆塔城重点开发开放试验区建设总体规划（2021-2030年）》符合性分析</w:t>
      </w:r>
    </w:p>
    <w:p w14:paraId="0D2249FC">
      <w:pPr>
        <w:tabs>
          <w:tab w:val="left" w:pos="7560"/>
        </w:tabs>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《新疆塔城重点开发开放试验区建设总体规划（2021-2030年）》提出：</w:t>
      </w:r>
    </w:p>
    <w:p w14:paraId="79EC8A87">
      <w:pPr>
        <w:tabs>
          <w:tab w:val="left" w:pos="7560"/>
        </w:tabs>
        <w:adjustRightInd w:val="0"/>
        <w:snapToGrid w:val="0"/>
        <w:spacing w:line="360" w:lineRule="auto"/>
        <w:ind w:firstLine="456" w:firstLineChars="200"/>
        <w:rPr>
          <w:snapToGrid w:val="0"/>
          <w:color w:val="auto"/>
          <w:spacing w:val="-6"/>
          <w:kern w:val="0"/>
          <w:sz w:val="24"/>
          <w:highlight w:val="none"/>
        </w:rPr>
      </w:pPr>
      <w:r>
        <w:rPr>
          <w:rFonts w:hint="eastAsia"/>
          <w:snapToGrid w:val="0"/>
          <w:color w:val="auto"/>
          <w:spacing w:val="-6"/>
          <w:kern w:val="0"/>
          <w:sz w:val="24"/>
          <w:highlight w:val="none"/>
        </w:rPr>
        <w:t>二、培育生物制造产业集群-建设生物制造产业集聚区。大力发展以生物基聚酰胺为主的新材料产业，延长产业链，构建集工业、农业、服务业高度关联的千亿级“生物基聚酰胺材料产业链”，形成具有核心竞争力的生物基新材料产业集群。</w:t>
      </w:r>
    </w:p>
    <w:p w14:paraId="74B841CE">
      <w:pPr>
        <w:tabs>
          <w:tab w:val="left" w:pos="7560"/>
        </w:tabs>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本项目位于乌苏市化工产业集中区，采用生物发酵法生产</w:t>
      </w:r>
      <w:r>
        <w:rPr>
          <w:rFonts w:hint="eastAsia"/>
          <w:snapToGrid w:val="0"/>
          <w:color w:val="auto"/>
          <w:kern w:val="0"/>
          <w:sz w:val="24"/>
          <w:highlight w:val="none"/>
          <w:lang w:eastAsia="zh-CN"/>
        </w:rPr>
        <w:t>二元酸</w:t>
      </w:r>
      <w:r>
        <w:rPr>
          <w:rFonts w:hint="eastAsia"/>
          <w:snapToGrid w:val="0"/>
          <w:color w:val="auto"/>
          <w:kern w:val="0"/>
          <w:sz w:val="24"/>
          <w:highlight w:val="none"/>
        </w:rPr>
        <w:t>，属于生物基新材料项目，符合《新疆塔城重点开发开放试验区建设总体规划（2021-2030年）》的相关要求。</w:t>
      </w:r>
    </w:p>
    <w:p w14:paraId="60A7A61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1.4.3.</w:t>
      </w:r>
      <w:r>
        <w:rPr>
          <w:rFonts w:hint="eastAsia" w:ascii="宋体" w:hAnsi="宋体" w:eastAsia="宋体" w:cs="宋体"/>
          <w:b/>
          <w:bCs w:val="0"/>
          <w:snapToGrid w:val="0"/>
          <w:color w:val="auto"/>
          <w:spacing w:val="0"/>
          <w:w w:val="100"/>
          <w:kern w:val="0"/>
          <w:sz w:val="24"/>
          <w:szCs w:val="24"/>
          <w:highlight w:val="none"/>
          <w:lang w:val="en-US" w:eastAsia="zh-CN"/>
        </w:rPr>
        <w:t>7</w:t>
      </w:r>
      <w:r>
        <w:rPr>
          <w:rFonts w:hint="eastAsia" w:ascii="宋体" w:hAnsi="宋体" w:eastAsia="宋体" w:cs="宋体"/>
          <w:b/>
          <w:bCs w:val="0"/>
          <w:snapToGrid w:val="0"/>
          <w:color w:val="auto"/>
          <w:spacing w:val="0"/>
          <w:w w:val="100"/>
          <w:kern w:val="0"/>
          <w:sz w:val="24"/>
          <w:szCs w:val="24"/>
          <w:highlight w:val="none"/>
        </w:rPr>
        <w:t>与《塔城地区生态环境保护“十四五”规划》符合性分析</w:t>
      </w:r>
    </w:p>
    <w:p w14:paraId="3F4555A9">
      <w:pPr>
        <w:tabs>
          <w:tab w:val="left" w:pos="7560"/>
        </w:tabs>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本项目与《塔城地区生态环境保护“十四五”规划》的符合性分析见表1.4-</w:t>
      </w:r>
      <w:r>
        <w:rPr>
          <w:rFonts w:hint="eastAsia"/>
          <w:snapToGrid w:val="0"/>
          <w:color w:val="auto"/>
          <w:kern w:val="0"/>
          <w:sz w:val="24"/>
          <w:highlight w:val="none"/>
          <w:lang w:val="en-US" w:eastAsia="zh-CN"/>
        </w:rPr>
        <w:t>9</w:t>
      </w:r>
      <w:r>
        <w:rPr>
          <w:rFonts w:hint="eastAsia"/>
          <w:snapToGrid w:val="0"/>
          <w:color w:val="auto"/>
          <w:kern w:val="0"/>
          <w:sz w:val="24"/>
          <w:highlight w:val="none"/>
        </w:rPr>
        <w:t>。</w:t>
      </w:r>
    </w:p>
    <w:p w14:paraId="7B3C20D3">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9</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本项目与《塔城地区生态环境保护“十四五”规划》符合性分析</w:t>
      </w:r>
      <w:r>
        <w:rPr>
          <w:rFonts w:ascii="Times New Roman" w:hAnsi="Times New Roman" w:cs="Times New Roman"/>
          <w:snapToGrid w:val="0"/>
          <w:color w:val="auto"/>
          <w:kern w:val="0"/>
          <w:sz w:val="21"/>
          <w:szCs w:val="21"/>
          <w:highlight w:val="none"/>
        </w:rPr>
        <w:t>表</w:t>
      </w:r>
    </w:p>
    <w:tbl>
      <w:tblPr>
        <w:tblStyle w:val="56"/>
        <w:tblW w:w="501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168"/>
        <w:gridCol w:w="2678"/>
        <w:gridCol w:w="462"/>
      </w:tblGrid>
      <w:tr w14:paraId="2B7FB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shd w:val="clear" w:color="auto" w:fill="auto"/>
            <w:vAlign w:val="center"/>
          </w:tcPr>
          <w:p w14:paraId="3A50D08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规划</w:t>
            </w:r>
            <w:r>
              <w:rPr>
                <w:rFonts w:ascii="Times New Roman" w:hAnsi="Times New Roman" w:eastAsia="宋体" w:cs="Times New Roman"/>
                <w:snapToGrid w:val="0"/>
                <w:color w:val="auto"/>
                <w:kern w:val="0"/>
                <w:sz w:val="21"/>
                <w:szCs w:val="21"/>
                <w:highlight w:val="none"/>
              </w:rPr>
              <w:t>要求</w:t>
            </w:r>
          </w:p>
        </w:tc>
        <w:tc>
          <w:tcPr>
            <w:tcW w:w="1611" w:type="pct"/>
            <w:shd w:val="clear" w:color="auto" w:fill="auto"/>
            <w:vAlign w:val="center"/>
          </w:tcPr>
          <w:p w14:paraId="2ADCC9F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情况</w:t>
            </w:r>
          </w:p>
        </w:tc>
        <w:tc>
          <w:tcPr>
            <w:tcW w:w="278" w:type="pct"/>
            <w:shd w:val="clear" w:color="auto" w:fill="auto"/>
            <w:vAlign w:val="center"/>
          </w:tcPr>
          <w:p w14:paraId="5DB1E6C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7DCAD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09" w:type="pct"/>
            <w:shd w:val="clear" w:color="auto" w:fill="auto"/>
            <w:vAlign w:val="center"/>
          </w:tcPr>
          <w:p w14:paraId="2FE7455E">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全面实施以“三线一单”为核心的生态环境分区管控体系，开展重点流域、重点区域、重点行业和产业布局的规划环评，充分发挥生态环境功能定位在产业布局结构中的基础性约束作用。以钢铁、有色、石化、焦化、水泥、电解铝为重点，严格执行产能置换实施办法，持续压减淘汰落后和过剩产能，推动水泥、电解铝、石化、焦化、铸造等重点行业绿色转型。发展循环性产业，着力推进现有工业园区循环化改造和新建园区循环化建设。</w:t>
            </w:r>
          </w:p>
        </w:tc>
        <w:tc>
          <w:tcPr>
            <w:tcW w:w="1611" w:type="pct"/>
            <w:shd w:val="clear" w:color="auto" w:fill="auto"/>
            <w:vAlign w:val="center"/>
          </w:tcPr>
          <w:p w14:paraId="17EC34C3">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本项目符合塔城地区生态环境分区管控要求，不涉及相关行业产能置换。</w:t>
            </w:r>
          </w:p>
        </w:tc>
        <w:tc>
          <w:tcPr>
            <w:tcW w:w="278" w:type="pct"/>
            <w:shd w:val="clear" w:color="auto" w:fill="auto"/>
            <w:vAlign w:val="center"/>
          </w:tcPr>
          <w:p w14:paraId="4630465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2D485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09" w:type="pct"/>
            <w:shd w:val="clear" w:color="auto" w:fill="auto"/>
            <w:vAlign w:val="center"/>
          </w:tcPr>
          <w:p w14:paraId="7EB5C5E9">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坚决遏制“两高”项目盲目发展。新改扩建项目实施更严格的污染物排放总量控制要求，所需二氧化硫、氮氧化物和VOCs排放指标进行减量替代，涉及大宗物料运输的，采用清洁运输方式。沙湾市、乌苏市区域内的拟建项目严格落实“乌－昌－石”“奎－独－乌”大气污染联防联控的区域</w:t>
            </w:r>
            <w:r>
              <w:rPr>
                <w:rFonts w:hint="eastAsia" w:cs="Times New Roman"/>
                <w:color w:val="auto"/>
                <w:kern w:val="0"/>
                <w:sz w:val="21"/>
                <w:szCs w:val="21"/>
                <w:highlight w:val="none"/>
                <w:lang w:val="en-US" w:eastAsia="zh-CN"/>
              </w:rPr>
              <w:t>削减</w:t>
            </w:r>
            <w:r>
              <w:rPr>
                <w:rFonts w:hint="eastAsia" w:ascii="Times New Roman" w:hAnsi="Times New Roman" w:eastAsia="宋体" w:cs="Times New Roman"/>
                <w:color w:val="auto"/>
                <w:kern w:val="0"/>
                <w:sz w:val="21"/>
                <w:szCs w:val="21"/>
                <w:highlight w:val="none"/>
              </w:rPr>
              <w:t>要求，以石化、焦化、水泥为重点，严格执行产能置换实施办法，各县市、园区对新上项目实施能耗等量或减量替代后方可予以准入，对年耗能1000吨标准煤以上低能耗、高附加值的新上项目，推动淘汰落后产能和压减过剩产能。利用能耗、环保、质量、安全、技术等综合标准，依法依规组织实施落后产能退出工作。</w:t>
            </w:r>
          </w:p>
        </w:tc>
        <w:tc>
          <w:tcPr>
            <w:tcW w:w="1611" w:type="pct"/>
            <w:shd w:val="clear" w:color="auto" w:fill="auto"/>
            <w:vAlign w:val="center"/>
          </w:tcPr>
          <w:p w14:paraId="0164B83B">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根据《自治区“两高”项目管理目录（2024年版）》（新发改环资〔2024〕635号），本项目不属于“两高”项目，项目所在区域属于</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奎</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独</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乌</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大气污染联防联控区域，新增主要污染物颗粒物、</w:t>
            </w:r>
            <w:r>
              <w:rPr>
                <w:rFonts w:hint="eastAsia" w:ascii="Times New Roman" w:hAnsi="Times New Roman" w:eastAsia="宋体" w:cs="Times New Roman"/>
                <w:color w:val="auto"/>
                <w:kern w:val="0"/>
                <w:sz w:val="21"/>
                <w:szCs w:val="21"/>
                <w:highlight w:val="none"/>
                <w:lang w:val="en-US" w:eastAsia="zh-CN"/>
              </w:rPr>
              <w:t>SO</w:t>
            </w:r>
            <w:r>
              <w:rPr>
                <w:rFonts w:hint="eastAsia" w:ascii="Times New Roman" w:hAnsi="Times New Roman" w:eastAsia="宋体" w:cs="Times New Roman"/>
                <w:color w:val="auto"/>
                <w:kern w:val="0"/>
                <w:sz w:val="21"/>
                <w:szCs w:val="21"/>
                <w:highlight w:val="none"/>
                <w:vertAlign w:val="subscript"/>
                <w:lang w:val="en-US" w:eastAsia="zh-CN"/>
              </w:rPr>
              <w:t>2</w:t>
            </w:r>
            <w:r>
              <w:rPr>
                <w:rFonts w:hint="eastAsia" w:ascii="Times New Roman" w:hAnsi="Times New Roman" w:eastAsia="宋体" w:cs="Times New Roman"/>
                <w:color w:val="auto"/>
                <w:kern w:val="0"/>
                <w:sz w:val="21"/>
                <w:szCs w:val="21"/>
                <w:highlight w:val="none"/>
                <w:lang w:val="en-US" w:eastAsia="zh-CN"/>
              </w:rPr>
              <w:t>、NO</w:t>
            </w:r>
            <w:r>
              <w:rPr>
                <w:rFonts w:hint="eastAsia" w:ascii="Times New Roman" w:hAnsi="Times New Roman" w:eastAsia="宋体" w:cs="Times New Roman"/>
                <w:color w:val="auto"/>
                <w:kern w:val="0"/>
                <w:sz w:val="21"/>
                <w:szCs w:val="21"/>
                <w:highlight w:val="none"/>
                <w:vertAlign w:val="subscript"/>
                <w:lang w:val="en-US" w:eastAsia="zh-CN"/>
              </w:rPr>
              <w:t>X</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VOCs从企业内部划拨，不重新申请总量，本项目不涉及相关产能置换或退出产业。</w:t>
            </w:r>
          </w:p>
        </w:tc>
        <w:tc>
          <w:tcPr>
            <w:tcW w:w="278" w:type="pct"/>
            <w:shd w:val="clear" w:color="auto" w:fill="auto"/>
            <w:vAlign w:val="center"/>
          </w:tcPr>
          <w:p w14:paraId="3E74220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8B36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09" w:type="pct"/>
            <w:shd w:val="clear" w:color="auto" w:fill="auto"/>
            <w:vAlign w:val="center"/>
          </w:tcPr>
          <w:p w14:paraId="1AE6AE3E">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加快推动能源结构和产业结构绿色低碳转型，有效控制能源、化工、建筑、交通等重点领域温室气体排放，探索实施以二氧化碳排放强度控制为主，排放总量控制为辅的管理制度，根据国家的统一部署，落实碳排放交易制度，推动企业积极参加碳排放权交易。</w:t>
            </w:r>
          </w:p>
        </w:tc>
        <w:tc>
          <w:tcPr>
            <w:tcW w:w="1611" w:type="pct"/>
            <w:shd w:val="clear" w:color="auto" w:fill="auto"/>
            <w:vAlign w:val="center"/>
          </w:tcPr>
          <w:p w14:paraId="59ADB81C">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本项目按要求核算碳排放，并要求企业持续推进减碳增效。</w:t>
            </w:r>
          </w:p>
        </w:tc>
        <w:tc>
          <w:tcPr>
            <w:tcW w:w="278" w:type="pct"/>
            <w:shd w:val="clear" w:color="auto" w:fill="auto"/>
            <w:vAlign w:val="center"/>
          </w:tcPr>
          <w:p w14:paraId="2F303F7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A8BD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09" w:type="pct"/>
            <w:shd w:val="clear" w:color="auto" w:fill="auto"/>
            <w:vAlign w:val="center"/>
          </w:tcPr>
          <w:p w14:paraId="5CED658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color w:val="auto"/>
                <w:kern w:val="0"/>
                <w:sz w:val="21"/>
                <w:szCs w:val="21"/>
                <w:highlight w:val="none"/>
              </w:rPr>
              <w:t>加强重点行业领域VOCs整治。重点推进石油天然气开采、石化、化工、工业涂装、家具制造、塑料、橡胶、包装印刷、汽修等挥发性有机物排放等重点行业，以工业园区、企业集群和重点企业VOCs污染防治，持续削减重点企业VOCs排放量。强化挥发性有机物污染防治措施。</w:t>
            </w:r>
          </w:p>
        </w:tc>
        <w:tc>
          <w:tcPr>
            <w:tcW w:w="1611" w:type="pct"/>
            <w:shd w:val="clear" w:color="auto" w:fill="auto"/>
            <w:vAlign w:val="center"/>
          </w:tcPr>
          <w:p w14:paraId="76B3B271">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本项目含VOCs废气中</w:t>
            </w:r>
            <w:r>
              <w:rPr>
                <w:rFonts w:hint="eastAsia"/>
                <w:snapToGrid w:val="0"/>
                <w:color w:val="auto"/>
                <w:kern w:val="0"/>
                <w:szCs w:val="21"/>
                <w:highlight w:val="none"/>
              </w:rPr>
              <w:t>罐区</w:t>
            </w:r>
            <w:r>
              <w:rPr>
                <w:rFonts w:hint="eastAsia"/>
                <w:snapToGrid w:val="0"/>
                <w:color w:val="auto"/>
                <w:kern w:val="0"/>
                <w:szCs w:val="21"/>
                <w:highlight w:val="none"/>
                <w:lang w:val="en-US" w:eastAsia="zh-CN"/>
              </w:rPr>
              <w:t>有机</w:t>
            </w:r>
            <w:r>
              <w:rPr>
                <w:rFonts w:hint="eastAsia"/>
                <w:snapToGrid w:val="0"/>
                <w:color w:val="auto"/>
                <w:kern w:val="0"/>
                <w:szCs w:val="21"/>
                <w:highlight w:val="none"/>
              </w:rPr>
              <w:t>废气</w:t>
            </w:r>
            <w:r>
              <w:rPr>
                <w:rFonts w:hint="eastAsia"/>
                <w:snapToGrid w:val="0"/>
                <w:color w:val="auto"/>
                <w:kern w:val="0"/>
                <w:szCs w:val="21"/>
                <w:highlight w:val="none"/>
                <w:lang w:val="en-US" w:eastAsia="zh-CN"/>
              </w:rPr>
              <w:t>采用</w:t>
            </w:r>
            <w:r>
              <w:rPr>
                <w:rFonts w:hint="eastAsia"/>
                <w:snapToGrid w:val="0"/>
                <w:color w:val="auto"/>
                <w:kern w:val="0"/>
                <w:szCs w:val="21"/>
                <w:highlight w:val="none"/>
              </w:rPr>
              <w:t>冷凝+活性炭吸附</w:t>
            </w:r>
            <w:r>
              <w:rPr>
                <w:rFonts w:hint="eastAsia"/>
                <w:snapToGrid w:val="0"/>
                <w:color w:val="auto"/>
                <w:kern w:val="0"/>
                <w:szCs w:val="21"/>
                <w:highlight w:val="none"/>
                <w:lang w:val="en-US" w:eastAsia="zh-CN"/>
              </w:rPr>
              <w:t>工艺处理，</w:t>
            </w:r>
            <w:r>
              <w:rPr>
                <w:rFonts w:hint="eastAsia" w:cs="Times New Roman"/>
                <w:color w:val="auto"/>
                <w:kern w:val="0"/>
                <w:sz w:val="21"/>
                <w:szCs w:val="21"/>
                <w:highlight w:val="none"/>
                <w:lang w:val="en-US" w:eastAsia="zh-CN"/>
              </w:rPr>
              <w:t>其他有机废气</w:t>
            </w:r>
            <w:r>
              <w:rPr>
                <w:rFonts w:hint="eastAsia" w:ascii="Times New Roman" w:hAnsi="Times New Roman" w:eastAsia="宋体" w:cs="Times New Roman"/>
                <w:color w:val="auto"/>
                <w:kern w:val="0"/>
                <w:sz w:val="21"/>
                <w:szCs w:val="21"/>
                <w:highlight w:val="none"/>
              </w:rPr>
              <w:t>采用水吸收+碱吸收工艺处理</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均</w:t>
            </w:r>
            <w:r>
              <w:rPr>
                <w:rFonts w:hint="eastAsia" w:ascii="Times New Roman" w:hAnsi="Times New Roman" w:eastAsia="宋体" w:cs="Times New Roman"/>
                <w:color w:val="auto"/>
                <w:kern w:val="0"/>
                <w:sz w:val="21"/>
                <w:szCs w:val="21"/>
                <w:highlight w:val="none"/>
              </w:rPr>
              <w:t>属于可行的防治措施。</w:t>
            </w:r>
          </w:p>
        </w:tc>
        <w:tc>
          <w:tcPr>
            <w:tcW w:w="278" w:type="pct"/>
            <w:shd w:val="clear" w:color="auto" w:fill="auto"/>
            <w:vAlign w:val="center"/>
          </w:tcPr>
          <w:p w14:paraId="450C663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bl>
    <w:p w14:paraId="7A39A985">
      <w:pPr>
        <w:tabs>
          <w:tab w:val="left" w:pos="7560"/>
        </w:tabs>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综合分析，本项目符合塔城地区生态环境分区管控要求，不属于“两高”项目，</w:t>
      </w:r>
      <w:r>
        <w:rPr>
          <w:rFonts w:hint="eastAsia"/>
          <w:snapToGrid w:val="0"/>
          <w:color w:val="auto"/>
          <w:kern w:val="0"/>
          <w:sz w:val="24"/>
          <w:highlight w:val="none"/>
          <w:lang w:val="en-US" w:eastAsia="zh-CN"/>
        </w:rPr>
        <w:t>项目</w:t>
      </w:r>
      <w:r>
        <w:rPr>
          <w:rFonts w:hint="eastAsia"/>
          <w:snapToGrid w:val="0"/>
          <w:color w:val="auto"/>
          <w:kern w:val="0"/>
          <w:sz w:val="24"/>
          <w:highlight w:val="none"/>
        </w:rPr>
        <w:t>含VOCs废气采用的处理措施属于可行的污染防治措施，因此项目符合《塔城地区生态环境保护“十四五”规划》的相关要求。</w:t>
      </w:r>
    </w:p>
    <w:p w14:paraId="08CB40B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color w:val="auto"/>
          <w:spacing w:val="0"/>
          <w:w w:val="100"/>
          <w:kern w:val="0"/>
          <w:sz w:val="24"/>
          <w:szCs w:val="24"/>
          <w:highlight w:val="none"/>
        </w:rPr>
      </w:pPr>
      <w:r>
        <w:rPr>
          <w:rFonts w:hint="eastAsia" w:ascii="Times New Roman" w:hAnsi="Times New Roman" w:cs="Times New Roman"/>
          <w:color w:val="auto"/>
          <w:spacing w:val="0"/>
          <w:w w:val="100"/>
          <w:kern w:val="0"/>
          <w:sz w:val="24"/>
          <w:szCs w:val="24"/>
          <w:highlight w:val="none"/>
        </w:rPr>
        <w:t>1.4.4相关环境政策符合性分析</w:t>
      </w:r>
    </w:p>
    <w:p w14:paraId="23A2250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1.4.4.1与《空气质量持续改善行动计划》符合性分析</w:t>
      </w:r>
    </w:p>
    <w:p w14:paraId="0A2F7D4B">
      <w:pPr>
        <w:tabs>
          <w:tab w:val="left" w:pos="7560"/>
        </w:tabs>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本项目与国务院关于印发《空气质量持续改善行动计划》的通知（国发〔2023〕24号）符合性详见表1.4</w:t>
      </w:r>
      <w:r>
        <w:rPr>
          <w:rFonts w:hint="eastAsia"/>
          <w:snapToGrid w:val="0"/>
          <w:color w:val="auto"/>
          <w:kern w:val="0"/>
          <w:sz w:val="24"/>
          <w:highlight w:val="none"/>
          <w:lang w:val="en-US" w:eastAsia="zh-CN"/>
        </w:rPr>
        <w:t>-10</w:t>
      </w:r>
      <w:r>
        <w:rPr>
          <w:rFonts w:hint="eastAsia"/>
          <w:snapToGrid w:val="0"/>
          <w:color w:val="auto"/>
          <w:kern w:val="0"/>
          <w:sz w:val="24"/>
          <w:highlight w:val="none"/>
        </w:rPr>
        <w:t>。</w:t>
      </w:r>
    </w:p>
    <w:p w14:paraId="1849C69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10</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本项目与《空气质量持续改善行动计划》符合性分析</w:t>
      </w:r>
      <w:r>
        <w:rPr>
          <w:rFonts w:ascii="Times New Roman" w:hAnsi="Times New Roman" w:cs="Times New Roman"/>
          <w:snapToGrid w:val="0"/>
          <w:color w:val="auto"/>
          <w:kern w:val="0"/>
          <w:sz w:val="21"/>
          <w:szCs w:val="21"/>
          <w:highlight w:val="none"/>
        </w:rPr>
        <w:t>表</w:t>
      </w:r>
    </w:p>
    <w:tbl>
      <w:tblPr>
        <w:tblStyle w:val="56"/>
        <w:tblW w:w="51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379"/>
        <w:gridCol w:w="3435"/>
        <w:gridCol w:w="640"/>
      </w:tblGrid>
      <w:tr w14:paraId="31B79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89" w:type="pct"/>
            <w:shd w:val="clear" w:color="auto" w:fill="auto"/>
            <w:vAlign w:val="center"/>
          </w:tcPr>
          <w:p w14:paraId="5F9BE9A0">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文件</w:t>
            </w:r>
            <w:r>
              <w:rPr>
                <w:snapToGrid w:val="0"/>
                <w:color w:val="auto"/>
                <w:kern w:val="0"/>
                <w:szCs w:val="21"/>
                <w:highlight w:val="none"/>
              </w:rPr>
              <w:t>要求</w:t>
            </w:r>
          </w:p>
        </w:tc>
        <w:tc>
          <w:tcPr>
            <w:tcW w:w="2031" w:type="pct"/>
            <w:shd w:val="clear" w:color="auto" w:fill="auto"/>
            <w:vAlign w:val="center"/>
          </w:tcPr>
          <w:p w14:paraId="058B5EC9">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378" w:type="pct"/>
            <w:shd w:val="clear" w:color="auto" w:fill="auto"/>
            <w:vAlign w:val="center"/>
          </w:tcPr>
          <w:p w14:paraId="55BE4FB9">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7DCC7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89" w:type="pct"/>
            <w:shd w:val="clear" w:color="auto" w:fill="auto"/>
            <w:vAlign w:val="center"/>
          </w:tcPr>
          <w:p w14:paraId="6785FD07">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四）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w:t>
            </w:r>
          </w:p>
        </w:tc>
        <w:tc>
          <w:tcPr>
            <w:tcW w:w="2031" w:type="pct"/>
            <w:shd w:val="clear" w:color="auto" w:fill="auto"/>
            <w:vAlign w:val="center"/>
          </w:tcPr>
          <w:p w14:paraId="6630BE0B">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本项目属于《产业结构调整指导目录（2024年本）》中的</w:t>
            </w:r>
            <w:r>
              <w:rPr>
                <w:rFonts w:hint="eastAsia" w:cs="Times New Roman"/>
                <w:color w:val="auto"/>
                <w:kern w:val="0"/>
                <w:szCs w:val="21"/>
                <w:highlight w:val="none"/>
                <w:lang w:eastAsia="zh-CN"/>
              </w:rPr>
              <w:t>允许类</w:t>
            </w:r>
            <w:r>
              <w:rPr>
                <w:rFonts w:hint="eastAsia" w:cs="Times New Roman"/>
                <w:color w:val="auto"/>
                <w:kern w:val="0"/>
                <w:szCs w:val="21"/>
                <w:highlight w:val="none"/>
              </w:rPr>
              <w:t>项目。项目</w:t>
            </w:r>
            <w:r>
              <w:rPr>
                <w:rFonts w:hint="eastAsia" w:cs="Times New Roman"/>
                <w:color w:val="auto"/>
                <w:kern w:val="0"/>
                <w:szCs w:val="21"/>
                <w:highlight w:val="none"/>
                <w:lang w:eastAsia="zh-CN"/>
              </w:rPr>
              <w:t>位于</w:t>
            </w:r>
            <w:r>
              <w:rPr>
                <w:rFonts w:hint="eastAsia" w:cs="Times New Roman"/>
                <w:color w:val="auto"/>
                <w:kern w:val="0"/>
                <w:szCs w:val="21"/>
                <w:highlight w:val="none"/>
              </w:rPr>
              <w:t>乌苏市化工产业集中区，符合《乌苏市化工产业集中区总体规划（2024-2035）》产业布局。项目根据要求落实污染物总量和削减源。物料主要采用国六标准或新能源汽车运输，清洁生产水平为国内先进水平。</w:t>
            </w:r>
          </w:p>
        </w:tc>
        <w:tc>
          <w:tcPr>
            <w:tcW w:w="378" w:type="pct"/>
            <w:shd w:val="clear" w:color="auto" w:fill="auto"/>
            <w:vAlign w:val="center"/>
          </w:tcPr>
          <w:p w14:paraId="63F411A9">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046EC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89" w:type="pct"/>
            <w:shd w:val="clear" w:color="auto" w:fill="auto"/>
            <w:vAlign w:val="center"/>
          </w:tcPr>
          <w:p w14:paraId="4B1D8763">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（十四）持续优化调整货物运输结构。大宗货物中长距离运输优先采用铁路、水路运输，短距离运输优先采用封闭式皮带廊道或新能源车船。</w:t>
            </w:r>
          </w:p>
        </w:tc>
        <w:tc>
          <w:tcPr>
            <w:tcW w:w="2031" w:type="pct"/>
            <w:shd w:val="clear" w:color="auto" w:fill="auto"/>
            <w:vAlign w:val="center"/>
          </w:tcPr>
          <w:p w14:paraId="50631917">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本项目物料主要采用国六标准或新能源车辆运输。</w:t>
            </w:r>
          </w:p>
        </w:tc>
        <w:tc>
          <w:tcPr>
            <w:tcW w:w="378" w:type="pct"/>
            <w:shd w:val="clear" w:color="auto" w:fill="auto"/>
            <w:vAlign w:val="center"/>
          </w:tcPr>
          <w:p w14:paraId="4A71DF4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7A421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89" w:type="pct"/>
            <w:shd w:val="clear" w:color="auto" w:fill="auto"/>
            <w:vAlign w:val="center"/>
          </w:tcPr>
          <w:p w14:paraId="3054DE8E">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二十一）强化VOCs全流程、全环节综合治理。鼓励储罐使用低泄漏的呼吸阀、紧急泄压阀，定期开展密封性检测。汽车罐车推广使用密封式快速接头。污水处理场所高浓度有机废气要单独收集处理；含VOCs有机废水储罐、装置区集水井（池）有机废气要密闭收集处理。</w:t>
            </w:r>
          </w:p>
        </w:tc>
        <w:tc>
          <w:tcPr>
            <w:tcW w:w="2031" w:type="pct"/>
            <w:shd w:val="clear" w:color="auto" w:fill="auto"/>
            <w:vAlign w:val="center"/>
          </w:tcPr>
          <w:p w14:paraId="354D7760">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本项目采用生物发酵法生产</w:t>
            </w:r>
            <w:r>
              <w:rPr>
                <w:rFonts w:hint="eastAsia" w:cs="Times New Roman"/>
                <w:color w:val="auto"/>
                <w:kern w:val="0"/>
                <w:szCs w:val="21"/>
                <w:highlight w:val="none"/>
                <w:lang w:eastAsia="zh-CN"/>
              </w:rPr>
              <w:t>二元酸</w:t>
            </w:r>
            <w:r>
              <w:rPr>
                <w:rFonts w:hint="eastAsia" w:cs="Times New Roman"/>
                <w:color w:val="auto"/>
                <w:kern w:val="0"/>
                <w:szCs w:val="21"/>
                <w:highlight w:val="none"/>
              </w:rPr>
              <w:t>产品，该方法相较传统的化学合成法，挥发性有机物产生量较小；本项目含VOCs废气中罐区有机废气采用冷凝+活性炭吸附工艺处理，其他有机废气采用水吸收+碱吸收工艺处理。</w:t>
            </w:r>
          </w:p>
        </w:tc>
        <w:tc>
          <w:tcPr>
            <w:tcW w:w="378" w:type="pct"/>
            <w:shd w:val="clear" w:color="auto" w:fill="auto"/>
            <w:vAlign w:val="center"/>
          </w:tcPr>
          <w:p w14:paraId="3F719B3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bl>
    <w:p w14:paraId="7DA28E0C">
      <w:pPr>
        <w:tabs>
          <w:tab w:val="left" w:pos="7560"/>
        </w:tabs>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综上所述，本项目符合《空气质量持续改善行动计划》的相关要求。</w:t>
      </w:r>
    </w:p>
    <w:p w14:paraId="1E593CD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2</w:t>
      </w:r>
      <w:r>
        <w:rPr>
          <w:rFonts w:hint="eastAsia" w:ascii="宋体" w:hAnsi="宋体" w:eastAsia="宋体" w:cs="宋体"/>
          <w:b/>
          <w:bCs w:val="0"/>
          <w:snapToGrid w:val="0"/>
          <w:color w:val="auto"/>
          <w:spacing w:val="0"/>
          <w:w w:val="100"/>
          <w:kern w:val="0"/>
          <w:sz w:val="24"/>
          <w:szCs w:val="24"/>
          <w:highlight w:val="none"/>
        </w:rPr>
        <w:t>与《臭氧污染防治攻坚行动方案》符合性分析</w:t>
      </w:r>
    </w:p>
    <w:p w14:paraId="75159AB1">
      <w:pPr>
        <w:tabs>
          <w:tab w:val="left" w:pos="7560"/>
        </w:tabs>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本项目与《臭氧污染防治攻坚行动方案》符合性详见表1.4</w:t>
      </w:r>
      <w:r>
        <w:rPr>
          <w:rFonts w:hint="eastAsia"/>
          <w:snapToGrid w:val="0"/>
          <w:color w:val="auto"/>
          <w:kern w:val="0"/>
          <w:sz w:val="24"/>
          <w:highlight w:val="none"/>
          <w:lang w:val="en-US" w:eastAsia="zh-CN"/>
        </w:rPr>
        <w:t>-11</w:t>
      </w:r>
      <w:r>
        <w:rPr>
          <w:rFonts w:hint="eastAsia"/>
          <w:snapToGrid w:val="0"/>
          <w:color w:val="auto"/>
          <w:kern w:val="0"/>
          <w:sz w:val="24"/>
          <w:highlight w:val="none"/>
        </w:rPr>
        <w:t>。</w:t>
      </w:r>
    </w:p>
    <w:p w14:paraId="05E93B2C">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11</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本项目与《臭氧污染防治攻坚行动方案》符合性分析</w:t>
      </w:r>
      <w:r>
        <w:rPr>
          <w:rFonts w:ascii="Times New Roman" w:hAnsi="Times New Roman" w:cs="Times New Roman"/>
          <w:snapToGrid w:val="0"/>
          <w:color w:val="auto"/>
          <w:kern w:val="0"/>
          <w:sz w:val="21"/>
          <w:szCs w:val="21"/>
          <w:highlight w:val="none"/>
        </w:rPr>
        <w:t>表</w:t>
      </w:r>
    </w:p>
    <w:tbl>
      <w:tblPr>
        <w:tblStyle w:val="56"/>
        <w:tblW w:w="51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123"/>
        <w:gridCol w:w="2729"/>
        <w:gridCol w:w="642"/>
      </w:tblGrid>
      <w:tr w14:paraId="2B8CB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5" w:type="pct"/>
            <w:shd w:val="clear" w:color="auto" w:fill="auto"/>
            <w:vAlign w:val="center"/>
          </w:tcPr>
          <w:p w14:paraId="2ED24E6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hint="eastAsia" w:ascii="Times New Roman" w:hAnsi="Times New Roman" w:eastAsia="宋体" w:cs="Times New Roman"/>
                <w:snapToGrid w:val="0"/>
                <w:color w:val="auto"/>
                <w:spacing w:val="0"/>
                <w:kern w:val="0"/>
                <w:sz w:val="21"/>
                <w:szCs w:val="21"/>
                <w:highlight w:val="none"/>
              </w:rPr>
              <w:t>文件</w:t>
            </w:r>
            <w:r>
              <w:rPr>
                <w:rFonts w:ascii="Times New Roman" w:hAnsi="Times New Roman" w:eastAsia="宋体" w:cs="Times New Roman"/>
                <w:snapToGrid w:val="0"/>
                <w:color w:val="auto"/>
                <w:spacing w:val="0"/>
                <w:kern w:val="0"/>
                <w:sz w:val="21"/>
                <w:szCs w:val="21"/>
                <w:highlight w:val="none"/>
              </w:rPr>
              <w:t>要求</w:t>
            </w:r>
          </w:p>
        </w:tc>
        <w:tc>
          <w:tcPr>
            <w:tcW w:w="1606" w:type="pct"/>
            <w:shd w:val="clear" w:color="auto" w:fill="auto"/>
            <w:vAlign w:val="center"/>
          </w:tcPr>
          <w:p w14:paraId="7D4587F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本项目</w:t>
            </w:r>
            <w:r>
              <w:rPr>
                <w:rFonts w:hint="eastAsia" w:ascii="Times New Roman" w:hAnsi="Times New Roman" w:eastAsia="宋体" w:cs="Times New Roman"/>
                <w:snapToGrid w:val="0"/>
                <w:color w:val="auto"/>
                <w:spacing w:val="0"/>
                <w:kern w:val="0"/>
                <w:sz w:val="21"/>
                <w:szCs w:val="21"/>
                <w:highlight w:val="none"/>
              </w:rPr>
              <w:t>情况</w:t>
            </w:r>
          </w:p>
        </w:tc>
        <w:tc>
          <w:tcPr>
            <w:tcW w:w="378" w:type="pct"/>
            <w:shd w:val="clear" w:color="auto" w:fill="auto"/>
            <w:vAlign w:val="center"/>
          </w:tcPr>
          <w:p w14:paraId="457FBE4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符合性</w:t>
            </w:r>
          </w:p>
        </w:tc>
      </w:tr>
      <w:tr w14:paraId="77310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5" w:type="pct"/>
            <w:shd w:val="clear" w:color="auto" w:fill="auto"/>
            <w:vAlign w:val="center"/>
          </w:tcPr>
          <w:p w14:paraId="6275BE0B">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强化VOCs无组织排放整治。各地全面排查含VOCs物料储存、转移和输送、设备与管线组件、敞开液面以及工艺过程等环节无组织排放情况，对达不到相关标准要求的开展整治。石化、现代煤化工、制药、农药行业重点治理储罐配件失效、装载和污水处理密闭收集效果差、装置区废水预处理池和废水储罐废气未收集、LDAR不符合标准规范等问题；焦化行业重点治理酚氰废水处理未密闭、煤气管线及焦炉等装置泄漏等问题；工业涂装、包装印刷等行业重点治理集气罩收集效果差、含VOCs原辅材料和废料储存环节无组织排放等问题。</w:t>
            </w:r>
          </w:p>
        </w:tc>
        <w:tc>
          <w:tcPr>
            <w:tcW w:w="1606" w:type="pct"/>
            <w:shd w:val="clear" w:color="auto" w:fill="auto"/>
            <w:vAlign w:val="center"/>
          </w:tcPr>
          <w:p w14:paraId="25ADEA4E">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本项目涉及</w:t>
            </w:r>
            <w:r>
              <w:rPr>
                <w:rFonts w:ascii="Times New Roman" w:hAnsi="Times New Roman" w:eastAsia="宋体" w:cs="Times New Roman"/>
                <w:color w:val="auto"/>
                <w:spacing w:val="0"/>
                <w:kern w:val="0"/>
                <w:sz w:val="21"/>
                <w:szCs w:val="21"/>
                <w:highlight w:val="none"/>
              </w:rPr>
              <w:t>VOCs物料</w:t>
            </w:r>
            <w:r>
              <w:rPr>
                <w:rFonts w:hint="eastAsia" w:ascii="Times New Roman" w:hAnsi="Times New Roman" w:eastAsia="宋体" w:cs="Times New Roman"/>
                <w:color w:val="auto"/>
                <w:spacing w:val="0"/>
                <w:kern w:val="0"/>
                <w:sz w:val="21"/>
                <w:szCs w:val="21"/>
                <w:highlight w:val="none"/>
                <w:lang w:val="en-US" w:eastAsia="zh-CN"/>
              </w:rPr>
              <w:t>主要为烷烃，烷烃</w:t>
            </w:r>
            <w:r>
              <w:rPr>
                <w:rFonts w:hint="default" w:ascii="Times New Roman" w:hAnsi="Times New Roman" w:eastAsia="宋体" w:cs="Times New Roman"/>
                <w:snapToGrid w:val="0"/>
                <w:color w:val="auto"/>
                <w:spacing w:val="0"/>
                <w:kern w:val="0"/>
                <w:sz w:val="21"/>
                <w:szCs w:val="21"/>
                <w:highlight w:val="none"/>
              </w:rPr>
              <w:t>采用内</w:t>
            </w:r>
            <w:r>
              <w:rPr>
                <w:rFonts w:hint="default" w:ascii="Times New Roman" w:hAnsi="Times New Roman" w:eastAsia="宋体" w:cs="Times New Roman"/>
                <w:color w:val="auto"/>
                <w:spacing w:val="0"/>
                <w:kern w:val="0"/>
                <w:sz w:val="21"/>
                <w:szCs w:val="21"/>
                <w:highlight w:val="none"/>
              </w:rPr>
              <w:t>浮顶</w:t>
            </w:r>
            <w:r>
              <w:rPr>
                <w:rFonts w:hint="default" w:ascii="Times New Roman" w:hAnsi="Times New Roman" w:eastAsia="宋体" w:cs="Times New Roman"/>
                <w:snapToGrid w:val="0"/>
                <w:color w:val="auto"/>
                <w:spacing w:val="0"/>
                <w:kern w:val="0"/>
                <w:sz w:val="21"/>
                <w:szCs w:val="21"/>
                <w:highlight w:val="none"/>
              </w:rPr>
              <w:t>罐贮存，采用冷凝+活性炭吸附处理储罐废气，减少挥发性有机废气的排放</w:t>
            </w:r>
            <w:r>
              <w:rPr>
                <w:rFonts w:hint="eastAsia" w:ascii="Times New Roman" w:hAnsi="Times New Roman" w:eastAsia="宋体" w:cs="Times New Roman"/>
                <w:snapToGrid w:val="0"/>
                <w:color w:val="auto"/>
                <w:spacing w:val="0"/>
                <w:kern w:val="0"/>
                <w:sz w:val="21"/>
                <w:szCs w:val="21"/>
                <w:highlight w:val="none"/>
                <w:lang w:eastAsia="zh-CN"/>
              </w:rPr>
              <w:t>。</w:t>
            </w:r>
            <w:r>
              <w:rPr>
                <w:rFonts w:hint="eastAsia" w:ascii="Times New Roman" w:hAnsi="Times New Roman" w:eastAsia="宋体" w:cs="Times New Roman"/>
                <w:snapToGrid w:val="0"/>
                <w:color w:val="auto"/>
                <w:spacing w:val="0"/>
                <w:kern w:val="0"/>
                <w:sz w:val="21"/>
                <w:szCs w:val="21"/>
                <w:highlight w:val="none"/>
                <w:lang w:val="en-US" w:eastAsia="zh-CN"/>
              </w:rPr>
              <w:t>生产过程中烷烃均由密闭管道运输，本次评价提出企业应按照相关标准及规范开展LDAR工作。</w:t>
            </w:r>
          </w:p>
        </w:tc>
        <w:tc>
          <w:tcPr>
            <w:tcW w:w="378" w:type="pct"/>
            <w:shd w:val="clear" w:color="auto" w:fill="auto"/>
            <w:vAlign w:val="center"/>
          </w:tcPr>
          <w:p w14:paraId="573391EB">
            <w:pPr>
              <w:keepNext w:val="0"/>
              <w:keepLines w:val="0"/>
              <w:pageBreakBefore w:val="0"/>
              <w:widowControl/>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r w14:paraId="0FCC4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5" w:type="pct"/>
            <w:shd w:val="clear" w:color="auto" w:fill="auto"/>
            <w:vAlign w:val="center"/>
          </w:tcPr>
          <w:p w14:paraId="4E7FE901">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加强非正常工况废气排放管控。石化、化工企业应提前向当地生态环境部门报告开停车、检维修计划；制定非正常工况VOCs管控规程，严格按规程操作。</w:t>
            </w:r>
          </w:p>
        </w:tc>
        <w:tc>
          <w:tcPr>
            <w:tcW w:w="1606" w:type="pct"/>
            <w:shd w:val="clear" w:color="auto" w:fill="auto"/>
            <w:vAlign w:val="center"/>
          </w:tcPr>
          <w:p w14:paraId="0B2B4FF0">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snapToGrid w:val="0"/>
                <w:color w:val="auto"/>
                <w:spacing w:val="0"/>
                <w:kern w:val="0"/>
                <w:sz w:val="21"/>
                <w:szCs w:val="21"/>
                <w:highlight w:val="none"/>
                <w:lang w:val="en-US" w:eastAsia="zh-CN"/>
              </w:rPr>
              <w:t>本次评价要求企业</w:t>
            </w:r>
            <w:r>
              <w:rPr>
                <w:rFonts w:ascii="Times New Roman" w:hAnsi="Times New Roman" w:eastAsia="宋体" w:cs="Times New Roman"/>
                <w:color w:val="auto"/>
                <w:spacing w:val="0"/>
                <w:kern w:val="0"/>
                <w:sz w:val="21"/>
                <w:szCs w:val="21"/>
                <w:highlight w:val="none"/>
              </w:rPr>
              <w:t>提前向当地生态环境部门报告开停车、检维修计划；</w:t>
            </w:r>
            <w:r>
              <w:rPr>
                <w:rFonts w:hint="eastAsia" w:ascii="Times New Roman" w:hAnsi="Times New Roman" w:eastAsia="宋体" w:cs="Times New Roman"/>
                <w:color w:val="auto"/>
                <w:spacing w:val="0"/>
                <w:kern w:val="0"/>
                <w:sz w:val="21"/>
                <w:szCs w:val="21"/>
                <w:highlight w:val="none"/>
                <w:lang w:val="en-US" w:eastAsia="zh-CN"/>
              </w:rPr>
              <w:t>同时</w:t>
            </w:r>
            <w:r>
              <w:rPr>
                <w:rFonts w:ascii="Times New Roman" w:hAnsi="Times New Roman" w:eastAsia="宋体" w:cs="Times New Roman"/>
                <w:color w:val="auto"/>
                <w:spacing w:val="0"/>
                <w:kern w:val="0"/>
                <w:sz w:val="21"/>
                <w:szCs w:val="21"/>
                <w:highlight w:val="none"/>
              </w:rPr>
              <w:t>制定非正常工况VOCs管控规程，严格按规程操作</w:t>
            </w:r>
            <w:r>
              <w:rPr>
                <w:rFonts w:hint="eastAsia" w:ascii="Times New Roman" w:hAnsi="Times New Roman" w:eastAsia="宋体" w:cs="Times New Roman"/>
                <w:color w:val="auto"/>
                <w:spacing w:val="0"/>
                <w:kern w:val="0"/>
                <w:sz w:val="21"/>
                <w:szCs w:val="21"/>
                <w:highlight w:val="none"/>
                <w:lang w:eastAsia="zh-CN"/>
              </w:rPr>
              <w:t>。</w:t>
            </w:r>
          </w:p>
        </w:tc>
        <w:tc>
          <w:tcPr>
            <w:tcW w:w="378" w:type="pct"/>
            <w:shd w:val="clear" w:color="auto" w:fill="auto"/>
            <w:vAlign w:val="center"/>
          </w:tcPr>
          <w:p w14:paraId="47E924F8">
            <w:pPr>
              <w:keepNext w:val="0"/>
              <w:keepLines w:val="0"/>
              <w:pageBreakBefore w:val="0"/>
              <w:widowControl/>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r w14:paraId="2E261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5" w:type="pct"/>
            <w:shd w:val="clear" w:color="auto" w:fill="auto"/>
            <w:vAlign w:val="center"/>
          </w:tcPr>
          <w:p w14:paraId="09560E64">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开展夏季臭氧污染区域联防联控。着力提升臭氧污染预报水平，重点区域具备未来10天臭氧污染级别预报能力；研究区域统一的臭氧污染预警标准和应对措施。开展生产季节性调控，鼓励引导企业污染天气妥善安排生产计划，在夏季减少开停车、放空、开釜等操作，加强设备维护，鼓励增加泄漏检测与修复频次。</w:t>
            </w:r>
          </w:p>
        </w:tc>
        <w:tc>
          <w:tcPr>
            <w:tcW w:w="1606" w:type="pct"/>
            <w:shd w:val="clear" w:color="auto" w:fill="auto"/>
            <w:vAlign w:val="center"/>
          </w:tcPr>
          <w:p w14:paraId="733D09B4">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snapToGrid w:val="0"/>
                <w:color w:val="auto"/>
                <w:spacing w:val="-6"/>
                <w:kern w:val="0"/>
                <w:sz w:val="21"/>
                <w:szCs w:val="21"/>
                <w:highlight w:val="none"/>
                <w:lang w:val="en-US" w:eastAsia="zh-CN"/>
              </w:rPr>
              <w:t>本次评价要求企业</w:t>
            </w:r>
            <w:r>
              <w:rPr>
                <w:rFonts w:ascii="Times New Roman" w:hAnsi="Times New Roman" w:eastAsia="宋体" w:cs="Times New Roman"/>
                <w:color w:val="auto"/>
                <w:spacing w:val="-6"/>
                <w:kern w:val="0"/>
                <w:sz w:val="21"/>
                <w:szCs w:val="21"/>
                <w:highlight w:val="none"/>
              </w:rPr>
              <w:t>提前向当地生态环境部门报告开停车、检维修计划</w:t>
            </w:r>
            <w:r>
              <w:rPr>
                <w:rFonts w:hint="eastAsia" w:ascii="Times New Roman" w:hAnsi="Times New Roman" w:eastAsia="宋体" w:cs="Times New Roman"/>
                <w:color w:val="auto"/>
                <w:spacing w:val="-6"/>
                <w:kern w:val="0"/>
                <w:sz w:val="21"/>
                <w:szCs w:val="21"/>
                <w:highlight w:val="none"/>
                <w:lang w:eastAsia="zh-CN"/>
              </w:rPr>
              <w:t>，</w:t>
            </w:r>
            <w:r>
              <w:rPr>
                <w:rFonts w:hint="eastAsia" w:ascii="Times New Roman" w:hAnsi="Times New Roman" w:eastAsia="宋体" w:cs="Times New Roman"/>
                <w:color w:val="auto"/>
                <w:spacing w:val="-6"/>
                <w:kern w:val="0"/>
                <w:sz w:val="21"/>
                <w:szCs w:val="21"/>
                <w:highlight w:val="none"/>
                <w:lang w:val="en-US" w:eastAsia="zh-CN"/>
              </w:rPr>
              <w:t>尽可能在夏季</w:t>
            </w:r>
            <w:r>
              <w:rPr>
                <w:rFonts w:ascii="Times New Roman" w:hAnsi="Times New Roman" w:eastAsia="宋体" w:cs="Times New Roman"/>
                <w:color w:val="auto"/>
                <w:spacing w:val="-6"/>
                <w:kern w:val="0"/>
                <w:sz w:val="21"/>
                <w:szCs w:val="21"/>
                <w:highlight w:val="none"/>
              </w:rPr>
              <w:t>减少开停车</w:t>
            </w:r>
            <w:r>
              <w:rPr>
                <w:rFonts w:hint="eastAsia" w:ascii="Times New Roman" w:hAnsi="Times New Roman" w:eastAsia="宋体" w:cs="Times New Roman"/>
                <w:color w:val="auto"/>
                <w:spacing w:val="-6"/>
                <w:kern w:val="0"/>
                <w:sz w:val="21"/>
                <w:szCs w:val="21"/>
                <w:highlight w:val="none"/>
                <w:lang w:val="en-US" w:eastAsia="zh-CN"/>
              </w:rPr>
              <w:t>等操作，同时</w:t>
            </w:r>
            <w:r>
              <w:rPr>
                <w:rFonts w:hint="eastAsia" w:ascii="Times New Roman" w:hAnsi="Times New Roman" w:eastAsia="宋体" w:cs="Times New Roman"/>
                <w:snapToGrid w:val="0"/>
                <w:color w:val="auto"/>
                <w:spacing w:val="-6"/>
                <w:kern w:val="0"/>
                <w:sz w:val="21"/>
                <w:szCs w:val="21"/>
                <w:highlight w:val="none"/>
                <w:lang w:val="en-US" w:eastAsia="zh-CN"/>
              </w:rPr>
              <w:t>按照相关标准及规范开展LDAR工作。</w:t>
            </w:r>
          </w:p>
        </w:tc>
        <w:tc>
          <w:tcPr>
            <w:tcW w:w="378" w:type="pct"/>
            <w:shd w:val="clear" w:color="auto" w:fill="auto"/>
            <w:vAlign w:val="center"/>
          </w:tcPr>
          <w:p w14:paraId="0805717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r w14:paraId="5F150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015" w:type="pct"/>
            <w:shd w:val="clear" w:color="auto" w:fill="auto"/>
            <w:vAlign w:val="center"/>
          </w:tcPr>
          <w:p w14:paraId="2B243CAC">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强化治理设施运维监管。VOCs收集治理设施应较生产设备“先启后停”。治理设施吸附剂、吸收剂、催化剂等应按设计规范要求定期更换和利用处置。</w:t>
            </w:r>
          </w:p>
        </w:tc>
        <w:tc>
          <w:tcPr>
            <w:tcW w:w="1606" w:type="pct"/>
            <w:shd w:val="clear" w:color="auto" w:fill="auto"/>
            <w:vAlign w:val="center"/>
          </w:tcPr>
          <w:p w14:paraId="71FBAE46">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snapToGrid w:val="0"/>
                <w:color w:val="auto"/>
                <w:spacing w:val="0"/>
                <w:kern w:val="0"/>
                <w:sz w:val="21"/>
                <w:szCs w:val="21"/>
                <w:highlight w:val="none"/>
                <w:lang w:val="en-US" w:eastAsia="zh-CN"/>
              </w:rPr>
              <w:t>本次评价要求</w:t>
            </w:r>
            <w:r>
              <w:rPr>
                <w:rFonts w:hint="eastAsia" w:ascii="Times New Roman" w:hAnsi="Times New Roman" w:eastAsia="宋体" w:cs="Times New Roman"/>
                <w:color w:val="auto"/>
                <w:spacing w:val="0"/>
                <w:kern w:val="0"/>
                <w:sz w:val="21"/>
                <w:szCs w:val="21"/>
                <w:highlight w:val="none"/>
                <w:lang w:val="en-US" w:eastAsia="zh-CN"/>
              </w:rPr>
              <w:t>企业制定相关操作规程，</w:t>
            </w:r>
            <w:r>
              <w:rPr>
                <w:rFonts w:ascii="Times New Roman" w:hAnsi="Times New Roman" w:eastAsia="宋体" w:cs="Times New Roman"/>
                <w:color w:val="auto"/>
                <w:spacing w:val="0"/>
                <w:kern w:val="0"/>
                <w:sz w:val="21"/>
                <w:szCs w:val="21"/>
                <w:highlight w:val="none"/>
              </w:rPr>
              <w:t>VOCs收集治理设施较生产设备“先启后停”</w:t>
            </w:r>
            <w:r>
              <w:rPr>
                <w:rFonts w:hint="eastAsia" w:ascii="Times New Roman" w:hAnsi="Times New Roman" w:eastAsia="宋体" w:cs="Times New Roman"/>
                <w:color w:val="auto"/>
                <w:spacing w:val="0"/>
                <w:kern w:val="0"/>
                <w:sz w:val="21"/>
                <w:szCs w:val="21"/>
                <w:highlight w:val="none"/>
                <w:lang w:val="en-US" w:eastAsia="zh-CN"/>
              </w:rPr>
              <w:t>，储罐废气活性炭按要求定期更换并进行再生。</w:t>
            </w:r>
          </w:p>
        </w:tc>
        <w:tc>
          <w:tcPr>
            <w:tcW w:w="378" w:type="pct"/>
            <w:shd w:val="clear" w:color="auto" w:fill="auto"/>
            <w:vAlign w:val="center"/>
          </w:tcPr>
          <w:p w14:paraId="55C286D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bl>
    <w:p w14:paraId="256BFEB8">
      <w:pPr>
        <w:tabs>
          <w:tab w:val="left" w:pos="7560"/>
        </w:tabs>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综上所述，本项目符合《臭氧污染防治攻坚行动方案》的相关要求。</w:t>
      </w:r>
    </w:p>
    <w:p w14:paraId="06EEFA5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3</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新疆维吾尔自治区大气污染防治条例</w:t>
      </w:r>
      <w:r>
        <w:rPr>
          <w:rFonts w:hint="eastAsia" w:ascii="宋体" w:hAnsi="宋体" w:eastAsia="宋体" w:cs="宋体"/>
          <w:b/>
          <w:bCs w:val="0"/>
          <w:snapToGrid w:val="0"/>
          <w:color w:val="auto"/>
          <w:spacing w:val="0"/>
          <w:w w:val="100"/>
          <w:kern w:val="0"/>
          <w:sz w:val="24"/>
          <w:szCs w:val="24"/>
          <w:highlight w:val="none"/>
        </w:rPr>
        <w:t>》符合性分析</w:t>
      </w:r>
    </w:p>
    <w:p w14:paraId="044A0094">
      <w:pPr>
        <w:tabs>
          <w:tab w:val="left" w:pos="7560"/>
        </w:tabs>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新疆维吾尔自治区大气污染防治条例</w:t>
      </w:r>
      <w:r>
        <w:rPr>
          <w:rFonts w:hint="eastAsia"/>
          <w:snapToGrid w:val="0"/>
          <w:color w:val="auto"/>
          <w:kern w:val="0"/>
          <w:sz w:val="24"/>
          <w:highlight w:val="none"/>
        </w:rPr>
        <w:t>》符合性详见表1.4</w:t>
      </w:r>
      <w:r>
        <w:rPr>
          <w:rFonts w:hint="eastAsia"/>
          <w:snapToGrid w:val="0"/>
          <w:color w:val="auto"/>
          <w:kern w:val="0"/>
          <w:sz w:val="24"/>
          <w:highlight w:val="none"/>
          <w:lang w:val="en-US" w:eastAsia="zh-CN"/>
        </w:rPr>
        <w:t>-12</w:t>
      </w:r>
      <w:r>
        <w:rPr>
          <w:rFonts w:hint="eastAsia"/>
          <w:snapToGrid w:val="0"/>
          <w:color w:val="auto"/>
          <w:kern w:val="0"/>
          <w:sz w:val="24"/>
          <w:highlight w:val="none"/>
        </w:rPr>
        <w:t>。</w:t>
      </w:r>
    </w:p>
    <w:p w14:paraId="00A41A03">
      <w:pPr>
        <w:tabs>
          <w:tab w:val="left" w:pos="7560"/>
        </w:tabs>
        <w:adjustRightInd w:val="0"/>
        <w:snapToGrid w:val="0"/>
        <w:spacing w:line="360" w:lineRule="auto"/>
        <w:ind w:firstLine="480" w:firstLineChars="200"/>
        <w:rPr>
          <w:rFonts w:hint="eastAsia"/>
          <w:snapToGrid w:val="0"/>
          <w:color w:val="auto"/>
          <w:kern w:val="0"/>
          <w:sz w:val="24"/>
          <w:highlight w:val="none"/>
        </w:rPr>
      </w:pPr>
    </w:p>
    <w:p w14:paraId="7AF92A1A">
      <w:pPr>
        <w:tabs>
          <w:tab w:val="left" w:pos="7560"/>
        </w:tabs>
        <w:adjustRightInd w:val="0"/>
        <w:snapToGrid w:val="0"/>
        <w:spacing w:line="360" w:lineRule="auto"/>
        <w:ind w:firstLine="480" w:firstLineChars="200"/>
        <w:rPr>
          <w:rFonts w:hint="eastAsia"/>
          <w:snapToGrid w:val="0"/>
          <w:color w:val="auto"/>
          <w:kern w:val="0"/>
          <w:sz w:val="24"/>
          <w:highlight w:val="none"/>
        </w:rPr>
      </w:pPr>
    </w:p>
    <w:p w14:paraId="41883147">
      <w:pPr>
        <w:tabs>
          <w:tab w:val="left" w:pos="7560"/>
        </w:tabs>
        <w:adjustRightInd w:val="0"/>
        <w:snapToGrid w:val="0"/>
        <w:spacing w:line="360" w:lineRule="auto"/>
        <w:ind w:firstLine="480" w:firstLineChars="200"/>
        <w:rPr>
          <w:rFonts w:hint="eastAsia"/>
          <w:snapToGrid w:val="0"/>
          <w:color w:val="auto"/>
          <w:kern w:val="0"/>
          <w:sz w:val="24"/>
          <w:highlight w:val="none"/>
        </w:rPr>
      </w:pPr>
    </w:p>
    <w:p w14:paraId="5D78E7AA">
      <w:pPr>
        <w:tabs>
          <w:tab w:val="left" w:pos="7560"/>
        </w:tabs>
        <w:adjustRightInd w:val="0"/>
        <w:snapToGrid w:val="0"/>
        <w:spacing w:line="360" w:lineRule="auto"/>
        <w:ind w:firstLine="480" w:firstLineChars="200"/>
        <w:rPr>
          <w:rFonts w:hint="eastAsia"/>
          <w:snapToGrid w:val="0"/>
          <w:color w:val="auto"/>
          <w:kern w:val="0"/>
          <w:sz w:val="24"/>
          <w:highlight w:val="none"/>
        </w:rPr>
      </w:pPr>
    </w:p>
    <w:p w14:paraId="7DA2F76E">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12</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新疆维吾尔自治区大气污染防治条例</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1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93"/>
        <w:gridCol w:w="2768"/>
        <w:gridCol w:w="642"/>
      </w:tblGrid>
      <w:tr w14:paraId="52BA3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994" w:type="pct"/>
            <w:shd w:val="clear" w:color="auto" w:fill="auto"/>
            <w:vAlign w:val="center"/>
          </w:tcPr>
          <w:p w14:paraId="05C35E1E">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文件</w:t>
            </w:r>
            <w:r>
              <w:rPr>
                <w:snapToGrid w:val="0"/>
                <w:color w:val="auto"/>
                <w:kern w:val="0"/>
                <w:szCs w:val="21"/>
                <w:highlight w:val="none"/>
              </w:rPr>
              <w:t>要求</w:t>
            </w:r>
          </w:p>
        </w:tc>
        <w:tc>
          <w:tcPr>
            <w:tcW w:w="1627" w:type="pct"/>
            <w:shd w:val="clear" w:color="auto" w:fill="auto"/>
            <w:vAlign w:val="center"/>
          </w:tcPr>
          <w:p w14:paraId="21B10DDC">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377" w:type="pct"/>
            <w:shd w:val="clear" w:color="auto" w:fill="auto"/>
            <w:vAlign w:val="center"/>
          </w:tcPr>
          <w:p w14:paraId="521EF92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121D8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994" w:type="pct"/>
            <w:shd w:val="clear" w:color="auto" w:fill="auto"/>
            <w:vAlign w:val="center"/>
          </w:tcPr>
          <w:p w14:paraId="4C66F73F">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第十六条 自治区对大气污染物实行排污许可管理制度。</w:t>
            </w:r>
          </w:p>
          <w:p w14:paraId="7705CDAA">
            <w:pPr>
              <w:pStyle w:val="768"/>
              <w:adjustRightInd w:val="0"/>
              <w:snapToGrid w:val="0"/>
              <w:jc w:val="both"/>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向大气排放工业废气或者排放国家规定的有毒有害大气污染物的企业事业单位、集中供热设施的燃煤热源生产运营单位，以及其他依法实行排污许可管理的单位，应当依法取得排污许可证。</w:t>
            </w:r>
          </w:p>
          <w:p w14:paraId="5E54F936">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向大气排放污染物的排污单位，应当按照国家和自治区的规定，设置大气污染物排放口，并明确其标志。</w:t>
            </w:r>
          </w:p>
        </w:tc>
        <w:tc>
          <w:tcPr>
            <w:tcW w:w="1627" w:type="pct"/>
            <w:shd w:val="clear" w:color="auto" w:fill="auto"/>
            <w:vAlign w:val="center"/>
          </w:tcPr>
          <w:p w14:paraId="7623D9B8">
            <w:pPr>
              <w:pStyle w:val="768"/>
              <w:adjustRightInd w:val="0"/>
              <w:snapToGrid w:val="0"/>
              <w:jc w:val="both"/>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本项目环评批复后按要求申领排污许可证，在大气污染物排放口设置标志。</w:t>
            </w:r>
          </w:p>
        </w:tc>
        <w:tc>
          <w:tcPr>
            <w:tcW w:w="377" w:type="pct"/>
            <w:shd w:val="clear" w:color="auto" w:fill="auto"/>
            <w:vAlign w:val="center"/>
          </w:tcPr>
          <w:p w14:paraId="420FCD6C">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51B94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994" w:type="pct"/>
            <w:shd w:val="clear" w:color="auto" w:fill="auto"/>
            <w:vAlign w:val="center"/>
          </w:tcPr>
          <w:p w14:paraId="723944A6">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第二十八条 自治区人民政府工业和信息化、发展和改革、生态环境等部门制定产业结构调整目录时，应当将严重污染大气的工艺、设备、产品列入淘汰目录。</w:t>
            </w:r>
          </w:p>
          <w:p w14:paraId="55DEABFA">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禁止新建、改建、扩建列入淘汰类目录的高污染工业项目。禁止使用列入淘汰类目录的工艺、设备、产品。</w:t>
            </w:r>
          </w:p>
        </w:tc>
        <w:tc>
          <w:tcPr>
            <w:tcW w:w="1627" w:type="pct"/>
            <w:shd w:val="clear" w:color="auto" w:fill="auto"/>
            <w:vAlign w:val="center"/>
          </w:tcPr>
          <w:p w14:paraId="4394FFF1">
            <w:pPr>
              <w:pStyle w:val="768"/>
              <w:adjustRightInd w:val="0"/>
              <w:snapToGrid w:val="0"/>
              <w:jc w:val="both"/>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本项目</w:t>
            </w:r>
            <w:r>
              <w:rPr>
                <w:rFonts w:hint="default" w:ascii="Times New Roman" w:hAnsi="Times New Roman" w:eastAsia="宋体" w:cs="Times New Roman"/>
                <w:color w:val="auto"/>
                <w:spacing w:val="-6"/>
                <w:kern w:val="0"/>
                <w:sz w:val="21"/>
                <w:szCs w:val="21"/>
                <w:highlight w:val="none"/>
              </w:rPr>
              <w:t>未采用国家和自治区淘汰或禁止使用的工艺、技术和设备</w:t>
            </w:r>
            <w:r>
              <w:rPr>
                <w:rFonts w:hint="eastAsia" w:ascii="Times New Roman" w:hAnsi="Times New Roman" w:eastAsia="宋体" w:cs="Times New Roman"/>
                <w:color w:val="auto"/>
                <w:spacing w:val="-6"/>
                <w:kern w:val="0"/>
                <w:sz w:val="21"/>
                <w:szCs w:val="21"/>
                <w:highlight w:val="none"/>
                <w:lang w:eastAsia="zh-CN"/>
              </w:rPr>
              <w:t>，</w:t>
            </w:r>
            <w:r>
              <w:rPr>
                <w:rFonts w:hint="eastAsia" w:ascii="Times New Roman" w:hAnsi="Times New Roman" w:eastAsia="宋体" w:cs="Times New Roman"/>
                <w:color w:val="auto"/>
                <w:spacing w:val="-6"/>
                <w:kern w:val="0"/>
                <w:sz w:val="21"/>
                <w:szCs w:val="21"/>
                <w:highlight w:val="none"/>
                <w:lang w:val="en-US" w:eastAsia="zh-CN"/>
              </w:rPr>
              <w:t>不涉及</w:t>
            </w:r>
            <w:r>
              <w:rPr>
                <w:rFonts w:hint="eastAsia" w:cs="Times New Roman"/>
                <w:color w:val="auto"/>
                <w:kern w:val="0"/>
                <w:szCs w:val="21"/>
                <w:highlight w:val="none"/>
                <w:lang w:val="en-US" w:eastAsia="zh-CN"/>
              </w:rPr>
              <w:t>淘汰类目录的工艺、设备、产品。</w:t>
            </w:r>
          </w:p>
        </w:tc>
        <w:tc>
          <w:tcPr>
            <w:tcW w:w="377" w:type="pct"/>
            <w:shd w:val="clear" w:color="auto" w:fill="auto"/>
            <w:vAlign w:val="center"/>
          </w:tcPr>
          <w:p w14:paraId="08DE250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4C8B4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994" w:type="pct"/>
            <w:shd w:val="clear" w:color="auto" w:fill="auto"/>
            <w:vAlign w:val="center"/>
          </w:tcPr>
          <w:p w14:paraId="2EA26748">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第三十条 下列产生含挥发性有机物废气的生产和服务活动，应当按照国家规定在密闭空间或者设备中进行，并安装、使用污染防治设施；无法密闭的，应当采取措施减少废气排放：</w:t>
            </w:r>
          </w:p>
          <w:p w14:paraId="75EDFC3B">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（一）石油、化工等含挥发性有机物原料的生产；</w:t>
            </w:r>
          </w:p>
          <w:p w14:paraId="76827B4A">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（二）燃油、溶剂的储存、运输和销售；</w:t>
            </w:r>
          </w:p>
          <w:p w14:paraId="39E9B4DA">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（三）涂料、油墨、胶粘剂、农药等以挥发性有机物为原料的生产；</w:t>
            </w:r>
          </w:p>
          <w:p w14:paraId="6D6118D1">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（四）涂装、印刷、粘合、工业清洗等含挥发性有机物的产品使用；</w:t>
            </w:r>
          </w:p>
          <w:p w14:paraId="1254AA92">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 xml:space="preserve">（五）其他产生挥发性有机物的生产和服务活动。 </w:t>
            </w:r>
          </w:p>
          <w:p w14:paraId="534A4E7A">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石油、化工等排放挥发性有机物的企业事业单位和其他生产经营者在维修、检修时，应当按照技术规范，对生产装置系统的停运、倒空、清洗等环节实施挥发性有机物排放控制。</w:t>
            </w:r>
          </w:p>
        </w:tc>
        <w:tc>
          <w:tcPr>
            <w:tcW w:w="1627" w:type="pct"/>
            <w:shd w:val="clear" w:color="auto" w:fill="auto"/>
            <w:vAlign w:val="center"/>
          </w:tcPr>
          <w:p w14:paraId="6AE6A69B">
            <w:pPr>
              <w:pStyle w:val="768"/>
              <w:adjustRightInd w:val="0"/>
              <w:snapToGrid w:val="0"/>
              <w:jc w:val="both"/>
              <w:rPr>
                <w:rFonts w:hint="eastAsia" w:eastAsia="宋体" w:cs="Times New Roman"/>
                <w:color w:val="auto"/>
                <w:kern w:val="0"/>
                <w:szCs w:val="21"/>
                <w:highlight w:val="none"/>
                <w:lang w:eastAsia="zh-CN"/>
              </w:rPr>
            </w:pPr>
            <w:r>
              <w:rPr>
                <w:rFonts w:hint="eastAsia" w:cs="Times New Roman"/>
                <w:color w:val="auto"/>
                <w:kern w:val="0"/>
                <w:szCs w:val="21"/>
                <w:highlight w:val="none"/>
                <w:lang w:val="en-US" w:eastAsia="zh-CN"/>
              </w:rPr>
              <w:t>本项目涉及</w:t>
            </w:r>
            <w:r>
              <w:rPr>
                <w:rFonts w:cs="Times New Roman"/>
                <w:color w:val="auto"/>
                <w:kern w:val="0"/>
                <w:szCs w:val="21"/>
                <w:highlight w:val="none"/>
              </w:rPr>
              <w:t>VOCs物料</w:t>
            </w:r>
            <w:r>
              <w:rPr>
                <w:rFonts w:hint="eastAsia" w:cs="Times New Roman"/>
                <w:color w:val="auto"/>
                <w:kern w:val="0"/>
                <w:szCs w:val="21"/>
                <w:highlight w:val="none"/>
                <w:lang w:val="en-US" w:eastAsia="zh-CN"/>
              </w:rPr>
              <w:t>主要为烷烃，烷烃</w:t>
            </w:r>
            <w:r>
              <w:rPr>
                <w:rFonts w:hint="default" w:ascii="Times New Roman" w:hAnsi="Times New Roman" w:cs="Times New Roman"/>
                <w:snapToGrid w:val="0"/>
                <w:color w:val="auto"/>
                <w:spacing w:val="-6"/>
                <w:kern w:val="0"/>
                <w:sz w:val="21"/>
                <w:szCs w:val="21"/>
                <w:highlight w:val="none"/>
              </w:rPr>
              <w:t>采用内</w:t>
            </w:r>
            <w:r>
              <w:rPr>
                <w:rFonts w:hint="default" w:ascii="Times New Roman" w:hAnsi="Times New Roman" w:cs="Times New Roman"/>
                <w:color w:val="auto"/>
                <w:spacing w:val="-6"/>
                <w:kern w:val="0"/>
                <w:sz w:val="21"/>
                <w:szCs w:val="18"/>
                <w:highlight w:val="none"/>
              </w:rPr>
              <w:t>浮顶</w:t>
            </w:r>
            <w:r>
              <w:rPr>
                <w:rFonts w:hint="default" w:ascii="Times New Roman" w:hAnsi="Times New Roman" w:cs="Times New Roman"/>
                <w:snapToGrid w:val="0"/>
                <w:color w:val="auto"/>
                <w:spacing w:val="-6"/>
                <w:kern w:val="0"/>
                <w:sz w:val="21"/>
                <w:szCs w:val="21"/>
                <w:highlight w:val="none"/>
              </w:rPr>
              <w:t>罐贮存，采用冷凝+活性炭吸附处理储罐废气，减少挥发性有机废气的排放</w:t>
            </w:r>
            <w:r>
              <w:rPr>
                <w:rFonts w:hint="eastAsia" w:ascii="Times New Roman" w:hAnsi="Times New Roman" w:cs="Times New Roman"/>
                <w:snapToGrid w:val="0"/>
                <w:color w:val="auto"/>
                <w:spacing w:val="-6"/>
                <w:kern w:val="0"/>
                <w:sz w:val="21"/>
                <w:szCs w:val="21"/>
                <w:highlight w:val="none"/>
                <w:lang w:eastAsia="zh-CN"/>
              </w:rPr>
              <w:t>。</w:t>
            </w:r>
            <w:r>
              <w:rPr>
                <w:rFonts w:hint="eastAsia" w:ascii="Times New Roman" w:hAnsi="Times New Roman" w:cs="Times New Roman"/>
                <w:snapToGrid w:val="0"/>
                <w:color w:val="auto"/>
                <w:spacing w:val="-6"/>
                <w:kern w:val="0"/>
                <w:sz w:val="21"/>
                <w:szCs w:val="21"/>
                <w:highlight w:val="none"/>
                <w:lang w:val="en-US" w:eastAsia="zh-CN"/>
              </w:rPr>
              <w:t>生产过程中烷烃均由密闭管道运输。</w:t>
            </w:r>
            <w:r>
              <w:rPr>
                <w:rFonts w:cs="Times New Roman"/>
                <w:color w:val="auto"/>
                <w:kern w:val="0"/>
                <w:szCs w:val="21"/>
                <w:highlight w:val="none"/>
              </w:rPr>
              <w:t>VOCs收集治理设施较生产设备“先启后停”</w:t>
            </w:r>
            <w:r>
              <w:rPr>
                <w:rFonts w:hint="eastAsia" w:cs="Times New Roman"/>
                <w:color w:val="auto"/>
                <w:kern w:val="0"/>
                <w:szCs w:val="21"/>
                <w:highlight w:val="none"/>
                <w:lang w:eastAsia="zh-CN"/>
              </w:rPr>
              <w:t>。</w:t>
            </w:r>
          </w:p>
        </w:tc>
        <w:tc>
          <w:tcPr>
            <w:tcW w:w="377" w:type="pct"/>
            <w:shd w:val="clear" w:color="auto" w:fill="auto"/>
            <w:vAlign w:val="center"/>
          </w:tcPr>
          <w:p w14:paraId="177B367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21578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994" w:type="pct"/>
            <w:shd w:val="clear" w:color="auto" w:fill="auto"/>
            <w:vAlign w:val="center"/>
          </w:tcPr>
          <w:p w14:paraId="4157C58C">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第三十二条 向大气排放恶臭气体的排污单位、垃圾处置场、污水处理厂，应当设置合理的防护距离，安装净化装置或者采取其他措施，防止恶臭气体排放。</w:t>
            </w:r>
          </w:p>
          <w:p w14:paraId="7604BAD7">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在居民住宅区等人口密集区域和机关、医院、学校、幼儿园、养老院等其他需要特殊保护的区域及其周边，不得新建、改建和扩建石化、焦化、制药、油漆、塑料、橡胶、造纸、饲料等易产生恶臭气体的生产项目，或者从事其他产生恶臭气体的生产经营活动。已建成的，应当逐步搬迁或者升级改造。</w:t>
            </w:r>
          </w:p>
        </w:tc>
        <w:tc>
          <w:tcPr>
            <w:tcW w:w="1627" w:type="pct"/>
            <w:shd w:val="clear" w:color="auto" w:fill="auto"/>
            <w:vAlign w:val="center"/>
          </w:tcPr>
          <w:p w14:paraId="68771BF6">
            <w:pPr>
              <w:pStyle w:val="768"/>
              <w:adjustRightInd w:val="0"/>
              <w:snapToGrid w:val="0"/>
              <w:jc w:val="both"/>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本项目发酵废气中含有恶臭气体，本项目周边无居民住宅区等人口密集区域和机关、医院、学校、幼儿园、养老院等其他需要特殊保护的区域，根据大气环境影响预测，大气污染物贡献浓度在厂界外均未出现浓度超标点，因此，无需设置大气环境防护距离。</w:t>
            </w:r>
          </w:p>
        </w:tc>
        <w:tc>
          <w:tcPr>
            <w:tcW w:w="377" w:type="pct"/>
            <w:shd w:val="clear" w:color="auto" w:fill="auto"/>
            <w:vAlign w:val="center"/>
          </w:tcPr>
          <w:p w14:paraId="14FC8BDD">
            <w:pPr>
              <w:pStyle w:val="42"/>
              <w:widowControl/>
              <w:tabs>
                <w:tab w:val="left" w:pos="0"/>
              </w:tabs>
              <w:adjustRightInd w:val="0"/>
              <w:snapToGrid w:val="0"/>
              <w:ind w:left="0" w:firstLine="0" w:firstLineChars="0"/>
              <w:jc w:val="center"/>
              <w:rPr>
                <w:snapToGrid w:val="0"/>
                <w:color w:val="auto"/>
                <w:kern w:val="0"/>
                <w:szCs w:val="21"/>
                <w:highlight w:val="none"/>
              </w:rPr>
            </w:pPr>
            <w:r>
              <w:rPr>
                <w:rFonts w:ascii="Times New Roman" w:hAnsi="Times New Roman" w:eastAsia="宋体" w:cs="Times New Roman"/>
                <w:snapToGrid w:val="0"/>
                <w:color w:val="auto"/>
                <w:kern w:val="0"/>
                <w:sz w:val="21"/>
                <w:szCs w:val="21"/>
                <w:highlight w:val="none"/>
              </w:rPr>
              <w:t>符合</w:t>
            </w:r>
          </w:p>
        </w:tc>
      </w:tr>
    </w:tbl>
    <w:p w14:paraId="2123BDAB">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56" w:firstLineChars="200"/>
        <w:textAlignment w:val="auto"/>
        <w:rPr>
          <w:snapToGrid w:val="0"/>
          <w:color w:val="auto"/>
          <w:spacing w:val="-6"/>
          <w:kern w:val="0"/>
          <w:sz w:val="24"/>
          <w:highlight w:val="none"/>
        </w:rPr>
      </w:pPr>
      <w:r>
        <w:rPr>
          <w:snapToGrid w:val="0"/>
          <w:color w:val="auto"/>
          <w:spacing w:val="-6"/>
          <w:kern w:val="0"/>
          <w:sz w:val="24"/>
          <w:highlight w:val="none"/>
        </w:rPr>
        <w:t>综上所述，本项目符合《</w:t>
      </w:r>
      <w:r>
        <w:rPr>
          <w:rFonts w:hint="eastAsia"/>
          <w:snapToGrid w:val="0"/>
          <w:color w:val="auto"/>
          <w:spacing w:val="-6"/>
          <w:kern w:val="0"/>
          <w:sz w:val="24"/>
          <w:highlight w:val="none"/>
          <w:lang w:val="en-US" w:eastAsia="zh-CN"/>
        </w:rPr>
        <w:t>新疆维吾尔自治区大气污染防治条例</w:t>
      </w:r>
      <w:r>
        <w:rPr>
          <w:snapToGrid w:val="0"/>
          <w:color w:val="auto"/>
          <w:spacing w:val="-6"/>
          <w:kern w:val="0"/>
          <w:sz w:val="24"/>
          <w:highlight w:val="none"/>
        </w:rPr>
        <w:t>》的相关要求。</w:t>
      </w:r>
    </w:p>
    <w:p w14:paraId="0868DA0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4</w:t>
      </w:r>
      <w:r>
        <w:rPr>
          <w:rFonts w:hint="eastAsia" w:ascii="宋体" w:hAnsi="宋体" w:eastAsia="宋体" w:cs="宋体"/>
          <w:b/>
          <w:bCs w:val="0"/>
          <w:snapToGrid w:val="0"/>
          <w:color w:val="auto"/>
          <w:spacing w:val="0"/>
          <w:w w:val="100"/>
          <w:kern w:val="0"/>
          <w:sz w:val="24"/>
          <w:szCs w:val="24"/>
          <w:highlight w:val="none"/>
        </w:rPr>
        <w:t>与《中共中央 国务院关于深入打好污染防治攻坚战的意见》</w:t>
      </w:r>
      <w:r>
        <w:rPr>
          <w:rFonts w:hint="eastAsia" w:ascii="宋体" w:hAnsi="宋体" w:eastAsia="宋体" w:cs="宋体"/>
          <w:b/>
          <w:bCs w:val="0"/>
          <w:snapToGrid w:val="0"/>
          <w:color w:val="auto"/>
          <w:spacing w:val="0"/>
          <w:w w:val="100"/>
          <w:kern w:val="0"/>
          <w:sz w:val="24"/>
          <w:szCs w:val="24"/>
          <w:highlight w:val="none"/>
          <w:lang w:val="en-US" w:eastAsia="zh-CN"/>
        </w:rPr>
        <w:t>和新疆维吾尔自治区《关于深入打好污染防治攻坚战的实施方案》</w:t>
      </w:r>
      <w:r>
        <w:rPr>
          <w:rFonts w:hint="eastAsia" w:ascii="宋体" w:hAnsi="宋体" w:eastAsia="宋体" w:cs="宋体"/>
          <w:b/>
          <w:bCs w:val="0"/>
          <w:snapToGrid w:val="0"/>
          <w:color w:val="auto"/>
          <w:spacing w:val="0"/>
          <w:w w:val="100"/>
          <w:kern w:val="0"/>
          <w:sz w:val="24"/>
          <w:szCs w:val="24"/>
          <w:highlight w:val="none"/>
        </w:rPr>
        <w:t>符合性分析</w:t>
      </w:r>
    </w:p>
    <w:p w14:paraId="3F90BA19">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本项目与《中共中央 国务院关于深入打好污染防治攻坚战的意见》（2021年11月2日）</w:t>
      </w:r>
      <w:r>
        <w:rPr>
          <w:rFonts w:hint="eastAsia"/>
          <w:snapToGrid w:val="0"/>
          <w:color w:val="auto"/>
          <w:kern w:val="0"/>
          <w:sz w:val="24"/>
          <w:highlight w:val="none"/>
          <w:lang w:val="en-US" w:eastAsia="zh-CN"/>
        </w:rPr>
        <w:t>和新疆维吾尔自治区《关于深入打好污染防治攻坚战的实施方案》</w:t>
      </w:r>
      <w:r>
        <w:rPr>
          <w:rFonts w:hint="eastAsia"/>
          <w:snapToGrid w:val="0"/>
          <w:color w:val="auto"/>
          <w:kern w:val="0"/>
          <w:sz w:val="24"/>
          <w:highlight w:val="none"/>
        </w:rPr>
        <w:t>的符合性分析见表1.4-</w:t>
      </w:r>
      <w:r>
        <w:rPr>
          <w:rFonts w:hint="eastAsia"/>
          <w:snapToGrid w:val="0"/>
          <w:color w:val="auto"/>
          <w:kern w:val="0"/>
          <w:sz w:val="24"/>
          <w:highlight w:val="none"/>
          <w:lang w:val="en-US" w:eastAsia="zh-CN"/>
        </w:rPr>
        <w:t>13</w:t>
      </w:r>
      <w:r>
        <w:rPr>
          <w:rFonts w:hint="eastAsia"/>
          <w:snapToGrid w:val="0"/>
          <w:color w:val="auto"/>
          <w:kern w:val="0"/>
          <w:sz w:val="24"/>
          <w:highlight w:val="none"/>
        </w:rPr>
        <w:t>。</w:t>
      </w:r>
    </w:p>
    <w:p w14:paraId="18FA2624">
      <w:pPr>
        <w:adjustRightInd w:val="0"/>
        <w:snapToGrid w:val="0"/>
        <w:spacing w:line="360" w:lineRule="auto"/>
        <w:ind w:firstLine="480" w:firstLineChars="200"/>
        <w:rPr>
          <w:rFonts w:hint="eastAsia"/>
          <w:snapToGrid w:val="0"/>
          <w:color w:val="auto"/>
          <w:kern w:val="0"/>
          <w:sz w:val="24"/>
          <w:highlight w:val="none"/>
        </w:rPr>
      </w:pPr>
    </w:p>
    <w:p w14:paraId="3F0A52B9">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13</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本项目与《中共中央 国务院关于深入打好污染防治攻坚战的意见》</w:t>
      </w:r>
      <w:r>
        <w:rPr>
          <w:rFonts w:hint="eastAsia" w:ascii="Times New Roman" w:hAnsi="Times New Roman" w:cs="Times New Roman"/>
          <w:snapToGrid w:val="0"/>
          <w:color w:val="auto"/>
          <w:kern w:val="0"/>
          <w:sz w:val="21"/>
          <w:szCs w:val="21"/>
          <w:highlight w:val="none"/>
          <w:lang w:val="en-US" w:eastAsia="zh-CN"/>
        </w:rPr>
        <w:t>和新疆维吾尔自治区《关于深入打好污染防治攻坚战的实施方案》</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82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78"/>
        <w:gridCol w:w="4107"/>
        <w:gridCol w:w="2680"/>
        <w:gridCol w:w="523"/>
      </w:tblGrid>
      <w:tr w14:paraId="5CE52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shd w:val="clear" w:color="auto" w:fill="auto"/>
            <w:vAlign w:val="center"/>
          </w:tcPr>
          <w:p w14:paraId="00727218">
            <w:pPr>
              <w:pStyle w:val="42"/>
              <w:widowControl/>
              <w:tabs>
                <w:tab w:val="left" w:pos="0"/>
              </w:tabs>
              <w:adjustRightInd w:val="0"/>
              <w:snapToGrid w:val="0"/>
              <w:ind w:left="0" w:firstLine="0" w:firstLineChars="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文件名称</w:t>
            </w:r>
          </w:p>
        </w:tc>
        <w:tc>
          <w:tcPr>
            <w:tcW w:w="4107" w:type="dxa"/>
            <w:shd w:val="clear" w:color="auto" w:fill="auto"/>
            <w:vAlign w:val="center"/>
          </w:tcPr>
          <w:p w14:paraId="24E53A78">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文件</w:t>
            </w:r>
            <w:r>
              <w:rPr>
                <w:snapToGrid w:val="0"/>
                <w:color w:val="auto"/>
                <w:kern w:val="0"/>
                <w:szCs w:val="21"/>
                <w:highlight w:val="none"/>
              </w:rPr>
              <w:t>要求</w:t>
            </w:r>
          </w:p>
        </w:tc>
        <w:tc>
          <w:tcPr>
            <w:tcW w:w="2680" w:type="dxa"/>
            <w:shd w:val="clear" w:color="auto" w:fill="auto"/>
            <w:vAlign w:val="center"/>
          </w:tcPr>
          <w:p w14:paraId="62A55906">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523" w:type="dxa"/>
            <w:shd w:val="clear" w:color="auto" w:fill="auto"/>
            <w:vAlign w:val="center"/>
          </w:tcPr>
          <w:p w14:paraId="53AD5D5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2E660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Merge w:val="restart"/>
            <w:shd w:val="clear" w:color="auto" w:fill="auto"/>
            <w:vAlign w:val="center"/>
          </w:tcPr>
          <w:p w14:paraId="74559D06">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《中共中央 国务院关于深入打好污染防治攻坚战的意见》</w:t>
            </w:r>
          </w:p>
        </w:tc>
        <w:tc>
          <w:tcPr>
            <w:tcW w:w="4107" w:type="dxa"/>
            <w:shd w:val="clear" w:color="auto" w:fill="auto"/>
            <w:vAlign w:val="center"/>
          </w:tcPr>
          <w:p w14:paraId="6DC5B702">
            <w:pPr>
              <w:pStyle w:val="768"/>
              <w:adjustRightInd w:val="0"/>
              <w:snapToGrid w:val="0"/>
              <w:jc w:val="both"/>
              <w:rPr>
                <w:rFonts w:cs="Times New Roman"/>
                <w:color w:val="auto"/>
                <w:kern w:val="0"/>
                <w:szCs w:val="21"/>
                <w:highlight w:val="none"/>
              </w:rPr>
            </w:pPr>
            <w:r>
              <w:rPr>
                <w:rFonts w:cs="Times New Roman"/>
                <w:color w:val="auto"/>
                <w:kern w:val="0"/>
                <w:szCs w:val="21"/>
                <w:highlight w:val="none"/>
              </w:rPr>
              <w:t>（七）坚决遏制高耗能</w:t>
            </w:r>
            <w:r>
              <w:rPr>
                <w:rFonts w:hint="eastAsia" w:cs="Times New Roman"/>
                <w:color w:val="auto"/>
                <w:kern w:val="0"/>
                <w:szCs w:val="21"/>
                <w:highlight w:val="none"/>
                <w:lang w:eastAsia="zh-CN"/>
              </w:rPr>
              <w:t>、高</w:t>
            </w:r>
            <w:r>
              <w:rPr>
                <w:rFonts w:cs="Times New Roman"/>
                <w:color w:val="auto"/>
                <w:kern w:val="0"/>
                <w:szCs w:val="21"/>
                <w:highlight w:val="none"/>
              </w:rPr>
              <w:t>排放项目盲目发展。严把高耗能高排放项目准入关口，严格落实污染物排放区域削减要求，对不符合规定的项目坚决停批停建。依法依规淘汰落后产能和化解过剩产能。推动高炉－转炉长流程炼钢转型为电炉短流程炼钢。重点区域严禁新增钢铁、焦化、水泥熟料、平板玻璃、电解铝、氧化铝、煤化工产能，合理控制煤制油气产能规模，严控新增炼油产能。</w:t>
            </w:r>
          </w:p>
        </w:tc>
        <w:tc>
          <w:tcPr>
            <w:tcW w:w="2680" w:type="dxa"/>
            <w:shd w:val="clear" w:color="auto" w:fill="auto"/>
            <w:vAlign w:val="center"/>
          </w:tcPr>
          <w:p w14:paraId="44C8DF5B">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根据《自治区“两高”项目管理目录（2024年版）》（新发改环资〔2024〕635号），本项目不属于“两高”项目，项目所在区域属于奎独乌大气污染联防联控区域，新增主要污染物颗粒物、</w:t>
            </w:r>
            <w:r>
              <w:rPr>
                <w:rFonts w:hint="eastAsia" w:cs="Times New Roman"/>
                <w:color w:val="auto"/>
                <w:kern w:val="0"/>
                <w:szCs w:val="21"/>
                <w:highlight w:val="none"/>
                <w:lang w:val="en-US" w:eastAsia="zh-CN"/>
              </w:rPr>
              <w:t>SO</w:t>
            </w:r>
            <w:r>
              <w:rPr>
                <w:rFonts w:hint="eastAsia" w:cs="Times New Roman"/>
                <w:color w:val="auto"/>
                <w:kern w:val="0"/>
                <w:szCs w:val="21"/>
                <w:highlight w:val="none"/>
                <w:vertAlign w:val="subscript"/>
                <w:lang w:val="en-US" w:eastAsia="zh-CN"/>
              </w:rPr>
              <w:t>2</w:t>
            </w:r>
            <w:r>
              <w:rPr>
                <w:rFonts w:hint="eastAsia" w:cs="Times New Roman"/>
                <w:color w:val="auto"/>
                <w:kern w:val="0"/>
                <w:szCs w:val="21"/>
                <w:highlight w:val="none"/>
                <w:lang w:val="en-US" w:eastAsia="zh-CN"/>
              </w:rPr>
              <w:t>、NO</w:t>
            </w:r>
            <w:r>
              <w:rPr>
                <w:rFonts w:hint="eastAsia" w:cs="Times New Roman"/>
                <w:color w:val="auto"/>
                <w:kern w:val="0"/>
                <w:szCs w:val="21"/>
                <w:highlight w:val="none"/>
                <w:vertAlign w:val="subscript"/>
                <w:lang w:val="en-US" w:eastAsia="zh-CN"/>
              </w:rPr>
              <w:t>X</w:t>
            </w:r>
            <w:r>
              <w:rPr>
                <w:rFonts w:hint="eastAsia" w:cs="Times New Roman"/>
                <w:color w:val="auto"/>
                <w:kern w:val="0"/>
                <w:szCs w:val="21"/>
                <w:highlight w:val="none"/>
                <w:lang w:val="en-US" w:eastAsia="zh-CN"/>
              </w:rPr>
              <w:t>、</w:t>
            </w:r>
            <w:r>
              <w:rPr>
                <w:rFonts w:hint="eastAsia" w:cs="Times New Roman"/>
                <w:color w:val="auto"/>
                <w:kern w:val="0"/>
                <w:szCs w:val="21"/>
                <w:highlight w:val="none"/>
              </w:rPr>
              <w:t>VOCs从企业内部划拨，不重新申请总量，不涉及相关禁止准入产能。</w:t>
            </w:r>
          </w:p>
        </w:tc>
        <w:tc>
          <w:tcPr>
            <w:tcW w:w="523" w:type="dxa"/>
            <w:shd w:val="clear" w:color="auto" w:fill="auto"/>
            <w:vAlign w:val="center"/>
          </w:tcPr>
          <w:p w14:paraId="279D1309">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0F92B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Merge w:val="continue"/>
            <w:shd w:val="clear" w:color="auto" w:fill="auto"/>
            <w:vAlign w:val="center"/>
          </w:tcPr>
          <w:p w14:paraId="107A7AFE">
            <w:pPr>
              <w:pStyle w:val="768"/>
              <w:adjustRightInd w:val="0"/>
              <w:snapToGrid w:val="0"/>
              <w:jc w:val="both"/>
              <w:rPr>
                <w:rFonts w:cs="Times New Roman"/>
                <w:color w:val="auto"/>
                <w:kern w:val="0"/>
                <w:szCs w:val="21"/>
                <w:highlight w:val="none"/>
              </w:rPr>
            </w:pPr>
          </w:p>
        </w:tc>
        <w:tc>
          <w:tcPr>
            <w:tcW w:w="4107" w:type="dxa"/>
            <w:shd w:val="clear" w:color="auto" w:fill="auto"/>
            <w:vAlign w:val="center"/>
          </w:tcPr>
          <w:p w14:paraId="68D4AB00">
            <w:pPr>
              <w:pStyle w:val="768"/>
              <w:adjustRightInd w:val="0"/>
              <w:snapToGrid w:val="0"/>
              <w:jc w:val="both"/>
              <w:rPr>
                <w:rFonts w:cs="Times New Roman"/>
                <w:color w:val="auto"/>
                <w:kern w:val="0"/>
                <w:szCs w:val="21"/>
                <w:highlight w:val="none"/>
              </w:rPr>
            </w:pPr>
            <w:r>
              <w:rPr>
                <w:rFonts w:cs="Times New Roman"/>
                <w:color w:val="auto"/>
                <w:kern w:val="0"/>
                <w:szCs w:val="21"/>
                <w:highlight w:val="none"/>
              </w:rPr>
              <w:t>（九）加强生态环境分区管控。衔接国土空间规划分区和用途管制要求，将生态保护红线、环境质量底线、资源利用上线的硬约束落实到环境管控单元，建立差别化的生态环境准入清单，加强</w:t>
            </w:r>
            <w:r>
              <w:rPr>
                <w:rFonts w:hint="eastAsia" w:cs="Times New Roman"/>
                <w:color w:val="auto"/>
                <w:kern w:val="0"/>
                <w:szCs w:val="21"/>
                <w:highlight w:val="none"/>
              </w:rPr>
              <w:t>“</w:t>
            </w:r>
            <w:r>
              <w:rPr>
                <w:rFonts w:cs="Times New Roman"/>
                <w:color w:val="auto"/>
                <w:kern w:val="0"/>
                <w:szCs w:val="21"/>
                <w:highlight w:val="none"/>
              </w:rPr>
              <w:t>三线一单</w:t>
            </w:r>
            <w:r>
              <w:rPr>
                <w:rFonts w:hint="eastAsia" w:cs="Times New Roman"/>
                <w:color w:val="auto"/>
                <w:kern w:val="0"/>
                <w:szCs w:val="21"/>
                <w:highlight w:val="none"/>
              </w:rPr>
              <w:t>”</w:t>
            </w:r>
            <w:r>
              <w:rPr>
                <w:rFonts w:cs="Times New Roman"/>
                <w:color w:val="auto"/>
                <w:kern w:val="0"/>
                <w:szCs w:val="21"/>
                <w:highlight w:val="none"/>
              </w:rPr>
              <w:t>成果在政策制定、环境准入、园区管理、执法监管等方面的应用。健全以环评制度为主体的源头预防体系，严格规划环评审查和项目环评准入，开展重大经济技术政策的生态环境影响分析和重大生态环境政策的社会经济影响评估。</w:t>
            </w:r>
          </w:p>
        </w:tc>
        <w:tc>
          <w:tcPr>
            <w:tcW w:w="2680" w:type="dxa"/>
            <w:shd w:val="clear" w:color="auto" w:fill="auto"/>
            <w:vAlign w:val="center"/>
          </w:tcPr>
          <w:p w14:paraId="27AA8554">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本项目符合塔城地区生态环境分区管控要求，</w:t>
            </w:r>
            <w:r>
              <w:rPr>
                <w:rFonts w:hint="eastAsia"/>
                <w:color w:val="auto"/>
                <w:highlight w:val="none"/>
                <w:lang w:val="en-US" w:eastAsia="zh-CN"/>
              </w:rPr>
              <w:t>已</w:t>
            </w:r>
            <w:r>
              <w:rPr>
                <w:color w:val="auto"/>
                <w:highlight w:val="none"/>
              </w:rPr>
              <w:t>开展环评工作，</w:t>
            </w:r>
            <w:r>
              <w:rPr>
                <w:rFonts w:hint="eastAsia"/>
                <w:color w:val="auto"/>
                <w:highlight w:val="none"/>
                <w:lang w:val="en-US" w:eastAsia="zh-CN"/>
              </w:rPr>
              <w:t>要求</w:t>
            </w:r>
            <w:r>
              <w:rPr>
                <w:color w:val="auto"/>
                <w:highlight w:val="none"/>
              </w:rPr>
              <w:t>严格落实了</w:t>
            </w:r>
            <w:r>
              <w:rPr>
                <w:rFonts w:hint="eastAsia"/>
                <w:color w:val="auto"/>
                <w:highlight w:val="none"/>
              </w:rPr>
              <w:t>“</w:t>
            </w:r>
            <w:r>
              <w:rPr>
                <w:color w:val="auto"/>
                <w:highlight w:val="none"/>
              </w:rPr>
              <w:t>环评准入</w:t>
            </w:r>
            <w:r>
              <w:rPr>
                <w:rFonts w:hint="eastAsia"/>
                <w:color w:val="auto"/>
                <w:highlight w:val="none"/>
              </w:rPr>
              <w:t>”</w:t>
            </w:r>
            <w:r>
              <w:rPr>
                <w:color w:val="auto"/>
                <w:highlight w:val="none"/>
              </w:rPr>
              <w:t>要求，有效发挥以环评为主的源头预防作用</w:t>
            </w:r>
            <w:r>
              <w:rPr>
                <w:rFonts w:hint="eastAsia"/>
                <w:color w:val="auto"/>
                <w:highlight w:val="none"/>
              </w:rPr>
              <w:t>。</w:t>
            </w:r>
          </w:p>
        </w:tc>
        <w:tc>
          <w:tcPr>
            <w:tcW w:w="523" w:type="dxa"/>
            <w:shd w:val="clear" w:color="auto" w:fill="auto"/>
            <w:vAlign w:val="center"/>
          </w:tcPr>
          <w:p w14:paraId="2324AFD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7896E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Merge w:val="continue"/>
            <w:shd w:val="clear" w:color="auto" w:fill="auto"/>
            <w:vAlign w:val="center"/>
          </w:tcPr>
          <w:p w14:paraId="20B909BF">
            <w:pPr>
              <w:pStyle w:val="768"/>
              <w:adjustRightInd w:val="0"/>
              <w:snapToGrid w:val="0"/>
              <w:jc w:val="both"/>
              <w:rPr>
                <w:rFonts w:cs="Times New Roman"/>
                <w:color w:val="auto"/>
                <w:kern w:val="0"/>
                <w:szCs w:val="21"/>
                <w:highlight w:val="none"/>
              </w:rPr>
            </w:pPr>
          </w:p>
        </w:tc>
        <w:tc>
          <w:tcPr>
            <w:tcW w:w="4107" w:type="dxa"/>
            <w:shd w:val="clear" w:color="auto" w:fill="auto"/>
            <w:vAlign w:val="center"/>
          </w:tcPr>
          <w:p w14:paraId="022619F8">
            <w:pPr>
              <w:pStyle w:val="768"/>
              <w:adjustRightInd w:val="0"/>
              <w:snapToGrid w:val="0"/>
              <w:jc w:val="both"/>
              <w:rPr>
                <w:rFonts w:cs="Times New Roman"/>
                <w:color w:val="auto"/>
                <w:kern w:val="0"/>
                <w:szCs w:val="21"/>
                <w:highlight w:val="none"/>
              </w:rPr>
            </w:pPr>
            <w:r>
              <w:rPr>
                <w:rFonts w:cs="Times New Roman"/>
                <w:color w:val="auto"/>
                <w:kern w:val="0"/>
                <w:szCs w:val="21"/>
                <w:highlight w:val="none"/>
              </w:rPr>
              <w:t>（十二）着力打好臭氧污染防治攻坚战。聚焦夏秋季臭氧污染，大力推进挥发性有机物和氮氧化物协同减排。以石化、化工、涂装、医药、包装印刷、油品储运销等行业领域为重点，安全高效推进挥发性有机物综合治理，实施原辅材料和产品源头替代工程。</w:t>
            </w:r>
          </w:p>
        </w:tc>
        <w:tc>
          <w:tcPr>
            <w:tcW w:w="2680" w:type="dxa"/>
            <w:shd w:val="clear" w:color="auto" w:fill="auto"/>
            <w:vAlign w:val="center"/>
          </w:tcPr>
          <w:p w14:paraId="7DE893E5">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本项目采用生物发酵法生产</w:t>
            </w:r>
            <w:r>
              <w:rPr>
                <w:rFonts w:hint="eastAsia" w:cs="Times New Roman"/>
                <w:color w:val="auto"/>
                <w:kern w:val="0"/>
                <w:szCs w:val="21"/>
                <w:highlight w:val="none"/>
                <w:lang w:eastAsia="zh-CN"/>
              </w:rPr>
              <w:t>二元酸</w:t>
            </w:r>
            <w:r>
              <w:rPr>
                <w:rFonts w:hint="eastAsia" w:cs="Times New Roman"/>
                <w:color w:val="auto"/>
                <w:kern w:val="0"/>
                <w:szCs w:val="21"/>
                <w:highlight w:val="none"/>
              </w:rPr>
              <w:t>产品，该方法相较传统的化学合成法，挥发性有机物产生量较小；本项目含VOCs废气中罐区有机废气采用冷凝+活性炭吸附工艺处理，其他有机废气采用水吸收+碱吸收工艺处理。</w:t>
            </w:r>
          </w:p>
        </w:tc>
        <w:tc>
          <w:tcPr>
            <w:tcW w:w="523" w:type="dxa"/>
            <w:shd w:val="clear" w:color="auto" w:fill="auto"/>
            <w:vAlign w:val="center"/>
          </w:tcPr>
          <w:p w14:paraId="3E456C52">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5A3D3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vMerge w:val="continue"/>
            <w:shd w:val="clear" w:color="auto" w:fill="auto"/>
            <w:vAlign w:val="center"/>
          </w:tcPr>
          <w:p w14:paraId="27BDAD07">
            <w:pPr>
              <w:pStyle w:val="768"/>
              <w:adjustRightInd w:val="0"/>
              <w:snapToGrid w:val="0"/>
              <w:jc w:val="both"/>
              <w:rPr>
                <w:rFonts w:cs="Times New Roman"/>
                <w:color w:val="auto"/>
                <w:kern w:val="0"/>
                <w:szCs w:val="21"/>
                <w:highlight w:val="none"/>
              </w:rPr>
            </w:pPr>
          </w:p>
        </w:tc>
        <w:tc>
          <w:tcPr>
            <w:tcW w:w="4107" w:type="dxa"/>
            <w:shd w:val="clear" w:color="auto" w:fill="auto"/>
            <w:vAlign w:val="center"/>
          </w:tcPr>
          <w:p w14:paraId="0DC2CAA2">
            <w:pPr>
              <w:pStyle w:val="768"/>
              <w:adjustRightInd w:val="0"/>
              <w:snapToGrid w:val="0"/>
              <w:jc w:val="both"/>
              <w:rPr>
                <w:rFonts w:cs="Times New Roman"/>
                <w:color w:val="auto"/>
                <w:kern w:val="0"/>
                <w:szCs w:val="21"/>
                <w:highlight w:val="none"/>
              </w:rPr>
            </w:pPr>
            <w:r>
              <w:rPr>
                <w:rFonts w:cs="Times New Roman"/>
                <w:color w:val="auto"/>
                <w:kern w:val="0"/>
                <w:szCs w:val="21"/>
                <w:highlight w:val="none"/>
              </w:rPr>
              <w:t>（十三）持续打好柴油货车污染治理攻坚战。深入实施清洁柴油车（机）行动，全国基本淘汰国三及以下排放标准汽车，推动氢燃料电池汽车示范应用，有序推广清洁能源汽车。</w:t>
            </w:r>
          </w:p>
        </w:tc>
        <w:tc>
          <w:tcPr>
            <w:tcW w:w="2680" w:type="dxa"/>
            <w:shd w:val="clear" w:color="auto" w:fill="auto"/>
            <w:vAlign w:val="center"/>
          </w:tcPr>
          <w:p w14:paraId="21F012F5">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本项目物料主要采用国六标准或新能源车辆运输。</w:t>
            </w:r>
          </w:p>
        </w:tc>
        <w:tc>
          <w:tcPr>
            <w:tcW w:w="523" w:type="dxa"/>
            <w:shd w:val="clear" w:color="auto" w:fill="auto"/>
            <w:vAlign w:val="center"/>
          </w:tcPr>
          <w:p w14:paraId="522A2000">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7570B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978" w:type="dxa"/>
            <w:vMerge w:val="restart"/>
            <w:shd w:val="clear" w:color="auto" w:fill="auto"/>
            <w:vAlign w:val="center"/>
          </w:tcPr>
          <w:p w14:paraId="744F9F10">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新疆维吾尔自治区《关于深入打好污染防治攻坚战的实施方案》</w:t>
            </w:r>
          </w:p>
        </w:tc>
        <w:tc>
          <w:tcPr>
            <w:tcW w:w="4107" w:type="dxa"/>
            <w:shd w:val="clear" w:color="auto" w:fill="auto"/>
            <w:vAlign w:val="center"/>
          </w:tcPr>
          <w:p w14:paraId="39F15F43">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七）坚决遏制高耗能高排放低水平项目盲目发展。严把高耗能高排放低水平项目准入关口，严格落实污染物排放区域削减要求，对不符合规定的项目坚决停批停建。依法依规淘汰落后产能和化解过剩产能。大气污染防治重点区域严禁新增钢铁、水泥熟料、平板玻璃、煤化工产能，严控新增炼油产能，其他地区钢铁、水泥熟料、平板玻璃、炼油、电解铝等新建、扩建项目严格实施产能等量或减量置换要求。</w:t>
            </w:r>
          </w:p>
        </w:tc>
        <w:tc>
          <w:tcPr>
            <w:tcW w:w="2680" w:type="dxa"/>
            <w:shd w:val="clear" w:color="auto" w:fill="auto"/>
            <w:vAlign w:val="center"/>
          </w:tcPr>
          <w:p w14:paraId="23644657">
            <w:pPr>
              <w:pStyle w:val="768"/>
              <w:adjustRightInd w:val="0"/>
              <w:snapToGrid w:val="0"/>
              <w:jc w:val="both"/>
              <w:rPr>
                <w:rFonts w:hint="eastAsia" w:cs="Times New Roman"/>
                <w:color w:val="auto"/>
                <w:kern w:val="0"/>
                <w:szCs w:val="21"/>
                <w:highlight w:val="none"/>
              </w:rPr>
            </w:pPr>
            <w:r>
              <w:rPr>
                <w:rFonts w:hint="eastAsia" w:cs="Times New Roman"/>
                <w:color w:val="auto"/>
                <w:kern w:val="0"/>
                <w:szCs w:val="21"/>
                <w:highlight w:val="none"/>
              </w:rPr>
              <w:t>根据《自治区“两高”项目管理目录（2024年版）》（新发改环资〔2024〕635号），本项目不属于“两高”项目，项目所在区域属于奎独乌大气污染联防联控区域，新增主要污染物颗粒物、</w:t>
            </w:r>
            <w:r>
              <w:rPr>
                <w:rFonts w:hint="eastAsia" w:cs="Times New Roman"/>
                <w:color w:val="auto"/>
                <w:kern w:val="0"/>
                <w:szCs w:val="21"/>
                <w:highlight w:val="none"/>
                <w:lang w:val="en-US" w:eastAsia="zh-CN"/>
              </w:rPr>
              <w:t>SO</w:t>
            </w:r>
            <w:r>
              <w:rPr>
                <w:rFonts w:hint="eastAsia" w:cs="Times New Roman"/>
                <w:color w:val="auto"/>
                <w:kern w:val="0"/>
                <w:szCs w:val="21"/>
                <w:highlight w:val="none"/>
                <w:vertAlign w:val="subscript"/>
                <w:lang w:val="en-US" w:eastAsia="zh-CN"/>
              </w:rPr>
              <w:t>2</w:t>
            </w:r>
            <w:r>
              <w:rPr>
                <w:rFonts w:hint="eastAsia" w:cs="Times New Roman"/>
                <w:color w:val="auto"/>
                <w:kern w:val="0"/>
                <w:szCs w:val="21"/>
                <w:highlight w:val="none"/>
                <w:lang w:val="en-US" w:eastAsia="zh-CN"/>
              </w:rPr>
              <w:t>、NO</w:t>
            </w:r>
            <w:r>
              <w:rPr>
                <w:rFonts w:hint="eastAsia" w:cs="Times New Roman"/>
                <w:color w:val="auto"/>
                <w:kern w:val="0"/>
                <w:szCs w:val="21"/>
                <w:highlight w:val="none"/>
                <w:vertAlign w:val="subscript"/>
                <w:lang w:val="en-US" w:eastAsia="zh-CN"/>
              </w:rPr>
              <w:t>X</w:t>
            </w:r>
            <w:r>
              <w:rPr>
                <w:rFonts w:hint="eastAsia" w:cs="Times New Roman"/>
                <w:color w:val="auto"/>
                <w:kern w:val="0"/>
                <w:szCs w:val="21"/>
                <w:highlight w:val="none"/>
                <w:lang w:val="en-US" w:eastAsia="zh-CN"/>
              </w:rPr>
              <w:t>、</w:t>
            </w:r>
            <w:r>
              <w:rPr>
                <w:rFonts w:hint="eastAsia" w:cs="Times New Roman"/>
                <w:color w:val="auto"/>
                <w:kern w:val="0"/>
                <w:szCs w:val="21"/>
                <w:highlight w:val="none"/>
              </w:rPr>
              <w:t>VOCs从企业内部划拨，不重新申请总量，不涉及相关禁止准入产能。</w:t>
            </w:r>
          </w:p>
        </w:tc>
        <w:tc>
          <w:tcPr>
            <w:tcW w:w="523" w:type="dxa"/>
            <w:shd w:val="clear" w:color="auto" w:fill="auto"/>
            <w:vAlign w:val="center"/>
          </w:tcPr>
          <w:p w14:paraId="20ACCF93">
            <w:pPr>
              <w:pStyle w:val="42"/>
              <w:widowControl/>
              <w:tabs>
                <w:tab w:val="left" w:pos="0"/>
              </w:tabs>
              <w:adjustRightInd w:val="0"/>
              <w:snapToGrid w:val="0"/>
              <w:ind w:left="0" w:firstLine="0" w:firstLineChars="0"/>
              <w:jc w:val="center"/>
              <w:rPr>
                <w:snapToGrid w:val="0"/>
                <w:color w:val="auto"/>
                <w:kern w:val="0"/>
                <w:szCs w:val="21"/>
                <w:highlight w:val="none"/>
              </w:rPr>
            </w:pPr>
          </w:p>
        </w:tc>
      </w:tr>
      <w:tr w14:paraId="751FC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978" w:type="dxa"/>
            <w:vMerge w:val="continue"/>
            <w:shd w:val="clear" w:color="auto" w:fill="auto"/>
            <w:vAlign w:val="center"/>
          </w:tcPr>
          <w:p w14:paraId="739527A9">
            <w:pPr>
              <w:pStyle w:val="768"/>
              <w:adjustRightInd w:val="0"/>
              <w:snapToGrid w:val="0"/>
              <w:jc w:val="both"/>
              <w:rPr>
                <w:rFonts w:hint="eastAsia" w:cs="Times New Roman"/>
                <w:color w:val="auto"/>
                <w:kern w:val="0"/>
                <w:szCs w:val="21"/>
                <w:highlight w:val="none"/>
                <w:lang w:val="en-US" w:eastAsia="zh-CN"/>
              </w:rPr>
            </w:pPr>
          </w:p>
        </w:tc>
        <w:tc>
          <w:tcPr>
            <w:tcW w:w="4107" w:type="dxa"/>
            <w:shd w:val="clear" w:color="auto" w:fill="auto"/>
            <w:vAlign w:val="center"/>
          </w:tcPr>
          <w:p w14:paraId="16503EFF">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十二）着力打好臭氧污染防治攻坚战。积极遏制臭氧浓度增长趋势，推进挥发性有机物和氮氧化物协同减排。以石化、化工、涂装、医药、包装印刷、油品储运销等行业领域为重点，安全高效推进挥发性有机物综合治理，实施原辅材料和产品源头替代工程。2024 年底前全面完成钢铁行业超低排放改造，有序推进水泥、焦化（含半焦）行业全流程超低排放改造，八一钢铁、昆仑钢铁等企业率先完成全流程超低排放改造。鼓励使用清洁能源或电厂热力、工业余热等替代锅炉、炉窑燃料用煤。开展涉气产业集群排查及分类治理，推进企业升级改造和区域环境综合整治。</w:t>
            </w:r>
          </w:p>
        </w:tc>
        <w:tc>
          <w:tcPr>
            <w:tcW w:w="2680" w:type="dxa"/>
            <w:shd w:val="clear" w:color="auto" w:fill="auto"/>
            <w:vAlign w:val="center"/>
          </w:tcPr>
          <w:p w14:paraId="61E57C3F">
            <w:pPr>
              <w:pStyle w:val="768"/>
              <w:adjustRightInd w:val="0"/>
              <w:snapToGrid w:val="0"/>
              <w:jc w:val="both"/>
              <w:rPr>
                <w:rFonts w:hint="eastAsia" w:cs="Times New Roman"/>
                <w:color w:val="auto"/>
                <w:kern w:val="0"/>
                <w:szCs w:val="21"/>
                <w:highlight w:val="none"/>
              </w:rPr>
            </w:pPr>
            <w:r>
              <w:rPr>
                <w:rFonts w:hint="eastAsia" w:cs="Times New Roman"/>
                <w:color w:val="auto"/>
                <w:kern w:val="0"/>
                <w:szCs w:val="21"/>
                <w:highlight w:val="none"/>
              </w:rPr>
              <w:t>本项目采用生物发酵法生产</w:t>
            </w:r>
            <w:r>
              <w:rPr>
                <w:rFonts w:hint="eastAsia" w:cs="Times New Roman"/>
                <w:color w:val="auto"/>
                <w:kern w:val="0"/>
                <w:szCs w:val="21"/>
                <w:highlight w:val="none"/>
                <w:lang w:eastAsia="zh-CN"/>
              </w:rPr>
              <w:t>二元酸</w:t>
            </w:r>
            <w:r>
              <w:rPr>
                <w:rFonts w:hint="eastAsia" w:cs="Times New Roman"/>
                <w:color w:val="auto"/>
                <w:kern w:val="0"/>
                <w:szCs w:val="21"/>
                <w:highlight w:val="none"/>
              </w:rPr>
              <w:t>产品，该方法相较传统的化学合成法，挥发性有机物产生量较小；本项目含VOCs废气中罐区有机废气采用冷凝+活性炭吸附工艺处理，其他有机废气采用水吸收+碱吸收工艺处理。</w:t>
            </w:r>
          </w:p>
        </w:tc>
        <w:tc>
          <w:tcPr>
            <w:tcW w:w="523" w:type="dxa"/>
            <w:shd w:val="clear" w:color="auto" w:fill="auto"/>
            <w:vAlign w:val="center"/>
          </w:tcPr>
          <w:p w14:paraId="17ECC7E5">
            <w:pPr>
              <w:pStyle w:val="42"/>
              <w:widowControl/>
              <w:tabs>
                <w:tab w:val="left" w:pos="0"/>
              </w:tabs>
              <w:adjustRightInd w:val="0"/>
              <w:snapToGrid w:val="0"/>
              <w:ind w:left="0" w:firstLine="0" w:firstLineChars="0"/>
              <w:jc w:val="center"/>
              <w:rPr>
                <w:snapToGrid w:val="0"/>
                <w:color w:val="auto"/>
                <w:kern w:val="0"/>
                <w:szCs w:val="21"/>
                <w:highlight w:val="none"/>
              </w:rPr>
            </w:pPr>
          </w:p>
        </w:tc>
      </w:tr>
      <w:tr w14:paraId="6EBAF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978" w:type="dxa"/>
            <w:vMerge w:val="continue"/>
            <w:shd w:val="clear" w:color="auto" w:fill="auto"/>
            <w:vAlign w:val="center"/>
          </w:tcPr>
          <w:p w14:paraId="7B75D742">
            <w:pPr>
              <w:pStyle w:val="768"/>
              <w:adjustRightInd w:val="0"/>
              <w:snapToGrid w:val="0"/>
              <w:jc w:val="both"/>
              <w:rPr>
                <w:rFonts w:hint="eastAsia" w:cs="Times New Roman"/>
                <w:color w:val="auto"/>
                <w:kern w:val="0"/>
                <w:szCs w:val="21"/>
                <w:highlight w:val="none"/>
                <w:lang w:val="en-US" w:eastAsia="zh-CN"/>
              </w:rPr>
            </w:pPr>
          </w:p>
        </w:tc>
        <w:tc>
          <w:tcPr>
            <w:tcW w:w="4107" w:type="dxa"/>
            <w:shd w:val="clear" w:color="auto" w:fill="auto"/>
            <w:vAlign w:val="center"/>
          </w:tcPr>
          <w:p w14:paraId="11A1F12D">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lang w:val="en-US" w:eastAsia="zh-CN"/>
              </w:rPr>
              <w:t>（十三）持续打好柴油货车污染治理攻坚战。深入实施清洁柴油车（机）行动，基本淘汰国三及以下排放标准机动车，加快淘汰报废老旧柴油公务用车，全面实施国六排放标准。</w:t>
            </w:r>
          </w:p>
        </w:tc>
        <w:tc>
          <w:tcPr>
            <w:tcW w:w="2680" w:type="dxa"/>
            <w:shd w:val="clear" w:color="auto" w:fill="auto"/>
            <w:vAlign w:val="center"/>
          </w:tcPr>
          <w:p w14:paraId="068264AB">
            <w:pPr>
              <w:pStyle w:val="768"/>
              <w:adjustRightInd w:val="0"/>
              <w:snapToGrid w:val="0"/>
              <w:jc w:val="both"/>
              <w:rPr>
                <w:rFonts w:hint="eastAsia" w:cs="Times New Roman"/>
                <w:color w:val="auto"/>
                <w:kern w:val="0"/>
                <w:szCs w:val="21"/>
                <w:highlight w:val="none"/>
              </w:rPr>
            </w:pPr>
            <w:r>
              <w:rPr>
                <w:rFonts w:hint="eastAsia" w:cs="Times New Roman"/>
                <w:color w:val="auto"/>
                <w:kern w:val="0"/>
                <w:szCs w:val="21"/>
                <w:highlight w:val="none"/>
              </w:rPr>
              <w:t>本项目物料主要采用国六标准或新能源车辆运输。</w:t>
            </w:r>
          </w:p>
        </w:tc>
        <w:tc>
          <w:tcPr>
            <w:tcW w:w="523" w:type="dxa"/>
            <w:shd w:val="clear" w:color="auto" w:fill="auto"/>
            <w:vAlign w:val="center"/>
          </w:tcPr>
          <w:p w14:paraId="6661C768">
            <w:pPr>
              <w:pStyle w:val="42"/>
              <w:widowControl/>
              <w:tabs>
                <w:tab w:val="left" w:pos="0"/>
              </w:tabs>
              <w:adjustRightInd w:val="0"/>
              <w:snapToGrid w:val="0"/>
              <w:ind w:left="0" w:firstLine="0" w:firstLineChars="0"/>
              <w:jc w:val="center"/>
              <w:rPr>
                <w:snapToGrid w:val="0"/>
                <w:color w:val="auto"/>
                <w:kern w:val="0"/>
                <w:szCs w:val="21"/>
                <w:highlight w:val="none"/>
              </w:rPr>
            </w:pPr>
          </w:p>
        </w:tc>
      </w:tr>
    </w:tbl>
    <w:p w14:paraId="46A47EEF">
      <w:pPr>
        <w:tabs>
          <w:tab w:val="left" w:pos="7560"/>
        </w:tabs>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综上所述，本项目符合</w:t>
      </w:r>
      <w:r>
        <w:rPr>
          <w:rFonts w:hint="eastAsia"/>
          <w:snapToGrid w:val="0"/>
          <w:color w:val="auto"/>
          <w:kern w:val="0"/>
          <w:sz w:val="24"/>
          <w:highlight w:val="none"/>
        </w:rPr>
        <w:t>《中共中央 国务院关于深入打好污染防治攻坚战的意见》</w:t>
      </w:r>
      <w:r>
        <w:rPr>
          <w:rFonts w:hint="eastAsia"/>
          <w:snapToGrid w:val="0"/>
          <w:color w:val="auto"/>
          <w:kern w:val="0"/>
          <w:sz w:val="24"/>
          <w:highlight w:val="none"/>
          <w:lang w:val="en-US" w:eastAsia="zh-CN"/>
        </w:rPr>
        <w:t>和新疆维吾尔自治区《关于深入打好污染防治攻坚战的实施方案》</w:t>
      </w:r>
      <w:r>
        <w:rPr>
          <w:snapToGrid w:val="0"/>
          <w:color w:val="auto"/>
          <w:kern w:val="0"/>
          <w:sz w:val="24"/>
          <w:highlight w:val="none"/>
        </w:rPr>
        <w:t>的相关要求。</w:t>
      </w:r>
    </w:p>
    <w:p w14:paraId="47260F3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5</w:t>
      </w:r>
      <w:r>
        <w:rPr>
          <w:rFonts w:hint="eastAsia" w:ascii="宋体" w:hAnsi="宋体" w:eastAsia="宋体" w:cs="宋体"/>
          <w:b/>
          <w:bCs w:val="0"/>
          <w:snapToGrid w:val="0"/>
          <w:color w:val="auto"/>
          <w:spacing w:val="0"/>
          <w:w w:val="100"/>
          <w:kern w:val="0"/>
          <w:sz w:val="24"/>
          <w:szCs w:val="24"/>
          <w:highlight w:val="none"/>
        </w:rPr>
        <w:t>与《关于加强重点行业建设项目区域削减措施监督管理的通知》符合性分析</w:t>
      </w:r>
    </w:p>
    <w:p w14:paraId="5113DB1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《关于加强重点行业建设项目区域削减措施监督管理的通知》（环办环评〔2020〕36号）文件提出：</w:t>
      </w:r>
    </w:p>
    <w:p w14:paraId="528B4F0B">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一）严格区域削减要求：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区域削减方案应符合建设项目环境影响评价管理要求，同时符合国家和地方主要污染物排放总量控制要求。</w:t>
      </w:r>
    </w:p>
    <w:p w14:paraId="6A1CC04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w:t>
      </w:r>
      <w:r>
        <w:rPr>
          <w:rFonts w:ascii="Times New Roman" w:hAnsi="Times New Roman" w:cs="Times New Roman"/>
          <w:color w:val="auto"/>
          <w:kern w:val="2"/>
          <w:sz w:val="24"/>
          <w:szCs w:val="24"/>
          <w:highlight w:val="none"/>
        </w:rPr>
        <w:t>项目</w:t>
      </w:r>
      <w:r>
        <w:rPr>
          <w:rFonts w:hint="eastAsia" w:ascii="Times New Roman" w:hAnsi="Times New Roman" w:cs="Times New Roman"/>
          <w:color w:val="auto"/>
          <w:kern w:val="2"/>
          <w:sz w:val="24"/>
          <w:szCs w:val="24"/>
          <w:highlight w:val="none"/>
          <w:lang w:val="en-US" w:eastAsia="zh-CN"/>
        </w:rPr>
        <w:t>建成后全厂总量控制因子均未超出现有总控控制指标，不需进行区域</w:t>
      </w:r>
      <w:r>
        <w:rPr>
          <w:rFonts w:hint="eastAsia" w:cs="Times New Roman"/>
          <w:color w:val="auto"/>
          <w:kern w:val="2"/>
          <w:sz w:val="24"/>
          <w:szCs w:val="24"/>
          <w:highlight w:val="none"/>
          <w:lang w:val="en-US" w:eastAsia="zh-CN"/>
        </w:rPr>
        <w:t>削减</w:t>
      </w:r>
      <w:r>
        <w:rPr>
          <w:snapToGrid w:val="0"/>
          <w:color w:val="auto"/>
          <w:kern w:val="0"/>
          <w:sz w:val="24"/>
          <w:highlight w:val="none"/>
        </w:rPr>
        <w:t>。</w:t>
      </w:r>
    </w:p>
    <w:p w14:paraId="6321528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6</w:t>
      </w:r>
      <w:r>
        <w:rPr>
          <w:rFonts w:hint="eastAsia" w:ascii="宋体" w:hAnsi="宋体" w:eastAsia="宋体" w:cs="宋体"/>
          <w:b/>
          <w:bCs w:val="0"/>
          <w:snapToGrid w:val="0"/>
          <w:color w:val="auto"/>
          <w:spacing w:val="0"/>
          <w:w w:val="100"/>
          <w:kern w:val="0"/>
          <w:sz w:val="24"/>
          <w:szCs w:val="24"/>
          <w:highlight w:val="none"/>
        </w:rPr>
        <w:t>与《重点行业挥发性有机物综合治理方案》符合性分析</w:t>
      </w:r>
    </w:p>
    <w:p w14:paraId="231D4D6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为了进一步深化VOCs的综合治理，2019年生态环境部发布了《重点行业挥发性有机物综合治理方案》（环大气〔2019〕53号），本项目与《重点行业挥发性有机物综合治理方案》的符合性分析见表1.4-</w:t>
      </w:r>
      <w:r>
        <w:rPr>
          <w:rFonts w:hint="eastAsia"/>
          <w:snapToGrid w:val="0"/>
          <w:color w:val="auto"/>
          <w:kern w:val="0"/>
          <w:sz w:val="24"/>
          <w:highlight w:val="none"/>
          <w:lang w:val="en-US" w:eastAsia="zh-CN"/>
        </w:rPr>
        <w:t>14</w:t>
      </w:r>
      <w:r>
        <w:rPr>
          <w:rFonts w:hint="eastAsia"/>
          <w:snapToGrid w:val="0"/>
          <w:color w:val="auto"/>
          <w:kern w:val="0"/>
          <w:sz w:val="24"/>
          <w:highlight w:val="none"/>
        </w:rPr>
        <w:t>。</w:t>
      </w:r>
    </w:p>
    <w:p w14:paraId="439FC2AE">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14</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本项目与《重点行业挥发性有机物综合治理方案》符合性分析</w:t>
      </w:r>
      <w:r>
        <w:rPr>
          <w:rFonts w:ascii="Times New Roman" w:hAnsi="Times New Roman" w:cs="Times New Roman"/>
          <w:snapToGrid w:val="0"/>
          <w:color w:val="auto"/>
          <w:kern w:val="0"/>
          <w:sz w:val="21"/>
          <w:szCs w:val="21"/>
          <w:highlight w:val="none"/>
        </w:rPr>
        <w:t>表</w:t>
      </w:r>
    </w:p>
    <w:tbl>
      <w:tblPr>
        <w:tblStyle w:val="56"/>
        <w:tblW w:w="507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39"/>
        <w:gridCol w:w="2456"/>
        <w:gridCol w:w="721"/>
      </w:tblGrid>
      <w:tr w14:paraId="2FE5F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0" w:type="auto"/>
            <w:shd w:val="clear" w:color="auto" w:fill="auto"/>
            <w:vAlign w:val="center"/>
          </w:tcPr>
          <w:p w14:paraId="76E6E48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hint="eastAsia" w:ascii="Times New Roman" w:hAnsi="Times New Roman" w:eastAsia="宋体" w:cs="Times New Roman"/>
                <w:snapToGrid w:val="0"/>
                <w:color w:val="auto"/>
                <w:spacing w:val="0"/>
                <w:kern w:val="0"/>
                <w:sz w:val="21"/>
                <w:szCs w:val="21"/>
                <w:highlight w:val="none"/>
              </w:rPr>
              <w:t>文件</w:t>
            </w:r>
            <w:r>
              <w:rPr>
                <w:rFonts w:ascii="Times New Roman" w:hAnsi="Times New Roman" w:eastAsia="宋体" w:cs="Times New Roman"/>
                <w:snapToGrid w:val="0"/>
                <w:color w:val="auto"/>
                <w:spacing w:val="0"/>
                <w:kern w:val="0"/>
                <w:sz w:val="21"/>
                <w:szCs w:val="21"/>
                <w:highlight w:val="none"/>
              </w:rPr>
              <w:t>要求</w:t>
            </w:r>
          </w:p>
        </w:tc>
        <w:tc>
          <w:tcPr>
            <w:tcW w:w="1459" w:type="pct"/>
            <w:shd w:val="clear" w:color="auto" w:fill="auto"/>
            <w:vAlign w:val="center"/>
          </w:tcPr>
          <w:p w14:paraId="5E2EAF3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本项目</w:t>
            </w:r>
            <w:r>
              <w:rPr>
                <w:rFonts w:hint="eastAsia" w:ascii="Times New Roman" w:hAnsi="Times New Roman" w:eastAsia="宋体" w:cs="Times New Roman"/>
                <w:snapToGrid w:val="0"/>
                <w:color w:val="auto"/>
                <w:spacing w:val="0"/>
                <w:kern w:val="0"/>
                <w:sz w:val="21"/>
                <w:szCs w:val="21"/>
                <w:highlight w:val="none"/>
              </w:rPr>
              <w:t>情况</w:t>
            </w:r>
          </w:p>
        </w:tc>
        <w:tc>
          <w:tcPr>
            <w:tcW w:w="428" w:type="pct"/>
            <w:shd w:val="clear" w:color="auto" w:fill="auto"/>
            <w:vAlign w:val="center"/>
          </w:tcPr>
          <w:p w14:paraId="06D082C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符合性</w:t>
            </w:r>
          </w:p>
        </w:tc>
      </w:tr>
      <w:tr w14:paraId="35E5B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12" w:type="pct"/>
            <w:shd w:val="clear" w:color="auto" w:fill="auto"/>
            <w:vAlign w:val="center"/>
          </w:tcPr>
          <w:p w14:paraId="32064145">
            <w:pPr>
              <w:pStyle w:val="18"/>
              <w:keepNext w:val="0"/>
              <w:keepLines w:val="0"/>
              <w:pageBreakBefore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三、控制思路与要求</w:t>
            </w:r>
          </w:p>
          <w:p w14:paraId="29B028A0">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二</w:t>
            </w: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全面加强无组织排放控制。重点对含VOCs物料</w:t>
            </w: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包括含VOCs原辅材料、含VOCs产品、含VOCs废料以及有机聚合物材料等</w:t>
            </w: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储存、转移和输送、设备与管线组件泄漏、敞开液面逸散以及工艺过程等五类排放源实施管控，通过采取设备与场所密闭、工艺改进、废气有效收集等措施，削减VOCs无组织排放。</w:t>
            </w:r>
          </w:p>
          <w:p w14:paraId="35B6D2F8">
            <w:pPr>
              <w:keepNext w:val="0"/>
              <w:keepLines w:val="0"/>
              <w:pageBreakBefore w:val="0"/>
              <w:kinsoku/>
              <w:wordWrap/>
              <w:overflowPunct/>
              <w:topLinePunct w:val="0"/>
              <w:autoSpaceDE/>
              <w:autoSpaceDN/>
              <w:bidi w:val="0"/>
              <w:adjustRightInd w:val="0"/>
              <w:snapToGrid w:val="0"/>
              <w:textAlignment w:val="auto"/>
              <w:rPr>
                <w:rFonts w:hint="eastAsia" w:ascii="Times New Roman" w:hAnsi="Times New Roman" w:eastAsia="宋体" w:cs="Times New Roman"/>
                <w:color w:val="auto"/>
                <w:spacing w:val="-6"/>
                <w:kern w:val="0"/>
                <w:sz w:val="21"/>
                <w:szCs w:val="21"/>
                <w:highlight w:val="none"/>
              </w:rPr>
            </w:pPr>
            <w:r>
              <w:rPr>
                <w:rFonts w:hint="eastAsia" w:ascii="Times New Roman" w:hAnsi="Times New Roman" w:eastAsia="宋体" w:cs="Times New Roman"/>
                <w:color w:val="auto"/>
                <w:spacing w:val="-6"/>
                <w:kern w:val="0"/>
                <w:sz w:val="21"/>
                <w:szCs w:val="21"/>
                <w:highlight w:val="none"/>
              </w:rPr>
              <w:t>加强设备与场所密闭管理。含VOCs物料应储存于密闭容器、包装袋，高效密封储罐，封闭式储库、料仓等。含VOCs物料转移和输送，应采用密闭管道或密闭容器、罐车等。</w:t>
            </w:r>
          </w:p>
          <w:p w14:paraId="3330C9B7">
            <w:pPr>
              <w:keepNext w:val="0"/>
              <w:keepLines w:val="0"/>
              <w:pageBreakBefore w:val="0"/>
              <w:kinsoku/>
              <w:wordWrap/>
              <w:overflowPunct/>
              <w:topLinePunct w:val="0"/>
              <w:autoSpaceDE/>
              <w:autoSpaceDN/>
              <w:bidi w:val="0"/>
              <w:adjustRightInd w:val="0"/>
              <w:snapToGrid w:val="0"/>
              <w:textAlignment w:val="auto"/>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推进使用先进生产工艺。通过采用全密闭、连续化、自动化等生产技术，以及高效工艺与设备等，减少工艺过程无组织排放。挥发性有机液体装载优先采用底部装载方式。石化、化工行业重点推进使用低（无）泄漏的泵、压缩机、过滤机、离心机、干燥设备等，推广采用油品在线调和技术、密闭式循环水冷却系统等。</w:t>
            </w:r>
          </w:p>
          <w:p w14:paraId="2A5AFFFB">
            <w:pPr>
              <w:keepNext w:val="0"/>
              <w:keepLines w:val="0"/>
              <w:pageBreakBefore w:val="0"/>
              <w:kinsoku/>
              <w:wordWrap/>
              <w:overflowPunct/>
              <w:topLinePunct w:val="0"/>
              <w:autoSpaceDE/>
              <w:autoSpaceDN/>
              <w:bidi w:val="0"/>
              <w:adjustRightInd w:val="0"/>
              <w:snapToGrid w:val="0"/>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p w14:paraId="1FD02A3B">
            <w:pPr>
              <w:keepNext w:val="0"/>
              <w:keepLines w:val="0"/>
              <w:pageBreakBefore w:val="0"/>
              <w:kinsoku/>
              <w:wordWrap/>
              <w:overflowPunct/>
              <w:topLinePunct w:val="0"/>
              <w:autoSpaceDE/>
              <w:autoSpaceDN/>
              <w:bidi w:val="0"/>
              <w:adjustRightInd w:val="0"/>
              <w:snapToGrid w:val="0"/>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加强设备与管线组件泄漏控制。企业中载有气态、液态VOCs物料的设备与管线组件，密封点数量大于等于2000个的，应按要求开展LDAR工作。石化企业按行业排放标准规定执行。</w:t>
            </w:r>
          </w:p>
        </w:tc>
        <w:tc>
          <w:tcPr>
            <w:tcW w:w="1459" w:type="pct"/>
            <w:shd w:val="clear" w:color="auto" w:fill="auto"/>
            <w:vAlign w:val="center"/>
          </w:tcPr>
          <w:p w14:paraId="0DB21E75">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本项目涉及</w:t>
            </w:r>
            <w:r>
              <w:rPr>
                <w:rFonts w:ascii="Times New Roman" w:hAnsi="Times New Roman" w:eastAsia="宋体" w:cs="Times New Roman"/>
                <w:color w:val="auto"/>
                <w:spacing w:val="0"/>
                <w:kern w:val="0"/>
                <w:sz w:val="21"/>
                <w:szCs w:val="21"/>
                <w:highlight w:val="none"/>
              </w:rPr>
              <w:t>VOCs物料</w:t>
            </w:r>
            <w:r>
              <w:rPr>
                <w:rFonts w:hint="eastAsia" w:ascii="Times New Roman" w:hAnsi="Times New Roman" w:eastAsia="宋体" w:cs="Times New Roman"/>
                <w:color w:val="auto"/>
                <w:spacing w:val="0"/>
                <w:kern w:val="0"/>
                <w:sz w:val="21"/>
                <w:szCs w:val="21"/>
                <w:highlight w:val="none"/>
                <w:lang w:val="en-US" w:eastAsia="zh-CN"/>
              </w:rPr>
              <w:t>主要为烷烃，烷烃</w:t>
            </w:r>
            <w:r>
              <w:rPr>
                <w:rFonts w:hint="eastAsia" w:ascii="Times New Roman" w:hAnsi="Times New Roman" w:eastAsia="宋体" w:cs="Times New Roman"/>
                <w:snapToGrid w:val="0"/>
                <w:color w:val="auto"/>
                <w:spacing w:val="0"/>
                <w:kern w:val="0"/>
                <w:sz w:val="21"/>
                <w:szCs w:val="21"/>
                <w:highlight w:val="none"/>
                <w:lang w:val="en-US" w:eastAsia="zh-CN"/>
              </w:rPr>
              <w:t>由</w:t>
            </w:r>
            <w:r>
              <w:rPr>
                <w:rFonts w:hint="default" w:ascii="Times New Roman" w:hAnsi="Times New Roman" w:eastAsia="宋体" w:cs="Times New Roman"/>
                <w:snapToGrid w:val="0"/>
                <w:color w:val="auto"/>
                <w:spacing w:val="0"/>
                <w:kern w:val="0"/>
                <w:sz w:val="21"/>
                <w:szCs w:val="21"/>
                <w:highlight w:val="none"/>
              </w:rPr>
              <w:t>内</w:t>
            </w:r>
            <w:r>
              <w:rPr>
                <w:rFonts w:hint="default" w:ascii="Times New Roman" w:hAnsi="Times New Roman" w:eastAsia="宋体" w:cs="Times New Roman"/>
                <w:color w:val="auto"/>
                <w:spacing w:val="0"/>
                <w:kern w:val="0"/>
                <w:sz w:val="21"/>
                <w:szCs w:val="21"/>
                <w:highlight w:val="none"/>
              </w:rPr>
              <w:t>浮顶</w:t>
            </w:r>
            <w:r>
              <w:rPr>
                <w:rFonts w:hint="default" w:ascii="Times New Roman" w:hAnsi="Times New Roman" w:eastAsia="宋体" w:cs="Times New Roman"/>
                <w:snapToGrid w:val="0"/>
                <w:color w:val="auto"/>
                <w:spacing w:val="0"/>
                <w:kern w:val="0"/>
                <w:sz w:val="21"/>
                <w:szCs w:val="21"/>
                <w:highlight w:val="none"/>
              </w:rPr>
              <w:t>罐贮存，采用冷凝+活性炭吸附处理储罐废气，</w:t>
            </w:r>
            <w:r>
              <w:rPr>
                <w:rFonts w:hint="eastAsia" w:ascii="Times New Roman" w:hAnsi="Times New Roman" w:eastAsia="宋体" w:cs="Times New Roman"/>
                <w:snapToGrid w:val="0"/>
                <w:color w:val="auto"/>
                <w:spacing w:val="0"/>
                <w:kern w:val="0"/>
                <w:sz w:val="21"/>
                <w:szCs w:val="21"/>
                <w:highlight w:val="none"/>
                <w:lang w:val="en-US" w:eastAsia="zh-CN"/>
              </w:rPr>
              <w:t>入厂由罐车运输，厂内由密闭管道运输。项目产生的废气均进行收集处理，满足</w:t>
            </w:r>
            <w:r>
              <w:rPr>
                <w:rFonts w:hint="eastAsia" w:ascii="Times New Roman" w:hAnsi="Times New Roman" w:eastAsia="宋体" w:cs="Times New Roman"/>
                <w:color w:val="auto"/>
                <w:spacing w:val="0"/>
                <w:kern w:val="0"/>
                <w:sz w:val="21"/>
                <w:szCs w:val="21"/>
                <w:highlight w:val="none"/>
              </w:rPr>
              <w:t>“应收尽收、分质收集”的</w:t>
            </w:r>
            <w:r>
              <w:rPr>
                <w:rFonts w:hint="eastAsia" w:ascii="Times New Roman" w:hAnsi="Times New Roman" w:eastAsia="宋体" w:cs="Times New Roman"/>
                <w:color w:val="auto"/>
                <w:spacing w:val="0"/>
                <w:kern w:val="0"/>
                <w:sz w:val="21"/>
                <w:szCs w:val="21"/>
                <w:highlight w:val="none"/>
                <w:lang w:val="en-US" w:eastAsia="zh-CN"/>
              </w:rPr>
              <w:t>要求。</w:t>
            </w:r>
            <w:r>
              <w:rPr>
                <w:rFonts w:hint="eastAsia" w:ascii="Times New Roman" w:hAnsi="Times New Roman" w:eastAsia="宋体" w:cs="Times New Roman"/>
                <w:snapToGrid w:val="0"/>
                <w:color w:val="auto"/>
                <w:spacing w:val="0"/>
                <w:kern w:val="0"/>
                <w:sz w:val="21"/>
                <w:szCs w:val="21"/>
                <w:highlight w:val="none"/>
                <w:lang w:val="en-US" w:eastAsia="zh-CN"/>
              </w:rPr>
              <w:t>本次评价提出企业应按照相关标准及规范开展LDAR工作。</w:t>
            </w:r>
          </w:p>
        </w:tc>
        <w:tc>
          <w:tcPr>
            <w:tcW w:w="428" w:type="pct"/>
            <w:shd w:val="clear" w:color="auto" w:fill="auto"/>
            <w:vAlign w:val="center"/>
          </w:tcPr>
          <w:p w14:paraId="5820CD4E">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r w14:paraId="36EFF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12" w:type="pct"/>
            <w:shd w:val="clear" w:color="auto" w:fill="auto"/>
            <w:vAlign w:val="center"/>
          </w:tcPr>
          <w:p w14:paraId="55707463">
            <w:pPr>
              <w:pStyle w:val="18"/>
              <w:keepNext w:val="0"/>
              <w:keepLines w:val="0"/>
              <w:pageBreakBefore w:val="0"/>
              <w:numPr>
                <w:ilvl w:val="0"/>
                <w:numId w:val="0"/>
              </w:numPr>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四、重点行业治理任务</w:t>
            </w:r>
          </w:p>
          <w:p w14:paraId="0C8C771D">
            <w:pPr>
              <w:pStyle w:val="18"/>
              <w:keepNext w:val="0"/>
              <w:keepLines w:val="0"/>
              <w:pageBreakBefore w:val="0"/>
              <w:numPr>
                <w:ilvl w:val="0"/>
                <w:numId w:val="0"/>
              </w:numPr>
              <w:kinsoku/>
              <w:wordWrap/>
              <w:overflowPunct/>
              <w:topLinePunct w:val="0"/>
              <w:autoSpaceDE/>
              <w:autoSpaceDN/>
              <w:bidi w:val="0"/>
              <w:adjustRightInd w:val="0"/>
              <w:snapToGrid w:val="0"/>
              <w:textAlignment w:val="auto"/>
              <w:rPr>
                <w:rFonts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（一）</w:t>
            </w:r>
            <w:r>
              <w:rPr>
                <w:rFonts w:hint="eastAsia" w:ascii="Times New Roman" w:hAnsi="Times New Roman" w:eastAsia="宋体" w:cs="Times New Roman"/>
                <w:color w:val="auto"/>
                <w:spacing w:val="0"/>
                <w:kern w:val="0"/>
                <w:sz w:val="21"/>
                <w:szCs w:val="21"/>
                <w:highlight w:val="none"/>
              </w:rPr>
              <w:t>石化行业VOCs综合治理。全面加大石油炼制及有机化学品、合成树脂、合成纤维、合成橡胶等行业VOCs治理力度。重点加强密封点泄漏、废水和循环水系统、储罐、有机液体装卸、工艺废气等源项VOCs治理工作，确保稳定达标排放。</w:t>
            </w:r>
            <w:r>
              <w:rPr>
                <w:rFonts w:hint="eastAsia" w:ascii="Times New Roman" w:hAnsi="Times New Roman" w:eastAsia="宋体" w:cs="Times New Roman"/>
                <w:color w:val="auto"/>
                <w:spacing w:val="0"/>
                <w:kern w:val="0"/>
                <w:sz w:val="21"/>
                <w:szCs w:val="21"/>
                <w:highlight w:val="none"/>
                <w:lang w:val="en-US" w:eastAsia="zh-CN"/>
              </w:rPr>
              <w:t>重点区域要进一步加大其他源项治理力度，禁止熄灭火炬系统长明灯，设置视频监控装置；推进煤油、柴油等在线调和工作；非正常工况排放的VOCs，应吹扫至火炬系统或密闭收集处理；含VOCs废液废渣应密闭储存；防腐防水防锈涂装采用低VOCs含量涂料。</w:t>
            </w:r>
          </w:p>
        </w:tc>
        <w:tc>
          <w:tcPr>
            <w:tcW w:w="1459" w:type="pct"/>
            <w:shd w:val="clear" w:color="auto" w:fill="auto"/>
            <w:vAlign w:val="center"/>
          </w:tcPr>
          <w:p w14:paraId="090A5F66">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rPr>
              <w:t>本项目烷烃储罐配套冷凝+活性炭吸附废气处理设施。</w:t>
            </w:r>
            <w:r>
              <w:rPr>
                <w:rFonts w:hint="eastAsia" w:ascii="Times New Roman" w:hAnsi="Times New Roman" w:eastAsia="宋体" w:cs="Times New Roman"/>
                <w:color w:val="auto"/>
                <w:spacing w:val="0"/>
                <w:kern w:val="0"/>
                <w:sz w:val="21"/>
                <w:szCs w:val="21"/>
                <w:highlight w:val="none"/>
                <w:lang w:val="en-US" w:eastAsia="zh-CN"/>
              </w:rPr>
              <w:t>厂区内设置视频监控装置，无火炬系统长明灯，不存在含VOCs废液废渣或涂料。</w:t>
            </w:r>
          </w:p>
        </w:tc>
        <w:tc>
          <w:tcPr>
            <w:tcW w:w="428" w:type="pct"/>
            <w:shd w:val="clear" w:color="auto" w:fill="auto"/>
            <w:vAlign w:val="center"/>
          </w:tcPr>
          <w:p w14:paraId="5557F43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r w14:paraId="2E4A9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112" w:type="pct"/>
            <w:shd w:val="clear" w:color="auto" w:fill="auto"/>
            <w:vAlign w:val="center"/>
          </w:tcPr>
          <w:p w14:paraId="132A7505">
            <w:pPr>
              <w:pStyle w:val="18"/>
              <w:keepNext w:val="0"/>
              <w:keepLines w:val="0"/>
              <w:pageBreakBefore w:val="0"/>
              <w:numPr>
                <w:ilvl w:val="0"/>
                <w:numId w:val="0"/>
              </w:numPr>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四、重点行业治理任务</w:t>
            </w:r>
          </w:p>
          <w:p w14:paraId="7D9EE9BB">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（二）工</w:t>
            </w:r>
            <w:r>
              <w:rPr>
                <w:rFonts w:hint="eastAsia" w:ascii="Times New Roman" w:hAnsi="Times New Roman" w:eastAsia="宋体" w:cs="Times New Roman"/>
                <w:color w:val="auto"/>
                <w:spacing w:val="0"/>
                <w:kern w:val="0"/>
                <w:sz w:val="21"/>
                <w:szCs w:val="21"/>
                <w:highlight w:val="none"/>
              </w:rPr>
              <w:t>行业VOCs综合治理。</w:t>
            </w:r>
          </w:p>
          <w:p w14:paraId="220DA2D9">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严格控制储存和装卸过程VOCs排放。鼓励采用压力罐、浮顶罐等替代固定顶罐。真实蒸气压大于等于27.6kPa</w:t>
            </w: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重点区域大于等于5.2kPa</w:t>
            </w: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的有机液体，利用固定顶罐储存的，应按有关规定采用气相平衡系统或收集净化处理。</w:t>
            </w:r>
          </w:p>
          <w:p w14:paraId="44F64F6E">
            <w:pPr>
              <w:keepNext w:val="0"/>
              <w:keepLines w:val="0"/>
              <w:pageBreakBefore w:val="0"/>
              <w:kinsoku/>
              <w:wordWrap/>
              <w:overflowPunct/>
              <w:topLinePunct w:val="0"/>
              <w:autoSpaceDE/>
              <w:autoSpaceDN/>
              <w:bidi w:val="0"/>
              <w:adjustRightInd w:val="0"/>
              <w:snapToGrid w:val="0"/>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实施废气分类收集处理。优先选用冷凝、吸附再生等回收技术</w:t>
            </w:r>
            <w:r>
              <w:rPr>
                <w:rFonts w:hint="eastAsia" w:ascii="Times New Roman" w:hAnsi="Times New Roman" w:eastAsia="宋体" w:cs="Times New Roman"/>
                <w:color w:val="auto"/>
                <w:spacing w:val="0"/>
                <w:kern w:val="0"/>
                <w:sz w:val="21"/>
                <w:szCs w:val="21"/>
                <w:highlight w:val="none"/>
                <w:lang w:eastAsia="zh-CN"/>
              </w:rPr>
              <w:t>；</w:t>
            </w:r>
            <w:r>
              <w:rPr>
                <w:rFonts w:hint="eastAsia" w:ascii="Times New Roman" w:hAnsi="Times New Roman" w:eastAsia="宋体" w:cs="Times New Roman"/>
                <w:color w:val="auto"/>
                <w:spacing w:val="0"/>
                <w:kern w:val="0"/>
                <w:sz w:val="21"/>
                <w:szCs w:val="21"/>
                <w:highlight w:val="none"/>
              </w:rPr>
              <w:t>难以回收的，宜选用燃烧、吸附浓缩+燃烧等高效治理技术。水溶性、酸碱VOCs废气宜选用多级化学吸收等处理技术。恶臭类废气还应进一步加强除臭处理。</w:t>
            </w:r>
          </w:p>
        </w:tc>
        <w:tc>
          <w:tcPr>
            <w:tcW w:w="1459" w:type="pct"/>
            <w:shd w:val="clear" w:color="auto" w:fill="auto"/>
            <w:vAlign w:val="center"/>
          </w:tcPr>
          <w:p w14:paraId="7506F132">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本项目涉及</w:t>
            </w:r>
            <w:r>
              <w:rPr>
                <w:rFonts w:ascii="Times New Roman" w:hAnsi="Times New Roman" w:eastAsia="宋体" w:cs="Times New Roman"/>
                <w:color w:val="auto"/>
                <w:spacing w:val="0"/>
                <w:kern w:val="0"/>
                <w:sz w:val="21"/>
                <w:szCs w:val="21"/>
                <w:highlight w:val="none"/>
              </w:rPr>
              <w:t>VOCs物料</w:t>
            </w:r>
            <w:r>
              <w:rPr>
                <w:rFonts w:hint="eastAsia" w:ascii="Times New Roman" w:hAnsi="Times New Roman" w:eastAsia="宋体" w:cs="Times New Roman"/>
                <w:color w:val="auto"/>
                <w:spacing w:val="0"/>
                <w:kern w:val="0"/>
                <w:sz w:val="21"/>
                <w:szCs w:val="21"/>
                <w:highlight w:val="none"/>
                <w:lang w:val="en-US" w:eastAsia="zh-CN"/>
              </w:rPr>
              <w:t>主要为烷烃，烷烃</w:t>
            </w:r>
            <w:r>
              <w:rPr>
                <w:rFonts w:hint="eastAsia" w:ascii="Times New Roman" w:hAnsi="Times New Roman" w:eastAsia="宋体" w:cs="Times New Roman"/>
                <w:snapToGrid w:val="0"/>
                <w:color w:val="auto"/>
                <w:spacing w:val="0"/>
                <w:kern w:val="0"/>
                <w:sz w:val="21"/>
                <w:szCs w:val="21"/>
                <w:highlight w:val="none"/>
                <w:lang w:val="en-US" w:eastAsia="zh-CN"/>
              </w:rPr>
              <w:t>由</w:t>
            </w:r>
            <w:r>
              <w:rPr>
                <w:rFonts w:hint="default" w:ascii="Times New Roman" w:hAnsi="Times New Roman" w:eastAsia="宋体" w:cs="Times New Roman"/>
                <w:snapToGrid w:val="0"/>
                <w:color w:val="auto"/>
                <w:spacing w:val="0"/>
                <w:kern w:val="0"/>
                <w:sz w:val="21"/>
                <w:szCs w:val="21"/>
                <w:highlight w:val="none"/>
              </w:rPr>
              <w:t>内</w:t>
            </w:r>
            <w:r>
              <w:rPr>
                <w:rFonts w:hint="default" w:ascii="Times New Roman" w:hAnsi="Times New Roman" w:eastAsia="宋体" w:cs="Times New Roman"/>
                <w:color w:val="auto"/>
                <w:spacing w:val="0"/>
                <w:kern w:val="0"/>
                <w:sz w:val="21"/>
                <w:szCs w:val="21"/>
                <w:highlight w:val="none"/>
              </w:rPr>
              <w:t>浮顶</w:t>
            </w:r>
            <w:r>
              <w:rPr>
                <w:rFonts w:hint="default" w:ascii="Times New Roman" w:hAnsi="Times New Roman" w:eastAsia="宋体" w:cs="Times New Roman"/>
                <w:snapToGrid w:val="0"/>
                <w:color w:val="auto"/>
                <w:spacing w:val="0"/>
                <w:kern w:val="0"/>
                <w:sz w:val="21"/>
                <w:szCs w:val="21"/>
                <w:highlight w:val="none"/>
              </w:rPr>
              <w:t>罐贮存</w:t>
            </w:r>
            <w:r>
              <w:rPr>
                <w:rFonts w:hint="eastAsia" w:ascii="Times New Roman" w:hAnsi="Times New Roman" w:eastAsia="宋体"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采用冷凝+活性炭吸附处理储罐废气</w:t>
            </w:r>
            <w:r>
              <w:rPr>
                <w:rFonts w:hint="eastAsia" w:ascii="Times New Roman" w:hAnsi="Times New Roman" w:eastAsia="宋体" w:cs="Times New Roman"/>
                <w:color w:val="auto"/>
                <w:spacing w:val="0"/>
                <w:kern w:val="0"/>
                <w:sz w:val="21"/>
                <w:szCs w:val="21"/>
                <w:highlight w:val="none"/>
                <w:lang w:val="en-US" w:eastAsia="zh-CN"/>
              </w:rPr>
              <w:t>，其他有机废气采用水吸收+碱吸收工艺处理。含恶臭气体的发酵废气采用活性炭吸附除臭。</w:t>
            </w:r>
          </w:p>
        </w:tc>
        <w:tc>
          <w:tcPr>
            <w:tcW w:w="428" w:type="pct"/>
            <w:shd w:val="clear" w:color="auto" w:fill="auto"/>
            <w:vAlign w:val="center"/>
          </w:tcPr>
          <w:p w14:paraId="203F716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textAlignment w:val="auto"/>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符合</w:t>
            </w:r>
          </w:p>
        </w:tc>
      </w:tr>
    </w:tbl>
    <w:p w14:paraId="5C392379">
      <w:pPr>
        <w:keepNext w:val="0"/>
        <w:keepLines w:val="0"/>
        <w:pageBreakBefore w:val="0"/>
        <w:widowControl w:val="0"/>
        <w:tabs>
          <w:tab w:val="left" w:pos="7560"/>
        </w:tabs>
        <w:kinsoku/>
        <w:wordWrap/>
        <w:overflowPunct/>
        <w:topLinePunct w:val="0"/>
        <w:autoSpaceDE/>
        <w:autoSpaceDN/>
        <w:bidi w:val="0"/>
        <w:adjustRightInd w:val="0"/>
        <w:snapToGrid w:val="0"/>
        <w:spacing w:line="360" w:lineRule="auto"/>
        <w:ind w:firstLine="456" w:firstLineChars="200"/>
        <w:textAlignment w:val="auto"/>
        <w:rPr>
          <w:snapToGrid w:val="0"/>
          <w:color w:val="auto"/>
          <w:spacing w:val="-6"/>
          <w:kern w:val="0"/>
          <w:sz w:val="24"/>
          <w:highlight w:val="none"/>
        </w:rPr>
      </w:pPr>
      <w:r>
        <w:rPr>
          <w:snapToGrid w:val="0"/>
          <w:color w:val="auto"/>
          <w:spacing w:val="-6"/>
          <w:kern w:val="0"/>
          <w:sz w:val="24"/>
          <w:highlight w:val="none"/>
        </w:rPr>
        <w:t>综上所述，本项目符合</w:t>
      </w:r>
      <w:r>
        <w:rPr>
          <w:rFonts w:hint="eastAsia"/>
          <w:snapToGrid w:val="0"/>
          <w:color w:val="auto"/>
          <w:spacing w:val="-6"/>
          <w:kern w:val="0"/>
          <w:sz w:val="24"/>
          <w:highlight w:val="none"/>
        </w:rPr>
        <w:t>《重点行业挥发性有机物综合治理方案》</w:t>
      </w:r>
      <w:r>
        <w:rPr>
          <w:snapToGrid w:val="0"/>
          <w:color w:val="auto"/>
          <w:spacing w:val="-6"/>
          <w:kern w:val="0"/>
          <w:sz w:val="24"/>
          <w:highlight w:val="none"/>
        </w:rPr>
        <w:t>的相关要求。</w:t>
      </w:r>
    </w:p>
    <w:p w14:paraId="25FCE8D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7</w:t>
      </w:r>
      <w:r>
        <w:rPr>
          <w:rFonts w:hint="eastAsia" w:ascii="宋体" w:hAnsi="宋体" w:eastAsia="宋体" w:cs="宋体"/>
          <w:b/>
          <w:bCs w:val="0"/>
          <w:snapToGrid w:val="0"/>
          <w:color w:val="auto"/>
          <w:spacing w:val="0"/>
          <w:w w:val="100"/>
          <w:kern w:val="0"/>
          <w:sz w:val="24"/>
          <w:szCs w:val="24"/>
          <w:highlight w:val="none"/>
        </w:rPr>
        <w:t>与《关于加快解决当前挥发性有机物治理突出问题的通知》符合性分析</w:t>
      </w:r>
    </w:p>
    <w:p w14:paraId="47ABE28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为了加快解决当前挥发性有机物（VOCs）治理存在的突出问题，2021年8月4日，生态环境部发布了《关于加快解决当前挥发性有机物治理突出问题的通知》（环大气〔2021〕65号）</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2021年9月24日，新疆维吾尔自治区发布了《关于自治区加快解决当前挥发性有机物治理突出问题的通知》。</w:t>
      </w:r>
      <w:r>
        <w:rPr>
          <w:rFonts w:hint="eastAsia"/>
          <w:snapToGrid w:val="0"/>
          <w:color w:val="auto"/>
          <w:kern w:val="0"/>
          <w:sz w:val="24"/>
          <w:highlight w:val="none"/>
        </w:rPr>
        <w:t>本项目与《关于加快解决当前挥发性有机物治理突出问题的通知》</w:t>
      </w:r>
      <w:r>
        <w:rPr>
          <w:rFonts w:hint="eastAsia"/>
          <w:snapToGrid w:val="0"/>
          <w:color w:val="auto"/>
          <w:kern w:val="0"/>
          <w:sz w:val="24"/>
          <w:highlight w:val="none"/>
          <w:lang w:val="en-US" w:eastAsia="zh-CN"/>
        </w:rPr>
        <w:t>和《关于自治区加快解决当前挥发性有机物治理突出问题的通知》</w:t>
      </w:r>
      <w:r>
        <w:rPr>
          <w:rFonts w:hint="eastAsia"/>
          <w:snapToGrid w:val="0"/>
          <w:color w:val="auto"/>
          <w:kern w:val="0"/>
          <w:sz w:val="24"/>
          <w:highlight w:val="none"/>
        </w:rPr>
        <w:t>的符合性分析见表1.4-</w:t>
      </w:r>
      <w:r>
        <w:rPr>
          <w:rFonts w:hint="eastAsia"/>
          <w:snapToGrid w:val="0"/>
          <w:color w:val="auto"/>
          <w:kern w:val="0"/>
          <w:sz w:val="24"/>
          <w:highlight w:val="none"/>
          <w:lang w:val="en-US" w:eastAsia="zh-CN"/>
        </w:rPr>
        <w:t>15</w:t>
      </w:r>
      <w:r>
        <w:rPr>
          <w:rFonts w:hint="eastAsia"/>
          <w:snapToGrid w:val="0"/>
          <w:color w:val="auto"/>
          <w:kern w:val="0"/>
          <w:sz w:val="24"/>
          <w:highlight w:val="none"/>
        </w:rPr>
        <w:t>。</w:t>
      </w:r>
    </w:p>
    <w:p w14:paraId="667CA88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15</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本项目与《关于加快解决当前挥发性有机物治理突出问题的通知》</w:t>
      </w:r>
      <w:r>
        <w:rPr>
          <w:rFonts w:hint="eastAsia" w:ascii="Times New Roman" w:hAnsi="Times New Roman" w:cs="Times New Roman"/>
          <w:snapToGrid w:val="0"/>
          <w:color w:val="auto"/>
          <w:kern w:val="0"/>
          <w:sz w:val="21"/>
          <w:szCs w:val="21"/>
          <w:highlight w:val="none"/>
          <w:lang w:val="en-US" w:eastAsia="zh-CN"/>
        </w:rPr>
        <w:t>和《关于自治区加快解决当前挥发性有机物治理突出问题的通知》</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04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4"/>
        <w:gridCol w:w="4866"/>
        <w:gridCol w:w="2327"/>
        <w:gridCol w:w="456"/>
      </w:tblGrid>
      <w:tr w14:paraId="529C6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shd w:val="clear" w:color="auto" w:fill="auto"/>
            <w:vAlign w:val="center"/>
          </w:tcPr>
          <w:p w14:paraId="1A9AEC4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文件</w:t>
            </w:r>
            <w:r>
              <w:rPr>
                <w:rFonts w:hint="eastAsia" w:ascii="Times New Roman" w:hAnsi="Times New Roman" w:eastAsia="宋体" w:cs="Times New Roman"/>
                <w:snapToGrid w:val="0"/>
                <w:color w:val="auto"/>
                <w:kern w:val="0"/>
                <w:sz w:val="21"/>
                <w:szCs w:val="21"/>
                <w:highlight w:val="none"/>
                <w:lang w:val="en-US" w:eastAsia="zh-CN"/>
              </w:rPr>
              <w:t>名称</w:t>
            </w:r>
          </w:p>
        </w:tc>
        <w:tc>
          <w:tcPr>
            <w:tcW w:w="2908" w:type="pct"/>
            <w:shd w:val="clear" w:color="auto" w:fill="auto"/>
            <w:vAlign w:val="center"/>
          </w:tcPr>
          <w:p w14:paraId="5D7390C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文件</w:t>
            </w:r>
            <w:r>
              <w:rPr>
                <w:rFonts w:ascii="Times New Roman" w:hAnsi="Times New Roman" w:eastAsia="宋体" w:cs="Times New Roman"/>
                <w:snapToGrid w:val="0"/>
                <w:color w:val="auto"/>
                <w:kern w:val="0"/>
                <w:sz w:val="21"/>
                <w:szCs w:val="21"/>
                <w:highlight w:val="none"/>
              </w:rPr>
              <w:t>要求</w:t>
            </w:r>
          </w:p>
        </w:tc>
        <w:tc>
          <w:tcPr>
            <w:tcW w:w="1391" w:type="pct"/>
            <w:shd w:val="clear" w:color="auto" w:fill="auto"/>
            <w:vAlign w:val="center"/>
          </w:tcPr>
          <w:p w14:paraId="093F7FC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情况</w:t>
            </w:r>
          </w:p>
        </w:tc>
        <w:tc>
          <w:tcPr>
            <w:tcW w:w="272" w:type="pct"/>
            <w:shd w:val="clear" w:color="auto" w:fill="auto"/>
            <w:vAlign w:val="center"/>
          </w:tcPr>
          <w:p w14:paraId="365C5C0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5E196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restart"/>
            <w:shd w:val="clear" w:color="auto" w:fill="auto"/>
            <w:vAlign w:val="center"/>
          </w:tcPr>
          <w:p w14:paraId="6994A966">
            <w:pPr>
              <w:pStyle w:val="768"/>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《关于加快解决当前挥发性有机物治理突出问题的通知》</w:t>
            </w:r>
          </w:p>
        </w:tc>
        <w:tc>
          <w:tcPr>
            <w:tcW w:w="2908" w:type="pct"/>
            <w:shd w:val="clear" w:color="auto" w:fill="auto"/>
            <w:vAlign w:val="center"/>
          </w:tcPr>
          <w:p w14:paraId="29C8DE7F">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一、挥发性有机液体储罐</w:t>
            </w:r>
          </w:p>
          <w:p w14:paraId="0DFAD896">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企业应按照标准要求，根据储存挥发性有机液体的真实蒸气压、储罐容积等进行储罐和浮盘边缘密封方式选型。重点区域存储汽油、航空煤油、石脑油以及苯、甲苯、二甲苯的内浮顶罐罐顶气未收集治理的，宜配备新型高效浮盘与配件，选用</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全接液高效浮盘+二次密封</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结构。</w:t>
            </w:r>
          </w:p>
        </w:tc>
        <w:tc>
          <w:tcPr>
            <w:tcW w:w="1391" w:type="pct"/>
            <w:shd w:val="clear" w:color="auto" w:fill="auto"/>
            <w:vAlign w:val="center"/>
          </w:tcPr>
          <w:p w14:paraId="48AD5F4F">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烷烃采用内</w:t>
            </w:r>
            <w:r>
              <w:rPr>
                <w:rFonts w:hint="eastAsia" w:ascii="Times New Roman" w:hAnsi="Times New Roman" w:eastAsia="宋体" w:cs="Times New Roman"/>
                <w:color w:val="auto"/>
                <w:kern w:val="0"/>
                <w:sz w:val="21"/>
                <w:szCs w:val="21"/>
                <w:highlight w:val="none"/>
              </w:rPr>
              <w:t>浮顶</w:t>
            </w:r>
            <w:r>
              <w:rPr>
                <w:rFonts w:ascii="Times New Roman" w:hAnsi="Times New Roman" w:eastAsia="宋体" w:cs="Times New Roman"/>
                <w:snapToGrid w:val="0"/>
                <w:color w:val="auto"/>
                <w:kern w:val="0"/>
                <w:sz w:val="21"/>
                <w:szCs w:val="21"/>
                <w:highlight w:val="none"/>
              </w:rPr>
              <w:t>罐贮存，采用</w:t>
            </w:r>
            <w:r>
              <w:rPr>
                <w:rFonts w:hint="eastAsia" w:ascii="Times New Roman" w:hAnsi="Times New Roman" w:eastAsia="宋体" w:cs="Times New Roman"/>
                <w:snapToGrid w:val="0"/>
                <w:color w:val="auto"/>
                <w:kern w:val="0"/>
                <w:sz w:val="21"/>
                <w:szCs w:val="21"/>
                <w:highlight w:val="none"/>
              </w:rPr>
              <w:t>冷凝+活性炭吸附处理储罐废气，减少挥发性有机废气的排放。</w:t>
            </w:r>
          </w:p>
        </w:tc>
        <w:tc>
          <w:tcPr>
            <w:tcW w:w="272" w:type="pct"/>
            <w:shd w:val="clear" w:color="auto" w:fill="auto"/>
            <w:vAlign w:val="center"/>
          </w:tcPr>
          <w:p w14:paraId="25DDC7A8">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A09F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19BD9543">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p>
        </w:tc>
        <w:tc>
          <w:tcPr>
            <w:tcW w:w="2908" w:type="pct"/>
            <w:shd w:val="clear" w:color="auto" w:fill="auto"/>
            <w:vAlign w:val="center"/>
          </w:tcPr>
          <w:p w14:paraId="631F6D7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二、挥发性有机液体装卸</w:t>
            </w:r>
          </w:p>
          <w:p w14:paraId="0A52DA64">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汽车罐车按照标准采用适宜的装载方式，推广采用密封式快速接头等；铁路罐车推广使用锁紧式接头等。废气处理设施吸附剂应及时再生或更换，冷凝温度以及系统压力、气体流量、装载量等相关参数应满足设计要求；装载作业排气经过回收处理后不能稳定达标的，应进一步优化治理设施或实施深度治理。</w:t>
            </w:r>
          </w:p>
        </w:tc>
        <w:tc>
          <w:tcPr>
            <w:tcW w:w="1391" w:type="pct"/>
            <w:shd w:val="clear" w:color="auto" w:fill="auto"/>
            <w:vAlign w:val="center"/>
          </w:tcPr>
          <w:p w14:paraId="31A9BEBE">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烷烃储罐由汽车罐车装卸，</w:t>
            </w:r>
            <w:r>
              <w:rPr>
                <w:rFonts w:ascii="Times New Roman" w:hAnsi="Times New Roman" w:eastAsia="宋体" w:cs="Times New Roman"/>
                <w:snapToGrid w:val="0"/>
                <w:color w:val="auto"/>
                <w:kern w:val="0"/>
                <w:sz w:val="21"/>
                <w:szCs w:val="21"/>
                <w:highlight w:val="none"/>
              </w:rPr>
              <w:t>汽车罐车按照标准采用适宜的装载方式，采用密封式快速接头等</w:t>
            </w:r>
            <w:r>
              <w:rPr>
                <w:rFonts w:hint="eastAsia" w:ascii="Times New Roman" w:hAnsi="Times New Roman" w:eastAsia="宋体" w:cs="Times New Roman"/>
                <w:snapToGrid w:val="0"/>
                <w:color w:val="auto"/>
                <w:kern w:val="0"/>
                <w:sz w:val="21"/>
                <w:szCs w:val="21"/>
                <w:highlight w:val="none"/>
              </w:rPr>
              <w:t>。</w:t>
            </w:r>
          </w:p>
        </w:tc>
        <w:tc>
          <w:tcPr>
            <w:tcW w:w="272" w:type="pct"/>
            <w:shd w:val="clear" w:color="auto" w:fill="auto"/>
            <w:vAlign w:val="center"/>
          </w:tcPr>
          <w:p w14:paraId="4F28A0A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83E7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64C3F15E">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p>
        </w:tc>
        <w:tc>
          <w:tcPr>
            <w:tcW w:w="2908" w:type="pct"/>
            <w:shd w:val="clear" w:color="auto" w:fill="auto"/>
            <w:vAlign w:val="center"/>
          </w:tcPr>
          <w:p w14:paraId="1CF5970A">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三、敞开液面逸散</w:t>
            </w:r>
          </w:p>
          <w:p w14:paraId="54A62249">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石油炼制、石油化工企业用于集输、储存、处理含VOCs废水的设施应密闭…通过采取密闭管道等措施</w:t>
            </w:r>
            <w:r>
              <w:rPr>
                <w:rFonts w:hint="eastAsia" w:ascii="Times New Roman" w:hAnsi="Times New Roman" w:eastAsia="宋体" w:cs="Times New Roman"/>
                <w:snapToGrid w:val="0"/>
                <w:color w:val="auto"/>
                <w:kern w:val="0"/>
                <w:sz w:val="21"/>
                <w:szCs w:val="21"/>
                <w:highlight w:val="none"/>
                <w:lang w:eastAsia="zh-CN"/>
              </w:rPr>
              <w:t>，逐步</w:t>
            </w:r>
            <w:r>
              <w:rPr>
                <w:rFonts w:ascii="Times New Roman" w:hAnsi="Times New Roman" w:eastAsia="宋体" w:cs="Times New Roman"/>
                <w:snapToGrid w:val="0"/>
                <w:color w:val="auto"/>
                <w:kern w:val="0"/>
                <w:sz w:val="21"/>
                <w:szCs w:val="21"/>
                <w:highlight w:val="none"/>
              </w:rPr>
              <w:t>替代地漏、沟、渠、井等敞开式集输方式，减少集水井、含油污水池数量。</w:t>
            </w:r>
          </w:p>
        </w:tc>
        <w:tc>
          <w:tcPr>
            <w:tcW w:w="1391" w:type="pct"/>
            <w:shd w:val="clear" w:color="auto" w:fill="auto"/>
            <w:vAlign w:val="center"/>
          </w:tcPr>
          <w:p w14:paraId="27D61E47">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本项目废水</w:t>
            </w:r>
            <w:r>
              <w:rPr>
                <w:rFonts w:hint="eastAsia" w:ascii="Times New Roman" w:hAnsi="Times New Roman" w:eastAsia="宋体" w:cs="Times New Roman"/>
                <w:snapToGrid w:val="0"/>
                <w:color w:val="auto"/>
                <w:kern w:val="0"/>
                <w:sz w:val="21"/>
                <w:szCs w:val="21"/>
                <w:highlight w:val="none"/>
                <w:lang w:val="en-US" w:eastAsia="zh-CN"/>
              </w:rPr>
              <w:t>均由密闭管道进行输送</w:t>
            </w:r>
            <w:r>
              <w:rPr>
                <w:rFonts w:ascii="Times New Roman" w:hAnsi="Times New Roman" w:eastAsia="宋体" w:cs="Times New Roman"/>
                <w:snapToGrid w:val="0"/>
                <w:color w:val="auto"/>
                <w:kern w:val="0"/>
                <w:sz w:val="21"/>
                <w:szCs w:val="21"/>
                <w:highlight w:val="none"/>
              </w:rPr>
              <w:t>。</w:t>
            </w:r>
          </w:p>
        </w:tc>
        <w:tc>
          <w:tcPr>
            <w:tcW w:w="272" w:type="pct"/>
            <w:shd w:val="clear" w:color="auto" w:fill="auto"/>
            <w:vAlign w:val="center"/>
          </w:tcPr>
          <w:p w14:paraId="38A6CA0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6B7D7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2A690467">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p>
        </w:tc>
        <w:tc>
          <w:tcPr>
            <w:tcW w:w="2908" w:type="pct"/>
            <w:shd w:val="clear" w:color="auto" w:fill="auto"/>
            <w:vAlign w:val="center"/>
          </w:tcPr>
          <w:p w14:paraId="05452A25">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四、泄漏检测与修复</w:t>
            </w:r>
          </w:p>
          <w:p w14:paraId="157C5173">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石油炼制、石油化工、合成树脂行业所有企业都应开展LDAR工作；其他行业企业中载有气态、液态VOCs物料的设备与管线组件密封点大于等于2000个的，应开展LDAR工作。</w:t>
            </w:r>
          </w:p>
        </w:tc>
        <w:tc>
          <w:tcPr>
            <w:tcW w:w="1391" w:type="pct"/>
            <w:shd w:val="clear" w:color="auto" w:fill="auto"/>
            <w:vAlign w:val="center"/>
          </w:tcPr>
          <w:p w14:paraId="0F136B21">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本次评价提出</w:t>
            </w:r>
            <w:r>
              <w:rPr>
                <w:rFonts w:ascii="Times New Roman" w:hAnsi="Times New Roman" w:eastAsia="宋体" w:cs="Times New Roman"/>
                <w:snapToGrid w:val="0"/>
                <w:color w:val="auto"/>
                <w:kern w:val="0"/>
                <w:sz w:val="21"/>
                <w:szCs w:val="21"/>
                <w:highlight w:val="none"/>
              </w:rPr>
              <w:t>企业</w:t>
            </w:r>
            <w:r>
              <w:rPr>
                <w:rFonts w:hint="eastAsia" w:ascii="Times New Roman" w:hAnsi="Times New Roman" w:eastAsia="宋体" w:cs="Times New Roman"/>
                <w:snapToGrid w:val="0"/>
                <w:color w:val="auto"/>
                <w:kern w:val="0"/>
                <w:sz w:val="21"/>
                <w:szCs w:val="21"/>
                <w:highlight w:val="none"/>
              </w:rPr>
              <w:t>应</w:t>
            </w:r>
            <w:r>
              <w:rPr>
                <w:rFonts w:ascii="Times New Roman" w:hAnsi="Times New Roman" w:eastAsia="宋体" w:cs="Times New Roman"/>
                <w:snapToGrid w:val="0"/>
                <w:color w:val="auto"/>
                <w:kern w:val="0"/>
                <w:sz w:val="21"/>
                <w:szCs w:val="21"/>
                <w:highlight w:val="none"/>
              </w:rPr>
              <w:t>按照</w:t>
            </w:r>
            <w:r>
              <w:rPr>
                <w:rFonts w:hint="eastAsia" w:ascii="Times New Roman" w:hAnsi="Times New Roman" w:eastAsia="宋体" w:cs="Times New Roman"/>
                <w:snapToGrid w:val="0"/>
                <w:color w:val="auto"/>
                <w:kern w:val="0"/>
                <w:sz w:val="21"/>
                <w:szCs w:val="21"/>
                <w:highlight w:val="none"/>
              </w:rPr>
              <w:t>相关标准及</w:t>
            </w:r>
            <w:r>
              <w:rPr>
                <w:rFonts w:ascii="Times New Roman" w:hAnsi="Times New Roman" w:eastAsia="宋体" w:cs="Times New Roman"/>
                <w:snapToGrid w:val="0"/>
                <w:color w:val="auto"/>
                <w:kern w:val="0"/>
                <w:sz w:val="21"/>
                <w:szCs w:val="21"/>
                <w:highlight w:val="none"/>
              </w:rPr>
              <w:t>规范开展LDAR工作。</w:t>
            </w:r>
          </w:p>
        </w:tc>
        <w:tc>
          <w:tcPr>
            <w:tcW w:w="272" w:type="pct"/>
            <w:shd w:val="clear" w:color="auto" w:fill="auto"/>
            <w:vAlign w:val="center"/>
          </w:tcPr>
          <w:p w14:paraId="7F2C911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1D1F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773B39B5">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p>
        </w:tc>
        <w:tc>
          <w:tcPr>
            <w:tcW w:w="2908" w:type="pct"/>
            <w:shd w:val="clear" w:color="auto" w:fill="auto"/>
            <w:vAlign w:val="center"/>
          </w:tcPr>
          <w:p w14:paraId="0D4C46FE">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五、废气收集设施</w:t>
            </w:r>
          </w:p>
          <w:p w14:paraId="587BBCA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产生VOCs的生产环节优先采用密闭设备、在密闭空间中操作或采用全密闭集气罩收集方式，并保持负压运行。</w:t>
            </w:r>
          </w:p>
        </w:tc>
        <w:tc>
          <w:tcPr>
            <w:tcW w:w="1391" w:type="pct"/>
            <w:shd w:val="clear" w:color="auto" w:fill="auto"/>
            <w:vAlign w:val="center"/>
          </w:tcPr>
          <w:p w14:paraId="2D473FE7">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本项目</w:t>
            </w:r>
            <w:r>
              <w:rPr>
                <w:rFonts w:ascii="Times New Roman" w:hAnsi="Times New Roman" w:eastAsia="宋体" w:cs="Times New Roman"/>
                <w:snapToGrid w:val="0"/>
                <w:color w:val="auto"/>
                <w:kern w:val="0"/>
                <w:sz w:val="21"/>
                <w:szCs w:val="21"/>
                <w:highlight w:val="none"/>
              </w:rPr>
              <w:t>产生VOCs的生产环节</w:t>
            </w:r>
            <w:r>
              <w:rPr>
                <w:rFonts w:hint="eastAsia" w:ascii="Times New Roman" w:hAnsi="Times New Roman" w:eastAsia="宋体" w:cs="Times New Roman"/>
                <w:snapToGrid w:val="0"/>
                <w:color w:val="auto"/>
                <w:kern w:val="0"/>
                <w:sz w:val="21"/>
                <w:szCs w:val="21"/>
                <w:highlight w:val="none"/>
              </w:rPr>
              <w:t>均</w:t>
            </w:r>
            <w:r>
              <w:rPr>
                <w:rFonts w:ascii="Times New Roman" w:hAnsi="Times New Roman" w:eastAsia="宋体" w:cs="Times New Roman"/>
                <w:snapToGrid w:val="0"/>
                <w:color w:val="auto"/>
                <w:kern w:val="0"/>
                <w:sz w:val="21"/>
                <w:szCs w:val="21"/>
                <w:highlight w:val="none"/>
              </w:rPr>
              <w:t>采用密闭设备</w:t>
            </w:r>
            <w:r>
              <w:rPr>
                <w:rFonts w:hint="eastAsia" w:ascii="Times New Roman" w:hAnsi="Times New Roman" w:eastAsia="宋体" w:cs="Times New Roman"/>
                <w:snapToGrid w:val="0"/>
                <w:color w:val="auto"/>
                <w:kern w:val="0"/>
                <w:sz w:val="21"/>
                <w:szCs w:val="21"/>
                <w:highlight w:val="none"/>
              </w:rPr>
              <w:t>，经密闭管道收集后处理。</w:t>
            </w:r>
            <w:r>
              <w:rPr>
                <w:rFonts w:hint="eastAsia" w:ascii="Times New Roman" w:hAnsi="Times New Roman" w:eastAsia="宋体" w:cs="Times New Roman"/>
                <w:color w:val="auto"/>
                <w:spacing w:val="0"/>
                <w:kern w:val="0"/>
                <w:sz w:val="21"/>
                <w:szCs w:val="21"/>
                <w:highlight w:val="none"/>
                <w:lang w:val="en-US" w:eastAsia="zh-CN"/>
              </w:rPr>
              <w:t>罐区有机废气采用冷凝+活性炭吸附工艺处理，其他有机废气采用水吸收+碱吸收工艺处理。</w:t>
            </w:r>
          </w:p>
        </w:tc>
        <w:tc>
          <w:tcPr>
            <w:tcW w:w="272" w:type="pct"/>
            <w:shd w:val="clear" w:color="auto" w:fill="auto"/>
            <w:vAlign w:val="center"/>
          </w:tcPr>
          <w:p w14:paraId="7F7044B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630A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3F0DCC9D">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p>
        </w:tc>
        <w:tc>
          <w:tcPr>
            <w:tcW w:w="2908" w:type="pct"/>
            <w:shd w:val="clear" w:color="auto" w:fill="auto"/>
            <w:vAlign w:val="center"/>
          </w:tcPr>
          <w:p w14:paraId="7E84E4E4">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九、非正常工况</w:t>
            </w:r>
          </w:p>
          <w:p w14:paraId="7B5D77F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石化、化工企业提前向当地生态环境部门报告检维修计划，制定非正常工况VOCs管控规程，严格按照规程进行操作。企业开停工、检维修期间，退料、清洗、吹扫等作业产生的VOCs废气应及时收集处理，确保满足标准要求。</w:t>
            </w:r>
          </w:p>
        </w:tc>
        <w:tc>
          <w:tcPr>
            <w:tcW w:w="1391" w:type="pct"/>
            <w:shd w:val="clear" w:color="auto" w:fill="auto"/>
            <w:vAlign w:val="center"/>
          </w:tcPr>
          <w:p w14:paraId="694FF76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非正常工况主要为</w:t>
            </w:r>
            <w:r>
              <w:rPr>
                <w:rFonts w:hint="eastAsia" w:ascii="Times New Roman" w:hAnsi="Times New Roman" w:eastAsia="宋体" w:cs="Times New Roman"/>
                <w:snapToGrid w:val="0"/>
                <w:color w:val="auto"/>
                <w:kern w:val="0"/>
                <w:sz w:val="21"/>
                <w:szCs w:val="21"/>
                <w:highlight w:val="none"/>
                <w:lang w:val="en-US" w:eastAsia="zh-CN"/>
              </w:rPr>
              <w:t>发酵废气活性炭吸附装置</w:t>
            </w:r>
            <w:r>
              <w:rPr>
                <w:rFonts w:hint="eastAsia" w:ascii="Times New Roman" w:hAnsi="Times New Roman" w:eastAsia="宋体" w:cs="Times New Roman"/>
                <w:snapToGrid w:val="0"/>
                <w:color w:val="auto"/>
                <w:kern w:val="0"/>
                <w:sz w:val="21"/>
                <w:szCs w:val="21"/>
                <w:highlight w:val="none"/>
              </w:rPr>
              <w:t>出现故障导致废气处理效率降低，非正常工况时</w:t>
            </w:r>
            <w:r>
              <w:rPr>
                <w:rFonts w:ascii="Times New Roman" w:hAnsi="Times New Roman" w:eastAsia="宋体" w:cs="Times New Roman"/>
                <w:snapToGrid w:val="0"/>
                <w:color w:val="auto"/>
                <w:kern w:val="0"/>
                <w:sz w:val="21"/>
                <w:szCs w:val="21"/>
                <w:highlight w:val="none"/>
              </w:rPr>
              <w:t>企业</w:t>
            </w:r>
            <w:r>
              <w:rPr>
                <w:rFonts w:hint="eastAsia" w:ascii="Times New Roman" w:hAnsi="Times New Roman" w:eastAsia="宋体" w:cs="Times New Roman"/>
                <w:snapToGrid w:val="0"/>
                <w:color w:val="auto"/>
                <w:kern w:val="0"/>
                <w:sz w:val="21"/>
                <w:szCs w:val="21"/>
                <w:highlight w:val="none"/>
                <w:lang w:val="en-US" w:eastAsia="zh-CN"/>
              </w:rPr>
              <w:t>及时</w:t>
            </w:r>
            <w:r>
              <w:rPr>
                <w:rFonts w:ascii="Times New Roman" w:hAnsi="Times New Roman" w:eastAsia="宋体" w:cs="Times New Roman"/>
                <w:snapToGrid w:val="0"/>
                <w:color w:val="auto"/>
                <w:kern w:val="0"/>
                <w:sz w:val="21"/>
                <w:szCs w:val="21"/>
                <w:highlight w:val="none"/>
              </w:rPr>
              <w:t>向当地生态环境部门报告检维修计划，制定非正常工况管控规程，严格按照规程进行操作。</w:t>
            </w:r>
          </w:p>
        </w:tc>
        <w:tc>
          <w:tcPr>
            <w:tcW w:w="272" w:type="pct"/>
            <w:shd w:val="clear" w:color="auto" w:fill="auto"/>
            <w:vAlign w:val="center"/>
          </w:tcPr>
          <w:p w14:paraId="73EAD9A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3B22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restart"/>
            <w:shd w:val="clear" w:color="auto" w:fill="auto"/>
            <w:vAlign w:val="center"/>
          </w:tcPr>
          <w:p w14:paraId="471A4D59">
            <w:pPr>
              <w:pStyle w:val="768"/>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《关于自治区加快解决当前挥发性有机物治理突出问题的通知》</w:t>
            </w:r>
          </w:p>
        </w:tc>
        <w:tc>
          <w:tcPr>
            <w:tcW w:w="2908" w:type="pct"/>
            <w:shd w:val="clear" w:color="auto" w:fill="auto"/>
            <w:vAlign w:val="center"/>
          </w:tcPr>
          <w:p w14:paraId="235316AB">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企业应按照标准要求，根据储存挥发性有机液体的真实蒸气压、储罐容积等进行储罐和浮盘边缘密封方式选型。重点区域存储汽油、航空煤油、石脑油以及苯、甲苯、二甲苯的内浮顶罐罐顶气未收集治理的，宜配备新型高效浮盘与配件，选用“全接液高效浮盘+二次密封”结构。</w:t>
            </w:r>
          </w:p>
        </w:tc>
        <w:tc>
          <w:tcPr>
            <w:tcW w:w="1391" w:type="pct"/>
            <w:shd w:val="clear" w:color="auto" w:fill="auto"/>
            <w:vAlign w:val="center"/>
          </w:tcPr>
          <w:p w14:paraId="15B30513">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color w:val="auto"/>
                <w:spacing w:val="0"/>
                <w:kern w:val="0"/>
                <w:sz w:val="21"/>
                <w:szCs w:val="21"/>
                <w:highlight w:val="none"/>
                <w:lang w:val="en-US" w:eastAsia="zh-CN"/>
              </w:rPr>
              <w:t>本项目涉及</w:t>
            </w:r>
            <w:r>
              <w:rPr>
                <w:rFonts w:ascii="Times New Roman" w:hAnsi="Times New Roman" w:eastAsia="宋体" w:cs="Times New Roman"/>
                <w:color w:val="auto"/>
                <w:spacing w:val="0"/>
                <w:kern w:val="0"/>
                <w:sz w:val="21"/>
                <w:szCs w:val="21"/>
                <w:highlight w:val="none"/>
              </w:rPr>
              <w:t>VOCs物料</w:t>
            </w:r>
            <w:r>
              <w:rPr>
                <w:rFonts w:hint="eastAsia" w:ascii="Times New Roman" w:hAnsi="Times New Roman" w:eastAsia="宋体" w:cs="Times New Roman"/>
                <w:color w:val="auto"/>
                <w:spacing w:val="0"/>
                <w:kern w:val="0"/>
                <w:sz w:val="21"/>
                <w:szCs w:val="21"/>
                <w:highlight w:val="none"/>
                <w:lang w:val="en-US" w:eastAsia="zh-CN"/>
              </w:rPr>
              <w:t>主要为烷烃，烷烃</w:t>
            </w:r>
            <w:r>
              <w:rPr>
                <w:rFonts w:hint="eastAsia" w:ascii="Times New Roman" w:hAnsi="Times New Roman" w:eastAsia="宋体" w:cs="Times New Roman"/>
                <w:snapToGrid w:val="0"/>
                <w:color w:val="auto"/>
                <w:spacing w:val="0"/>
                <w:kern w:val="0"/>
                <w:sz w:val="21"/>
                <w:szCs w:val="21"/>
                <w:highlight w:val="none"/>
                <w:lang w:val="en-US" w:eastAsia="zh-CN"/>
              </w:rPr>
              <w:t>由</w:t>
            </w:r>
            <w:r>
              <w:rPr>
                <w:rFonts w:hint="default" w:ascii="Times New Roman" w:hAnsi="Times New Roman" w:eastAsia="宋体" w:cs="Times New Roman"/>
                <w:snapToGrid w:val="0"/>
                <w:color w:val="auto"/>
                <w:spacing w:val="0"/>
                <w:kern w:val="0"/>
                <w:sz w:val="21"/>
                <w:szCs w:val="21"/>
                <w:highlight w:val="none"/>
              </w:rPr>
              <w:t>内</w:t>
            </w:r>
            <w:r>
              <w:rPr>
                <w:rFonts w:hint="default" w:ascii="Times New Roman" w:hAnsi="Times New Roman" w:eastAsia="宋体" w:cs="Times New Roman"/>
                <w:color w:val="auto"/>
                <w:spacing w:val="0"/>
                <w:kern w:val="0"/>
                <w:sz w:val="21"/>
                <w:szCs w:val="21"/>
                <w:highlight w:val="none"/>
              </w:rPr>
              <w:t>浮顶</w:t>
            </w:r>
            <w:r>
              <w:rPr>
                <w:rFonts w:hint="default" w:ascii="Times New Roman" w:hAnsi="Times New Roman" w:eastAsia="宋体" w:cs="Times New Roman"/>
                <w:snapToGrid w:val="0"/>
                <w:color w:val="auto"/>
                <w:spacing w:val="0"/>
                <w:kern w:val="0"/>
                <w:sz w:val="21"/>
                <w:szCs w:val="21"/>
                <w:highlight w:val="none"/>
              </w:rPr>
              <w:t>罐贮存</w:t>
            </w:r>
            <w:r>
              <w:rPr>
                <w:rFonts w:hint="eastAsia" w:ascii="Times New Roman" w:hAnsi="Times New Roman" w:eastAsia="宋体"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采用冷凝+活性炭吸附处理储罐废气</w:t>
            </w:r>
            <w:r>
              <w:rPr>
                <w:rFonts w:hint="eastAsia" w:ascii="Times New Roman" w:hAnsi="Times New Roman" w:eastAsia="宋体" w:cs="Times New Roman"/>
                <w:snapToGrid w:val="0"/>
                <w:color w:val="auto"/>
                <w:spacing w:val="0"/>
                <w:kern w:val="0"/>
                <w:sz w:val="21"/>
                <w:szCs w:val="21"/>
                <w:highlight w:val="none"/>
                <w:lang w:eastAsia="zh-CN"/>
              </w:rPr>
              <w:t>。</w:t>
            </w:r>
          </w:p>
        </w:tc>
        <w:tc>
          <w:tcPr>
            <w:tcW w:w="272" w:type="pct"/>
            <w:shd w:val="clear" w:color="auto" w:fill="auto"/>
            <w:vAlign w:val="center"/>
          </w:tcPr>
          <w:p w14:paraId="5A72323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5780C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07AA63B3">
            <w:pPr>
              <w:pStyle w:val="768"/>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2908" w:type="pct"/>
            <w:shd w:val="clear" w:color="auto" w:fill="auto"/>
            <w:vAlign w:val="center"/>
          </w:tcPr>
          <w:p w14:paraId="4FFF7499">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石油炼制、石油化工、合成树脂行业所有企业都应开展LDAR工作</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其他行业企业中载有气态、液态VOCs物料的设备与管线组件密封点大于等于2000个的，应开展LDAR工作。要将VOCs收集管道、治理设施和与储罐连接的密封点纳入检测范围。按照相关技术规范要求，开展泄漏检测、修复、质量控制、记录管理等工作。鼓励大型石化、化工企业以及化工园区成立检测团队，自行开展LDAR工作或对第三方检测结果进行抽查。鼓励企业加严泄漏认定标准</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对在用泵、备用泵、调节阀、搅拌器、开口管线等密封点加强巡检</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定期采用红外成像仪等对不可达密封点进行泄漏筛查。鼓励重点区域石化、化工行业集中的城市和工业园区建立LDAR信息管理平台，进行统一监管。</w:t>
            </w:r>
          </w:p>
        </w:tc>
        <w:tc>
          <w:tcPr>
            <w:tcW w:w="1391" w:type="pct"/>
            <w:shd w:val="clear" w:color="auto" w:fill="auto"/>
            <w:vAlign w:val="center"/>
          </w:tcPr>
          <w:p w14:paraId="3985FFC0">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bCs/>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本次评价提出</w:t>
            </w:r>
            <w:r>
              <w:rPr>
                <w:rFonts w:ascii="Times New Roman" w:hAnsi="Times New Roman" w:eastAsia="宋体" w:cs="Times New Roman"/>
                <w:snapToGrid w:val="0"/>
                <w:color w:val="auto"/>
                <w:kern w:val="0"/>
                <w:sz w:val="21"/>
                <w:szCs w:val="21"/>
                <w:highlight w:val="none"/>
              </w:rPr>
              <w:t>企业</w:t>
            </w:r>
            <w:r>
              <w:rPr>
                <w:rFonts w:hint="eastAsia" w:ascii="Times New Roman" w:hAnsi="Times New Roman" w:eastAsia="宋体" w:cs="Times New Roman"/>
                <w:snapToGrid w:val="0"/>
                <w:color w:val="auto"/>
                <w:kern w:val="0"/>
                <w:sz w:val="21"/>
                <w:szCs w:val="21"/>
                <w:highlight w:val="none"/>
              </w:rPr>
              <w:t>应</w:t>
            </w:r>
            <w:r>
              <w:rPr>
                <w:rFonts w:ascii="Times New Roman" w:hAnsi="Times New Roman" w:eastAsia="宋体" w:cs="Times New Roman"/>
                <w:snapToGrid w:val="0"/>
                <w:color w:val="auto"/>
                <w:kern w:val="0"/>
                <w:sz w:val="21"/>
                <w:szCs w:val="21"/>
                <w:highlight w:val="none"/>
              </w:rPr>
              <w:t>按照</w:t>
            </w:r>
            <w:r>
              <w:rPr>
                <w:rFonts w:hint="eastAsia" w:ascii="Times New Roman" w:hAnsi="Times New Roman" w:eastAsia="宋体" w:cs="Times New Roman"/>
                <w:snapToGrid w:val="0"/>
                <w:color w:val="auto"/>
                <w:kern w:val="0"/>
                <w:sz w:val="21"/>
                <w:szCs w:val="21"/>
                <w:highlight w:val="none"/>
              </w:rPr>
              <w:t>相关标准及</w:t>
            </w:r>
            <w:r>
              <w:rPr>
                <w:rFonts w:ascii="Times New Roman" w:hAnsi="Times New Roman" w:eastAsia="宋体" w:cs="Times New Roman"/>
                <w:snapToGrid w:val="0"/>
                <w:color w:val="auto"/>
                <w:kern w:val="0"/>
                <w:sz w:val="21"/>
                <w:szCs w:val="21"/>
                <w:highlight w:val="none"/>
              </w:rPr>
              <w:t>规范开展LDAR工作。</w:t>
            </w:r>
          </w:p>
        </w:tc>
        <w:tc>
          <w:tcPr>
            <w:tcW w:w="272" w:type="pct"/>
            <w:shd w:val="clear" w:color="auto" w:fill="auto"/>
            <w:vAlign w:val="center"/>
          </w:tcPr>
          <w:p w14:paraId="7555E11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614F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27" w:type="pct"/>
            <w:vMerge w:val="continue"/>
            <w:shd w:val="clear" w:color="auto" w:fill="auto"/>
            <w:vAlign w:val="center"/>
          </w:tcPr>
          <w:p w14:paraId="50BC7941">
            <w:pPr>
              <w:pStyle w:val="768"/>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2908" w:type="pct"/>
            <w:shd w:val="clear" w:color="auto" w:fill="auto"/>
            <w:vAlign w:val="center"/>
          </w:tcPr>
          <w:p w14:paraId="1AC3FE0F">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新建治理设施或对现有治理设施实施改造，应依据排放废气特征、VOCs组分及浓度、生产工况等，合理选择治理技术</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对治理难度大、单一治理工艺难以稳定达标的，宜采用多种技术的组合工艺</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除恶臭异味治理外，一般不使用低温等离子、光催化、光氧化等技术。加强运行维护管理，做到治理设施较生产设备“先启后停”在治理设施达到正常运行条件后方可启动生产设备，在生产设备停止、残留VOCs废气收集处理完毕后，方可停运治理设施</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及时清理、更换吸附剂、吸收剂、催化剂、蓄热体、过滤棉、灯管、电器元件等治理设施耗材，确保设施能够稳定高效运行</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做好生产设备和治理设施启停机时间、检维修情况、治理设施耗材维护更换、处置情况等台账记录</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对于VOCs治理设施产生的废过滤棉、废催化剂、废吸附剂、废吸收剂、废有机溶剂等，应及时清运，属于危险废物的应交有资质的单位处理处置。</w:t>
            </w:r>
          </w:p>
        </w:tc>
        <w:tc>
          <w:tcPr>
            <w:tcW w:w="1391" w:type="pct"/>
            <w:shd w:val="clear" w:color="auto" w:fill="auto"/>
            <w:vAlign w:val="center"/>
          </w:tcPr>
          <w:p w14:paraId="764A0AA6">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color w:val="auto"/>
                <w:spacing w:val="0"/>
                <w:kern w:val="0"/>
                <w:sz w:val="21"/>
                <w:szCs w:val="21"/>
                <w:highlight w:val="none"/>
                <w:lang w:val="en-US" w:eastAsia="zh-CN"/>
              </w:rPr>
              <w:t>本项目含VOCs废气中罐区有机废气采用冷凝+活性炭吸附工艺处理，其他有机废气采用水吸收+碱吸收工艺处理。含恶臭气体的发酵废气采用活性炭吸附除臭。定期对活性炭进行更换，更换后的活性炭再生后重复使用。</w:t>
            </w:r>
          </w:p>
        </w:tc>
        <w:tc>
          <w:tcPr>
            <w:tcW w:w="272" w:type="pct"/>
            <w:shd w:val="clear" w:color="auto" w:fill="auto"/>
            <w:vAlign w:val="center"/>
          </w:tcPr>
          <w:p w14:paraId="6C063EA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bl>
    <w:p w14:paraId="3DEAB536">
      <w:pPr>
        <w:tabs>
          <w:tab w:val="left" w:pos="7560"/>
        </w:tabs>
        <w:adjustRightInd w:val="0"/>
        <w:snapToGrid w:val="0"/>
        <w:spacing w:line="360" w:lineRule="auto"/>
        <w:ind w:firstLine="456" w:firstLineChars="200"/>
        <w:rPr>
          <w:snapToGrid w:val="0"/>
          <w:color w:val="auto"/>
          <w:spacing w:val="-6"/>
          <w:kern w:val="0"/>
          <w:sz w:val="24"/>
          <w:highlight w:val="none"/>
        </w:rPr>
      </w:pPr>
      <w:r>
        <w:rPr>
          <w:snapToGrid w:val="0"/>
          <w:color w:val="auto"/>
          <w:spacing w:val="-6"/>
          <w:kern w:val="0"/>
          <w:sz w:val="24"/>
          <w:highlight w:val="none"/>
        </w:rPr>
        <w:t>综上所述，本项目符合</w:t>
      </w:r>
      <w:r>
        <w:rPr>
          <w:rFonts w:hint="eastAsia"/>
          <w:snapToGrid w:val="0"/>
          <w:color w:val="auto"/>
          <w:spacing w:val="-6"/>
          <w:kern w:val="0"/>
          <w:sz w:val="24"/>
          <w:highlight w:val="none"/>
        </w:rPr>
        <w:t>《关于加快解决当前挥发性有机物治理突出问题的通知》</w:t>
      </w:r>
      <w:r>
        <w:rPr>
          <w:rFonts w:hint="eastAsia"/>
          <w:snapToGrid w:val="0"/>
          <w:color w:val="auto"/>
          <w:spacing w:val="-6"/>
          <w:kern w:val="0"/>
          <w:sz w:val="24"/>
          <w:highlight w:val="none"/>
          <w:lang w:val="en-US" w:eastAsia="zh-CN"/>
        </w:rPr>
        <w:t>和《关于自治区加快解决当前挥发性有机物治理突出问题的通知》</w:t>
      </w:r>
      <w:r>
        <w:rPr>
          <w:snapToGrid w:val="0"/>
          <w:color w:val="auto"/>
          <w:spacing w:val="-6"/>
          <w:kern w:val="0"/>
          <w:sz w:val="24"/>
          <w:highlight w:val="none"/>
        </w:rPr>
        <w:t>的相关要求。</w:t>
      </w:r>
    </w:p>
    <w:p w14:paraId="3E85899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8</w:t>
      </w:r>
      <w:r>
        <w:rPr>
          <w:rFonts w:hint="eastAsia" w:ascii="宋体" w:hAnsi="宋体" w:eastAsia="宋体" w:cs="宋体"/>
          <w:b/>
          <w:bCs w:val="0"/>
          <w:snapToGrid w:val="0"/>
          <w:color w:val="auto"/>
          <w:spacing w:val="0"/>
          <w:w w:val="100"/>
          <w:kern w:val="0"/>
          <w:sz w:val="24"/>
          <w:szCs w:val="24"/>
          <w:highlight w:val="none"/>
        </w:rPr>
        <w:t>与《新疆维吾尔自治区2025年空气质量持续改善行动实施方案》符合性分析</w:t>
      </w:r>
    </w:p>
    <w:p w14:paraId="01C5CC8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本项目与《新疆维吾尔自治区2025年空气质量持续改善行动实施方案》符合性分析见表1.4-</w:t>
      </w:r>
      <w:r>
        <w:rPr>
          <w:rFonts w:hint="eastAsia"/>
          <w:snapToGrid w:val="0"/>
          <w:color w:val="auto"/>
          <w:kern w:val="0"/>
          <w:sz w:val="24"/>
          <w:highlight w:val="none"/>
          <w:lang w:val="en-US" w:eastAsia="zh-CN"/>
        </w:rPr>
        <w:t>16</w:t>
      </w:r>
      <w:r>
        <w:rPr>
          <w:rFonts w:hint="eastAsia"/>
          <w:snapToGrid w:val="0"/>
          <w:color w:val="auto"/>
          <w:kern w:val="0"/>
          <w:sz w:val="24"/>
          <w:highlight w:val="none"/>
        </w:rPr>
        <w:t>。</w:t>
      </w:r>
    </w:p>
    <w:p w14:paraId="2D554B60">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0" w:firstLineChars="0"/>
        <w:textAlignment w:val="center"/>
        <w:rPr>
          <w:rFonts w:ascii="Times New Roman" w:hAnsi="Times New Roman" w:cs="Times New Roman" w:eastAsiaTheme="minorEastAsia"/>
          <w:b/>
          <w:bCs/>
          <w:snapToGrid w:val="0"/>
          <w:color w:val="auto"/>
          <w:spacing w:val="-6"/>
          <w:kern w:val="0"/>
          <w:sz w:val="21"/>
          <w:szCs w:val="21"/>
          <w:highlight w:val="none"/>
        </w:rPr>
      </w:pPr>
      <w:r>
        <w:rPr>
          <w:rFonts w:ascii="Times New Roman" w:hAnsi="Times New Roman" w:cs="Times New Roman" w:eastAsiaTheme="minorEastAsia"/>
          <w:b/>
          <w:bCs/>
          <w:snapToGrid w:val="0"/>
          <w:color w:val="auto"/>
          <w:spacing w:val="-6"/>
          <w:kern w:val="0"/>
          <w:sz w:val="21"/>
          <w:szCs w:val="21"/>
          <w:highlight w:val="none"/>
        </w:rPr>
        <w:t>表</w:t>
      </w:r>
      <w:r>
        <w:rPr>
          <w:rFonts w:hint="eastAsia" w:ascii="Times New Roman" w:hAnsi="Times New Roman" w:cs="Times New Roman" w:eastAsiaTheme="minorEastAsia"/>
          <w:b/>
          <w:bCs/>
          <w:snapToGrid w:val="0"/>
          <w:color w:val="auto"/>
          <w:spacing w:val="-6"/>
          <w:kern w:val="0"/>
          <w:sz w:val="21"/>
          <w:szCs w:val="21"/>
          <w:highlight w:val="none"/>
        </w:rPr>
        <w:t>1.4-</w:t>
      </w:r>
      <w:r>
        <w:rPr>
          <w:rFonts w:hint="eastAsia" w:ascii="Times New Roman" w:hAnsi="Times New Roman" w:cs="Times New Roman" w:eastAsiaTheme="minorEastAsia"/>
          <w:b/>
          <w:bCs/>
          <w:snapToGrid w:val="0"/>
          <w:color w:val="auto"/>
          <w:spacing w:val="-6"/>
          <w:kern w:val="0"/>
          <w:sz w:val="21"/>
          <w:szCs w:val="21"/>
          <w:highlight w:val="none"/>
          <w:lang w:val="en-US" w:eastAsia="zh-CN"/>
        </w:rPr>
        <w:t>16</w:t>
      </w:r>
      <w:r>
        <w:rPr>
          <w:rFonts w:ascii="Times New Roman" w:hAnsi="Times New Roman" w:cs="Times New Roman" w:eastAsiaTheme="minorEastAsia"/>
          <w:b/>
          <w:bCs/>
          <w:snapToGrid w:val="0"/>
          <w:color w:val="auto"/>
          <w:spacing w:val="-6"/>
          <w:kern w:val="0"/>
          <w:sz w:val="21"/>
          <w:szCs w:val="21"/>
          <w:highlight w:val="none"/>
        </w:rPr>
        <w:t xml:space="preserve"> </w:t>
      </w:r>
      <w:r>
        <w:rPr>
          <w:rFonts w:hint="eastAsia" w:ascii="Times New Roman" w:hAnsi="Times New Roman" w:cs="Times New Roman" w:eastAsiaTheme="minorEastAsia"/>
          <w:b/>
          <w:bCs/>
          <w:snapToGrid w:val="0"/>
          <w:color w:val="auto"/>
          <w:spacing w:val="-6"/>
          <w:kern w:val="0"/>
          <w:sz w:val="21"/>
          <w:szCs w:val="21"/>
          <w:highlight w:val="none"/>
        </w:rPr>
        <w:t>项目与《新疆维吾尔自治区2025年空气质量持续改善行动实施方案》符合性分析</w:t>
      </w:r>
      <w:r>
        <w:rPr>
          <w:rFonts w:ascii="Times New Roman" w:hAnsi="Times New Roman" w:cs="Times New Roman" w:eastAsiaTheme="minorEastAsia"/>
          <w:b/>
          <w:bCs/>
          <w:snapToGrid w:val="0"/>
          <w:color w:val="auto"/>
          <w:spacing w:val="-6"/>
          <w:kern w:val="0"/>
          <w:sz w:val="21"/>
          <w:szCs w:val="21"/>
          <w:highlight w:val="none"/>
        </w:rPr>
        <w:t>表</w:t>
      </w:r>
    </w:p>
    <w:tbl>
      <w:tblPr>
        <w:tblStyle w:val="56"/>
        <w:tblW w:w="50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395"/>
        <w:gridCol w:w="3281"/>
        <w:gridCol w:w="652"/>
      </w:tblGrid>
      <w:tr w14:paraId="46CF1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5A632945">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方案</w:t>
            </w:r>
            <w:r>
              <w:rPr>
                <w:snapToGrid w:val="0"/>
                <w:color w:val="auto"/>
                <w:kern w:val="0"/>
                <w:szCs w:val="21"/>
                <w:highlight w:val="none"/>
              </w:rPr>
              <w:t>要求</w:t>
            </w:r>
          </w:p>
        </w:tc>
        <w:tc>
          <w:tcPr>
            <w:tcW w:w="1969" w:type="pct"/>
            <w:shd w:val="clear" w:color="auto" w:fill="auto"/>
            <w:vAlign w:val="center"/>
          </w:tcPr>
          <w:p w14:paraId="12986457">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391" w:type="pct"/>
            <w:shd w:val="clear" w:color="auto" w:fill="auto"/>
            <w:vAlign w:val="center"/>
          </w:tcPr>
          <w:p w14:paraId="5150CF97">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7C7E4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51EFEE05">
            <w:pPr>
              <w:pStyle w:val="42"/>
              <w:widowControl/>
              <w:tabs>
                <w:tab w:val="left" w:pos="0"/>
              </w:tabs>
              <w:adjustRightInd w:val="0"/>
              <w:snapToGrid w:val="0"/>
              <w:ind w:left="0" w:firstLine="0" w:firstLineChars="0"/>
              <w:rPr>
                <w:snapToGrid w:val="0"/>
                <w:color w:val="auto"/>
                <w:kern w:val="0"/>
                <w:szCs w:val="21"/>
                <w:highlight w:val="none"/>
              </w:rPr>
            </w:pPr>
            <w:r>
              <w:rPr>
                <w:snapToGrid w:val="0"/>
                <w:color w:val="auto"/>
                <w:kern w:val="0"/>
                <w:szCs w:val="21"/>
                <w:highlight w:val="none"/>
              </w:rPr>
              <w:t>（一）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969" w:type="pct"/>
            <w:shd w:val="clear" w:color="auto" w:fill="auto"/>
            <w:vAlign w:val="center"/>
          </w:tcPr>
          <w:p w14:paraId="7449B391">
            <w:pPr>
              <w:pStyle w:val="42"/>
              <w:widowControl/>
              <w:tabs>
                <w:tab w:val="left" w:pos="0"/>
              </w:tabs>
              <w:adjustRightInd w:val="0"/>
              <w:snapToGrid w:val="0"/>
              <w:ind w:left="0" w:firstLine="0" w:firstLineChars="0"/>
              <w:rPr>
                <w:snapToGrid w:val="0"/>
                <w:color w:val="auto"/>
                <w:kern w:val="0"/>
                <w:szCs w:val="21"/>
                <w:highlight w:val="none"/>
              </w:rPr>
            </w:pPr>
            <w:r>
              <w:rPr>
                <w:rFonts w:hint="eastAsia"/>
                <w:color w:val="auto"/>
                <w:kern w:val="0"/>
                <w:szCs w:val="21"/>
                <w:highlight w:val="none"/>
              </w:rPr>
              <w:t>根据《自治区“两高”项目管理目录（2024年版）》（新发改环资〔2024〕635号），本项目不属于“两高”项目，项目所在区域属于奎独乌大气污染联防联控区域，新增主要污染物颗粒物、</w:t>
            </w:r>
            <w:r>
              <w:rPr>
                <w:rFonts w:hint="eastAsia"/>
                <w:color w:val="auto"/>
                <w:kern w:val="0"/>
                <w:szCs w:val="21"/>
                <w:highlight w:val="none"/>
                <w:lang w:val="en-US" w:eastAsia="zh-CN"/>
              </w:rPr>
              <w:t>SO</w:t>
            </w:r>
            <w:r>
              <w:rPr>
                <w:rFonts w:hint="eastAsia"/>
                <w:color w:val="auto"/>
                <w:kern w:val="0"/>
                <w:szCs w:val="21"/>
                <w:highlight w:val="none"/>
                <w:vertAlign w:val="subscript"/>
                <w:lang w:val="en-US" w:eastAsia="zh-CN"/>
              </w:rPr>
              <w:t>2</w:t>
            </w:r>
            <w:r>
              <w:rPr>
                <w:rFonts w:hint="eastAsia"/>
                <w:color w:val="auto"/>
                <w:kern w:val="0"/>
                <w:szCs w:val="21"/>
                <w:highlight w:val="none"/>
                <w:lang w:val="en-US" w:eastAsia="zh-CN"/>
              </w:rPr>
              <w:t>、NO</w:t>
            </w:r>
            <w:r>
              <w:rPr>
                <w:rFonts w:hint="eastAsia"/>
                <w:color w:val="auto"/>
                <w:kern w:val="0"/>
                <w:szCs w:val="21"/>
                <w:highlight w:val="none"/>
                <w:vertAlign w:val="subscript"/>
                <w:lang w:val="en-US" w:eastAsia="zh-CN"/>
              </w:rPr>
              <w:t>X</w:t>
            </w:r>
            <w:r>
              <w:rPr>
                <w:rFonts w:hint="eastAsia"/>
                <w:color w:val="auto"/>
                <w:kern w:val="0"/>
                <w:szCs w:val="21"/>
                <w:highlight w:val="none"/>
                <w:lang w:val="en-US" w:eastAsia="zh-CN"/>
              </w:rPr>
              <w:t>、</w:t>
            </w:r>
            <w:r>
              <w:rPr>
                <w:rFonts w:hint="eastAsia"/>
                <w:color w:val="auto"/>
                <w:kern w:val="0"/>
                <w:szCs w:val="21"/>
                <w:highlight w:val="none"/>
              </w:rPr>
              <w:t>VOCs实施倍量替代，</w:t>
            </w:r>
            <w:r>
              <w:rPr>
                <w:rFonts w:hint="eastAsia"/>
                <w:snapToGrid w:val="0"/>
                <w:color w:val="auto"/>
                <w:kern w:val="0"/>
                <w:szCs w:val="21"/>
                <w:highlight w:val="none"/>
              </w:rPr>
              <w:t>符合</w:t>
            </w:r>
            <w:r>
              <w:rPr>
                <w:rFonts w:hint="eastAsia"/>
                <w:color w:val="auto"/>
                <w:kern w:val="0"/>
                <w:szCs w:val="21"/>
                <w:highlight w:val="none"/>
              </w:rPr>
              <w:t>国家及地方</w:t>
            </w:r>
            <w:r>
              <w:rPr>
                <w:rFonts w:hint="eastAsia"/>
                <w:snapToGrid w:val="0"/>
                <w:color w:val="auto"/>
                <w:kern w:val="0"/>
                <w:szCs w:val="21"/>
                <w:highlight w:val="none"/>
              </w:rPr>
              <w:t>产业政策、</w:t>
            </w:r>
            <w:r>
              <w:rPr>
                <w:snapToGrid w:val="0"/>
                <w:color w:val="auto"/>
                <w:kern w:val="0"/>
                <w:szCs w:val="21"/>
                <w:highlight w:val="none"/>
              </w:rPr>
              <w:t>产业规划、生态环境分区管控方案</w:t>
            </w:r>
            <w:r>
              <w:rPr>
                <w:rFonts w:hint="eastAsia"/>
                <w:snapToGrid w:val="0"/>
                <w:color w:val="auto"/>
                <w:kern w:val="0"/>
                <w:szCs w:val="21"/>
                <w:highlight w:val="none"/>
              </w:rPr>
              <w:t>、园区规划和规划环评等相关要求。</w:t>
            </w:r>
          </w:p>
        </w:tc>
        <w:tc>
          <w:tcPr>
            <w:tcW w:w="391" w:type="pct"/>
            <w:shd w:val="clear" w:color="auto" w:fill="auto"/>
            <w:vAlign w:val="center"/>
          </w:tcPr>
          <w:p w14:paraId="0D4E3E22">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11008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17257C56">
            <w:pPr>
              <w:pStyle w:val="42"/>
              <w:widowControl/>
              <w:tabs>
                <w:tab w:val="left" w:pos="0"/>
              </w:tabs>
              <w:adjustRightInd w:val="0"/>
              <w:snapToGrid w:val="0"/>
              <w:ind w:left="0" w:firstLine="0" w:firstLineChars="0"/>
              <w:rPr>
                <w:snapToGrid w:val="0"/>
                <w:color w:val="auto"/>
                <w:kern w:val="0"/>
                <w:szCs w:val="21"/>
                <w:highlight w:val="none"/>
              </w:rPr>
            </w:pPr>
            <w:r>
              <w:rPr>
                <w:snapToGrid w:val="0"/>
                <w:color w:val="auto"/>
                <w:kern w:val="0"/>
                <w:szCs w:val="21"/>
                <w:highlight w:val="none"/>
              </w:rPr>
              <w:t>（二）退出重点行业落后产能。严格执行《产业结构调整指导目录》，依法依规淘汰落后产能。联防联控区进一步提高落后产能能耗、环保、质量、安全、技术等要求，逐步退出限制类涉气行业工艺和装备。</w:t>
            </w:r>
          </w:p>
        </w:tc>
        <w:tc>
          <w:tcPr>
            <w:tcW w:w="1969" w:type="pct"/>
            <w:shd w:val="clear" w:color="auto" w:fill="auto"/>
            <w:vAlign w:val="center"/>
          </w:tcPr>
          <w:p w14:paraId="52C53E82">
            <w:pPr>
              <w:pStyle w:val="42"/>
              <w:widowControl/>
              <w:tabs>
                <w:tab w:val="left" w:pos="0"/>
              </w:tabs>
              <w:adjustRightInd w:val="0"/>
              <w:snapToGrid w:val="0"/>
              <w:ind w:left="0" w:firstLine="0" w:firstLineChars="0"/>
              <w:rPr>
                <w:snapToGrid w:val="0"/>
                <w:color w:val="auto"/>
                <w:kern w:val="0"/>
                <w:szCs w:val="21"/>
                <w:highlight w:val="none"/>
              </w:rPr>
            </w:pPr>
            <w:r>
              <w:rPr>
                <w:rFonts w:hint="eastAsia"/>
                <w:color w:val="auto"/>
                <w:kern w:val="0"/>
                <w:szCs w:val="21"/>
                <w:highlight w:val="none"/>
              </w:rPr>
              <w:t>本项目属于《产业结构调整指导目录（2024年本）》中的</w:t>
            </w:r>
            <w:r>
              <w:rPr>
                <w:rFonts w:hint="eastAsia"/>
                <w:color w:val="auto"/>
                <w:kern w:val="0"/>
                <w:szCs w:val="21"/>
                <w:highlight w:val="none"/>
                <w:lang w:eastAsia="zh-CN"/>
              </w:rPr>
              <w:t>允许类</w:t>
            </w:r>
            <w:r>
              <w:rPr>
                <w:rFonts w:hint="eastAsia"/>
                <w:color w:val="auto"/>
                <w:kern w:val="0"/>
                <w:szCs w:val="21"/>
                <w:highlight w:val="none"/>
              </w:rPr>
              <w:t>项目，</w:t>
            </w:r>
            <w:r>
              <w:rPr>
                <w:rFonts w:hint="eastAsia"/>
                <w:snapToGrid w:val="0"/>
                <w:color w:val="auto"/>
                <w:kern w:val="0"/>
                <w:szCs w:val="21"/>
                <w:highlight w:val="none"/>
              </w:rPr>
              <w:t>不属于落后产能，生产过程中未使用国家明令禁止的淘汰类和限制类的设备和工艺。</w:t>
            </w:r>
          </w:p>
        </w:tc>
        <w:tc>
          <w:tcPr>
            <w:tcW w:w="391" w:type="pct"/>
            <w:shd w:val="clear" w:color="auto" w:fill="auto"/>
            <w:vAlign w:val="center"/>
          </w:tcPr>
          <w:p w14:paraId="76A7877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bl>
    <w:p w14:paraId="68F6F6B2">
      <w:pPr>
        <w:adjustRightInd w:val="0"/>
        <w:snapToGrid w:val="0"/>
        <w:spacing w:before="120" w:beforeLines="50"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综合分析，本项目建设符合《新疆维吾尔自治区2025年空气质量持续改善行动实施方案》的相关要求。</w:t>
      </w:r>
    </w:p>
    <w:p w14:paraId="7105467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9</w:t>
      </w:r>
      <w:r>
        <w:rPr>
          <w:rFonts w:hint="eastAsia" w:ascii="宋体" w:hAnsi="宋体" w:eastAsia="宋体" w:cs="宋体"/>
          <w:b/>
          <w:bCs w:val="0"/>
          <w:snapToGrid w:val="0"/>
          <w:color w:val="auto"/>
          <w:spacing w:val="0"/>
          <w:w w:val="100"/>
          <w:kern w:val="0"/>
          <w:sz w:val="24"/>
          <w:szCs w:val="24"/>
          <w:highlight w:val="none"/>
        </w:rPr>
        <w:t>与《新疆维吾尔自治区“奎-独-乌”区域大气环境整治2024-2025年行动方案》的符合性分析</w:t>
      </w:r>
    </w:p>
    <w:p w14:paraId="65B515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eastAsia="zh-CN"/>
        </w:rPr>
      </w:pPr>
      <w:r>
        <w:rPr>
          <w:rFonts w:hint="eastAsia"/>
          <w:snapToGrid w:val="0"/>
          <w:color w:val="auto"/>
          <w:kern w:val="0"/>
          <w:sz w:val="24"/>
          <w:highlight w:val="none"/>
          <w:lang w:val="en-US" w:eastAsia="zh-CN"/>
        </w:rPr>
        <w:t>本项目与</w:t>
      </w:r>
      <w:r>
        <w:rPr>
          <w:rFonts w:hint="eastAsia"/>
          <w:snapToGrid w:val="0"/>
          <w:color w:val="auto"/>
          <w:kern w:val="0"/>
          <w:sz w:val="24"/>
          <w:highlight w:val="none"/>
        </w:rPr>
        <w:t>《新疆维吾尔自治区“奎-独-乌”区域大气环境整治2024-2025年行动方案》</w:t>
      </w:r>
      <w:r>
        <w:rPr>
          <w:rFonts w:hint="eastAsia"/>
          <w:snapToGrid w:val="0"/>
          <w:color w:val="auto"/>
          <w:kern w:val="0"/>
          <w:sz w:val="24"/>
          <w:highlight w:val="none"/>
          <w:lang w:val="en-US" w:eastAsia="zh-CN"/>
        </w:rPr>
        <w:t>符合性分析见表1.4-17。</w:t>
      </w:r>
    </w:p>
    <w:p w14:paraId="0090C5F8">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0" w:firstLineChars="0"/>
        <w:textAlignment w:val="center"/>
        <w:rPr>
          <w:rFonts w:ascii="Times New Roman" w:hAnsi="Times New Roman" w:cs="Times New Roman" w:eastAsiaTheme="minorEastAsia"/>
          <w:b/>
          <w:bCs/>
          <w:snapToGrid w:val="0"/>
          <w:color w:val="auto"/>
          <w:spacing w:val="-6"/>
          <w:kern w:val="0"/>
          <w:sz w:val="21"/>
          <w:szCs w:val="21"/>
          <w:highlight w:val="none"/>
        </w:rPr>
      </w:pPr>
      <w:r>
        <w:rPr>
          <w:rFonts w:ascii="Times New Roman" w:hAnsi="Times New Roman" w:cs="Times New Roman" w:eastAsiaTheme="minorEastAsia"/>
          <w:b/>
          <w:bCs/>
          <w:snapToGrid w:val="0"/>
          <w:color w:val="auto"/>
          <w:spacing w:val="-6"/>
          <w:kern w:val="0"/>
          <w:sz w:val="21"/>
          <w:szCs w:val="21"/>
          <w:highlight w:val="none"/>
        </w:rPr>
        <w:t>表</w:t>
      </w:r>
      <w:r>
        <w:rPr>
          <w:rFonts w:hint="eastAsia" w:ascii="Times New Roman" w:hAnsi="Times New Roman" w:cs="Times New Roman" w:eastAsiaTheme="minorEastAsia"/>
          <w:b/>
          <w:bCs/>
          <w:snapToGrid w:val="0"/>
          <w:color w:val="auto"/>
          <w:spacing w:val="-6"/>
          <w:kern w:val="0"/>
          <w:sz w:val="21"/>
          <w:szCs w:val="21"/>
          <w:highlight w:val="none"/>
        </w:rPr>
        <w:t>1.4-</w:t>
      </w:r>
      <w:r>
        <w:rPr>
          <w:rFonts w:hint="eastAsia" w:ascii="Times New Roman" w:hAnsi="Times New Roman" w:cs="Times New Roman" w:eastAsiaTheme="minorEastAsia"/>
          <w:b/>
          <w:bCs/>
          <w:snapToGrid w:val="0"/>
          <w:color w:val="auto"/>
          <w:spacing w:val="-6"/>
          <w:kern w:val="0"/>
          <w:sz w:val="21"/>
          <w:szCs w:val="21"/>
          <w:highlight w:val="none"/>
          <w:lang w:val="en-US" w:eastAsia="zh-CN"/>
        </w:rPr>
        <w:t>1</w:t>
      </w:r>
      <w:r>
        <w:rPr>
          <w:rFonts w:hint="eastAsia" w:ascii="Times New Roman" w:hAnsi="Times New Roman" w:cs="Times New Roman"/>
          <w:b/>
          <w:bCs/>
          <w:snapToGrid w:val="0"/>
          <w:color w:val="auto"/>
          <w:spacing w:val="-6"/>
          <w:kern w:val="0"/>
          <w:sz w:val="21"/>
          <w:szCs w:val="21"/>
          <w:highlight w:val="none"/>
          <w:lang w:val="en-US" w:eastAsia="zh-CN"/>
        </w:rPr>
        <w:t>7</w:t>
      </w:r>
      <w:r>
        <w:rPr>
          <w:rFonts w:ascii="Times New Roman" w:hAnsi="Times New Roman" w:cs="Times New Roman" w:eastAsiaTheme="minorEastAsia"/>
          <w:b/>
          <w:bCs/>
          <w:snapToGrid w:val="0"/>
          <w:color w:val="auto"/>
          <w:spacing w:val="-6"/>
          <w:kern w:val="0"/>
          <w:sz w:val="21"/>
          <w:szCs w:val="21"/>
          <w:highlight w:val="none"/>
        </w:rPr>
        <w:t xml:space="preserve"> </w:t>
      </w:r>
      <w:r>
        <w:rPr>
          <w:rFonts w:hint="eastAsia" w:ascii="Times New Roman" w:hAnsi="Times New Roman" w:cs="Times New Roman" w:eastAsiaTheme="minorEastAsia"/>
          <w:b/>
          <w:bCs/>
          <w:snapToGrid w:val="0"/>
          <w:color w:val="auto"/>
          <w:spacing w:val="-6"/>
          <w:kern w:val="0"/>
          <w:sz w:val="21"/>
          <w:szCs w:val="21"/>
          <w:highlight w:val="none"/>
        </w:rPr>
        <w:t>项目与《新疆维吾尔自治区“奎-独-乌”区域大气环境整治2024-2025年行动方案》符合性分析</w:t>
      </w:r>
      <w:r>
        <w:rPr>
          <w:rFonts w:ascii="Times New Roman" w:hAnsi="Times New Roman" w:cs="Times New Roman" w:eastAsiaTheme="minorEastAsia"/>
          <w:b/>
          <w:bCs/>
          <w:snapToGrid w:val="0"/>
          <w:color w:val="auto"/>
          <w:spacing w:val="-6"/>
          <w:kern w:val="0"/>
          <w:sz w:val="21"/>
          <w:szCs w:val="21"/>
          <w:highlight w:val="none"/>
        </w:rPr>
        <w:t>表</w:t>
      </w:r>
    </w:p>
    <w:tbl>
      <w:tblPr>
        <w:tblStyle w:val="56"/>
        <w:tblW w:w="50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395"/>
        <w:gridCol w:w="3281"/>
        <w:gridCol w:w="652"/>
      </w:tblGrid>
      <w:tr w14:paraId="6A192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0B90C7DE">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方案</w:t>
            </w:r>
            <w:r>
              <w:rPr>
                <w:snapToGrid w:val="0"/>
                <w:color w:val="auto"/>
                <w:kern w:val="0"/>
                <w:szCs w:val="21"/>
                <w:highlight w:val="none"/>
              </w:rPr>
              <w:t>要求</w:t>
            </w:r>
          </w:p>
        </w:tc>
        <w:tc>
          <w:tcPr>
            <w:tcW w:w="1969" w:type="pct"/>
            <w:shd w:val="clear" w:color="auto" w:fill="auto"/>
            <w:vAlign w:val="center"/>
          </w:tcPr>
          <w:p w14:paraId="3F67D66C">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391" w:type="pct"/>
            <w:shd w:val="clear" w:color="auto" w:fill="auto"/>
            <w:vAlign w:val="center"/>
          </w:tcPr>
          <w:p w14:paraId="57D4C03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19F46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2DC19470">
            <w:pPr>
              <w:pStyle w:val="42"/>
              <w:widowControl/>
              <w:tabs>
                <w:tab w:val="left" w:pos="0"/>
              </w:tabs>
              <w:adjustRightInd w:val="0"/>
              <w:snapToGrid w:val="0"/>
              <w:ind w:left="0" w:firstLine="0" w:firstLineChars="0"/>
              <w:rPr>
                <w:snapToGrid w:val="0"/>
                <w:color w:val="auto"/>
                <w:kern w:val="0"/>
                <w:szCs w:val="21"/>
                <w:highlight w:val="none"/>
              </w:rPr>
            </w:pPr>
            <w:r>
              <w:rPr>
                <w:rFonts w:hint="eastAsia"/>
                <w:snapToGrid w:val="0"/>
                <w:color w:val="auto"/>
                <w:kern w:val="0"/>
                <w:szCs w:val="21"/>
                <w:highlight w:val="none"/>
              </w:rPr>
              <w:t>2.推动重点工业行业绿色转型升级。按照最新修订的《产业结构调整指导目录(2024年本)》，依法依规淘汰落后产能。进一步提高落后产能能耗、环保、质量、安全、技术等要求，通过资金奖补、产能置换等政策措施，引导限制类涉气行业工艺和装备逐步退出。</w:t>
            </w:r>
          </w:p>
        </w:tc>
        <w:tc>
          <w:tcPr>
            <w:tcW w:w="3281" w:type="dxa"/>
            <w:shd w:val="clear" w:color="auto" w:fill="auto"/>
            <w:vAlign w:val="center"/>
          </w:tcPr>
          <w:p w14:paraId="541ED2FE">
            <w:pPr>
              <w:pStyle w:val="42"/>
              <w:widowControl/>
              <w:tabs>
                <w:tab w:val="left" w:pos="0"/>
              </w:tabs>
              <w:adjustRightInd w:val="0"/>
              <w:snapToGrid w:val="0"/>
              <w:ind w:left="0" w:leftChars="0" w:firstLine="0" w:firstLineChars="0"/>
              <w:rPr>
                <w:snapToGrid w:val="0"/>
                <w:color w:val="auto"/>
                <w:kern w:val="0"/>
                <w:szCs w:val="21"/>
                <w:highlight w:val="none"/>
              </w:rPr>
            </w:pPr>
            <w:r>
              <w:rPr>
                <w:rFonts w:hint="eastAsia"/>
                <w:color w:val="auto"/>
                <w:kern w:val="0"/>
                <w:szCs w:val="21"/>
                <w:highlight w:val="none"/>
              </w:rPr>
              <w:t>本项目属于《产业结构调整指导目录（2024年本）》中的</w:t>
            </w:r>
            <w:r>
              <w:rPr>
                <w:rFonts w:hint="eastAsia"/>
                <w:color w:val="auto"/>
                <w:kern w:val="0"/>
                <w:szCs w:val="21"/>
                <w:highlight w:val="none"/>
                <w:lang w:eastAsia="zh-CN"/>
              </w:rPr>
              <w:t>允许类</w:t>
            </w:r>
            <w:r>
              <w:rPr>
                <w:rFonts w:hint="eastAsia"/>
                <w:color w:val="auto"/>
                <w:kern w:val="0"/>
                <w:szCs w:val="21"/>
                <w:highlight w:val="none"/>
              </w:rPr>
              <w:t>项目，</w:t>
            </w:r>
            <w:r>
              <w:rPr>
                <w:rFonts w:hint="eastAsia"/>
                <w:snapToGrid w:val="0"/>
                <w:color w:val="auto"/>
                <w:kern w:val="0"/>
                <w:szCs w:val="21"/>
                <w:highlight w:val="none"/>
              </w:rPr>
              <w:t>不属于落后产能，生产过程中未使用国家明令禁止的淘汰类和限制类的设备和工艺。</w:t>
            </w:r>
          </w:p>
        </w:tc>
        <w:tc>
          <w:tcPr>
            <w:tcW w:w="652" w:type="dxa"/>
            <w:shd w:val="clear" w:color="auto" w:fill="auto"/>
            <w:vAlign w:val="center"/>
          </w:tcPr>
          <w:p w14:paraId="3D43A49C">
            <w:pPr>
              <w:pStyle w:val="42"/>
              <w:widowControl/>
              <w:tabs>
                <w:tab w:val="left" w:pos="0"/>
              </w:tabs>
              <w:adjustRightInd w:val="0"/>
              <w:snapToGrid w:val="0"/>
              <w:ind w:left="0" w:leftChars="0" w:firstLine="0" w:firstLineChars="0"/>
              <w:jc w:val="center"/>
              <w:rPr>
                <w:snapToGrid w:val="0"/>
                <w:color w:val="auto"/>
                <w:kern w:val="0"/>
                <w:szCs w:val="21"/>
                <w:highlight w:val="none"/>
              </w:rPr>
            </w:pPr>
            <w:r>
              <w:rPr>
                <w:snapToGrid w:val="0"/>
                <w:color w:val="auto"/>
                <w:kern w:val="0"/>
                <w:szCs w:val="21"/>
                <w:highlight w:val="none"/>
              </w:rPr>
              <w:t>符合</w:t>
            </w:r>
          </w:p>
        </w:tc>
      </w:tr>
      <w:tr w14:paraId="179B8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6617ECD5">
            <w:pPr>
              <w:pStyle w:val="42"/>
              <w:widowControl/>
              <w:tabs>
                <w:tab w:val="left" w:pos="0"/>
              </w:tabs>
              <w:adjustRightInd w:val="0"/>
              <w:snapToGrid w:val="0"/>
              <w:ind w:left="0" w:firstLine="0" w:firstLineChars="0"/>
              <w:rPr>
                <w:snapToGrid w:val="0"/>
                <w:color w:val="auto"/>
                <w:kern w:val="0"/>
                <w:szCs w:val="21"/>
                <w:highlight w:val="none"/>
              </w:rPr>
            </w:pPr>
            <w:r>
              <w:rPr>
                <w:rFonts w:hint="eastAsia"/>
                <w:snapToGrid w:val="0"/>
                <w:color w:val="auto"/>
                <w:kern w:val="0"/>
                <w:szCs w:val="21"/>
                <w:highlight w:val="none"/>
              </w:rPr>
              <w:t>5.合理控制煤炭消费总量。在保障能源安全供应前提下，区域实施冬季煤炭消费减量控制，力争到2025年区域冬季燃煤源排放的四项污染物总量减少约0.1万吨。新(改、扩)建用煤项目实施煤炭等量或减量替代，重点压减高耗能、高排放、低水平项目煤炭消费总量。持续完善区域煤炭消费减量替代管理，煤矸石、原料用煤不纳入煤炭消费总量。区域内不再新增自备燃煤机组，现有自备燃煤机组实施清洁能源替代。对支撑电力稳定供应、电网安全运行、清洁能源大规模并网消纳的煤电项目及其用煤量予以合理保障</w:t>
            </w:r>
          </w:p>
        </w:tc>
        <w:tc>
          <w:tcPr>
            <w:tcW w:w="1969" w:type="pct"/>
            <w:shd w:val="clear" w:color="auto" w:fill="auto"/>
            <w:vAlign w:val="center"/>
          </w:tcPr>
          <w:p w14:paraId="7C18B57D">
            <w:pPr>
              <w:pStyle w:val="42"/>
              <w:widowControl/>
              <w:tabs>
                <w:tab w:val="left" w:pos="0"/>
              </w:tabs>
              <w:adjustRightInd w:val="0"/>
              <w:snapToGrid w:val="0"/>
              <w:ind w:left="0" w:firstLine="0" w:firstLineChars="0"/>
              <w:rPr>
                <w:snapToGrid w:val="0"/>
                <w:color w:val="auto"/>
                <w:kern w:val="0"/>
                <w:szCs w:val="21"/>
                <w:highlight w:val="none"/>
              </w:rPr>
            </w:pPr>
            <w:r>
              <w:rPr>
                <w:rFonts w:hint="eastAsia" w:ascii="Times New Roman" w:hAnsi="Times New Roman" w:eastAsia="宋体" w:cs="Times New Roman"/>
                <w:snapToGrid w:val="0"/>
                <w:color w:val="auto"/>
                <w:kern w:val="0"/>
                <w:sz w:val="21"/>
                <w:szCs w:val="21"/>
                <w:highlight w:val="none"/>
                <w:lang w:bidi="ar"/>
              </w:rPr>
              <w:t>本项目</w:t>
            </w:r>
            <w:r>
              <w:rPr>
                <w:rFonts w:hint="eastAsia" w:ascii="Times New Roman" w:hAnsi="Times New Roman" w:eastAsia="宋体" w:cs="Times New Roman"/>
                <w:color w:val="auto"/>
                <w:kern w:val="0"/>
                <w:sz w:val="21"/>
                <w:szCs w:val="21"/>
                <w:highlight w:val="none"/>
                <w:lang w:val="en-US" w:eastAsia="zh-CN"/>
              </w:rPr>
              <w:t>生产供汽和生活供暖</w:t>
            </w:r>
            <w:r>
              <w:rPr>
                <w:rFonts w:hint="eastAsia" w:ascii="Times New Roman" w:hAnsi="Times New Roman" w:eastAsia="宋体" w:cs="Times New Roman"/>
                <w:snapToGrid w:val="0"/>
                <w:color w:val="auto"/>
                <w:kern w:val="0"/>
                <w:sz w:val="21"/>
                <w:szCs w:val="21"/>
                <w:highlight w:val="none"/>
              </w:rPr>
              <w:t>依托现有工程5×75t/h燃煤锅炉，不新建设燃煤锅炉</w:t>
            </w:r>
            <w:r>
              <w:rPr>
                <w:rFonts w:hint="eastAsia" w:ascii="Times New Roman" w:hAnsi="Times New Roman" w:eastAsia="宋体" w:cs="Times New Roman"/>
                <w:color w:val="auto"/>
                <w:kern w:val="0"/>
                <w:sz w:val="21"/>
                <w:szCs w:val="21"/>
                <w:highlight w:val="none"/>
              </w:rPr>
              <w:t>。</w:t>
            </w:r>
          </w:p>
        </w:tc>
        <w:tc>
          <w:tcPr>
            <w:tcW w:w="391" w:type="pct"/>
            <w:shd w:val="clear" w:color="auto" w:fill="auto"/>
            <w:vAlign w:val="center"/>
          </w:tcPr>
          <w:p w14:paraId="3862965F">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4BABE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638" w:type="pct"/>
            <w:shd w:val="clear" w:color="auto" w:fill="auto"/>
            <w:vAlign w:val="center"/>
          </w:tcPr>
          <w:p w14:paraId="6B6FA26C">
            <w:pPr>
              <w:pStyle w:val="42"/>
              <w:widowControl/>
              <w:tabs>
                <w:tab w:val="left" w:pos="0"/>
              </w:tabs>
              <w:adjustRightInd w:val="0"/>
              <w:snapToGrid w:val="0"/>
              <w:ind w:left="0" w:firstLine="0" w:firstLineChars="0"/>
              <w:rPr>
                <w:rFonts w:hint="eastAsia"/>
                <w:snapToGrid w:val="0"/>
                <w:color w:val="auto"/>
                <w:kern w:val="0"/>
                <w:szCs w:val="21"/>
                <w:highlight w:val="none"/>
              </w:rPr>
            </w:pPr>
            <w:r>
              <w:rPr>
                <w:rFonts w:hint="eastAsia"/>
                <w:snapToGrid w:val="0"/>
                <w:color w:val="auto"/>
                <w:kern w:val="0"/>
                <w:szCs w:val="21"/>
                <w:highlight w:val="none"/>
              </w:rPr>
              <w:t>14.强化挥发性有机物和氮氧化物综合治理。优化含VOCs原辅材料和产品结构，加快推进含VOCs原辅材料源头替代，推广使用低(无)VOCs含量涂料，严格执行VOCs含量限值标准。完善臭氧和VOCs环境监测体系，加强区域内工业园区、重点企业VOCs有组织和无组织排放监测。强化石化、化工、工业涂装、包装印刷等重点行业及油品储运销(储罐)VOCs深度治理。</w:t>
            </w:r>
          </w:p>
        </w:tc>
        <w:tc>
          <w:tcPr>
            <w:tcW w:w="1969" w:type="pct"/>
            <w:shd w:val="clear" w:color="auto" w:fill="auto"/>
            <w:vAlign w:val="center"/>
          </w:tcPr>
          <w:p w14:paraId="75A0278B">
            <w:pPr>
              <w:pStyle w:val="42"/>
              <w:widowControl/>
              <w:tabs>
                <w:tab w:val="left" w:pos="0"/>
              </w:tabs>
              <w:adjustRightInd w:val="0"/>
              <w:snapToGrid w:val="0"/>
              <w:ind w:left="0" w:firstLine="0" w:firstLineChars="0"/>
              <w:rPr>
                <w:snapToGrid w:val="0"/>
                <w:color w:val="auto"/>
                <w:kern w:val="0"/>
                <w:szCs w:val="21"/>
                <w:highlight w:val="none"/>
              </w:rPr>
            </w:pPr>
            <w:r>
              <w:rPr>
                <w:rFonts w:hint="eastAsia" w:ascii="Times New Roman" w:hAnsi="Times New Roman" w:eastAsia="宋体" w:cs="Times New Roman"/>
                <w:color w:val="auto"/>
                <w:spacing w:val="0"/>
                <w:kern w:val="0"/>
                <w:sz w:val="21"/>
                <w:szCs w:val="21"/>
                <w:highlight w:val="none"/>
                <w:lang w:val="en-US" w:eastAsia="zh-CN"/>
              </w:rPr>
              <w:t>本项目涉及</w:t>
            </w:r>
            <w:r>
              <w:rPr>
                <w:rFonts w:ascii="Times New Roman" w:hAnsi="Times New Roman" w:eastAsia="宋体" w:cs="Times New Roman"/>
                <w:color w:val="auto"/>
                <w:spacing w:val="0"/>
                <w:kern w:val="0"/>
                <w:sz w:val="21"/>
                <w:szCs w:val="21"/>
                <w:highlight w:val="none"/>
              </w:rPr>
              <w:t>VOCs物料</w:t>
            </w:r>
            <w:r>
              <w:rPr>
                <w:rFonts w:hint="eastAsia" w:ascii="Times New Roman" w:hAnsi="Times New Roman" w:eastAsia="宋体" w:cs="Times New Roman"/>
                <w:color w:val="auto"/>
                <w:spacing w:val="0"/>
                <w:kern w:val="0"/>
                <w:sz w:val="21"/>
                <w:szCs w:val="21"/>
                <w:highlight w:val="none"/>
                <w:lang w:val="en-US" w:eastAsia="zh-CN"/>
              </w:rPr>
              <w:t>主要为烷烃，烷烃</w:t>
            </w:r>
            <w:r>
              <w:rPr>
                <w:rFonts w:hint="default" w:ascii="Times New Roman" w:hAnsi="Times New Roman" w:eastAsia="宋体" w:cs="Times New Roman"/>
                <w:snapToGrid w:val="0"/>
                <w:color w:val="auto"/>
                <w:spacing w:val="0"/>
                <w:kern w:val="0"/>
                <w:sz w:val="21"/>
                <w:szCs w:val="21"/>
                <w:highlight w:val="none"/>
              </w:rPr>
              <w:t>采用内</w:t>
            </w:r>
            <w:r>
              <w:rPr>
                <w:rFonts w:hint="default" w:ascii="Times New Roman" w:hAnsi="Times New Roman" w:eastAsia="宋体" w:cs="Times New Roman"/>
                <w:color w:val="auto"/>
                <w:spacing w:val="0"/>
                <w:kern w:val="0"/>
                <w:sz w:val="21"/>
                <w:szCs w:val="21"/>
                <w:highlight w:val="none"/>
              </w:rPr>
              <w:t>浮顶</w:t>
            </w:r>
            <w:r>
              <w:rPr>
                <w:rFonts w:hint="default" w:ascii="Times New Roman" w:hAnsi="Times New Roman" w:eastAsia="宋体" w:cs="Times New Roman"/>
                <w:snapToGrid w:val="0"/>
                <w:color w:val="auto"/>
                <w:spacing w:val="0"/>
                <w:kern w:val="0"/>
                <w:sz w:val="21"/>
                <w:szCs w:val="21"/>
                <w:highlight w:val="none"/>
              </w:rPr>
              <w:t>罐贮存，采用冷凝+活性炭吸附处理储罐废气，减少挥发性有机废气的排放</w:t>
            </w:r>
            <w:r>
              <w:rPr>
                <w:rFonts w:hint="eastAsia" w:ascii="Times New Roman" w:hAnsi="Times New Roman" w:eastAsia="宋体" w:cs="Times New Roman"/>
                <w:snapToGrid w:val="0"/>
                <w:color w:val="auto"/>
                <w:spacing w:val="0"/>
                <w:kern w:val="0"/>
                <w:sz w:val="21"/>
                <w:szCs w:val="21"/>
                <w:highlight w:val="none"/>
                <w:lang w:eastAsia="zh-CN"/>
              </w:rPr>
              <w:t>。</w:t>
            </w:r>
            <w:r>
              <w:rPr>
                <w:rFonts w:hint="eastAsia" w:ascii="Times New Roman" w:hAnsi="Times New Roman" w:eastAsia="宋体" w:cs="Times New Roman"/>
                <w:snapToGrid w:val="0"/>
                <w:color w:val="auto"/>
                <w:spacing w:val="0"/>
                <w:kern w:val="0"/>
                <w:sz w:val="21"/>
                <w:szCs w:val="21"/>
                <w:highlight w:val="none"/>
                <w:lang w:val="en-US" w:eastAsia="zh-CN"/>
              </w:rPr>
              <w:t>生产过程中烷烃均由密闭管道运输，本次评价提出企业应按照相关标准及规范开展LDAR工作。</w:t>
            </w:r>
          </w:p>
        </w:tc>
        <w:tc>
          <w:tcPr>
            <w:tcW w:w="391" w:type="pct"/>
            <w:shd w:val="clear" w:color="auto" w:fill="auto"/>
            <w:vAlign w:val="center"/>
          </w:tcPr>
          <w:p w14:paraId="3EF2FB02">
            <w:pPr>
              <w:pStyle w:val="42"/>
              <w:widowControl/>
              <w:tabs>
                <w:tab w:val="left" w:pos="0"/>
              </w:tabs>
              <w:adjustRightInd w:val="0"/>
              <w:snapToGrid w:val="0"/>
              <w:ind w:left="0" w:firstLine="0" w:firstLineChars="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符合</w:t>
            </w:r>
          </w:p>
        </w:tc>
      </w:tr>
    </w:tbl>
    <w:p w14:paraId="27FDDBD0">
      <w:pPr>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snapToGrid w:val="0"/>
          <w:color w:val="auto"/>
          <w:spacing w:val="-6"/>
          <w:kern w:val="0"/>
          <w:sz w:val="24"/>
          <w:highlight w:val="none"/>
        </w:rPr>
      </w:pPr>
      <w:r>
        <w:rPr>
          <w:rFonts w:hint="eastAsia"/>
          <w:snapToGrid w:val="0"/>
          <w:color w:val="auto"/>
          <w:spacing w:val="-6"/>
          <w:kern w:val="0"/>
          <w:sz w:val="24"/>
          <w:highlight w:val="none"/>
        </w:rPr>
        <w:t>本项目在“奎-独-乌”区域范围内，项目大气污染物排放执行特别排放限值，生产过程中对产生的颗粒物</w:t>
      </w:r>
      <w:r>
        <w:rPr>
          <w:rFonts w:hint="eastAsia"/>
          <w:snapToGrid w:val="0"/>
          <w:color w:val="auto"/>
          <w:spacing w:val="-6"/>
          <w:kern w:val="0"/>
          <w:sz w:val="24"/>
          <w:highlight w:val="none"/>
          <w:lang w:eastAsia="zh-CN"/>
        </w:rPr>
        <w:t>、</w:t>
      </w:r>
      <w:r>
        <w:rPr>
          <w:rFonts w:hint="eastAsia"/>
          <w:snapToGrid w:val="0"/>
          <w:color w:val="auto"/>
          <w:spacing w:val="-6"/>
          <w:kern w:val="0"/>
          <w:sz w:val="24"/>
          <w:highlight w:val="none"/>
        </w:rPr>
        <w:t>挥发性有机物采取相应治理措施，项目符合《新疆维吾尔自治区“奎-独-乌”区域大气环境整治2024-2025年行动方案》</w:t>
      </w:r>
      <w:r>
        <w:rPr>
          <w:rFonts w:hint="eastAsia"/>
          <w:snapToGrid w:val="0"/>
          <w:color w:val="auto"/>
          <w:spacing w:val="-6"/>
          <w:kern w:val="0"/>
          <w:sz w:val="24"/>
          <w:highlight w:val="none"/>
          <w:lang w:eastAsia="zh-CN"/>
        </w:rPr>
        <w:t>的</w:t>
      </w:r>
      <w:r>
        <w:rPr>
          <w:rFonts w:hint="eastAsia"/>
          <w:snapToGrid w:val="0"/>
          <w:color w:val="auto"/>
          <w:spacing w:val="-6"/>
          <w:kern w:val="0"/>
          <w:sz w:val="24"/>
          <w:highlight w:val="none"/>
        </w:rPr>
        <w:t>相关要求。</w:t>
      </w:r>
    </w:p>
    <w:p w14:paraId="5847647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10</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石化建设项目环境影响评价文件审批原则</w:t>
      </w:r>
      <w:r>
        <w:rPr>
          <w:rFonts w:hint="eastAsia" w:ascii="宋体" w:hAnsi="宋体" w:eastAsia="宋体" w:cs="宋体"/>
          <w:b/>
          <w:bCs w:val="0"/>
          <w:snapToGrid w:val="0"/>
          <w:color w:val="auto"/>
          <w:spacing w:val="0"/>
          <w:w w:val="100"/>
          <w:kern w:val="0"/>
          <w:sz w:val="24"/>
          <w:szCs w:val="24"/>
          <w:highlight w:val="none"/>
        </w:rPr>
        <w:t>》的符合性分析</w:t>
      </w:r>
    </w:p>
    <w:p w14:paraId="188C164A">
      <w:pPr>
        <w:tabs>
          <w:tab w:val="left" w:pos="7560"/>
        </w:tabs>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石化建设项目环境影响评价文件审批原则</w:t>
      </w:r>
      <w:r>
        <w:rPr>
          <w:rFonts w:hint="eastAsia"/>
          <w:snapToGrid w:val="0"/>
          <w:color w:val="auto"/>
          <w:kern w:val="0"/>
          <w:sz w:val="24"/>
          <w:highlight w:val="none"/>
        </w:rPr>
        <w:t>》（</w:t>
      </w:r>
      <w:r>
        <w:rPr>
          <w:rFonts w:hint="eastAsia"/>
          <w:snapToGrid w:val="0"/>
          <w:color w:val="auto"/>
          <w:kern w:val="0"/>
          <w:sz w:val="24"/>
          <w:highlight w:val="none"/>
          <w:lang w:val="en-US" w:eastAsia="zh-CN"/>
        </w:rPr>
        <w:t>环办环评</w:t>
      </w:r>
      <w:r>
        <w:rPr>
          <w:rFonts w:hint="eastAsia"/>
          <w:snapToGrid w:val="0"/>
          <w:color w:val="auto"/>
          <w:kern w:val="0"/>
          <w:sz w:val="24"/>
          <w:highlight w:val="none"/>
        </w:rPr>
        <w:t>〔202</w:t>
      </w:r>
      <w:r>
        <w:rPr>
          <w:rFonts w:hint="eastAsia"/>
          <w:snapToGrid w:val="0"/>
          <w:color w:val="auto"/>
          <w:kern w:val="0"/>
          <w:sz w:val="24"/>
          <w:highlight w:val="none"/>
          <w:lang w:val="en-US" w:eastAsia="zh-CN"/>
        </w:rPr>
        <w:t>2</w:t>
      </w:r>
      <w:r>
        <w:rPr>
          <w:rFonts w:hint="eastAsia"/>
          <w:snapToGrid w:val="0"/>
          <w:color w:val="auto"/>
          <w:kern w:val="0"/>
          <w:sz w:val="24"/>
          <w:highlight w:val="none"/>
        </w:rPr>
        <w:t>〕</w:t>
      </w:r>
      <w:r>
        <w:rPr>
          <w:rFonts w:hint="eastAsia"/>
          <w:snapToGrid w:val="0"/>
          <w:color w:val="auto"/>
          <w:kern w:val="0"/>
          <w:sz w:val="24"/>
          <w:highlight w:val="none"/>
          <w:lang w:val="en-US" w:eastAsia="zh-CN"/>
        </w:rPr>
        <w:t>31</w:t>
      </w:r>
      <w:r>
        <w:rPr>
          <w:rFonts w:hint="eastAsia"/>
          <w:snapToGrid w:val="0"/>
          <w:color w:val="auto"/>
          <w:kern w:val="0"/>
          <w:sz w:val="24"/>
          <w:highlight w:val="none"/>
        </w:rPr>
        <w:t>号）符合性详见表1.4</w:t>
      </w:r>
      <w:r>
        <w:rPr>
          <w:rFonts w:hint="eastAsia"/>
          <w:snapToGrid w:val="0"/>
          <w:color w:val="auto"/>
          <w:kern w:val="0"/>
          <w:sz w:val="24"/>
          <w:highlight w:val="none"/>
          <w:lang w:val="en-US" w:eastAsia="zh-CN"/>
        </w:rPr>
        <w:t>-18</w:t>
      </w:r>
      <w:r>
        <w:rPr>
          <w:rFonts w:hint="eastAsia"/>
          <w:snapToGrid w:val="0"/>
          <w:color w:val="auto"/>
          <w:kern w:val="0"/>
          <w:sz w:val="24"/>
          <w:highlight w:val="none"/>
        </w:rPr>
        <w:t>。</w:t>
      </w:r>
    </w:p>
    <w:p w14:paraId="42DB1BE8">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18</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石化建设项目环境影响评价文件审批原则</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82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407"/>
        <w:gridCol w:w="3624"/>
        <w:gridCol w:w="257"/>
      </w:tblGrid>
      <w:tr w14:paraId="78D38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563C943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文件</w:t>
            </w:r>
            <w:r>
              <w:rPr>
                <w:rFonts w:ascii="Times New Roman" w:hAnsi="Times New Roman" w:eastAsia="宋体" w:cs="Times New Roman"/>
                <w:b w:val="0"/>
                <w:bCs w:val="0"/>
                <w:snapToGrid w:val="0"/>
                <w:color w:val="auto"/>
                <w:kern w:val="0"/>
                <w:sz w:val="21"/>
                <w:szCs w:val="21"/>
                <w:highlight w:val="none"/>
              </w:rPr>
              <w:t>要求</w:t>
            </w:r>
          </w:p>
        </w:tc>
        <w:tc>
          <w:tcPr>
            <w:tcW w:w="3624" w:type="dxa"/>
            <w:shd w:val="clear" w:color="auto" w:fill="auto"/>
            <w:vAlign w:val="center"/>
          </w:tcPr>
          <w:p w14:paraId="064F6AE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本项目</w:t>
            </w:r>
            <w:r>
              <w:rPr>
                <w:rFonts w:hint="eastAsia" w:ascii="Times New Roman" w:hAnsi="Times New Roman" w:eastAsia="宋体" w:cs="Times New Roman"/>
                <w:b w:val="0"/>
                <w:bCs w:val="0"/>
                <w:snapToGrid w:val="0"/>
                <w:color w:val="auto"/>
                <w:kern w:val="0"/>
                <w:sz w:val="21"/>
                <w:szCs w:val="21"/>
                <w:highlight w:val="none"/>
              </w:rPr>
              <w:t>情况</w:t>
            </w:r>
          </w:p>
        </w:tc>
        <w:tc>
          <w:tcPr>
            <w:tcW w:w="257" w:type="dxa"/>
            <w:shd w:val="clear" w:color="auto" w:fill="auto"/>
            <w:vAlign w:val="center"/>
          </w:tcPr>
          <w:p w14:paraId="1D65B90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符合性</w:t>
            </w:r>
          </w:p>
        </w:tc>
      </w:tr>
      <w:tr w14:paraId="469C0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65B74A0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both"/>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第二条 项目应符合生态环境保护相关法律法规、法定规划以及相关产业结构调整、区域及行业碳达峰碳中和目标、煤炭消费总量控制、重点污染物排放总量控制等政策要求。</w:t>
            </w:r>
          </w:p>
        </w:tc>
        <w:tc>
          <w:tcPr>
            <w:tcW w:w="3624" w:type="dxa"/>
            <w:shd w:val="clear" w:color="auto" w:fill="auto"/>
            <w:vAlign w:val="center"/>
          </w:tcPr>
          <w:p w14:paraId="214A33D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both"/>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本项目符合国家及地方的</w:t>
            </w:r>
            <w:r>
              <w:rPr>
                <w:rFonts w:hint="eastAsia" w:ascii="Times New Roman" w:hAnsi="Times New Roman" w:eastAsia="宋体" w:cs="Times New Roman"/>
                <w:b w:val="0"/>
                <w:bCs w:val="0"/>
                <w:snapToGrid w:val="0"/>
                <w:color w:val="auto"/>
                <w:kern w:val="0"/>
                <w:sz w:val="21"/>
                <w:szCs w:val="21"/>
                <w:highlight w:val="none"/>
              </w:rPr>
              <w:t>法律法规</w:t>
            </w:r>
            <w:r>
              <w:rPr>
                <w:rFonts w:hint="eastAsia" w:ascii="Times New Roman" w:hAnsi="Times New Roman" w:eastAsia="宋体" w:cs="Times New Roman"/>
                <w:b w:val="0"/>
                <w:bCs w:val="0"/>
                <w:snapToGrid w:val="0"/>
                <w:color w:val="auto"/>
                <w:kern w:val="0"/>
                <w:sz w:val="21"/>
                <w:szCs w:val="21"/>
                <w:highlight w:val="none"/>
                <w:lang w:eastAsia="zh-CN"/>
              </w:rPr>
              <w:t>、</w:t>
            </w:r>
            <w:r>
              <w:rPr>
                <w:rFonts w:hint="eastAsia" w:ascii="Times New Roman" w:hAnsi="Times New Roman" w:eastAsia="宋体" w:cs="Times New Roman"/>
                <w:b w:val="0"/>
                <w:bCs w:val="0"/>
                <w:snapToGrid w:val="0"/>
                <w:color w:val="auto"/>
                <w:kern w:val="0"/>
                <w:sz w:val="21"/>
                <w:szCs w:val="21"/>
                <w:highlight w:val="none"/>
                <w:lang w:val="en-US" w:eastAsia="zh-CN"/>
              </w:rPr>
              <w:t>规划、</w:t>
            </w:r>
            <w:r>
              <w:rPr>
                <w:rFonts w:hint="eastAsia" w:ascii="Times New Roman" w:hAnsi="Times New Roman" w:eastAsia="宋体" w:cs="Times New Roman"/>
                <w:b w:val="0"/>
                <w:bCs w:val="0"/>
                <w:snapToGrid w:val="0"/>
                <w:color w:val="auto"/>
                <w:kern w:val="0"/>
                <w:sz w:val="21"/>
                <w:szCs w:val="21"/>
                <w:highlight w:val="none"/>
              </w:rPr>
              <w:t>重点污染物排放总量控制等政策要求</w:t>
            </w:r>
            <w:r>
              <w:rPr>
                <w:rFonts w:hint="eastAsia" w:ascii="Times New Roman" w:hAnsi="Times New Roman" w:eastAsia="宋体" w:cs="Times New Roman"/>
                <w:b w:val="0"/>
                <w:bCs w:val="0"/>
                <w:snapToGrid w:val="0"/>
                <w:color w:val="auto"/>
                <w:kern w:val="0"/>
                <w:sz w:val="21"/>
                <w:szCs w:val="21"/>
                <w:highlight w:val="none"/>
                <w:lang w:val="en-US" w:eastAsia="zh-CN"/>
              </w:rPr>
              <w:t>。</w:t>
            </w:r>
          </w:p>
        </w:tc>
        <w:tc>
          <w:tcPr>
            <w:tcW w:w="257" w:type="dxa"/>
            <w:shd w:val="clear" w:color="auto" w:fill="auto"/>
            <w:vAlign w:val="center"/>
          </w:tcPr>
          <w:p w14:paraId="4C252A0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6CFA6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40ED16B7">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第三条 项目选址应符合生态环境分区管控要求。新建、扩建</w:t>
            </w:r>
            <w:r>
              <w:rPr>
                <w:rFonts w:hint="eastAsia" w:ascii="Times New Roman" w:hAnsi="Times New Roman" w:eastAsia="宋体" w:cs="Times New Roman"/>
                <w:b w:val="0"/>
                <w:bCs w:val="0"/>
                <w:color w:val="auto"/>
                <w:kern w:val="0"/>
                <w:sz w:val="21"/>
                <w:szCs w:val="21"/>
                <w:highlight w:val="none"/>
                <w:lang w:val="en-US" w:eastAsia="zh-CN"/>
              </w:rPr>
              <w:t>建设项目应布设在依法合规设立的产业园区，并符合园区规划及规划环境影响评价要求。项目选址不得位于长江干支流岸线一公里范围内、黄河干支流岸线管控范围内等法律法规明令禁止的区域，应避开生态保护红线，尽可能远离居民集中区、医院、学校等环境敏感区。</w:t>
            </w:r>
          </w:p>
        </w:tc>
        <w:tc>
          <w:tcPr>
            <w:tcW w:w="3624" w:type="dxa"/>
            <w:shd w:val="clear" w:color="auto" w:fill="auto"/>
            <w:vAlign w:val="center"/>
          </w:tcPr>
          <w:p w14:paraId="6D236A65">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本项目选址位于</w:t>
            </w:r>
            <w:r>
              <w:rPr>
                <w:rFonts w:hint="eastAsia" w:ascii="Times New Roman" w:hAnsi="Times New Roman" w:eastAsia="宋体" w:cs="Times New Roman"/>
                <w:b w:val="0"/>
                <w:bCs w:val="0"/>
                <w:snapToGrid w:val="0"/>
                <w:color w:val="auto"/>
                <w:kern w:val="0"/>
                <w:sz w:val="21"/>
                <w:szCs w:val="21"/>
                <w:highlight w:val="none"/>
              </w:rPr>
              <w:t>乌苏市化工产业集中区西区，</w:t>
            </w:r>
            <w:r>
              <w:rPr>
                <w:rFonts w:hint="eastAsia" w:ascii="Times New Roman" w:hAnsi="Times New Roman" w:eastAsia="宋体" w:cs="Times New Roman"/>
                <w:b w:val="0"/>
                <w:bCs w:val="0"/>
                <w:snapToGrid w:val="0"/>
                <w:color w:val="auto"/>
                <w:kern w:val="0"/>
                <w:sz w:val="21"/>
                <w:szCs w:val="21"/>
                <w:highlight w:val="none"/>
                <w:lang w:val="en-US" w:eastAsia="zh-CN"/>
              </w:rPr>
              <w:t>该园区属于</w:t>
            </w:r>
            <w:r>
              <w:rPr>
                <w:rFonts w:hint="eastAsia" w:ascii="Times New Roman" w:hAnsi="Times New Roman" w:eastAsia="宋体" w:cs="Times New Roman"/>
                <w:b w:val="0"/>
                <w:bCs w:val="0"/>
                <w:color w:val="auto"/>
                <w:kern w:val="0"/>
                <w:sz w:val="21"/>
                <w:szCs w:val="21"/>
                <w:highlight w:val="none"/>
                <w:lang w:val="en-US" w:eastAsia="zh-CN"/>
              </w:rPr>
              <w:t>依法合规设立的产业园区，选址符合园区规划及规划环境影响评价要求和</w:t>
            </w:r>
            <w:r>
              <w:rPr>
                <w:rFonts w:ascii="Times New Roman" w:hAnsi="Times New Roman" w:eastAsia="宋体" w:cs="Times New Roman"/>
                <w:b w:val="0"/>
                <w:bCs w:val="0"/>
                <w:color w:val="auto"/>
                <w:kern w:val="0"/>
                <w:sz w:val="21"/>
                <w:szCs w:val="21"/>
                <w:highlight w:val="none"/>
                <w:lang w:val="en-US" w:eastAsia="zh-CN"/>
              </w:rPr>
              <w:t>生态环境分区管控要求</w:t>
            </w:r>
            <w:r>
              <w:rPr>
                <w:rFonts w:hint="eastAsia" w:ascii="Times New Roman" w:hAnsi="Times New Roman" w:eastAsia="宋体" w:cs="Times New Roman"/>
                <w:b w:val="0"/>
                <w:bCs w:val="0"/>
                <w:color w:val="auto"/>
                <w:kern w:val="0"/>
                <w:sz w:val="21"/>
                <w:szCs w:val="21"/>
                <w:highlight w:val="none"/>
                <w:lang w:val="en-US" w:eastAsia="zh-CN"/>
              </w:rPr>
              <w:t>，不在法律法规明令禁止的区域和居民集中区、医院、学校等环境敏感区，不涉及生态保护红线。</w:t>
            </w:r>
          </w:p>
        </w:tc>
        <w:tc>
          <w:tcPr>
            <w:tcW w:w="257" w:type="dxa"/>
            <w:shd w:val="clear" w:color="auto" w:fill="auto"/>
            <w:vAlign w:val="center"/>
          </w:tcPr>
          <w:p w14:paraId="708D298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符合</w:t>
            </w:r>
          </w:p>
        </w:tc>
      </w:tr>
      <w:tr w14:paraId="08E57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42E6FC48">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第四条 新建、扩建项目应采用先进适用的工艺技术和装备，</w:t>
            </w:r>
            <w:r>
              <w:rPr>
                <w:rFonts w:hint="eastAsia" w:ascii="Times New Roman" w:hAnsi="Times New Roman" w:eastAsia="宋体" w:cs="Times New Roman"/>
                <w:b w:val="0"/>
                <w:bCs w:val="0"/>
                <w:color w:val="auto"/>
                <w:kern w:val="0"/>
                <w:sz w:val="21"/>
                <w:szCs w:val="21"/>
                <w:highlight w:val="none"/>
                <w:lang w:val="en-US" w:eastAsia="zh-CN"/>
              </w:rPr>
              <w:t>单位产品物耗、能耗、水耗、污染物排放量和资源综合利用等应达到行业先进水平。</w:t>
            </w:r>
          </w:p>
        </w:tc>
        <w:tc>
          <w:tcPr>
            <w:tcW w:w="3624" w:type="dxa"/>
            <w:shd w:val="clear" w:color="auto" w:fill="auto"/>
            <w:vAlign w:val="center"/>
          </w:tcPr>
          <w:p w14:paraId="61B0C164">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eastAsia="zh-CN"/>
              </w:rPr>
            </w:pPr>
            <w:r>
              <w:rPr>
                <w:rFonts w:hint="eastAsia" w:ascii="Times New Roman" w:hAnsi="Times New Roman" w:eastAsia="宋体" w:cs="Times New Roman"/>
                <w:b w:val="0"/>
                <w:bCs w:val="0"/>
                <w:color w:val="auto"/>
                <w:kern w:val="0"/>
                <w:sz w:val="21"/>
                <w:szCs w:val="21"/>
                <w:highlight w:val="none"/>
              </w:rPr>
              <w:t>本项目采用生物发酵生产</w:t>
            </w:r>
            <w:r>
              <w:rPr>
                <w:rFonts w:hint="eastAsia" w:ascii="Times New Roman" w:hAnsi="Times New Roman" w:eastAsia="宋体" w:cs="Times New Roman"/>
                <w:b w:val="0"/>
                <w:bCs w:val="0"/>
                <w:color w:val="auto"/>
                <w:kern w:val="0"/>
                <w:sz w:val="21"/>
                <w:szCs w:val="21"/>
                <w:highlight w:val="none"/>
                <w:lang w:eastAsia="zh-CN"/>
              </w:rPr>
              <w:t>二元酸</w:t>
            </w:r>
            <w:r>
              <w:rPr>
                <w:rFonts w:hint="eastAsia" w:ascii="Times New Roman" w:hAnsi="Times New Roman" w:eastAsia="宋体" w:cs="Times New Roman"/>
                <w:b w:val="0"/>
                <w:bCs w:val="0"/>
                <w:color w:val="auto"/>
                <w:kern w:val="0"/>
                <w:sz w:val="21"/>
                <w:szCs w:val="21"/>
                <w:highlight w:val="none"/>
              </w:rPr>
              <w:t>，比传统化学合成生产工艺在环保、物耗、能耗上均有巨大优势，同时项目采取了一系列节能降耗措施</w:t>
            </w:r>
            <w:r>
              <w:rPr>
                <w:rFonts w:hint="eastAsia" w:ascii="Times New Roman" w:hAnsi="Times New Roman" w:eastAsia="宋体" w:cs="Times New Roman"/>
                <w:b w:val="0"/>
                <w:bCs w:val="0"/>
                <w:color w:val="auto"/>
                <w:kern w:val="0"/>
                <w:sz w:val="21"/>
                <w:szCs w:val="21"/>
                <w:highlight w:val="none"/>
                <w:lang w:eastAsia="zh-CN"/>
              </w:rPr>
              <w:t>，清洁生产水平属于国内先进水平。</w:t>
            </w:r>
          </w:p>
        </w:tc>
        <w:tc>
          <w:tcPr>
            <w:tcW w:w="257" w:type="dxa"/>
            <w:shd w:val="clear" w:color="auto" w:fill="auto"/>
            <w:vAlign w:val="center"/>
          </w:tcPr>
          <w:p w14:paraId="4E46A8B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符合</w:t>
            </w:r>
          </w:p>
        </w:tc>
      </w:tr>
      <w:tr w14:paraId="40373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7D41C17D">
            <w:pPr>
              <w:pStyle w:val="768"/>
              <w:keepNext w:val="0"/>
              <w:keepLines w:val="0"/>
              <w:pageBreakBefore w:val="0"/>
              <w:widowControl/>
              <w:numPr>
                <w:ilvl w:val="0"/>
                <w:numId w:val="0"/>
              </w:numPr>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bidi="ar-SA"/>
              </w:rPr>
              <w:t>第五条</w:t>
            </w:r>
            <w:r>
              <w:rPr>
                <w:rFonts w:hint="eastAsia" w:ascii="Times New Roman" w:hAnsi="Times New Roman" w:eastAsia="宋体" w:cs="Times New Roman"/>
                <w:b w:val="0"/>
                <w:bCs w:val="0"/>
                <w:color w:val="auto"/>
                <w:kern w:val="0"/>
                <w:sz w:val="21"/>
                <w:szCs w:val="21"/>
                <w:highlight w:val="none"/>
                <w:lang w:val="en-US" w:eastAsia="zh-CN"/>
              </w:rPr>
              <w:t xml:space="preserve"> 项目优先采用园区集中供热供汽，鼓励使用可再生能源，原则上不得配备燃煤自备电厂，不设或少设自备锅炉。确需建设自备电厂的，应符合国家及地方的相关规划和排放控制要求。加热炉、转化炉、裂解炉等应使用脱硫干气等清洁燃料，采取低氮燃烧等氮氧化物控制措施；催化裂化装置和动力站锅炉等应采取必要的脱硫、脱硝和除尘措施；其他有组织工艺废气应采取有效治理措施，减少污染物排放；原则上不得设置废气旁路，确需保留的应急类旁路，应安装流量计等自动监测设备。</w:t>
            </w:r>
          </w:p>
          <w:p w14:paraId="7D747D62">
            <w:pPr>
              <w:pStyle w:val="768"/>
              <w:keepNext w:val="0"/>
              <w:keepLines w:val="0"/>
              <w:pageBreakBefore w:val="0"/>
              <w:widowControl/>
              <w:numPr>
                <w:ilvl w:val="0"/>
                <w:numId w:val="0"/>
              </w:numPr>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上下游装置间宜通过管道直接输送，减少中间储罐；通过优化</w:t>
            </w:r>
            <w:r>
              <w:rPr>
                <w:rFonts w:hint="eastAsia" w:ascii="Times New Roman" w:hAnsi="Times New Roman" w:eastAsia="宋体" w:cs="Times New Roman"/>
                <w:b w:val="0"/>
                <w:bCs w:val="0"/>
                <w:color w:val="auto"/>
                <w:kern w:val="0"/>
                <w:sz w:val="21"/>
                <w:szCs w:val="21"/>
                <w:highlight w:val="none"/>
                <w:lang w:val="en-US" w:eastAsia="zh-CN"/>
              </w:rPr>
              <w:t>设备、储罐选型，加强源头、过程、末端全流程管控，减少污染物无组织排放；挥发性有机液体装载优先采用底部装载，采用顶部浸没式装载的应采用高效密封方式；废水预处理、污泥储存处置等环节密闭化；有机废气应收尽收，鼓励污水均质罐、污油罐、浮渣罐及酸性水罐有机废气收集处理；依据废气特征、挥发性有机物组分及浓度、生产工况等合理选择治理技术，高、低浓度有机废气分质收集处理，高浓度有机废气宜单独收集治理，优先回收利用，无法回收利用的采用预处理+催化氧化、焚烧等高效处理工艺，除单一恶臭异味治理外，一般不单独使用低温等离子、光催化、光氧化等技术；明确设备泄漏检测与修复（LDAR）制度。</w:t>
            </w:r>
          </w:p>
          <w:p w14:paraId="722EBA18">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恶</w:t>
            </w:r>
            <w:r>
              <w:rPr>
                <w:rFonts w:hint="eastAsia" w:ascii="Times New Roman" w:hAnsi="Times New Roman" w:eastAsia="宋体" w:cs="Times New Roman"/>
                <w:b w:val="0"/>
                <w:bCs w:val="0"/>
                <w:color w:val="auto"/>
                <w:kern w:val="0"/>
                <w:sz w:val="21"/>
                <w:szCs w:val="21"/>
                <w:highlight w:val="none"/>
                <w:lang w:val="en-US" w:eastAsia="zh-CN"/>
              </w:rPr>
              <w:t xml:space="preserve">臭污染物应符合《恶臭污染物排放标准》（GB 14554）要求；其他污染物排放及控制应符合《石油炼制工业污染物排放标准》（GB 31570）、《石油化学工业污染物排放标准》（GB 31571）、《合 </w:t>
            </w:r>
          </w:p>
          <w:p w14:paraId="3274C174">
            <w:pPr>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成树脂工业污染物排放标准》（GB 31572）等要求。</w:t>
            </w:r>
          </w:p>
          <w:p w14:paraId="14ED571E">
            <w:pPr>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val="en-US" w:eastAsia="zh-CN"/>
              </w:rPr>
            </w:pPr>
            <w:r>
              <w:rPr>
                <w:rFonts w:ascii="Times New Roman" w:hAnsi="Times New Roman" w:eastAsia="宋体" w:cs="Times New Roman"/>
                <w:b w:val="0"/>
                <w:bCs w:val="0"/>
                <w:color w:val="auto"/>
                <w:kern w:val="0"/>
                <w:sz w:val="21"/>
                <w:szCs w:val="21"/>
                <w:highlight w:val="none"/>
                <w:lang w:val="en-US" w:eastAsia="zh-CN"/>
              </w:rPr>
              <w:t>大宗物料中长距离运输优先采用铁路、管道或水路运输，厂区</w:t>
            </w:r>
            <w:r>
              <w:rPr>
                <w:rFonts w:hint="eastAsia" w:ascii="Times New Roman" w:hAnsi="Times New Roman" w:eastAsia="宋体" w:cs="Times New Roman"/>
                <w:b w:val="0"/>
                <w:bCs w:val="0"/>
                <w:color w:val="auto"/>
                <w:kern w:val="0"/>
                <w:sz w:val="21"/>
                <w:szCs w:val="21"/>
                <w:highlight w:val="none"/>
                <w:lang w:val="en-US" w:eastAsia="zh-CN"/>
              </w:rPr>
              <w:t>内或短途接驳优先使用国六排放标准的运输工具或新能源车辆、管道或管状带式输送机等清洁运输方式。</w:t>
            </w:r>
          </w:p>
        </w:tc>
        <w:tc>
          <w:tcPr>
            <w:tcW w:w="3624" w:type="dxa"/>
            <w:shd w:val="clear" w:color="auto" w:fill="auto"/>
            <w:vAlign w:val="center"/>
          </w:tcPr>
          <w:p w14:paraId="70230187">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spacing w:val="0"/>
                <w:kern w:val="0"/>
                <w:sz w:val="21"/>
                <w:szCs w:val="21"/>
                <w:highlight w:val="none"/>
                <w:lang w:val="en-US" w:eastAsia="zh-CN"/>
              </w:rPr>
              <w:t>（1）本项目不新增燃煤锅炉，不涉及自备电厂，有组织工业废气均采</w:t>
            </w:r>
            <w:r>
              <w:rPr>
                <w:rFonts w:hint="eastAsia" w:ascii="Times New Roman" w:hAnsi="Times New Roman" w:eastAsia="宋体" w:cs="Times New Roman"/>
                <w:b w:val="0"/>
                <w:bCs w:val="0"/>
                <w:color w:val="auto"/>
                <w:kern w:val="0"/>
                <w:sz w:val="21"/>
                <w:szCs w:val="21"/>
                <w:highlight w:val="none"/>
                <w:lang w:val="en-US" w:eastAsia="zh-CN"/>
              </w:rPr>
              <w:t>取有效治理措施，减少污染物排放，未设置废气旁路。</w:t>
            </w:r>
          </w:p>
          <w:p w14:paraId="6D74E43D">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（2）本项目</w:t>
            </w:r>
            <w:r>
              <w:rPr>
                <w:rFonts w:hint="eastAsia" w:ascii="Times New Roman" w:hAnsi="Times New Roman" w:eastAsia="宋体" w:cs="Times New Roman"/>
                <w:b w:val="0"/>
                <w:bCs w:val="0"/>
                <w:color w:val="auto"/>
                <w:spacing w:val="0"/>
                <w:kern w:val="0"/>
                <w:sz w:val="21"/>
                <w:szCs w:val="21"/>
                <w:highlight w:val="none"/>
                <w:lang w:val="en-US" w:eastAsia="zh-CN"/>
              </w:rPr>
              <w:t>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主要为烷烃，烷烃</w:t>
            </w:r>
            <w:r>
              <w:rPr>
                <w:rFonts w:hint="default" w:ascii="Times New Roman" w:hAnsi="Times New Roman" w:eastAsia="宋体" w:cs="Times New Roman"/>
                <w:b w:val="0"/>
                <w:bCs w:val="0"/>
                <w:snapToGrid w:val="0"/>
                <w:color w:val="auto"/>
                <w:spacing w:val="0"/>
                <w:kern w:val="0"/>
                <w:sz w:val="21"/>
                <w:szCs w:val="21"/>
                <w:highlight w:val="none"/>
              </w:rPr>
              <w:t>采用内</w:t>
            </w:r>
            <w:r>
              <w:rPr>
                <w:rFonts w:hint="default" w:ascii="Times New Roman" w:hAnsi="Times New Roman" w:eastAsia="宋体" w:cs="Times New Roman"/>
                <w:b w:val="0"/>
                <w:bCs w:val="0"/>
                <w:color w:val="auto"/>
                <w:spacing w:val="0"/>
                <w:kern w:val="0"/>
                <w:sz w:val="21"/>
                <w:szCs w:val="21"/>
                <w:highlight w:val="none"/>
              </w:rPr>
              <w:t>浮顶</w:t>
            </w:r>
            <w:r>
              <w:rPr>
                <w:rFonts w:hint="default" w:ascii="Times New Roman" w:hAnsi="Times New Roman" w:eastAsia="宋体" w:cs="Times New Roman"/>
                <w:b w:val="0"/>
                <w:bCs w:val="0"/>
                <w:snapToGrid w:val="0"/>
                <w:color w:val="auto"/>
                <w:spacing w:val="0"/>
                <w:kern w:val="0"/>
                <w:sz w:val="21"/>
                <w:szCs w:val="21"/>
                <w:highlight w:val="none"/>
              </w:rPr>
              <w:t>罐贮存，采用冷凝+活性炭吸附处理储罐废气，减少挥发性有机废气的排放</w:t>
            </w:r>
            <w:r>
              <w:rPr>
                <w:rFonts w:hint="eastAsia" w:ascii="Times New Roman" w:hAnsi="Times New Roman" w:eastAsia="宋体" w:cs="Times New Roman"/>
                <w:b w:val="0"/>
                <w:bCs w:val="0"/>
                <w:snapToGrid w:val="0"/>
                <w:color w:val="auto"/>
                <w:spacing w:val="0"/>
                <w:kern w:val="0"/>
                <w:sz w:val="21"/>
                <w:szCs w:val="21"/>
                <w:highlight w:val="none"/>
                <w:lang w:eastAsia="zh-CN"/>
              </w:rPr>
              <w:t>。</w:t>
            </w:r>
            <w:r>
              <w:rPr>
                <w:rFonts w:hint="eastAsia" w:ascii="Times New Roman" w:hAnsi="Times New Roman" w:eastAsia="宋体" w:cs="Times New Roman"/>
                <w:b w:val="0"/>
                <w:bCs w:val="0"/>
                <w:snapToGrid w:val="0"/>
                <w:color w:val="auto"/>
                <w:spacing w:val="0"/>
                <w:kern w:val="0"/>
                <w:sz w:val="21"/>
                <w:szCs w:val="21"/>
                <w:highlight w:val="none"/>
                <w:lang w:val="en-US" w:eastAsia="zh-CN"/>
              </w:rPr>
              <w:t>生产过程中烷烃均由密闭管道运输。</w:t>
            </w:r>
            <w:r>
              <w:rPr>
                <w:rFonts w:hint="eastAsia" w:ascii="Times New Roman" w:hAnsi="Times New Roman" w:eastAsia="宋体" w:cs="Times New Roman"/>
                <w:b w:val="0"/>
                <w:bCs w:val="0"/>
                <w:color w:val="auto"/>
                <w:spacing w:val="0"/>
                <w:kern w:val="0"/>
                <w:sz w:val="21"/>
                <w:szCs w:val="21"/>
                <w:highlight w:val="none"/>
                <w:lang w:val="en-US" w:eastAsia="zh-CN"/>
              </w:rPr>
              <w:t>其他有机废气采用水吸收和碱吸收工艺处理。含恶臭气体的发酵废气采用活性炭吸附除臭。</w:t>
            </w:r>
            <w:r>
              <w:rPr>
                <w:rFonts w:hint="eastAsia" w:ascii="Times New Roman" w:hAnsi="Times New Roman" w:eastAsia="宋体" w:cs="Times New Roman"/>
                <w:b w:val="0"/>
                <w:bCs w:val="0"/>
                <w:snapToGrid w:val="0"/>
                <w:color w:val="auto"/>
                <w:kern w:val="0"/>
                <w:sz w:val="21"/>
                <w:szCs w:val="21"/>
                <w:highlight w:val="none"/>
              </w:rPr>
              <w:t>本次评价提出</w:t>
            </w:r>
            <w:r>
              <w:rPr>
                <w:rFonts w:ascii="Times New Roman" w:hAnsi="Times New Roman" w:eastAsia="宋体" w:cs="Times New Roman"/>
                <w:b w:val="0"/>
                <w:bCs w:val="0"/>
                <w:snapToGrid w:val="0"/>
                <w:color w:val="auto"/>
                <w:kern w:val="0"/>
                <w:sz w:val="21"/>
                <w:szCs w:val="21"/>
                <w:highlight w:val="none"/>
              </w:rPr>
              <w:t>企业</w:t>
            </w:r>
            <w:r>
              <w:rPr>
                <w:rFonts w:hint="eastAsia" w:ascii="Times New Roman" w:hAnsi="Times New Roman" w:eastAsia="宋体" w:cs="Times New Roman"/>
                <w:b w:val="0"/>
                <w:bCs w:val="0"/>
                <w:snapToGrid w:val="0"/>
                <w:color w:val="auto"/>
                <w:kern w:val="0"/>
                <w:sz w:val="21"/>
                <w:szCs w:val="21"/>
                <w:highlight w:val="none"/>
              </w:rPr>
              <w:t>应</w:t>
            </w:r>
            <w:r>
              <w:rPr>
                <w:rFonts w:ascii="Times New Roman" w:hAnsi="Times New Roman" w:eastAsia="宋体" w:cs="Times New Roman"/>
                <w:b w:val="0"/>
                <w:bCs w:val="0"/>
                <w:snapToGrid w:val="0"/>
                <w:color w:val="auto"/>
                <w:kern w:val="0"/>
                <w:sz w:val="21"/>
                <w:szCs w:val="21"/>
                <w:highlight w:val="none"/>
              </w:rPr>
              <w:t>按照</w:t>
            </w:r>
            <w:r>
              <w:rPr>
                <w:rFonts w:hint="eastAsia" w:ascii="Times New Roman" w:hAnsi="Times New Roman" w:eastAsia="宋体" w:cs="Times New Roman"/>
                <w:b w:val="0"/>
                <w:bCs w:val="0"/>
                <w:snapToGrid w:val="0"/>
                <w:color w:val="auto"/>
                <w:kern w:val="0"/>
                <w:sz w:val="21"/>
                <w:szCs w:val="21"/>
                <w:highlight w:val="none"/>
              </w:rPr>
              <w:t>相关标准及</w:t>
            </w:r>
            <w:r>
              <w:rPr>
                <w:rFonts w:ascii="Times New Roman" w:hAnsi="Times New Roman" w:eastAsia="宋体" w:cs="Times New Roman"/>
                <w:b w:val="0"/>
                <w:bCs w:val="0"/>
                <w:snapToGrid w:val="0"/>
                <w:color w:val="auto"/>
                <w:kern w:val="0"/>
                <w:sz w:val="21"/>
                <w:szCs w:val="21"/>
                <w:highlight w:val="none"/>
              </w:rPr>
              <w:t>规范开展LDAR工作。</w:t>
            </w:r>
          </w:p>
          <w:p w14:paraId="31D0FB57">
            <w:pPr>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（3）本项目</w:t>
            </w:r>
            <w:r>
              <w:rPr>
                <w:rFonts w:hint="default" w:ascii="Times New Roman" w:hAnsi="Times New Roman" w:eastAsia="宋体" w:cs="Times New Roman"/>
                <w:b w:val="0"/>
                <w:bCs w:val="0"/>
                <w:snapToGrid w:val="0"/>
                <w:color w:val="auto"/>
                <w:kern w:val="0"/>
                <w:sz w:val="21"/>
                <w:szCs w:val="21"/>
                <w:highlight w:val="none"/>
              </w:rPr>
              <w:t>发酵废气中颗粒物、非甲烷总烃排放浓度参考执行《制药工业大气污染物排放标准》（GB37823-2019）中表2大气污染物特别排放限值，H</w:t>
            </w:r>
            <w:r>
              <w:rPr>
                <w:rFonts w:hint="default" w:ascii="Times New Roman" w:hAnsi="Times New Roman" w:eastAsia="宋体" w:cs="Times New Roman"/>
                <w:b w:val="0"/>
                <w:bCs w:val="0"/>
                <w:snapToGrid w:val="0"/>
                <w:color w:val="auto"/>
                <w:kern w:val="0"/>
                <w:sz w:val="21"/>
                <w:szCs w:val="21"/>
                <w:highlight w:val="none"/>
                <w:vertAlign w:val="subscript"/>
              </w:rPr>
              <w:t>2</w:t>
            </w:r>
            <w:r>
              <w:rPr>
                <w:rFonts w:hint="default" w:ascii="Times New Roman" w:hAnsi="Times New Roman" w:eastAsia="宋体" w:cs="Times New Roman"/>
                <w:b w:val="0"/>
                <w:bCs w:val="0"/>
                <w:snapToGrid w:val="0"/>
                <w:color w:val="auto"/>
                <w:kern w:val="0"/>
                <w:sz w:val="21"/>
                <w:szCs w:val="21"/>
                <w:highlight w:val="none"/>
              </w:rPr>
              <w:t>S、NH</w:t>
            </w:r>
            <w:r>
              <w:rPr>
                <w:rFonts w:hint="default" w:ascii="Times New Roman" w:hAnsi="Times New Roman" w:eastAsia="宋体" w:cs="Times New Roman"/>
                <w:b w:val="0"/>
                <w:bCs w:val="0"/>
                <w:snapToGrid w:val="0"/>
                <w:color w:val="auto"/>
                <w:kern w:val="0"/>
                <w:sz w:val="21"/>
                <w:szCs w:val="21"/>
                <w:highlight w:val="none"/>
                <w:vertAlign w:val="subscript"/>
              </w:rPr>
              <w:t>3</w:t>
            </w:r>
            <w:r>
              <w:rPr>
                <w:rFonts w:hint="default" w:ascii="Times New Roman" w:hAnsi="Times New Roman" w:eastAsia="宋体" w:cs="Times New Roman"/>
                <w:b w:val="0"/>
                <w:bCs w:val="0"/>
                <w:snapToGrid w:val="0"/>
                <w:color w:val="auto"/>
                <w:kern w:val="0"/>
                <w:sz w:val="21"/>
                <w:szCs w:val="21"/>
                <w:highlight w:val="none"/>
              </w:rPr>
              <w:t>、臭气浓度执行《恶臭污染物排放标准》（‌GB14554-93）中表2恶臭污染物排放标准值；其他废气中颗粒物、非甲烷总烃排放浓度执行《合成树脂工业污染物排放标准》（GB31572-2015</w:t>
            </w:r>
            <w:r>
              <w:rPr>
                <w:rFonts w:hint="eastAsia" w:ascii="Times New Roman" w:hAnsi="Times New Roman" w:eastAsia="宋体" w:cs="Times New Roman"/>
                <w:b w:val="0"/>
                <w:bCs w:val="0"/>
                <w:snapToGrid w:val="0"/>
                <w:color w:val="auto"/>
                <w:kern w:val="0"/>
                <w:sz w:val="21"/>
                <w:szCs w:val="21"/>
                <w:highlight w:val="none"/>
                <w:lang w:eastAsia="zh-CN"/>
              </w:rPr>
              <w:t>，</w:t>
            </w:r>
            <w:r>
              <w:rPr>
                <w:rFonts w:hint="default" w:ascii="Times New Roman" w:hAnsi="Times New Roman" w:eastAsia="宋体" w:cs="Times New Roman"/>
                <w:b w:val="0"/>
                <w:bCs w:val="0"/>
                <w:snapToGrid w:val="0"/>
                <w:color w:val="auto"/>
                <w:kern w:val="0"/>
                <w:sz w:val="21"/>
                <w:szCs w:val="21"/>
                <w:highlight w:val="none"/>
              </w:rPr>
              <w:t>含2024年修改单）表5大气污染物特别排放限值，硫酸雾执行《大气污染物综合排放标准》（GB 16297-1996）中表2标准。活性炭再生装置废气</w:t>
            </w:r>
            <w:r>
              <w:rPr>
                <w:rFonts w:hint="default" w:ascii="Times New Roman" w:hAnsi="Times New Roman" w:eastAsia="宋体" w:cs="Times New Roman"/>
                <w:b w:val="0"/>
                <w:bCs w:val="0"/>
                <w:snapToGrid w:val="0"/>
                <w:color w:val="auto"/>
                <w:kern w:val="0"/>
                <w:sz w:val="21"/>
                <w:szCs w:val="21"/>
                <w:highlight w:val="none"/>
                <w:lang w:val="en-US" w:eastAsia="zh-CN"/>
              </w:rPr>
              <w:t>颗粒物执行</w:t>
            </w:r>
            <w:r>
              <w:rPr>
                <w:rFonts w:hint="default" w:ascii="Times New Roman" w:hAnsi="Times New Roman" w:eastAsia="宋体" w:cs="Times New Roman"/>
                <w:b w:val="0"/>
                <w:bCs w:val="0"/>
                <w:snapToGrid w:val="0"/>
                <w:color w:val="auto"/>
                <w:kern w:val="0"/>
                <w:sz w:val="21"/>
                <w:szCs w:val="21"/>
                <w:highlight w:val="none"/>
              </w:rPr>
              <w:t>《合成树脂工业污染物排放标准》（GB31572-2015</w:t>
            </w:r>
            <w:r>
              <w:rPr>
                <w:rFonts w:hint="eastAsia" w:ascii="Times New Roman" w:hAnsi="Times New Roman" w:eastAsia="宋体" w:cs="Times New Roman"/>
                <w:b w:val="0"/>
                <w:bCs w:val="0"/>
                <w:snapToGrid w:val="0"/>
                <w:color w:val="auto"/>
                <w:kern w:val="0"/>
                <w:sz w:val="21"/>
                <w:szCs w:val="21"/>
                <w:highlight w:val="none"/>
                <w:lang w:eastAsia="zh-CN"/>
              </w:rPr>
              <w:t>，</w:t>
            </w:r>
            <w:r>
              <w:rPr>
                <w:rFonts w:hint="default" w:ascii="Times New Roman" w:hAnsi="Times New Roman" w:eastAsia="宋体" w:cs="Times New Roman"/>
                <w:b w:val="0"/>
                <w:bCs w:val="0"/>
                <w:snapToGrid w:val="0"/>
                <w:color w:val="auto"/>
                <w:kern w:val="0"/>
                <w:sz w:val="21"/>
                <w:szCs w:val="21"/>
                <w:highlight w:val="none"/>
              </w:rPr>
              <w:t>含2024年修改单）表5大气污染物特别排放限值，二氧化硫、氮氧化物执行《合成树脂工业污染物排放标准》（GB31572-2015</w:t>
            </w:r>
            <w:r>
              <w:rPr>
                <w:rFonts w:hint="eastAsia" w:ascii="Times New Roman" w:hAnsi="Times New Roman" w:eastAsia="宋体" w:cs="Times New Roman"/>
                <w:b w:val="0"/>
                <w:bCs w:val="0"/>
                <w:snapToGrid w:val="0"/>
                <w:color w:val="auto"/>
                <w:kern w:val="0"/>
                <w:sz w:val="21"/>
                <w:szCs w:val="21"/>
                <w:highlight w:val="none"/>
                <w:lang w:eastAsia="zh-CN"/>
              </w:rPr>
              <w:t>，</w:t>
            </w:r>
            <w:r>
              <w:rPr>
                <w:rFonts w:hint="default" w:ascii="Times New Roman" w:hAnsi="Times New Roman" w:eastAsia="宋体" w:cs="Times New Roman"/>
                <w:b w:val="0"/>
                <w:bCs w:val="0"/>
                <w:snapToGrid w:val="0"/>
                <w:color w:val="auto"/>
                <w:kern w:val="0"/>
                <w:sz w:val="21"/>
                <w:szCs w:val="21"/>
                <w:highlight w:val="none"/>
              </w:rPr>
              <w:t>含2024年修改单）表</w:t>
            </w:r>
            <w:r>
              <w:rPr>
                <w:rFonts w:hint="default" w:ascii="Times New Roman" w:hAnsi="Times New Roman" w:eastAsia="宋体" w:cs="Times New Roman"/>
                <w:b w:val="0"/>
                <w:bCs w:val="0"/>
                <w:snapToGrid w:val="0"/>
                <w:color w:val="auto"/>
                <w:kern w:val="0"/>
                <w:sz w:val="21"/>
                <w:szCs w:val="21"/>
                <w:highlight w:val="none"/>
                <w:lang w:val="en-US" w:eastAsia="zh-CN"/>
              </w:rPr>
              <w:t>6</w:t>
            </w:r>
            <w:r>
              <w:rPr>
                <w:rFonts w:hint="default" w:ascii="Times New Roman" w:hAnsi="Times New Roman" w:eastAsia="宋体" w:cs="Times New Roman"/>
                <w:b w:val="0"/>
                <w:bCs w:val="0"/>
                <w:snapToGrid w:val="0"/>
                <w:color w:val="auto"/>
                <w:kern w:val="0"/>
                <w:sz w:val="21"/>
                <w:szCs w:val="21"/>
                <w:highlight w:val="none"/>
              </w:rPr>
              <w:t>焚烧设施SO</w:t>
            </w:r>
            <w:r>
              <w:rPr>
                <w:rFonts w:hint="default" w:ascii="Times New Roman" w:hAnsi="Times New Roman" w:eastAsia="宋体" w:cs="Times New Roman"/>
                <w:b w:val="0"/>
                <w:bCs w:val="0"/>
                <w:snapToGrid w:val="0"/>
                <w:color w:val="auto"/>
                <w:kern w:val="0"/>
                <w:sz w:val="21"/>
                <w:szCs w:val="21"/>
                <w:highlight w:val="none"/>
                <w:vertAlign w:val="subscript"/>
              </w:rPr>
              <w:t>2</w:t>
            </w:r>
            <w:r>
              <w:rPr>
                <w:rFonts w:hint="default" w:ascii="Times New Roman" w:hAnsi="Times New Roman" w:eastAsia="宋体" w:cs="Times New Roman"/>
                <w:b w:val="0"/>
                <w:bCs w:val="0"/>
                <w:snapToGrid w:val="0"/>
                <w:color w:val="auto"/>
                <w:kern w:val="0"/>
                <w:sz w:val="21"/>
                <w:szCs w:val="21"/>
                <w:highlight w:val="none"/>
              </w:rPr>
              <w:t>、NO</w:t>
            </w:r>
            <w:r>
              <w:rPr>
                <w:rFonts w:hint="default" w:ascii="Times New Roman" w:hAnsi="Times New Roman" w:eastAsia="宋体" w:cs="Times New Roman"/>
                <w:b w:val="0"/>
                <w:bCs w:val="0"/>
                <w:snapToGrid w:val="0"/>
                <w:color w:val="auto"/>
                <w:kern w:val="0"/>
                <w:sz w:val="21"/>
                <w:szCs w:val="21"/>
                <w:highlight w:val="none"/>
                <w:vertAlign w:val="subscript"/>
                <w:lang w:val="en-US" w:eastAsia="zh-CN"/>
              </w:rPr>
              <w:t>X</w:t>
            </w:r>
            <w:r>
              <w:rPr>
                <w:rFonts w:hint="default" w:ascii="Times New Roman" w:hAnsi="Times New Roman" w:eastAsia="宋体" w:cs="Times New Roman"/>
                <w:b w:val="0"/>
                <w:bCs w:val="0"/>
                <w:snapToGrid w:val="0"/>
                <w:color w:val="auto"/>
                <w:kern w:val="0"/>
                <w:sz w:val="21"/>
                <w:szCs w:val="21"/>
                <w:highlight w:val="none"/>
              </w:rPr>
              <w:t>排放限值。</w:t>
            </w:r>
          </w:p>
          <w:p w14:paraId="7911CC18">
            <w:pPr>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snapToGrid w:val="0"/>
                <w:color w:val="auto"/>
                <w:kern w:val="0"/>
                <w:sz w:val="21"/>
                <w:szCs w:val="21"/>
                <w:highlight w:val="none"/>
                <w:lang w:eastAsia="zh-CN"/>
              </w:rPr>
            </w:pPr>
            <w:r>
              <w:rPr>
                <w:rFonts w:hint="eastAsia" w:ascii="Times New Roman" w:hAnsi="Times New Roman" w:eastAsia="宋体" w:cs="Times New Roman"/>
                <w:b w:val="0"/>
                <w:bCs w:val="0"/>
                <w:snapToGrid w:val="0"/>
                <w:color w:val="auto"/>
                <w:kern w:val="0"/>
                <w:sz w:val="21"/>
                <w:szCs w:val="21"/>
                <w:highlight w:val="none"/>
                <w:lang w:eastAsia="zh-CN"/>
              </w:rPr>
              <w:t>（</w:t>
            </w:r>
            <w:r>
              <w:rPr>
                <w:rFonts w:hint="eastAsia" w:ascii="Times New Roman" w:hAnsi="Times New Roman" w:eastAsia="宋体" w:cs="Times New Roman"/>
                <w:b w:val="0"/>
                <w:bCs w:val="0"/>
                <w:snapToGrid w:val="0"/>
                <w:color w:val="auto"/>
                <w:kern w:val="0"/>
                <w:sz w:val="21"/>
                <w:szCs w:val="21"/>
                <w:highlight w:val="none"/>
                <w:lang w:val="en-US" w:eastAsia="zh-CN"/>
              </w:rPr>
              <w:t>4</w:t>
            </w:r>
            <w:r>
              <w:rPr>
                <w:rFonts w:hint="eastAsia" w:ascii="Times New Roman" w:hAnsi="Times New Roman" w:eastAsia="宋体" w:cs="Times New Roman"/>
                <w:b w:val="0"/>
                <w:bCs w:val="0"/>
                <w:snapToGrid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本项目物料主要采用国六标准或新能源车辆运输。</w:t>
            </w:r>
          </w:p>
        </w:tc>
        <w:tc>
          <w:tcPr>
            <w:tcW w:w="257" w:type="dxa"/>
            <w:shd w:val="clear" w:color="auto" w:fill="auto"/>
            <w:vAlign w:val="center"/>
          </w:tcPr>
          <w:p w14:paraId="3CE3566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符合</w:t>
            </w:r>
          </w:p>
        </w:tc>
      </w:tr>
      <w:tr w14:paraId="4378B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3C862294">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第六条 将温室气体排放纳入建设项目环境影响评价，核算建</w:t>
            </w:r>
            <w:r>
              <w:rPr>
                <w:rFonts w:hint="eastAsia" w:ascii="Times New Roman" w:hAnsi="Times New Roman" w:eastAsia="宋体" w:cs="Times New Roman"/>
                <w:b w:val="0"/>
                <w:bCs w:val="0"/>
                <w:color w:val="auto"/>
                <w:kern w:val="0"/>
                <w:sz w:val="21"/>
                <w:szCs w:val="21"/>
                <w:highlight w:val="none"/>
                <w:lang w:val="en-US" w:eastAsia="zh-CN"/>
              </w:rPr>
              <w:t>设项目温室气体排放量，推进减污降碳协同增效，推动减碳技术创新示范应用。</w:t>
            </w:r>
          </w:p>
        </w:tc>
        <w:tc>
          <w:tcPr>
            <w:tcW w:w="3624" w:type="dxa"/>
            <w:shd w:val="clear" w:color="auto" w:fill="auto"/>
            <w:vAlign w:val="center"/>
          </w:tcPr>
          <w:p w14:paraId="6585A0CF">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本项目按要求核算碳排放，并要求企业持续推进减碳增效。</w:t>
            </w:r>
          </w:p>
        </w:tc>
        <w:tc>
          <w:tcPr>
            <w:tcW w:w="257" w:type="dxa"/>
            <w:shd w:val="clear" w:color="auto" w:fill="auto"/>
            <w:vAlign w:val="center"/>
          </w:tcPr>
          <w:p w14:paraId="3911BD72">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586E8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176E4117">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第七条</w:t>
            </w:r>
            <w:r>
              <w:rPr>
                <w:rFonts w:hint="eastAsia" w:ascii="Times New Roman" w:hAnsi="Times New Roman" w:eastAsia="宋体" w:cs="Times New Roman"/>
                <w:b w:val="0"/>
                <w:bCs w:val="0"/>
                <w:color w:val="auto"/>
                <w:kern w:val="0"/>
                <w:sz w:val="21"/>
                <w:szCs w:val="21"/>
                <w:highlight w:val="none"/>
                <w:lang w:val="en-US" w:eastAsia="zh-CN"/>
              </w:rPr>
              <w:t xml:space="preserve"> </w:t>
            </w:r>
            <w:r>
              <w:rPr>
                <w:rFonts w:hint="eastAsia" w:ascii="Times New Roman" w:hAnsi="Times New Roman" w:eastAsia="宋体" w:cs="Times New Roman"/>
                <w:b w:val="0"/>
                <w:bCs w:val="0"/>
                <w:color w:val="auto"/>
                <w:kern w:val="0"/>
                <w:sz w:val="21"/>
                <w:szCs w:val="21"/>
                <w:highlight w:val="none"/>
              </w:rPr>
              <w:t>做好雨污分流、清污分流、污污分流。废水分类收集、分质处理、优先回用，含油废水、含硫废水经处理后最大限度回用，含盐废水进行适当深度处理，污染雨水收集处理。严禁生产废水未经处理或未有效处理直接排入城镇污水处理系统。项目排放的废水污染物应符合《石油炼制工业污染物排放标准》</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GB31570</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、《石油化学工业污染物排放标准》</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GB31571</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《合成树脂工业污染物排放标准》</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GB31572</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b w:val="0"/>
                <w:bCs w:val="0"/>
                <w:color w:val="auto"/>
                <w:kern w:val="0"/>
                <w:sz w:val="21"/>
                <w:szCs w:val="21"/>
                <w:highlight w:val="none"/>
              </w:rPr>
              <w:t>等要求。</w:t>
            </w:r>
          </w:p>
        </w:tc>
        <w:tc>
          <w:tcPr>
            <w:tcW w:w="3624" w:type="dxa"/>
            <w:shd w:val="clear" w:color="auto" w:fill="auto"/>
            <w:vAlign w:val="center"/>
          </w:tcPr>
          <w:p w14:paraId="255988AE">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本项目废水</w:t>
            </w:r>
            <w:r>
              <w:rPr>
                <w:rFonts w:hint="eastAsia" w:ascii="Times New Roman" w:hAnsi="Times New Roman" w:eastAsia="宋体" w:cs="Times New Roman"/>
                <w:b w:val="0"/>
                <w:bCs w:val="0"/>
                <w:color w:val="auto"/>
                <w:kern w:val="0"/>
                <w:sz w:val="21"/>
                <w:szCs w:val="21"/>
                <w:highlight w:val="none"/>
              </w:rPr>
              <w:t>分类收集、分质处理</w:t>
            </w:r>
            <w:r>
              <w:rPr>
                <w:rFonts w:hint="eastAsia" w:ascii="Times New Roman" w:hAnsi="Times New Roman" w:eastAsia="宋体" w:cs="Times New Roman"/>
                <w:b w:val="0"/>
                <w:bCs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rPr>
              <w:t>发酵清洗废水</w:t>
            </w:r>
            <w:r>
              <w:rPr>
                <w:rFonts w:hint="eastAsia" w:ascii="Times New Roman" w:hAnsi="Times New Roman" w:eastAsia="宋体" w:cs="Times New Roman"/>
                <w:color w:val="auto"/>
                <w:kern w:val="0"/>
                <w:sz w:val="21"/>
                <w:szCs w:val="21"/>
                <w:highlight w:val="none"/>
              </w:rPr>
              <w:t>、分离废水经调节池调节</w:t>
            </w:r>
            <w:r>
              <w:rPr>
                <w:rFonts w:hint="eastAsia" w:ascii="Times New Roman" w:hAnsi="Times New Roman" w:eastAsia="宋体" w:cs="Times New Roman"/>
                <w:color w:val="auto"/>
                <w:kern w:val="0"/>
                <w:sz w:val="21"/>
                <w:szCs w:val="21"/>
                <w:highlight w:val="none"/>
                <w:lang w:val="en-US" w:eastAsia="zh-CN"/>
              </w:rPr>
              <w:t>后排入</w:t>
            </w:r>
            <w:r>
              <w:rPr>
                <w:rFonts w:hint="eastAsia" w:ascii="Times New Roman" w:hAnsi="Times New Roman" w:eastAsia="宋体" w:cs="Times New Roman"/>
                <w:color w:val="auto"/>
                <w:kern w:val="0"/>
                <w:sz w:val="21"/>
                <w:szCs w:val="21"/>
                <w:highlight w:val="none"/>
              </w:rPr>
              <w:t>西区污水处理厂</w:t>
            </w:r>
            <w:r>
              <w:rPr>
                <w:rFonts w:hint="eastAsia" w:ascii="Times New Roman" w:hAnsi="Times New Roman" w:eastAsia="宋体" w:cs="Times New Roman"/>
                <w:color w:val="auto"/>
                <w:kern w:val="0"/>
                <w:sz w:val="21"/>
                <w:szCs w:val="21"/>
                <w:highlight w:val="none"/>
                <w:lang w:val="en-US" w:eastAsia="zh-CN"/>
              </w:rPr>
              <w:t>二</w:t>
            </w:r>
            <w:r>
              <w:rPr>
                <w:rFonts w:hint="eastAsia" w:ascii="Times New Roman" w:hAnsi="Times New Roman" w:eastAsia="宋体" w:cs="Times New Roman"/>
                <w:color w:val="auto"/>
                <w:kern w:val="0"/>
                <w:sz w:val="21"/>
                <w:szCs w:val="21"/>
                <w:highlight w:val="none"/>
              </w:rPr>
              <w:t>期工程</w:t>
            </w:r>
            <w:r>
              <w:rPr>
                <w:rFonts w:hint="eastAsia" w:ascii="Times New Roman" w:hAnsi="Times New Roman" w:eastAsia="宋体" w:cs="Times New Roman"/>
                <w:color w:val="auto"/>
                <w:kern w:val="0"/>
                <w:sz w:val="21"/>
                <w:szCs w:val="21"/>
                <w:highlight w:val="none"/>
                <w:lang w:val="en-US" w:eastAsia="zh-CN"/>
              </w:rPr>
              <w:t>处理</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循环水排污依托</w:t>
            </w:r>
            <w:r>
              <w:rPr>
                <w:rFonts w:hint="eastAsia" w:ascii="Times New Roman" w:hAnsi="Times New Roman" w:eastAsia="宋体" w:cs="Times New Roman"/>
                <w:snapToGrid w:val="0"/>
                <w:color w:val="auto"/>
                <w:kern w:val="0"/>
                <w:sz w:val="21"/>
                <w:szCs w:val="21"/>
                <w:highlight w:val="none"/>
              </w:rPr>
              <w:t>现有污水处理站中水段</w:t>
            </w:r>
            <w:r>
              <w:rPr>
                <w:rFonts w:hint="eastAsia" w:ascii="Times New Roman" w:hAnsi="Times New Roman" w:eastAsia="宋体" w:cs="Times New Roman"/>
                <w:snapToGrid w:val="0"/>
                <w:color w:val="auto"/>
                <w:kern w:val="0"/>
                <w:sz w:val="21"/>
                <w:szCs w:val="21"/>
                <w:highlight w:val="none"/>
                <w:lang w:val="en-US" w:eastAsia="zh-CN"/>
              </w:rPr>
              <w:t>处理；</w:t>
            </w:r>
            <w:r>
              <w:rPr>
                <w:rFonts w:hint="eastAsia" w:ascii="Times New Roman" w:hAnsi="Times New Roman" w:eastAsia="宋体" w:cs="Times New Roman"/>
                <w:color w:val="auto"/>
                <w:kern w:val="0"/>
                <w:sz w:val="21"/>
                <w:szCs w:val="21"/>
                <w:highlight w:val="none"/>
              </w:rPr>
              <w:t>生活污水</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水洗塔定排和碱洗塔定排</w:t>
            </w:r>
            <w:r>
              <w:rPr>
                <w:rFonts w:hint="eastAsia" w:ascii="Times New Roman" w:hAnsi="Times New Roman" w:eastAsia="宋体" w:cs="Times New Roman"/>
                <w:color w:val="auto"/>
                <w:kern w:val="0"/>
                <w:sz w:val="21"/>
                <w:szCs w:val="21"/>
                <w:highlight w:val="none"/>
                <w:lang w:val="en-US" w:eastAsia="zh-CN"/>
              </w:rPr>
              <w:t>依托现有污水处理站生化段处理后</w:t>
            </w:r>
            <w:r>
              <w:rPr>
                <w:rFonts w:hint="eastAsia" w:ascii="Times New Roman" w:hAnsi="Times New Roman" w:eastAsia="宋体" w:cs="Times New Roman"/>
                <w:color w:val="auto"/>
                <w:kern w:val="0"/>
                <w:sz w:val="21"/>
                <w:szCs w:val="21"/>
                <w:highlight w:val="none"/>
              </w:rPr>
              <w:t>排入西区</w:t>
            </w:r>
            <w:r>
              <w:rPr>
                <w:rFonts w:hint="eastAsia" w:ascii="Times New Roman" w:hAnsi="Times New Roman" w:eastAsia="宋体" w:cs="Times New Roman"/>
                <w:snapToGrid w:val="0"/>
                <w:color w:val="auto"/>
                <w:kern w:val="0"/>
                <w:sz w:val="21"/>
                <w:szCs w:val="21"/>
                <w:highlight w:val="none"/>
              </w:rPr>
              <w:t>污水处理厂</w:t>
            </w:r>
            <w:r>
              <w:rPr>
                <w:rFonts w:hint="eastAsia" w:ascii="Times New Roman" w:hAnsi="Times New Roman" w:eastAsia="宋体" w:cs="Times New Roman"/>
                <w:snapToGrid w:val="0"/>
                <w:color w:val="auto"/>
                <w:kern w:val="0"/>
                <w:sz w:val="21"/>
                <w:szCs w:val="21"/>
                <w:highlight w:val="none"/>
                <w:lang w:val="en-US" w:eastAsia="zh-CN"/>
              </w:rPr>
              <w:t>一</w:t>
            </w:r>
            <w:r>
              <w:rPr>
                <w:rFonts w:hint="eastAsia" w:ascii="Times New Roman" w:hAnsi="Times New Roman" w:eastAsia="宋体" w:cs="Times New Roman"/>
                <w:snapToGrid w:val="0"/>
                <w:color w:val="auto"/>
                <w:kern w:val="0"/>
                <w:sz w:val="21"/>
                <w:szCs w:val="21"/>
                <w:highlight w:val="none"/>
              </w:rPr>
              <w:t>期</w:t>
            </w:r>
            <w:r>
              <w:rPr>
                <w:rFonts w:hint="eastAsia" w:ascii="Times New Roman" w:hAnsi="Times New Roman" w:eastAsia="宋体" w:cs="Times New Roman"/>
                <w:snapToGrid w:val="0"/>
                <w:color w:val="auto"/>
                <w:kern w:val="0"/>
                <w:sz w:val="21"/>
                <w:szCs w:val="21"/>
                <w:highlight w:val="none"/>
                <w:lang w:val="en-US" w:eastAsia="zh-CN"/>
              </w:rPr>
              <w:t>工程处理</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直排</w:t>
            </w:r>
            <w:r>
              <w:rPr>
                <w:rFonts w:hint="eastAsia" w:ascii="Times New Roman" w:hAnsi="Times New Roman" w:eastAsia="宋体" w:cs="Times New Roman"/>
                <w:color w:val="auto"/>
                <w:sz w:val="21"/>
                <w:szCs w:val="21"/>
                <w:highlight w:val="none"/>
                <w:lang w:val="en-US" w:eastAsia="zh-CN" w:bidi="ar-SA"/>
              </w:rPr>
              <w:t>乌苏市西区</w:t>
            </w:r>
            <w:r>
              <w:rPr>
                <w:rFonts w:hint="eastAsia" w:ascii="Times New Roman" w:hAnsi="Times New Roman" w:eastAsia="宋体" w:cs="Times New Roman"/>
                <w:snapToGrid w:val="0"/>
                <w:color w:val="auto"/>
                <w:kern w:val="0"/>
                <w:sz w:val="21"/>
                <w:szCs w:val="21"/>
                <w:highlight w:val="none"/>
                <w:lang w:val="en-US" w:eastAsia="zh-CN"/>
              </w:rPr>
              <w:t>污水处理厂二期工程的废水</w:t>
            </w:r>
            <w:r>
              <w:rPr>
                <w:rFonts w:hint="eastAsia" w:ascii="Times New Roman" w:hAnsi="Times New Roman" w:eastAsia="宋体" w:cs="Times New Roman"/>
                <w:snapToGrid w:val="0"/>
                <w:color w:val="auto"/>
                <w:kern w:val="0"/>
                <w:sz w:val="21"/>
                <w:szCs w:val="21"/>
                <w:highlight w:val="none"/>
              </w:rPr>
              <w:t>污染物执行企业与园区污水处理厂商定的协议标准限值</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厂区废水总排口废水</w:t>
            </w:r>
            <w:r>
              <w:rPr>
                <w:rFonts w:hint="eastAsia" w:ascii="Times New Roman" w:hAnsi="Times New Roman" w:eastAsia="宋体" w:cs="Times New Roman"/>
                <w:color w:val="auto"/>
                <w:sz w:val="21"/>
                <w:szCs w:val="21"/>
                <w:highlight w:val="none"/>
                <w:lang w:val="en-US" w:eastAsia="zh-CN" w:bidi="ar-SA"/>
              </w:rPr>
              <w:t>按照乌苏市西区污水处理厂一期工程收水水质《污水排入城镇下水道水质标准》（GB/T3</w:t>
            </w:r>
            <w:r>
              <w:rPr>
                <w:rFonts w:hint="eastAsia" w:cs="Times New Roman"/>
                <w:color w:val="auto"/>
                <w:sz w:val="21"/>
                <w:szCs w:val="21"/>
                <w:highlight w:val="none"/>
                <w:lang w:val="en-US" w:eastAsia="zh-CN" w:bidi="ar-SA"/>
              </w:rPr>
              <w:t>1</w:t>
            </w:r>
            <w:r>
              <w:rPr>
                <w:rFonts w:hint="eastAsia" w:ascii="Times New Roman" w:hAnsi="Times New Roman" w:eastAsia="宋体" w:cs="Times New Roman"/>
                <w:color w:val="auto"/>
                <w:sz w:val="21"/>
                <w:szCs w:val="21"/>
                <w:highlight w:val="none"/>
                <w:lang w:val="en-US" w:eastAsia="zh-CN" w:bidi="ar-SA"/>
              </w:rPr>
              <w:t>962-2015）中表1A级标准限值。</w:t>
            </w:r>
          </w:p>
        </w:tc>
        <w:tc>
          <w:tcPr>
            <w:tcW w:w="257" w:type="dxa"/>
            <w:shd w:val="clear" w:color="auto" w:fill="auto"/>
            <w:vAlign w:val="center"/>
          </w:tcPr>
          <w:p w14:paraId="09BDDBFA">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7A275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61CA6D8D">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第八条 土壤和地下水污染防治应坚持源头控制、分区防控、</w:t>
            </w:r>
            <w:r>
              <w:rPr>
                <w:rFonts w:hint="eastAsia" w:ascii="Times New Roman" w:hAnsi="Times New Roman" w:eastAsia="宋体" w:cs="Times New Roman"/>
                <w:b w:val="0"/>
                <w:bCs w:val="0"/>
                <w:color w:val="auto"/>
                <w:kern w:val="0"/>
                <w:sz w:val="21"/>
                <w:szCs w:val="21"/>
                <w:highlight w:val="none"/>
                <w:lang w:val="en-US" w:eastAsia="zh-CN"/>
              </w:rPr>
              <w:t>跟踪监测和应急响应的防控原则。对涉及有毒有害物质的生产装置、设备设施及场所，需提出防腐蚀、防渗漏、防扬散等土壤污染防治具体措施，并根据环境保护目标的敏感程度、项目平面布局、水文地质条件等采取防渗措施，提出有效的土壤、地下水监控和应急方案，符合《石油化工工程防渗技术规范》（GB/T 50934）等相关要求。</w:t>
            </w:r>
          </w:p>
        </w:tc>
        <w:tc>
          <w:tcPr>
            <w:tcW w:w="3624" w:type="dxa"/>
            <w:shd w:val="clear" w:color="auto" w:fill="auto"/>
            <w:vAlign w:val="center"/>
          </w:tcPr>
          <w:p w14:paraId="3F443765">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本项目</w:t>
            </w:r>
            <w:r>
              <w:rPr>
                <w:rFonts w:hint="default" w:ascii="Times New Roman" w:hAnsi="Times New Roman" w:eastAsia="宋体" w:cs="Times New Roman"/>
                <w:b w:val="0"/>
                <w:bCs w:val="0"/>
                <w:color w:val="auto"/>
                <w:kern w:val="0"/>
                <w:sz w:val="21"/>
                <w:szCs w:val="21"/>
                <w:highlight w:val="none"/>
              </w:rPr>
              <w:t>将厂区划分为一般防渗区、简单防渗区和重点防渗区</w:t>
            </w:r>
            <w:r>
              <w:rPr>
                <w:rFonts w:hint="eastAsia" w:ascii="Times New Roman" w:hAnsi="Times New Roman" w:eastAsia="宋体" w:cs="Times New Roman"/>
                <w:b w:val="0"/>
                <w:bCs w:val="0"/>
                <w:color w:val="auto"/>
                <w:kern w:val="0"/>
                <w:sz w:val="21"/>
                <w:szCs w:val="21"/>
                <w:highlight w:val="none"/>
                <w:lang w:eastAsia="zh-CN"/>
              </w:rPr>
              <w:t>。</w:t>
            </w:r>
            <w:r>
              <w:rPr>
                <w:rFonts w:hint="default" w:ascii="Times New Roman" w:hAnsi="Times New Roman" w:eastAsia="宋体" w:cs="Times New Roman"/>
                <w:b w:val="0"/>
                <w:bCs w:val="0"/>
                <w:color w:val="auto"/>
                <w:kern w:val="0"/>
                <w:sz w:val="21"/>
                <w:szCs w:val="21"/>
                <w:highlight w:val="none"/>
              </w:rPr>
              <w:t>重点防渗区主要包括发酵装置区、提取装置区、罐区、活性炭再生装置区等</w:t>
            </w:r>
            <w:r>
              <w:rPr>
                <w:rFonts w:hint="eastAsia" w:ascii="Times New Roman" w:hAnsi="Times New Roman" w:eastAsia="宋体" w:cs="Times New Roman"/>
                <w:b w:val="0"/>
                <w:bCs w:val="0"/>
                <w:color w:val="auto"/>
                <w:kern w:val="0"/>
                <w:sz w:val="21"/>
                <w:szCs w:val="21"/>
                <w:highlight w:val="none"/>
                <w:lang w:eastAsia="zh-CN"/>
              </w:rPr>
              <w:t>；</w:t>
            </w:r>
            <w:r>
              <w:rPr>
                <w:rFonts w:hint="default" w:ascii="Times New Roman" w:hAnsi="Times New Roman" w:eastAsia="宋体" w:cs="Times New Roman"/>
                <w:b w:val="0"/>
                <w:bCs w:val="0"/>
                <w:color w:val="auto"/>
                <w:kern w:val="0"/>
                <w:sz w:val="21"/>
                <w:szCs w:val="21"/>
                <w:highlight w:val="none"/>
              </w:rPr>
              <w:t>一般防渗区主要包括循环水泵房</w:t>
            </w:r>
            <w:r>
              <w:rPr>
                <w:rFonts w:hint="default" w:ascii="Times New Roman" w:hAnsi="Times New Roman" w:eastAsia="宋体" w:cs="Times New Roman"/>
                <w:b w:val="0"/>
                <w:bCs w:val="0"/>
                <w:color w:val="auto"/>
                <w:kern w:val="0"/>
                <w:sz w:val="21"/>
                <w:szCs w:val="21"/>
                <w:highlight w:val="none"/>
                <w:lang w:bidi="ar"/>
              </w:rPr>
              <w:t>等。</w:t>
            </w:r>
          </w:p>
        </w:tc>
        <w:tc>
          <w:tcPr>
            <w:tcW w:w="257" w:type="dxa"/>
            <w:shd w:val="clear" w:color="auto" w:fill="auto"/>
            <w:vAlign w:val="center"/>
          </w:tcPr>
          <w:p w14:paraId="19C863C7">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7FF4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0578D6D1">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第九条 按照减量化、资源化、无害化的原则，妥善处理处置</w:t>
            </w:r>
            <w:r>
              <w:rPr>
                <w:rFonts w:hint="eastAsia" w:ascii="Times New Roman" w:hAnsi="Times New Roman" w:eastAsia="宋体" w:cs="Times New Roman"/>
                <w:b w:val="0"/>
                <w:bCs w:val="0"/>
                <w:color w:val="auto"/>
                <w:kern w:val="0"/>
                <w:sz w:val="21"/>
                <w:szCs w:val="21"/>
                <w:highlight w:val="none"/>
                <w:lang w:val="en-US" w:eastAsia="zh-CN"/>
              </w:rPr>
              <w:t>固体废物。一般工业固体废物应通过项目自身或委托其他企业综合利用，无法综合利用的就近妥善处置，需要在厂内贮存的应按规定建设贮存设施、场所。大型炼化一体化等产生危险废物量较大的石化项目宜立足于自身或依托园区危险废物集中设施处置。</w:t>
            </w:r>
          </w:p>
        </w:tc>
        <w:tc>
          <w:tcPr>
            <w:tcW w:w="3624" w:type="dxa"/>
            <w:shd w:val="clear" w:color="auto" w:fill="auto"/>
            <w:vAlign w:val="center"/>
          </w:tcPr>
          <w:p w14:paraId="3F552A5E">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本项目建成后，菌体污泥定期清运至新疆融兴盛景城市服务有限公司填埋处置；</w:t>
            </w:r>
            <w:r>
              <w:rPr>
                <w:rFonts w:hint="eastAsia" w:ascii="Times New Roman" w:hAnsi="Times New Roman" w:eastAsia="宋体" w:cs="Times New Roman"/>
                <w:b w:val="0"/>
                <w:bCs w:val="0"/>
                <w:snapToGrid w:val="0"/>
                <w:color w:val="auto"/>
                <w:kern w:val="0"/>
                <w:sz w:val="21"/>
                <w:szCs w:val="21"/>
                <w:highlight w:val="none"/>
                <w:lang w:eastAsia="zh-CN" w:bidi="ar"/>
              </w:rPr>
              <w:t>废矿物油、化验室废液、废铅蓄电池</w:t>
            </w:r>
            <w:r>
              <w:rPr>
                <w:rFonts w:hint="eastAsia" w:ascii="Times New Roman" w:hAnsi="Times New Roman" w:eastAsia="宋体" w:cs="Times New Roman"/>
                <w:b w:val="0"/>
                <w:bCs w:val="0"/>
                <w:snapToGrid w:val="0"/>
                <w:color w:val="auto"/>
                <w:kern w:val="0"/>
                <w:sz w:val="21"/>
                <w:szCs w:val="21"/>
                <w:highlight w:val="none"/>
                <w:lang w:val="en-US" w:eastAsia="zh-CN" w:bidi="ar"/>
              </w:rPr>
              <w:t>暂存在现有工程危险废物贮存库贮存，交有资质单位处理/处置。</w:t>
            </w:r>
          </w:p>
        </w:tc>
        <w:tc>
          <w:tcPr>
            <w:tcW w:w="257" w:type="dxa"/>
            <w:shd w:val="clear" w:color="auto" w:fill="auto"/>
            <w:vAlign w:val="center"/>
          </w:tcPr>
          <w:p w14:paraId="169F9570">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4DE1C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79ECDE07">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第十条 优化厂区平面布置，优先选用低噪声设备和工艺，采</w:t>
            </w:r>
            <w:r>
              <w:rPr>
                <w:rFonts w:hint="eastAsia" w:ascii="Times New Roman" w:hAnsi="Times New Roman" w:eastAsia="宋体" w:cs="Times New Roman"/>
                <w:b w:val="0"/>
                <w:bCs w:val="0"/>
                <w:color w:val="auto"/>
                <w:kern w:val="0"/>
                <w:sz w:val="21"/>
                <w:szCs w:val="21"/>
                <w:highlight w:val="none"/>
                <w:lang w:val="en-US" w:eastAsia="zh-CN"/>
              </w:rPr>
              <w:t>取减振、隔声、消声等措施有效控制噪声污染，厂界噪声满足《工业企业厂界环境噪声排放标准》（GB 12348）要求。</w:t>
            </w:r>
          </w:p>
        </w:tc>
        <w:tc>
          <w:tcPr>
            <w:tcW w:w="3624" w:type="dxa"/>
            <w:shd w:val="clear" w:color="auto" w:fill="auto"/>
            <w:vAlign w:val="center"/>
          </w:tcPr>
          <w:p w14:paraId="77681119">
            <w:pPr>
              <w:pStyle w:val="768"/>
              <w:keepNext w:val="0"/>
              <w:keepLines w:val="0"/>
              <w:pageBreakBefore w:val="0"/>
              <w:widowControl/>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本项目在设计时已</w:t>
            </w:r>
            <w:r>
              <w:rPr>
                <w:rFonts w:ascii="Times New Roman" w:hAnsi="Times New Roman" w:eastAsia="宋体" w:cs="Times New Roman"/>
                <w:b w:val="0"/>
                <w:bCs w:val="0"/>
                <w:color w:val="auto"/>
                <w:kern w:val="0"/>
                <w:sz w:val="21"/>
                <w:szCs w:val="21"/>
                <w:highlight w:val="none"/>
                <w:lang w:val="en-US" w:eastAsia="zh-CN"/>
              </w:rPr>
              <w:t>优化厂区平面布置，选用低噪声设备和工艺</w:t>
            </w:r>
            <w:r>
              <w:rPr>
                <w:rFonts w:hint="eastAsia" w:ascii="Times New Roman" w:hAnsi="Times New Roman" w:eastAsia="宋体" w:cs="Times New Roman"/>
                <w:b w:val="0"/>
                <w:bCs w:val="0"/>
                <w:color w:val="auto"/>
                <w:kern w:val="0"/>
                <w:sz w:val="21"/>
                <w:szCs w:val="21"/>
                <w:highlight w:val="none"/>
                <w:lang w:val="en-US" w:eastAsia="zh-CN"/>
              </w:rPr>
              <w:t>，通过采取减振、隔声等措施，可确保厂界噪声满足《工业企业厂界环境噪声排放标准》（GB 12348-2008）中的3类标准要求。</w:t>
            </w:r>
          </w:p>
        </w:tc>
        <w:tc>
          <w:tcPr>
            <w:tcW w:w="257" w:type="dxa"/>
            <w:shd w:val="clear" w:color="auto" w:fill="auto"/>
            <w:vAlign w:val="center"/>
          </w:tcPr>
          <w:p w14:paraId="70D9D200">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5C8D0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654E1169">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第十一条 严密防控项目环境风险，建立完善的环境风险防控</w:t>
            </w:r>
            <w:r>
              <w:rPr>
                <w:rFonts w:hint="eastAsia" w:ascii="Times New Roman" w:hAnsi="Times New Roman" w:eastAsia="宋体" w:cs="Times New Roman"/>
                <w:b w:val="0"/>
                <w:bCs w:val="0"/>
                <w:color w:val="auto"/>
                <w:kern w:val="0"/>
                <w:sz w:val="21"/>
                <w:szCs w:val="21"/>
                <w:highlight w:val="none"/>
                <w:lang w:val="en-US" w:eastAsia="zh-CN"/>
              </w:rPr>
              <w:t>体系，提升环境风险防控能力。环境风险防范和应急措施合理、有效。确保具备事故废水有效收集和妥善处理的能力。针对项目可能产生的突发环境事件制定有效的风险防范和应急措施，建立项目及区域、园区环境风险防范与应急管理体系，提出运行期突发环境事件应急预案编制要求。</w:t>
            </w:r>
          </w:p>
        </w:tc>
        <w:tc>
          <w:tcPr>
            <w:tcW w:w="3624" w:type="dxa"/>
            <w:shd w:val="clear" w:color="auto" w:fill="auto"/>
            <w:vAlign w:val="center"/>
          </w:tcPr>
          <w:p w14:paraId="1D287F57">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本次评价</w:t>
            </w:r>
            <w:r>
              <w:rPr>
                <w:rFonts w:hint="eastAsia" w:ascii="Times New Roman" w:hAnsi="Times New Roman" w:eastAsia="宋体" w:cs="Times New Roman"/>
                <w:b w:val="0"/>
                <w:bCs w:val="0"/>
                <w:snapToGrid w:val="0"/>
                <w:color w:val="auto"/>
                <w:kern w:val="0"/>
                <w:sz w:val="21"/>
                <w:szCs w:val="21"/>
                <w:highlight w:val="none"/>
                <w:lang w:val="en-US" w:eastAsia="zh-CN"/>
              </w:rPr>
              <w:t>提出</w:t>
            </w:r>
            <w:r>
              <w:rPr>
                <w:rFonts w:ascii="Times New Roman" w:hAnsi="Times New Roman" w:eastAsia="宋体" w:cs="Times New Roman"/>
                <w:b w:val="0"/>
                <w:bCs w:val="0"/>
                <w:snapToGrid w:val="0"/>
                <w:color w:val="auto"/>
                <w:kern w:val="0"/>
                <w:sz w:val="21"/>
                <w:szCs w:val="21"/>
                <w:highlight w:val="none"/>
              </w:rPr>
              <w:t>企业</w:t>
            </w:r>
            <w:r>
              <w:rPr>
                <w:rFonts w:hint="eastAsia" w:ascii="Times New Roman" w:hAnsi="Times New Roman" w:eastAsia="宋体" w:cs="Times New Roman"/>
                <w:b w:val="0"/>
                <w:bCs w:val="0"/>
                <w:snapToGrid w:val="0"/>
                <w:color w:val="auto"/>
                <w:kern w:val="0"/>
                <w:sz w:val="21"/>
                <w:szCs w:val="21"/>
                <w:highlight w:val="none"/>
              </w:rPr>
              <w:t>应</w:t>
            </w:r>
            <w:r>
              <w:rPr>
                <w:rFonts w:ascii="Times New Roman" w:hAnsi="Times New Roman" w:eastAsia="宋体" w:cs="Times New Roman"/>
                <w:b w:val="0"/>
                <w:bCs w:val="0"/>
                <w:color w:val="auto"/>
                <w:kern w:val="0"/>
                <w:sz w:val="21"/>
                <w:szCs w:val="21"/>
                <w:highlight w:val="none"/>
                <w:lang w:val="en-US" w:eastAsia="zh-CN"/>
              </w:rPr>
              <w:t>建立完善的环境风险防控</w:t>
            </w:r>
            <w:r>
              <w:rPr>
                <w:rFonts w:hint="eastAsia" w:ascii="Times New Roman" w:hAnsi="Times New Roman" w:eastAsia="宋体" w:cs="Times New Roman"/>
                <w:b w:val="0"/>
                <w:bCs w:val="0"/>
                <w:color w:val="auto"/>
                <w:kern w:val="0"/>
                <w:sz w:val="21"/>
                <w:szCs w:val="21"/>
                <w:highlight w:val="none"/>
                <w:lang w:val="en-US" w:eastAsia="zh-CN"/>
              </w:rPr>
              <w:t>体系，提升环境风险防控能力，同时对突发生态环境事件应急预案进行修编。</w:t>
            </w:r>
          </w:p>
        </w:tc>
        <w:tc>
          <w:tcPr>
            <w:tcW w:w="257" w:type="dxa"/>
            <w:shd w:val="clear" w:color="auto" w:fill="auto"/>
            <w:vAlign w:val="center"/>
          </w:tcPr>
          <w:p w14:paraId="4332F03B">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382B0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46B3EC9A">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第十</w:t>
            </w:r>
            <w:r>
              <w:rPr>
                <w:rFonts w:hint="eastAsia" w:cs="Times New Roman"/>
                <w:b w:val="0"/>
                <w:bCs w:val="0"/>
                <w:color w:val="auto"/>
                <w:kern w:val="0"/>
                <w:sz w:val="21"/>
                <w:szCs w:val="21"/>
                <w:highlight w:val="none"/>
                <w:lang w:val="en-US" w:eastAsia="zh-CN"/>
              </w:rPr>
              <w:t>三</w:t>
            </w:r>
            <w:r>
              <w:rPr>
                <w:rFonts w:hint="eastAsia" w:ascii="Times New Roman" w:hAnsi="Times New Roman" w:eastAsia="宋体" w:cs="Times New Roman"/>
                <w:b w:val="0"/>
                <w:bCs w:val="0"/>
                <w:color w:val="auto"/>
                <w:kern w:val="0"/>
                <w:sz w:val="21"/>
                <w:szCs w:val="21"/>
                <w:highlight w:val="none"/>
                <w:lang w:val="en-US" w:eastAsia="zh-CN"/>
              </w:rPr>
              <w:t xml:space="preserve">条 </w:t>
            </w:r>
            <w:r>
              <w:rPr>
                <w:rFonts w:hint="default" w:ascii="Times New Roman" w:hAnsi="Times New Roman" w:eastAsia="宋体" w:cs="Times New Roman"/>
                <w:b w:val="0"/>
                <w:bCs w:val="0"/>
                <w:color w:val="auto"/>
                <w:kern w:val="0"/>
                <w:sz w:val="21"/>
                <w:szCs w:val="21"/>
                <w:highlight w:val="none"/>
                <w:lang w:val="en-US" w:eastAsia="zh-CN"/>
              </w:rPr>
              <w:t>新增主要污染物排放量的建设项目应执行《关于加强重点行业建设项目区域削减措施监督管理的通知》（环办环评〔2020〕36 号）。项目所在区域、流域控制单元环境质量达到国家或者地方环境质量标准的因子，原则上其对应的国家实施排放总量管控的重点污染物实行区域等量削减。项目所在区域、流域控制单元环境质量未达到国家或者地方环境质量标准的因子，其对应的主要污染物须进行区域倍量削减。二氧化氮超标的，对应削减氮氧化物；细颗粒物超标的，对应削减二氧化硫、氮氧化物、颗粒物和挥发性有机物；臭氧超标的，对应削减氮氧化物、挥发性有机物。区域削减措施原则上应与建设项目位于同一地级市或市级行政区域内同一流域。地级市行政区域内削减量不足时，可来源于省级行政区域或省级行政区域内的同一流域。配套区域削减措施应为评价基准年后拟采取的措施，且纳入区域重点减排工程的措施不能作为区域削减措施。</w:t>
            </w:r>
          </w:p>
        </w:tc>
        <w:tc>
          <w:tcPr>
            <w:tcW w:w="3624" w:type="dxa"/>
            <w:shd w:val="clear" w:color="auto" w:fill="auto"/>
            <w:vAlign w:val="center"/>
          </w:tcPr>
          <w:p w14:paraId="6AE30628">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本项目所在区域为不达标区，不达标因子为PM</w:t>
            </w:r>
            <w:r>
              <w:rPr>
                <w:rFonts w:hint="eastAsia" w:ascii="Times New Roman" w:hAnsi="Times New Roman" w:eastAsia="宋体" w:cs="Times New Roman"/>
                <w:b w:val="0"/>
                <w:bCs w:val="0"/>
                <w:color w:val="auto"/>
                <w:kern w:val="0"/>
                <w:sz w:val="21"/>
                <w:szCs w:val="21"/>
                <w:highlight w:val="none"/>
                <w:vertAlign w:val="subscript"/>
                <w:lang w:val="en-US" w:eastAsia="zh-CN"/>
              </w:rPr>
              <w:t>10</w:t>
            </w:r>
            <w:r>
              <w:rPr>
                <w:rFonts w:hint="eastAsia" w:ascii="Times New Roman" w:hAnsi="Times New Roman" w:eastAsia="宋体" w:cs="Times New Roman"/>
                <w:b w:val="0"/>
                <w:bCs w:val="0"/>
                <w:color w:val="auto"/>
                <w:kern w:val="0"/>
                <w:sz w:val="21"/>
                <w:szCs w:val="21"/>
                <w:highlight w:val="none"/>
                <w:lang w:val="en-US" w:eastAsia="zh-CN"/>
              </w:rPr>
              <w:t>、PM</w:t>
            </w:r>
            <w:r>
              <w:rPr>
                <w:rFonts w:hint="eastAsia" w:ascii="Times New Roman" w:hAnsi="Times New Roman" w:eastAsia="宋体" w:cs="Times New Roman"/>
                <w:b w:val="0"/>
                <w:bCs w:val="0"/>
                <w:color w:val="auto"/>
                <w:kern w:val="0"/>
                <w:sz w:val="21"/>
                <w:szCs w:val="21"/>
                <w:highlight w:val="none"/>
                <w:vertAlign w:val="subscript"/>
                <w:lang w:val="en-US" w:eastAsia="zh-CN"/>
              </w:rPr>
              <w:t>2.5</w:t>
            </w:r>
            <w:r>
              <w:rPr>
                <w:rFonts w:hint="eastAsia" w:ascii="Times New Roman" w:hAnsi="Times New Roman" w:eastAsia="宋体" w:cs="Times New Roman"/>
                <w:b w:val="0"/>
                <w:bCs w:val="0"/>
                <w:color w:val="auto"/>
                <w:kern w:val="0"/>
                <w:sz w:val="21"/>
                <w:szCs w:val="21"/>
                <w:highlight w:val="none"/>
                <w:lang w:val="en-US" w:eastAsia="zh-CN"/>
              </w:rPr>
              <w:t>，项目削减源为项目建成后地面由裸露土地变为硬化或绿化后颗粒物减少量、</w:t>
            </w:r>
            <w:r>
              <w:rPr>
                <w:rFonts w:hint="eastAsia" w:ascii="Times New Roman" w:hAnsi="Times New Roman" w:eastAsia="宋体" w:cs="Times New Roman"/>
                <w:snapToGrid w:val="0"/>
                <w:color w:val="auto"/>
                <w:kern w:val="0"/>
                <w:sz w:val="21"/>
                <w:szCs w:val="21"/>
                <w:highlight w:val="none"/>
                <w:lang w:val="en-US" w:eastAsia="zh-CN"/>
              </w:rPr>
              <w:t>发酵罐底料新连消设备改造后</w:t>
            </w:r>
            <w:r>
              <w:rPr>
                <w:rFonts w:hint="eastAsia" w:ascii="Times New Roman" w:hAnsi="Times New Roman" w:eastAsia="宋体" w:cs="Times New Roman"/>
                <w:b w:val="0"/>
                <w:bCs w:val="0"/>
                <w:color w:val="auto"/>
                <w:kern w:val="0"/>
                <w:sz w:val="21"/>
                <w:szCs w:val="21"/>
                <w:highlight w:val="none"/>
                <w:lang w:val="en-US" w:eastAsia="zh-CN"/>
              </w:rPr>
              <w:t>颗粒物减少量、</w:t>
            </w:r>
            <w:r>
              <w:rPr>
                <w:rFonts w:hint="eastAsia" w:ascii="Times New Roman" w:hAnsi="Times New Roman" w:eastAsia="宋体" w:cs="Times New Roman"/>
                <w:snapToGrid w:val="0"/>
                <w:color w:val="auto"/>
                <w:kern w:val="0"/>
                <w:sz w:val="21"/>
                <w:szCs w:val="21"/>
                <w:highlight w:val="none"/>
                <w:lang w:val="en-US" w:eastAsia="zh-CN"/>
              </w:rPr>
              <w:t>生产工艺浓糖新连消设备改造后</w:t>
            </w:r>
            <w:r>
              <w:rPr>
                <w:rFonts w:hint="eastAsia" w:ascii="Times New Roman" w:hAnsi="Times New Roman" w:eastAsia="宋体" w:cs="Times New Roman"/>
                <w:b w:val="0"/>
                <w:bCs w:val="0"/>
                <w:color w:val="auto"/>
                <w:kern w:val="0"/>
                <w:sz w:val="21"/>
                <w:szCs w:val="21"/>
                <w:highlight w:val="none"/>
                <w:lang w:val="en-US" w:eastAsia="zh-CN"/>
              </w:rPr>
              <w:t>颗粒物减少量、</w:t>
            </w:r>
            <w:r>
              <w:rPr>
                <w:rFonts w:hint="default" w:ascii="Times New Roman" w:hAnsi="Times New Roman" w:eastAsia="宋体" w:cs="Times New Roman"/>
                <w:snapToGrid w:val="0"/>
                <w:color w:val="auto"/>
                <w:kern w:val="0"/>
                <w:sz w:val="21"/>
                <w:szCs w:val="21"/>
                <w:highlight w:val="none"/>
                <w:lang w:val="en-US" w:eastAsia="zh-CN"/>
              </w:rPr>
              <w:t>蒸汽锅炉布袋除尘器滤袋及引风机改造</w:t>
            </w:r>
            <w:r>
              <w:rPr>
                <w:rFonts w:hint="eastAsia" w:ascii="Times New Roman" w:hAnsi="Times New Roman" w:eastAsia="宋体" w:cs="Times New Roman"/>
                <w:snapToGrid w:val="0"/>
                <w:color w:val="auto"/>
                <w:kern w:val="0"/>
                <w:sz w:val="21"/>
                <w:szCs w:val="21"/>
                <w:highlight w:val="none"/>
                <w:lang w:val="en-US" w:eastAsia="zh-CN"/>
              </w:rPr>
              <w:t>后</w:t>
            </w:r>
            <w:r>
              <w:rPr>
                <w:rFonts w:hint="eastAsia" w:ascii="Times New Roman" w:hAnsi="Times New Roman" w:eastAsia="宋体" w:cs="Times New Roman"/>
                <w:b w:val="0"/>
                <w:bCs w:val="0"/>
                <w:color w:val="auto"/>
                <w:kern w:val="0"/>
                <w:sz w:val="21"/>
                <w:szCs w:val="21"/>
                <w:highlight w:val="none"/>
                <w:lang w:val="en-US" w:eastAsia="zh-CN"/>
              </w:rPr>
              <w:t>颗粒物减少量、</w:t>
            </w:r>
            <w:r>
              <w:rPr>
                <w:rFonts w:hint="eastAsia" w:ascii="Times New Roman" w:hAnsi="Times New Roman" w:eastAsia="宋体" w:cs="Times New Roman"/>
                <w:snapToGrid w:val="0"/>
                <w:color w:val="auto"/>
                <w:kern w:val="0"/>
                <w:sz w:val="21"/>
                <w:szCs w:val="21"/>
                <w:highlight w:val="none"/>
                <w:lang w:val="en-US" w:eastAsia="zh-CN"/>
              </w:rPr>
              <w:t>淀粉车间新增异味收集治理后</w:t>
            </w:r>
            <w:r>
              <w:rPr>
                <w:rFonts w:hint="eastAsia" w:ascii="Times New Roman" w:hAnsi="Times New Roman" w:eastAsia="宋体" w:cs="Times New Roman"/>
                <w:b w:val="0"/>
                <w:bCs w:val="0"/>
                <w:color w:val="auto"/>
                <w:kern w:val="0"/>
                <w:sz w:val="21"/>
                <w:szCs w:val="21"/>
                <w:highlight w:val="none"/>
                <w:lang w:val="en-US" w:eastAsia="zh-CN"/>
              </w:rPr>
              <w:t>颗粒物减少量</w:t>
            </w:r>
            <w:r>
              <w:rPr>
                <w:rFonts w:hint="eastAsia" w:ascii="Times New Roman" w:hAnsi="Times New Roman" w:eastAsia="宋体" w:cs="Times New Roman"/>
                <w:snapToGrid w:val="0"/>
                <w:color w:val="auto"/>
                <w:kern w:val="0"/>
                <w:sz w:val="21"/>
                <w:szCs w:val="21"/>
                <w:highlight w:val="none"/>
                <w:lang w:val="en-US" w:eastAsia="zh-CN"/>
              </w:rPr>
              <w:t>和</w:t>
            </w:r>
            <w:r>
              <w:rPr>
                <w:rFonts w:hint="default" w:ascii="Times New Roman" w:hAnsi="Times New Roman" w:eastAsia="宋体" w:cs="Times New Roman"/>
                <w:snapToGrid w:val="0"/>
                <w:color w:val="auto"/>
                <w:kern w:val="0"/>
                <w:sz w:val="21"/>
                <w:szCs w:val="21"/>
                <w:highlight w:val="none"/>
                <w:lang w:val="en-US" w:eastAsia="zh-CN"/>
              </w:rPr>
              <w:t>玉米烘干转运除尘改造</w:t>
            </w:r>
            <w:r>
              <w:rPr>
                <w:rFonts w:hint="eastAsia" w:ascii="Times New Roman" w:hAnsi="Times New Roman" w:eastAsia="宋体" w:cs="Times New Roman"/>
                <w:snapToGrid w:val="0"/>
                <w:color w:val="auto"/>
                <w:kern w:val="0"/>
                <w:sz w:val="21"/>
                <w:szCs w:val="21"/>
                <w:highlight w:val="none"/>
                <w:lang w:val="en-US" w:eastAsia="zh-CN"/>
              </w:rPr>
              <w:t>后</w:t>
            </w:r>
            <w:r>
              <w:rPr>
                <w:rFonts w:hint="eastAsia" w:ascii="Times New Roman" w:hAnsi="Times New Roman" w:eastAsia="宋体" w:cs="Times New Roman"/>
                <w:b w:val="0"/>
                <w:bCs w:val="0"/>
                <w:color w:val="auto"/>
                <w:kern w:val="0"/>
                <w:sz w:val="21"/>
                <w:szCs w:val="21"/>
                <w:highlight w:val="none"/>
                <w:lang w:val="en-US" w:eastAsia="zh-CN"/>
              </w:rPr>
              <w:t>颗粒物减少量。</w:t>
            </w:r>
          </w:p>
        </w:tc>
        <w:tc>
          <w:tcPr>
            <w:tcW w:w="257" w:type="dxa"/>
            <w:shd w:val="clear" w:color="auto" w:fill="auto"/>
            <w:vAlign w:val="center"/>
          </w:tcPr>
          <w:p w14:paraId="4109AF14">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77CB1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2B8E2217">
            <w:pPr>
              <w:pStyle w:val="18"/>
              <w:jc w:val="both"/>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第十四条 明确项目实施后的环境管理要求和环境监测计划。</w:t>
            </w:r>
            <w:r>
              <w:rPr>
                <w:rFonts w:hint="eastAsia" w:ascii="Times New Roman" w:hAnsi="Times New Roman" w:eastAsia="宋体" w:cs="Times New Roman"/>
                <w:b w:val="0"/>
                <w:bCs w:val="0"/>
                <w:color w:val="auto"/>
                <w:kern w:val="0"/>
                <w:sz w:val="21"/>
                <w:szCs w:val="21"/>
                <w:highlight w:val="none"/>
                <w:lang w:val="en-US" w:eastAsia="zh-CN"/>
              </w:rPr>
              <w:t>根据行业自行监测技术指南要求，制定废水、废气污染物排放及厂界环境噪声监测计划并开展监测，排污口或监测位置应符合技术规范要求。</w:t>
            </w:r>
            <w:r>
              <w:rPr>
                <w:rFonts w:hint="eastAsia"/>
                <w:color w:val="auto"/>
                <w:highlight w:val="none"/>
              </w:rPr>
              <w:t>重点排污单位污染物排放自动监测设备应依法依规与生态环境主管部门的监控设备联网。涉及水、大气有毒有害污染物名录中污染物排放的，还应依法依规制定周边环境监测计划。</w:t>
            </w:r>
          </w:p>
        </w:tc>
        <w:tc>
          <w:tcPr>
            <w:tcW w:w="3624" w:type="dxa"/>
            <w:shd w:val="clear" w:color="auto" w:fill="auto"/>
            <w:vAlign w:val="center"/>
          </w:tcPr>
          <w:p w14:paraId="2EA25D44">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企业属于</w:t>
            </w:r>
            <w:r>
              <w:rPr>
                <w:rFonts w:hint="eastAsia"/>
                <w:color w:val="auto"/>
                <w:highlight w:val="none"/>
              </w:rPr>
              <w:t>重点排污单位</w:t>
            </w:r>
            <w:r>
              <w:rPr>
                <w:rFonts w:hint="eastAsia"/>
                <w:color w:val="auto"/>
                <w:highlight w:val="none"/>
                <w:lang w:eastAsia="zh-CN"/>
              </w:rPr>
              <w:t>，</w:t>
            </w:r>
            <w:r>
              <w:rPr>
                <w:rFonts w:hint="eastAsia"/>
                <w:color w:val="auto"/>
                <w:highlight w:val="none"/>
                <w:lang w:val="en-US" w:eastAsia="zh-CN"/>
              </w:rPr>
              <w:t>根据</w:t>
            </w:r>
            <w:r>
              <w:rPr>
                <w:rFonts w:hint="eastAsia" w:ascii="Times New Roman" w:hAnsi="Times New Roman" w:eastAsia="宋体" w:cs="Times New Roman"/>
                <w:b w:val="0"/>
                <w:bCs w:val="0"/>
                <w:color w:val="auto"/>
                <w:kern w:val="0"/>
                <w:sz w:val="21"/>
                <w:szCs w:val="21"/>
                <w:highlight w:val="none"/>
                <w:lang w:val="en-US" w:eastAsia="zh-CN"/>
              </w:rPr>
              <w:t>自行监测技术指南等相关文件要求，</w:t>
            </w:r>
            <w:r>
              <w:rPr>
                <w:rFonts w:hint="eastAsia" w:ascii="Times New Roman" w:hAnsi="Times New Roman" w:eastAsia="宋体" w:cs="Times New Roman"/>
                <w:b w:val="0"/>
                <w:bCs w:val="0"/>
                <w:snapToGrid w:val="0"/>
                <w:color w:val="auto"/>
                <w:kern w:val="0"/>
                <w:sz w:val="21"/>
                <w:szCs w:val="21"/>
                <w:highlight w:val="none"/>
              </w:rPr>
              <w:t>本次评价</w:t>
            </w:r>
            <w:r>
              <w:rPr>
                <w:rFonts w:hint="eastAsia" w:ascii="Times New Roman" w:hAnsi="Times New Roman" w:eastAsia="宋体" w:cs="Times New Roman"/>
                <w:b w:val="0"/>
                <w:bCs w:val="0"/>
                <w:snapToGrid w:val="0"/>
                <w:color w:val="auto"/>
                <w:kern w:val="0"/>
                <w:sz w:val="21"/>
                <w:szCs w:val="21"/>
                <w:highlight w:val="none"/>
                <w:lang w:val="en-US" w:eastAsia="zh-CN"/>
              </w:rPr>
              <w:t>明确项目</w:t>
            </w:r>
            <w:r>
              <w:rPr>
                <w:rFonts w:ascii="Times New Roman" w:hAnsi="Times New Roman" w:eastAsia="宋体" w:cs="Times New Roman"/>
                <w:b w:val="0"/>
                <w:bCs w:val="0"/>
                <w:color w:val="auto"/>
                <w:kern w:val="0"/>
                <w:sz w:val="21"/>
                <w:szCs w:val="21"/>
                <w:highlight w:val="none"/>
                <w:lang w:val="en-US" w:eastAsia="zh-CN"/>
              </w:rPr>
              <w:t>实施后的环境管理要求</w:t>
            </w:r>
            <w:r>
              <w:rPr>
                <w:rFonts w:hint="eastAsia" w:ascii="Times New Roman" w:hAnsi="Times New Roman" w:eastAsia="宋体" w:cs="Times New Roman"/>
                <w:b w:val="0"/>
                <w:bCs w:val="0"/>
                <w:color w:val="auto"/>
                <w:kern w:val="0"/>
                <w:sz w:val="21"/>
                <w:szCs w:val="21"/>
                <w:highlight w:val="none"/>
                <w:lang w:val="en-US" w:eastAsia="zh-CN"/>
              </w:rPr>
              <w:t>、</w:t>
            </w:r>
            <w:r>
              <w:rPr>
                <w:rFonts w:ascii="Times New Roman" w:hAnsi="Times New Roman" w:eastAsia="宋体" w:cs="Times New Roman"/>
                <w:b w:val="0"/>
                <w:bCs w:val="0"/>
                <w:color w:val="auto"/>
                <w:kern w:val="0"/>
                <w:sz w:val="21"/>
                <w:szCs w:val="21"/>
                <w:highlight w:val="none"/>
                <w:lang w:val="en-US" w:eastAsia="zh-CN"/>
              </w:rPr>
              <w:t>环境监测计划</w:t>
            </w:r>
            <w:r>
              <w:rPr>
                <w:rFonts w:hint="eastAsia" w:ascii="Times New Roman" w:hAnsi="Times New Roman" w:eastAsia="宋体" w:cs="Times New Roman"/>
                <w:b w:val="0"/>
                <w:bCs w:val="0"/>
                <w:color w:val="auto"/>
                <w:kern w:val="0"/>
                <w:sz w:val="21"/>
                <w:szCs w:val="21"/>
                <w:highlight w:val="none"/>
                <w:lang w:val="en-US" w:eastAsia="zh-CN"/>
              </w:rPr>
              <w:t>和排污口相关内容，无需</w:t>
            </w:r>
            <w:r>
              <w:rPr>
                <w:rFonts w:hint="eastAsia"/>
                <w:color w:val="auto"/>
                <w:highlight w:val="none"/>
                <w:lang w:val="en-US" w:eastAsia="zh-CN"/>
              </w:rPr>
              <w:t>自动监测和联网</w:t>
            </w:r>
            <w:r>
              <w:rPr>
                <w:rFonts w:hint="eastAsia" w:ascii="Times New Roman" w:hAnsi="Times New Roman" w:eastAsia="宋体" w:cs="Times New Roman"/>
                <w:b w:val="0"/>
                <w:bCs w:val="0"/>
                <w:color w:val="auto"/>
                <w:kern w:val="0"/>
                <w:sz w:val="21"/>
                <w:szCs w:val="21"/>
                <w:highlight w:val="none"/>
                <w:lang w:val="en-US" w:eastAsia="zh-CN"/>
              </w:rPr>
              <w:t>。</w:t>
            </w:r>
          </w:p>
        </w:tc>
        <w:tc>
          <w:tcPr>
            <w:tcW w:w="257" w:type="dxa"/>
            <w:shd w:val="clear" w:color="auto" w:fill="auto"/>
            <w:vAlign w:val="center"/>
          </w:tcPr>
          <w:p w14:paraId="23C5421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6C301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038DD308">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lang w:val="en-US" w:eastAsia="zh-CN"/>
              </w:rPr>
              <w:t>第十五条 按相关规定开展信息公开和公众参与。</w:t>
            </w:r>
          </w:p>
        </w:tc>
        <w:tc>
          <w:tcPr>
            <w:tcW w:w="3624" w:type="dxa"/>
            <w:shd w:val="clear" w:color="auto" w:fill="auto"/>
            <w:vAlign w:val="center"/>
          </w:tcPr>
          <w:p w14:paraId="1A581F24">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本项目已按照《环境影响评价公众参与办法》的</w:t>
            </w:r>
            <w:r>
              <w:rPr>
                <w:rFonts w:ascii="Times New Roman" w:hAnsi="Times New Roman" w:eastAsia="宋体" w:cs="Times New Roman"/>
                <w:b w:val="0"/>
                <w:bCs w:val="0"/>
                <w:color w:val="auto"/>
                <w:kern w:val="0"/>
                <w:sz w:val="21"/>
                <w:szCs w:val="21"/>
                <w:highlight w:val="none"/>
                <w:lang w:val="en-US" w:eastAsia="zh-CN"/>
              </w:rPr>
              <w:t>相关规定开展信息公开和公众参与</w:t>
            </w:r>
            <w:r>
              <w:rPr>
                <w:rFonts w:hint="eastAsia" w:ascii="Times New Roman" w:hAnsi="Times New Roman" w:eastAsia="宋体" w:cs="Times New Roman"/>
                <w:b w:val="0"/>
                <w:bCs w:val="0"/>
                <w:color w:val="auto"/>
                <w:kern w:val="0"/>
                <w:sz w:val="21"/>
                <w:szCs w:val="21"/>
                <w:highlight w:val="none"/>
                <w:lang w:val="en-US" w:eastAsia="zh-CN"/>
              </w:rPr>
              <w:t>。</w:t>
            </w:r>
          </w:p>
        </w:tc>
        <w:tc>
          <w:tcPr>
            <w:tcW w:w="257" w:type="dxa"/>
            <w:shd w:val="clear" w:color="auto" w:fill="auto"/>
            <w:vAlign w:val="center"/>
          </w:tcPr>
          <w:p w14:paraId="6934CB1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r w14:paraId="12E99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407" w:type="dxa"/>
            <w:shd w:val="clear" w:color="auto" w:fill="auto"/>
            <w:vAlign w:val="center"/>
          </w:tcPr>
          <w:p w14:paraId="7D5A9395">
            <w:pPr>
              <w:pStyle w:val="768"/>
              <w:keepNext w:val="0"/>
              <w:keepLines w:val="0"/>
              <w:pageBreakBefore w:val="0"/>
              <w:widowControl/>
              <w:kinsoku/>
              <w:wordWrap/>
              <w:overflowPunct/>
              <w:topLinePunct w:val="0"/>
              <w:autoSpaceDE/>
              <w:autoSpaceDN/>
              <w:bidi w:val="0"/>
              <w:adjustRightInd w:val="0"/>
              <w:snapToGrid w:val="0"/>
              <w:jc w:val="both"/>
              <w:textAlignment w:val="auto"/>
              <w:rPr>
                <w:rFonts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第十六条 环境影响评价文件编制规范，基础资料数据应符合实际情况，内容完整、准确，环境影响评价结论明确、合理，符合环境影响评价技术导则或建设项目环境影响报告表编制技术指南要求。</w:t>
            </w:r>
          </w:p>
        </w:tc>
        <w:tc>
          <w:tcPr>
            <w:tcW w:w="3624" w:type="dxa"/>
            <w:shd w:val="clear" w:color="auto" w:fill="auto"/>
            <w:vAlign w:val="center"/>
          </w:tcPr>
          <w:p w14:paraId="2D9767D8">
            <w:pPr>
              <w:pStyle w:val="768"/>
              <w:keepNext w:val="0"/>
              <w:keepLines w:val="0"/>
              <w:pageBreakBefore w:val="0"/>
              <w:widowControl/>
              <w:kinsoku/>
              <w:wordWrap/>
              <w:overflowPunct/>
              <w:topLinePunct w:val="0"/>
              <w:autoSpaceDE/>
              <w:autoSpaceDN/>
              <w:bidi w:val="0"/>
              <w:adjustRightInd w:val="0"/>
              <w:snapToGrid w:val="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本次评价文件编制规范，基础资料数据符合实际情况，内容完整、准确，结论明确、合理，符合环境影响评价技术导则要求。</w:t>
            </w:r>
          </w:p>
        </w:tc>
        <w:tc>
          <w:tcPr>
            <w:tcW w:w="257" w:type="dxa"/>
            <w:shd w:val="clear" w:color="auto" w:fill="auto"/>
            <w:vAlign w:val="center"/>
          </w:tcPr>
          <w:p w14:paraId="4A49CA0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符合</w:t>
            </w:r>
          </w:p>
        </w:tc>
      </w:tr>
    </w:tbl>
    <w:p w14:paraId="3017E446">
      <w:pPr>
        <w:keepNext w:val="0"/>
        <w:keepLines w:val="0"/>
        <w:pageBreakBefore w:val="0"/>
        <w:widowControl w:val="0"/>
        <w:tabs>
          <w:tab w:val="left" w:pos="7560"/>
        </w:tabs>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snapToGrid w:val="0"/>
          <w:color w:val="auto"/>
          <w:kern w:val="0"/>
          <w:sz w:val="24"/>
          <w:highlight w:val="none"/>
        </w:rPr>
        <w:t>综上所述，本项目符合《</w:t>
      </w:r>
      <w:r>
        <w:rPr>
          <w:rFonts w:hint="eastAsia"/>
          <w:snapToGrid w:val="0"/>
          <w:color w:val="auto"/>
          <w:kern w:val="0"/>
          <w:sz w:val="24"/>
          <w:highlight w:val="none"/>
          <w:lang w:val="en-US" w:eastAsia="zh-CN"/>
        </w:rPr>
        <w:t>石化建设项目环境影响评价文件审批原则</w:t>
      </w:r>
      <w:r>
        <w:rPr>
          <w:snapToGrid w:val="0"/>
          <w:color w:val="auto"/>
          <w:kern w:val="0"/>
          <w:sz w:val="24"/>
          <w:highlight w:val="none"/>
        </w:rPr>
        <w:t>》的相关要求。</w:t>
      </w:r>
    </w:p>
    <w:p w14:paraId="1C36536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11</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《合成树脂工业污染物排放标准》（GB 31572-2015，含2024年修改单）</w:t>
      </w:r>
      <w:r>
        <w:rPr>
          <w:rFonts w:hint="eastAsia" w:ascii="宋体" w:hAnsi="宋体" w:eastAsia="宋体" w:cs="宋体"/>
          <w:b/>
          <w:bCs w:val="0"/>
          <w:snapToGrid w:val="0"/>
          <w:color w:val="auto"/>
          <w:spacing w:val="0"/>
          <w:w w:val="100"/>
          <w:kern w:val="0"/>
          <w:sz w:val="24"/>
          <w:szCs w:val="24"/>
          <w:highlight w:val="none"/>
        </w:rPr>
        <w:t>的符合性分析</w:t>
      </w:r>
    </w:p>
    <w:p w14:paraId="1D36BB48">
      <w:pPr>
        <w:tabs>
          <w:tab w:val="left" w:pos="7560"/>
        </w:tabs>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《合成树脂工业污染物排放标准》（GB 31572-2015，含2024年修改单）的</w:t>
      </w:r>
      <w:r>
        <w:rPr>
          <w:rFonts w:hint="eastAsia"/>
          <w:snapToGrid w:val="0"/>
          <w:color w:val="auto"/>
          <w:kern w:val="0"/>
          <w:sz w:val="24"/>
          <w:highlight w:val="none"/>
        </w:rPr>
        <w:t>符合性详见表1.4</w:t>
      </w:r>
      <w:r>
        <w:rPr>
          <w:rFonts w:hint="eastAsia"/>
          <w:snapToGrid w:val="0"/>
          <w:color w:val="auto"/>
          <w:kern w:val="0"/>
          <w:sz w:val="24"/>
          <w:highlight w:val="none"/>
          <w:lang w:val="en-US" w:eastAsia="zh-CN"/>
        </w:rPr>
        <w:t>-19</w:t>
      </w:r>
      <w:r>
        <w:rPr>
          <w:rFonts w:hint="eastAsia"/>
          <w:snapToGrid w:val="0"/>
          <w:color w:val="auto"/>
          <w:kern w:val="0"/>
          <w:sz w:val="24"/>
          <w:highlight w:val="none"/>
        </w:rPr>
        <w:t>。</w:t>
      </w:r>
    </w:p>
    <w:p w14:paraId="2D7840D9">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19</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《合成树脂工业污染物排放标准》</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14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802"/>
        <w:gridCol w:w="2296"/>
        <w:gridCol w:w="434"/>
      </w:tblGrid>
      <w:tr w14:paraId="13C97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24DBBF01">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lang w:val="en-US" w:eastAsia="zh-CN"/>
              </w:rPr>
              <w:t>标准</w:t>
            </w:r>
            <w:r>
              <w:rPr>
                <w:snapToGrid w:val="0"/>
                <w:color w:val="auto"/>
                <w:kern w:val="0"/>
                <w:szCs w:val="21"/>
                <w:highlight w:val="none"/>
              </w:rPr>
              <w:t>要求</w:t>
            </w:r>
          </w:p>
        </w:tc>
        <w:tc>
          <w:tcPr>
            <w:tcW w:w="1345" w:type="pct"/>
            <w:shd w:val="clear" w:color="auto" w:fill="auto"/>
            <w:vAlign w:val="center"/>
          </w:tcPr>
          <w:p w14:paraId="3507FA5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254" w:type="pct"/>
            <w:shd w:val="clear" w:color="auto" w:fill="auto"/>
            <w:vAlign w:val="center"/>
          </w:tcPr>
          <w:p w14:paraId="4DBE5A86">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08393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75B0A721">
            <w:pPr>
              <w:pStyle w:val="768"/>
              <w:adjustRightInd w:val="0"/>
              <w:snapToGrid w:val="0"/>
              <w:jc w:val="both"/>
              <w:rPr>
                <w:rFonts w:hint="eastAsia" w:cs="Times New Roman"/>
                <w:color w:val="auto"/>
                <w:kern w:val="0"/>
                <w:szCs w:val="21"/>
                <w:highlight w:val="none"/>
              </w:rPr>
            </w:pPr>
            <w:r>
              <w:rPr>
                <w:rFonts w:hint="eastAsia" w:cs="Times New Roman"/>
                <w:color w:val="auto"/>
                <w:kern w:val="0"/>
                <w:szCs w:val="21"/>
                <w:highlight w:val="none"/>
              </w:rPr>
              <w:t>5.2.2 储存真实蒸气压≥76.6kPa的挥发性有机液体应采用压力储罐。</w:t>
            </w:r>
          </w:p>
          <w:p w14:paraId="0A922DE6">
            <w:pPr>
              <w:pStyle w:val="768"/>
              <w:adjustRightInd w:val="0"/>
              <w:snapToGrid w:val="0"/>
              <w:jc w:val="both"/>
              <w:rPr>
                <w:rFonts w:hint="eastAsia" w:cs="Times New Roman"/>
                <w:color w:val="auto"/>
                <w:kern w:val="0"/>
                <w:szCs w:val="21"/>
                <w:highlight w:val="none"/>
              </w:rPr>
            </w:pPr>
            <w:r>
              <w:rPr>
                <w:rFonts w:hint="eastAsia" w:cs="Times New Roman"/>
                <w:color w:val="auto"/>
                <w:kern w:val="0"/>
                <w:szCs w:val="21"/>
                <w:highlight w:val="none"/>
              </w:rPr>
              <w:t>5.2.3 储存真实蒸气压≥5.2kPa但&lt;27.6kPa的设计容积≥150m</w:t>
            </w:r>
            <w:r>
              <w:rPr>
                <w:rFonts w:hint="eastAsia" w:cs="Times New Roman"/>
                <w:color w:val="auto"/>
                <w:kern w:val="0"/>
                <w:szCs w:val="21"/>
                <w:highlight w:val="none"/>
                <w:vertAlign w:val="superscript"/>
                <w:lang w:val="en-US" w:eastAsia="zh-CN"/>
              </w:rPr>
              <w:t>3</w:t>
            </w:r>
            <w:r>
              <w:rPr>
                <w:rFonts w:hint="eastAsia" w:cs="Times New Roman"/>
                <w:color w:val="auto"/>
                <w:kern w:val="0"/>
                <w:szCs w:val="21"/>
                <w:highlight w:val="none"/>
              </w:rPr>
              <w:t>的挥发性有机液体储罐，以及储存真实蒸气压≥27.6kPa但&lt;76.6kPa的设计容积≥75m</w:t>
            </w:r>
            <w:r>
              <w:rPr>
                <w:rFonts w:hint="eastAsia" w:cs="Times New Roman"/>
                <w:color w:val="auto"/>
                <w:kern w:val="0"/>
                <w:szCs w:val="21"/>
                <w:highlight w:val="none"/>
                <w:vertAlign w:val="superscript"/>
              </w:rPr>
              <w:t>3</w:t>
            </w:r>
            <w:r>
              <w:rPr>
                <w:rFonts w:hint="eastAsia" w:cs="Times New Roman"/>
                <w:color w:val="auto"/>
                <w:kern w:val="0"/>
                <w:szCs w:val="21"/>
                <w:highlight w:val="none"/>
              </w:rPr>
              <w:t>的挥发性有机液体储罐应符合下列规定之一:a</w:t>
            </w:r>
            <w:r>
              <w:rPr>
                <w:rFonts w:hint="eastAsia" w:cs="Times New Roman"/>
                <w:color w:val="auto"/>
                <w:kern w:val="0"/>
                <w:szCs w:val="21"/>
                <w:highlight w:val="none"/>
                <w:lang w:eastAsia="zh-CN"/>
              </w:rPr>
              <w:t>）</w:t>
            </w:r>
            <w:r>
              <w:rPr>
                <w:rFonts w:hint="eastAsia" w:cs="Times New Roman"/>
                <w:color w:val="auto"/>
                <w:kern w:val="0"/>
                <w:szCs w:val="21"/>
                <w:highlight w:val="none"/>
              </w:rPr>
              <w:t>采用内浮顶罐，内浮顶罐的浮盘与罐壁之间应采用液体镶嵌式、机械式鞋形、双封式等高效密封方式</w:t>
            </w:r>
            <w:r>
              <w:rPr>
                <w:rFonts w:hint="eastAsia" w:cs="Times New Roman"/>
                <w:color w:val="auto"/>
                <w:kern w:val="0"/>
                <w:szCs w:val="21"/>
                <w:highlight w:val="none"/>
                <w:lang w:eastAsia="zh-CN"/>
              </w:rPr>
              <w:t>。</w:t>
            </w:r>
            <w:r>
              <w:rPr>
                <w:rFonts w:hint="eastAsia" w:cs="Times New Roman"/>
                <w:color w:val="auto"/>
                <w:kern w:val="0"/>
                <w:szCs w:val="21"/>
                <w:highlight w:val="none"/>
              </w:rPr>
              <w:t>b</w:t>
            </w:r>
            <w:r>
              <w:rPr>
                <w:rFonts w:hint="eastAsia" w:cs="Times New Roman"/>
                <w:color w:val="auto"/>
                <w:kern w:val="0"/>
                <w:szCs w:val="21"/>
                <w:highlight w:val="none"/>
                <w:lang w:eastAsia="zh-CN"/>
              </w:rPr>
              <w:t>）</w:t>
            </w:r>
            <w:r>
              <w:rPr>
                <w:rFonts w:hint="eastAsia" w:cs="Times New Roman"/>
                <w:color w:val="auto"/>
                <w:kern w:val="0"/>
                <w:szCs w:val="21"/>
                <w:highlight w:val="none"/>
              </w:rPr>
              <w:t>采用外浮顶罐，外浮顶罐的浮盘与罐壁之间应采用双封式密封，且初级密封采用液体镶嵌式</w:t>
            </w:r>
            <w:r>
              <w:rPr>
                <w:rFonts w:hint="eastAsia" w:cs="Times New Roman"/>
                <w:color w:val="auto"/>
                <w:kern w:val="0"/>
                <w:szCs w:val="21"/>
                <w:highlight w:val="none"/>
                <w:lang w:eastAsia="zh-CN"/>
              </w:rPr>
              <w:t>、</w:t>
            </w:r>
            <w:r>
              <w:rPr>
                <w:rFonts w:hint="eastAsia" w:cs="Times New Roman"/>
                <w:color w:val="auto"/>
                <w:kern w:val="0"/>
                <w:szCs w:val="21"/>
                <w:highlight w:val="none"/>
              </w:rPr>
              <w:t>机械式鞋形等高效密封方式。</w:t>
            </w:r>
          </w:p>
          <w:p w14:paraId="2B0D7BB6">
            <w:pPr>
              <w:pStyle w:val="768"/>
              <w:adjustRightInd w:val="0"/>
              <w:snapToGrid w:val="0"/>
              <w:jc w:val="both"/>
              <w:rPr>
                <w:rFonts w:hint="eastAsia" w:eastAsia="宋体" w:cs="Times New Roman"/>
                <w:color w:val="auto"/>
                <w:kern w:val="0"/>
                <w:szCs w:val="21"/>
                <w:highlight w:val="none"/>
                <w:lang w:eastAsia="zh-CN"/>
              </w:rPr>
            </w:pPr>
            <w:r>
              <w:rPr>
                <w:rFonts w:hint="eastAsia" w:cs="Times New Roman"/>
                <w:color w:val="auto"/>
                <w:kern w:val="0"/>
                <w:szCs w:val="21"/>
                <w:highlight w:val="none"/>
              </w:rPr>
              <w:t>c</w:t>
            </w:r>
            <w:r>
              <w:rPr>
                <w:rFonts w:hint="eastAsia" w:cs="Times New Roman"/>
                <w:color w:val="auto"/>
                <w:kern w:val="0"/>
                <w:szCs w:val="21"/>
                <w:highlight w:val="none"/>
                <w:lang w:eastAsia="zh-CN"/>
              </w:rPr>
              <w:t>）</w:t>
            </w:r>
            <w:r>
              <w:rPr>
                <w:rFonts w:hint="eastAsia" w:cs="Times New Roman"/>
                <w:color w:val="auto"/>
                <w:kern w:val="0"/>
                <w:szCs w:val="21"/>
                <w:highlight w:val="none"/>
              </w:rPr>
              <w:t>采用固定顶罐，应安装密闭排气系统至有机废气回收或处理装置，其大气污染物排放应符合表4、表5的规定</w:t>
            </w:r>
            <w:r>
              <w:rPr>
                <w:rFonts w:hint="eastAsia" w:cs="Times New Roman"/>
                <w:color w:val="auto"/>
                <w:kern w:val="0"/>
                <w:szCs w:val="21"/>
                <w:highlight w:val="none"/>
                <w:lang w:eastAsia="zh-CN"/>
              </w:rPr>
              <w:t>。</w:t>
            </w:r>
          </w:p>
        </w:tc>
        <w:tc>
          <w:tcPr>
            <w:tcW w:w="1345" w:type="pct"/>
            <w:shd w:val="clear" w:color="auto" w:fill="auto"/>
            <w:vAlign w:val="center"/>
          </w:tcPr>
          <w:p w14:paraId="0C44BA74">
            <w:pPr>
              <w:pStyle w:val="768"/>
              <w:adjustRightInd w:val="0"/>
              <w:snapToGrid w:val="0"/>
              <w:jc w:val="both"/>
              <w:rPr>
                <w:rFonts w:hint="eastAsia" w:eastAsia="宋体" w:cs="Times New Roman"/>
                <w:color w:val="auto"/>
                <w:kern w:val="0"/>
                <w:szCs w:val="21"/>
                <w:highlight w:val="none"/>
                <w:lang w:eastAsia="zh-CN"/>
              </w:rPr>
            </w:pPr>
            <w:r>
              <w:rPr>
                <w:rFonts w:hint="eastAsia" w:ascii="Times New Roman" w:hAnsi="Times New Roman" w:eastAsia="宋体" w:cs="Times New Roman"/>
                <w:b w:val="0"/>
                <w:bCs w:val="0"/>
                <w:color w:val="auto"/>
                <w:spacing w:val="0"/>
                <w:kern w:val="0"/>
                <w:sz w:val="21"/>
                <w:szCs w:val="21"/>
                <w:highlight w:val="none"/>
                <w:lang w:val="en-US" w:eastAsia="zh-CN"/>
              </w:rPr>
              <w:t>本项目涉及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w:t>
            </w:r>
            <w:r>
              <w:rPr>
                <w:rFonts w:hint="eastAsia" w:cs="Times New Roman"/>
                <w:color w:val="auto"/>
                <w:kern w:val="0"/>
                <w:szCs w:val="21"/>
                <w:highlight w:val="none"/>
              </w:rPr>
              <w:t>蒸气压</w:t>
            </w:r>
            <w:r>
              <w:rPr>
                <w:rFonts w:hint="eastAsia" w:cs="Times New Roman"/>
                <w:color w:val="auto"/>
                <w:kern w:val="0"/>
                <w:szCs w:val="21"/>
                <w:highlight w:val="none"/>
                <w:lang w:val="en-US" w:eastAsia="zh-CN"/>
              </w:rPr>
              <w:t>约为0.17kPa，</w:t>
            </w:r>
            <w:r>
              <w:rPr>
                <w:rFonts w:hint="eastAsia" w:ascii="Times New Roman" w:hAnsi="Times New Roman" w:eastAsia="宋体" w:cs="Times New Roman"/>
                <w:b w:val="0"/>
                <w:bCs w:val="0"/>
                <w:color w:val="auto"/>
                <w:spacing w:val="0"/>
                <w:kern w:val="0"/>
                <w:sz w:val="21"/>
                <w:szCs w:val="21"/>
                <w:highlight w:val="none"/>
                <w:lang w:val="en-US" w:eastAsia="zh-CN"/>
              </w:rPr>
              <w:t>烷烃</w:t>
            </w:r>
            <w:r>
              <w:rPr>
                <w:rFonts w:hint="default" w:ascii="Times New Roman" w:hAnsi="Times New Roman" w:eastAsia="宋体" w:cs="Times New Roman"/>
                <w:b w:val="0"/>
                <w:bCs w:val="0"/>
                <w:snapToGrid w:val="0"/>
                <w:color w:val="auto"/>
                <w:spacing w:val="0"/>
                <w:kern w:val="0"/>
                <w:sz w:val="21"/>
                <w:szCs w:val="21"/>
                <w:highlight w:val="none"/>
              </w:rPr>
              <w:t>采用内</w:t>
            </w:r>
            <w:r>
              <w:rPr>
                <w:rFonts w:hint="default" w:ascii="Times New Roman" w:hAnsi="Times New Roman" w:eastAsia="宋体" w:cs="Times New Roman"/>
                <w:b w:val="0"/>
                <w:bCs w:val="0"/>
                <w:color w:val="auto"/>
                <w:spacing w:val="0"/>
                <w:kern w:val="0"/>
                <w:sz w:val="21"/>
                <w:szCs w:val="21"/>
                <w:highlight w:val="none"/>
              </w:rPr>
              <w:t>浮顶</w:t>
            </w:r>
            <w:r>
              <w:rPr>
                <w:rFonts w:hint="default" w:ascii="Times New Roman" w:hAnsi="Times New Roman" w:eastAsia="宋体" w:cs="Times New Roman"/>
                <w:b w:val="0"/>
                <w:bCs w:val="0"/>
                <w:snapToGrid w:val="0"/>
                <w:color w:val="auto"/>
                <w:spacing w:val="0"/>
                <w:kern w:val="0"/>
                <w:sz w:val="21"/>
                <w:szCs w:val="21"/>
                <w:highlight w:val="none"/>
              </w:rPr>
              <w:t>罐贮存，采用冷凝+活性炭吸附处理储罐废气</w:t>
            </w:r>
            <w:r>
              <w:rPr>
                <w:rFonts w:hint="eastAsia" w:ascii="Times New Roman" w:hAnsi="Times New Roman" w:eastAsia="宋体" w:cs="Times New Roman"/>
                <w:b w:val="0"/>
                <w:bCs w:val="0"/>
                <w:snapToGrid w:val="0"/>
                <w:color w:val="auto"/>
                <w:spacing w:val="0"/>
                <w:kern w:val="0"/>
                <w:sz w:val="21"/>
                <w:szCs w:val="21"/>
                <w:highlight w:val="none"/>
                <w:lang w:eastAsia="zh-CN"/>
              </w:rPr>
              <w:t>。</w:t>
            </w:r>
          </w:p>
        </w:tc>
        <w:tc>
          <w:tcPr>
            <w:tcW w:w="254" w:type="pct"/>
            <w:shd w:val="clear" w:color="auto" w:fill="auto"/>
            <w:vAlign w:val="center"/>
          </w:tcPr>
          <w:p w14:paraId="52BC48BB">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63CE7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3707628C">
            <w:pPr>
              <w:pStyle w:val="768"/>
              <w:adjustRightInd w:val="0"/>
              <w:snapToGrid w:val="0"/>
              <w:jc w:val="both"/>
              <w:rPr>
                <w:rFonts w:hint="eastAsia" w:cs="Times New Roman"/>
                <w:color w:val="auto"/>
                <w:kern w:val="0"/>
                <w:szCs w:val="21"/>
                <w:highlight w:val="none"/>
                <w:lang w:eastAsia="zh-CN"/>
              </w:rPr>
            </w:pPr>
            <w:r>
              <w:rPr>
                <w:rFonts w:hint="eastAsia" w:cs="Times New Roman"/>
                <w:color w:val="auto"/>
                <w:kern w:val="0"/>
                <w:szCs w:val="21"/>
                <w:highlight w:val="none"/>
              </w:rPr>
              <w:t>5.2.4 挥发性有机液体储罐的运行控制应符合下列规定</w:t>
            </w:r>
            <w:r>
              <w:rPr>
                <w:rFonts w:hint="eastAsia" w:cs="Times New Roman"/>
                <w:color w:val="auto"/>
                <w:kern w:val="0"/>
                <w:szCs w:val="21"/>
                <w:highlight w:val="none"/>
                <w:lang w:eastAsia="zh-CN"/>
              </w:rPr>
              <w:t>：a）储罐罐体应保持完好，不应有孔洞、缝隙，储罐附件开口、孔（内浮顶罐通气孔除外），除采样、计量、例行检查、维护和其他正常活动外，应密闭；浮顶罐浮盘边缘密封不应有破损。</w:t>
            </w:r>
          </w:p>
          <w:p w14:paraId="5D399185">
            <w:pPr>
              <w:pStyle w:val="768"/>
              <w:adjustRightInd w:val="0"/>
              <w:snapToGrid w:val="0"/>
              <w:jc w:val="both"/>
              <w:rPr>
                <w:rFonts w:hint="eastAsia" w:eastAsia="宋体" w:cs="Times New Roman"/>
                <w:color w:val="auto"/>
                <w:kern w:val="0"/>
                <w:szCs w:val="21"/>
                <w:highlight w:val="none"/>
                <w:lang w:eastAsia="zh-CN"/>
              </w:rPr>
            </w:pPr>
            <w:r>
              <w:rPr>
                <w:rFonts w:hint="eastAsia" w:cs="Times New Roman"/>
                <w:color w:val="auto"/>
                <w:kern w:val="0"/>
                <w:szCs w:val="21"/>
                <w:highlight w:val="none"/>
                <w:lang w:eastAsia="zh-CN"/>
              </w:rPr>
              <w:t>b）储罐呼吸阀和浮盘边缘呼吸阀操作压力低于设定的开启压力75%时，呼吸阀的泄漏检测值应低于2000μmol/mol。c）支柱、导向装置等储罐附件穿过浮顶罐浮盘时，应采取密封措施。d）除储罐排空作业外，浮顶罐浮盘应始终漂浮于储存物料的表面。e）自动通气阀和边缘呼吸阀在浮顶罐浮盘处于漂浮状态时应密封良好。自动通气阀仅在浮顶罐浮盘处于支座支撑状态时开启。f）除自动通气阀、边缘呼吸阀外，浮顶罐浮盘外边缘板及所有通过浮盘的开孔接管均应浸入储存物料液面下。</w:t>
            </w:r>
          </w:p>
        </w:tc>
        <w:tc>
          <w:tcPr>
            <w:tcW w:w="1345" w:type="pct"/>
            <w:shd w:val="clear" w:color="auto" w:fill="auto"/>
            <w:vAlign w:val="center"/>
          </w:tcPr>
          <w:p w14:paraId="68A5C672">
            <w:pPr>
              <w:pStyle w:val="768"/>
              <w:adjustRightInd w:val="0"/>
              <w:snapToGrid w:val="0"/>
              <w:jc w:val="both"/>
              <w:rPr>
                <w:rFonts w:hint="default" w:cs="Times New Roman"/>
                <w:color w:val="auto"/>
                <w:kern w:val="0"/>
                <w:szCs w:val="21"/>
                <w:highlight w:val="none"/>
                <w:lang w:val="en-US"/>
              </w:rPr>
            </w:pPr>
            <w:r>
              <w:rPr>
                <w:rFonts w:hint="eastAsia" w:ascii="Times New Roman" w:hAnsi="Times New Roman" w:eastAsia="宋体" w:cs="Times New Roman"/>
                <w:b w:val="0"/>
                <w:bCs w:val="0"/>
                <w:color w:val="auto"/>
                <w:spacing w:val="0"/>
                <w:kern w:val="0"/>
                <w:sz w:val="21"/>
                <w:szCs w:val="21"/>
                <w:highlight w:val="none"/>
                <w:lang w:val="en-US" w:eastAsia="zh-CN"/>
              </w:rPr>
              <w:t>本项目涉及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主要为烷烃，烷烃</w:t>
            </w:r>
            <w:r>
              <w:rPr>
                <w:rFonts w:hint="default" w:ascii="Times New Roman" w:hAnsi="Times New Roman" w:eastAsia="宋体" w:cs="Times New Roman"/>
                <w:b w:val="0"/>
                <w:bCs w:val="0"/>
                <w:snapToGrid w:val="0"/>
                <w:color w:val="auto"/>
                <w:spacing w:val="0"/>
                <w:kern w:val="0"/>
                <w:sz w:val="21"/>
                <w:szCs w:val="21"/>
                <w:highlight w:val="none"/>
              </w:rPr>
              <w:t>采用内</w:t>
            </w:r>
            <w:r>
              <w:rPr>
                <w:rFonts w:hint="default" w:ascii="Times New Roman" w:hAnsi="Times New Roman" w:eastAsia="宋体" w:cs="Times New Roman"/>
                <w:b w:val="0"/>
                <w:bCs w:val="0"/>
                <w:color w:val="auto"/>
                <w:spacing w:val="0"/>
                <w:kern w:val="0"/>
                <w:sz w:val="21"/>
                <w:szCs w:val="21"/>
                <w:highlight w:val="none"/>
              </w:rPr>
              <w:t>浮顶</w:t>
            </w:r>
            <w:r>
              <w:rPr>
                <w:rFonts w:hint="default" w:ascii="Times New Roman" w:hAnsi="Times New Roman" w:eastAsia="宋体" w:cs="Times New Roman"/>
                <w:b w:val="0"/>
                <w:bCs w:val="0"/>
                <w:snapToGrid w:val="0"/>
                <w:color w:val="auto"/>
                <w:spacing w:val="0"/>
                <w:kern w:val="0"/>
                <w:sz w:val="21"/>
                <w:szCs w:val="21"/>
                <w:highlight w:val="none"/>
              </w:rPr>
              <w:t>罐贮存，</w:t>
            </w:r>
            <w:r>
              <w:rPr>
                <w:rFonts w:hint="eastAsia" w:ascii="Times New Roman" w:hAnsi="Times New Roman" w:eastAsia="宋体" w:cs="Times New Roman"/>
                <w:b w:val="0"/>
                <w:bCs w:val="0"/>
                <w:snapToGrid w:val="0"/>
                <w:color w:val="auto"/>
                <w:spacing w:val="0"/>
                <w:kern w:val="0"/>
                <w:sz w:val="21"/>
                <w:szCs w:val="21"/>
                <w:highlight w:val="none"/>
                <w:lang w:val="en-US" w:eastAsia="zh-CN"/>
              </w:rPr>
              <w:t>要求</w:t>
            </w:r>
            <w:r>
              <w:rPr>
                <w:rFonts w:hint="eastAsia" w:cs="Times New Roman"/>
                <w:color w:val="auto"/>
                <w:kern w:val="0"/>
                <w:szCs w:val="21"/>
                <w:highlight w:val="none"/>
                <w:lang w:eastAsia="zh-CN"/>
              </w:rPr>
              <w:t>储罐罐体保持完好，</w:t>
            </w:r>
            <w:r>
              <w:rPr>
                <w:rFonts w:hint="eastAsia" w:cs="Times New Roman"/>
                <w:color w:val="auto"/>
                <w:kern w:val="0"/>
                <w:szCs w:val="21"/>
                <w:highlight w:val="none"/>
                <w:lang w:val="en-US" w:eastAsia="zh-CN"/>
              </w:rPr>
              <w:t>正常情况下应密闭。</w:t>
            </w:r>
          </w:p>
        </w:tc>
        <w:tc>
          <w:tcPr>
            <w:tcW w:w="254" w:type="pct"/>
            <w:shd w:val="clear" w:color="auto" w:fill="auto"/>
            <w:vAlign w:val="center"/>
          </w:tcPr>
          <w:p w14:paraId="0C8500A5">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028CD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16893CD5">
            <w:pPr>
              <w:pStyle w:val="768"/>
              <w:adjustRightInd w:val="0"/>
              <w:snapToGrid w:val="0"/>
              <w:jc w:val="both"/>
              <w:rPr>
                <w:rFonts w:hint="eastAsia" w:cs="Times New Roman"/>
                <w:color w:val="auto"/>
                <w:kern w:val="0"/>
                <w:szCs w:val="21"/>
                <w:highlight w:val="none"/>
              </w:rPr>
            </w:pPr>
            <w:r>
              <w:rPr>
                <w:rFonts w:hint="eastAsia" w:cs="Times New Roman"/>
                <w:color w:val="auto"/>
                <w:kern w:val="0"/>
                <w:szCs w:val="21"/>
                <w:highlight w:val="none"/>
              </w:rPr>
              <w:t>5.3.3 泄漏检测周期</w:t>
            </w:r>
          </w:p>
          <w:p w14:paraId="12EC05FA">
            <w:pPr>
              <w:pStyle w:val="768"/>
              <w:adjustRightInd w:val="0"/>
              <w:snapToGrid w:val="0"/>
              <w:jc w:val="both"/>
              <w:rPr>
                <w:rFonts w:cs="Times New Roman"/>
                <w:color w:val="auto"/>
                <w:kern w:val="0"/>
                <w:szCs w:val="21"/>
                <w:highlight w:val="none"/>
              </w:rPr>
            </w:pPr>
            <w:r>
              <w:rPr>
                <w:rFonts w:hint="eastAsia" w:cs="Times New Roman"/>
                <w:color w:val="auto"/>
                <w:kern w:val="0"/>
                <w:szCs w:val="21"/>
                <w:highlight w:val="none"/>
              </w:rPr>
              <w:t>根据设备与管线组件的类型，采用不同的泄漏检测周期</w:t>
            </w:r>
            <w:r>
              <w:rPr>
                <w:rFonts w:hint="eastAsia" w:cs="Times New Roman"/>
                <w:color w:val="auto"/>
                <w:kern w:val="0"/>
                <w:szCs w:val="21"/>
                <w:highlight w:val="none"/>
                <w:lang w:eastAsia="zh-CN"/>
              </w:rPr>
              <w:t>：</w:t>
            </w:r>
            <w:r>
              <w:rPr>
                <w:rFonts w:hint="eastAsia" w:cs="Times New Roman"/>
                <w:color w:val="auto"/>
                <w:kern w:val="0"/>
                <w:szCs w:val="21"/>
                <w:highlight w:val="none"/>
              </w:rPr>
              <w:t>a</w:t>
            </w:r>
            <w:r>
              <w:rPr>
                <w:rFonts w:hint="eastAsia" w:cs="Times New Roman"/>
                <w:color w:val="auto"/>
                <w:kern w:val="0"/>
                <w:szCs w:val="21"/>
                <w:highlight w:val="none"/>
                <w:lang w:eastAsia="zh-CN"/>
              </w:rPr>
              <w:t>）</w:t>
            </w:r>
            <w:r>
              <w:rPr>
                <w:rFonts w:hint="eastAsia" w:cs="Times New Roman"/>
                <w:color w:val="auto"/>
                <w:kern w:val="0"/>
                <w:szCs w:val="21"/>
                <w:highlight w:val="none"/>
              </w:rPr>
              <w:t>泵、压缩机、阀门、开口阀或开口管线、气体/蒸气泄压设备、取样连接系统每3个月检测一次。</w:t>
            </w:r>
            <w:r>
              <w:rPr>
                <w:rFonts w:hint="eastAsia" w:cs="Times New Roman"/>
                <w:color w:val="auto"/>
                <w:kern w:val="0"/>
                <w:szCs w:val="21"/>
                <w:highlight w:val="none"/>
                <w:lang w:val="en-US" w:eastAsia="zh-CN"/>
              </w:rPr>
              <w:t>b</w:t>
            </w:r>
            <w:r>
              <w:rPr>
                <w:rFonts w:hint="eastAsia" w:cs="Times New Roman"/>
                <w:color w:val="auto"/>
                <w:kern w:val="0"/>
                <w:szCs w:val="21"/>
                <w:highlight w:val="none"/>
                <w:lang w:eastAsia="zh-CN"/>
              </w:rPr>
              <w:t>）</w:t>
            </w:r>
            <w:r>
              <w:rPr>
                <w:rFonts w:hint="eastAsia" w:cs="Times New Roman"/>
                <w:color w:val="auto"/>
                <w:kern w:val="0"/>
                <w:szCs w:val="21"/>
                <w:highlight w:val="none"/>
              </w:rPr>
              <w:t>法兰及其他连接件、其他密封设备每6个月检测一次。c</w:t>
            </w:r>
            <w:r>
              <w:rPr>
                <w:rFonts w:hint="eastAsia" w:cs="Times New Roman"/>
                <w:color w:val="auto"/>
                <w:kern w:val="0"/>
                <w:szCs w:val="21"/>
                <w:highlight w:val="none"/>
                <w:lang w:eastAsia="zh-CN"/>
              </w:rPr>
              <w:t>）</w:t>
            </w:r>
            <w:r>
              <w:rPr>
                <w:rFonts w:hint="eastAsia" w:cs="Times New Roman"/>
                <w:color w:val="auto"/>
                <w:kern w:val="0"/>
                <w:szCs w:val="21"/>
                <w:highlight w:val="none"/>
              </w:rPr>
              <w:t>对于挥发性有机物流经的初次开工开始运转的设备和管线组件，应在开工后30d内对其进行第一次检测。d</w:t>
            </w:r>
            <w:r>
              <w:rPr>
                <w:rFonts w:hint="eastAsia" w:cs="Times New Roman"/>
                <w:color w:val="auto"/>
                <w:kern w:val="0"/>
                <w:szCs w:val="21"/>
                <w:highlight w:val="none"/>
                <w:lang w:eastAsia="zh-CN"/>
              </w:rPr>
              <w:t>）</w:t>
            </w:r>
            <w:r>
              <w:rPr>
                <w:rFonts w:hint="eastAsia" w:cs="Times New Roman"/>
                <w:color w:val="auto"/>
                <w:kern w:val="0"/>
                <w:szCs w:val="21"/>
                <w:highlight w:val="none"/>
              </w:rPr>
              <w:t>挥发性有机液体流经的设备和管线组件每周应进行目视观察，检查其密封处是否出现滴液迹象。e</w:t>
            </w:r>
            <w:r>
              <w:rPr>
                <w:rFonts w:hint="eastAsia" w:cs="Times New Roman"/>
                <w:color w:val="auto"/>
                <w:kern w:val="0"/>
                <w:szCs w:val="21"/>
                <w:highlight w:val="none"/>
                <w:lang w:eastAsia="zh-CN"/>
              </w:rPr>
              <w:t>）</w:t>
            </w:r>
            <w:r>
              <w:rPr>
                <w:rFonts w:hint="eastAsia" w:cs="Times New Roman"/>
                <w:color w:val="auto"/>
                <w:kern w:val="0"/>
                <w:szCs w:val="21"/>
                <w:highlight w:val="none"/>
              </w:rPr>
              <w:t>同一密封点以及循环冷却水系统连续三个检测周期无泄漏的，检测周期可延长且最多延长一倍。若在后续监测中该检测点位检测出现泄漏，则监测频次恢复按a</w:t>
            </w:r>
            <w:r>
              <w:rPr>
                <w:rFonts w:hint="eastAsia" w:cs="Times New Roman"/>
                <w:color w:val="auto"/>
                <w:kern w:val="0"/>
                <w:szCs w:val="21"/>
                <w:highlight w:val="none"/>
                <w:lang w:eastAsia="zh-CN"/>
              </w:rPr>
              <w:t>）</w:t>
            </w:r>
            <w:r>
              <w:rPr>
                <w:rFonts w:hint="eastAsia" w:cs="Times New Roman"/>
                <w:color w:val="auto"/>
                <w:kern w:val="0"/>
                <w:szCs w:val="21"/>
                <w:highlight w:val="none"/>
              </w:rPr>
              <w:t>和b</w:t>
            </w:r>
            <w:r>
              <w:rPr>
                <w:rFonts w:hint="eastAsia" w:cs="Times New Roman"/>
                <w:color w:val="auto"/>
                <w:kern w:val="0"/>
                <w:szCs w:val="21"/>
                <w:highlight w:val="none"/>
                <w:lang w:eastAsia="zh-CN"/>
              </w:rPr>
              <w:t>）</w:t>
            </w:r>
            <w:r>
              <w:rPr>
                <w:rFonts w:hint="eastAsia" w:cs="Times New Roman"/>
                <w:color w:val="auto"/>
                <w:kern w:val="0"/>
                <w:szCs w:val="21"/>
                <w:highlight w:val="none"/>
              </w:rPr>
              <w:t>规定执行。f</w:t>
            </w:r>
            <w:r>
              <w:rPr>
                <w:rFonts w:hint="eastAsia" w:cs="Times New Roman"/>
                <w:color w:val="auto"/>
                <w:kern w:val="0"/>
                <w:szCs w:val="21"/>
                <w:highlight w:val="none"/>
                <w:lang w:eastAsia="zh-CN"/>
              </w:rPr>
              <w:t>）</w:t>
            </w:r>
            <w:r>
              <w:rPr>
                <w:rFonts w:hint="eastAsia" w:cs="Times New Roman"/>
                <w:color w:val="auto"/>
                <w:kern w:val="0"/>
                <w:szCs w:val="21"/>
                <w:highlight w:val="none"/>
              </w:rPr>
              <w:t>符合GB37822相关规定的，以及设备与管线组件中的流体含挥发性有机物质量分数占比小于10%的液体，免于泄漏检测。</w:t>
            </w:r>
          </w:p>
        </w:tc>
        <w:tc>
          <w:tcPr>
            <w:tcW w:w="1345" w:type="pct"/>
            <w:shd w:val="clear" w:color="auto" w:fill="auto"/>
            <w:vAlign w:val="center"/>
          </w:tcPr>
          <w:p w14:paraId="5685538E">
            <w:pPr>
              <w:pStyle w:val="768"/>
              <w:adjustRightInd w:val="0"/>
              <w:snapToGrid w:val="0"/>
              <w:jc w:val="both"/>
              <w:rPr>
                <w:rFonts w:cs="Times New Roman"/>
                <w:color w:val="auto"/>
                <w:kern w:val="0"/>
                <w:szCs w:val="21"/>
                <w:highlight w:val="none"/>
              </w:rPr>
            </w:pPr>
            <w:r>
              <w:rPr>
                <w:rFonts w:hint="eastAsia" w:ascii="Times New Roman" w:hAnsi="Times New Roman" w:eastAsia="宋体" w:cs="Times New Roman"/>
                <w:b w:val="0"/>
                <w:bCs w:val="0"/>
                <w:snapToGrid w:val="0"/>
                <w:color w:val="auto"/>
                <w:kern w:val="0"/>
                <w:sz w:val="21"/>
                <w:szCs w:val="21"/>
                <w:highlight w:val="none"/>
              </w:rPr>
              <w:t>本次评价提出</w:t>
            </w:r>
            <w:r>
              <w:rPr>
                <w:rFonts w:ascii="Times New Roman" w:hAnsi="Times New Roman" w:eastAsia="宋体" w:cs="Times New Roman"/>
                <w:b w:val="0"/>
                <w:bCs w:val="0"/>
                <w:snapToGrid w:val="0"/>
                <w:color w:val="auto"/>
                <w:kern w:val="0"/>
                <w:sz w:val="21"/>
                <w:szCs w:val="21"/>
                <w:highlight w:val="none"/>
              </w:rPr>
              <w:t>企业</w:t>
            </w:r>
            <w:r>
              <w:rPr>
                <w:rFonts w:hint="eastAsia" w:ascii="Times New Roman" w:hAnsi="Times New Roman" w:eastAsia="宋体" w:cs="Times New Roman"/>
                <w:b w:val="0"/>
                <w:bCs w:val="0"/>
                <w:snapToGrid w:val="0"/>
                <w:color w:val="auto"/>
                <w:kern w:val="0"/>
                <w:sz w:val="21"/>
                <w:szCs w:val="21"/>
                <w:highlight w:val="none"/>
              </w:rPr>
              <w:t>应</w:t>
            </w:r>
            <w:r>
              <w:rPr>
                <w:rFonts w:ascii="Times New Roman" w:hAnsi="Times New Roman" w:eastAsia="宋体" w:cs="Times New Roman"/>
                <w:b w:val="0"/>
                <w:bCs w:val="0"/>
                <w:snapToGrid w:val="0"/>
                <w:color w:val="auto"/>
                <w:kern w:val="0"/>
                <w:sz w:val="21"/>
                <w:szCs w:val="21"/>
                <w:highlight w:val="none"/>
              </w:rPr>
              <w:t>按照</w:t>
            </w:r>
            <w:r>
              <w:rPr>
                <w:rFonts w:hint="eastAsia" w:ascii="Times New Roman" w:hAnsi="Times New Roman" w:eastAsia="宋体" w:cs="Times New Roman"/>
                <w:b w:val="0"/>
                <w:bCs w:val="0"/>
                <w:snapToGrid w:val="0"/>
                <w:color w:val="auto"/>
                <w:kern w:val="0"/>
                <w:sz w:val="21"/>
                <w:szCs w:val="21"/>
                <w:highlight w:val="none"/>
              </w:rPr>
              <w:t>相关标准及</w:t>
            </w:r>
            <w:r>
              <w:rPr>
                <w:rFonts w:ascii="Times New Roman" w:hAnsi="Times New Roman" w:eastAsia="宋体" w:cs="Times New Roman"/>
                <w:b w:val="0"/>
                <w:bCs w:val="0"/>
                <w:snapToGrid w:val="0"/>
                <w:color w:val="auto"/>
                <w:kern w:val="0"/>
                <w:sz w:val="21"/>
                <w:szCs w:val="21"/>
                <w:highlight w:val="none"/>
              </w:rPr>
              <w:t>规范开展LDAR工作。</w:t>
            </w:r>
          </w:p>
        </w:tc>
        <w:tc>
          <w:tcPr>
            <w:tcW w:w="254" w:type="pct"/>
            <w:shd w:val="clear" w:color="auto" w:fill="auto"/>
            <w:vAlign w:val="center"/>
          </w:tcPr>
          <w:p w14:paraId="4A468E60">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5ABFC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1DAA75CB">
            <w:pPr>
              <w:pStyle w:val="768"/>
              <w:adjustRightInd w:val="0"/>
              <w:snapToGrid w:val="0"/>
              <w:jc w:val="both"/>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5.4.4 废气处理装置</w:t>
            </w:r>
          </w:p>
          <w:p w14:paraId="53E3A5F6">
            <w:pPr>
              <w:pStyle w:val="768"/>
              <w:adjustRightInd w:val="0"/>
              <w:snapToGrid w:val="0"/>
              <w:jc w:val="both"/>
              <w:rPr>
                <w:rFonts w:hint="eastAsia" w:cs="Times New Roman"/>
                <w:b/>
                <w:bCs/>
                <w:color w:val="auto"/>
                <w:kern w:val="0"/>
                <w:szCs w:val="21"/>
                <w:highlight w:val="none"/>
              </w:rPr>
            </w:pPr>
            <w:r>
              <w:rPr>
                <w:rFonts w:hint="eastAsia" w:ascii="Times New Roman" w:hAnsi="Times New Roman" w:eastAsia="宋体" w:cs="Times New Roman"/>
                <w:color w:val="auto"/>
                <w:kern w:val="0"/>
                <w:szCs w:val="21"/>
                <w:highlight w:val="none"/>
              </w:rPr>
              <w:t>为保证废气处理装置的净化效果，需要在线测定相关工艺参数</w:t>
            </w:r>
            <w:r>
              <w:rPr>
                <w:rFonts w:hint="eastAsia" w:ascii="Times New Roman" w:hAnsi="Times New Roman" w:eastAsia="宋体"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rPr>
              <w:t>a</w:t>
            </w:r>
            <w:r>
              <w:rPr>
                <w:rFonts w:hint="eastAsia"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rPr>
              <w:t>冷凝器排出的不凝尾气的温度应低于尾气中污染物的液化温度，若尾气中有数种污染物，则不凝尾气的温度应低于尾气中液化温度最低的污染物的液化温度</w:t>
            </w:r>
            <w:r>
              <w:rPr>
                <w:rFonts w:hint="eastAsia" w:ascii="Times New Roman" w:hAnsi="Times New Roman" w:eastAsia="宋体"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rPr>
              <w:t>b</w:t>
            </w:r>
            <w:r>
              <w:rPr>
                <w:rFonts w:hint="eastAsia"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rPr>
              <w:t>吸附装置的吸附剂更换/再生周期、操作温度应满足设计参数的要求</w:t>
            </w:r>
            <w:r>
              <w:rPr>
                <w:rFonts w:hint="eastAsia" w:ascii="Times New Roman" w:hAnsi="Times New Roman" w:eastAsia="宋体"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lang w:val="en-US" w:eastAsia="zh-CN"/>
              </w:rPr>
              <w:t>c）</w:t>
            </w:r>
            <w:r>
              <w:rPr>
                <w:rFonts w:hint="eastAsia" w:ascii="Times New Roman" w:hAnsi="Times New Roman" w:eastAsia="宋体" w:cs="Times New Roman"/>
                <w:color w:val="auto"/>
                <w:kern w:val="0"/>
                <w:szCs w:val="21"/>
                <w:highlight w:val="none"/>
              </w:rPr>
              <w:t>洗涤装置的洗涤液水质</w:t>
            </w:r>
            <w:r>
              <w:rPr>
                <w:rFonts w:hint="eastAsia" w:ascii="Times New Roman" w:hAnsi="Times New Roman" w:eastAsia="宋体"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rPr>
              <w:t>如pH值</w:t>
            </w:r>
            <w:r>
              <w:rPr>
                <w:rFonts w:hint="eastAsia" w:ascii="Times New Roman" w:hAnsi="Times New Roman" w:eastAsia="宋体" w:cs="Times New Roman"/>
                <w:color w:val="auto"/>
                <w:kern w:val="0"/>
                <w:szCs w:val="21"/>
                <w:highlight w:val="none"/>
                <w:lang w:eastAsia="zh-CN"/>
              </w:rPr>
              <w:t>）</w:t>
            </w:r>
            <w:r>
              <w:rPr>
                <w:rFonts w:hint="eastAsia" w:ascii="Times New Roman" w:hAnsi="Times New Roman" w:eastAsia="宋体" w:cs="Times New Roman"/>
                <w:color w:val="auto"/>
                <w:kern w:val="0"/>
                <w:szCs w:val="21"/>
                <w:highlight w:val="none"/>
              </w:rPr>
              <w:t>、水量应满足设计参数的要求。</w:t>
            </w:r>
          </w:p>
        </w:tc>
        <w:tc>
          <w:tcPr>
            <w:tcW w:w="1345" w:type="pct"/>
            <w:shd w:val="clear" w:color="auto" w:fill="auto"/>
            <w:vAlign w:val="center"/>
          </w:tcPr>
          <w:p w14:paraId="407E1114">
            <w:pPr>
              <w:pStyle w:val="768"/>
              <w:adjustRightInd w:val="0"/>
              <w:snapToGrid w:val="0"/>
              <w:jc w:val="both"/>
              <w:rPr>
                <w:rFonts w:hint="default" w:cs="Times New Roman"/>
                <w:color w:val="auto"/>
                <w:kern w:val="0"/>
                <w:szCs w:val="21"/>
                <w:highlight w:val="none"/>
                <w:lang w:val="en-US"/>
              </w:rPr>
            </w:pPr>
            <w:r>
              <w:rPr>
                <w:rFonts w:hint="default" w:ascii="Times New Roman" w:hAnsi="Times New Roman" w:eastAsia="宋体" w:cs="Times New Roman"/>
                <w:b w:val="0"/>
                <w:bCs w:val="0"/>
                <w:snapToGrid w:val="0"/>
                <w:color w:val="auto"/>
                <w:spacing w:val="0"/>
                <w:kern w:val="0"/>
                <w:sz w:val="21"/>
                <w:szCs w:val="21"/>
                <w:highlight w:val="none"/>
              </w:rPr>
              <w:t>储罐废气采用冷凝+活性炭吸附处理，</w:t>
            </w:r>
            <w:r>
              <w:rPr>
                <w:rFonts w:hint="eastAsia" w:ascii="Times New Roman" w:hAnsi="Times New Roman" w:eastAsia="宋体" w:cs="Times New Roman"/>
                <w:b w:val="0"/>
                <w:bCs w:val="0"/>
                <w:snapToGrid w:val="0"/>
                <w:color w:val="auto"/>
                <w:spacing w:val="0"/>
                <w:kern w:val="0"/>
                <w:sz w:val="21"/>
                <w:szCs w:val="21"/>
                <w:highlight w:val="none"/>
                <w:lang w:val="en-US" w:eastAsia="zh-CN"/>
              </w:rPr>
              <w:t>冷凝温度7℃低于烷烃液化温度；</w:t>
            </w:r>
            <w:r>
              <w:rPr>
                <w:rFonts w:hint="eastAsia" w:ascii="Times New Roman" w:hAnsi="Times New Roman" w:eastAsia="宋体" w:cs="Times New Roman"/>
                <w:b w:val="0"/>
                <w:bCs w:val="0"/>
                <w:color w:val="auto"/>
                <w:spacing w:val="0"/>
                <w:kern w:val="0"/>
                <w:sz w:val="21"/>
                <w:szCs w:val="21"/>
                <w:highlight w:val="none"/>
                <w:lang w:val="en-US" w:eastAsia="zh-CN"/>
              </w:rPr>
              <w:t>其他有机废气采用水吸收和碱吸收工艺处理，要求吸附装置及淋洗塔满足相关设计要求。</w:t>
            </w:r>
          </w:p>
        </w:tc>
        <w:tc>
          <w:tcPr>
            <w:tcW w:w="254" w:type="pct"/>
            <w:shd w:val="clear" w:color="auto" w:fill="auto"/>
            <w:vAlign w:val="center"/>
          </w:tcPr>
          <w:p w14:paraId="3C567C5C">
            <w:pPr>
              <w:pStyle w:val="42"/>
              <w:widowControl/>
              <w:tabs>
                <w:tab w:val="left" w:pos="0"/>
              </w:tabs>
              <w:adjustRightInd w:val="0"/>
              <w:snapToGrid w:val="0"/>
              <w:ind w:left="0" w:firstLine="0" w:firstLineChars="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符合</w:t>
            </w:r>
          </w:p>
        </w:tc>
      </w:tr>
      <w:tr w14:paraId="49693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54B5F7E0">
            <w:pPr>
              <w:pStyle w:val="768"/>
              <w:adjustRightInd w:val="0"/>
              <w:snapToGrid w:val="0"/>
              <w:jc w:val="both"/>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表8 合成树脂企业挥发性物料投加、分离、抽真空、干燥废气控制措施</w:t>
            </w:r>
          </w:p>
          <w:p w14:paraId="4C9EE253">
            <w:pPr>
              <w:pStyle w:val="768"/>
              <w:adjustRightInd w:val="0"/>
              <w:snapToGrid w:val="0"/>
              <w:jc w:val="both"/>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挥发性物料和粉状物料投加：1.采用无泄漏泵，或密封隔离液所受压力高于工艺压力的双端面机械密封泵，或具有同等效能的泵投加液体物料；或采用高位槽投加液体物料。2.采用管道自动计量并投加粉体物料，或者采用投料器密闭投加粉体物料。</w:t>
            </w:r>
          </w:p>
        </w:tc>
        <w:tc>
          <w:tcPr>
            <w:tcW w:w="1345" w:type="pct"/>
            <w:shd w:val="clear" w:color="auto" w:fill="auto"/>
            <w:vAlign w:val="center"/>
          </w:tcPr>
          <w:p w14:paraId="6E49D26B">
            <w:pPr>
              <w:pStyle w:val="768"/>
              <w:adjustRightInd w:val="0"/>
              <w:snapToGrid w:val="0"/>
              <w:jc w:val="both"/>
              <w:rPr>
                <w:rFonts w:hint="default" w:ascii="Times New Roman" w:hAnsi="Times New Roman" w:eastAsia="宋体" w:cs="Times New Roman"/>
                <w:b w:val="0"/>
                <w:bCs w:val="0"/>
                <w:snapToGrid w:val="0"/>
                <w:color w:val="auto"/>
                <w:spacing w:val="0"/>
                <w:kern w:val="0"/>
                <w:sz w:val="21"/>
                <w:szCs w:val="21"/>
                <w:highlight w:val="none"/>
                <w:lang w:val="en-US" w:eastAsia="zh-CN"/>
              </w:rPr>
            </w:pPr>
            <w:r>
              <w:rPr>
                <w:rFonts w:hint="eastAsia" w:cs="Times New Roman"/>
                <w:b w:val="0"/>
                <w:bCs w:val="0"/>
                <w:snapToGrid w:val="0"/>
                <w:color w:val="auto"/>
                <w:spacing w:val="0"/>
                <w:kern w:val="0"/>
                <w:sz w:val="21"/>
                <w:szCs w:val="21"/>
                <w:highlight w:val="none"/>
                <w:lang w:val="en-US" w:eastAsia="zh-CN"/>
              </w:rPr>
              <w:t>本项目采用</w:t>
            </w:r>
            <w:r>
              <w:rPr>
                <w:rFonts w:hint="eastAsia" w:cs="Times New Roman"/>
                <w:color w:val="auto"/>
                <w:kern w:val="0"/>
                <w:szCs w:val="21"/>
                <w:highlight w:val="none"/>
                <w:lang w:val="en-US" w:eastAsia="zh-CN"/>
              </w:rPr>
              <w:t>无泄漏泵投加液体物料，采用投料器密闭投加粉体物料。</w:t>
            </w:r>
          </w:p>
        </w:tc>
        <w:tc>
          <w:tcPr>
            <w:tcW w:w="254" w:type="pct"/>
            <w:shd w:val="clear" w:color="auto" w:fill="auto"/>
            <w:vAlign w:val="center"/>
          </w:tcPr>
          <w:p w14:paraId="37232E91">
            <w:pPr>
              <w:pStyle w:val="42"/>
              <w:widowControl/>
              <w:tabs>
                <w:tab w:val="left" w:pos="0"/>
              </w:tabs>
              <w:adjustRightInd w:val="0"/>
              <w:snapToGrid w:val="0"/>
              <w:ind w:left="0" w:firstLine="0" w:firstLineChars="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符合</w:t>
            </w:r>
          </w:p>
        </w:tc>
      </w:tr>
      <w:tr w14:paraId="34DD2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71DDEF95">
            <w:pPr>
              <w:pStyle w:val="768"/>
              <w:adjustRightInd w:val="0"/>
              <w:snapToGrid w:val="0"/>
              <w:jc w:val="both"/>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表8 合成树脂企业挥发性物料投加、分离、抽真空、干燥废气控制措施</w:t>
            </w:r>
          </w:p>
          <w:p w14:paraId="5FE1EDE4">
            <w:pPr>
              <w:pStyle w:val="768"/>
              <w:adjustRightInd w:val="0"/>
              <w:snapToGrid w:val="0"/>
              <w:jc w:val="both"/>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挥发性物料分离（离心、过滤）：1.采用全自动密闭式（氮气或空气密封）的压滤机。</w:t>
            </w:r>
          </w:p>
          <w:p w14:paraId="676A8099">
            <w:pPr>
              <w:pStyle w:val="768"/>
              <w:adjustRightInd w:val="0"/>
              <w:snapToGrid w:val="0"/>
              <w:jc w:val="both"/>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2.采用全自动密闭或半密闭式的离心机。</w:t>
            </w:r>
          </w:p>
        </w:tc>
        <w:tc>
          <w:tcPr>
            <w:tcW w:w="1345" w:type="pct"/>
            <w:shd w:val="clear" w:color="auto" w:fill="auto"/>
            <w:vAlign w:val="center"/>
          </w:tcPr>
          <w:p w14:paraId="4F968EBC">
            <w:pPr>
              <w:pStyle w:val="768"/>
              <w:adjustRightInd w:val="0"/>
              <w:snapToGrid w:val="0"/>
              <w:jc w:val="both"/>
              <w:rPr>
                <w:rFonts w:hint="default" w:ascii="Times New Roman" w:hAnsi="Times New Roman" w:eastAsia="宋体" w:cs="Times New Roman"/>
                <w:b w:val="0"/>
                <w:bCs w:val="0"/>
                <w:snapToGrid w:val="0"/>
                <w:color w:val="auto"/>
                <w:spacing w:val="0"/>
                <w:kern w:val="0"/>
                <w:sz w:val="21"/>
                <w:szCs w:val="21"/>
                <w:highlight w:val="none"/>
                <w:lang w:val="en-US" w:eastAsia="zh-CN"/>
              </w:rPr>
            </w:pPr>
            <w:r>
              <w:rPr>
                <w:rFonts w:hint="eastAsia" w:cs="Times New Roman"/>
                <w:b w:val="0"/>
                <w:bCs w:val="0"/>
                <w:snapToGrid w:val="0"/>
                <w:color w:val="auto"/>
                <w:spacing w:val="0"/>
                <w:kern w:val="0"/>
                <w:sz w:val="21"/>
                <w:szCs w:val="21"/>
                <w:highlight w:val="none"/>
                <w:lang w:val="en-US" w:eastAsia="zh-CN"/>
              </w:rPr>
              <w:t>本项目离心过程</w:t>
            </w:r>
            <w:r>
              <w:rPr>
                <w:rFonts w:hint="eastAsia" w:cs="Times New Roman"/>
                <w:color w:val="auto"/>
                <w:kern w:val="0"/>
                <w:szCs w:val="21"/>
                <w:highlight w:val="none"/>
                <w:lang w:val="en-US" w:eastAsia="zh-CN"/>
              </w:rPr>
              <w:t>采用全自动密闭离心机。</w:t>
            </w:r>
          </w:p>
        </w:tc>
        <w:tc>
          <w:tcPr>
            <w:tcW w:w="254" w:type="pct"/>
            <w:shd w:val="clear" w:color="auto" w:fill="auto"/>
            <w:vAlign w:val="center"/>
          </w:tcPr>
          <w:p w14:paraId="27FC20C1">
            <w:pPr>
              <w:pStyle w:val="42"/>
              <w:widowControl/>
              <w:tabs>
                <w:tab w:val="left" w:pos="0"/>
              </w:tabs>
              <w:adjustRightInd w:val="0"/>
              <w:snapToGrid w:val="0"/>
              <w:ind w:left="0" w:firstLine="0" w:firstLineChars="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符合</w:t>
            </w:r>
          </w:p>
        </w:tc>
      </w:tr>
      <w:tr w14:paraId="186F9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6C0B9F21">
            <w:pPr>
              <w:pStyle w:val="768"/>
              <w:adjustRightInd w:val="0"/>
              <w:snapToGrid w:val="0"/>
              <w:jc w:val="both"/>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表8 合成树脂企业挥发性物料投加、分离、抽真空、干燥废气控制措施</w:t>
            </w:r>
          </w:p>
          <w:p w14:paraId="0B39454A">
            <w:pPr>
              <w:rPr>
                <w:rFonts w:hint="eastAsia"/>
                <w:color w:val="auto"/>
                <w:highlight w:val="none"/>
                <w:lang w:val="en-US" w:eastAsia="zh-CN"/>
              </w:rPr>
            </w:pPr>
            <w:r>
              <w:rPr>
                <w:rFonts w:hint="eastAsia"/>
                <w:color w:val="auto"/>
                <w:highlight w:val="none"/>
                <w:lang w:val="en-US" w:eastAsia="zh-CN"/>
              </w:rPr>
              <w:t>挥发性物料干燥：1.采用密闭式的干燥设备。</w:t>
            </w:r>
          </w:p>
          <w:p w14:paraId="21F17A26">
            <w:pPr>
              <w:rPr>
                <w:rFonts w:hint="default" w:eastAsia="宋体"/>
                <w:color w:val="auto"/>
                <w:highlight w:val="none"/>
                <w:lang w:val="en-US" w:eastAsia="zh-CN"/>
              </w:rPr>
            </w:pPr>
            <w:r>
              <w:rPr>
                <w:rFonts w:hint="eastAsia"/>
                <w:color w:val="auto"/>
                <w:highlight w:val="none"/>
                <w:lang w:val="en-US" w:eastAsia="zh-CN"/>
              </w:rPr>
              <w:t>2.干燥过程中挥发的有机废气必须收集、处理，并执行表4、表5规定。</w:t>
            </w:r>
          </w:p>
        </w:tc>
        <w:tc>
          <w:tcPr>
            <w:tcW w:w="1345" w:type="pct"/>
            <w:shd w:val="clear" w:color="auto" w:fill="auto"/>
            <w:vAlign w:val="center"/>
          </w:tcPr>
          <w:p w14:paraId="6BD2A660">
            <w:pPr>
              <w:pStyle w:val="768"/>
              <w:adjustRightInd w:val="0"/>
              <w:snapToGrid w:val="0"/>
              <w:jc w:val="both"/>
              <w:rPr>
                <w:rFonts w:hint="default" w:ascii="Times New Roman" w:hAnsi="Times New Roman" w:eastAsia="宋体" w:cs="Times New Roman"/>
                <w:b/>
                <w:bCs/>
                <w:snapToGrid w:val="0"/>
                <w:color w:val="auto"/>
                <w:spacing w:val="0"/>
                <w:kern w:val="0"/>
                <w:sz w:val="21"/>
                <w:szCs w:val="21"/>
                <w:highlight w:val="none"/>
                <w:lang w:val="en-US" w:eastAsia="zh-CN"/>
              </w:rPr>
            </w:pPr>
            <w:r>
              <w:rPr>
                <w:rFonts w:hint="eastAsia" w:cs="Times New Roman"/>
                <w:b w:val="0"/>
                <w:bCs w:val="0"/>
                <w:snapToGrid w:val="0"/>
                <w:color w:val="auto"/>
                <w:spacing w:val="0"/>
                <w:kern w:val="0"/>
                <w:sz w:val="21"/>
                <w:szCs w:val="21"/>
                <w:highlight w:val="none"/>
                <w:lang w:val="en-US" w:eastAsia="zh-CN"/>
              </w:rPr>
              <w:t>本项目粗品干燥废气收集后采取布袋除尘+一级水洗+一级碱洗工艺处理后满足《合成树脂工业污染物排放标准》（GB31572-2015，含2024年修改单）表5大气污染物特别排放限值后排放。</w:t>
            </w:r>
          </w:p>
        </w:tc>
        <w:tc>
          <w:tcPr>
            <w:tcW w:w="254" w:type="pct"/>
            <w:shd w:val="clear" w:color="auto" w:fill="auto"/>
            <w:vAlign w:val="center"/>
          </w:tcPr>
          <w:p w14:paraId="228DECE3">
            <w:pPr>
              <w:pStyle w:val="42"/>
              <w:widowControl/>
              <w:tabs>
                <w:tab w:val="left" w:pos="0"/>
              </w:tabs>
              <w:adjustRightInd w:val="0"/>
              <w:snapToGrid w:val="0"/>
              <w:ind w:left="0" w:firstLine="0" w:firstLineChars="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符合</w:t>
            </w:r>
          </w:p>
        </w:tc>
      </w:tr>
    </w:tbl>
    <w:p w14:paraId="0A7B124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1.4.4.12与</w:t>
      </w:r>
      <w:r>
        <w:rPr>
          <w:rFonts w:hint="eastAsia" w:ascii="宋体" w:hAnsi="宋体" w:eastAsia="宋体" w:cs="宋体"/>
          <w:b/>
          <w:bCs w:val="0"/>
          <w:snapToGrid w:val="0"/>
          <w:color w:val="auto"/>
          <w:spacing w:val="0"/>
          <w:w w:val="100"/>
          <w:kern w:val="0"/>
          <w:sz w:val="24"/>
          <w:szCs w:val="24"/>
          <w:highlight w:val="none"/>
        </w:rPr>
        <w:t>《关于开展重点行业建设项目碳排放环境影响评价试点的通知》</w:t>
      </w:r>
      <w:r>
        <w:rPr>
          <w:rFonts w:hint="eastAsia" w:ascii="宋体" w:hAnsi="宋体" w:eastAsia="宋体" w:cs="宋体"/>
          <w:b/>
          <w:bCs w:val="0"/>
          <w:snapToGrid w:val="0"/>
          <w:color w:val="auto"/>
          <w:spacing w:val="0"/>
          <w:w w:val="100"/>
          <w:kern w:val="0"/>
          <w:sz w:val="24"/>
          <w:szCs w:val="24"/>
          <w:highlight w:val="none"/>
          <w:lang w:val="en-US" w:eastAsia="zh-CN"/>
        </w:rPr>
        <w:t>符合性分析</w:t>
      </w:r>
    </w:p>
    <w:p w14:paraId="79BA3CD8">
      <w:pPr>
        <w:tabs>
          <w:tab w:val="left" w:pos="7560"/>
        </w:tabs>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《关于开展重点行业建设项目碳排放环境影响评价试点的通知》（环办环评函〔2021〕346号）的</w:t>
      </w:r>
      <w:r>
        <w:rPr>
          <w:rFonts w:hint="eastAsia"/>
          <w:snapToGrid w:val="0"/>
          <w:color w:val="auto"/>
          <w:kern w:val="0"/>
          <w:sz w:val="24"/>
          <w:highlight w:val="none"/>
        </w:rPr>
        <w:t>符合性详见表1.4</w:t>
      </w:r>
      <w:r>
        <w:rPr>
          <w:rFonts w:hint="eastAsia"/>
          <w:snapToGrid w:val="0"/>
          <w:color w:val="auto"/>
          <w:kern w:val="0"/>
          <w:sz w:val="24"/>
          <w:highlight w:val="none"/>
          <w:lang w:val="en-US" w:eastAsia="zh-CN"/>
        </w:rPr>
        <w:t>-20</w:t>
      </w:r>
      <w:r>
        <w:rPr>
          <w:rFonts w:hint="eastAsia"/>
          <w:snapToGrid w:val="0"/>
          <w:color w:val="auto"/>
          <w:kern w:val="0"/>
          <w:sz w:val="24"/>
          <w:highlight w:val="none"/>
        </w:rPr>
        <w:t>。</w:t>
      </w:r>
    </w:p>
    <w:p w14:paraId="674C9FBC">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20</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《关于开展重点行业建设项目碳排放环境影响评价试点的通知》</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14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802"/>
        <w:gridCol w:w="2296"/>
        <w:gridCol w:w="434"/>
      </w:tblGrid>
      <w:tr w14:paraId="3A794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187EF875">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lang w:val="en-US" w:eastAsia="zh-CN"/>
              </w:rPr>
              <w:t>标准</w:t>
            </w:r>
            <w:r>
              <w:rPr>
                <w:snapToGrid w:val="0"/>
                <w:color w:val="auto"/>
                <w:kern w:val="0"/>
                <w:szCs w:val="21"/>
                <w:highlight w:val="none"/>
              </w:rPr>
              <w:t>要求</w:t>
            </w:r>
          </w:p>
        </w:tc>
        <w:tc>
          <w:tcPr>
            <w:tcW w:w="1345" w:type="pct"/>
            <w:shd w:val="clear" w:color="auto" w:fill="auto"/>
            <w:vAlign w:val="center"/>
          </w:tcPr>
          <w:p w14:paraId="5B564AA6">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本项目</w:t>
            </w:r>
            <w:r>
              <w:rPr>
                <w:rFonts w:hint="eastAsia"/>
                <w:snapToGrid w:val="0"/>
                <w:color w:val="auto"/>
                <w:kern w:val="0"/>
                <w:szCs w:val="21"/>
                <w:highlight w:val="none"/>
              </w:rPr>
              <w:t>情况</w:t>
            </w:r>
          </w:p>
        </w:tc>
        <w:tc>
          <w:tcPr>
            <w:tcW w:w="254" w:type="pct"/>
            <w:shd w:val="clear" w:color="auto" w:fill="auto"/>
            <w:vAlign w:val="center"/>
          </w:tcPr>
          <w:p w14:paraId="466F73A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符合性</w:t>
            </w:r>
          </w:p>
        </w:tc>
      </w:tr>
      <w:tr w14:paraId="6E53D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63F5733A">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二、试点范围</w:t>
            </w:r>
          </w:p>
          <w:p w14:paraId="0F738099">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（一）试点地区</w:t>
            </w:r>
          </w:p>
          <w:p w14:paraId="29EA819F">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在河北、吉林、浙江、山东、广东、重庆、陕西等地开展试点工作，鼓励其他有条件的省（区、市）根据实际需求划定试点范围，并向生态环境部申请开展试点。</w:t>
            </w:r>
          </w:p>
          <w:p w14:paraId="154C7CDB">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（二）试点行业</w:t>
            </w:r>
          </w:p>
          <w:p w14:paraId="2815B3C8">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试点行业为电力、钢铁、建材、有色、石化和化工等重点行业，试点地区根据各地实际选取试点行业和建设项目（详细名单见附件1）。除上述重点行业外，试点地区还可根据本地碳排放源构成特点，结合地区碳达峰行动方案和路径安排，同步开展其他碳排放强度高的行业试点。</w:t>
            </w:r>
          </w:p>
          <w:p w14:paraId="0EBFBA0D">
            <w:pPr>
              <w:rPr>
                <w:rFonts w:hint="eastAsia"/>
                <w:color w:val="auto"/>
                <w:highlight w:val="none"/>
                <w:lang w:eastAsia="zh-CN"/>
              </w:rPr>
            </w:pPr>
            <w:r>
              <w:rPr>
                <w:rFonts w:hint="eastAsia"/>
                <w:color w:val="auto"/>
                <w:highlight w:val="none"/>
                <w:lang w:eastAsia="zh-CN"/>
              </w:rPr>
              <w:t>（三）试点项目</w:t>
            </w:r>
          </w:p>
          <w:p w14:paraId="704E4092">
            <w:pPr>
              <w:rPr>
                <w:rFonts w:hint="eastAsia"/>
                <w:color w:val="auto"/>
                <w:highlight w:val="none"/>
                <w:lang w:eastAsia="zh-CN"/>
              </w:rPr>
            </w:pPr>
            <w:r>
              <w:rPr>
                <w:rFonts w:hint="eastAsia"/>
                <w:color w:val="auto"/>
                <w:highlight w:val="none"/>
                <w:lang w:eastAsia="zh-CN"/>
              </w:rPr>
              <w:t>试点地区应合理选择开展碳排放环境影响评价的建设项目，原则上选取《建设项目环境影响评价分类管理名录》规定需要编制环境影响报告书的建设项目，试点项目应具有代表性。</w:t>
            </w:r>
          </w:p>
          <w:p w14:paraId="07FEF2D5">
            <w:pPr>
              <w:rPr>
                <w:rFonts w:hint="eastAsia"/>
                <w:color w:val="auto"/>
                <w:highlight w:val="none"/>
                <w:lang w:eastAsia="zh-CN"/>
              </w:rPr>
            </w:pPr>
            <w:r>
              <w:rPr>
                <w:rFonts w:hint="eastAsia"/>
                <w:color w:val="auto"/>
                <w:highlight w:val="none"/>
                <w:lang w:eastAsia="zh-CN"/>
              </w:rPr>
              <w:t>（四）评价因子</w:t>
            </w:r>
          </w:p>
          <w:p w14:paraId="1F851122">
            <w:pPr>
              <w:rPr>
                <w:rFonts w:hint="eastAsia"/>
                <w:color w:val="auto"/>
                <w:highlight w:val="none"/>
                <w:lang w:eastAsia="zh-CN"/>
              </w:rPr>
            </w:pPr>
            <w:r>
              <w:rPr>
                <w:rFonts w:hint="eastAsia"/>
                <w:color w:val="auto"/>
                <w:highlight w:val="none"/>
                <w:lang w:eastAsia="zh-CN"/>
              </w:rPr>
              <w:t>本次试点主要开展建设项目二氧化碳（CO</w:t>
            </w:r>
            <w:r>
              <w:rPr>
                <w:rFonts w:hint="eastAsia"/>
                <w:color w:val="auto"/>
                <w:highlight w:val="none"/>
                <w:vertAlign w:val="subscript"/>
                <w:lang w:eastAsia="zh-CN"/>
              </w:rPr>
              <w:t>2</w:t>
            </w:r>
            <w:r>
              <w:rPr>
                <w:rFonts w:hint="eastAsia"/>
                <w:color w:val="auto"/>
                <w:highlight w:val="none"/>
                <w:lang w:eastAsia="zh-CN"/>
              </w:rPr>
              <w:t>）排放环境影响评价，有条件的地区还可开展以甲烷（CH</w:t>
            </w:r>
            <w:r>
              <w:rPr>
                <w:rFonts w:hint="eastAsia"/>
                <w:color w:val="auto"/>
                <w:highlight w:val="none"/>
                <w:vertAlign w:val="subscript"/>
                <w:lang w:eastAsia="zh-CN"/>
              </w:rPr>
              <w:t>4</w:t>
            </w:r>
            <w:r>
              <w:rPr>
                <w:rFonts w:hint="eastAsia"/>
                <w:color w:val="auto"/>
                <w:highlight w:val="none"/>
                <w:lang w:eastAsia="zh-CN"/>
              </w:rPr>
              <w:t>）、氧化亚氮（N</w:t>
            </w:r>
            <w:r>
              <w:rPr>
                <w:rFonts w:hint="eastAsia"/>
                <w:color w:val="auto"/>
                <w:highlight w:val="none"/>
                <w:vertAlign w:val="subscript"/>
                <w:lang w:eastAsia="zh-CN"/>
              </w:rPr>
              <w:t>2</w:t>
            </w:r>
            <w:r>
              <w:rPr>
                <w:rFonts w:hint="eastAsia"/>
                <w:color w:val="auto"/>
                <w:highlight w:val="none"/>
                <w:lang w:val="en-US" w:eastAsia="zh-CN"/>
              </w:rPr>
              <w:t>O</w:t>
            </w:r>
            <w:r>
              <w:rPr>
                <w:rFonts w:hint="eastAsia"/>
                <w:color w:val="auto"/>
                <w:highlight w:val="none"/>
                <w:lang w:eastAsia="zh-CN"/>
              </w:rPr>
              <w:t>）、氢氟碳化物（HFCs）、全氟碳化物（PFCs）、六氟化硫（SF</w:t>
            </w:r>
            <w:r>
              <w:rPr>
                <w:rFonts w:hint="eastAsia"/>
                <w:color w:val="auto"/>
                <w:highlight w:val="none"/>
                <w:vertAlign w:val="subscript"/>
                <w:lang w:eastAsia="zh-CN"/>
              </w:rPr>
              <w:t>6</w:t>
            </w:r>
            <w:r>
              <w:rPr>
                <w:rFonts w:hint="eastAsia"/>
                <w:color w:val="auto"/>
                <w:highlight w:val="none"/>
                <w:lang w:eastAsia="zh-CN"/>
              </w:rPr>
              <w:t>）、三氟化氮（NF</w:t>
            </w:r>
            <w:r>
              <w:rPr>
                <w:rFonts w:hint="eastAsia"/>
                <w:color w:val="auto"/>
                <w:highlight w:val="none"/>
                <w:vertAlign w:val="subscript"/>
                <w:lang w:eastAsia="zh-CN"/>
              </w:rPr>
              <w:t>3</w:t>
            </w:r>
            <w:r>
              <w:rPr>
                <w:rFonts w:hint="eastAsia"/>
                <w:color w:val="auto"/>
                <w:highlight w:val="none"/>
                <w:lang w:eastAsia="zh-CN"/>
              </w:rPr>
              <w:t>）等其他温室气体排放为主的建设项目环境影响评价试点。</w:t>
            </w:r>
          </w:p>
        </w:tc>
        <w:tc>
          <w:tcPr>
            <w:tcW w:w="1345" w:type="pct"/>
            <w:shd w:val="clear" w:color="auto" w:fill="auto"/>
            <w:vAlign w:val="center"/>
          </w:tcPr>
          <w:p w14:paraId="02DC7F9B">
            <w:pPr>
              <w:pStyle w:val="768"/>
              <w:adjustRightInd w:val="0"/>
              <w:snapToGrid w:val="0"/>
              <w:jc w:val="both"/>
              <w:rPr>
                <w:rFonts w:hint="default" w:eastAsia="宋体" w:cs="Times New Roman"/>
                <w:color w:val="auto"/>
                <w:kern w:val="0"/>
                <w:szCs w:val="21"/>
                <w:highlight w:val="none"/>
                <w:lang w:val="en-US" w:eastAsia="zh-CN"/>
              </w:rPr>
            </w:pPr>
            <w:r>
              <w:rPr>
                <w:rFonts w:hint="eastAsia" w:ascii="Times New Roman" w:hAnsi="Times New Roman" w:eastAsia="宋体" w:cs="Times New Roman"/>
                <w:b w:val="0"/>
                <w:bCs w:val="0"/>
                <w:color w:val="auto"/>
                <w:spacing w:val="0"/>
                <w:kern w:val="0"/>
                <w:sz w:val="21"/>
                <w:szCs w:val="21"/>
                <w:highlight w:val="none"/>
                <w:lang w:val="en-US" w:eastAsia="zh-CN"/>
              </w:rPr>
              <w:t>本项目</w:t>
            </w:r>
            <w:r>
              <w:rPr>
                <w:rFonts w:hint="eastAsia" w:eastAsia="宋体" w:cs="Times New Roman"/>
                <w:b w:val="0"/>
                <w:bCs w:val="0"/>
                <w:color w:val="auto"/>
                <w:spacing w:val="0"/>
                <w:kern w:val="0"/>
                <w:sz w:val="21"/>
                <w:szCs w:val="21"/>
                <w:highlight w:val="none"/>
                <w:lang w:val="en-US" w:eastAsia="zh-CN"/>
              </w:rPr>
              <w:t>不在试点地区，属于化工行业，涉及评价因子为</w:t>
            </w:r>
            <w:r>
              <w:rPr>
                <w:rFonts w:hint="eastAsia"/>
                <w:color w:val="auto"/>
                <w:highlight w:val="none"/>
                <w:lang w:eastAsia="zh-CN"/>
              </w:rPr>
              <w:t>CO</w:t>
            </w:r>
            <w:r>
              <w:rPr>
                <w:rFonts w:hint="eastAsia"/>
                <w:color w:val="auto"/>
                <w:highlight w:val="none"/>
                <w:vertAlign w:val="subscript"/>
                <w:lang w:eastAsia="zh-CN"/>
              </w:rPr>
              <w:t>2</w:t>
            </w:r>
            <w:r>
              <w:rPr>
                <w:rFonts w:hint="eastAsia"/>
                <w:color w:val="auto"/>
                <w:highlight w:val="none"/>
                <w:vertAlign w:val="baseline"/>
                <w:lang w:eastAsia="zh-CN"/>
              </w:rPr>
              <w:t>，</w:t>
            </w:r>
            <w:r>
              <w:rPr>
                <w:rFonts w:hint="eastAsia"/>
                <w:color w:val="auto"/>
                <w:highlight w:val="none"/>
                <w:vertAlign w:val="baseline"/>
                <w:lang w:val="en-US" w:eastAsia="zh-CN"/>
              </w:rPr>
              <w:t>本次评价已开展温室气体排放影响评价分析。</w:t>
            </w:r>
          </w:p>
        </w:tc>
        <w:tc>
          <w:tcPr>
            <w:tcW w:w="254" w:type="pct"/>
            <w:shd w:val="clear" w:color="auto" w:fill="auto"/>
            <w:vAlign w:val="center"/>
          </w:tcPr>
          <w:p w14:paraId="1A35565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r w14:paraId="45AA5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3B303985">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w:t>
            </w:r>
            <w:r>
              <w:rPr>
                <w:rFonts w:hint="eastAsia" w:eastAsia="宋体" w:cs="Times New Roman"/>
                <w:color w:val="auto"/>
                <w:kern w:val="0"/>
                <w:szCs w:val="21"/>
                <w:highlight w:val="none"/>
                <w:lang w:val="en-US" w:eastAsia="zh-CN"/>
              </w:rPr>
              <w:t>一</w:t>
            </w:r>
            <w:r>
              <w:rPr>
                <w:rFonts w:hint="eastAsia" w:eastAsia="宋体" w:cs="Times New Roman"/>
                <w:color w:val="auto"/>
                <w:kern w:val="0"/>
                <w:szCs w:val="21"/>
                <w:highlight w:val="none"/>
                <w:lang w:eastAsia="zh-CN"/>
              </w:rPr>
              <w:t>）建立方法体系</w:t>
            </w:r>
          </w:p>
          <w:p w14:paraId="65EB0E9F">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根据试点地区重点行业碳排放特点，因地制宜开展建设项目碳排放环境影响评价技术体系建设。研究制定基于碳排放节点的建设项目能源活动、工艺过程碳排放量测算方法；加快摸清试点行业碳排放水平与减排潜力现状，建立试点行业碳排放水平评价标准和方法；研究构建减污降碳措施比选方法与评价标准。</w:t>
            </w:r>
          </w:p>
          <w:p w14:paraId="3A41B268">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（二）测算碳排放水平</w:t>
            </w:r>
          </w:p>
          <w:p w14:paraId="4E50CF64">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开展建设项目全过程分析，识别碳排放节点，重点预测碳排放主要工序或节点排放水平。内容包括核算建设项目生产运行阶段能源活动与工艺过程以及因使用外购的电力和热力导致的二氧化碳产生量、排放量，碳排放绩效情况，以及碳减排潜力分析等。</w:t>
            </w:r>
          </w:p>
          <w:p w14:paraId="7B079086">
            <w:pPr>
              <w:pStyle w:val="768"/>
              <w:adjustRightInd w:val="0"/>
              <w:snapToGrid w:val="0"/>
              <w:jc w:val="both"/>
              <w:rPr>
                <w:rFonts w:hint="eastAsia" w:eastAsia="宋体" w:cs="Times New Roman"/>
                <w:color w:val="auto"/>
                <w:kern w:val="0"/>
                <w:szCs w:val="21"/>
                <w:highlight w:val="none"/>
                <w:lang w:eastAsia="zh-CN"/>
              </w:rPr>
            </w:pPr>
            <w:r>
              <w:rPr>
                <w:rFonts w:hint="eastAsia"/>
                <w:color w:val="auto"/>
                <w:highlight w:val="none"/>
                <w:lang w:eastAsia="zh-CN"/>
              </w:rPr>
              <w:t>（三）</w:t>
            </w:r>
            <w:r>
              <w:rPr>
                <w:rFonts w:hint="eastAsia" w:eastAsia="宋体" w:cs="Times New Roman"/>
                <w:color w:val="auto"/>
                <w:kern w:val="0"/>
                <w:szCs w:val="21"/>
                <w:highlight w:val="none"/>
                <w:lang w:eastAsia="zh-CN"/>
              </w:rPr>
              <w:t>提出碳减排措施</w:t>
            </w:r>
          </w:p>
          <w:p w14:paraId="28CD9B9F">
            <w:pPr>
              <w:pStyle w:val="768"/>
              <w:adjustRightInd w:val="0"/>
              <w:snapToGrid w:val="0"/>
              <w:jc w:val="both"/>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eastAsia="zh-CN"/>
              </w:rPr>
              <w:t>根据碳排放水平测算结果，分别从能源利用、原料使用、工艺优化、节能降碳技术、运输方式等方面提出碳减排措施。在环境影响报告书中明确碳排放主要工序的生产工艺、生产设施规模、资源能源消耗及综合利用情况、能效标准、节能降耗技术、减污降碳协同技术、清洁运输方式等内容，提出能源消费替代要求、碳排放量削减方案。</w:t>
            </w:r>
          </w:p>
        </w:tc>
        <w:tc>
          <w:tcPr>
            <w:tcW w:w="1345" w:type="pct"/>
            <w:shd w:val="clear" w:color="auto" w:fill="auto"/>
            <w:vAlign w:val="center"/>
          </w:tcPr>
          <w:p w14:paraId="0EF0408D">
            <w:pPr>
              <w:pStyle w:val="768"/>
              <w:adjustRightInd w:val="0"/>
              <w:snapToGrid w:val="0"/>
              <w:jc w:val="both"/>
              <w:rPr>
                <w:rFonts w:hint="default" w:cs="Times New Roman"/>
                <w:color w:val="auto"/>
                <w:kern w:val="0"/>
                <w:szCs w:val="21"/>
                <w:highlight w:val="none"/>
                <w:lang w:val="en-US"/>
              </w:rPr>
            </w:pPr>
            <w:r>
              <w:rPr>
                <w:rFonts w:hint="eastAsia"/>
                <w:color w:val="auto"/>
                <w:highlight w:val="none"/>
                <w:vertAlign w:val="baseline"/>
                <w:lang w:val="en-US" w:eastAsia="zh-CN"/>
              </w:rPr>
              <w:t>本次评价已开展温室气体排放影响评价分析，同时</w:t>
            </w:r>
            <w:r>
              <w:rPr>
                <w:rFonts w:hint="eastAsia" w:eastAsia="宋体" w:cs="Times New Roman"/>
                <w:color w:val="auto"/>
                <w:kern w:val="0"/>
                <w:szCs w:val="21"/>
                <w:highlight w:val="none"/>
                <w:lang w:eastAsia="zh-CN"/>
              </w:rPr>
              <w:t>提出碳减排措施。</w:t>
            </w:r>
          </w:p>
        </w:tc>
        <w:tc>
          <w:tcPr>
            <w:tcW w:w="254" w:type="pct"/>
            <w:shd w:val="clear" w:color="auto" w:fill="auto"/>
            <w:vAlign w:val="center"/>
          </w:tcPr>
          <w:p w14:paraId="19B4C8FF">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符合</w:t>
            </w:r>
          </w:p>
        </w:tc>
      </w:tr>
    </w:tbl>
    <w:p w14:paraId="0ECDFB7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w:t>
      </w:r>
      <w:r>
        <w:rPr>
          <w:rFonts w:hint="eastAsia" w:ascii="宋体" w:hAnsi="宋体" w:eastAsia="宋体" w:cs="宋体"/>
          <w:b/>
          <w:bCs w:val="0"/>
          <w:snapToGrid w:val="0"/>
          <w:color w:val="auto"/>
          <w:spacing w:val="0"/>
          <w:w w:val="100"/>
          <w:kern w:val="0"/>
          <w:sz w:val="24"/>
          <w:szCs w:val="24"/>
          <w:highlight w:val="none"/>
          <w:lang w:val="en-US" w:eastAsia="zh-CN"/>
        </w:rPr>
        <w:t>13</w:t>
      </w:r>
      <w:r>
        <w:rPr>
          <w:rFonts w:hint="eastAsia" w:ascii="宋体" w:hAnsi="宋体" w:eastAsia="宋体" w:cs="宋体"/>
          <w:b/>
          <w:bCs w:val="0"/>
          <w:snapToGrid w:val="0"/>
          <w:color w:val="auto"/>
          <w:spacing w:val="0"/>
          <w:w w:val="100"/>
          <w:kern w:val="0"/>
          <w:sz w:val="24"/>
          <w:szCs w:val="24"/>
          <w:highlight w:val="none"/>
        </w:rPr>
        <w:t>与</w:t>
      </w:r>
      <w:r>
        <w:rPr>
          <w:rFonts w:hint="eastAsia" w:ascii="Times New Roman" w:hAnsi="Times New Roman" w:eastAsia="宋体"/>
          <w:b/>
          <w:color w:val="auto"/>
          <w:sz w:val="24"/>
          <w:szCs w:val="24"/>
          <w:highlight w:val="none"/>
          <w:lang w:val="en-US" w:eastAsia="zh-CN"/>
        </w:rPr>
        <w:t>《挥发性有机物无组织排放控制标准》（GB 37822-2019）</w:t>
      </w:r>
      <w:r>
        <w:rPr>
          <w:rFonts w:hint="eastAsia" w:ascii="宋体" w:hAnsi="宋体" w:eastAsia="宋体" w:cs="宋体"/>
          <w:b/>
          <w:bCs w:val="0"/>
          <w:snapToGrid w:val="0"/>
          <w:color w:val="auto"/>
          <w:spacing w:val="0"/>
          <w:w w:val="100"/>
          <w:kern w:val="0"/>
          <w:sz w:val="24"/>
          <w:szCs w:val="24"/>
          <w:highlight w:val="none"/>
        </w:rPr>
        <w:t>的符合性分析</w:t>
      </w:r>
    </w:p>
    <w:p w14:paraId="70CF8F2A">
      <w:pPr>
        <w:tabs>
          <w:tab w:val="left" w:pos="7560"/>
        </w:tabs>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本项目与</w:t>
      </w:r>
      <w:r>
        <w:rPr>
          <w:rFonts w:hint="eastAsia"/>
          <w:snapToGrid w:val="0"/>
          <w:color w:val="auto"/>
          <w:kern w:val="0"/>
          <w:sz w:val="24"/>
          <w:highlight w:val="none"/>
          <w:lang w:val="en-US" w:eastAsia="zh-CN"/>
        </w:rPr>
        <w:t>《挥发性有机物无组织排放控制标准》（GB 37822-2019）的</w:t>
      </w:r>
      <w:r>
        <w:rPr>
          <w:rFonts w:hint="eastAsia"/>
          <w:snapToGrid w:val="0"/>
          <w:color w:val="auto"/>
          <w:kern w:val="0"/>
          <w:sz w:val="24"/>
          <w:highlight w:val="none"/>
        </w:rPr>
        <w:t>符合性详见表1.4</w:t>
      </w:r>
      <w:r>
        <w:rPr>
          <w:rFonts w:hint="eastAsia"/>
          <w:snapToGrid w:val="0"/>
          <w:color w:val="auto"/>
          <w:kern w:val="0"/>
          <w:sz w:val="24"/>
          <w:highlight w:val="none"/>
          <w:lang w:val="en-US" w:eastAsia="zh-CN"/>
        </w:rPr>
        <w:t>-21</w:t>
      </w:r>
      <w:r>
        <w:rPr>
          <w:rFonts w:hint="eastAsia"/>
          <w:snapToGrid w:val="0"/>
          <w:color w:val="auto"/>
          <w:kern w:val="0"/>
          <w:sz w:val="24"/>
          <w:highlight w:val="none"/>
        </w:rPr>
        <w:t>。</w:t>
      </w:r>
    </w:p>
    <w:p w14:paraId="2C1E303F">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1.4-</w:t>
      </w:r>
      <w:r>
        <w:rPr>
          <w:rFonts w:hint="eastAsia" w:ascii="Times New Roman" w:hAnsi="Times New Roman" w:cs="Times New Roman"/>
          <w:snapToGrid w:val="0"/>
          <w:color w:val="auto"/>
          <w:kern w:val="0"/>
          <w:sz w:val="21"/>
          <w:szCs w:val="21"/>
          <w:highlight w:val="none"/>
          <w:lang w:val="en-US" w:eastAsia="zh-CN"/>
        </w:rPr>
        <w:t>21</w:t>
      </w:r>
      <w:r>
        <w:rPr>
          <w:rFonts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本项目与</w:t>
      </w:r>
      <w:r>
        <w:rPr>
          <w:rFonts w:hint="eastAsia" w:ascii="Times New Roman" w:hAnsi="Times New Roman" w:cs="Times New Roman"/>
          <w:snapToGrid w:val="0"/>
          <w:color w:val="auto"/>
          <w:kern w:val="0"/>
          <w:sz w:val="21"/>
          <w:szCs w:val="21"/>
          <w:highlight w:val="none"/>
          <w:lang w:val="en-US" w:eastAsia="zh-CN"/>
        </w:rPr>
        <w:t>《挥发性有机物无组织排放控制标准》</w:t>
      </w:r>
      <w:r>
        <w:rPr>
          <w:rFonts w:hint="eastAsia" w:ascii="Times New Roman" w:hAnsi="Times New Roman" w:cs="Times New Roman"/>
          <w:snapToGrid w:val="0"/>
          <w:color w:val="auto"/>
          <w:kern w:val="0"/>
          <w:sz w:val="21"/>
          <w:szCs w:val="21"/>
          <w:highlight w:val="none"/>
        </w:rPr>
        <w:t>符合性分析</w:t>
      </w:r>
      <w:r>
        <w:rPr>
          <w:rFonts w:ascii="Times New Roman" w:hAnsi="Times New Roman" w:cs="Times New Roman"/>
          <w:snapToGrid w:val="0"/>
          <w:color w:val="auto"/>
          <w:kern w:val="0"/>
          <w:sz w:val="21"/>
          <w:szCs w:val="21"/>
          <w:highlight w:val="none"/>
        </w:rPr>
        <w:t>表</w:t>
      </w:r>
    </w:p>
    <w:tbl>
      <w:tblPr>
        <w:tblStyle w:val="56"/>
        <w:tblW w:w="515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816"/>
        <w:gridCol w:w="2301"/>
        <w:gridCol w:w="435"/>
      </w:tblGrid>
      <w:tr w14:paraId="1B42A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13E945D7">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标准</w:t>
            </w:r>
            <w:r>
              <w:rPr>
                <w:rFonts w:ascii="Times New Roman" w:hAnsi="Times New Roman" w:eastAsia="宋体" w:cs="Times New Roman"/>
                <w:snapToGrid w:val="0"/>
                <w:color w:val="auto"/>
                <w:kern w:val="0"/>
                <w:sz w:val="21"/>
                <w:szCs w:val="21"/>
                <w:highlight w:val="none"/>
              </w:rPr>
              <w:t>要求</w:t>
            </w:r>
          </w:p>
        </w:tc>
        <w:tc>
          <w:tcPr>
            <w:tcW w:w="1345" w:type="pct"/>
            <w:shd w:val="clear" w:color="auto" w:fill="auto"/>
            <w:vAlign w:val="center"/>
          </w:tcPr>
          <w:p w14:paraId="13DBF694">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snapToGrid w:val="0"/>
                <w:color w:val="auto"/>
                <w:kern w:val="0"/>
                <w:sz w:val="21"/>
                <w:szCs w:val="21"/>
                <w:highlight w:val="none"/>
              </w:rPr>
              <w:t>情况</w:t>
            </w:r>
          </w:p>
        </w:tc>
        <w:tc>
          <w:tcPr>
            <w:tcW w:w="254" w:type="pct"/>
            <w:shd w:val="clear" w:color="auto" w:fill="auto"/>
            <w:vAlign w:val="center"/>
          </w:tcPr>
          <w:p w14:paraId="17A12582">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2D95C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41B37F68">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5.2挥发性有机液体储罐</w:t>
            </w:r>
          </w:p>
          <w:p w14:paraId="0C7AAE1B">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5.2.1储罐控制要求</w:t>
            </w:r>
          </w:p>
          <w:p w14:paraId="5233B5F4">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5.2.1.1储存真实蒸气压≥76.6kPa且储罐容积≥75m</w:t>
            </w:r>
            <w:r>
              <w:rPr>
                <w:rFonts w:hint="eastAsia" w:ascii="Times New Roman" w:hAnsi="Times New Roman" w:eastAsia="宋体" w:cs="Times New Roman"/>
                <w:color w:val="auto"/>
                <w:kern w:val="0"/>
                <w:sz w:val="21"/>
                <w:szCs w:val="21"/>
                <w:highlight w:val="none"/>
                <w:vertAlign w:val="superscript"/>
                <w:lang w:eastAsia="zh-CN"/>
              </w:rPr>
              <w:t>3</w:t>
            </w:r>
            <w:r>
              <w:rPr>
                <w:rFonts w:hint="eastAsia" w:ascii="Times New Roman" w:hAnsi="Times New Roman" w:eastAsia="宋体" w:cs="Times New Roman"/>
                <w:color w:val="auto"/>
                <w:kern w:val="0"/>
                <w:sz w:val="21"/>
                <w:szCs w:val="21"/>
                <w:highlight w:val="none"/>
                <w:lang w:eastAsia="zh-CN"/>
              </w:rPr>
              <w:t>的挥发性有机液体储罐，应采用低压罐、压力罐或其他等效措施。</w:t>
            </w:r>
          </w:p>
          <w:p w14:paraId="4DA2E12C">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5.2.1.2储存真实蒸气压≥27.6kPa但&lt;76.6kPa且储罐容积≥75m</w:t>
            </w:r>
            <w:r>
              <w:rPr>
                <w:rFonts w:hint="eastAsia" w:ascii="Times New Roman" w:hAnsi="Times New Roman" w:eastAsia="宋体" w:cs="Times New Roman"/>
                <w:color w:val="auto"/>
                <w:kern w:val="0"/>
                <w:sz w:val="21"/>
                <w:szCs w:val="21"/>
                <w:highlight w:val="none"/>
                <w:vertAlign w:val="superscript"/>
                <w:lang w:eastAsia="zh-CN"/>
              </w:rPr>
              <w:t>3</w:t>
            </w:r>
            <w:r>
              <w:rPr>
                <w:rFonts w:hint="eastAsia" w:ascii="Times New Roman" w:hAnsi="Times New Roman" w:eastAsia="宋体" w:cs="Times New Roman"/>
                <w:color w:val="auto"/>
                <w:kern w:val="0"/>
                <w:sz w:val="21"/>
                <w:szCs w:val="21"/>
                <w:highlight w:val="none"/>
                <w:lang w:eastAsia="zh-CN"/>
              </w:rPr>
              <w:t>的挥发性有机液体储罐，应符合下列规定之一：</w:t>
            </w:r>
          </w:p>
          <w:p w14:paraId="55394614">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a)采用浮顶罐。对于内浮顶罐，浮顶与罐壁之间应采用浸液式密封、机械式鞋形密封等高效密封方式；对于外浮顶罐，浮顶与罐壁之间应采用双重密封，且一次密封应采用浸液式密封、机械式鞋形密封等高效密封方式。</w:t>
            </w:r>
          </w:p>
          <w:p w14:paraId="094F0EF1">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b)采用固定顶罐，排放的废气应收集处理并满足相关行业排放标准的要求(无行业排放标准的应满足GB16297的要求)，或者处理效率不低于80%。</w:t>
            </w:r>
          </w:p>
          <w:p w14:paraId="0F9841D6">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c)采用气相平衡系统。</w:t>
            </w:r>
          </w:p>
          <w:p w14:paraId="1F330BFA">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d)采取其他等效措施。</w:t>
            </w:r>
          </w:p>
        </w:tc>
        <w:tc>
          <w:tcPr>
            <w:tcW w:w="1345" w:type="pct"/>
            <w:shd w:val="clear" w:color="auto" w:fill="auto"/>
            <w:vAlign w:val="center"/>
          </w:tcPr>
          <w:p w14:paraId="7084D699">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b w:val="0"/>
                <w:bCs w:val="0"/>
                <w:color w:val="auto"/>
                <w:spacing w:val="0"/>
                <w:kern w:val="0"/>
                <w:sz w:val="21"/>
                <w:szCs w:val="21"/>
                <w:highlight w:val="none"/>
                <w:lang w:val="en-US" w:eastAsia="zh-CN"/>
              </w:rPr>
              <w:t>本项目涉及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w:t>
            </w:r>
            <w:r>
              <w:rPr>
                <w:rFonts w:hint="eastAsia" w:ascii="Times New Roman" w:hAnsi="Times New Roman" w:eastAsia="宋体" w:cs="Times New Roman"/>
                <w:color w:val="auto"/>
                <w:kern w:val="0"/>
                <w:sz w:val="21"/>
                <w:szCs w:val="21"/>
                <w:highlight w:val="none"/>
              </w:rPr>
              <w:t>蒸气压</w:t>
            </w:r>
            <w:r>
              <w:rPr>
                <w:rFonts w:hint="eastAsia" w:ascii="Times New Roman" w:hAnsi="Times New Roman" w:eastAsia="宋体" w:cs="Times New Roman"/>
                <w:color w:val="auto"/>
                <w:kern w:val="0"/>
                <w:sz w:val="21"/>
                <w:szCs w:val="21"/>
                <w:highlight w:val="none"/>
                <w:lang w:val="en-US" w:eastAsia="zh-CN"/>
              </w:rPr>
              <w:t>约为0.17kPa，</w:t>
            </w:r>
            <w:r>
              <w:rPr>
                <w:rFonts w:hint="eastAsia" w:ascii="Times New Roman" w:hAnsi="Times New Roman" w:eastAsia="宋体" w:cs="Times New Roman"/>
                <w:b w:val="0"/>
                <w:bCs w:val="0"/>
                <w:color w:val="auto"/>
                <w:spacing w:val="0"/>
                <w:kern w:val="0"/>
                <w:sz w:val="21"/>
                <w:szCs w:val="21"/>
                <w:highlight w:val="none"/>
                <w:lang w:val="en-US" w:eastAsia="zh-CN"/>
              </w:rPr>
              <w:t>烷烃</w:t>
            </w:r>
            <w:r>
              <w:rPr>
                <w:rFonts w:hint="default" w:ascii="Times New Roman" w:hAnsi="Times New Roman" w:eastAsia="宋体" w:cs="Times New Roman"/>
                <w:b w:val="0"/>
                <w:bCs w:val="0"/>
                <w:snapToGrid w:val="0"/>
                <w:color w:val="auto"/>
                <w:spacing w:val="0"/>
                <w:kern w:val="0"/>
                <w:sz w:val="21"/>
                <w:szCs w:val="21"/>
                <w:highlight w:val="none"/>
              </w:rPr>
              <w:t>采用内</w:t>
            </w:r>
            <w:r>
              <w:rPr>
                <w:rFonts w:hint="default" w:ascii="Times New Roman" w:hAnsi="Times New Roman" w:eastAsia="宋体" w:cs="Times New Roman"/>
                <w:b w:val="0"/>
                <w:bCs w:val="0"/>
                <w:color w:val="auto"/>
                <w:spacing w:val="0"/>
                <w:kern w:val="0"/>
                <w:sz w:val="21"/>
                <w:szCs w:val="21"/>
                <w:highlight w:val="none"/>
              </w:rPr>
              <w:t>浮顶</w:t>
            </w:r>
            <w:r>
              <w:rPr>
                <w:rFonts w:hint="default" w:ascii="Times New Roman" w:hAnsi="Times New Roman" w:eastAsia="宋体" w:cs="Times New Roman"/>
                <w:b w:val="0"/>
                <w:bCs w:val="0"/>
                <w:snapToGrid w:val="0"/>
                <w:color w:val="auto"/>
                <w:spacing w:val="0"/>
                <w:kern w:val="0"/>
                <w:sz w:val="21"/>
                <w:szCs w:val="21"/>
                <w:highlight w:val="none"/>
              </w:rPr>
              <w:t>罐贮存，采用冷凝+活性炭吸附处理储罐废气</w:t>
            </w:r>
            <w:r>
              <w:rPr>
                <w:rFonts w:hint="eastAsia" w:ascii="Times New Roman" w:hAnsi="Times New Roman" w:eastAsia="宋体" w:cs="Times New Roman"/>
                <w:b w:val="0"/>
                <w:bCs w:val="0"/>
                <w:snapToGrid w:val="0"/>
                <w:color w:val="auto"/>
                <w:spacing w:val="0"/>
                <w:kern w:val="0"/>
                <w:sz w:val="21"/>
                <w:szCs w:val="21"/>
                <w:highlight w:val="none"/>
                <w:lang w:eastAsia="zh-CN"/>
              </w:rPr>
              <w:t>。</w:t>
            </w:r>
          </w:p>
        </w:tc>
        <w:tc>
          <w:tcPr>
            <w:tcW w:w="254" w:type="pct"/>
            <w:shd w:val="clear" w:color="auto" w:fill="auto"/>
            <w:vAlign w:val="center"/>
          </w:tcPr>
          <w:p w14:paraId="5E4D8286">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93FE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38D3F412">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5.2.3.1浮顶罐</w:t>
            </w:r>
          </w:p>
          <w:p w14:paraId="48A2FD55">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a)浮顶罐罐体应保持完好，不应有孔洞、缝隙。浮顶边缘密封不应有破损。</w:t>
            </w:r>
          </w:p>
          <w:p w14:paraId="433FF8DB">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b)储罐附件开口(孔)，除采样、计量、例行检查、维护和其他正常活动外，应密闭。</w:t>
            </w:r>
          </w:p>
          <w:p w14:paraId="616F30DB">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c)支柱、导向装置等储罐附件穿过浮顶时，应采取密封措施。</w:t>
            </w:r>
          </w:p>
          <w:p w14:paraId="65212883">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d)除储罐排空作业外，浮顶应始终漂浮于储存物料的表面。</w:t>
            </w:r>
          </w:p>
          <w:p w14:paraId="0CB7E474">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e)自动通气阀在浮顶处于漂浮状态时应关闭且密封良好，仅在浮顶处于支撑状态时开启。</w:t>
            </w:r>
          </w:p>
          <w:p w14:paraId="06AD8AC1">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f)边缘呼吸阀在浮顶处于漂浮状态时应密封良好，并定期检查定压是否符合设定要求。</w:t>
            </w:r>
          </w:p>
          <w:p w14:paraId="3AE099A5">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g)除自动通气阀、边缘呼吸阀外，浮顶的外边缘板及所有通过浮顶的开孔接管均应浸入液面下。</w:t>
            </w:r>
          </w:p>
        </w:tc>
        <w:tc>
          <w:tcPr>
            <w:tcW w:w="1345" w:type="pct"/>
            <w:shd w:val="clear" w:color="auto" w:fill="auto"/>
            <w:vAlign w:val="center"/>
          </w:tcPr>
          <w:p w14:paraId="407884CA">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kern w:val="0"/>
                <w:sz w:val="21"/>
                <w:szCs w:val="21"/>
                <w:highlight w:val="none"/>
                <w:lang w:val="en-US"/>
              </w:rPr>
            </w:pPr>
            <w:r>
              <w:rPr>
                <w:rFonts w:hint="eastAsia" w:ascii="Times New Roman" w:hAnsi="Times New Roman" w:eastAsia="宋体" w:cs="Times New Roman"/>
                <w:b w:val="0"/>
                <w:bCs w:val="0"/>
                <w:color w:val="auto"/>
                <w:spacing w:val="0"/>
                <w:kern w:val="0"/>
                <w:sz w:val="21"/>
                <w:szCs w:val="21"/>
                <w:highlight w:val="none"/>
                <w:lang w:val="en-US" w:eastAsia="zh-CN"/>
              </w:rPr>
              <w:t>本项目涉及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主要为烷烃，烷烃</w:t>
            </w:r>
            <w:r>
              <w:rPr>
                <w:rFonts w:hint="default" w:ascii="Times New Roman" w:hAnsi="Times New Roman" w:eastAsia="宋体" w:cs="Times New Roman"/>
                <w:b w:val="0"/>
                <w:bCs w:val="0"/>
                <w:snapToGrid w:val="0"/>
                <w:color w:val="auto"/>
                <w:spacing w:val="0"/>
                <w:kern w:val="0"/>
                <w:sz w:val="21"/>
                <w:szCs w:val="21"/>
                <w:highlight w:val="none"/>
              </w:rPr>
              <w:t>采用内</w:t>
            </w:r>
            <w:r>
              <w:rPr>
                <w:rFonts w:hint="default" w:ascii="Times New Roman" w:hAnsi="Times New Roman" w:eastAsia="宋体" w:cs="Times New Roman"/>
                <w:b w:val="0"/>
                <w:bCs w:val="0"/>
                <w:color w:val="auto"/>
                <w:spacing w:val="0"/>
                <w:kern w:val="0"/>
                <w:sz w:val="21"/>
                <w:szCs w:val="21"/>
                <w:highlight w:val="none"/>
              </w:rPr>
              <w:t>浮顶</w:t>
            </w:r>
            <w:r>
              <w:rPr>
                <w:rFonts w:hint="default" w:ascii="Times New Roman" w:hAnsi="Times New Roman" w:eastAsia="宋体" w:cs="Times New Roman"/>
                <w:b w:val="0"/>
                <w:bCs w:val="0"/>
                <w:snapToGrid w:val="0"/>
                <w:color w:val="auto"/>
                <w:spacing w:val="0"/>
                <w:kern w:val="0"/>
                <w:sz w:val="21"/>
                <w:szCs w:val="21"/>
                <w:highlight w:val="none"/>
              </w:rPr>
              <w:t>罐贮存，</w:t>
            </w:r>
            <w:r>
              <w:rPr>
                <w:rFonts w:hint="eastAsia" w:ascii="Times New Roman" w:hAnsi="Times New Roman" w:eastAsia="宋体" w:cs="Times New Roman"/>
                <w:b w:val="0"/>
                <w:bCs w:val="0"/>
                <w:snapToGrid w:val="0"/>
                <w:color w:val="auto"/>
                <w:spacing w:val="0"/>
                <w:kern w:val="0"/>
                <w:sz w:val="21"/>
                <w:szCs w:val="21"/>
                <w:highlight w:val="none"/>
                <w:lang w:val="en-US" w:eastAsia="zh-CN"/>
              </w:rPr>
              <w:t>要求</w:t>
            </w:r>
            <w:r>
              <w:rPr>
                <w:rFonts w:hint="eastAsia" w:ascii="Times New Roman" w:hAnsi="Times New Roman" w:eastAsia="宋体" w:cs="Times New Roman"/>
                <w:color w:val="auto"/>
                <w:kern w:val="0"/>
                <w:sz w:val="21"/>
                <w:szCs w:val="21"/>
                <w:highlight w:val="none"/>
                <w:lang w:eastAsia="zh-CN"/>
              </w:rPr>
              <w:t>储罐罐体保持完好，</w:t>
            </w:r>
            <w:r>
              <w:rPr>
                <w:rFonts w:hint="eastAsia" w:ascii="Times New Roman" w:hAnsi="Times New Roman" w:eastAsia="宋体" w:cs="Times New Roman"/>
                <w:color w:val="auto"/>
                <w:kern w:val="0"/>
                <w:sz w:val="21"/>
                <w:szCs w:val="21"/>
                <w:highlight w:val="none"/>
                <w:lang w:val="en-US" w:eastAsia="zh-CN"/>
              </w:rPr>
              <w:t>按相关要求采购并安装储罐。</w:t>
            </w:r>
          </w:p>
        </w:tc>
        <w:tc>
          <w:tcPr>
            <w:tcW w:w="254" w:type="pct"/>
            <w:shd w:val="clear" w:color="auto" w:fill="auto"/>
            <w:vAlign w:val="center"/>
          </w:tcPr>
          <w:p w14:paraId="70B34E14">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575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5BA1A897">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6.1.1液态VOCs物料应采用密闭管道输送。采用非管道输送方式转移液态VOCs物料时，应采用密闭容器、罐车。</w:t>
            </w:r>
          </w:p>
        </w:tc>
        <w:tc>
          <w:tcPr>
            <w:tcW w:w="1345" w:type="pct"/>
            <w:shd w:val="clear" w:color="auto" w:fill="auto"/>
            <w:vAlign w:val="center"/>
          </w:tcPr>
          <w:p w14:paraId="47C74BFE">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b w:val="0"/>
                <w:bCs w:val="0"/>
                <w:color w:val="auto"/>
                <w:spacing w:val="0"/>
                <w:kern w:val="0"/>
                <w:sz w:val="21"/>
                <w:szCs w:val="21"/>
                <w:highlight w:val="none"/>
                <w:lang w:val="en-US" w:eastAsia="zh-CN"/>
              </w:rPr>
              <w:t>本项目涉及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主要为烷烃，由</w:t>
            </w:r>
            <w:r>
              <w:rPr>
                <w:rFonts w:hint="eastAsia" w:ascii="Times New Roman" w:hAnsi="Times New Roman" w:eastAsia="宋体" w:cs="Times New Roman"/>
                <w:b w:val="0"/>
                <w:bCs w:val="0"/>
                <w:snapToGrid w:val="0"/>
                <w:color w:val="auto"/>
                <w:kern w:val="0"/>
                <w:sz w:val="21"/>
                <w:szCs w:val="21"/>
                <w:highlight w:val="none"/>
                <w:lang w:val="en-US" w:eastAsia="zh-CN"/>
              </w:rPr>
              <w:t>密闭管道输送。</w:t>
            </w:r>
          </w:p>
        </w:tc>
        <w:tc>
          <w:tcPr>
            <w:tcW w:w="254" w:type="pct"/>
            <w:shd w:val="clear" w:color="auto" w:fill="auto"/>
            <w:vAlign w:val="center"/>
          </w:tcPr>
          <w:p w14:paraId="1BA9BB66">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15C8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44C1BB8B">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7.1.1物料投加和卸放</w:t>
            </w:r>
          </w:p>
          <w:p w14:paraId="78A98871">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a)液态VOCs物料应采用密闭管道输送方式或采用高位槽(罐)、桶泵等给料方式密闭投加。无法密闭投加的，应在密闭空间内操作，或进行局部气体收集，废气应排至VOCs废气收集处理系统。b)粉状、粒状VOCs物料应采用气力输送方式或采用密闭固体投料器等给料方式密闭投加。无法密闭投加的，应在密闭空间内操作，或进行局部气体收集，废气应排至除尘设施、VOCs废气收集处理系统。</w:t>
            </w:r>
          </w:p>
          <w:p w14:paraId="0A542439">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c)VOCs物料卸(出、放)料过程应密闭，卸料废气应排至VOCs废气收集处理系统</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无法密闭的，应采取局部气体收集措施，废气应排至VOCs废气收集处理系统。</w:t>
            </w:r>
          </w:p>
        </w:tc>
        <w:tc>
          <w:tcPr>
            <w:tcW w:w="1345" w:type="pct"/>
            <w:shd w:val="clear" w:color="auto" w:fill="auto"/>
            <w:vAlign w:val="center"/>
          </w:tcPr>
          <w:p w14:paraId="710BDE4C">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kern w:val="0"/>
                <w:sz w:val="21"/>
                <w:szCs w:val="21"/>
                <w:highlight w:val="none"/>
                <w:lang w:val="en-US"/>
              </w:rPr>
            </w:pPr>
            <w:r>
              <w:rPr>
                <w:rFonts w:hint="eastAsia" w:ascii="Times New Roman" w:hAnsi="Times New Roman" w:eastAsia="宋体" w:cs="Times New Roman"/>
                <w:b w:val="0"/>
                <w:bCs w:val="0"/>
                <w:color w:val="auto"/>
                <w:spacing w:val="0"/>
                <w:kern w:val="0"/>
                <w:sz w:val="21"/>
                <w:szCs w:val="21"/>
                <w:highlight w:val="none"/>
                <w:lang w:val="en-US" w:eastAsia="zh-CN"/>
              </w:rPr>
              <w:t>本项目涉及</w:t>
            </w:r>
            <w:r>
              <w:rPr>
                <w:rFonts w:ascii="Times New Roman" w:hAnsi="Times New Roman" w:eastAsia="宋体" w:cs="Times New Roman"/>
                <w:b w:val="0"/>
                <w:bCs w:val="0"/>
                <w:color w:val="auto"/>
                <w:spacing w:val="0"/>
                <w:kern w:val="0"/>
                <w:sz w:val="21"/>
                <w:szCs w:val="21"/>
                <w:highlight w:val="none"/>
              </w:rPr>
              <w:t>VOCs物料</w:t>
            </w:r>
            <w:r>
              <w:rPr>
                <w:rFonts w:hint="eastAsia" w:ascii="Times New Roman" w:hAnsi="Times New Roman" w:eastAsia="宋体" w:cs="Times New Roman"/>
                <w:b w:val="0"/>
                <w:bCs w:val="0"/>
                <w:color w:val="auto"/>
                <w:spacing w:val="0"/>
                <w:kern w:val="0"/>
                <w:sz w:val="21"/>
                <w:szCs w:val="21"/>
                <w:highlight w:val="none"/>
                <w:lang w:val="en-US" w:eastAsia="zh-CN"/>
              </w:rPr>
              <w:t>主要为烷烃，由</w:t>
            </w:r>
            <w:r>
              <w:rPr>
                <w:rFonts w:hint="eastAsia" w:ascii="Times New Roman" w:hAnsi="Times New Roman" w:eastAsia="宋体" w:cs="Times New Roman"/>
                <w:b w:val="0"/>
                <w:bCs w:val="0"/>
                <w:snapToGrid w:val="0"/>
                <w:color w:val="auto"/>
                <w:kern w:val="0"/>
                <w:sz w:val="21"/>
                <w:szCs w:val="21"/>
                <w:highlight w:val="none"/>
                <w:lang w:val="en-US" w:eastAsia="zh-CN"/>
              </w:rPr>
              <w:t>密闭管道输送</w:t>
            </w:r>
            <w:r>
              <w:rPr>
                <w:rFonts w:hint="default" w:ascii="Times New Roman" w:hAnsi="Times New Roman" w:eastAsia="宋体" w:cs="Times New Roman"/>
                <w:b w:val="0"/>
                <w:bCs w:val="0"/>
                <w:snapToGrid w:val="0"/>
                <w:color w:val="auto"/>
                <w:spacing w:val="0"/>
                <w:kern w:val="0"/>
                <w:sz w:val="21"/>
                <w:szCs w:val="21"/>
                <w:highlight w:val="none"/>
              </w:rPr>
              <w:t>，采用冷凝+活性炭吸附处理储罐废气</w:t>
            </w:r>
            <w:r>
              <w:rPr>
                <w:rFonts w:hint="eastAsia" w:ascii="Times New Roman" w:hAnsi="Times New Roman" w:eastAsia="宋体" w:cs="Times New Roman"/>
                <w:b w:val="0"/>
                <w:bCs w:val="0"/>
                <w:snapToGrid w:val="0"/>
                <w:color w:val="auto"/>
                <w:spacing w:val="0"/>
                <w:kern w:val="0"/>
                <w:sz w:val="21"/>
                <w:szCs w:val="21"/>
                <w:highlight w:val="none"/>
                <w:lang w:eastAsia="zh-CN"/>
              </w:rPr>
              <w:t>。</w:t>
            </w:r>
          </w:p>
        </w:tc>
        <w:tc>
          <w:tcPr>
            <w:tcW w:w="254" w:type="pct"/>
            <w:shd w:val="clear" w:color="auto" w:fill="auto"/>
            <w:vAlign w:val="center"/>
          </w:tcPr>
          <w:p w14:paraId="5049BB18">
            <w:pPr>
              <w:pStyle w:val="768"/>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符合</w:t>
            </w:r>
          </w:p>
        </w:tc>
      </w:tr>
      <w:tr w14:paraId="74B3B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3400" w:type="pct"/>
            <w:shd w:val="clear" w:color="auto" w:fill="auto"/>
            <w:vAlign w:val="center"/>
          </w:tcPr>
          <w:p w14:paraId="09216592">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7.1.3分离精制</w:t>
            </w:r>
          </w:p>
          <w:p w14:paraId="45E899FF">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b)干燥单元操作应采用密闭干燥设备，干燥废气应排至VOCs废气收集处理系统。未采用密闭设备的，应在密闭空间内操作，或进行局部气体收集，废气应排至VOCs废气收集处理系统。</w:t>
            </w:r>
          </w:p>
        </w:tc>
        <w:tc>
          <w:tcPr>
            <w:tcW w:w="1345" w:type="pct"/>
            <w:shd w:val="clear" w:color="auto" w:fill="auto"/>
            <w:vAlign w:val="center"/>
          </w:tcPr>
          <w:p w14:paraId="6269E302">
            <w:pPr>
              <w:pStyle w:val="768"/>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b w:val="0"/>
                <w:bCs w:val="0"/>
                <w:snapToGrid w:val="0"/>
                <w:color w:val="auto"/>
                <w:spacing w:val="0"/>
                <w:kern w:val="0"/>
                <w:sz w:val="21"/>
                <w:szCs w:val="21"/>
                <w:highlight w:val="none"/>
                <w:lang w:val="en-US" w:eastAsia="zh-CN"/>
              </w:rPr>
            </w:pPr>
            <w:r>
              <w:rPr>
                <w:rFonts w:hint="eastAsia" w:ascii="Times New Roman" w:hAnsi="Times New Roman" w:eastAsia="宋体" w:cs="Times New Roman"/>
                <w:b w:val="0"/>
                <w:bCs w:val="0"/>
                <w:snapToGrid w:val="0"/>
                <w:color w:val="auto"/>
                <w:spacing w:val="0"/>
                <w:kern w:val="0"/>
                <w:sz w:val="21"/>
                <w:szCs w:val="21"/>
                <w:highlight w:val="none"/>
                <w:lang w:val="en-US" w:eastAsia="zh-CN"/>
              </w:rPr>
              <w:t>本项目粗品干燥废气采取</w:t>
            </w:r>
            <w:r>
              <w:rPr>
                <w:rFonts w:hint="eastAsia" w:ascii="Times New Roman" w:hAnsi="Times New Roman" w:eastAsia="宋体" w:cs="Times New Roman"/>
                <w:snapToGrid w:val="0"/>
                <w:color w:val="auto"/>
                <w:kern w:val="0"/>
                <w:sz w:val="21"/>
                <w:szCs w:val="21"/>
                <w:highlight w:val="none"/>
              </w:rPr>
              <w:t>袋式除尘+</w:t>
            </w:r>
            <w:r>
              <w:rPr>
                <w:rFonts w:hint="eastAsia" w:ascii="Times New Roman" w:hAnsi="Times New Roman" w:eastAsia="宋体" w:cs="Times New Roman"/>
                <w:snapToGrid w:val="0"/>
                <w:color w:val="auto"/>
                <w:kern w:val="0"/>
                <w:sz w:val="21"/>
                <w:szCs w:val="21"/>
                <w:highlight w:val="none"/>
                <w:lang w:val="en-US" w:eastAsia="zh-CN"/>
              </w:rPr>
              <w:t>一</w:t>
            </w:r>
            <w:r>
              <w:rPr>
                <w:rFonts w:hint="eastAsia" w:ascii="Times New Roman" w:hAnsi="Times New Roman" w:eastAsia="宋体" w:cs="Times New Roman"/>
                <w:snapToGrid w:val="0"/>
                <w:color w:val="auto"/>
                <w:kern w:val="0"/>
                <w:sz w:val="21"/>
                <w:szCs w:val="21"/>
                <w:highlight w:val="none"/>
              </w:rPr>
              <w:t>级水洗+一级碱洗</w:t>
            </w:r>
            <w:r>
              <w:rPr>
                <w:rFonts w:hint="eastAsia" w:ascii="Times New Roman" w:hAnsi="Times New Roman" w:eastAsia="宋体" w:cs="Times New Roman"/>
                <w:snapToGrid w:val="0"/>
                <w:color w:val="auto"/>
                <w:kern w:val="0"/>
                <w:sz w:val="21"/>
                <w:szCs w:val="21"/>
                <w:highlight w:val="none"/>
                <w:lang w:val="en-US" w:eastAsia="zh-CN"/>
              </w:rPr>
              <w:t>处理；成品</w:t>
            </w:r>
            <w:r>
              <w:rPr>
                <w:rFonts w:hint="eastAsia" w:ascii="Times New Roman" w:hAnsi="Times New Roman" w:eastAsia="宋体" w:cs="Times New Roman"/>
                <w:b w:val="0"/>
                <w:bCs w:val="0"/>
                <w:snapToGrid w:val="0"/>
                <w:color w:val="auto"/>
                <w:spacing w:val="0"/>
                <w:kern w:val="0"/>
                <w:sz w:val="21"/>
                <w:szCs w:val="21"/>
                <w:highlight w:val="none"/>
                <w:lang w:val="en-US" w:eastAsia="zh-CN"/>
              </w:rPr>
              <w:t>干燥废气采取</w:t>
            </w:r>
            <w:r>
              <w:rPr>
                <w:rFonts w:hint="eastAsia" w:ascii="Times New Roman" w:hAnsi="Times New Roman" w:eastAsia="宋体" w:cs="Times New Roman"/>
                <w:snapToGrid w:val="0"/>
                <w:color w:val="auto"/>
                <w:kern w:val="0"/>
                <w:sz w:val="21"/>
                <w:szCs w:val="21"/>
                <w:highlight w:val="none"/>
              </w:rPr>
              <w:t>袋式除尘+二级水洗+一级碱洗</w:t>
            </w:r>
            <w:r>
              <w:rPr>
                <w:rFonts w:hint="eastAsia" w:ascii="Times New Roman" w:hAnsi="Times New Roman" w:eastAsia="宋体" w:cs="Times New Roman"/>
                <w:snapToGrid w:val="0"/>
                <w:color w:val="auto"/>
                <w:kern w:val="0"/>
                <w:sz w:val="21"/>
                <w:szCs w:val="21"/>
                <w:highlight w:val="none"/>
                <w:lang w:val="en-US" w:eastAsia="zh-CN"/>
              </w:rPr>
              <w:t>处理</w:t>
            </w:r>
            <w:r>
              <w:rPr>
                <w:rFonts w:hint="eastAsia" w:ascii="Times New Roman" w:hAnsi="Times New Roman" w:eastAsia="宋体" w:cs="Times New Roman"/>
                <w:color w:val="auto"/>
                <w:kern w:val="0"/>
                <w:sz w:val="21"/>
                <w:szCs w:val="21"/>
                <w:highlight w:val="none"/>
                <w:lang w:val="en-US" w:eastAsia="zh-CN"/>
              </w:rPr>
              <w:t>。</w:t>
            </w:r>
          </w:p>
        </w:tc>
        <w:tc>
          <w:tcPr>
            <w:tcW w:w="254" w:type="pct"/>
            <w:shd w:val="clear" w:color="auto" w:fill="auto"/>
            <w:vAlign w:val="center"/>
          </w:tcPr>
          <w:p w14:paraId="31767889">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符合</w:t>
            </w:r>
          </w:p>
        </w:tc>
      </w:tr>
    </w:tbl>
    <w:p w14:paraId="7DC8B22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rPr>
        <w:t>1.4.4.1</w:t>
      </w:r>
      <w:r>
        <w:rPr>
          <w:rFonts w:hint="eastAsia" w:ascii="宋体" w:hAnsi="宋体" w:eastAsia="宋体" w:cs="宋体"/>
          <w:b/>
          <w:bCs w:val="0"/>
          <w:snapToGrid w:val="0"/>
          <w:color w:val="auto"/>
          <w:spacing w:val="0"/>
          <w:w w:val="100"/>
          <w:kern w:val="0"/>
          <w:sz w:val="24"/>
          <w:szCs w:val="24"/>
          <w:highlight w:val="none"/>
          <w:lang w:val="en-US" w:eastAsia="zh-CN"/>
        </w:rPr>
        <w:t>4</w:t>
      </w:r>
      <w:r>
        <w:rPr>
          <w:rFonts w:hint="eastAsia" w:ascii="宋体" w:hAnsi="宋体" w:eastAsia="宋体" w:cs="宋体"/>
          <w:b/>
          <w:bCs w:val="0"/>
          <w:snapToGrid w:val="0"/>
          <w:color w:val="auto"/>
          <w:spacing w:val="0"/>
          <w:w w:val="100"/>
          <w:kern w:val="0"/>
          <w:sz w:val="24"/>
          <w:szCs w:val="24"/>
          <w:highlight w:val="none"/>
        </w:rPr>
        <w:t>与《</w:t>
      </w:r>
      <w:r>
        <w:rPr>
          <w:rFonts w:hint="eastAsia" w:ascii="宋体" w:hAnsi="宋体" w:eastAsia="宋体" w:cs="宋体"/>
          <w:b/>
          <w:bCs w:val="0"/>
          <w:snapToGrid w:val="0"/>
          <w:color w:val="auto"/>
          <w:spacing w:val="0"/>
          <w:w w:val="100"/>
          <w:kern w:val="0"/>
          <w:sz w:val="24"/>
          <w:szCs w:val="24"/>
          <w:highlight w:val="none"/>
          <w:lang w:val="en-US" w:eastAsia="zh-CN"/>
        </w:rPr>
        <w:t>固体废物综合治理行动计划</w:t>
      </w:r>
      <w:r>
        <w:rPr>
          <w:rFonts w:hint="eastAsia" w:ascii="宋体" w:hAnsi="宋体" w:eastAsia="宋体" w:cs="宋体"/>
          <w:b/>
          <w:bCs w:val="0"/>
          <w:snapToGrid w:val="0"/>
          <w:color w:val="auto"/>
          <w:spacing w:val="0"/>
          <w:w w:val="100"/>
          <w:kern w:val="0"/>
          <w:sz w:val="24"/>
          <w:szCs w:val="24"/>
          <w:highlight w:val="none"/>
        </w:rPr>
        <w:t>》符合性分析</w:t>
      </w:r>
    </w:p>
    <w:p w14:paraId="7215952C">
      <w:pPr>
        <w:tabs>
          <w:tab w:val="left" w:pos="7560"/>
        </w:tabs>
        <w:adjustRightInd w:val="0"/>
        <w:snapToGrid w:val="0"/>
        <w:spacing w:line="360" w:lineRule="auto"/>
        <w:ind w:firstLine="480" w:firstLineChars="200"/>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国务院关于印发《</w:t>
      </w:r>
      <w:r>
        <w:rPr>
          <w:rFonts w:hint="eastAsia" w:ascii="Times New Roman" w:hAnsi="Times New Roman" w:eastAsia="宋体" w:cs="Times New Roman"/>
          <w:snapToGrid w:val="0"/>
          <w:color w:val="auto"/>
          <w:kern w:val="0"/>
          <w:sz w:val="24"/>
          <w:highlight w:val="none"/>
          <w:lang w:val="en-US" w:eastAsia="zh-CN"/>
        </w:rPr>
        <w:t>固体废物综合治理行动计划</w:t>
      </w:r>
      <w:r>
        <w:rPr>
          <w:rFonts w:hint="eastAsia" w:ascii="Times New Roman" w:hAnsi="Times New Roman" w:eastAsia="宋体" w:cs="Times New Roman"/>
          <w:snapToGrid w:val="0"/>
          <w:color w:val="auto"/>
          <w:kern w:val="0"/>
          <w:sz w:val="24"/>
          <w:highlight w:val="none"/>
        </w:rPr>
        <w:t>》的通知（国发〔202</w:t>
      </w:r>
      <w:r>
        <w:rPr>
          <w:rFonts w:hint="eastAsia" w:ascii="Times New Roman" w:hAnsi="Times New Roman" w:eastAsia="宋体" w:cs="Times New Roman"/>
          <w:snapToGrid w:val="0"/>
          <w:color w:val="auto"/>
          <w:kern w:val="0"/>
          <w:sz w:val="24"/>
          <w:highlight w:val="none"/>
          <w:lang w:val="en-US" w:eastAsia="zh-CN"/>
        </w:rPr>
        <w:t>5</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1</w:t>
      </w:r>
      <w:r>
        <w:rPr>
          <w:rFonts w:hint="eastAsia" w:ascii="Times New Roman" w:hAnsi="Times New Roman" w:eastAsia="宋体" w:cs="Times New Roman"/>
          <w:snapToGrid w:val="0"/>
          <w:color w:val="auto"/>
          <w:kern w:val="0"/>
          <w:sz w:val="24"/>
          <w:highlight w:val="none"/>
        </w:rPr>
        <w:t>4号）</w:t>
      </w:r>
      <w:r>
        <w:rPr>
          <w:rFonts w:hint="eastAsia" w:ascii="Times New Roman" w:hAnsi="Times New Roman" w:eastAsia="宋体" w:cs="Times New Roman"/>
          <w:snapToGrid w:val="0"/>
          <w:color w:val="auto"/>
          <w:kern w:val="0"/>
          <w:sz w:val="24"/>
          <w:highlight w:val="none"/>
          <w:lang w:val="en-US" w:eastAsia="zh-CN"/>
        </w:rPr>
        <w:t>提出：</w:t>
      </w:r>
      <w:r>
        <w:rPr>
          <w:rFonts w:hint="eastAsia" w:ascii="Times New Roman" w:hAnsi="Times New Roman" w:eastAsia="宋体" w:cs="Times New Roman"/>
          <w:snapToGrid w:val="0"/>
          <w:color w:val="auto"/>
          <w:kern w:val="0"/>
          <w:sz w:val="24"/>
          <w:highlight w:val="none"/>
        </w:rPr>
        <w:t>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p w14:paraId="37D9F5C1">
      <w:pPr>
        <w:tabs>
          <w:tab w:val="left" w:pos="7560"/>
        </w:tabs>
        <w:adjustRightInd w:val="0"/>
        <w:snapToGrid w:val="0"/>
        <w:spacing w:line="360" w:lineRule="auto"/>
        <w:ind w:firstLine="480" w:firstLineChars="200"/>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lang w:val="en-US" w:eastAsia="zh-CN"/>
        </w:rPr>
        <w:t>本项目菌体污泥运至新疆融兴盛景城市服务有限公司填埋场填埋，废矿物油、化验室废液、废铅蓄电池依托厂区现有危险废物贮存间内暂存，再交有资质单位处置生活垃圾由环卫部门统一清运，</w:t>
      </w:r>
      <w:r>
        <w:rPr>
          <w:rFonts w:hint="eastAsia" w:ascii="Times New Roman" w:hAnsi="Times New Roman" w:eastAsia="宋体" w:cs="Times New Roman"/>
          <w:snapToGrid w:val="0"/>
          <w:color w:val="auto"/>
          <w:kern w:val="0"/>
          <w:sz w:val="24"/>
          <w:highlight w:val="none"/>
        </w:rPr>
        <w:t>符合《</w:t>
      </w:r>
      <w:r>
        <w:rPr>
          <w:rFonts w:hint="eastAsia" w:ascii="Times New Roman" w:hAnsi="Times New Roman" w:eastAsia="宋体" w:cs="Times New Roman"/>
          <w:snapToGrid w:val="0"/>
          <w:color w:val="auto"/>
          <w:kern w:val="0"/>
          <w:sz w:val="24"/>
          <w:highlight w:val="none"/>
          <w:lang w:val="en-US" w:eastAsia="zh-CN"/>
        </w:rPr>
        <w:t>固体废物综合治理行动计划</w:t>
      </w:r>
      <w:r>
        <w:rPr>
          <w:rFonts w:hint="eastAsia" w:ascii="Times New Roman" w:hAnsi="Times New Roman" w:eastAsia="宋体" w:cs="Times New Roman"/>
          <w:snapToGrid w:val="0"/>
          <w:color w:val="auto"/>
          <w:kern w:val="0"/>
          <w:sz w:val="24"/>
          <w:highlight w:val="none"/>
        </w:rPr>
        <w:t>》的相关要求。</w:t>
      </w:r>
    </w:p>
    <w:p w14:paraId="52DB31CD">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color w:val="auto"/>
          <w:spacing w:val="0"/>
          <w:w w:val="100"/>
          <w:kern w:val="0"/>
          <w:sz w:val="24"/>
          <w:szCs w:val="24"/>
          <w:highlight w:val="none"/>
        </w:rPr>
      </w:pPr>
      <w:r>
        <w:rPr>
          <w:rFonts w:hint="eastAsia" w:ascii="Times New Roman" w:hAnsi="Times New Roman" w:cs="Times New Roman"/>
          <w:color w:val="auto"/>
          <w:spacing w:val="0"/>
          <w:w w:val="100"/>
          <w:kern w:val="0"/>
          <w:sz w:val="24"/>
          <w:szCs w:val="24"/>
          <w:highlight w:val="none"/>
        </w:rPr>
        <w:t>1.4.5生态环境分区管控符合性分析</w:t>
      </w:r>
    </w:p>
    <w:p w14:paraId="48D1C3C7">
      <w:pPr>
        <w:tabs>
          <w:tab w:val="left" w:pos="7560"/>
        </w:tabs>
        <w:adjustRightInd w:val="0"/>
        <w:snapToGrid w:val="0"/>
        <w:spacing w:line="360" w:lineRule="auto"/>
        <w:ind w:firstLine="480" w:firstLineChars="200"/>
        <w:rPr>
          <w:snapToGrid w:val="0"/>
          <w:color w:val="auto"/>
          <w:kern w:val="0"/>
          <w:sz w:val="24"/>
          <w:highlight w:val="none"/>
        </w:rPr>
        <w:sectPr>
          <w:headerReference r:id="rId7" w:type="default"/>
          <w:footerReference r:id="rId8" w:type="default"/>
          <w:pgSz w:w="11906" w:h="16838"/>
          <w:pgMar w:top="1440" w:right="1814" w:bottom="1440" w:left="1814" w:header="851" w:footer="992" w:gutter="0"/>
          <w:pgBorders>
            <w:top w:val="none" w:sz="0" w:space="0"/>
            <w:left w:val="none" w:sz="0" w:space="0"/>
            <w:bottom w:val="none" w:sz="0" w:space="0"/>
            <w:right w:val="none" w:sz="0" w:space="0"/>
          </w:pgBorders>
          <w:pgNumType w:fmt="decimal" w:start="1"/>
          <w:cols w:space="720" w:num="1"/>
          <w:docGrid w:linePitch="312" w:charSpace="0"/>
        </w:sectPr>
      </w:pPr>
      <w:r>
        <w:rPr>
          <w:rFonts w:hint="eastAsia"/>
          <w:snapToGrid w:val="0"/>
          <w:color w:val="auto"/>
          <w:kern w:val="0"/>
          <w:sz w:val="24"/>
          <w:highlight w:val="none"/>
        </w:rPr>
        <w:t>根据2024年已更新发布的《塔城地区“三线一单”生态环境分区管控方案》，本项目属于乌苏市重点管控单元（编码：ZH65420220001），具体管控要求见表1.4-</w:t>
      </w:r>
      <w:r>
        <w:rPr>
          <w:rFonts w:hint="eastAsia"/>
          <w:snapToGrid w:val="0"/>
          <w:color w:val="auto"/>
          <w:kern w:val="0"/>
          <w:sz w:val="24"/>
          <w:highlight w:val="none"/>
          <w:lang w:val="en-US" w:eastAsia="zh-CN"/>
        </w:rPr>
        <w:t>22</w:t>
      </w:r>
      <w:r>
        <w:rPr>
          <w:rFonts w:hint="eastAsia"/>
          <w:snapToGrid w:val="0"/>
          <w:color w:val="auto"/>
          <w:kern w:val="0"/>
          <w:sz w:val="24"/>
          <w:highlight w:val="none"/>
        </w:rPr>
        <w:t>。</w:t>
      </w:r>
    </w:p>
    <w:p w14:paraId="39F65AD0">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表1.4-</w:t>
      </w:r>
      <w:r>
        <w:rPr>
          <w:rFonts w:hint="eastAsia" w:ascii="Times New Roman" w:hAnsi="Times New Roman" w:cs="Times New Roman"/>
          <w:snapToGrid w:val="0"/>
          <w:color w:val="auto"/>
          <w:kern w:val="0"/>
          <w:sz w:val="21"/>
          <w:szCs w:val="21"/>
          <w:highlight w:val="none"/>
          <w:lang w:val="en-US" w:eastAsia="zh-CN"/>
        </w:rPr>
        <w:t>22</w:t>
      </w:r>
      <w:r>
        <w:rPr>
          <w:rFonts w:hint="eastAsia" w:ascii="Times New Roman" w:hAnsi="Times New Roman" w:cs="Times New Roman"/>
          <w:snapToGrid w:val="0"/>
          <w:color w:val="auto"/>
          <w:kern w:val="0"/>
          <w:sz w:val="21"/>
          <w:szCs w:val="21"/>
          <w:highlight w:val="none"/>
        </w:rPr>
        <w:t xml:space="preserve"> 本项目与《塔城地区“三线一单”生态环境分区管控方案》</w:t>
      </w:r>
      <w:r>
        <w:rPr>
          <w:rFonts w:ascii="Times New Roman" w:hAnsi="Times New Roman" w:cs="Times New Roman"/>
          <w:snapToGrid w:val="0"/>
          <w:color w:val="auto"/>
          <w:kern w:val="0"/>
          <w:sz w:val="21"/>
          <w:szCs w:val="21"/>
          <w:highlight w:val="none"/>
        </w:rPr>
        <w:t>符合性分析</w:t>
      </w:r>
    </w:p>
    <w:tbl>
      <w:tblPr>
        <w:tblStyle w:val="5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837"/>
        <w:gridCol w:w="833"/>
        <w:gridCol w:w="5267"/>
        <w:gridCol w:w="4406"/>
        <w:gridCol w:w="723"/>
      </w:tblGrid>
      <w:tr w14:paraId="0666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Align w:val="center"/>
          </w:tcPr>
          <w:p w14:paraId="6D1C93E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单元编码</w:t>
            </w:r>
          </w:p>
        </w:tc>
        <w:tc>
          <w:tcPr>
            <w:tcW w:w="648" w:type="pct"/>
            <w:vAlign w:val="center"/>
          </w:tcPr>
          <w:p w14:paraId="5C98878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单元名称</w:t>
            </w:r>
          </w:p>
        </w:tc>
        <w:tc>
          <w:tcPr>
            <w:tcW w:w="294" w:type="pct"/>
            <w:vAlign w:val="center"/>
          </w:tcPr>
          <w:p w14:paraId="37DE78F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单元属性</w:t>
            </w:r>
          </w:p>
        </w:tc>
        <w:tc>
          <w:tcPr>
            <w:tcW w:w="1859" w:type="pct"/>
            <w:vAlign w:val="center"/>
          </w:tcPr>
          <w:p w14:paraId="2250037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单元特点</w:t>
            </w:r>
          </w:p>
        </w:tc>
        <w:tc>
          <w:tcPr>
            <w:tcW w:w="1810" w:type="pct"/>
            <w:gridSpan w:val="2"/>
            <w:vAlign w:val="center"/>
          </w:tcPr>
          <w:p w14:paraId="28106D1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要素属性</w:t>
            </w:r>
          </w:p>
        </w:tc>
      </w:tr>
      <w:tr w14:paraId="3C08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Align w:val="center"/>
          </w:tcPr>
          <w:p w14:paraId="1309C2C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ZH65420220001</w:t>
            </w:r>
          </w:p>
        </w:tc>
        <w:tc>
          <w:tcPr>
            <w:tcW w:w="648" w:type="pct"/>
            <w:vAlign w:val="center"/>
          </w:tcPr>
          <w:p w14:paraId="7DF7040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乌苏市重点管控单元01</w:t>
            </w:r>
          </w:p>
        </w:tc>
        <w:tc>
          <w:tcPr>
            <w:tcW w:w="294" w:type="pct"/>
            <w:vAlign w:val="center"/>
          </w:tcPr>
          <w:p w14:paraId="5340EA4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重点管控单元</w:t>
            </w:r>
          </w:p>
        </w:tc>
        <w:tc>
          <w:tcPr>
            <w:tcW w:w="1859" w:type="pct"/>
            <w:vAlign w:val="center"/>
          </w:tcPr>
          <w:p w14:paraId="2DFC588A">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乌苏工业园区以农副产品深加工产业、石油化工产业、装备制造产业为主导产业</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以能源及建材、战略新兴产业为辅助产业的综合型产业园区，地下水限采区。</w:t>
            </w:r>
          </w:p>
        </w:tc>
        <w:tc>
          <w:tcPr>
            <w:tcW w:w="1810" w:type="pct"/>
            <w:gridSpan w:val="2"/>
            <w:vAlign w:val="center"/>
          </w:tcPr>
          <w:p w14:paraId="04318C7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大气环境高排放重点管控区、水环境工业污染重点管控区、建设用地污染风险重点管控区、地下水重点管控区。</w:t>
            </w:r>
          </w:p>
        </w:tc>
      </w:tr>
      <w:tr w14:paraId="328D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Align w:val="center"/>
          </w:tcPr>
          <w:p w14:paraId="31D6104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管控维度</w:t>
            </w:r>
          </w:p>
        </w:tc>
        <w:tc>
          <w:tcPr>
            <w:tcW w:w="2801" w:type="pct"/>
            <w:gridSpan w:val="3"/>
            <w:vAlign w:val="center"/>
          </w:tcPr>
          <w:p w14:paraId="00B3BC6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管控要求</w:t>
            </w:r>
          </w:p>
        </w:tc>
        <w:tc>
          <w:tcPr>
            <w:tcW w:w="1555" w:type="pct"/>
            <w:vAlign w:val="center"/>
          </w:tcPr>
          <w:p w14:paraId="2802069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w:t>
            </w:r>
            <w:r>
              <w:rPr>
                <w:rFonts w:hint="eastAsia" w:ascii="Times New Roman" w:hAnsi="Times New Roman" w:eastAsia="宋体" w:cs="Times New Roman"/>
                <w:snapToGrid w:val="0"/>
                <w:color w:val="auto"/>
                <w:kern w:val="0"/>
                <w:sz w:val="21"/>
                <w:szCs w:val="21"/>
                <w:highlight w:val="none"/>
              </w:rPr>
              <w:t>项目</w:t>
            </w:r>
            <w:r>
              <w:rPr>
                <w:rFonts w:ascii="Times New Roman" w:hAnsi="Times New Roman" w:eastAsia="宋体" w:cs="Times New Roman"/>
                <w:snapToGrid w:val="0"/>
                <w:color w:val="auto"/>
                <w:kern w:val="0"/>
                <w:sz w:val="21"/>
                <w:szCs w:val="21"/>
                <w:highlight w:val="none"/>
              </w:rPr>
              <w:t>情况</w:t>
            </w:r>
          </w:p>
        </w:tc>
        <w:tc>
          <w:tcPr>
            <w:tcW w:w="255" w:type="pct"/>
            <w:vAlign w:val="center"/>
          </w:tcPr>
          <w:p w14:paraId="36D35EC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符合性</w:t>
            </w:r>
          </w:p>
        </w:tc>
      </w:tr>
      <w:tr w14:paraId="63FE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restart"/>
            <w:vAlign w:val="center"/>
          </w:tcPr>
          <w:p w14:paraId="4028854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空间布局约束</w:t>
            </w:r>
          </w:p>
        </w:tc>
        <w:tc>
          <w:tcPr>
            <w:tcW w:w="2801" w:type="pct"/>
            <w:gridSpan w:val="3"/>
            <w:vAlign w:val="center"/>
          </w:tcPr>
          <w:p w14:paraId="46C7277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1.禁止新建、扩建《产业结构调整指导目录（2024年本）》中淘汰类项目，限制新建、扩建《产业结构调整指导目录（2024年本）》中限制类项目。禁止引入《市场准入负面清单（202</w:t>
            </w:r>
            <w:r>
              <w:rPr>
                <w:rFonts w:hint="eastAsia" w:ascii="Times New Roman" w:hAnsi="Times New Roman" w:eastAsia="宋体" w:cs="Times New Roman"/>
                <w:snapToGrid w:val="0"/>
                <w:color w:val="auto"/>
                <w:kern w:val="0"/>
                <w:sz w:val="21"/>
                <w:szCs w:val="21"/>
                <w:highlight w:val="none"/>
              </w:rPr>
              <w:t>5</w:t>
            </w:r>
            <w:r>
              <w:rPr>
                <w:rFonts w:ascii="Times New Roman" w:hAnsi="Times New Roman" w:eastAsia="宋体" w:cs="Times New Roman"/>
                <w:snapToGrid w:val="0"/>
                <w:color w:val="auto"/>
                <w:kern w:val="0"/>
                <w:sz w:val="21"/>
                <w:szCs w:val="21"/>
                <w:highlight w:val="none"/>
              </w:rPr>
              <w:t>年版）》禁止准入类事项。</w:t>
            </w:r>
          </w:p>
        </w:tc>
        <w:tc>
          <w:tcPr>
            <w:tcW w:w="1555" w:type="pct"/>
            <w:vAlign w:val="center"/>
          </w:tcPr>
          <w:p w14:paraId="4ECD735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ascii="Times New Roman" w:hAnsi="Times New Roman" w:eastAsia="宋体" w:cs="Times New Roman"/>
                <w:snapToGrid w:val="0"/>
                <w:color w:val="auto"/>
                <w:kern w:val="0"/>
                <w:sz w:val="21"/>
                <w:szCs w:val="21"/>
                <w:highlight w:val="none"/>
                <w:lang w:bidi="ar"/>
              </w:rPr>
              <w:t>本项目属于</w:t>
            </w:r>
            <w:r>
              <w:rPr>
                <w:rFonts w:ascii="Times New Roman" w:hAnsi="Times New Roman" w:eastAsia="宋体" w:cs="Times New Roman"/>
                <w:snapToGrid w:val="0"/>
                <w:color w:val="auto"/>
                <w:kern w:val="0"/>
                <w:sz w:val="21"/>
                <w:szCs w:val="21"/>
                <w:highlight w:val="none"/>
              </w:rPr>
              <w:t>《产业结构调整指导目录（2024年本）》</w:t>
            </w:r>
            <w:r>
              <w:rPr>
                <w:rFonts w:hint="eastAsia" w:cs="Times New Roman"/>
                <w:snapToGrid w:val="0"/>
                <w:color w:val="auto"/>
                <w:kern w:val="0"/>
                <w:sz w:val="21"/>
                <w:szCs w:val="21"/>
                <w:highlight w:val="none"/>
                <w:lang w:val="en-US" w:eastAsia="zh-CN"/>
              </w:rPr>
              <w:t>允许类</w:t>
            </w:r>
            <w:r>
              <w:rPr>
                <w:rFonts w:hint="eastAsia" w:ascii="Times New Roman" w:hAnsi="Times New Roman" w:eastAsia="宋体" w:cs="Times New Roman"/>
                <w:snapToGrid w:val="0"/>
                <w:color w:val="auto"/>
                <w:kern w:val="0"/>
                <w:sz w:val="21"/>
                <w:szCs w:val="21"/>
                <w:highlight w:val="none"/>
                <w:lang w:val="en-US" w:eastAsia="zh-CN"/>
              </w:rPr>
              <w:t>项目</w:t>
            </w:r>
            <w:r>
              <w:rPr>
                <w:rFonts w:ascii="Times New Roman" w:hAnsi="Times New Roman" w:eastAsia="宋体" w:cs="Times New Roman"/>
                <w:snapToGrid w:val="0"/>
                <w:color w:val="auto"/>
                <w:kern w:val="0"/>
                <w:sz w:val="21"/>
                <w:szCs w:val="21"/>
                <w:highlight w:val="none"/>
                <w:lang w:bidi="ar"/>
              </w:rPr>
              <w:t>，</w:t>
            </w:r>
            <w:r>
              <w:rPr>
                <w:rFonts w:hint="eastAsia" w:ascii="Times New Roman" w:hAnsi="Times New Roman" w:eastAsia="宋体" w:cs="Times New Roman"/>
                <w:snapToGrid w:val="0"/>
                <w:color w:val="auto"/>
                <w:kern w:val="0"/>
                <w:sz w:val="21"/>
                <w:szCs w:val="21"/>
                <w:highlight w:val="none"/>
                <w:lang w:bidi="ar"/>
              </w:rPr>
              <w:t>不属于</w:t>
            </w:r>
            <w:r>
              <w:rPr>
                <w:rFonts w:ascii="Times New Roman" w:hAnsi="Times New Roman" w:eastAsia="宋体" w:cs="Times New Roman"/>
                <w:snapToGrid w:val="0"/>
                <w:color w:val="auto"/>
                <w:kern w:val="0"/>
                <w:sz w:val="21"/>
                <w:szCs w:val="21"/>
                <w:highlight w:val="none"/>
                <w:lang w:bidi="ar"/>
              </w:rPr>
              <w:t>《市场准入负面清单（202</w:t>
            </w:r>
            <w:r>
              <w:rPr>
                <w:rFonts w:hint="eastAsia" w:ascii="Times New Roman" w:hAnsi="Times New Roman" w:eastAsia="宋体" w:cs="Times New Roman"/>
                <w:snapToGrid w:val="0"/>
                <w:color w:val="auto"/>
                <w:kern w:val="0"/>
                <w:sz w:val="21"/>
                <w:szCs w:val="21"/>
                <w:highlight w:val="none"/>
                <w:lang w:bidi="ar"/>
              </w:rPr>
              <w:t>5</w:t>
            </w:r>
            <w:r>
              <w:rPr>
                <w:rFonts w:ascii="Times New Roman" w:hAnsi="Times New Roman" w:eastAsia="宋体" w:cs="Times New Roman"/>
                <w:snapToGrid w:val="0"/>
                <w:color w:val="auto"/>
                <w:kern w:val="0"/>
                <w:sz w:val="21"/>
                <w:szCs w:val="21"/>
                <w:highlight w:val="none"/>
                <w:lang w:bidi="ar"/>
              </w:rPr>
              <w:t>年版）》</w:t>
            </w:r>
            <w:r>
              <w:rPr>
                <w:rFonts w:hint="eastAsia" w:ascii="Times New Roman" w:hAnsi="Times New Roman" w:eastAsia="宋体" w:cs="Times New Roman"/>
                <w:snapToGrid w:val="0"/>
                <w:color w:val="auto"/>
                <w:kern w:val="0"/>
                <w:sz w:val="21"/>
                <w:szCs w:val="21"/>
                <w:highlight w:val="none"/>
                <w:lang w:bidi="ar"/>
              </w:rPr>
              <w:t>中</w:t>
            </w:r>
            <w:r>
              <w:rPr>
                <w:rFonts w:ascii="Times New Roman" w:hAnsi="Times New Roman" w:eastAsia="宋体" w:cs="Times New Roman"/>
                <w:snapToGrid w:val="0"/>
                <w:color w:val="auto"/>
                <w:kern w:val="0"/>
                <w:sz w:val="21"/>
                <w:szCs w:val="21"/>
                <w:highlight w:val="none"/>
                <w:lang w:bidi="ar"/>
              </w:rPr>
              <w:t>禁止准入类</w:t>
            </w:r>
            <w:r>
              <w:rPr>
                <w:rFonts w:hint="eastAsia" w:ascii="Times New Roman" w:hAnsi="Times New Roman" w:eastAsia="宋体" w:cs="Times New Roman"/>
                <w:snapToGrid w:val="0"/>
                <w:color w:val="auto"/>
                <w:kern w:val="0"/>
                <w:sz w:val="21"/>
                <w:szCs w:val="21"/>
                <w:highlight w:val="none"/>
                <w:lang w:bidi="ar"/>
              </w:rPr>
              <w:t>项目</w:t>
            </w:r>
            <w:r>
              <w:rPr>
                <w:rFonts w:ascii="Times New Roman" w:hAnsi="Times New Roman" w:eastAsia="宋体" w:cs="Times New Roman"/>
                <w:snapToGrid w:val="0"/>
                <w:color w:val="auto"/>
                <w:kern w:val="0"/>
                <w:sz w:val="21"/>
                <w:szCs w:val="21"/>
                <w:highlight w:val="none"/>
                <w:lang w:bidi="ar"/>
              </w:rPr>
              <w:t>。</w:t>
            </w:r>
          </w:p>
        </w:tc>
        <w:tc>
          <w:tcPr>
            <w:tcW w:w="255" w:type="pct"/>
            <w:vAlign w:val="center"/>
          </w:tcPr>
          <w:p w14:paraId="498B3E7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192B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7090AD0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1FA9DC1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2.新建和扩建石化、化工等项目应布设在依法合规设立并经规划环评的产业园区。</w:t>
            </w:r>
          </w:p>
        </w:tc>
        <w:tc>
          <w:tcPr>
            <w:tcW w:w="1555" w:type="pct"/>
            <w:vAlign w:val="center"/>
          </w:tcPr>
          <w:p w14:paraId="3CFD6DA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ascii="Times New Roman" w:hAnsi="Times New Roman" w:eastAsia="宋体" w:cs="Times New Roman"/>
                <w:snapToGrid w:val="0"/>
                <w:color w:val="auto"/>
                <w:kern w:val="0"/>
                <w:sz w:val="21"/>
                <w:szCs w:val="21"/>
                <w:highlight w:val="none"/>
              </w:rPr>
              <w:t>乌苏市</w:t>
            </w:r>
            <w:r>
              <w:rPr>
                <w:rFonts w:ascii="Times New Roman" w:hAnsi="Times New Roman" w:eastAsia="宋体" w:cs="Times New Roman"/>
                <w:snapToGrid w:val="0"/>
                <w:color w:val="auto"/>
                <w:kern w:val="0"/>
                <w:sz w:val="21"/>
                <w:szCs w:val="21"/>
                <w:highlight w:val="none"/>
                <w:lang w:bidi="ar"/>
              </w:rPr>
              <w:t>化工产业集中区为依法合规设立并经规划环评的产业园区。</w:t>
            </w:r>
          </w:p>
        </w:tc>
        <w:tc>
          <w:tcPr>
            <w:tcW w:w="255" w:type="pct"/>
            <w:vAlign w:val="center"/>
          </w:tcPr>
          <w:p w14:paraId="1B7B5B2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46C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0A03113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113FB06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spacing w:val="-6"/>
                <w:kern w:val="0"/>
                <w:sz w:val="21"/>
                <w:szCs w:val="21"/>
                <w:highlight w:val="none"/>
              </w:rPr>
              <w:t>3.严禁新建自治区《禁止、控制和限制危险化学品目录》中淘汰类、禁止类危险化学品化工项目。石化、现代煤化工项目应纳入国家产业规划。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城市建成区、重点流域内已建成投产化工企业和危险化学品生产企业应加快退城入园，搬入化工园区前企业不应实施改扩建工程扩大生产规模。</w:t>
            </w:r>
          </w:p>
        </w:tc>
        <w:tc>
          <w:tcPr>
            <w:tcW w:w="1555" w:type="pct"/>
            <w:vAlign w:val="center"/>
          </w:tcPr>
          <w:p w14:paraId="69599FB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hint="eastAsia" w:ascii="Times New Roman" w:hAnsi="Times New Roman" w:eastAsia="宋体" w:cs="Times New Roman"/>
                <w:snapToGrid w:val="0"/>
                <w:color w:val="auto"/>
                <w:kern w:val="0"/>
                <w:sz w:val="21"/>
                <w:szCs w:val="21"/>
                <w:highlight w:val="none"/>
              </w:rPr>
              <w:t>本项目不涉及</w:t>
            </w:r>
            <w:r>
              <w:rPr>
                <w:rFonts w:ascii="Times New Roman" w:hAnsi="Times New Roman" w:eastAsia="宋体" w:cs="Times New Roman"/>
                <w:snapToGrid w:val="0"/>
                <w:color w:val="auto"/>
                <w:kern w:val="0"/>
                <w:sz w:val="21"/>
                <w:szCs w:val="21"/>
                <w:highlight w:val="none"/>
              </w:rPr>
              <w:t>自治区《禁止、控制和限制危险化学品目录》中淘汰类、禁止类危险化学品</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乌苏市</w:t>
            </w:r>
            <w:r>
              <w:rPr>
                <w:rFonts w:ascii="Times New Roman" w:hAnsi="Times New Roman" w:eastAsia="宋体" w:cs="Times New Roman"/>
                <w:snapToGrid w:val="0"/>
                <w:color w:val="auto"/>
                <w:kern w:val="0"/>
                <w:sz w:val="21"/>
                <w:szCs w:val="21"/>
                <w:highlight w:val="none"/>
                <w:lang w:bidi="ar"/>
              </w:rPr>
              <w:t>化工产业集中区为依法合规设立并经规划环评的产业园区。</w:t>
            </w:r>
          </w:p>
        </w:tc>
        <w:tc>
          <w:tcPr>
            <w:tcW w:w="255" w:type="pct"/>
            <w:vAlign w:val="center"/>
          </w:tcPr>
          <w:p w14:paraId="7922616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649D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052CDAA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76C925D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4.禁止引进国家和自治区明令禁止或淘汰的产业及工艺、园区规划的项目；引进符合国家产业政策和清洁生产要求的、采用先进生产工艺和设备的、自动化程度高的、具有可靠先进的污染治理技术的生产项目。</w:t>
            </w:r>
          </w:p>
        </w:tc>
        <w:tc>
          <w:tcPr>
            <w:tcW w:w="1555" w:type="pct"/>
            <w:vAlign w:val="center"/>
          </w:tcPr>
          <w:p w14:paraId="5C63E26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hint="eastAsia" w:ascii="Times New Roman" w:hAnsi="Times New Roman" w:eastAsia="宋体" w:cs="Times New Roman"/>
                <w:snapToGrid w:val="0"/>
                <w:color w:val="auto"/>
                <w:kern w:val="0"/>
                <w:sz w:val="21"/>
                <w:szCs w:val="21"/>
                <w:highlight w:val="none"/>
              </w:rPr>
              <w:t>本项目生产工艺采用生物发酵法，不涉及</w:t>
            </w:r>
            <w:r>
              <w:rPr>
                <w:rFonts w:ascii="Times New Roman" w:hAnsi="Times New Roman" w:eastAsia="宋体" w:cs="Times New Roman"/>
                <w:snapToGrid w:val="0"/>
                <w:color w:val="auto"/>
                <w:kern w:val="0"/>
                <w:sz w:val="21"/>
                <w:szCs w:val="21"/>
                <w:highlight w:val="none"/>
                <w:lang w:bidi="ar"/>
              </w:rPr>
              <w:t>国家和自治区明令禁止或淘汰的产业及工艺。清洁生产水平达到国内先进水平</w:t>
            </w:r>
            <w:r>
              <w:rPr>
                <w:rFonts w:hint="eastAsia" w:ascii="Times New Roman" w:hAnsi="Times New Roman" w:eastAsia="宋体" w:cs="Times New Roman"/>
                <w:snapToGrid w:val="0"/>
                <w:color w:val="auto"/>
                <w:kern w:val="0"/>
                <w:sz w:val="21"/>
                <w:szCs w:val="21"/>
                <w:highlight w:val="none"/>
                <w:lang w:bidi="ar"/>
              </w:rPr>
              <w:t>。</w:t>
            </w:r>
          </w:p>
        </w:tc>
        <w:tc>
          <w:tcPr>
            <w:tcW w:w="255" w:type="pct"/>
            <w:vAlign w:val="center"/>
          </w:tcPr>
          <w:p w14:paraId="1CB6098A">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185E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6BEB0B7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71FDF48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5.重点控制区域禁止新建每小时65蒸吨以下燃煤锅炉，在集中供热管网覆盖区域内，禁止新建、改建、扩建燃煤供热锅炉</w:t>
            </w:r>
            <w:r>
              <w:rPr>
                <w:rFonts w:hint="eastAsia" w:ascii="Times New Roman" w:hAnsi="Times New Roman" w:eastAsia="宋体" w:cs="Times New Roman"/>
                <w:snapToGrid w:val="0"/>
                <w:color w:val="auto"/>
                <w:kern w:val="0"/>
                <w:sz w:val="21"/>
                <w:szCs w:val="21"/>
                <w:highlight w:val="none"/>
                <w:lang w:eastAsia="zh-CN"/>
              </w:rPr>
              <w:t>，在</w:t>
            </w:r>
            <w:r>
              <w:rPr>
                <w:rFonts w:ascii="Times New Roman" w:hAnsi="Times New Roman" w:eastAsia="宋体" w:cs="Times New Roman"/>
                <w:snapToGrid w:val="0"/>
                <w:color w:val="auto"/>
                <w:kern w:val="0"/>
                <w:sz w:val="21"/>
                <w:szCs w:val="21"/>
                <w:highlight w:val="none"/>
              </w:rPr>
              <w:t>集中供热管网覆盖前，已建成使用的燃煤供热锅炉应当限期停止使用。</w:t>
            </w:r>
          </w:p>
        </w:tc>
        <w:tc>
          <w:tcPr>
            <w:tcW w:w="1555" w:type="pct"/>
            <w:vAlign w:val="center"/>
          </w:tcPr>
          <w:p w14:paraId="457AEE2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hint="eastAsia" w:ascii="Times New Roman" w:hAnsi="Times New Roman" w:eastAsia="宋体" w:cs="Times New Roman"/>
                <w:snapToGrid w:val="0"/>
                <w:color w:val="auto"/>
                <w:kern w:val="0"/>
                <w:sz w:val="21"/>
                <w:szCs w:val="21"/>
                <w:highlight w:val="none"/>
                <w:lang w:bidi="ar"/>
              </w:rPr>
              <w:t>本项目</w:t>
            </w:r>
            <w:r>
              <w:rPr>
                <w:rFonts w:hint="eastAsia" w:ascii="Times New Roman" w:hAnsi="Times New Roman" w:eastAsia="宋体" w:cs="Times New Roman"/>
                <w:color w:val="auto"/>
                <w:kern w:val="0"/>
                <w:sz w:val="21"/>
                <w:szCs w:val="21"/>
                <w:highlight w:val="none"/>
                <w:lang w:val="en-US" w:eastAsia="zh-CN"/>
              </w:rPr>
              <w:t>生产供汽和生活供暖</w:t>
            </w:r>
            <w:r>
              <w:rPr>
                <w:rFonts w:hint="eastAsia" w:ascii="Times New Roman" w:hAnsi="Times New Roman" w:eastAsia="宋体" w:cs="Times New Roman"/>
                <w:snapToGrid w:val="0"/>
                <w:color w:val="auto"/>
                <w:kern w:val="0"/>
                <w:sz w:val="21"/>
                <w:szCs w:val="21"/>
                <w:highlight w:val="none"/>
              </w:rPr>
              <w:t>依托现有工程5×75t/h燃煤锅炉，不新建设燃煤锅炉</w:t>
            </w:r>
            <w:r>
              <w:rPr>
                <w:rFonts w:hint="eastAsia" w:ascii="Times New Roman" w:hAnsi="Times New Roman" w:eastAsia="宋体" w:cs="Times New Roman"/>
                <w:color w:val="auto"/>
                <w:kern w:val="0"/>
                <w:sz w:val="21"/>
                <w:szCs w:val="21"/>
                <w:highlight w:val="none"/>
              </w:rPr>
              <w:t>。</w:t>
            </w:r>
          </w:p>
        </w:tc>
        <w:tc>
          <w:tcPr>
            <w:tcW w:w="255" w:type="pct"/>
            <w:vAlign w:val="center"/>
          </w:tcPr>
          <w:p w14:paraId="2A3B9EA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D85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49DA12C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26A13BD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6.入园企业符合园区产业发展定位，以水定产，严格限制发展高耗水、环境影响较大的行业。</w:t>
            </w:r>
          </w:p>
        </w:tc>
        <w:tc>
          <w:tcPr>
            <w:tcW w:w="1555" w:type="pct"/>
            <w:vAlign w:val="center"/>
          </w:tcPr>
          <w:p w14:paraId="74CE691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hint="eastAsia" w:ascii="Times New Roman" w:hAnsi="Times New Roman" w:eastAsia="宋体" w:cs="Times New Roman"/>
                <w:snapToGrid w:val="0"/>
                <w:color w:val="auto"/>
                <w:spacing w:val="-6"/>
                <w:kern w:val="0"/>
                <w:sz w:val="21"/>
                <w:szCs w:val="21"/>
                <w:highlight w:val="none"/>
              </w:rPr>
              <w:t>本项目</w:t>
            </w:r>
            <w:r>
              <w:rPr>
                <w:rFonts w:ascii="Times New Roman" w:hAnsi="Times New Roman" w:eastAsia="宋体" w:cs="Times New Roman"/>
                <w:snapToGrid w:val="0"/>
                <w:color w:val="auto"/>
                <w:spacing w:val="-6"/>
                <w:kern w:val="0"/>
                <w:sz w:val="21"/>
                <w:szCs w:val="21"/>
                <w:highlight w:val="none"/>
              </w:rPr>
              <w:t>符合园区产业发展定位，</w:t>
            </w:r>
            <w:r>
              <w:rPr>
                <w:rFonts w:ascii="Times New Roman" w:hAnsi="Times New Roman" w:eastAsia="宋体" w:cs="Times New Roman"/>
                <w:snapToGrid w:val="0"/>
                <w:color w:val="auto"/>
                <w:spacing w:val="-6"/>
                <w:kern w:val="0"/>
                <w:sz w:val="21"/>
                <w:szCs w:val="21"/>
                <w:highlight w:val="none"/>
                <w:lang w:val="en-GB"/>
              </w:rPr>
              <w:t>企业一水多用、分质串联使用、中水回用等多途径节水措施，减少新鲜水用量和废水排放量，以水定产</w:t>
            </w:r>
            <w:r>
              <w:rPr>
                <w:rFonts w:hint="eastAsia" w:ascii="Times New Roman" w:hAnsi="Times New Roman" w:eastAsia="宋体" w:cs="Times New Roman"/>
                <w:snapToGrid w:val="0"/>
                <w:color w:val="auto"/>
                <w:spacing w:val="-6"/>
                <w:kern w:val="0"/>
                <w:sz w:val="21"/>
                <w:szCs w:val="21"/>
                <w:highlight w:val="none"/>
                <w:lang w:val="en-GB"/>
              </w:rPr>
              <w:t>。</w:t>
            </w:r>
          </w:p>
        </w:tc>
        <w:tc>
          <w:tcPr>
            <w:tcW w:w="255" w:type="pct"/>
            <w:vAlign w:val="center"/>
          </w:tcPr>
          <w:p w14:paraId="1064F03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19B7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1424DF1C">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4FBB184C">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7.超采区内禁止审批农业生产及服务业新增取用地下水，在地下水限采区开采地下水应符合县级以上人民政府水行政主管部门制定和下达的年度开采计划，合理调度地表水、地下水，从严控制取水总量，严格对每眼机电井进行管理，对超采严重区域实施关停封填机井，不得擅自扩大地下水开采，以实现采补平衡。</w:t>
            </w:r>
          </w:p>
        </w:tc>
        <w:tc>
          <w:tcPr>
            <w:tcW w:w="1555" w:type="pct"/>
            <w:vAlign w:val="center"/>
          </w:tcPr>
          <w:p w14:paraId="5CA183B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lang w:bidi="ar"/>
              </w:rPr>
            </w:pPr>
            <w:r>
              <w:rPr>
                <w:rFonts w:hint="eastAsia" w:ascii="Times New Roman" w:hAnsi="Times New Roman" w:eastAsia="宋体" w:cs="Times New Roman"/>
                <w:snapToGrid w:val="0"/>
                <w:color w:val="auto"/>
                <w:kern w:val="0"/>
                <w:sz w:val="21"/>
                <w:szCs w:val="21"/>
                <w:highlight w:val="none"/>
                <w:lang w:bidi="ar"/>
              </w:rPr>
              <w:t>本项目</w:t>
            </w:r>
            <w:r>
              <w:rPr>
                <w:rFonts w:ascii="Times New Roman" w:hAnsi="Times New Roman" w:eastAsia="宋体" w:cs="Times New Roman"/>
                <w:snapToGrid w:val="0"/>
                <w:color w:val="auto"/>
                <w:kern w:val="0"/>
                <w:sz w:val="21"/>
                <w:szCs w:val="21"/>
                <w:highlight w:val="none"/>
                <w:lang w:bidi="ar"/>
              </w:rPr>
              <w:t>水源采用</w:t>
            </w:r>
            <w:r>
              <w:rPr>
                <w:rFonts w:hint="eastAsia" w:ascii="Times New Roman" w:hAnsi="Times New Roman" w:eastAsia="宋体" w:cs="Times New Roman"/>
                <w:snapToGrid w:val="0"/>
                <w:color w:val="auto"/>
                <w:kern w:val="0"/>
                <w:sz w:val="21"/>
                <w:szCs w:val="21"/>
                <w:highlight w:val="none"/>
                <w:lang w:bidi="ar"/>
              </w:rPr>
              <w:t>园区供水，</w:t>
            </w:r>
            <w:r>
              <w:rPr>
                <w:rFonts w:hint="eastAsia" w:ascii="Times New Roman" w:hAnsi="Times New Roman" w:eastAsia="宋体" w:cs="Times New Roman"/>
                <w:snapToGrid w:val="0"/>
                <w:color w:val="auto"/>
                <w:kern w:val="0"/>
                <w:sz w:val="21"/>
                <w:szCs w:val="21"/>
                <w:highlight w:val="none"/>
                <w:lang w:val="en-US" w:eastAsia="zh-CN" w:bidi="ar"/>
              </w:rPr>
              <w:t>属于</w:t>
            </w:r>
            <w:r>
              <w:rPr>
                <w:rFonts w:ascii="Times New Roman" w:hAnsi="Times New Roman" w:eastAsia="宋体" w:cs="Times New Roman"/>
                <w:snapToGrid w:val="0"/>
                <w:color w:val="auto"/>
                <w:kern w:val="0"/>
                <w:sz w:val="21"/>
                <w:szCs w:val="21"/>
                <w:highlight w:val="none"/>
                <w:lang w:bidi="ar"/>
              </w:rPr>
              <w:t>地表水，不使用地下水。</w:t>
            </w:r>
          </w:p>
        </w:tc>
        <w:tc>
          <w:tcPr>
            <w:tcW w:w="255" w:type="pct"/>
            <w:vAlign w:val="center"/>
          </w:tcPr>
          <w:p w14:paraId="284E8FE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A86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restart"/>
            <w:vAlign w:val="center"/>
          </w:tcPr>
          <w:p w14:paraId="02AF585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污染物</w:t>
            </w:r>
          </w:p>
          <w:p w14:paraId="3553D15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排放管控</w:t>
            </w:r>
          </w:p>
        </w:tc>
        <w:tc>
          <w:tcPr>
            <w:tcW w:w="2801" w:type="pct"/>
            <w:gridSpan w:val="3"/>
            <w:vAlign w:val="center"/>
          </w:tcPr>
          <w:p w14:paraId="6923736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1.坚决遏制“两高”项目盲目发展，新改扩建项目实施更严格的污染物排放总量控制要求，涉及大宗物料运输的，采用清洁运输方式。</w:t>
            </w:r>
          </w:p>
        </w:tc>
        <w:tc>
          <w:tcPr>
            <w:tcW w:w="1555" w:type="pct"/>
            <w:vAlign w:val="center"/>
          </w:tcPr>
          <w:p w14:paraId="7BC7A5BC">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bidi="ar"/>
              </w:rPr>
              <w:t>本项目不属于“</w:t>
            </w:r>
            <w:r>
              <w:rPr>
                <w:rFonts w:ascii="Times New Roman" w:hAnsi="Times New Roman" w:eastAsia="宋体" w:cs="Times New Roman"/>
                <w:snapToGrid w:val="0"/>
                <w:color w:val="auto"/>
                <w:kern w:val="0"/>
                <w:sz w:val="21"/>
                <w:szCs w:val="21"/>
                <w:highlight w:val="none"/>
              </w:rPr>
              <w:t>两高</w:t>
            </w:r>
            <w:r>
              <w:rPr>
                <w:rFonts w:hint="eastAsia" w:ascii="Times New Roman" w:hAnsi="Times New Roman" w:eastAsia="宋体" w:cs="Times New Roman"/>
                <w:snapToGrid w:val="0"/>
                <w:color w:val="auto"/>
                <w:kern w:val="0"/>
                <w:sz w:val="21"/>
                <w:szCs w:val="21"/>
                <w:highlight w:val="none"/>
                <w:lang w:bidi="ar"/>
              </w:rPr>
              <w:t>”</w:t>
            </w:r>
            <w:r>
              <w:rPr>
                <w:rFonts w:ascii="Times New Roman" w:hAnsi="Times New Roman" w:eastAsia="宋体" w:cs="Times New Roman"/>
                <w:snapToGrid w:val="0"/>
                <w:color w:val="auto"/>
                <w:kern w:val="0"/>
                <w:sz w:val="21"/>
                <w:szCs w:val="21"/>
                <w:highlight w:val="none"/>
              </w:rPr>
              <w:t>项目</w:t>
            </w:r>
            <w:r>
              <w:rPr>
                <w:rFonts w:hint="eastAsia" w:ascii="Times New Roman" w:hAnsi="Times New Roman" w:eastAsia="宋体" w:cs="Times New Roman"/>
                <w:snapToGrid w:val="0"/>
                <w:color w:val="auto"/>
                <w:kern w:val="0"/>
                <w:sz w:val="21"/>
                <w:szCs w:val="21"/>
                <w:highlight w:val="none"/>
              </w:rPr>
              <w:t>。</w:t>
            </w:r>
          </w:p>
        </w:tc>
        <w:tc>
          <w:tcPr>
            <w:tcW w:w="255" w:type="pct"/>
            <w:vAlign w:val="center"/>
          </w:tcPr>
          <w:p w14:paraId="3A71959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5ED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770F76A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417CA05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2.针对石油化工等行业，严格控制物料储存、输送及生产工艺过程无组织排放。实施重点行业氮氧化物等污染物深度治理，按照氮氧化物排放浓度不高于50毫克</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立方米的标准实施燃气锅炉低氮燃烧改造，全面排查除尘脱硫一体化、简易碱法脱硫、简易氨法脱硫脱硝、湿法脱硝等低效治理技术的工业企业，以及使用光催化、光氧化、低温等离子等简易低效VOCs治理设施，建立清单台账，完成低效治理设施的提升改造。</w:t>
            </w:r>
          </w:p>
        </w:tc>
        <w:tc>
          <w:tcPr>
            <w:tcW w:w="1555" w:type="pct"/>
            <w:vAlign w:val="center"/>
          </w:tcPr>
          <w:p w14:paraId="7C6F68E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本项目</w:t>
            </w:r>
            <w:r>
              <w:rPr>
                <w:rFonts w:hint="default" w:ascii="Times New Roman" w:hAnsi="Times New Roman" w:eastAsia="宋体" w:cs="Times New Roman"/>
                <w:snapToGrid w:val="0"/>
                <w:color w:val="auto"/>
                <w:spacing w:val="-6"/>
                <w:kern w:val="0"/>
                <w:sz w:val="21"/>
                <w:szCs w:val="21"/>
                <w:highlight w:val="none"/>
              </w:rPr>
              <w:t>储罐废气采用冷凝+活性炭吸附处理</w:t>
            </w:r>
            <w:r>
              <w:rPr>
                <w:rFonts w:hint="eastAsia" w:ascii="Times New Roman" w:hAnsi="Times New Roman" w:eastAsia="宋体" w:cs="Times New Roman"/>
                <w:snapToGrid w:val="0"/>
                <w:color w:val="auto"/>
                <w:spacing w:val="-6"/>
                <w:kern w:val="0"/>
                <w:sz w:val="21"/>
                <w:szCs w:val="21"/>
                <w:highlight w:val="none"/>
                <w:lang w:val="en-US" w:eastAsia="zh-CN"/>
              </w:rPr>
              <w:t>；其他有机废气采用水吸收和碱吸收工艺处理，非甲烷总烃排放浓度可以满足《合成树脂工业污染物排放标准》（GB31572-2015，含2024年修改单）表5大气污染物特别排放限值</w:t>
            </w:r>
            <w:r>
              <w:rPr>
                <w:rFonts w:hint="eastAsia" w:ascii="Times New Roman" w:hAnsi="Times New Roman" w:eastAsia="宋体" w:cs="Times New Roman"/>
                <w:snapToGrid w:val="0"/>
                <w:color w:val="auto"/>
                <w:spacing w:val="-6"/>
                <w:kern w:val="0"/>
                <w:sz w:val="21"/>
                <w:szCs w:val="21"/>
                <w:highlight w:val="none"/>
                <w:lang w:eastAsia="zh-CN"/>
              </w:rPr>
              <w:t>。</w:t>
            </w:r>
          </w:p>
        </w:tc>
        <w:tc>
          <w:tcPr>
            <w:tcW w:w="255" w:type="pct"/>
            <w:vAlign w:val="center"/>
          </w:tcPr>
          <w:p w14:paraId="13727D8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5D09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164A630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22F1F9B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根据行业类型，深入开展VOCs排放统计与调查，实施排查整治，加强重点行业、重点企业挥发性有机物精细化管控，重点行业企业完成“一厂一策”综合治理方案的制定及落实。实施VOCs排放总量控制，重点推进石化、化工等涉VOCs排放等重点行业的VOCs污染防治，全面推进使用低VOCs含量涂料、油墨、胶黏剂、清洗剂等。强化VOCs污染防治措施，推广使用低挥发性有机物原辅料，推动有条件的园区（工业集聚区）建设集中喷涂工程中心，配备高效治污设施，替代企业独立喷涂工序。</w:t>
            </w:r>
          </w:p>
        </w:tc>
        <w:tc>
          <w:tcPr>
            <w:tcW w:w="1555" w:type="pct"/>
            <w:vAlign w:val="center"/>
          </w:tcPr>
          <w:p w14:paraId="0FF1878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环评要求企业严格执行《挥发性有机物（VOCs）污染防治技术政策》（环保部公告2013年第31号）、《挥发性有机物无组织排放控制标准》（GB37822-2019），认真落实规定的防治技术措施。</w:t>
            </w:r>
          </w:p>
        </w:tc>
        <w:tc>
          <w:tcPr>
            <w:tcW w:w="255" w:type="pct"/>
            <w:vAlign w:val="center"/>
          </w:tcPr>
          <w:p w14:paraId="75F58D7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A2D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0B863BC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58F3E3A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4.全面淘汰环保工艺简易、治污效果差的除尘脱硫设施。大力推进电能替代煤炭，积极稳妥推进以气代煤，因地制宜推进生物质等能源代煤，开展氢能源代煤示范。新、改、扩建加热炉、热处理炉、干燥炉、熔化炉，采用清洁低碳能源，不得使用煤炭等高污染燃料；现有使用高污染燃料的工业炉窑改用工业余热、电能、天然气等；使用煤气发生炉的企业采用清洁能源替代，或者采取园区（集群）集中供气、分散使用的方式，全面淘汰间歇式固定床煤气发生炉。建立全口径炉窑清单，推进实施“一炉一策”精细化管理。</w:t>
            </w:r>
          </w:p>
        </w:tc>
        <w:tc>
          <w:tcPr>
            <w:tcW w:w="1555" w:type="pct"/>
            <w:vAlign w:val="center"/>
          </w:tcPr>
          <w:p w14:paraId="723AF73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本项目不</w:t>
            </w:r>
            <w:r>
              <w:rPr>
                <w:rFonts w:hint="eastAsia" w:ascii="Times New Roman" w:hAnsi="Times New Roman" w:eastAsia="宋体" w:cs="Times New Roman"/>
                <w:snapToGrid w:val="0"/>
                <w:color w:val="auto"/>
                <w:kern w:val="0"/>
                <w:sz w:val="21"/>
                <w:szCs w:val="21"/>
                <w:highlight w:val="none"/>
                <w:lang w:val="en-US" w:eastAsia="zh-CN"/>
              </w:rPr>
              <w:t>新增</w:t>
            </w:r>
            <w:r>
              <w:rPr>
                <w:rFonts w:hint="eastAsia" w:ascii="Times New Roman" w:hAnsi="Times New Roman" w:eastAsia="宋体" w:cs="Times New Roman"/>
                <w:snapToGrid w:val="0"/>
                <w:color w:val="auto"/>
                <w:kern w:val="0"/>
                <w:sz w:val="21"/>
                <w:szCs w:val="21"/>
                <w:highlight w:val="none"/>
              </w:rPr>
              <w:t>用煤</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生产供汽和生活供暖</w:t>
            </w:r>
            <w:r>
              <w:rPr>
                <w:rFonts w:hint="eastAsia" w:ascii="Times New Roman" w:hAnsi="Times New Roman" w:eastAsia="宋体" w:cs="Times New Roman"/>
                <w:snapToGrid w:val="0"/>
                <w:color w:val="auto"/>
                <w:kern w:val="0"/>
                <w:sz w:val="21"/>
                <w:szCs w:val="21"/>
                <w:highlight w:val="none"/>
              </w:rPr>
              <w:t>依托现有工程5×75t/h燃煤锅炉。</w:t>
            </w:r>
          </w:p>
        </w:tc>
        <w:tc>
          <w:tcPr>
            <w:tcW w:w="255" w:type="pct"/>
            <w:vAlign w:val="center"/>
          </w:tcPr>
          <w:p w14:paraId="2C803B8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B8F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598A6D0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1358F27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推进工业园区热电联供，加快推进集中供热、“煤改电”工程建设，按照宜电则电、宜气则气、宜热则热的原则，因地制宜推进冬季清洁取暖，加快推进燃煤锅炉超低排放改造和燃气锅炉低氮燃烧改造。采暖季对高排放行业实施绩效分级错峰生产，大宗物料实施错峰运输。</w:t>
            </w:r>
          </w:p>
        </w:tc>
        <w:tc>
          <w:tcPr>
            <w:tcW w:w="1555" w:type="pct"/>
            <w:vAlign w:val="center"/>
          </w:tcPr>
          <w:p w14:paraId="653A9D9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本项目</w:t>
            </w:r>
            <w:r>
              <w:rPr>
                <w:rFonts w:hint="eastAsia" w:ascii="Times New Roman" w:hAnsi="Times New Roman" w:eastAsia="宋体" w:cs="Times New Roman"/>
                <w:color w:val="auto"/>
                <w:kern w:val="0"/>
                <w:sz w:val="21"/>
                <w:szCs w:val="21"/>
                <w:highlight w:val="none"/>
                <w:lang w:val="en-US" w:eastAsia="zh-CN"/>
              </w:rPr>
              <w:t>生产供汽和生活供暖</w:t>
            </w:r>
            <w:r>
              <w:rPr>
                <w:rFonts w:hint="eastAsia" w:ascii="Times New Roman" w:hAnsi="Times New Roman" w:eastAsia="宋体" w:cs="Times New Roman"/>
                <w:snapToGrid w:val="0"/>
                <w:color w:val="auto"/>
                <w:kern w:val="0"/>
                <w:sz w:val="21"/>
                <w:szCs w:val="21"/>
                <w:highlight w:val="none"/>
              </w:rPr>
              <w:t>依托</w:t>
            </w:r>
            <w:r>
              <w:rPr>
                <w:rFonts w:hint="eastAsia" w:ascii="Times New Roman" w:hAnsi="Times New Roman" w:eastAsia="宋体" w:cs="Times New Roman"/>
                <w:color w:val="auto"/>
                <w:kern w:val="0"/>
                <w:sz w:val="21"/>
                <w:szCs w:val="21"/>
                <w:highlight w:val="none"/>
              </w:rPr>
              <w:t>现有工程5×75t/h燃煤锅炉</w:t>
            </w:r>
            <w:r>
              <w:rPr>
                <w:rFonts w:hint="eastAsia" w:ascii="Times New Roman" w:hAnsi="Times New Roman" w:eastAsia="宋体" w:cs="Times New Roman"/>
                <w:snapToGrid w:val="0"/>
                <w:color w:val="auto"/>
                <w:kern w:val="0"/>
                <w:sz w:val="21"/>
                <w:szCs w:val="21"/>
                <w:highlight w:val="none"/>
              </w:rPr>
              <w:t>集中供热。</w:t>
            </w:r>
          </w:p>
        </w:tc>
        <w:tc>
          <w:tcPr>
            <w:tcW w:w="255" w:type="pct"/>
            <w:vAlign w:val="center"/>
          </w:tcPr>
          <w:p w14:paraId="414EDBE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F0E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0D42C19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12AE93A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6.臭氧污染防治：积极遏制臭氧浓度增长趋势，推进挥发性有机物和氮氧化物协同减排。以石化、化工、涂装、医药、包装印刷、油品储运销等行业领域为重点，安全高效推进挥发性有机物综合治理，实施原辅材料和产品源头替代工程。</w:t>
            </w:r>
          </w:p>
        </w:tc>
        <w:tc>
          <w:tcPr>
            <w:tcW w:w="1555" w:type="pct"/>
            <w:vAlign w:val="center"/>
          </w:tcPr>
          <w:p w14:paraId="4070089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本</w:t>
            </w:r>
            <w:r>
              <w:rPr>
                <w:rFonts w:hint="eastAsia" w:ascii="Times New Roman" w:hAnsi="Times New Roman" w:eastAsia="宋体" w:cs="Times New Roman"/>
                <w:snapToGrid w:val="0"/>
                <w:color w:val="auto"/>
                <w:kern w:val="0"/>
                <w:sz w:val="21"/>
                <w:szCs w:val="21"/>
                <w:highlight w:val="none"/>
              </w:rPr>
              <w:t>项目</w:t>
            </w:r>
            <w:r>
              <w:rPr>
                <w:rFonts w:ascii="Times New Roman" w:hAnsi="Times New Roman" w:eastAsia="宋体" w:cs="Times New Roman"/>
                <w:snapToGrid w:val="0"/>
                <w:color w:val="auto"/>
                <w:kern w:val="0"/>
                <w:sz w:val="21"/>
                <w:szCs w:val="21"/>
                <w:highlight w:val="none"/>
              </w:rPr>
              <w:t>在实施过程中，按照环评提出的挥发性有机物污染防治措施治理，实现达标排放。</w:t>
            </w:r>
          </w:p>
        </w:tc>
        <w:tc>
          <w:tcPr>
            <w:tcW w:w="255" w:type="pct"/>
            <w:vAlign w:val="center"/>
          </w:tcPr>
          <w:p w14:paraId="5DE1B37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6DEE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7619A51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0A9C5B3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7.施工扬尘污染防治：各县（市）制定本行政区域城市扬尘综合治理方案，加强扬尘精细化管控。加强监管执法，严格落实施工工地扬尘管控责任</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全面推行绿色施工，严格落实建筑施工工地周边围挡、物料堆放覆盖、土方开挖湿法作业、路面硬化、出入车辆清洗、渣土车辆密闭运输等“六个百分之百”措施，减少扬尘污染。将防治扬尘污染费用纳入工程造价，规模以上施工工地安装视频监控设施并接入当地监管平台。</w:t>
            </w:r>
          </w:p>
        </w:tc>
        <w:tc>
          <w:tcPr>
            <w:tcW w:w="1555" w:type="pct"/>
            <w:vAlign w:val="center"/>
          </w:tcPr>
          <w:p w14:paraId="021588A9">
            <w:pPr>
              <w:keepNext w:val="0"/>
              <w:keepLines w:val="0"/>
              <w:pageBreakBefore w:val="0"/>
              <w:widowControl/>
              <w:kinsoku/>
              <w:wordWrap/>
              <w:overflowPunct/>
              <w:topLinePunct w:val="0"/>
              <w:autoSpaceDE/>
              <w:autoSpaceDN/>
              <w:bidi w:val="0"/>
              <w:adjustRightInd w:val="0"/>
              <w:snapToGrid w:val="0"/>
              <w:ind w:left="-142" w:right="-142"/>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本次环评提出了施工期大气环境影响减缓措施。</w:t>
            </w:r>
          </w:p>
        </w:tc>
        <w:tc>
          <w:tcPr>
            <w:tcW w:w="255" w:type="pct"/>
            <w:vAlign w:val="center"/>
          </w:tcPr>
          <w:p w14:paraId="416285A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76C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6313FE2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4579F04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8.塔城地区现有的农副食品加工、有色金属、炼焦和造纸企业实施清洁化改造，禁止将未经处理的污水直接排入水体，新建、改建、扩建上述行业建设项目。</w:t>
            </w:r>
          </w:p>
        </w:tc>
        <w:tc>
          <w:tcPr>
            <w:tcW w:w="1555" w:type="pct"/>
            <w:vAlign w:val="center"/>
          </w:tcPr>
          <w:p w14:paraId="18BA241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不涉及。</w:t>
            </w:r>
          </w:p>
        </w:tc>
        <w:tc>
          <w:tcPr>
            <w:tcW w:w="255" w:type="pct"/>
            <w:vAlign w:val="center"/>
          </w:tcPr>
          <w:p w14:paraId="7058B23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B17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797C9C7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3CF85AB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9.保障工业集聚区污水集中处理设施污染治理效果，加快推进园区纳污管网建设</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新建、升级工业集聚区应同步规划、建设污水、垃圾集中处理等污染治理设施，完善园区及工业聚集区污水收集系统，新增园区、工业企业污水实现100%收集处理。加强工业节水，支持企业积极实施节水技术改造，加快再生水回用设施建设。</w:t>
            </w:r>
          </w:p>
        </w:tc>
        <w:tc>
          <w:tcPr>
            <w:tcW w:w="1555" w:type="pct"/>
            <w:vAlign w:val="center"/>
          </w:tcPr>
          <w:p w14:paraId="2B188A1A">
            <w:pPr>
              <w:keepNext w:val="0"/>
              <w:keepLines w:val="0"/>
              <w:pageBreakBefore w:val="0"/>
              <w:widowControl/>
              <w:kinsoku/>
              <w:wordWrap/>
              <w:overflowPunct/>
              <w:topLinePunct w:val="0"/>
              <w:autoSpaceDE/>
              <w:autoSpaceDN/>
              <w:bidi w:val="0"/>
              <w:adjustRightInd w:val="0"/>
              <w:snapToGrid w:val="0"/>
              <w:ind w:left="-142" w:right="-142"/>
              <w:jc w:val="center"/>
              <w:textAlignment w:val="auto"/>
              <w:rPr>
                <w:rFonts w:hint="eastAsia" w:ascii="Times New Roman" w:hAnsi="Times New Roman" w:eastAsia="宋体" w:cs="Times New Roman"/>
                <w:snapToGrid w:val="0"/>
                <w:color w:val="auto"/>
                <w:spacing w:val="-6"/>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本项目依托</w:t>
            </w:r>
            <w:r>
              <w:rPr>
                <w:rFonts w:hint="eastAsia" w:ascii="Times New Roman" w:hAnsi="Times New Roman" w:eastAsia="宋体" w:cs="Times New Roman"/>
                <w:snapToGrid w:val="0"/>
                <w:color w:val="auto"/>
                <w:spacing w:val="-6"/>
                <w:kern w:val="0"/>
                <w:sz w:val="21"/>
                <w:szCs w:val="21"/>
                <w:highlight w:val="none"/>
                <w:lang w:val="en-US" w:eastAsia="zh-CN"/>
              </w:rPr>
              <w:t>厂区现有污水处理站和</w:t>
            </w:r>
            <w:r>
              <w:rPr>
                <w:rFonts w:hint="eastAsia" w:ascii="Times New Roman" w:hAnsi="Times New Roman" w:eastAsia="宋体" w:cs="Times New Roman"/>
                <w:snapToGrid w:val="0"/>
                <w:color w:val="auto"/>
                <w:spacing w:val="-6"/>
                <w:kern w:val="0"/>
                <w:sz w:val="21"/>
                <w:szCs w:val="21"/>
                <w:highlight w:val="none"/>
              </w:rPr>
              <w:t>乌苏市西区污水处理厂，污水实现100%收集处理。园区规划在园区污水处理厂规划一套再生回用水系统。</w:t>
            </w:r>
          </w:p>
        </w:tc>
        <w:tc>
          <w:tcPr>
            <w:tcW w:w="255" w:type="pct"/>
            <w:vAlign w:val="center"/>
          </w:tcPr>
          <w:p w14:paraId="11937CF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76A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2B6BB2A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778D5B1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10.工业集聚区进行产业布局时，优先采取资源互补的方式，排放浓度低、易处理的企业排水经过处理后可以作为其它企业的生产用水，提升园区水资源循环利用水平。</w:t>
            </w:r>
          </w:p>
        </w:tc>
        <w:tc>
          <w:tcPr>
            <w:tcW w:w="1555" w:type="pct"/>
            <w:vAlign w:val="center"/>
          </w:tcPr>
          <w:p w14:paraId="7DAFC42D">
            <w:pPr>
              <w:keepNext w:val="0"/>
              <w:keepLines w:val="0"/>
              <w:pageBreakBefore w:val="0"/>
              <w:widowControl/>
              <w:kinsoku/>
              <w:wordWrap/>
              <w:overflowPunct/>
              <w:topLinePunct w:val="0"/>
              <w:autoSpaceDE/>
              <w:autoSpaceDN/>
              <w:bidi w:val="0"/>
              <w:adjustRightInd w:val="0"/>
              <w:snapToGrid w:val="0"/>
              <w:ind w:left="-142" w:right="-142"/>
              <w:jc w:val="center"/>
              <w:textAlignment w:val="auto"/>
              <w:rPr>
                <w:rFonts w:hint="eastAsia" w:ascii="Times New Roman" w:hAnsi="Times New Roman" w:eastAsia="宋体" w:cs="Times New Roman"/>
                <w:snapToGrid w:val="0"/>
                <w:color w:val="auto"/>
                <w:spacing w:val="-6"/>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在项目实施过程中企业积极实施节水技术改造。</w:t>
            </w:r>
          </w:p>
        </w:tc>
        <w:tc>
          <w:tcPr>
            <w:tcW w:w="255" w:type="pct"/>
            <w:vAlign w:val="center"/>
          </w:tcPr>
          <w:p w14:paraId="5064D36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777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restart"/>
            <w:vAlign w:val="center"/>
          </w:tcPr>
          <w:p w14:paraId="3415BC0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环境风险防控</w:t>
            </w:r>
          </w:p>
        </w:tc>
        <w:tc>
          <w:tcPr>
            <w:tcW w:w="2801" w:type="pct"/>
            <w:gridSpan w:val="3"/>
            <w:vAlign w:val="center"/>
          </w:tcPr>
          <w:p w14:paraId="5BCA4AF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1.建立和完善重污染天气兵地联合应急预案、预报预警应急机制和会商联动机制。</w:t>
            </w:r>
          </w:p>
        </w:tc>
        <w:tc>
          <w:tcPr>
            <w:tcW w:w="1555" w:type="pct"/>
            <w:vAlign w:val="center"/>
          </w:tcPr>
          <w:p w14:paraId="011D3AA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项目建成后企业按照</w:t>
            </w:r>
            <w:r>
              <w:rPr>
                <w:rFonts w:ascii="Times New Roman" w:hAnsi="Times New Roman" w:eastAsia="宋体" w:cs="Times New Roman"/>
                <w:snapToGrid w:val="0"/>
                <w:color w:val="auto"/>
                <w:kern w:val="0"/>
                <w:sz w:val="21"/>
                <w:szCs w:val="21"/>
                <w:highlight w:val="none"/>
              </w:rPr>
              <w:t>重污染天气应急管控</w:t>
            </w:r>
            <w:r>
              <w:rPr>
                <w:rFonts w:hint="eastAsia" w:ascii="Times New Roman" w:hAnsi="Times New Roman" w:eastAsia="宋体" w:cs="Times New Roman"/>
                <w:snapToGrid w:val="0"/>
                <w:color w:val="auto"/>
                <w:kern w:val="0"/>
                <w:sz w:val="21"/>
                <w:szCs w:val="21"/>
                <w:highlight w:val="none"/>
              </w:rPr>
              <w:t>要求制定</w:t>
            </w:r>
            <w:r>
              <w:rPr>
                <w:rFonts w:ascii="Times New Roman" w:hAnsi="Times New Roman" w:eastAsia="宋体" w:cs="Times New Roman"/>
                <w:snapToGrid w:val="0"/>
                <w:color w:val="auto"/>
                <w:kern w:val="0"/>
                <w:sz w:val="21"/>
                <w:szCs w:val="21"/>
                <w:highlight w:val="none"/>
              </w:rPr>
              <w:t>重污染天气应急响应对策措施。</w:t>
            </w:r>
          </w:p>
        </w:tc>
        <w:tc>
          <w:tcPr>
            <w:tcW w:w="255" w:type="pct"/>
            <w:vAlign w:val="center"/>
          </w:tcPr>
          <w:p w14:paraId="6335324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7618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5180340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462241C9">
            <w:pPr>
              <w:keepNext w:val="0"/>
              <w:keepLines w:val="0"/>
              <w:pageBreakBefore w:val="0"/>
              <w:widowControl/>
              <w:kinsoku/>
              <w:wordWrap/>
              <w:overflowPunct/>
              <w:topLinePunct w:val="0"/>
              <w:autoSpaceDE/>
              <w:autoSpaceDN/>
              <w:bidi w:val="0"/>
              <w:adjustRightInd w:val="0"/>
              <w:snapToGrid w:val="0"/>
              <w:ind w:left="-85" w:right="-85"/>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2.重污染天气应急管控：提升空气质量预测预报水平，提高预测预报准确度，乌苏市达到7天预测预报能力。重污染天气应急响应期间，启动重污染天气应急预案，实施区域应急联动。重点行业企业纳入重污染天气绩效分级，制定“一厂一策”应急减排清单，实现应纳尽纳；引导重点企业在秋冬季安排停产检修计划，减少冬季和采暖期排放。</w:t>
            </w:r>
          </w:p>
        </w:tc>
        <w:tc>
          <w:tcPr>
            <w:tcW w:w="1555" w:type="pct"/>
            <w:vAlign w:val="center"/>
          </w:tcPr>
          <w:p w14:paraId="69E8A2E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项目建成后企业按照</w:t>
            </w:r>
            <w:r>
              <w:rPr>
                <w:rFonts w:ascii="Times New Roman" w:hAnsi="Times New Roman" w:eastAsia="宋体" w:cs="Times New Roman"/>
                <w:snapToGrid w:val="0"/>
                <w:color w:val="auto"/>
                <w:kern w:val="0"/>
                <w:sz w:val="21"/>
                <w:szCs w:val="21"/>
                <w:highlight w:val="none"/>
              </w:rPr>
              <w:t>重污染天气应急管控</w:t>
            </w:r>
            <w:r>
              <w:rPr>
                <w:rFonts w:hint="eastAsia" w:ascii="Times New Roman" w:hAnsi="Times New Roman" w:eastAsia="宋体" w:cs="Times New Roman"/>
                <w:snapToGrid w:val="0"/>
                <w:color w:val="auto"/>
                <w:kern w:val="0"/>
                <w:sz w:val="21"/>
                <w:szCs w:val="21"/>
                <w:highlight w:val="none"/>
              </w:rPr>
              <w:t>要求制定</w:t>
            </w:r>
            <w:r>
              <w:rPr>
                <w:rFonts w:ascii="Times New Roman" w:hAnsi="Times New Roman" w:eastAsia="宋体" w:cs="Times New Roman"/>
                <w:snapToGrid w:val="0"/>
                <w:color w:val="auto"/>
                <w:kern w:val="0"/>
                <w:sz w:val="21"/>
                <w:szCs w:val="21"/>
                <w:highlight w:val="none"/>
              </w:rPr>
              <w:t>重污染天气应急响应对策措施，根据空气质量指数的不同级别，制定相应的应急响应措施，如限制工业排放、交通管制等，并确保措施的有效执行。</w:t>
            </w:r>
          </w:p>
        </w:tc>
        <w:tc>
          <w:tcPr>
            <w:tcW w:w="255" w:type="pct"/>
            <w:vAlign w:val="center"/>
          </w:tcPr>
          <w:p w14:paraId="0F34C34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CCA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02AED87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74394E1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企业事业单位应当依照《中华人民共和国突发事件应对法》的规定，制定突发环境事件应急预案，做好突发环境事件的风险控制、应急准备、应急处置和事后恢复等工作。各类工业园区和工业聚集区应设立环境应急管理机构，编制环境风险应急预案，并具备环境风险应急救援能力。</w:t>
            </w:r>
          </w:p>
        </w:tc>
        <w:tc>
          <w:tcPr>
            <w:tcW w:w="1555" w:type="pct"/>
            <w:vAlign w:val="center"/>
          </w:tcPr>
          <w:p w14:paraId="5AC2616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项目实施后要求企业修订企业突发</w:t>
            </w:r>
            <w:r>
              <w:rPr>
                <w:rFonts w:hint="eastAsia" w:ascii="Times New Roman" w:hAnsi="Times New Roman" w:eastAsia="宋体" w:cs="Times New Roman"/>
                <w:snapToGrid w:val="0"/>
                <w:color w:val="auto"/>
                <w:kern w:val="0"/>
                <w:sz w:val="21"/>
                <w:szCs w:val="21"/>
                <w:highlight w:val="none"/>
                <w:lang w:val="en-US" w:eastAsia="zh-CN"/>
              </w:rPr>
              <w:t>生态</w:t>
            </w:r>
            <w:r>
              <w:rPr>
                <w:rFonts w:hint="eastAsia" w:ascii="Times New Roman" w:hAnsi="Times New Roman" w:eastAsia="宋体" w:cs="Times New Roman"/>
                <w:snapToGrid w:val="0"/>
                <w:color w:val="auto"/>
                <w:kern w:val="0"/>
                <w:sz w:val="21"/>
                <w:szCs w:val="21"/>
                <w:highlight w:val="none"/>
              </w:rPr>
              <w:t>环境事件应急预案。</w:t>
            </w:r>
          </w:p>
        </w:tc>
        <w:tc>
          <w:tcPr>
            <w:tcW w:w="255" w:type="pct"/>
            <w:vAlign w:val="center"/>
          </w:tcPr>
          <w:p w14:paraId="1535ECD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25A7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7" w:type="pct"/>
            <w:vMerge w:val="continue"/>
            <w:vAlign w:val="center"/>
          </w:tcPr>
          <w:p w14:paraId="2C51C71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757B2F8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加强入园企业风险管理，生产、使用、贮存、运输、回收、处置、排放有毒有害物质的单位应当采取有效措施，防止有毒有害物质渗漏、流失、扬散，避免土壤受到污染；入园企业应按规范强化地下水分区防渗等措施。园区及企业应按相关规范编制突发环境事件应急预案，建立完善突发环境事件应急响应机制。</w:t>
            </w:r>
          </w:p>
        </w:tc>
        <w:tc>
          <w:tcPr>
            <w:tcW w:w="1555" w:type="pct"/>
            <w:vAlign w:val="center"/>
          </w:tcPr>
          <w:p w14:paraId="003A840F">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环评要求</w:t>
            </w:r>
            <w:r>
              <w:rPr>
                <w:rFonts w:hint="eastAsia" w:ascii="Times New Roman" w:hAnsi="Times New Roman" w:eastAsia="宋体" w:cs="Times New Roman"/>
                <w:snapToGrid w:val="0"/>
                <w:color w:val="auto"/>
                <w:kern w:val="0"/>
                <w:sz w:val="21"/>
                <w:szCs w:val="21"/>
                <w:highlight w:val="none"/>
              </w:rPr>
              <w:t>企业</w:t>
            </w:r>
            <w:r>
              <w:rPr>
                <w:rFonts w:ascii="Times New Roman" w:hAnsi="Times New Roman" w:eastAsia="宋体" w:cs="Times New Roman"/>
                <w:snapToGrid w:val="0"/>
                <w:color w:val="auto"/>
                <w:kern w:val="0"/>
                <w:sz w:val="21"/>
                <w:szCs w:val="21"/>
                <w:highlight w:val="none"/>
              </w:rPr>
              <w:t>加强项目的防渗措施设置，确保新建项目不产生有毒有害物质渗漏，不对地下水、土壤造成新的影响</w:t>
            </w:r>
            <w:r>
              <w:rPr>
                <w:rFonts w:hint="eastAsia" w:ascii="Times New Roman" w:hAnsi="Times New Roman" w:eastAsia="宋体" w:cs="Times New Roman"/>
                <w:snapToGrid w:val="0"/>
                <w:color w:val="auto"/>
                <w:kern w:val="0"/>
                <w:sz w:val="21"/>
                <w:szCs w:val="21"/>
                <w:highlight w:val="none"/>
              </w:rPr>
              <w:t>，同时修订企业突发</w:t>
            </w:r>
            <w:r>
              <w:rPr>
                <w:rFonts w:hint="eastAsia" w:ascii="Times New Roman" w:hAnsi="Times New Roman" w:eastAsia="宋体" w:cs="Times New Roman"/>
                <w:snapToGrid w:val="0"/>
                <w:color w:val="auto"/>
                <w:kern w:val="0"/>
                <w:sz w:val="21"/>
                <w:szCs w:val="21"/>
                <w:highlight w:val="none"/>
                <w:lang w:val="en-US" w:eastAsia="zh-CN"/>
              </w:rPr>
              <w:t>生态</w:t>
            </w:r>
            <w:r>
              <w:rPr>
                <w:rFonts w:hint="eastAsia" w:ascii="Times New Roman" w:hAnsi="Times New Roman" w:eastAsia="宋体" w:cs="Times New Roman"/>
                <w:snapToGrid w:val="0"/>
                <w:color w:val="auto"/>
                <w:kern w:val="0"/>
                <w:sz w:val="21"/>
                <w:szCs w:val="21"/>
                <w:highlight w:val="none"/>
              </w:rPr>
              <w:t>环境事件应急预案</w:t>
            </w:r>
            <w:r>
              <w:rPr>
                <w:rFonts w:hint="eastAsia" w:ascii="Times New Roman" w:hAnsi="Times New Roman" w:eastAsia="宋体" w:cs="Times New Roman"/>
                <w:snapToGrid w:val="0"/>
                <w:color w:val="auto"/>
                <w:kern w:val="0"/>
                <w:sz w:val="21"/>
                <w:szCs w:val="21"/>
                <w:highlight w:val="none"/>
                <w:lang w:eastAsia="zh-CN"/>
              </w:rPr>
              <w:t>。</w:t>
            </w:r>
          </w:p>
        </w:tc>
        <w:tc>
          <w:tcPr>
            <w:tcW w:w="255" w:type="pct"/>
            <w:vAlign w:val="center"/>
          </w:tcPr>
          <w:p w14:paraId="2DC3769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D33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5966ADF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6DA7F48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重点单位建设涉及有毒有害物质的生产装置、储罐和管道，或者建设污水处理池、应急池等存在土壤污染风险的设施，应当按照国家有关标准和规范的要求，设计、建设和安装有关防腐蚀、防泄漏设施和泄漏监测装置，防止有毒有害物质污染土壤和地下水。严格控制有毒有害物质排放，土壤污染重点监管单位应按年度向当地生态环境主管部门报告排放情况；建立土壤污染隐患排查制度，确保持续有效防止有毒有害物质渗漏、流失、扬散；应按相关规范编制突发环境事件应急预案，建立完善突发环境事件应急响应机制；制定、实施自行监测方案。</w:t>
            </w:r>
          </w:p>
        </w:tc>
        <w:tc>
          <w:tcPr>
            <w:tcW w:w="1555" w:type="pct"/>
            <w:vAlign w:val="center"/>
          </w:tcPr>
          <w:p w14:paraId="5D2C424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环评要求项目的土壤和地下水污染防治应坚持源头控制、分区防控、跟踪监测和应急响应的防控原则。对涉及有毒有害物质的生产装置、设备设施及场所，需提出防腐蚀、防渗漏、防扬散等污染防治措施，并根据项目平面布置、</w:t>
            </w:r>
            <w:r>
              <w:rPr>
                <w:rFonts w:hint="eastAsia" w:ascii="Times New Roman" w:hAnsi="Times New Roman" w:eastAsia="宋体" w:cs="Times New Roman"/>
                <w:snapToGrid w:val="0"/>
                <w:color w:val="auto"/>
                <w:spacing w:val="-6"/>
                <w:kern w:val="0"/>
                <w:sz w:val="21"/>
                <w:szCs w:val="21"/>
                <w:highlight w:val="none"/>
                <w:lang w:val="en-US" w:eastAsia="zh-CN"/>
              </w:rPr>
              <w:t>生态</w:t>
            </w:r>
            <w:r>
              <w:rPr>
                <w:rFonts w:hint="eastAsia" w:ascii="Times New Roman" w:hAnsi="Times New Roman" w:eastAsia="宋体" w:cs="Times New Roman"/>
                <w:snapToGrid w:val="0"/>
                <w:color w:val="auto"/>
                <w:spacing w:val="-6"/>
                <w:kern w:val="0"/>
                <w:sz w:val="21"/>
                <w:szCs w:val="21"/>
                <w:highlight w:val="none"/>
              </w:rPr>
              <w:t>环境保护目标的敏感程度、水文地质条件等采取防渗措施，提出有效的土壤、地下水监控和应急方案。</w:t>
            </w:r>
          </w:p>
        </w:tc>
        <w:tc>
          <w:tcPr>
            <w:tcW w:w="255" w:type="pct"/>
            <w:vAlign w:val="center"/>
          </w:tcPr>
          <w:p w14:paraId="052C53B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C65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5027447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67918AA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6.开展涉危险废物涉化工园区等重点领域环境风险调查评估和隐患排查，严格落实重点行业污染物减排要求。推动疆内危险废物处置能力与产废情况总体匹配，推进兵地统筹，实现兵地间、区域间危险废物转移无缝衔接。定期开展环境应急演练，健全兵地环境应急指挥平台，完善环境应急预案体系。</w:t>
            </w:r>
          </w:p>
        </w:tc>
        <w:tc>
          <w:tcPr>
            <w:tcW w:w="1555" w:type="pct"/>
            <w:vAlign w:val="center"/>
          </w:tcPr>
          <w:p w14:paraId="4FCFC21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环评要求企业应严格执行《危险废物收集</w:t>
            </w:r>
            <w:r>
              <w:rPr>
                <w:rFonts w:hint="eastAsia" w:ascii="Times New Roman" w:hAnsi="Times New Roman" w:eastAsia="宋体" w:cs="Times New Roman"/>
                <w:snapToGrid w:val="0"/>
                <w:color w:val="auto"/>
                <w:kern w:val="0"/>
                <w:sz w:val="21"/>
                <w:szCs w:val="21"/>
                <w:highlight w:val="none"/>
              </w:rPr>
              <w:t xml:space="preserve"> </w:t>
            </w:r>
            <w:r>
              <w:rPr>
                <w:rFonts w:ascii="Times New Roman" w:hAnsi="Times New Roman" w:eastAsia="宋体" w:cs="Times New Roman"/>
                <w:snapToGrid w:val="0"/>
                <w:color w:val="auto"/>
                <w:kern w:val="0"/>
                <w:sz w:val="21"/>
                <w:szCs w:val="21"/>
                <w:highlight w:val="none"/>
              </w:rPr>
              <w:t>贮存</w:t>
            </w:r>
            <w:r>
              <w:rPr>
                <w:rFonts w:hint="eastAsia" w:ascii="Times New Roman" w:hAnsi="Times New Roman" w:eastAsia="宋体" w:cs="Times New Roman"/>
                <w:snapToGrid w:val="0"/>
                <w:color w:val="auto"/>
                <w:kern w:val="0"/>
                <w:sz w:val="21"/>
                <w:szCs w:val="21"/>
                <w:highlight w:val="none"/>
              </w:rPr>
              <w:t xml:space="preserve"> </w:t>
            </w:r>
            <w:r>
              <w:rPr>
                <w:rFonts w:ascii="Times New Roman" w:hAnsi="Times New Roman" w:eastAsia="宋体" w:cs="Times New Roman"/>
                <w:snapToGrid w:val="0"/>
                <w:color w:val="auto"/>
                <w:kern w:val="0"/>
                <w:sz w:val="21"/>
                <w:szCs w:val="21"/>
                <w:highlight w:val="none"/>
              </w:rPr>
              <w:t>运输技术规范》（HJ2025-2012）和《危险废物转移管理办法》。定期开展应急演练，提高区域</w:t>
            </w:r>
            <w:r>
              <w:rPr>
                <w:rFonts w:hint="eastAsia" w:ascii="Times New Roman" w:hAnsi="Times New Roman" w:eastAsia="宋体" w:cs="Times New Roman"/>
                <w:snapToGrid w:val="0"/>
                <w:color w:val="auto"/>
                <w:kern w:val="0"/>
                <w:sz w:val="21"/>
                <w:szCs w:val="21"/>
                <w:highlight w:val="none"/>
                <w:lang w:val="en-US" w:eastAsia="zh-CN"/>
              </w:rPr>
              <w:t>生态</w:t>
            </w:r>
            <w:r>
              <w:rPr>
                <w:rFonts w:ascii="Times New Roman" w:hAnsi="Times New Roman" w:eastAsia="宋体" w:cs="Times New Roman"/>
                <w:snapToGrid w:val="0"/>
                <w:color w:val="auto"/>
                <w:kern w:val="0"/>
                <w:sz w:val="21"/>
                <w:szCs w:val="21"/>
                <w:highlight w:val="none"/>
              </w:rPr>
              <w:t>环境风险防范</w:t>
            </w:r>
            <w:r>
              <w:rPr>
                <w:rFonts w:hint="eastAsia" w:ascii="Times New Roman" w:hAnsi="Times New Roman" w:eastAsia="宋体" w:cs="Times New Roman"/>
                <w:snapToGrid w:val="0"/>
                <w:color w:val="auto"/>
                <w:kern w:val="0"/>
                <w:sz w:val="21"/>
                <w:szCs w:val="21"/>
                <w:highlight w:val="none"/>
                <w:lang w:eastAsia="zh-CN"/>
              </w:rPr>
              <w:t>能力。</w:t>
            </w:r>
          </w:p>
        </w:tc>
        <w:tc>
          <w:tcPr>
            <w:tcW w:w="255" w:type="pct"/>
            <w:vAlign w:val="center"/>
          </w:tcPr>
          <w:p w14:paraId="01446E3A">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25B9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53F6F05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37148F9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7.对高风险化学品生产、使用进行严格限制，并逐步淘汰替代，对高环境危害、高健康风险化学物质实施管制。提升化学品及持久性有机污染物监管能力，提高废弃危险化学品安全处置水平。组织排查危险化学品环境风险，重点排查危险化学品生产、储存、使用、经营、运输和废弃处置以及涉及危险化学品的物流园区环境风险，建立区域性危险化学品环境风险电子分布图。加强危险化学品风险管控，建立危险化学品安全、环保、应急救援一体化环境风险管理平台。逐步将兵地化学品生产、储存、使用、经营、运输和废弃处置等基本情况纳入管理平台，进行统一管理。</w:t>
            </w:r>
          </w:p>
        </w:tc>
        <w:tc>
          <w:tcPr>
            <w:tcW w:w="1555" w:type="pct"/>
            <w:vAlign w:val="center"/>
          </w:tcPr>
          <w:p w14:paraId="097673B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本项目采用生物发酵法生产</w:t>
            </w:r>
            <w:r>
              <w:rPr>
                <w:rFonts w:hint="eastAsia" w:ascii="Times New Roman" w:hAnsi="Times New Roman" w:eastAsia="宋体" w:cs="Times New Roman"/>
                <w:snapToGrid w:val="0"/>
                <w:color w:val="auto"/>
                <w:kern w:val="0"/>
                <w:sz w:val="21"/>
                <w:szCs w:val="21"/>
                <w:highlight w:val="none"/>
                <w:lang w:eastAsia="zh-CN"/>
              </w:rPr>
              <w:t>二元酸</w:t>
            </w:r>
            <w:r>
              <w:rPr>
                <w:rFonts w:hint="eastAsia" w:ascii="Times New Roman" w:hAnsi="Times New Roman" w:eastAsia="宋体" w:cs="Times New Roman"/>
                <w:snapToGrid w:val="0"/>
                <w:color w:val="auto"/>
                <w:kern w:val="0"/>
                <w:sz w:val="21"/>
                <w:szCs w:val="21"/>
                <w:highlight w:val="none"/>
              </w:rPr>
              <w:t>，主要涉及的化学品为硫酸、烷烃等，在</w:t>
            </w:r>
            <w:r>
              <w:rPr>
                <w:rFonts w:hint="eastAsia" w:ascii="Times New Roman" w:hAnsi="Times New Roman" w:eastAsia="宋体" w:cs="Times New Roman"/>
                <w:snapToGrid w:val="0"/>
                <w:color w:val="auto"/>
                <w:kern w:val="0"/>
                <w:sz w:val="21"/>
                <w:szCs w:val="21"/>
                <w:highlight w:val="none"/>
                <w:lang w:val="en-US" w:eastAsia="zh-CN"/>
              </w:rPr>
              <w:t>生态</w:t>
            </w:r>
            <w:r>
              <w:rPr>
                <w:rFonts w:hint="eastAsia" w:ascii="Times New Roman" w:hAnsi="Times New Roman" w:eastAsia="宋体" w:cs="Times New Roman"/>
                <w:snapToGrid w:val="0"/>
                <w:color w:val="auto"/>
                <w:kern w:val="0"/>
                <w:sz w:val="21"/>
                <w:szCs w:val="21"/>
                <w:highlight w:val="none"/>
              </w:rPr>
              <w:t>环境风险方面均提出相应防范措施</w:t>
            </w:r>
          </w:p>
        </w:tc>
        <w:tc>
          <w:tcPr>
            <w:tcW w:w="255" w:type="pct"/>
            <w:vAlign w:val="center"/>
          </w:tcPr>
          <w:p w14:paraId="119DCE4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64AF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4DC0E64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336D269B">
            <w:pPr>
              <w:keepNext w:val="0"/>
              <w:keepLines w:val="0"/>
              <w:pageBreakBefore w:val="0"/>
              <w:widowControl/>
              <w:kinsoku/>
              <w:wordWrap/>
              <w:overflowPunct/>
              <w:topLinePunct w:val="0"/>
              <w:autoSpaceDE/>
              <w:autoSpaceDN/>
              <w:bidi w:val="0"/>
              <w:adjustRightInd w:val="0"/>
              <w:snapToGrid w:val="0"/>
              <w:ind w:left="-142" w:right="-142"/>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spacing w:val="-11"/>
                <w:kern w:val="0"/>
                <w:sz w:val="21"/>
                <w:szCs w:val="21"/>
                <w:highlight w:val="none"/>
              </w:rPr>
              <w:t>8.持续开展地下水环境状况调查评估，实施水土环境风险协同防控，统筹区域地表水、地下水生态环境监管。加强化学品生产企业、工业聚集区等污染源的地上、地下协同防治与环境风险管控。</w:t>
            </w:r>
          </w:p>
        </w:tc>
        <w:tc>
          <w:tcPr>
            <w:tcW w:w="1555" w:type="pct"/>
            <w:vAlign w:val="center"/>
          </w:tcPr>
          <w:p w14:paraId="6828131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本次</w:t>
            </w:r>
            <w:r>
              <w:rPr>
                <w:rFonts w:ascii="Times New Roman" w:hAnsi="Times New Roman" w:eastAsia="宋体" w:cs="Times New Roman"/>
                <w:snapToGrid w:val="0"/>
                <w:color w:val="auto"/>
                <w:kern w:val="0"/>
                <w:sz w:val="21"/>
                <w:szCs w:val="21"/>
                <w:highlight w:val="none"/>
              </w:rPr>
              <w:t>环评从</w:t>
            </w:r>
            <w:r>
              <w:rPr>
                <w:rFonts w:hint="eastAsia" w:ascii="Times New Roman" w:hAnsi="Times New Roman" w:eastAsia="宋体" w:cs="Times New Roman"/>
                <w:snapToGrid w:val="0"/>
                <w:color w:val="auto"/>
                <w:kern w:val="0"/>
                <w:sz w:val="21"/>
                <w:szCs w:val="21"/>
                <w:highlight w:val="none"/>
                <w:lang w:val="en-US" w:eastAsia="zh-CN"/>
              </w:rPr>
              <w:t>生态</w:t>
            </w:r>
            <w:r>
              <w:rPr>
                <w:rFonts w:ascii="Times New Roman" w:hAnsi="Times New Roman" w:eastAsia="宋体" w:cs="Times New Roman"/>
                <w:snapToGrid w:val="0"/>
                <w:color w:val="auto"/>
                <w:kern w:val="0"/>
                <w:sz w:val="21"/>
                <w:szCs w:val="21"/>
                <w:highlight w:val="none"/>
              </w:rPr>
              <w:t>环境风险防范的角度，提出了</w:t>
            </w:r>
            <w:r>
              <w:rPr>
                <w:rFonts w:hint="eastAsia" w:ascii="Times New Roman" w:hAnsi="Times New Roman" w:eastAsia="宋体" w:cs="Times New Roman"/>
                <w:snapToGrid w:val="0"/>
                <w:color w:val="auto"/>
                <w:kern w:val="0"/>
                <w:sz w:val="21"/>
                <w:szCs w:val="21"/>
                <w:highlight w:val="none"/>
              </w:rPr>
              <w:t>地下水</w:t>
            </w:r>
            <w:r>
              <w:rPr>
                <w:rFonts w:ascii="Times New Roman" w:hAnsi="Times New Roman" w:eastAsia="宋体" w:cs="Times New Roman"/>
                <w:snapToGrid w:val="0"/>
                <w:color w:val="auto"/>
                <w:kern w:val="0"/>
                <w:sz w:val="21"/>
                <w:szCs w:val="21"/>
                <w:highlight w:val="none"/>
              </w:rPr>
              <w:t>环境风险</w:t>
            </w:r>
            <w:r>
              <w:rPr>
                <w:rFonts w:hint="eastAsia" w:ascii="Times New Roman" w:hAnsi="Times New Roman" w:eastAsia="宋体" w:cs="Times New Roman"/>
                <w:snapToGrid w:val="0"/>
                <w:color w:val="auto"/>
                <w:kern w:val="0"/>
                <w:sz w:val="21"/>
                <w:szCs w:val="21"/>
                <w:highlight w:val="none"/>
              </w:rPr>
              <w:t>防范</w:t>
            </w:r>
            <w:r>
              <w:rPr>
                <w:rFonts w:ascii="Times New Roman" w:hAnsi="Times New Roman" w:eastAsia="宋体" w:cs="Times New Roman"/>
                <w:snapToGrid w:val="0"/>
                <w:color w:val="auto"/>
                <w:kern w:val="0"/>
                <w:sz w:val="21"/>
                <w:szCs w:val="21"/>
                <w:highlight w:val="none"/>
              </w:rPr>
              <w:t>措施和要求。</w:t>
            </w:r>
          </w:p>
        </w:tc>
        <w:tc>
          <w:tcPr>
            <w:tcW w:w="255" w:type="pct"/>
            <w:vAlign w:val="center"/>
          </w:tcPr>
          <w:p w14:paraId="0E76C15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3AC2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restart"/>
            <w:vAlign w:val="center"/>
          </w:tcPr>
          <w:p w14:paraId="17C07A6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资源利用效率</w:t>
            </w:r>
          </w:p>
        </w:tc>
        <w:tc>
          <w:tcPr>
            <w:tcW w:w="2801" w:type="pct"/>
            <w:gridSpan w:val="3"/>
            <w:vAlign w:val="center"/>
          </w:tcPr>
          <w:p w14:paraId="7C2D602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持续推进最严格水资源管理制度落实，严守水资源开发利用总量控制、用水效率控制和水功能区限制纳污“三条红线”。对于水耗总量大或单位产品水耗高的项目耗水指标要严于国家相关水耗标准的准入值，不达标的项目严格禁止新（扩）建。</w:t>
            </w:r>
          </w:p>
        </w:tc>
        <w:tc>
          <w:tcPr>
            <w:tcW w:w="1555" w:type="pct"/>
            <w:vAlign w:val="center"/>
          </w:tcPr>
          <w:p w14:paraId="56795640">
            <w:pPr>
              <w:keepNext w:val="0"/>
              <w:keepLines w:val="0"/>
              <w:pageBreakBefore w:val="0"/>
              <w:widowControl/>
              <w:kinsoku/>
              <w:wordWrap/>
              <w:overflowPunct/>
              <w:topLinePunct w:val="0"/>
              <w:autoSpaceDE/>
              <w:autoSpaceDN/>
              <w:bidi w:val="0"/>
              <w:adjustRightInd w:val="0"/>
              <w:snapToGrid w:val="0"/>
              <w:ind w:left="-142" w:right="-142"/>
              <w:jc w:val="center"/>
              <w:textAlignment w:val="auto"/>
              <w:rPr>
                <w:rFonts w:hint="eastAsia" w:ascii="Times New Roman" w:hAnsi="Times New Roman" w:eastAsia="宋体" w:cs="Times New Roman"/>
                <w:snapToGrid w:val="0"/>
                <w:color w:val="auto"/>
                <w:spacing w:val="-6"/>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严格落实水资源总量和强度“双控”制度，强化用水总量和定额管理；要求企业单位产品物耗、能耗、水耗等达到清洁生产先进水平。</w:t>
            </w:r>
          </w:p>
        </w:tc>
        <w:tc>
          <w:tcPr>
            <w:tcW w:w="255" w:type="pct"/>
            <w:vAlign w:val="center"/>
          </w:tcPr>
          <w:p w14:paraId="2536E44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0966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5A9B103A">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7F55455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石化化工行业：强化用水强度控制，在炼油、现代煤化工、烯烃、芳烃甲醇、化肥、氯碱、纯碱、硫酸、涂料等重点用水子行业有序开展用水审计、水平衡测试、节水诊断工作，发布重点产品水效“领跑者”指标，推动重点用水企业水效对标和节水技术改造。鼓励有条件的园区实施化工企业废水“分类收集、分质处理、一企一管、明管输送、实时监测”。大力推广应用电化学循环水处理、高浓度有机废水处理回用、水管网漏损检测、智慧用水管控系统等废水循环利用先进装备技术工艺，降低废水排放量。到2025年，石化化工行业规上工业用水重复利用率大于94%。</w:t>
            </w:r>
          </w:p>
        </w:tc>
        <w:tc>
          <w:tcPr>
            <w:tcW w:w="1555" w:type="pct"/>
            <w:vAlign w:val="center"/>
          </w:tcPr>
          <w:p w14:paraId="5F8A7133">
            <w:pPr>
              <w:keepNext w:val="0"/>
              <w:keepLines w:val="0"/>
              <w:pageBreakBefore w:val="0"/>
              <w:widowControl/>
              <w:kinsoku/>
              <w:wordWrap/>
              <w:overflowPunct/>
              <w:topLinePunct w:val="0"/>
              <w:autoSpaceDE/>
              <w:autoSpaceDN/>
              <w:bidi w:val="0"/>
              <w:adjustRightInd w:val="0"/>
              <w:snapToGrid w:val="0"/>
              <w:ind w:left="-142" w:right="-142"/>
              <w:jc w:val="center"/>
              <w:textAlignment w:val="auto"/>
              <w:rPr>
                <w:rFonts w:hint="eastAsia" w:ascii="Times New Roman" w:hAnsi="Times New Roman" w:eastAsia="宋体" w:cs="Times New Roman"/>
                <w:snapToGrid w:val="0"/>
                <w:color w:val="auto"/>
                <w:spacing w:val="-6"/>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本项目废水</w:t>
            </w:r>
            <w:r>
              <w:rPr>
                <w:rFonts w:hint="eastAsia" w:ascii="Times New Roman" w:hAnsi="Times New Roman" w:eastAsia="宋体" w:cs="Times New Roman"/>
                <w:snapToGrid w:val="0"/>
                <w:color w:val="auto"/>
                <w:spacing w:val="-6"/>
                <w:kern w:val="0"/>
                <w:sz w:val="21"/>
                <w:szCs w:val="21"/>
                <w:highlight w:val="none"/>
                <w:lang w:val="en-US" w:eastAsia="zh-CN"/>
              </w:rPr>
              <w:t>最终</w:t>
            </w:r>
            <w:r>
              <w:rPr>
                <w:rFonts w:hint="eastAsia" w:ascii="Times New Roman" w:hAnsi="Times New Roman" w:eastAsia="宋体" w:cs="Times New Roman"/>
                <w:snapToGrid w:val="0"/>
                <w:color w:val="auto"/>
                <w:spacing w:val="-6"/>
                <w:kern w:val="0"/>
                <w:sz w:val="21"/>
                <w:szCs w:val="21"/>
                <w:highlight w:val="none"/>
              </w:rPr>
              <w:t>全部进入乌苏市西区污水处理厂处理，对废水</w:t>
            </w:r>
            <w:r>
              <w:rPr>
                <w:rFonts w:hint="eastAsia" w:ascii="Times New Roman" w:hAnsi="Times New Roman" w:eastAsia="宋体" w:cs="Times New Roman"/>
                <w:snapToGrid w:val="0"/>
                <w:color w:val="auto"/>
                <w:spacing w:val="-6"/>
                <w:kern w:val="0"/>
                <w:sz w:val="21"/>
                <w:szCs w:val="21"/>
                <w:highlight w:val="none"/>
                <w:lang w:eastAsia="zh-CN"/>
              </w:rPr>
              <w:t>进行“</w:t>
            </w:r>
            <w:r>
              <w:rPr>
                <w:rFonts w:hint="eastAsia" w:ascii="Times New Roman" w:hAnsi="Times New Roman" w:eastAsia="宋体" w:cs="Times New Roman"/>
                <w:snapToGrid w:val="0"/>
                <w:color w:val="auto"/>
                <w:spacing w:val="-6"/>
                <w:kern w:val="0"/>
                <w:sz w:val="21"/>
                <w:szCs w:val="21"/>
                <w:highlight w:val="none"/>
              </w:rPr>
              <w:t>分类收集、分质处理”。</w:t>
            </w:r>
          </w:p>
        </w:tc>
        <w:tc>
          <w:tcPr>
            <w:tcW w:w="255" w:type="pct"/>
            <w:vAlign w:val="center"/>
          </w:tcPr>
          <w:p w14:paraId="4CE903A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r w14:paraId="4D37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7" w:type="pct"/>
            <w:vMerge w:val="continue"/>
            <w:vAlign w:val="center"/>
          </w:tcPr>
          <w:p w14:paraId="0719F67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2801" w:type="pct"/>
            <w:gridSpan w:val="3"/>
            <w:vAlign w:val="center"/>
          </w:tcPr>
          <w:p w14:paraId="5717E2F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食品行业大力推动高浓度有机废水、高盐废水、发酵高浓废水等处理后再用于锅炉用水（软化水、冲渣）、地面冲洗、厂区绿化等，减少有机物排放，提高行业用水效率。到2025年，食品行业规上工业用水重复利用率大于65%。</w:t>
            </w:r>
          </w:p>
        </w:tc>
        <w:tc>
          <w:tcPr>
            <w:tcW w:w="1555" w:type="pct"/>
            <w:vAlign w:val="center"/>
          </w:tcPr>
          <w:p w14:paraId="5F4C637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不涉及。</w:t>
            </w:r>
          </w:p>
        </w:tc>
        <w:tc>
          <w:tcPr>
            <w:tcW w:w="255" w:type="pct"/>
            <w:vAlign w:val="center"/>
          </w:tcPr>
          <w:p w14:paraId="0666432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符合</w:t>
            </w:r>
          </w:p>
        </w:tc>
      </w:tr>
    </w:tbl>
    <w:p w14:paraId="43D22E00">
      <w:pPr>
        <w:adjustRightInd w:val="0"/>
        <w:snapToGrid w:val="0"/>
        <w:spacing w:before="120" w:beforeLines="50" w:line="360" w:lineRule="auto"/>
        <w:ind w:firstLine="480" w:firstLineChars="200"/>
        <w:rPr>
          <w:snapToGrid w:val="0"/>
          <w:color w:val="auto"/>
          <w:kern w:val="0"/>
          <w:sz w:val="24"/>
          <w:highlight w:val="none"/>
          <w:lang w:bidi="en-US"/>
        </w:rPr>
        <w:sectPr>
          <w:pgSz w:w="16838" w:h="11906" w:orient="landscape"/>
          <w:pgMar w:top="1814" w:right="1440" w:bottom="1814"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2EB750D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color w:val="auto"/>
          <w:spacing w:val="0"/>
          <w:w w:val="100"/>
          <w:kern w:val="0"/>
          <w:sz w:val="24"/>
          <w:szCs w:val="24"/>
          <w:highlight w:val="none"/>
        </w:rPr>
      </w:pPr>
      <w:r>
        <w:rPr>
          <w:rFonts w:hint="eastAsia" w:ascii="Times New Roman" w:hAnsi="Times New Roman" w:cs="Times New Roman"/>
          <w:color w:val="auto"/>
          <w:spacing w:val="0"/>
          <w:w w:val="100"/>
          <w:kern w:val="0"/>
          <w:sz w:val="24"/>
          <w:szCs w:val="24"/>
          <w:highlight w:val="none"/>
        </w:rPr>
        <w:t>1.4.6项目选址合理性分析</w:t>
      </w:r>
    </w:p>
    <w:p w14:paraId="1BA75E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szCs w:val="24"/>
          <w:highlight w:val="none"/>
        </w:rPr>
      </w:pPr>
      <w:r>
        <w:rPr>
          <w:rFonts w:hint="eastAsia"/>
          <w:snapToGrid w:val="0"/>
          <w:color w:val="auto"/>
          <w:kern w:val="0"/>
          <w:sz w:val="24"/>
          <w:szCs w:val="24"/>
          <w:highlight w:val="none"/>
        </w:rPr>
        <w:t>本项目选址位于乌苏市化工产业集中区西区，凯赛（乌苏）生物材料有限公司厂区</w:t>
      </w:r>
      <w:r>
        <w:rPr>
          <w:rFonts w:hint="eastAsia"/>
          <w:color w:val="auto"/>
          <w:kern w:val="0"/>
          <w:sz w:val="24"/>
          <w:szCs w:val="24"/>
          <w:highlight w:val="none"/>
          <w:lang w:val="en-US" w:eastAsia="zh-CN"/>
        </w:rPr>
        <w:t>内</w:t>
      </w:r>
      <w:r>
        <w:rPr>
          <w:rFonts w:hint="eastAsia"/>
          <w:snapToGrid w:val="0"/>
          <w:color w:val="auto"/>
          <w:kern w:val="0"/>
          <w:sz w:val="24"/>
          <w:szCs w:val="24"/>
          <w:highlight w:val="none"/>
          <w:lang w:bidi="ar"/>
        </w:rPr>
        <w:t>备用发展用地上</w:t>
      </w:r>
      <w:r>
        <w:rPr>
          <w:rFonts w:hint="eastAsia"/>
          <w:snapToGrid w:val="0"/>
          <w:color w:val="auto"/>
          <w:kern w:val="0"/>
          <w:sz w:val="24"/>
          <w:szCs w:val="24"/>
          <w:highlight w:val="none"/>
        </w:rPr>
        <w:t>，</w:t>
      </w:r>
      <w:r>
        <w:rPr>
          <w:rFonts w:hint="eastAsia"/>
          <w:snapToGrid w:val="0"/>
          <w:color w:val="auto"/>
          <w:kern w:val="0"/>
          <w:sz w:val="24"/>
          <w:szCs w:val="24"/>
          <w:highlight w:val="none"/>
          <w:lang w:val="en-US" w:eastAsia="zh-CN"/>
        </w:rPr>
        <w:t>建设项目符合园区规划，用地</w:t>
      </w:r>
      <w:r>
        <w:rPr>
          <w:rFonts w:hint="eastAsia"/>
          <w:snapToGrid w:val="0"/>
          <w:color w:val="auto"/>
          <w:kern w:val="0"/>
          <w:sz w:val="24"/>
          <w:szCs w:val="24"/>
          <w:highlight w:val="none"/>
        </w:rPr>
        <w:t>属于工业用地，项目</w:t>
      </w:r>
      <w:r>
        <w:rPr>
          <w:rFonts w:hint="eastAsia"/>
          <w:snapToGrid w:val="0"/>
          <w:color w:val="auto"/>
          <w:kern w:val="0"/>
          <w:sz w:val="24"/>
          <w:szCs w:val="24"/>
          <w:highlight w:val="none"/>
          <w:lang w:val="en-US" w:eastAsia="zh-CN"/>
        </w:rPr>
        <w:t>所在区域</w:t>
      </w:r>
      <w:r>
        <w:rPr>
          <w:rFonts w:hint="eastAsia"/>
          <w:snapToGrid w:val="0"/>
          <w:color w:val="auto"/>
          <w:kern w:val="0"/>
          <w:sz w:val="24"/>
          <w:szCs w:val="24"/>
          <w:highlight w:val="none"/>
        </w:rPr>
        <w:t>不涉及自然保护区、风景名胜区、饮用水水源保护区、冰川、森林、湿地、基本农田、基本草原等</w:t>
      </w:r>
      <w:r>
        <w:rPr>
          <w:rFonts w:hint="eastAsia"/>
          <w:snapToGrid w:val="0"/>
          <w:color w:val="auto"/>
          <w:kern w:val="0"/>
          <w:sz w:val="24"/>
          <w:szCs w:val="24"/>
          <w:highlight w:val="none"/>
          <w:lang w:val="en-US" w:eastAsia="zh-CN"/>
        </w:rPr>
        <w:t>生态</w:t>
      </w:r>
      <w:r>
        <w:rPr>
          <w:rFonts w:hint="eastAsia"/>
          <w:snapToGrid w:val="0"/>
          <w:color w:val="auto"/>
          <w:kern w:val="0"/>
          <w:sz w:val="24"/>
          <w:szCs w:val="24"/>
          <w:highlight w:val="none"/>
        </w:rPr>
        <w:t>环境敏感区，项目</w:t>
      </w:r>
      <w:r>
        <w:rPr>
          <w:rFonts w:hint="eastAsia"/>
          <w:snapToGrid w:val="0"/>
          <w:color w:val="auto"/>
          <w:kern w:val="0"/>
          <w:sz w:val="24"/>
          <w:szCs w:val="24"/>
          <w:highlight w:val="none"/>
          <w:lang w:val="en-US" w:eastAsia="zh-CN"/>
        </w:rPr>
        <w:t>所在区域</w:t>
      </w:r>
      <w:r>
        <w:rPr>
          <w:rFonts w:hint="eastAsia"/>
          <w:snapToGrid w:val="0"/>
          <w:color w:val="auto"/>
          <w:kern w:val="0"/>
          <w:sz w:val="24"/>
          <w:szCs w:val="24"/>
          <w:highlight w:val="none"/>
        </w:rPr>
        <w:t>不</w:t>
      </w:r>
      <w:r>
        <w:rPr>
          <w:rFonts w:hint="eastAsia"/>
          <w:snapToGrid w:val="0"/>
          <w:color w:val="auto"/>
          <w:kern w:val="0"/>
          <w:sz w:val="24"/>
          <w:szCs w:val="24"/>
          <w:highlight w:val="none"/>
          <w:lang w:eastAsia="zh-CN"/>
        </w:rPr>
        <w:t>在</w:t>
      </w:r>
      <w:r>
        <w:rPr>
          <w:rFonts w:hint="eastAsia"/>
          <w:snapToGrid w:val="0"/>
          <w:color w:val="auto"/>
          <w:kern w:val="0"/>
          <w:sz w:val="24"/>
          <w:szCs w:val="24"/>
          <w:highlight w:val="none"/>
        </w:rPr>
        <w:t>生态保护红线</w:t>
      </w:r>
      <w:r>
        <w:rPr>
          <w:rFonts w:hint="eastAsia"/>
          <w:snapToGrid w:val="0"/>
          <w:color w:val="auto"/>
          <w:kern w:val="0"/>
          <w:sz w:val="24"/>
          <w:szCs w:val="24"/>
          <w:highlight w:val="none"/>
          <w:lang w:val="en-US" w:eastAsia="zh-CN"/>
        </w:rPr>
        <w:t>范围内，符合所在地生态环境分区管控要求</w:t>
      </w:r>
      <w:r>
        <w:rPr>
          <w:rFonts w:hint="eastAsia"/>
          <w:snapToGrid w:val="0"/>
          <w:color w:val="auto"/>
          <w:kern w:val="0"/>
          <w:sz w:val="24"/>
          <w:szCs w:val="24"/>
          <w:highlight w:val="none"/>
        </w:rPr>
        <w:t>。距项目最近</w:t>
      </w:r>
      <w:r>
        <w:rPr>
          <w:rFonts w:hint="eastAsia"/>
          <w:snapToGrid w:val="0"/>
          <w:color w:val="auto"/>
          <w:kern w:val="0"/>
          <w:sz w:val="24"/>
          <w:szCs w:val="24"/>
          <w:highlight w:val="none"/>
          <w:lang w:val="en-US" w:eastAsia="zh-CN"/>
        </w:rPr>
        <w:t>生态</w:t>
      </w:r>
      <w:r>
        <w:rPr>
          <w:rFonts w:hint="eastAsia"/>
          <w:snapToGrid w:val="0"/>
          <w:color w:val="auto"/>
          <w:kern w:val="0"/>
          <w:sz w:val="24"/>
          <w:szCs w:val="24"/>
          <w:highlight w:val="none"/>
        </w:rPr>
        <w:t>环境敏感目标为项目区东侧</w:t>
      </w:r>
      <w:r>
        <w:rPr>
          <w:rFonts w:hint="eastAsia"/>
          <w:snapToGrid w:val="0"/>
          <w:color w:val="auto"/>
          <w:kern w:val="0"/>
          <w:sz w:val="24"/>
          <w:szCs w:val="24"/>
          <w:highlight w:val="none"/>
          <w:lang w:val="en-US" w:eastAsia="zh-CN"/>
        </w:rPr>
        <w:t>970</w:t>
      </w:r>
      <w:r>
        <w:rPr>
          <w:rFonts w:hint="eastAsia"/>
          <w:snapToGrid w:val="0"/>
          <w:color w:val="auto"/>
          <w:kern w:val="0"/>
          <w:sz w:val="24"/>
          <w:szCs w:val="24"/>
          <w:highlight w:val="none"/>
        </w:rPr>
        <w:t>m处的凯赛生活区，位于</w:t>
      </w:r>
      <w:r>
        <w:rPr>
          <w:rFonts w:hint="eastAsia"/>
          <w:snapToGrid w:val="0"/>
          <w:color w:val="auto"/>
          <w:kern w:val="0"/>
          <w:sz w:val="24"/>
          <w:szCs w:val="24"/>
          <w:highlight w:val="none"/>
          <w:lang w:val="en-US" w:eastAsia="zh-CN"/>
        </w:rPr>
        <w:t>项目所在区域常年主导风向的</w:t>
      </w:r>
      <w:r>
        <w:rPr>
          <w:rFonts w:hint="eastAsia"/>
          <w:snapToGrid w:val="0"/>
          <w:color w:val="auto"/>
          <w:kern w:val="0"/>
          <w:sz w:val="24"/>
          <w:szCs w:val="24"/>
          <w:highlight w:val="none"/>
        </w:rPr>
        <w:t>侧风向，</w:t>
      </w:r>
      <w:r>
        <w:rPr>
          <w:rFonts w:hint="eastAsia"/>
          <w:snapToGrid w:val="0"/>
          <w:color w:val="auto"/>
          <w:kern w:val="0"/>
          <w:sz w:val="24"/>
          <w:szCs w:val="24"/>
          <w:highlight w:val="none"/>
          <w:lang w:val="en-US" w:eastAsia="zh-CN"/>
        </w:rPr>
        <w:t>项目运营期间排放的废气、废水、噪声污染物经有效可行的污染防治措施后均能</w:t>
      </w:r>
      <w:r>
        <w:rPr>
          <w:rFonts w:hint="eastAsia"/>
          <w:snapToGrid w:val="0"/>
          <w:color w:val="auto"/>
          <w:kern w:val="0"/>
          <w:sz w:val="24"/>
          <w:szCs w:val="24"/>
          <w:highlight w:val="none"/>
        </w:rPr>
        <w:t>达标排放</w:t>
      </w:r>
      <w:r>
        <w:rPr>
          <w:rFonts w:hint="eastAsia"/>
          <w:snapToGrid w:val="0"/>
          <w:color w:val="auto"/>
          <w:kern w:val="0"/>
          <w:sz w:val="24"/>
          <w:szCs w:val="24"/>
          <w:highlight w:val="none"/>
          <w:lang w:eastAsia="zh-CN"/>
        </w:rPr>
        <w:t>，</w:t>
      </w:r>
      <w:r>
        <w:rPr>
          <w:rFonts w:hint="eastAsia"/>
          <w:snapToGrid w:val="0"/>
          <w:color w:val="auto"/>
          <w:kern w:val="0"/>
          <w:sz w:val="24"/>
          <w:szCs w:val="24"/>
          <w:highlight w:val="none"/>
        </w:rPr>
        <w:t>经预测，项目的建设对周围</w:t>
      </w:r>
      <w:r>
        <w:rPr>
          <w:rFonts w:hint="eastAsia"/>
          <w:snapToGrid w:val="0"/>
          <w:color w:val="auto"/>
          <w:kern w:val="0"/>
          <w:sz w:val="24"/>
          <w:szCs w:val="24"/>
          <w:highlight w:val="none"/>
          <w:lang w:val="en-US" w:eastAsia="zh-CN"/>
        </w:rPr>
        <w:t>生态</w:t>
      </w:r>
      <w:r>
        <w:rPr>
          <w:rFonts w:hint="eastAsia"/>
          <w:snapToGrid w:val="0"/>
          <w:color w:val="auto"/>
          <w:kern w:val="0"/>
          <w:sz w:val="24"/>
          <w:szCs w:val="24"/>
          <w:highlight w:val="none"/>
        </w:rPr>
        <w:t>环境影响可接受。</w:t>
      </w:r>
      <w:r>
        <w:rPr>
          <w:rFonts w:hint="eastAsia"/>
          <w:snapToGrid w:val="0"/>
          <w:color w:val="auto"/>
          <w:kern w:val="0"/>
          <w:sz w:val="24"/>
          <w:szCs w:val="24"/>
          <w:highlight w:val="none"/>
          <w:lang w:val="en-US" w:eastAsia="zh-CN"/>
        </w:rPr>
        <w:t>运营期间产生的固体废物均能得到妥善处理处置，不会对周围环境产生二次污染。</w:t>
      </w:r>
    </w:p>
    <w:p w14:paraId="01DDB68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本项目选址地理位置优越，区域交通运输条件较好，园区道路、供电、供水、供气、排水、通讯等基础设施</w:t>
      </w:r>
      <w:r>
        <w:rPr>
          <w:rFonts w:hint="eastAsia"/>
          <w:snapToGrid w:val="0"/>
          <w:color w:val="auto"/>
          <w:kern w:val="0"/>
          <w:sz w:val="24"/>
          <w:highlight w:val="none"/>
          <w:lang w:val="en-US" w:eastAsia="zh-CN"/>
        </w:rPr>
        <w:t>完善</w:t>
      </w:r>
      <w:r>
        <w:rPr>
          <w:rFonts w:hint="eastAsia"/>
          <w:snapToGrid w:val="0"/>
          <w:color w:val="auto"/>
          <w:kern w:val="0"/>
          <w:sz w:val="24"/>
          <w:highlight w:val="none"/>
        </w:rPr>
        <w:t>。本项目用水、用电及进厂道路等公用设施可充分利用园区现有水、电、道路等基础设施；项目废水</w:t>
      </w:r>
      <w:r>
        <w:rPr>
          <w:rFonts w:hint="eastAsia"/>
          <w:snapToGrid w:val="0"/>
          <w:color w:val="auto"/>
          <w:kern w:val="0"/>
          <w:sz w:val="24"/>
          <w:highlight w:val="none"/>
          <w:lang w:val="en-US" w:eastAsia="zh-CN"/>
        </w:rPr>
        <w:t>最终</w:t>
      </w:r>
      <w:r>
        <w:rPr>
          <w:rFonts w:hint="eastAsia"/>
          <w:snapToGrid w:val="0"/>
          <w:color w:val="auto"/>
          <w:kern w:val="0"/>
          <w:sz w:val="24"/>
          <w:highlight w:val="none"/>
        </w:rPr>
        <w:t>排入乌苏市西区污水处理厂处理；生活垃圾</w:t>
      </w:r>
      <w:r>
        <w:rPr>
          <w:rFonts w:hint="eastAsia"/>
          <w:snapToGrid w:val="0"/>
          <w:color w:val="auto"/>
          <w:kern w:val="0"/>
          <w:sz w:val="24"/>
          <w:highlight w:val="none"/>
          <w:lang w:val="en-US" w:eastAsia="zh-CN"/>
        </w:rPr>
        <w:t>在厂区集中收集，</w:t>
      </w:r>
      <w:r>
        <w:rPr>
          <w:rFonts w:hint="eastAsia"/>
          <w:snapToGrid w:val="0"/>
          <w:color w:val="auto"/>
          <w:kern w:val="0"/>
          <w:sz w:val="24"/>
          <w:highlight w:val="none"/>
        </w:rPr>
        <w:t>由环卫部门清运。</w:t>
      </w:r>
    </w:p>
    <w:p w14:paraId="035C8517">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本项目建设规模、建设性质、选择的工艺路线符合国家</w:t>
      </w:r>
      <w:r>
        <w:rPr>
          <w:rFonts w:hint="eastAsia"/>
          <w:snapToGrid w:val="0"/>
          <w:color w:val="auto"/>
          <w:kern w:val="0"/>
          <w:sz w:val="24"/>
          <w:highlight w:val="none"/>
          <w:lang w:val="en-US" w:eastAsia="zh-CN"/>
        </w:rPr>
        <w:t>及地方</w:t>
      </w:r>
      <w:r>
        <w:rPr>
          <w:snapToGrid w:val="0"/>
          <w:color w:val="auto"/>
          <w:kern w:val="0"/>
          <w:sz w:val="24"/>
          <w:highlight w:val="none"/>
        </w:rPr>
        <w:t>产业政策要求；项目选址符合当地</w:t>
      </w:r>
      <w:r>
        <w:rPr>
          <w:rFonts w:hint="eastAsia"/>
          <w:snapToGrid w:val="0"/>
          <w:color w:val="auto"/>
          <w:kern w:val="0"/>
          <w:sz w:val="24"/>
          <w:highlight w:val="none"/>
          <w:lang w:val="en-US" w:eastAsia="zh-CN"/>
        </w:rPr>
        <w:t>及园区</w:t>
      </w:r>
      <w:r>
        <w:rPr>
          <w:snapToGrid w:val="0"/>
          <w:color w:val="auto"/>
          <w:kern w:val="0"/>
          <w:sz w:val="24"/>
          <w:highlight w:val="none"/>
        </w:rPr>
        <w:t>发展规划</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同时</w:t>
      </w:r>
      <w:r>
        <w:rPr>
          <w:rFonts w:hint="eastAsia"/>
          <w:snapToGrid w:val="0"/>
          <w:color w:val="auto"/>
          <w:kern w:val="0"/>
          <w:sz w:val="24"/>
          <w:highlight w:val="none"/>
        </w:rPr>
        <w:t>符合</w:t>
      </w:r>
      <w:r>
        <w:rPr>
          <w:snapToGrid w:val="0"/>
          <w:color w:val="auto"/>
          <w:kern w:val="0"/>
          <w:sz w:val="24"/>
          <w:highlight w:val="none"/>
        </w:rPr>
        <w:t>生态保护红线、环境质量底线、资源利用上线和生态环境准入清单</w:t>
      </w:r>
      <w:r>
        <w:rPr>
          <w:rFonts w:hint="eastAsia"/>
          <w:snapToGrid w:val="0"/>
          <w:color w:val="auto"/>
          <w:kern w:val="0"/>
          <w:sz w:val="24"/>
          <w:highlight w:val="none"/>
        </w:rPr>
        <w:t>相关要求</w:t>
      </w:r>
      <w:r>
        <w:rPr>
          <w:snapToGrid w:val="0"/>
          <w:color w:val="auto"/>
          <w:kern w:val="0"/>
          <w:sz w:val="24"/>
          <w:highlight w:val="none"/>
        </w:rPr>
        <w:t>。</w:t>
      </w:r>
    </w:p>
    <w:p w14:paraId="0B3B8C2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综上所述，本项目的选址是合理的。</w:t>
      </w:r>
    </w:p>
    <w:p w14:paraId="1A0F88EA">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24" w:name="_Toc324671611"/>
      <w:bookmarkStart w:id="25" w:name="_Toc370992972"/>
      <w:bookmarkStart w:id="26" w:name="_Toc2551"/>
      <w:bookmarkStart w:id="27" w:name="_Toc22045"/>
      <w:bookmarkStart w:id="28" w:name="_Toc26939"/>
      <w:r>
        <w:rPr>
          <w:rFonts w:hint="eastAsia" w:ascii="Times New Roman" w:hAnsi="Times New Roman" w:cs="Times New Roman"/>
          <w:b w:val="0"/>
          <w:bCs w:val="0"/>
          <w:snapToGrid w:val="0"/>
          <w:color w:val="auto"/>
          <w:kern w:val="0"/>
          <w:sz w:val="28"/>
          <w:szCs w:val="28"/>
          <w:highlight w:val="none"/>
        </w:rPr>
        <w:t>1.5关注的主要</w:t>
      </w:r>
      <w:r>
        <w:rPr>
          <w:rFonts w:hint="eastAsia" w:ascii="Times New Roman" w:hAnsi="Times New Roman" w:cs="Times New Roman"/>
          <w:b w:val="0"/>
          <w:bCs w:val="0"/>
          <w:snapToGrid w:val="0"/>
          <w:color w:val="auto"/>
          <w:kern w:val="0"/>
          <w:sz w:val="28"/>
          <w:szCs w:val="28"/>
          <w:highlight w:val="none"/>
          <w:lang w:val="en-US" w:eastAsia="zh-CN"/>
        </w:rPr>
        <w:t>生态</w:t>
      </w:r>
      <w:r>
        <w:rPr>
          <w:rFonts w:hint="eastAsia" w:ascii="Times New Roman" w:hAnsi="Times New Roman" w:cs="Times New Roman"/>
          <w:b w:val="0"/>
          <w:bCs w:val="0"/>
          <w:snapToGrid w:val="0"/>
          <w:color w:val="auto"/>
          <w:kern w:val="0"/>
          <w:sz w:val="28"/>
          <w:szCs w:val="28"/>
          <w:highlight w:val="none"/>
        </w:rPr>
        <w:t>环境问题及</w:t>
      </w:r>
      <w:bookmarkEnd w:id="24"/>
      <w:bookmarkEnd w:id="25"/>
      <w:bookmarkEnd w:id="26"/>
      <w:r>
        <w:rPr>
          <w:rFonts w:hint="eastAsia" w:ascii="Times New Roman" w:hAnsi="Times New Roman" w:cs="Times New Roman"/>
          <w:b w:val="0"/>
          <w:bCs w:val="0"/>
          <w:snapToGrid w:val="0"/>
          <w:color w:val="auto"/>
          <w:kern w:val="0"/>
          <w:sz w:val="28"/>
          <w:szCs w:val="28"/>
          <w:highlight w:val="none"/>
          <w:lang w:val="en-US" w:eastAsia="zh-CN"/>
        </w:rPr>
        <w:t>生态</w:t>
      </w:r>
      <w:r>
        <w:rPr>
          <w:rFonts w:hint="eastAsia" w:ascii="Times New Roman" w:hAnsi="Times New Roman" w:cs="Times New Roman"/>
          <w:b w:val="0"/>
          <w:bCs w:val="0"/>
          <w:snapToGrid w:val="0"/>
          <w:color w:val="auto"/>
          <w:kern w:val="0"/>
          <w:sz w:val="28"/>
          <w:szCs w:val="28"/>
          <w:highlight w:val="none"/>
        </w:rPr>
        <w:t>环境影响</w:t>
      </w:r>
      <w:bookmarkEnd w:id="27"/>
      <w:bookmarkEnd w:id="28"/>
    </w:p>
    <w:p w14:paraId="0F795C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通过对本项目工程特点、所在区域的</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环境特点以及周边</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环境现状调查，确定本次评价关注的主要</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环境问题</w:t>
      </w:r>
      <w:r>
        <w:rPr>
          <w:rFonts w:hint="eastAsia"/>
          <w:snapToGrid w:val="0"/>
          <w:color w:val="auto"/>
          <w:kern w:val="0"/>
          <w:sz w:val="24"/>
          <w:highlight w:val="none"/>
          <w:lang w:val="en-US" w:eastAsia="zh-CN"/>
        </w:rPr>
        <w:t>和生态环境影响情况</w:t>
      </w:r>
      <w:r>
        <w:rPr>
          <w:rFonts w:hint="eastAsia"/>
          <w:snapToGrid w:val="0"/>
          <w:color w:val="auto"/>
          <w:kern w:val="0"/>
          <w:sz w:val="24"/>
          <w:highlight w:val="none"/>
        </w:rPr>
        <w:t>如下：</w:t>
      </w:r>
    </w:p>
    <w:p w14:paraId="2FABD5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（1）项目的建设是否符合现行国家法律法规、产业政策和</w:t>
      </w:r>
      <w:r>
        <w:rPr>
          <w:rFonts w:hint="eastAsia"/>
          <w:snapToGrid w:val="0"/>
          <w:color w:val="auto"/>
          <w:kern w:val="0"/>
          <w:sz w:val="24"/>
          <w:highlight w:val="none"/>
          <w:lang w:val="en-US" w:eastAsia="zh-CN"/>
        </w:rPr>
        <w:t>生态环境分区管控</w:t>
      </w:r>
      <w:r>
        <w:rPr>
          <w:rFonts w:hint="eastAsia"/>
          <w:snapToGrid w:val="0"/>
          <w:color w:val="auto"/>
          <w:kern w:val="0"/>
          <w:sz w:val="24"/>
          <w:highlight w:val="none"/>
        </w:rPr>
        <w:t>的要求；</w:t>
      </w:r>
    </w:p>
    <w:p w14:paraId="2A8621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（2）</w:t>
      </w:r>
      <w:r>
        <w:rPr>
          <w:rFonts w:hint="eastAsia"/>
          <w:snapToGrid w:val="0"/>
          <w:color w:val="auto"/>
          <w:kern w:val="0"/>
          <w:sz w:val="24"/>
          <w:highlight w:val="none"/>
          <w:lang w:val="en-US" w:eastAsia="zh-CN"/>
        </w:rPr>
        <w:t>回顾厂区内现有工程及存在的问题，</w:t>
      </w:r>
      <w:r>
        <w:rPr>
          <w:rFonts w:hint="eastAsia"/>
          <w:snapToGrid w:val="0"/>
          <w:color w:val="auto"/>
          <w:kern w:val="0"/>
          <w:sz w:val="24"/>
          <w:highlight w:val="none"/>
        </w:rPr>
        <w:t>分析现有污染防治措施的可行性，针对现有工程的不足提出“以新带老”措施；</w:t>
      </w:r>
    </w:p>
    <w:p w14:paraId="73A666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（3）重点关注本项目运营期大气环境影响及防治措施的可行性；</w:t>
      </w:r>
    </w:p>
    <w:p w14:paraId="757131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highlight w:val="none"/>
        </w:rPr>
      </w:pPr>
      <w:r>
        <w:rPr>
          <w:rFonts w:hint="eastAsia"/>
          <w:color w:val="auto"/>
          <w:sz w:val="24"/>
          <w:highlight w:val="none"/>
        </w:rPr>
        <w:t>（4）重点关注本项目生产废水处理设施的可行性及依托乌苏市西区污水处理厂处理的可行性；</w:t>
      </w:r>
    </w:p>
    <w:p w14:paraId="5C73BE98">
      <w:pPr>
        <w:pStyle w:val="6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olor w:val="auto"/>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5</w:t>
      </w:r>
      <w:r>
        <w:rPr>
          <w:rFonts w:hint="eastAsia"/>
          <w:color w:val="auto"/>
          <w:sz w:val="24"/>
          <w:highlight w:val="none"/>
          <w:lang w:eastAsia="zh-CN"/>
        </w:rPr>
        <w:t>）</w:t>
      </w:r>
      <w:r>
        <w:rPr>
          <w:rFonts w:hint="eastAsia"/>
          <w:snapToGrid w:val="0"/>
          <w:color w:val="auto"/>
          <w:kern w:val="0"/>
          <w:sz w:val="24"/>
          <w:highlight w:val="none"/>
        </w:rPr>
        <w:t>关注本项目运营期</w:t>
      </w:r>
      <w:r>
        <w:rPr>
          <w:rFonts w:hint="eastAsia"/>
          <w:snapToGrid w:val="0"/>
          <w:color w:val="auto"/>
          <w:kern w:val="0"/>
          <w:sz w:val="24"/>
          <w:highlight w:val="none"/>
          <w:lang w:val="en-US" w:eastAsia="zh-CN"/>
        </w:rPr>
        <w:t>声</w:t>
      </w:r>
      <w:r>
        <w:rPr>
          <w:rFonts w:hint="eastAsia"/>
          <w:snapToGrid w:val="0"/>
          <w:color w:val="auto"/>
          <w:kern w:val="0"/>
          <w:sz w:val="24"/>
          <w:highlight w:val="none"/>
        </w:rPr>
        <w:t>环境影响及防治措施的可行性；</w:t>
      </w:r>
    </w:p>
    <w:p w14:paraId="0F56C0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6</w:t>
      </w:r>
      <w:r>
        <w:rPr>
          <w:rFonts w:hint="eastAsia"/>
          <w:snapToGrid w:val="0"/>
          <w:color w:val="auto"/>
          <w:kern w:val="0"/>
          <w:sz w:val="24"/>
          <w:highlight w:val="none"/>
        </w:rPr>
        <w:t>）重点关注本项目运营期地下水环境影响及防治措施的可行性；</w:t>
      </w:r>
    </w:p>
    <w:p w14:paraId="64BD1F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7</w:t>
      </w:r>
      <w:r>
        <w:rPr>
          <w:rFonts w:hint="eastAsia"/>
          <w:snapToGrid w:val="0"/>
          <w:color w:val="auto"/>
          <w:kern w:val="0"/>
          <w:sz w:val="24"/>
          <w:highlight w:val="none"/>
        </w:rPr>
        <w:t>）重点论证本项目产生的各类固体废物处理处置措施的可行性；</w:t>
      </w:r>
    </w:p>
    <w:p w14:paraId="20E531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8</w:t>
      </w:r>
      <w:r>
        <w:rPr>
          <w:rFonts w:hint="eastAsia"/>
          <w:snapToGrid w:val="0"/>
          <w:color w:val="auto"/>
          <w:kern w:val="0"/>
          <w:sz w:val="24"/>
          <w:highlight w:val="none"/>
        </w:rPr>
        <w:t>）重点关注本项目运营期</w:t>
      </w:r>
      <w:r>
        <w:rPr>
          <w:rFonts w:hint="eastAsia"/>
          <w:snapToGrid w:val="0"/>
          <w:color w:val="auto"/>
          <w:kern w:val="0"/>
          <w:sz w:val="24"/>
          <w:highlight w:val="none"/>
          <w:lang w:val="en-US" w:eastAsia="zh-CN"/>
        </w:rPr>
        <w:t>土壤</w:t>
      </w:r>
      <w:r>
        <w:rPr>
          <w:rFonts w:hint="eastAsia"/>
          <w:snapToGrid w:val="0"/>
          <w:color w:val="auto"/>
          <w:kern w:val="0"/>
          <w:sz w:val="24"/>
          <w:highlight w:val="none"/>
        </w:rPr>
        <w:t>环境影响及防治措施的可行性；</w:t>
      </w:r>
    </w:p>
    <w:p w14:paraId="521EB2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9</w:t>
      </w:r>
      <w:r>
        <w:rPr>
          <w:rFonts w:hint="eastAsia"/>
          <w:snapToGrid w:val="0"/>
          <w:color w:val="auto"/>
          <w:kern w:val="0"/>
          <w:sz w:val="24"/>
          <w:highlight w:val="none"/>
        </w:rPr>
        <w:t>）论证本项目实施后可能产生的</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环境风险，在采取风险防范措施后是否达到可以接受的水平。</w:t>
      </w:r>
    </w:p>
    <w:p w14:paraId="5B87DA05">
      <w:pPr>
        <w:pStyle w:val="4"/>
        <w:keepLines w:val="0"/>
        <w:adjustRightInd w:val="0"/>
        <w:snapToGrid w:val="0"/>
        <w:spacing w:before="0" w:after="0" w:line="360" w:lineRule="auto"/>
        <w:rPr>
          <w:rFonts w:ascii="Times New Roman" w:hAnsi="Times New Roman"/>
          <w:b w:val="0"/>
          <w:bCs w:val="0"/>
          <w:snapToGrid w:val="0"/>
          <w:color w:val="auto"/>
          <w:kern w:val="0"/>
          <w:szCs w:val="28"/>
          <w:highlight w:val="none"/>
        </w:rPr>
      </w:pPr>
      <w:bookmarkStart w:id="29" w:name="_Toc23851"/>
      <w:bookmarkStart w:id="30" w:name="_Toc3224"/>
      <w:r>
        <w:rPr>
          <w:rFonts w:hint="eastAsia" w:ascii="Times New Roman" w:hAnsi="Times New Roman"/>
          <w:b w:val="0"/>
          <w:bCs w:val="0"/>
          <w:snapToGrid w:val="0"/>
          <w:color w:val="auto"/>
          <w:kern w:val="0"/>
          <w:szCs w:val="28"/>
          <w:highlight w:val="none"/>
        </w:rPr>
        <w:t>1.6</w:t>
      </w:r>
      <w:r>
        <w:rPr>
          <w:rFonts w:hint="eastAsia" w:ascii="Times New Roman" w:hAnsi="Times New Roman"/>
          <w:b w:val="0"/>
          <w:bCs w:val="0"/>
          <w:snapToGrid w:val="0"/>
          <w:color w:val="auto"/>
          <w:kern w:val="0"/>
          <w:szCs w:val="28"/>
          <w:highlight w:val="none"/>
          <w:lang w:val="en-US" w:eastAsia="zh-CN"/>
        </w:rPr>
        <w:t>生态</w:t>
      </w:r>
      <w:r>
        <w:rPr>
          <w:rFonts w:hint="eastAsia" w:ascii="Times New Roman" w:hAnsi="Times New Roman"/>
          <w:b w:val="0"/>
          <w:bCs w:val="0"/>
          <w:snapToGrid w:val="0"/>
          <w:color w:val="auto"/>
          <w:kern w:val="0"/>
          <w:szCs w:val="28"/>
          <w:highlight w:val="none"/>
        </w:rPr>
        <w:t>环境影响报告书的主要结论</w:t>
      </w:r>
      <w:bookmarkEnd w:id="7"/>
      <w:bookmarkEnd w:id="8"/>
      <w:bookmarkEnd w:id="9"/>
      <w:bookmarkEnd w:id="10"/>
      <w:bookmarkEnd w:id="29"/>
      <w:bookmarkEnd w:id="30"/>
    </w:p>
    <w:p w14:paraId="12521FD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val="en-US" w:eastAsia="zh-CN"/>
        </w:rPr>
        <w:t>本项目建设</w:t>
      </w:r>
      <w:r>
        <w:rPr>
          <w:rFonts w:hint="eastAsia"/>
          <w:snapToGrid w:val="0"/>
          <w:color w:val="auto"/>
          <w:kern w:val="0"/>
          <w:sz w:val="24"/>
          <w:highlight w:val="none"/>
        </w:rPr>
        <w:t>符合国家及地方有关</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保护法律法规、标准、政策、规范、相关规划和园区规划环评要求。项目采用的污染防治措施技术可靠、经济可行，各类废气经处理后污染物可全部达标排放。经各专题环境影响分析，本项目排放的污染物对大气环境、水环境、声环境、土壤环境等的影响不会改变所在区域</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环境功能区的质量，</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环境风险</w:t>
      </w:r>
      <w:r>
        <w:rPr>
          <w:rFonts w:hint="eastAsia"/>
          <w:snapToGrid w:val="0"/>
          <w:color w:val="auto"/>
          <w:kern w:val="0"/>
          <w:sz w:val="24"/>
          <w:highlight w:val="none"/>
          <w:lang w:val="en-US" w:eastAsia="zh-CN"/>
        </w:rPr>
        <w:t>可接受</w:t>
      </w:r>
      <w:r>
        <w:rPr>
          <w:rFonts w:hint="eastAsia"/>
          <w:snapToGrid w:val="0"/>
          <w:color w:val="auto"/>
          <w:kern w:val="0"/>
          <w:sz w:val="24"/>
          <w:highlight w:val="none"/>
        </w:rPr>
        <w:t>。因此，在认真落实</w:t>
      </w:r>
      <w:r>
        <w:rPr>
          <w:rFonts w:hint="eastAsia"/>
          <w:snapToGrid w:val="0"/>
          <w:color w:val="auto"/>
          <w:kern w:val="0"/>
          <w:sz w:val="24"/>
          <w:highlight w:val="none"/>
          <w:lang w:val="en-US" w:eastAsia="zh-CN"/>
        </w:rPr>
        <w:t>项目设计文件及本次环评提出的生态环境</w:t>
      </w:r>
      <w:r>
        <w:rPr>
          <w:rFonts w:hint="eastAsia"/>
          <w:snapToGrid w:val="0"/>
          <w:color w:val="auto"/>
          <w:kern w:val="0"/>
          <w:sz w:val="24"/>
          <w:highlight w:val="none"/>
        </w:rPr>
        <w:t>污染防治措施、</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环境风险防范措施、</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环境管理等各项</w:t>
      </w:r>
      <w:r>
        <w:rPr>
          <w:rFonts w:hint="eastAsia"/>
          <w:snapToGrid w:val="0"/>
          <w:color w:val="auto"/>
          <w:kern w:val="0"/>
          <w:sz w:val="24"/>
          <w:highlight w:val="none"/>
          <w:lang w:val="en-US" w:eastAsia="zh-CN"/>
        </w:rPr>
        <w:t>生态环境保护措施和管理措施</w:t>
      </w:r>
      <w:r>
        <w:rPr>
          <w:rFonts w:hint="eastAsia"/>
          <w:snapToGrid w:val="0"/>
          <w:color w:val="auto"/>
          <w:kern w:val="0"/>
          <w:sz w:val="24"/>
          <w:highlight w:val="none"/>
        </w:rPr>
        <w:t>后，从</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环境保护的角度，项目的建设是可行的。</w:t>
      </w:r>
    </w:p>
    <w:p w14:paraId="26E0189B">
      <w:pPr>
        <w:pStyle w:val="2"/>
        <w:adjustRightInd w:val="0"/>
        <w:snapToGrid w:val="0"/>
        <w:spacing w:before="100" w:beforeAutospacing="1" w:after="100" w:afterAutospacing="1"/>
        <w:ind w:firstLine="482"/>
        <w:rPr>
          <w:rFonts w:ascii="Times New Roman" w:hAnsi="Times New Roman" w:cs="Times New Roman"/>
          <w:snapToGrid w:val="0"/>
          <w:color w:val="auto"/>
          <w:kern w:val="0"/>
          <w:szCs w:val="44"/>
          <w:highlight w:val="none"/>
        </w:rPr>
      </w:pPr>
      <w:bookmarkStart w:id="31" w:name="_Toc739"/>
      <w:bookmarkStart w:id="32" w:name="_Toc21790"/>
      <w:r>
        <w:rPr>
          <w:color w:val="auto"/>
          <w:sz w:val="24"/>
          <w:highlight w:val="none"/>
        </w:rPr>
        <w:br w:type="column"/>
      </w:r>
      <w:bookmarkStart w:id="33" w:name="_Toc437732078"/>
      <w:bookmarkStart w:id="34" w:name="_Toc430033214"/>
      <w:bookmarkStart w:id="35" w:name="_Toc327365456"/>
      <w:bookmarkStart w:id="36" w:name="_Toc188349428"/>
      <w:bookmarkStart w:id="37" w:name="_Toc146967226"/>
      <w:bookmarkStart w:id="38" w:name="_Toc2471"/>
      <w:bookmarkStart w:id="39" w:name="_Toc149705125"/>
      <w:r>
        <w:rPr>
          <w:rFonts w:hint="eastAsia" w:ascii="Times New Roman" w:hAnsi="Times New Roman" w:cs="Times New Roman"/>
          <w:snapToGrid w:val="0"/>
          <w:color w:val="auto"/>
          <w:kern w:val="0"/>
          <w:szCs w:val="44"/>
          <w:highlight w:val="none"/>
        </w:rPr>
        <w:t>2</w:t>
      </w:r>
      <w:r>
        <w:rPr>
          <w:rFonts w:ascii="Times New Roman" w:hAnsi="Times New Roman" w:cs="Times New Roman"/>
          <w:snapToGrid w:val="0"/>
          <w:color w:val="auto"/>
          <w:kern w:val="0"/>
          <w:szCs w:val="44"/>
          <w:highlight w:val="none"/>
        </w:rPr>
        <w:t xml:space="preserve">  </w:t>
      </w:r>
      <w:bookmarkEnd w:id="33"/>
      <w:bookmarkEnd w:id="34"/>
      <w:r>
        <w:rPr>
          <w:rFonts w:hint="eastAsia" w:ascii="Times New Roman" w:hAnsi="Times New Roman" w:cs="Times New Roman"/>
          <w:snapToGrid w:val="0"/>
          <w:color w:val="auto"/>
          <w:kern w:val="0"/>
          <w:szCs w:val="44"/>
          <w:highlight w:val="none"/>
        </w:rPr>
        <w:t>总 则</w:t>
      </w:r>
      <w:bookmarkEnd w:id="31"/>
      <w:bookmarkEnd w:id="32"/>
    </w:p>
    <w:p w14:paraId="1A5DE26D">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40" w:name="_Toc430033215"/>
      <w:bookmarkStart w:id="41" w:name="_Toc31466"/>
      <w:bookmarkStart w:id="42" w:name="_Toc25543"/>
      <w:bookmarkStart w:id="43" w:name="_Toc437732079"/>
      <w:r>
        <w:rPr>
          <w:rFonts w:hint="eastAsia" w:ascii="Times New Roman" w:hAnsi="Times New Roman" w:cs="Times New Roman"/>
          <w:b w:val="0"/>
          <w:bCs w:val="0"/>
          <w:snapToGrid w:val="0"/>
          <w:color w:val="auto"/>
          <w:kern w:val="0"/>
          <w:sz w:val="28"/>
          <w:szCs w:val="28"/>
          <w:highlight w:val="none"/>
        </w:rPr>
        <w:t>2.1 编制依据</w:t>
      </w:r>
      <w:bookmarkEnd w:id="40"/>
      <w:bookmarkEnd w:id="41"/>
      <w:bookmarkEnd w:id="42"/>
      <w:bookmarkEnd w:id="43"/>
    </w:p>
    <w:bookmarkEnd w:id="35"/>
    <w:bookmarkEnd w:id="36"/>
    <w:bookmarkEnd w:id="37"/>
    <w:bookmarkEnd w:id="38"/>
    <w:bookmarkEnd w:id="39"/>
    <w:p w14:paraId="6C056A9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color w:val="auto"/>
          <w:spacing w:val="0"/>
          <w:w w:val="100"/>
          <w:kern w:val="0"/>
          <w:sz w:val="24"/>
          <w:szCs w:val="24"/>
          <w:highlight w:val="none"/>
        </w:rPr>
      </w:pPr>
      <w:bookmarkStart w:id="44" w:name="_Toc479357405"/>
      <w:r>
        <w:rPr>
          <w:rFonts w:hint="eastAsia" w:ascii="Times New Roman" w:hAnsi="Times New Roman" w:cs="Times New Roman"/>
          <w:color w:val="auto"/>
          <w:spacing w:val="0"/>
          <w:w w:val="100"/>
          <w:kern w:val="0"/>
          <w:sz w:val="24"/>
          <w:szCs w:val="24"/>
          <w:highlight w:val="none"/>
        </w:rPr>
        <w:t>2.1.1国家法律</w:t>
      </w:r>
      <w:bookmarkEnd w:id="44"/>
    </w:p>
    <w:p w14:paraId="6454BA8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snapToGrid w:val="0"/>
          <w:color w:val="auto"/>
          <w:kern w:val="0"/>
          <w:sz w:val="24"/>
          <w:highlight w:val="none"/>
        </w:rPr>
        <w:t>《</w:t>
      </w:r>
      <w:r>
        <w:rPr>
          <w:rFonts w:hint="eastAsia"/>
          <w:snapToGrid w:val="0"/>
          <w:color w:val="auto"/>
          <w:kern w:val="0"/>
          <w:sz w:val="24"/>
          <w:highlight w:val="none"/>
        </w:rPr>
        <w:t>中华人民共和国生态环境法典</w:t>
      </w:r>
      <w:r>
        <w:rPr>
          <w:snapToGrid w:val="0"/>
          <w:color w:val="auto"/>
          <w:kern w:val="0"/>
          <w:sz w:val="24"/>
          <w:highlight w:val="none"/>
        </w:rPr>
        <w:t>》，</w:t>
      </w:r>
      <w:r>
        <w:rPr>
          <w:rFonts w:hint="eastAsia"/>
          <w:snapToGrid w:val="0"/>
          <w:color w:val="auto"/>
          <w:kern w:val="0"/>
          <w:sz w:val="24"/>
          <w:highlight w:val="none"/>
        </w:rPr>
        <w:t>中华人民共和国主席令第七十号，</w:t>
      </w:r>
      <w:r>
        <w:rPr>
          <w:snapToGrid w:val="0"/>
          <w:color w:val="auto"/>
          <w:kern w:val="0"/>
          <w:sz w:val="24"/>
          <w:highlight w:val="none"/>
        </w:rPr>
        <w:t>20</w:t>
      </w:r>
      <w:r>
        <w:rPr>
          <w:rFonts w:hint="eastAsia"/>
          <w:snapToGrid w:val="0"/>
          <w:color w:val="auto"/>
          <w:kern w:val="0"/>
          <w:sz w:val="24"/>
          <w:highlight w:val="none"/>
        </w:rPr>
        <w:t>26</w:t>
      </w:r>
      <w:r>
        <w:rPr>
          <w:snapToGrid w:val="0"/>
          <w:color w:val="auto"/>
          <w:kern w:val="0"/>
          <w:sz w:val="24"/>
          <w:highlight w:val="none"/>
        </w:rPr>
        <w:t>年</w:t>
      </w:r>
      <w:r>
        <w:rPr>
          <w:rFonts w:hint="eastAsia"/>
          <w:snapToGrid w:val="0"/>
          <w:color w:val="auto"/>
          <w:kern w:val="0"/>
          <w:sz w:val="24"/>
          <w:highlight w:val="none"/>
        </w:rPr>
        <w:t>8</w:t>
      </w:r>
      <w:r>
        <w:rPr>
          <w:snapToGrid w:val="0"/>
          <w:color w:val="auto"/>
          <w:kern w:val="0"/>
          <w:sz w:val="24"/>
          <w:highlight w:val="none"/>
        </w:rPr>
        <w:t>月</w:t>
      </w:r>
      <w:r>
        <w:rPr>
          <w:rFonts w:hint="eastAsia"/>
          <w:snapToGrid w:val="0"/>
          <w:color w:val="auto"/>
          <w:kern w:val="0"/>
          <w:sz w:val="24"/>
          <w:highlight w:val="none"/>
        </w:rPr>
        <w:t>15</w:t>
      </w:r>
      <w:r>
        <w:rPr>
          <w:snapToGrid w:val="0"/>
          <w:color w:val="auto"/>
          <w:kern w:val="0"/>
          <w:sz w:val="24"/>
          <w:highlight w:val="none"/>
        </w:rPr>
        <w:t>日</w:t>
      </w:r>
      <w:r>
        <w:rPr>
          <w:rFonts w:hint="eastAsia"/>
          <w:snapToGrid w:val="0"/>
          <w:color w:val="auto"/>
          <w:kern w:val="0"/>
          <w:sz w:val="24"/>
          <w:highlight w:val="none"/>
        </w:rPr>
        <w:t>实施</w:t>
      </w:r>
      <w:r>
        <w:rPr>
          <w:snapToGrid w:val="0"/>
          <w:color w:val="auto"/>
          <w:kern w:val="0"/>
          <w:sz w:val="24"/>
          <w:highlight w:val="none"/>
        </w:rPr>
        <w:t>；</w:t>
      </w:r>
    </w:p>
    <w:p w14:paraId="1894404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（2）《中华人民共和国节约能源法》，2018年10月26日修正；</w:t>
      </w:r>
    </w:p>
    <w:p w14:paraId="71FB652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（3）《中华人民共和国循环经济促进法》，2018年10月26日修正；</w:t>
      </w:r>
    </w:p>
    <w:p w14:paraId="3ACE5E9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（4）《中华人民共和国安全生产法》，2021年6月10日修正；</w:t>
      </w:r>
    </w:p>
    <w:p w14:paraId="1666275B">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（5）《中华人民共和国突发事件应对法》，2024年6月28日修订；</w:t>
      </w:r>
    </w:p>
    <w:p w14:paraId="2CB6CAD0">
      <w:pPr>
        <w:adjustRightInd w:val="0"/>
        <w:snapToGrid w:val="0"/>
        <w:spacing w:line="360" w:lineRule="auto"/>
        <w:ind w:firstLine="480" w:firstLineChars="200"/>
        <w:rPr>
          <w:rFonts w:hint="eastAsia" w:eastAsia="宋体"/>
          <w:snapToGrid w:val="0"/>
          <w:color w:val="auto"/>
          <w:kern w:val="0"/>
          <w:sz w:val="24"/>
          <w:highlight w:val="none"/>
          <w:lang w:eastAsia="zh-CN"/>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6</w:t>
      </w:r>
      <w:r>
        <w:rPr>
          <w:rFonts w:hint="eastAsia"/>
          <w:snapToGrid w:val="0"/>
          <w:color w:val="auto"/>
          <w:kern w:val="0"/>
          <w:sz w:val="24"/>
          <w:highlight w:val="none"/>
          <w:lang w:eastAsia="zh-CN"/>
        </w:rPr>
        <w:t>）</w:t>
      </w:r>
      <w:r>
        <w:rPr>
          <w:rFonts w:hint="eastAsia"/>
          <w:snapToGrid w:val="0"/>
          <w:color w:val="auto"/>
          <w:kern w:val="0"/>
          <w:sz w:val="24"/>
          <w:highlight w:val="none"/>
        </w:rPr>
        <w:t>《中华人民共和国</w:t>
      </w:r>
      <w:r>
        <w:rPr>
          <w:rFonts w:hint="eastAsia"/>
          <w:snapToGrid w:val="0"/>
          <w:color w:val="auto"/>
          <w:kern w:val="0"/>
          <w:sz w:val="24"/>
          <w:highlight w:val="none"/>
          <w:lang w:val="en-US" w:eastAsia="zh-CN"/>
        </w:rPr>
        <w:t>水</w:t>
      </w:r>
      <w:r>
        <w:rPr>
          <w:rFonts w:hint="eastAsia"/>
          <w:snapToGrid w:val="0"/>
          <w:color w:val="auto"/>
          <w:kern w:val="0"/>
          <w:sz w:val="24"/>
          <w:highlight w:val="none"/>
        </w:rPr>
        <w:t>法》</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2016年7月2日</w:t>
      </w:r>
      <w:r>
        <w:rPr>
          <w:rFonts w:hint="eastAsia"/>
          <w:snapToGrid w:val="0"/>
          <w:color w:val="auto"/>
          <w:kern w:val="0"/>
          <w:sz w:val="24"/>
          <w:highlight w:val="none"/>
        </w:rPr>
        <w:t>修正</w:t>
      </w:r>
      <w:r>
        <w:rPr>
          <w:rFonts w:hint="eastAsia"/>
          <w:snapToGrid w:val="0"/>
          <w:color w:val="auto"/>
          <w:kern w:val="0"/>
          <w:sz w:val="24"/>
          <w:highlight w:val="none"/>
          <w:lang w:val="en-US" w:eastAsia="zh-CN"/>
        </w:rPr>
        <w:t>；</w:t>
      </w:r>
    </w:p>
    <w:p w14:paraId="3E581E0F">
      <w:pPr>
        <w:adjustRightInd w:val="0"/>
        <w:snapToGrid w:val="0"/>
        <w:spacing w:line="360" w:lineRule="auto"/>
        <w:ind w:firstLine="480" w:firstLineChars="200"/>
        <w:rPr>
          <w:rFonts w:hint="eastAsia" w:eastAsia="宋体"/>
          <w:snapToGrid w:val="0"/>
          <w:color w:val="auto"/>
          <w:kern w:val="0"/>
          <w:sz w:val="24"/>
          <w:highlight w:val="none"/>
          <w:lang w:eastAsia="zh-CN"/>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7</w:t>
      </w:r>
      <w:r>
        <w:rPr>
          <w:rFonts w:hint="eastAsia"/>
          <w:snapToGrid w:val="0"/>
          <w:color w:val="auto"/>
          <w:kern w:val="0"/>
          <w:sz w:val="24"/>
          <w:highlight w:val="none"/>
          <w:lang w:eastAsia="zh-CN"/>
        </w:rPr>
        <w:t>）</w:t>
      </w:r>
      <w:r>
        <w:rPr>
          <w:rFonts w:hint="eastAsia"/>
          <w:snapToGrid w:val="0"/>
          <w:color w:val="auto"/>
          <w:kern w:val="0"/>
          <w:sz w:val="24"/>
          <w:highlight w:val="none"/>
        </w:rPr>
        <w:t>《中华人民共和国</w:t>
      </w:r>
      <w:r>
        <w:rPr>
          <w:rFonts w:hint="eastAsia"/>
          <w:snapToGrid w:val="0"/>
          <w:color w:val="auto"/>
          <w:kern w:val="0"/>
          <w:sz w:val="24"/>
          <w:highlight w:val="none"/>
          <w:lang w:val="en-US" w:eastAsia="zh-CN"/>
        </w:rPr>
        <w:t>土地管理</w:t>
      </w:r>
      <w:r>
        <w:rPr>
          <w:rFonts w:hint="eastAsia"/>
          <w:snapToGrid w:val="0"/>
          <w:color w:val="auto"/>
          <w:kern w:val="0"/>
          <w:sz w:val="24"/>
          <w:highlight w:val="none"/>
        </w:rPr>
        <w:t>法》</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2019年8月26日</w:t>
      </w:r>
      <w:r>
        <w:rPr>
          <w:rFonts w:hint="eastAsia"/>
          <w:snapToGrid w:val="0"/>
          <w:color w:val="auto"/>
          <w:kern w:val="0"/>
          <w:sz w:val="24"/>
          <w:highlight w:val="none"/>
        </w:rPr>
        <w:t>修正</w:t>
      </w:r>
      <w:r>
        <w:rPr>
          <w:rFonts w:hint="eastAsia"/>
          <w:snapToGrid w:val="0"/>
          <w:color w:val="auto"/>
          <w:kern w:val="0"/>
          <w:sz w:val="24"/>
          <w:highlight w:val="none"/>
          <w:lang w:eastAsia="zh-CN"/>
        </w:rPr>
        <w:t>；</w:t>
      </w:r>
    </w:p>
    <w:p w14:paraId="266A2280">
      <w:pPr>
        <w:adjustRightInd w:val="0"/>
        <w:snapToGrid w:val="0"/>
        <w:spacing w:line="360" w:lineRule="auto"/>
        <w:ind w:firstLine="480" w:firstLineChars="200"/>
        <w:rPr>
          <w:rFonts w:hint="eastAsia" w:eastAsia="宋体"/>
          <w:snapToGrid w:val="0"/>
          <w:color w:val="auto"/>
          <w:kern w:val="0"/>
          <w:sz w:val="24"/>
          <w:highlight w:val="none"/>
          <w:lang w:eastAsia="zh-CN"/>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8</w:t>
      </w:r>
      <w:r>
        <w:rPr>
          <w:rFonts w:hint="eastAsia"/>
          <w:snapToGrid w:val="0"/>
          <w:color w:val="auto"/>
          <w:kern w:val="0"/>
          <w:sz w:val="24"/>
          <w:highlight w:val="none"/>
          <w:lang w:eastAsia="zh-CN"/>
        </w:rPr>
        <w:t>）</w:t>
      </w:r>
      <w:r>
        <w:rPr>
          <w:rFonts w:hint="eastAsia"/>
          <w:snapToGrid w:val="0"/>
          <w:color w:val="auto"/>
          <w:kern w:val="0"/>
          <w:sz w:val="24"/>
          <w:highlight w:val="none"/>
        </w:rPr>
        <w:t>《中华人民共和国</w:t>
      </w:r>
      <w:r>
        <w:rPr>
          <w:rFonts w:hint="eastAsia"/>
          <w:snapToGrid w:val="0"/>
          <w:color w:val="auto"/>
          <w:kern w:val="0"/>
          <w:sz w:val="24"/>
          <w:highlight w:val="none"/>
          <w:lang w:val="en-US" w:eastAsia="zh-CN"/>
        </w:rPr>
        <w:t>水土保持</w:t>
      </w:r>
      <w:r>
        <w:rPr>
          <w:rFonts w:hint="eastAsia"/>
          <w:snapToGrid w:val="0"/>
          <w:color w:val="auto"/>
          <w:kern w:val="0"/>
          <w:sz w:val="24"/>
          <w:highlight w:val="none"/>
        </w:rPr>
        <w:t>法》</w:t>
      </w:r>
      <w:r>
        <w:rPr>
          <w:rFonts w:hint="eastAsia"/>
          <w:snapToGrid w:val="0"/>
          <w:color w:val="auto"/>
          <w:kern w:val="0"/>
          <w:sz w:val="24"/>
          <w:highlight w:val="none"/>
          <w:lang w:eastAsia="zh-CN"/>
        </w:rPr>
        <w:t>，2011年3月1日施行；</w:t>
      </w:r>
    </w:p>
    <w:p w14:paraId="32161F97">
      <w:pPr>
        <w:adjustRightInd w:val="0"/>
        <w:snapToGrid w:val="0"/>
        <w:spacing w:line="360" w:lineRule="auto"/>
        <w:ind w:firstLine="480" w:firstLineChars="200"/>
        <w:rPr>
          <w:rFonts w:hint="eastAsia" w:eastAsia="宋体"/>
          <w:snapToGrid w:val="0"/>
          <w:color w:val="auto"/>
          <w:kern w:val="0"/>
          <w:sz w:val="24"/>
          <w:highlight w:val="none"/>
          <w:lang w:eastAsia="zh-CN"/>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9</w:t>
      </w:r>
      <w:r>
        <w:rPr>
          <w:rFonts w:hint="eastAsia"/>
          <w:snapToGrid w:val="0"/>
          <w:color w:val="auto"/>
          <w:kern w:val="0"/>
          <w:sz w:val="24"/>
          <w:highlight w:val="none"/>
          <w:lang w:eastAsia="zh-CN"/>
        </w:rPr>
        <w:t>）</w:t>
      </w:r>
      <w:r>
        <w:rPr>
          <w:rFonts w:hint="eastAsia"/>
          <w:snapToGrid w:val="0"/>
          <w:color w:val="auto"/>
          <w:kern w:val="0"/>
          <w:sz w:val="24"/>
          <w:highlight w:val="none"/>
        </w:rPr>
        <w:t>《中华人民共和国</w:t>
      </w:r>
      <w:r>
        <w:rPr>
          <w:rFonts w:hint="eastAsia"/>
          <w:snapToGrid w:val="0"/>
          <w:color w:val="auto"/>
          <w:kern w:val="0"/>
          <w:sz w:val="24"/>
          <w:highlight w:val="none"/>
          <w:lang w:val="en-US" w:eastAsia="zh-CN"/>
        </w:rPr>
        <w:t>防沙治沙</w:t>
      </w:r>
      <w:r>
        <w:rPr>
          <w:rFonts w:hint="eastAsia"/>
          <w:snapToGrid w:val="0"/>
          <w:color w:val="auto"/>
          <w:kern w:val="0"/>
          <w:sz w:val="24"/>
          <w:highlight w:val="none"/>
        </w:rPr>
        <w:t>法》</w:t>
      </w:r>
      <w:r>
        <w:rPr>
          <w:rFonts w:hint="eastAsia"/>
          <w:snapToGrid w:val="0"/>
          <w:color w:val="auto"/>
          <w:kern w:val="0"/>
          <w:sz w:val="24"/>
          <w:highlight w:val="none"/>
          <w:lang w:eastAsia="zh-CN"/>
        </w:rPr>
        <w:t>，2018年10月26日</w:t>
      </w:r>
      <w:r>
        <w:rPr>
          <w:rFonts w:hint="eastAsia"/>
          <w:snapToGrid w:val="0"/>
          <w:color w:val="auto"/>
          <w:kern w:val="0"/>
          <w:sz w:val="24"/>
          <w:highlight w:val="none"/>
        </w:rPr>
        <w:t>修正</w:t>
      </w:r>
      <w:r>
        <w:rPr>
          <w:rFonts w:hint="eastAsia"/>
          <w:snapToGrid w:val="0"/>
          <w:color w:val="auto"/>
          <w:kern w:val="0"/>
          <w:sz w:val="24"/>
          <w:highlight w:val="none"/>
          <w:lang w:eastAsia="zh-CN"/>
        </w:rPr>
        <w:t>；</w:t>
      </w:r>
    </w:p>
    <w:p w14:paraId="54FC448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ascii="Times New Roman"/>
          <w:snapToGrid w:val="0"/>
          <w:color w:val="auto"/>
          <w:spacing w:val="0"/>
          <w:kern w:val="0"/>
          <w:szCs w:val="24"/>
          <w:highlight w:val="none"/>
        </w:rPr>
      </w:pPr>
      <w:bookmarkStart w:id="45" w:name="_Toc479357406"/>
      <w:r>
        <w:rPr>
          <w:rFonts w:hint="eastAsia" w:ascii="Times New Roman"/>
          <w:snapToGrid w:val="0"/>
          <w:color w:val="auto"/>
          <w:spacing w:val="0"/>
          <w:kern w:val="0"/>
          <w:szCs w:val="24"/>
          <w:highlight w:val="none"/>
        </w:rPr>
        <w:t>2.1</w:t>
      </w:r>
      <w:r>
        <w:rPr>
          <w:rFonts w:ascii="Times New Roman"/>
          <w:snapToGrid w:val="0"/>
          <w:color w:val="auto"/>
          <w:spacing w:val="0"/>
          <w:kern w:val="0"/>
          <w:szCs w:val="24"/>
          <w:highlight w:val="none"/>
        </w:rPr>
        <w:t>.2</w:t>
      </w:r>
      <w:bookmarkEnd w:id="45"/>
      <w:r>
        <w:rPr>
          <w:rFonts w:hint="eastAsia" w:ascii="Times New Roman"/>
          <w:snapToGrid w:val="0"/>
          <w:color w:val="auto"/>
          <w:spacing w:val="0"/>
          <w:kern w:val="0"/>
          <w:szCs w:val="24"/>
          <w:highlight w:val="none"/>
        </w:rPr>
        <w:t>行政法规、</w:t>
      </w:r>
      <w:r>
        <w:rPr>
          <w:rFonts w:hint="eastAsia"/>
          <w:color w:val="auto"/>
          <w:highlight w:val="none"/>
        </w:rPr>
        <w:t>部门</w:t>
      </w:r>
      <w:r>
        <w:rPr>
          <w:rFonts w:hint="eastAsia" w:ascii="Times New Roman"/>
          <w:snapToGrid w:val="0"/>
          <w:color w:val="auto"/>
          <w:spacing w:val="0"/>
          <w:kern w:val="0"/>
          <w:szCs w:val="24"/>
          <w:highlight w:val="none"/>
        </w:rPr>
        <w:t>规章及相关规范性文件</w:t>
      </w:r>
    </w:p>
    <w:p w14:paraId="556543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w:t>
      </w:r>
      <w:r>
        <w:rPr>
          <w:rFonts w:cs="Times New Roman" w:eastAsiaTheme="minorEastAsia"/>
          <w:snapToGrid w:val="0"/>
          <w:color w:val="auto"/>
          <w:kern w:val="0"/>
          <w:sz w:val="24"/>
          <w:highlight w:val="none"/>
        </w:rPr>
        <w:t>《建设项目环境保护管理条例》，国务院令第682号，2017年10月1日</w:t>
      </w:r>
      <w:r>
        <w:rPr>
          <w:rFonts w:hint="eastAsia" w:cs="Times New Roman" w:eastAsiaTheme="minorEastAsia"/>
          <w:snapToGrid w:val="0"/>
          <w:color w:val="auto"/>
          <w:kern w:val="0"/>
          <w:sz w:val="24"/>
          <w:highlight w:val="none"/>
        </w:rPr>
        <w:t>施行</w:t>
      </w:r>
      <w:r>
        <w:rPr>
          <w:rFonts w:cs="Times New Roman" w:eastAsiaTheme="minorEastAsia"/>
          <w:snapToGrid w:val="0"/>
          <w:color w:val="auto"/>
          <w:kern w:val="0"/>
          <w:sz w:val="24"/>
          <w:highlight w:val="none"/>
        </w:rPr>
        <w:t>；</w:t>
      </w:r>
    </w:p>
    <w:p w14:paraId="64924F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（2）《排污许可管理条例》</w:t>
      </w:r>
      <w:r>
        <w:rPr>
          <w:rFonts w:cs="Times New Roman" w:eastAsiaTheme="minorEastAsia"/>
          <w:snapToGrid w:val="0"/>
          <w:color w:val="auto"/>
          <w:kern w:val="0"/>
          <w:sz w:val="24"/>
          <w:highlight w:val="none"/>
        </w:rPr>
        <w:t>，国务院令第</w:t>
      </w:r>
      <w:r>
        <w:rPr>
          <w:rFonts w:hint="eastAsia" w:cs="Times New Roman" w:eastAsiaTheme="minorEastAsia"/>
          <w:snapToGrid w:val="0"/>
          <w:color w:val="auto"/>
          <w:kern w:val="0"/>
          <w:sz w:val="24"/>
          <w:highlight w:val="none"/>
        </w:rPr>
        <w:t>736</w:t>
      </w:r>
      <w:r>
        <w:rPr>
          <w:rFonts w:cs="Times New Roman" w:eastAsiaTheme="minorEastAsia"/>
          <w:snapToGrid w:val="0"/>
          <w:color w:val="auto"/>
          <w:kern w:val="0"/>
          <w:sz w:val="24"/>
          <w:highlight w:val="none"/>
        </w:rPr>
        <w:t>号</w:t>
      </w:r>
      <w:r>
        <w:rPr>
          <w:rFonts w:hint="eastAsia" w:cs="Times New Roman" w:eastAsiaTheme="minorEastAsia"/>
          <w:snapToGrid w:val="0"/>
          <w:color w:val="auto"/>
          <w:kern w:val="0"/>
          <w:sz w:val="24"/>
          <w:highlight w:val="none"/>
        </w:rPr>
        <w:t>，2021年3月1日；</w:t>
      </w:r>
    </w:p>
    <w:p w14:paraId="3C8629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（3）</w:t>
      </w:r>
      <w:r>
        <w:rPr>
          <w:rFonts w:cs="Times New Roman" w:eastAsiaTheme="minorEastAsia"/>
          <w:snapToGrid w:val="0"/>
          <w:color w:val="auto"/>
          <w:kern w:val="0"/>
          <w:sz w:val="24"/>
          <w:highlight w:val="none"/>
        </w:rPr>
        <w:t>《建设项目环境影响评价分类管理名录（202</w:t>
      </w:r>
      <w:r>
        <w:rPr>
          <w:rFonts w:hint="eastAsia" w:cs="Times New Roman" w:eastAsiaTheme="minorEastAsia"/>
          <w:snapToGrid w:val="0"/>
          <w:color w:val="auto"/>
          <w:kern w:val="0"/>
          <w:sz w:val="24"/>
          <w:highlight w:val="none"/>
        </w:rPr>
        <w:t>1</w:t>
      </w:r>
      <w:r>
        <w:rPr>
          <w:rFonts w:cs="Times New Roman" w:eastAsiaTheme="minorEastAsia"/>
          <w:snapToGrid w:val="0"/>
          <w:color w:val="auto"/>
          <w:kern w:val="0"/>
          <w:sz w:val="24"/>
          <w:highlight w:val="none"/>
        </w:rPr>
        <w:t>年版）》</w:t>
      </w:r>
      <w:r>
        <w:rPr>
          <w:rFonts w:hint="eastAsia" w:cs="Times New Roman" w:eastAsiaTheme="minorEastAsia"/>
          <w:snapToGrid w:val="0"/>
          <w:color w:val="auto"/>
          <w:kern w:val="0"/>
          <w:sz w:val="24"/>
          <w:highlight w:val="none"/>
        </w:rPr>
        <w:t>，</w:t>
      </w:r>
      <w:r>
        <w:rPr>
          <w:rFonts w:cs="Times New Roman" w:eastAsiaTheme="minorEastAsia"/>
          <w:snapToGrid w:val="0"/>
          <w:color w:val="auto"/>
          <w:kern w:val="0"/>
          <w:sz w:val="24"/>
          <w:highlight w:val="none"/>
        </w:rPr>
        <w:t>生态环境部令第</w:t>
      </w:r>
      <w:r>
        <w:rPr>
          <w:rFonts w:hint="eastAsia" w:cs="Times New Roman" w:eastAsiaTheme="minorEastAsia"/>
          <w:snapToGrid w:val="0"/>
          <w:color w:val="auto"/>
          <w:kern w:val="0"/>
          <w:sz w:val="24"/>
          <w:highlight w:val="none"/>
        </w:rPr>
        <w:t>16</w:t>
      </w:r>
      <w:r>
        <w:rPr>
          <w:rFonts w:cs="Times New Roman" w:eastAsiaTheme="minorEastAsia"/>
          <w:snapToGrid w:val="0"/>
          <w:color w:val="auto"/>
          <w:kern w:val="0"/>
          <w:sz w:val="24"/>
          <w:highlight w:val="none"/>
        </w:rPr>
        <w:t>号，2021年1月1日起</w:t>
      </w:r>
      <w:r>
        <w:rPr>
          <w:rFonts w:hint="eastAsia" w:cs="Times New Roman" w:eastAsiaTheme="minorEastAsia"/>
          <w:snapToGrid w:val="0"/>
          <w:color w:val="auto"/>
          <w:kern w:val="0"/>
          <w:sz w:val="24"/>
          <w:highlight w:val="none"/>
        </w:rPr>
        <w:t>施行</w:t>
      </w:r>
      <w:r>
        <w:rPr>
          <w:rFonts w:cs="Times New Roman" w:eastAsiaTheme="minorEastAsia"/>
          <w:snapToGrid w:val="0"/>
          <w:color w:val="auto"/>
          <w:kern w:val="0"/>
          <w:sz w:val="24"/>
          <w:highlight w:val="none"/>
        </w:rPr>
        <w:t>；</w:t>
      </w:r>
    </w:p>
    <w:p w14:paraId="2A31CF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（4）</w:t>
      </w:r>
      <w:r>
        <w:rPr>
          <w:rFonts w:cs="Times New Roman" w:eastAsiaTheme="minorEastAsia"/>
          <w:snapToGrid w:val="0"/>
          <w:color w:val="auto"/>
          <w:kern w:val="0"/>
          <w:sz w:val="24"/>
          <w:highlight w:val="none"/>
        </w:rPr>
        <w:t>《环境影响评价公众参与办法》</w:t>
      </w:r>
      <w:r>
        <w:rPr>
          <w:rFonts w:hint="eastAsia" w:cs="Times New Roman" w:eastAsiaTheme="minorEastAsia"/>
          <w:snapToGrid w:val="0"/>
          <w:color w:val="auto"/>
          <w:kern w:val="0"/>
          <w:sz w:val="24"/>
          <w:highlight w:val="none"/>
        </w:rPr>
        <w:t>，</w:t>
      </w:r>
      <w:r>
        <w:rPr>
          <w:rFonts w:cs="Times New Roman" w:eastAsiaTheme="minorEastAsia"/>
          <w:snapToGrid w:val="0"/>
          <w:color w:val="auto"/>
          <w:kern w:val="0"/>
          <w:sz w:val="24"/>
          <w:highlight w:val="none"/>
        </w:rPr>
        <w:t>生态环境部令第4号，2019年1月1日</w:t>
      </w:r>
      <w:r>
        <w:rPr>
          <w:rFonts w:hint="eastAsia" w:cs="Times New Roman" w:eastAsiaTheme="minorEastAsia"/>
          <w:snapToGrid w:val="0"/>
          <w:color w:val="auto"/>
          <w:kern w:val="0"/>
          <w:sz w:val="24"/>
          <w:highlight w:val="none"/>
        </w:rPr>
        <w:t>施行</w:t>
      </w:r>
      <w:r>
        <w:rPr>
          <w:rFonts w:cs="Times New Roman" w:eastAsiaTheme="minorEastAsia"/>
          <w:snapToGrid w:val="0"/>
          <w:color w:val="auto"/>
          <w:kern w:val="0"/>
          <w:sz w:val="24"/>
          <w:highlight w:val="none"/>
        </w:rPr>
        <w:t>；</w:t>
      </w:r>
    </w:p>
    <w:p w14:paraId="6A91FB78">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eastAsiaTheme="minorEastAsia"/>
          <w:snapToGrid w:val="0"/>
          <w:color w:val="auto"/>
          <w:spacing w:val="-6"/>
          <w:kern w:val="0"/>
          <w:sz w:val="24"/>
          <w:highlight w:val="none"/>
          <w:lang w:val="en-US" w:eastAsia="zh-CN"/>
        </w:rPr>
      </w:pPr>
      <w:r>
        <w:rPr>
          <w:rFonts w:hint="eastAsia" w:ascii="Times New Roman" w:hAnsi="Times New Roman" w:cs="Times New Roman" w:eastAsiaTheme="minorEastAsia"/>
          <w:snapToGrid w:val="0"/>
          <w:color w:val="auto"/>
          <w:spacing w:val="-6"/>
          <w:kern w:val="0"/>
          <w:sz w:val="24"/>
          <w:highlight w:val="none"/>
          <w:lang w:val="en-US" w:eastAsia="zh-CN"/>
        </w:rPr>
        <w:t>（5）《国家危险废物名录（2025年版）》，生态环境部、国家发展和改革委员会、公安部、交通运输部、国家卫生健康委员会令第36号，2025年1月1日施行；</w:t>
      </w:r>
    </w:p>
    <w:p w14:paraId="226A34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（6）《市场准入负面清单（2025年版）》，发改体改规〔2025〕466号，2025年4月16日</w:t>
      </w:r>
      <w:r>
        <w:rPr>
          <w:rFonts w:cs="Times New Roman" w:eastAsiaTheme="minorEastAsia"/>
          <w:snapToGrid w:val="0"/>
          <w:color w:val="auto"/>
          <w:kern w:val="0"/>
          <w:sz w:val="24"/>
          <w:highlight w:val="none"/>
        </w:rPr>
        <w:t>；</w:t>
      </w:r>
    </w:p>
    <w:p w14:paraId="116E38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（7）《产业结构调整指导目录（2024年本）》，国家发展改革委令第7号，2024年2月1日</w:t>
      </w:r>
      <w:r>
        <w:rPr>
          <w:rFonts w:cs="Times New Roman" w:eastAsiaTheme="minorEastAsia"/>
          <w:snapToGrid w:val="0"/>
          <w:color w:val="auto"/>
          <w:kern w:val="0"/>
          <w:sz w:val="24"/>
          <w:highlight w:val="none"/>
        </w:rPr>
        <w:t>；</w:t>
      </w:r>
    </w:p>
    <w:p w14:paraId="786728B3">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eastAsiaTheme="minorEastAsia"/>
          <w:snapToGrid w:val="0"/>
          <w:color w:val="auto"/>
          <w:spacing w:val="-6"/>
          <w:kern w:val="0"/>
          <w:sz w:val="24"/>
          <w:highlight w:val="none"/>
          <w:lang w:val="en-US" w:eastAsia="zh-CN"/>
        </w:rPr>
      </w:pPr>
      <w:r>
        <w:rPr>
          <w:rFonts w:hint="eastAsia" w:ascii="Times New Roman" w:hAnsi="Times New Roman" w:cs="Times New Roman" w:eastAsiaTheme="minorEastAsia"/>
          <w:snapToGrid w:val="0"/>
          <w:color w:val="auto"/>
          <w:spacing w:val="-6"/>
          <w:kern w:val="0"/>
          <w:sz w:val="24"/>
          <w:highlight w:val="none"/>
          <w:lang w:val="en-US" w:eastAsia="zh-CN"/>
        </w:rPr>
        <w:t>（8）《排污许可管理办法》，生态环境部令第32号，2024年7月1日施行；</w:t>
      </w:r>
    </w:p>
    <w:p w14:paraId="4FDFBF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（9）《危险废物转移管理办法》，生态环境部、公安部、交通运输部令第23号，2022年1月1日起施行</w:t>
      </w:r>
      <w:r>
        <w:rPr>
          <w:rFonts w:cs="Times New Roman" w:eastAsiaTheme="minorEastAsia"/>
          <w:snapToGrid w:val="0"/>
          <w:color w:val="auto"/>
          <w:kern w:val="0"/>
          <w:sz w:val="24"/>
          <w:highlight w:val="none"/>
        </w:rPr>
        <w:t>；</w:t>
      </w:r>
    </w:p>
    <w:p w14:paraId="0B3555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（10）《固定污染源排污许可分类管理名录（2019年版）》，生态环境部令第11号，2019年12月20日</w:t>
      </w:r>
      <w:r>
        <w:rPr>
          <w:rFonts w:cs="Times New Roman" w:eastAsiaTheme="minorEastAsia"/>
          <w:snapToGrid w:val="0"/>
          <w:color w:val="auto"/>
          <w:kern w:val="0"/>
          <w:sz w:val="24"/>
          <w:highlight w:val="none"/>
        </w:rPr>
        <w:t>；</w:t>
      </w:r>
    </w:p>
    <w:p w14:paraId="52F6DD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（11）《突发环境事件应急管理办法》，</w:t>
      </w:r>
      <w:r>
        <w:rPr>
          <w:rFonts w:hint="eastAsia" w:cs="Times New Roman" w:eastAsiaTheme="minorEastAsia"/>
          <w:snapToGrid w:val="0"/>
          <w:color w:val="auto"/>
          <w:kern w:val="0"/>
          <w:sz w:val="24"/>
          <w:highlight w:val="none"/>
          <w:lang w:eastAsia="zh-CN"/>
        </w:rPr>
        <w:t>原环境保护部</w:t>
      </w:r>
      <w:r>
        <w:rPr>
          <w:rFonts w:hint="eastAsia" w:cs="Times New Roman" w:eastAsiaTheme="minorEastAsia"/>
          <w:snapToGrid w:val="0"/>
          <w:color w:val="auto"/>
          <w:kern w:val="0"/>
          <w:sz w:val="24"/>
          <w:highlight w:val="none"/>
        </w:rPr>
        <w:t>令第34号，2015年6月5日施行</w:t>
      </w:r>
      <w:r>
        <w:rPr>
          <w:rFonts w:cs="Times New Roman" w:eastAsiaTheme="minorEastAsia"/>
          <w:snapToGrid w:val="0"/>
          <w:color w:val="auto"/>
          <w:kern w:val="0"/>
          <w:sz w:val="24"/>
          <w:highlight w:val="none"/>
        </w:rPr>
        <w:t>；</w:t>
      </w:r>
    </w:p>
    <w:p w14:paraId="131079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（12）《建设项目竣工环境保护验收暂行办法》，国环规环评〔2017〕4号，2017年11月20日</w:t>
      </w:r>
      <w:r>
        <w:rPr>
          <w:rFonts w:cs="Times New Roman" w:eastAsiaTheme="minorEastAsia"/>
          <w:snapToGrid w:val="0"/>
          <w:color w:val="auto"/>
          <w:kern w:val="0"/>
          <w:sz w:val="24"/>
          <w:highlight w:val="none"/>
        </w:rPr>
        <w:t>；</w:t>
      </w:r>
    </w:p>
    <w:p w14:paraId="21F668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（13）《关于加强高耗能、高排放建设项目生态环境源头防控的指导意见》，环评〔2021〕45号，2021年5月30日；</w:t>
      </w:r>
    </w:p>
    <w:p w14:paraId="7D39DD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（14）《国务院关于印发“十四五”节能减排综合性工作方案的通知》，国发〔2021〕33号，2021年12月28日；</w:t>
      </w:r>
    </w:p>
    <w:p w14:paraId="2D446A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（15）《西部地区鼓励类产业目录（2025年本）》，2025年1月1日施行；</w:t>
      </w:r>
    </w:p>
    <w:p w14:paraId="189D9A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（16）《关于印发〈空气质量持续改善行动计划〉的通知》，国发〔2023〕24号，2023年11月30日；</w:t>
      </w:r>
    </w:p>
    <w:p w14:paraId="564FE2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（17）《关于印发〈环境影响评价与排污许可领域协同推进碳减排工作方案〉的通知》，环办环评函〔2021〕277号，2021年6月7日；</w:t>
      </w:r>
    </w:p>
    <w:p w14:paraId="497A8E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（18）《危险化学品安全管理条例》，2013年12月7日修订；</w:t>
      </w:r>
    </w:p>
    <w:p w14:paraId="177D06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（19）《中共中央 国务院关于深入打好污染防治攻坚战的意见》，2021年11月2日；</w:t>
      </w:r>
    </w:p>
    <w:p w14:paraId="4F6608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（20）《关于印发&lt;一般工业固体废物环境管理工作指南&gt;的通知》，环办固体函〔2026〕18号，2026年1月15日；</w:t>
      </w:r>
    </w:p>
    <w:p w14:paraId="5C6CA5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（21）</w:t>
      </w:r>
      <w:r>
        <w:rPr>
          <w:rFonts w:cs="Times New Roman" w:eastAsiaTheme="minorEastAsia"/>
          <w:snapToGrid w:val="0"/>
          <w:color w:val="auto"/>
          <w:kern w:val="0"/>
          <w:sz w:val="24"/>
          <w:highlight w:val="none"/>
        </w:rPr>
        <w:t>《地下水污染源防渗技术指南（试行）》</w:t>
      </w:r>
      <w:r>
        <w:rPr>
          <w:rFonts w:hint="eastAsia" w:cs="Times New Roman" w:eastAsiaTheme="minorEastAsia"/>
          <w:snapToGrid w:val="0"/>
          <w:color w:val="auto"/>
          <w:kern w:val="0"/>
          <w:sz w:val="24"/>
          <w:highlight w:val="none"/>
        </w:rPr>
        <w:t>，环办土壤函〔2020〕72号，2020年2月20日；</w:t>
      </w:r>
    </w:p>
    <w:p w14:paraId="64D908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（22）</w:t>
      </w:r>
      <w:r>
        <w:rPr>
          <w:rFonts w:cs="Times New Roman" w:eastAsiaTheme="minorEastAsia"/>
          <w:snapToGrid w:val="0"/>
          <w:color w:val="auto"/>
          <w:kern w:val="0"/>
          <w:sz w:val="24"/>
          <w:highlight w:val="none"/>
        </w:rPr>
        <w:t>《企业环境信息依法披露管理办法》</w:t>
      </w:r>
      <w:r>
        <w:rPr>
          <w:rFonts w:hint="eastAsia" w:cs="Times New Roman" w:eastAsiaTheme="minorEastAsia"/>
          <w:snapToGrid w:val="0"/>
          <w:color w:val="auto"/>
          <w:kern w:val="0"/>
          <w:sz w:val="24"/>
          <w:highlight w:val="none"/>
        </w:rPr>
        <w:t>，生态环境部</w:t>
      </w:r>
      <w:r>
        <w:rPr>
          <w:rFonts w:hint="eastAsia" w:cs="Times New Roman" w:eastAsiaTheme="minorEastAsia"/>
          <w:snapToGrid w:val="0"/>
          <w:color w:val="auto"/>
          <w:kern w:val="0"/>
          <w:sz w:val="24"/>
          <w:highlight w:val="none"/>
          <w:lang w:val="en-US" w:eastAsia="zh-CN"/>
        </w:rPr>
        <w:t xml:space="preserve"> </w:t>
      </w:r>
      <w:r>
        <w:rPr>
          <w:rFonts w:hint="eastAsia" w:cs="Times New Roman" w:eastAsiaTheme="minorEastAsia"/>
          <w:snapToGrid w:val="0"/>
          <w:color w:val="auto"/>
          <w:kern w:val="0"/>
          <w:sz w:val="24"/>
          <w:highlight w:val="none"/>
        </w:rPr>
        <w:t>部令第24号，2022年2月8日起施行；</w:t>
      </w:r>
    </w:p>
    <w:p w14:paraId="1EF6EFE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w:t>
      </w:r>
      <w:r>
        <w:rPr>
          <w:rFonts w:hint="eastAsia" w:cs="Times New Roman" w:eastAsiaTheme="minorEastAsia"/>
          <w:snapToGrid w:val="0"/>
          <w:color w:val="auto"/>
          <w:kern w:val="0"/>
          <w:sz w:val="24"/>
          <w:highlight w:val="none"/>
          <w:lang w:val="en-US" w:eastAsia="zh-CN"/>
        </w:rPr>
        <w:t>3</w:t>
      </w:r>
      <w:r>
        <w:rPr>
          <w:rFonts w:hint="eastAsia" w:cs="Times New Roman" w:eastAsiaTheme="minorEastAsia"/>
          <w:snapToGrid w:val="0"/>
          <w:color w:val="auto"/>
          <w:kern w:val="0"/>
          <w:sz w:val="24"/>
          <w:highlight w:val="none"/>
        </w:rPr>
        <w:t>）《固体废物分类与代码目录》，生态环境部公告2024年第4号；</w:t>
      </w:r>
    </w:p>
    <w:p w14:paraId="1D7986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w:t>
      </w:r>
      <w:r>
        <w:rPr>
          <w:rFonts w:hint="eastAsia" w:cs="Times New Roman" w:eastAsiaTheme="minorEastAsia"/>
          <w:snapToGrid w:val="0"/>
          <w:color w:val="auto"/>
          <w:kern w:val="0"/>
          <w:sz w:val="24"/>
          <w:highlight w:val="none"/>
          <w:lang w:val="en-US" w:eastAsia="zh-CN"/>
        </w:rPr>
        <w:t>4</w:t>
      </w:r>
      <w:r>
        <w:rPr>
          <w:rFonts w:hint="eastAsia" w:cs="Times New Roman" w:eastAsiaTheme="minorEastAsia"/>
          <w:snapToGrid w:val="0"/>
          <w:color w:val="auto"/>
          <w:kern w:val="0"/>
          <w:sz w:val="24"/>
          <w:highlight w:val="none"/>
        </w:rPr>
        <w:t>）《中共中央办公厅 国务院办公厅关于加强生态环境分区管控的意见》，2024年3月6日；</w:t>
      </w:r>
    </w:p>
    <w:p w14:paraId="0E4B68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eastAsiaTheme="minorEastAsia"/>
          <w:snapToGrid w:val="0"/>
          <w:color w:val="auto"/>
          <w:kern w:val="0"/>
          <w:sz w:val="24"/>
          <w:highlight w:val="none"/>
        </w:rPr>
      </w:pPr>
      <w:r>
        <w:rPr>
          <w:rFonts w:hint="eastAsia" w:cs="Times New Roman" w:eastAsiaTheme="minorEastAsia"/>
          <w:snapToGrid w:val="0"/>
          <w:color w:val="auto"/>
          <w:kern w:val="0"/>
          <w:sz w:val="24"/>
          <w:highlight w:val="none"/>
        </w:rPr>
        <w:t>（2</w:t>
      </w:r>
      <w:r>
        <w:rPr>
          <w:rFonts w:hint="eastAsia" w:cs="Times New Roman" w:eastAsiaTheme="minorEastAsia"/>
          <w:snapToGrid w:val="0"/>
          <w:color w:val="auto"/>
          <w:kern w:val="0"/>
          <w:sz w:val="24"/>
          <w:highlight w:val="none"/>
          <w:lang w:val="en-US" w:eastAsia="zh-CN"/>
        </w:rPr>
        <w:t>5</w:t>
      </w:r>
      <w:r>
        <w:rPr>
          <w:rFonts w:hint="eastAsia" w:cs="Times New Roman" w:eastAsiaTheme="minorEastAsia"/>
          <w:snapToGrid w:val="0"/>
          <w:color w:val="auto"/>
          <w:kern w:val="0"/>
          <w:sz w:val="24"/>
          <w:highlight w:val="none"/>
        </w:rPr>
        <w:t>）《关于印发</w:t>
      </w:r>
      <w:r>
        <w:rPr>
          <w:rFonts w:hint="eastAsia" w:cs="Times New Roman" w:eastAsiaTheme="minorEastAsia"/>
          <w:snapToGrid w:val="0"/>
          <w:color w:val="auto"/>
          <w:kern w:val="0"/>
          <w:sz w:val="24"/>
          <w:highlight w:val="none"/>
          <w:lang w:val="en-US" w:eastAsia="zh-CN"/>
        </w:rPr>
        <w:t>&lt;</w:t>
      </w:r>
      <w:r>
        <w:rPr>
          <w:rFonts w:hint="eastAsia" w:cs="Times New Roman" w:eastAsiaTheme="minorEastAsia"/>
          <w:snapToGrid w:val="0"/>
          <w:color w:val="auto"/>
          <w:kern w:val="0"/>
          <w:sz w:val="24"/>
          <w:highlight w:val="none"/>
        </w:rPr>
        <w:t>生态环境分区管控管理暂行规定</w:t>
      </w:r>
      <w:r>
        <w:rPr>
          <w:rFonts w:hint="eastAsia" w:cs="Times New Roman" w:eastAsiaTheme="minorEastAsia"/>
          <w:snapToGrid w:val="0"/>
          <w:color w:val="auto"/>
          <w:kern w:val="0"/>
          <w:sz w:val="24"/>
          <w:highlight w:val="none"/>
          <w:lang w:val="en-US" w:eastAsia="zh-CN"/>
        </w:rPr>
        <w:t>&gt;</w:t>
      </w:r>
      <w:r>
        <w:rPr>
          <w:rFonts w:hint="eastAsia" w:cs="Times New Roman" w:eastAsiaTheme="minorEastAsia"/>
          <w:snapToGrid w:val="0"/>
          <w:color w:val="auto"/>
          <w:kern w:val="0"/>
          <w:sz w:val="24"/>
          <w:highlight w:val="none"/>
        </w:rPr>
        <w:t>的通知》，环环评〔2024〕41号，2024年7月6日；</w:t>
      </w:r>
    </w:p>
    <w:p w14:paraId="40B507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eastAsiaTheme="minorEastAsia"/>
          <w:snapToGrid w:val="0"/>
          <w:color w:val="auto"/>
          <w:kern w:val="0"/>
          <w:sz w:val="24"/>
          <w:highlight w:val="none"/>
        </w:rPr>
      </w:pPr>
      <w:r>
        <w:rPr>
          <w:rFonts w:hint="eastAsia" w:ascii="Times New Roman" w:hAnsi="Times New Roman" w:cs="Times New Roman" w:eastAsiaTheme="minorEastAsia"/>
          <w:snapToGrid w:val="0"/>
          <w:color w:val="auto"/>
          <w:kern w:val="0"/>
          <w:sz w:val="24"/>
          <w:highlight w:val="none"/>
          <w:lang w:eastAsia="zh-CN"/>
        </w:rPr>
        <w:t>（</w:t>
      </w:r>
      <w:r>
        <w:rPr>
          <w:rFonts w:hint="eastAsia" w:ascii="Times New Roman" w:hAnsi="Times New Roman" w:cs="Times New Roman" w:eastAsiaTheme="minorEastAsia"/>
          <w:snapToGrid w:val="0"/>
          <w:color w:val="auto"/>
          <w:kern w:val="0"/>
          <w:sz w:val="24"/>
          <w:highlight w:val="none"/>
          <w:lang w:val="en-US" w:eastAsia="zh-CN"/>
        </w:rPr>
        <w:t>26</w:t>
      </w:r>
      <w:r>
        <w:rPr>
          <w:rFonts w:hint="eastAsia" w:ascii="Times New Roman" w:hAnsi="Times New Roman" w:cs="Times New Roman" w:eastAsiaTheme="minorEastAsia"/>
          <w:snapToGrid w:val="0"/>
          <w:color w:val="auto"/>
          <w:kern w:val="0"/>
          <w:sz w:val="24"/>
          <w:highlight w:val="none"/>
          <w:lang w:eastAsia="zh-CN"/>
        </w:rPr>
        <w:t>）《</w:t>
      </w:r>
      <w:r>
        <w:rPr>
          <w:rFonts w:hint="eastAsia" w:ascii="Times New Roman" w:hAnsi="Times New Roman" w:cs="Times New Roman" w:eastAsiaTheme="minorEastAsia"/>
          <w:snapToGrid w:val="0"/>
          <w:color w:val="auto"/>
          <w:kern w:val="0"/>
          <w:sz w:val="24"/>
          <w:highlight w:val="none"/>
          <w:lang w:val="en-US" w:eastAsia="zh-CN"/>
        </w:rPr>
        <w:t>国务院关于印发</w:t>
      </w:r>
      <w:r>
        <w:rPr>
          <w:rFonts w:hint="eastAsia" w:ascii="Times New Roman" w:hAnsi="Times New Roman" w:cs="Times New Roman" w:eastAsiaTheme="minorEastAsia"/>
          <w:snapToGrid w:val="0"/>
          <w:color w:val="auto"/>
          <w:kern w:val="0"/>
          <w:sz w:val="24"/>
          <w:highlight w:val="none"/>
          <w:lang w:eastAsia="zh-CN"/>
        </w:rPr>
        <w:t>〈</w:t>
      </w:r>
      <w:r>
        <w:rPr>
          <w:rFonts w:hint="eastAsia" w:ascii="Times New Roman" w:hAnsi="Times New Roman" w:cs="Times New Roman" w:eastAsiaTheme="minorEastAsia"/>
          <w:snapToGrid w:val="0"/>
          <w:color w:val="auto"/>
          <w:kern w:val="0"/>
          <w:sz w:val="24"/>
          <w:highlight w:val="none"/>
          <w:lang w:val="en-US" w:eastAsia="zh-CN"/>
        </w:rPr>
        <w:t>“十五五”碳达峰行动方案</w:t>
      </w:r>
      <w:r>
        <w:rPr>
          <w:rFonts w:hint="eastAsia" w:ascii="Times New Roman" w:hAnsi="Times New Roman" w:cs="Times New Roman" w:eastAsiaTheme="minorEastAsia"/>
          <w:snapToGrid w:val="0"/>
          <w:color w:val="auto"/>
          <w:kern w:val="0"/>
          <w:sz w:val="24"/>
          <w:highlight w:val="none"/>
          <w:lang w:eastAsia="zh-CN"/>
        </w:rPr>
        <w:t>〉</w:t>
      </w:r>
      <w:r>
        <w:rPr>
          <w:rFonts w:hint="eastAsia" w:ascii="Times New Roman" w:hAnsi="Times New Roman" w:cs="Times New Roman" w:eastAsiaTheme="minorEastAsia"/>
          <w:snapToGrid w:val="0"/>
          <w:color w:val="auto"/>
          <w:kern w:val="0"/>
          <w:sz w:val="24"/>
          <w:highlight w:val="none"/>
          <w:lang w:val="en-US" w:eastAsia="zh-CN"/>
        </w:rPr>
        <w:t>的通知</w:t>
      </w:r>
      <w:r>
        <w:rPr>
          <w:rFonts w:hint="eastAsia" w:ascii="Times New Roman" w:hAnsi="Times New Roman" w:cs="Times New Roman" w:eastAsiaTheme="minorEastAsia"/>
          <w:snapToGrid w:val="0"/>
          <w:color w:val="auto"/>
          <w:kern w:val="0"/>
          <w:sz w:val="24"/>
          <w:highlight w:val="none"/>
          <w:lang w:eastAsia="zh-CN"/>
        </w:rPr>
        <w:t>》</w:t>
      </w:r>
      <w:r>
        <w:rPr>
          <w:rFonts w:hint="eastAsia" w:ascii="Times New Roman" w:hAnsi="Times New Roman" w:cs="Times New Roman" w:eastAsiaTheme="minorEastAsia"/>
          <w:snapToGrid w:val="0"/>
          <w:color w:val="auto"/>
          <w:kern w:val="0"/>
          <w:sz w:val="24"/>
          <w:highlight w:val="none"/>
        </w:rPr>
        <w:t>，国发〔2026〕22号，202</w:t>
      </w:r>
      <w:r>
        <w:rPr>
          <w:rFonts w:hint="eastAsia" w:ascii="Times New Roman" w:hAnsi="Times New Roman" w:cs="Times New Roman" w:eastAsiaTheme="minorEastAsia"/>
          <w:snapToGrid w:val="0"/>
          <w:color w:val="auto"/>
          <w:kern w:val="0"/>
          <w:sz w:val="24"/>
          <w:highlight w:val="none"/>
          <w:lang w:val="en-US" w:eastAsia="zh-CN"/>
        </w:rPr>
        <w:t>6年7月5日</w:t>
      </w:r>
      <w:r>
        <w:rPr>
          <w:rFonts w:hint="eastAsia" w:ascii="Times New Roman" w:hAnsi="Times New Roman" w:cs="Times New Roman" w:eastAsiaTheme="minorEastAsia"/>
          <w:snapToGrid w:val="0"/>
          <w:color w:val="auto"/>
          <w:kern w:val="0"/>
          <w:sz w:val="24"/>
          <w:highlight w:val="none"/>
        </w:rPr>
        <w:t>；</w:t>
      </w:r>
    </w:p>
    <w:p w14:paraId="3C174E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eastAsiaTheme="minorEastAsia"/>
          <w:snapToGrid w:val="0"/>
          <w:color w:val="auto"/>
          <w:kern w:val="0"/>
          <w:sz w:val="24"/>
          <w:highlight w:val="none"/>
        </w:rPr>
      </w:pPr>
      <w:r>
        <w:rPr>
          <w:rFonts w:hint="eastAsia" w:ascii="Times New Roman" w:hAnsi="Times New Roman" w:cs="Times New Roman" w:eastAsiaTheme="minorEastAsia"/>
          <w:snapToGrid w:val="0"/>
          <w:color w:val="auto"/>
          <w:kern w:val="0"/>
          <w:sz w:val="24"/>
          <w:highlight w:val="none"/>
        </w:rPr>
        <w:t>（</w:t>
      </w:r>
      <w:r>
        <w:rPr>
          <w:rFonts w:hint="eastAsia" w:ascii="Times New Roman" w:hAnsi="Times New Roman" w:cs="Times New Roman" w:eastAsiaTheme="minorEastAsia"/>
          <w:snapToGrid w:val="0"/>
          <w:color w:val="auto"/>
          <w:kern w:val="0"/>
          <w:sz w:val="24"/>
          <w:highlight w:val="none"/>
          <w:lang w:val="en-US" w:eastAsia="zh-CN"/>
        </w:rPr>
        <w:t>27</w:t>
      </w:r>
      <w:r>
        <w:rPr>
          <w:rFonts w:hint="eastAsia" w:ascii="Times New Roman" w:hAnsi="Times New Roman" w:cs="Times New Roman" w:eastAsiaTheme="minorEastAsia"/>
          <w:snapToGrid w:val="0"/>
          <w:color w:val="auto"/>
          <w:kern w:val="0"/>
          <w:sz w:val="24"/>
          <w:highlight w:val="none"/>
        </w:rPr>
        <w:t>）《中共中央 国务院关于完整准确全面贯彻新发展理念做好碳达峰碳中和工作的意见》，国务院令第31号，2021</w:t>
      </w:r>
      <w:r>
        <w:rPr>
          <w:rFonts w:hint="eastAsia" w:ascii="Times New Roman" w:hAnsi="Times New Roman" w:cs="Times New Roman" w:eastAsiaTheme="minorEastAsia"/>
          <w:snapToGrid w:val="0"/>
          <w:color w:val="auto"/>
          <w:kern w:val="0"/>
          <w:sz w:val="24"/>
          <w:highlight w:val="none"/>
          <w:lang w:val="en-US" w:eastAsia="zh-CN"/>
        </w:rPr>
        <w:t>年</w:t>
      </w:r>
      <w:r>
        <w:rPr>
          <w:rFonts w:hint="eastAsia" w:ascii="Times New Roman" w:hAnsi="Times New Roman" w:cs="Times New Roman" w:eastAsiaTheme="minorEastAsia"/>
          <w:snapToGrid w:val="0"/>
          <w:color w:val="auto"/>
          <w:kern w:val="0"/>
          <w:sz w:val="24"/>
          <w:highlight w:val="none"/>
        </w:rPr>
        <w:t>9</w:t>
      </w:r>
      <w:r>
        <w:rPr>
          <w:rFonts w:hint="eastAsia" w:ascii="Times New Roman" w:hAnsi="Times New Roman" w:cs="Times New Roman" w:eastAsiaTheme="minorEastAsia"/>
          <w:snapToGrid w:val="0"/>
          <w:color w:val="auto"/>
          <w:kern w:val="0"/>
          <w:sz w:val="24"/>
          <w:highlight w:val="none"/>
          <w:lang w:val="en-US" w:eastAsia="zh-CN"/>
        </w:rPr>
        <w:t>月</w:t>
      </w:r>
      <w:r>
        <w:rPr>
          <w:rFonts w:hint="eastAsia" w:ascii="Times New Roman" w:hAnsi="Times New Roman" w:cs="Times New Roman" w:eastAsiaTheme="minorEastAsia"/>
          <w:snapToGrid w:val="0"/>
          <w:color w:val="auto"/>
          <w:kern w:val="0"/>
          <w:sz w:val="24"/>
          <w:highlight w:val="none"/>
        </w:rPr>
        <w:t>22</w:t>
      </w:r>
      <w:r>
        <w:rPr>
          <w:rFonts w:hint="eastAsia" w:ascii="Times New Roman" w:hAnsi="Times New Roman" w:cs="Times New Roman" w:eastAsiaTheme="minorEastAsia"/>
          <w:snapToGrid w:val="0"/>
          <w:color w:val="auto"/>
          <w:kern w:val="0"/>
          <w:sz w:val="24"/>
          <w:highlight w:val="none"/>
          <w:lang w:val="en-US" w:eastAsia="zh-CN"/>
        </w:rPr>
        <w:t>日</w:t>
      </w:r>
      <w:r>
        <w:rPr>
          <w:rFonts w:hint="eastAsia" w:ascii="Times New Roman" w:hAnsi="Times New Roman" w:cs="Times New Roman" w:eastAsiaTheme="minorEastAsia"/>
          <w:snapToGrid w:val="0"/>
          <w:color w:val="auto"/>
          <w:kern w:val="0"/>
          <w:sz w:val="24"/>
          <w:highlight w:val="none"/>
        </w:rPr>
        <w:t>；</w:t>
      </w:r>
    </w:p>
    <w:p w14:paraId="4E3B34ED">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w:t>
      </w:r>
      <w:r>
        <w:rPr>
          <w:rFonts w:hint="eastAsia" w:ascii="Times New Roman" w:hAnsi="Times New Roman" w:cs="Times New Roman"/>
          <w:snapToGrid w:val="0"/>
          <w:color w:val="auto"/>
          <w:kern w:val="0"/>
          <w:sz w:val="24"/>
          <w:highlight w:val="none"/>
          <w:lang w:val="en-US" w:eastAsia="zh-CN"/>
        </w:rPr>
        <w:t>28</w:t>
      </w:r>
      <w:r>
        <w:rPr>
          <w:rFonts w:hint="eastAsia" w:ascii="Times New Roman" w:hAnsi="Times New Roman" w:cs="Times New Roman"/>
          <w:snapToGrid w:val="0"/>
          <w:color w:val="auto"/>
          <w:kern w:val="0"/>
          <w:sz w:val="24"/>
          <w:highlight w:val="none"/>
        </w:rPr>
        <w:t>）《关于统筹和加强应对气候变化与生态环境保护相关工作的指导意见》，环综合〔2021</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4号，2021</w:t>
      </w:r>
      <w:r>
        <w:rPr>
          <w:rFonts w:hint="eastAsia" w:ascii="Times New Roman" w:hAnsi="Times New Roman" w:cs="Times New Roman"/>
          <w:snapToGrid w:val="0"/>
          <w:color w:val="auto"/>
          <w:kern w:val="0"/>
          <w:sz w:val="24"/>
          <w:highlight w:val="none"/>
          <w:lang w:val="en-US" w:eastAsia="zh-CN"/>
        </w:rPr>
        <w:t>年</w:t>
      </w:r>
      <w:r>
        <w:rPr>
          <w:rFonts w:hint="eastAsia" w:ascii="Times New Roman" w:hAnsi="Times New Roman" w:cs="Times New Roman"/>
          <w:snapToGrid w:val="0"/>
          <w:color w:val="auto"/>
          <w:kern w:val="0"/>
          <w:sz w:val="24"/>
          <w:highlight w:val="none"/>
        </w:rPr>
        <w:t>1</w:t>
      </w:r>
      <w:r>
        <w:rPr>
          <w:rFonts w:hint="eastAsia" w:ascii="Times New Roman" w:hAnsi="Times New Roman" w:cs="Times New Roman"/>
          <w:snapToGrid w:val="0"/>
          <w:color w:val="auto"/>
          <w:kern w:val="0"/>
          <w:sz w:val="24"/>
          <w:highlight w:val="none"/>
          <w:lang w:val="en-US" w:eastAsia="zh-CN"/>
        </w:rPr>
        <w:t>月</w:t>
      </w:r>
      <w:r>
        <w:rPr>
          <w:rFonts w:hint="eastAsia" w:ascii="Times New Roman" w:hAnsi="Times New Roman" w:cs="Times New Roman"/>
          <w:snapToGrid w:val="0"/>
          <w:color w:val="auto"/>
          <w:kern w:val="0"/>
          <w:sz w:val="24"/>
          <w:highlight w:val="none"/>
        </w:rPr>
        <w:t>11</w:t>
      </w:r>
      <w:r>
        <w:rPr>
          <w:rFonts w:hint="eastAsia" w:ascii="Times New Roman" w:hAnsi="Times New Roman" w:cs="Times New Roman"/>
          <w:snapToGrid w:val="0"/>
          <w:color w:val="auto"/>
          <w:kern w:val="0"/>
          <w:sz w:val="24"/>
          <w:highlight w:val="none"/>
          <w:lang w:val="en-US" w:eastAsia="zh-CN"/>
        </w:rPr>
        <w:t>日</w:t>
      </w:r>
      <w:r>
        <w:rPr>
          <w:rFonts w:hint="eastAsia" w:ascii="Times New Roman" w:hAnsi="Times New Roman" w:cs="Times New Roman"/>
          <w:snapToGrid w:val="0"/>
          <w:color w:val="auto"/>
          <w:kern w:val="0"/>
          <w:sz w:val="24"/>
          <w:highlight w:val="none"/>
        </w:rPr>
        <w:t>；</w:t>
      </w:r>
    </w:p>
    <w:p w14:paraId="16FA9D44">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29</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《关于印发</w:t>
      </w:r>
      <w:r>
        <w:rPr>
          <w:rFonts w:hint="eastAsia" w:ascii="Times New Roman" w:hAnsi="Times New Roman" w:cs="Times New Roman"/>
          <w:snapToGrid w:val="0"/>
          <w:color w:val="auto"/>
          <w:kern w:val="0"/>
          <w:sz w:val="24"/>
          <w:highlight w:val="none"/>
          <w:lang w:val="en-US" w:eastAsia="zh-CN"/>
        </w:rPr>
        <w:t>&lt;</w:t>
      </w:r>
      <w:r>
        <w:rPr>
          <w:rFonts w:hint="eastAsia" w:ascii="Times New Roman" w:hAnsi="Times New Roman" w:cs="Times New Roman"/>
          <w:snapToGrid w:val="0"/>
          <w:color w:val="auto"/>
          <w:kern w:val="0"/>
          <w:sz w:val="24"/>
          <w:highlight w:val="none"/>
        </w:rPr>
        <w:t>减污降碳协同增效实施方案</w:t>
      </w:r>
      <w:r>
        <w:rPr>
          <w:rFonts w:hint="eastAsia" w:ascii="Times New Roman" w:hAnsi="Times New Roman" w:cs="Times New Roman"/>
          <w:snapToGrid w:val="0"/>
          <w:color w:val="auto"/>
          <w:kern w:val="0"/>
          <w:sz w:val="24"/>
          <w:highlight w:val="none"/>
          <w:lang w:val="en-US" w:eastAsia="zh-CN"/>
        </w:rPr>
        <w:t>&gt;</w:t>
      </w:r>
      <w:r>
        <w:rPr>
          <w:rFonts w:hint="eastAsia" w:ascii="Times New Roman" w:hAnsi="Times New Roman" w:cs="Times New Roman"/>
          <w:snapToGrid w:val="0"/>
          <w:color w:val="auto"/>
          <w:kern w:val="0"/>
          <w:sz w:val="24"/>
          <w:highlight w:val="none"/>
          <w:lang w:eastAsia="zh-CN"/>
        </w:rPr>
        <w:t>的通知》</w:t>
      </w:r>
      <w:r>
        <w:rPr>
          <w:rFonts w:hint="eastAsia" w:ascii="Times New Roman" w:hAnsi="Times New Roman" w:cs="Times New Roman"/>
          <w:snapToGrid w:val="0"/>
          <w:color w:val="auto"/>
          <w:kern w:val="0"/>
          <w:sz w:val="24"/>
          <w:highlight w:val="none"/>
        </w:rPr>
        <w:t>，环综合〔2022</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42号，2022</w:t>
      </w:r>
      <w:r>
        <w:rPr>
          <w:rFonts w:hint="eastAsia" w:ascii="Times New Roman" w:hAnsi="Times New Roman" w:cs="Times New Roman"/>
          <w:snapToGrid w:val="0"/>
          <w:color w:val="auto"/>
          <w:kern w:val="0"/>
          <w:sz w:val="24"/>
          <w:highlight w:val="none"/>
          <w:lang w:val="en-US" w:eastAsia="zh-CN"/>
        </w:rPr>
        <w:t>年</w:t>
      </w:r>
      <w:r>
        <w:rPr>
          <w:rFonts w:hint="eastAsia" w:ascii="Times New Roman" w:hAnsi="Times New Roman" w:cs="Times New Roman"/>
          <w:snapToGrid w:val="0"/>
          <w:color w:val="auto"/>
          <w:kern w:val="0"/>
          <w:sz w:val="24"/>
          <w:highlight w:val="none"/>
        </w:rPr>
        <w:t>6</w:t>
      </w:r>
      <w:r>
        <w:rPr>
          <w:rFonts w:hint="eastAsia" w:ascii="Times New Roman" w:hAnsi="Times New Roman" w:cs="Times New Roman"/>
          <w:snapToGrid w:val="0"/>
          <w:color w:val="auto"/>
          <w:kern w:val="0"/>
          <w:sz w:val="24"/>
          <w:highlight w:val="none"/>
          <w:lang w:val="en-US" w:eastAsia="zh-CN"/>
        </w:rPr>
        <w:t>月</w:t>
      </w:r>
      <w:r>
        <w:rPr>
          <w:rFonts w:hint="eastAsia" w:ascii="Times New Roman" w:hAnsi="Times New Roman" w:cs="Times New Roman"/>
          <w:snapToGrid w:val="0"/>
          <w:color w:val="auto"/>
          <w:kern w:val="0"/>
          <w:sz w:val="24"/>
          <w:highlight w:val="none"/>
        </w:rPr>
        <w:t>10</w:t>
      </w:r>
      <w:r>
        <w:rPr>
          <w:rFonts w:hint="eastAsia" w:ascii="Times New Roman" w:hAnsi="Times New Roman" w:cs="Times New Roman"/>
          <w:snapToGrid w:val="0"/>
          <w:color w:val="auto"/>
          <w:kern w:val="0"/>
          <w:sz w:val="24"/>
          <w:highlight w:val="none"/>
          <w:lang w:val="en-US" w:eastAsia="zh-CN"/>
        </w:rPr>
        <w:t>日</w:t>
      </w:r>
      <w:r>
        <w:rPr>
          <w:rFonts w:hint="eastAsia" w:ascii="Times New Roman" w:hAnsi="Times New Roman" w:cs="Times New Roman"/>
          <w:snapToGrid w:val="0"/>
          <w:color w:val="auto"/>
          <w:kern w:val="0"/>
          <w:sz w:val="24"/>
          <w:highlight w:val="none"/>
        </w:rPr>
        <w:t>；</w:t>
      </w:r>
    </w:p>
    <w:p w14:paraId="2F0214CD">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30</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《关于加强重点行业建设项目区域削减措施监督管理的通知》，环办环评〔2020</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36号，2020</w:t>
      </w:r>
      <w:r>
        <w:rPr>
          <w:rFonts w:hint="eastAsia" w:ascii="Times New Roman" w:hAnsi="Times New Roman" w:cs="Times New Roman"/>
          <w:snapToGrid w:val="0"/>
          <w:color w:val="auto"/>
          <w:kern w:val="0"/>
          <w:sz w:val="24"/>
          <w:highlight w:val="none"/>
          <w:lang w:val="en-US" w:eastAsia="zh-CN"/>
        </w:rPr>
        <w:t>年</w:t>
      </w:r>
      <w:r>
        <w:rPr>
          <w:rFonts w:hint="eastAsia" w:ascii="Times New Roman" w:hAnsi="Times New Roman" w:cs="Times New Roman"/>
          <w:snapToGrid w:val="0"/>
          <w:color w:val="auto"/>
          <w:kern w:val="0"/>
          <w:sz w:val="24"/>
          <w:highlight w:val="none"/>
        </w:rPr>
        <w:t>12</w:t>
      </w:r>
      <w:r>
        <w:rPr>
          <w:rFonts w:hint="eastAsia" w:ascii="Times New Roman" w:hAnsi="Times New Roman" w:cs="Times New Roman"/>
          <w:snapToGrid w:val="0"/>
          <w:color w:val="auto"/>
          <w:kern w:val="0"/>
          <w:sz w:val="24"/>
          <w:highlight w:val="none"/>
          <w:lang w:val="en-US" w:eastAsia="zh-CN"/>
        </w:rPr>
        <w:t>月</w:t>
      </w:r>
      <w:r>
        <w:rPr>
          <w:rFonts w:hint="eastAsia" w:ascii="Times New Roman" w:hAnsi="Times New Roman" w:cs="Times New Roman"/>
          <w:snapToGrid w:val="0"/>
          <w:color w:val="auto"/>
          <w:kern w:val="0"/>
          <w:sz w:val="24"/>
          <w:highlight w:val="none"/>
        </w:rPr>
        <w:t>31</w:t>
      </w:r>
      <w:r>
        <w:rPr>
          <w:rFonts w:hint="eastAsia" w:ascii="Times New Roman" w:hAnsi="Times New Roman" w:cs="Times New Roman"/>
          <w:snapToGrid w:val="0"/>
          <w:color w:val="auto"/>
          <w:kern w:val="0"/>
          <w:sz w:val="24"/>
          <w:highlight w:val="none"/>
          <w:lang w:val="en-US" w:eastAsia="zh-CN"/>
        </w:rPr>
        <w:t>日</w:t>
      </w:r>
      <w:r>
        <w:rPr>
          <w:rFonts w:hint="eastAsia" w:ascii="Times New Roman" w:hAnsi="Times New Roman" w:cs="Times New Roman"/>
          <w:snapToGrid w:val="0"/>
          <w:color w:val="auto"/>
          <w:kern w:val="0"/>
          <w:sz w:val="24"/>
          <w:highlight w:val="none"/>
        </w:rPr>
        <w:t>；</w:t>
      </w:r>
    </w:p>
    <w:p w14:paraId="44BD2304">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（31）</w:t>
      </w:r>
      <w:r>
        <w:rPr>
          <w:rFonts w:hint="default" w:ascii="Times New Roman" w:hAnsi="Times New Roman" w:cs="Times New Roman"/>
          <w:snapToGrid w:val="0"/>
          <w:color w:val="auto"/>
          <w:kern w:val="0"/>
          <w:sz w:val="24"/>
          <w:highlight w:val="none"/>
          <w:lang w:val="en-US" w:eastAsia="zh-CN"/>
        </w:rPr>
        <w:t>《关于进一步完善建设项目环境保护“三同时”及竣工环境保护自主验收监管工作机制的意见》</w:t>
      </w:r>
      <w:r>
        <w:rPr>
          <w:rFonts w:hint="eastAsia" w:ascii="Times New Roman" w:hAnsi="Times New Roman" w:cs="Times New Roman"/>
          <w:snapToGrid w:val="0"/>
          <w:color w:val="auto"/>
          <w:kern w:val="0"/>
          <w:sz w:val="24"/>
          <w:highlight w:val="none"/>
          <w:lang w:val="en-US" w:eastAsia="zh-CN"/>
        </w:rPr>
        <w:t>，环环评〔2021〕14号，2021年8月23日；</w:t>
      </w:r>
    </w:p>
    <w:p w14:paraId="3176FE64">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32</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《2030年前碳达峰行动方案》国务院国发〔2021〕23号，2021年10月24日；</w:t>
      </w:r>
    </w:p>
    <w:p w14:paraId="62CB93B0">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33</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《关于严格能效约束推动重点领域节能降碳的若干意见》，国家发展改革委等五部门，发改产业〔2021〕1464号，2021年10月18日；</w:t>
      </w:r>
    </w:p>
    <w:p w14:paraId="18087B42">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34</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《石化化工重点行业严格能效约束推动节能降碳行动方案（2021-2025年）》〔2021〕1464号文附件2，2021年10月18日；</w:t>
      </w:r>
    </w:p>
    <w:p w14:paraId="7CF154F6">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35</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《碳排放权交易管理办法（试行）》，生态环境部令第19号，2020年12月31日；</w:t>
      </w:r>
    </w:p>
    <w:p w14:paraId="2C65AC24">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36</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《关于加快建立健全绿色低碳循环发展经济体系的指导意见》，国发〔2021〕4号，2021年2月22日；</w:t>
      </w:r>
    </w:p>
    <w:p w14:paraId="35584A35">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37</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《关于开展重点行业建设项目碳排放环境影响评价试点的通知》，环办环评函〔2021〕346号，2021年7月27日；</w:t>
      </w:r>
    </w:p>
    <w:p w14:paraId="59A6C984">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lang w:val="en-US" w:eastAsia="zh-CN"/>
        </w:rPr>
        <w:t>38</w:t>
      </w:r>
      <w:r>
        <w:rPr>
          <w:rFonts w:hint="eastAsia" w:ascii="Times New Roman" w:hAnsi="Times New Roman" w:cs="Times New Roman"/>
          <w:snapToGrid w:val="0"/>
          <w:color w:val="auto"/>
          <w:kern w:val="0"/>
          <w:sz w:val="24"/>
          <w:highlight w:val="none"/>
          <w:lang w:eastAsia="zh-CN"/>
        </w:rPr>
        <w:t>）</w:t>
      </w:r>
      <w:r>
        <w:rPr>
          <w:rFonts w:hint="eastAsia" w:ascii="Times New Roman" w:hAnsi="Times New Roman" w:cs="Times New Roman"/>
          <w:snapToGrid w:val="0"/>
          <w:color w:val="auto"/>
          <w:kern w:val="0"/>
          <w:sz w:val="24"/>
          <w:highlight w:val="none"/>
        </w:rPr>
        <w:t>《工业企业污染治理设施污染物去除协同控制温室气体核算技术指南（试行）》，环办科技〔20</w:t>
      </w:r>
      <w:r>
        <w:rPr>
          <w:rFonts w:hint="eastAsia" w:ascii="Times New Roman" w:hAnsi="Times New Roman" w:cs="Times New Roman"/>
          <w:snapToGrid w:val="0"/>
          <w:color w:val="auto"/>
          <w:kern w:val="0"/>
          <w:sz w:val="24"/>
          <w:highlight w:val="none"/>
          <w:lang w:val="en-US" w:eastAsia="zh-CN"/>
        </w:rPr>
        <w:t>17</w:t>
      </w:r>
      <w:r>
        <w:rPr>
          <w:rFonts w:hint="eastAsia" w:ascii="Times New Roman" w:hAnsi="Times New Roman" w:cs="Times New Roman"/>
          <w:snapToGrid w:val="0"/>
          <w:color w:val="auto"/>
          <w:kern w:val="0"/>
          <w:sz w:val="24"/>
          <w:highlight w:val="none"/>
        </w:rPr>
        <w:t>〕73号，2017年9月4日；</w:t>
      </w:r>
    </w:p>
    <w:p w14:paraId="7217FE72">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w:t>
      </w:r>
      <w:r>
        <w:rPr>
          <w:rFonts w:hint="eastAsia" w:ascii="Times New Roman" w:hAnsi="Times New Roman" w:cs="Times New Roman"/>
          <w:snapToGrid w:val="0"/>
          <w:color w:val="auto"/>
          <w:kern w:val="0"/>
          <w:sz w:val="24"/>
          <w:highlight w:val="none"/>
          <w:lang w:val="en-US" w:eastAsia="zh-CN"/>
        </w:rPr>
        <w:t>39</w:t>
      </w:r>
      <w:r>
        <w:rPr>
          <w:rFonts w:hint="eastAsia" w:ascii="Times New Roman" w:hAnsi="Times New Roman" w:cs="Times New Roman"/>
          <w:snapToGrid w:val="0"/>
          <w:color w:val="auto"/>
          <w:kern w:val="0"/>
          <w:sz w:val="24"/>
          <w:highlight w:val="none"/>
        </w:rPr>
        <w:t>）《企业温室气体排放报告核查指南（试行）》，环办气候函〔2021〕130号，2021年3月26日；</w:t>
      </w:r>
    </w:p>
    <w:p w14:paraId="573273EA">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w:t>
      </w:r>
      <w:r>
        <w:rPr>
          <w:rFonts w:hint="eastAsia" w:ascii="Times New Roman" w:hAnsi="Times New Roman" w:cs="Times New Roman"/>
          <w:snapToGrid w:val="0"/>
          <w:color w:val="auto"/>
          <w:kern w:val="0"/>
          <w:sz w:val="24"/>
          <w:highlight w:val="none"/>
          <w:lang w:val="en-US" w:eastAsia="zh-CN"/>
        </w:rPr>
        <w:t>40</w:t>
      </w:r>
      <w:r>
        <w:rPr>
          <w:rFonts w:hint="eastAsia" w:ascii="Times New Roman" w:hAnsi="Times New Roman" w:cs="Times New Roman"/>
          <w:snapToGrid w:val="0"/>
          <w:color w:val="auto"/>
          <w:kern w:val="0"/>
          <w:sz w:val="24"/>
          <w:highlight w:val="none"/>
        </w:rPr>
        <w:t>）《工业企业温室气体排放核算和报告通则》（GB/T32150-2015）；</w:t>
      </w:r>
    </w:p>
    <w:p w14:paraId="103E6DE1">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eastAsia="zh-CN"/>
        </w:rPr>
      </w:pPr>
      <w:r>
        <w:rPr>
          <w:rFonts w:hint="eastAsia" w:ascii="Times New Roman" w:hAnsi="Times New Roman" w:cs="Times New Roman"/>
          <w:snapToGrid w:val="0"/>
          <w:color w:val="auto"/>
          <w:kern w:val="0"/>
          <w:sz w:val="24"/>
          <w:highlight w:val="none"/>
        </w:rPr>
        <w:t>（4</w:t>
      </w:r>
      <w:r>
        <w:rPr>
          <w:rFonts w:hint="eastAsia" w:ascii="Times New Roman" w:hAnsi="Times New Roman" w:cs="Times New Roman"/>
          <w:snapToGrid w:val="0"/>
          <w:color w:val="auto"/>
          <w:kern w:val="0"/>
          <w:sz w:val="24"/>
          <w:highlight w:val="none"/>
          <w:lang w:val="en-US" w:eastAsia="zh-CN"/>
        </w:rPr>
        <w:t>1</w:t>
      </w:r>
      <w:r>
        <w:rPr>
          <w:rFonts w:hint="eastAsia" w:ascii="Times New Roman" w:hAnsi="Times New Roman" w:cs="Times New Roman"/>
          <w:snapToGrid w:val="0"/>
          <w:color w:val="auto"/>
          <w:kern w:val="0"/>
          <w:sz w:val="24"/>
          <w:highlight w:val="none"/>
        </w:rPr>
        <w:t>）《中国化工生产企业温室气体排放核算方法与报告指南（试行）》，国家发展改革委办公厅，发改办气候〔20</w:t>
      </w:r>
      <w:r>
        <w:rPr>
          <w:rFonts w:hint="eastAsia" w:ascii="Times New Roman" w:hAnsi="Times New Roman" w:cs="Times New Roman"/>
          <w:snapToGrid w:val="0"/>
          <w:color w:val="auto"/>
          <w:kern w:val="0"/>
          <w:sz w:val="24"/>
          <w:highlight w:val="none"/>
          <w:lang w:val="en-US" w:eastAsia="zh-CN"/>
        </w:rPr>
        <w:t>13</w:t>
      </w:r>
      <w:r>
        <w:rPr>
          <w:rFonts w:hint="eastAsia" w:ascii="Times New Roman" w:hAnsi="Times New Roman" w:cs="Times New Roman"/>
          <w:snapToGrid w:val="0"/>
          <w:color w:val="auto"/>
          <w:kern w:val="0"/>
          <w:sz w:val="24"/>
          <w:highlight w:val="none"/>
        </w:rPr>
        <w:t>〕2526号，2013年10月15日</w:t>
      </w:r>
      <w:r>
        <w:rPr>
          <w:rFonts w:hint="eastAsia" w:ascii="Times New Roman" w:hAnsi="Times New Roman" w:cs="Times New Roman"/>
          <w:snapToGrid w:val="0"/>
          <w:color w:val="auto"/>
          <w:kern w:val="0"/>
          <w:sz w:val="24"/>
          <w:highlight w:val="none"/>
          <w:lang w:eastAsia="zh-CN"/>
        </w:rPr>
        <w:t>；</w:t>
      </w:r>
    </w:p>
    <w:p w14:paraId="492B1A2A">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（42）《土壤污染源头防控行动计划》，环土壤〔2024〕80号，2024年11月6日；</w:t>
      </w:r>
    </w:p>
    <w:p w14:paraId="7EC1B2D7">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（43）《地下水污染防治实施方案》，环土壤〔2019〕25号，2019年3月28日；</w:t>
      </w:r>
    </w:p>
    <w:p w14:paraId="3DAB86DA">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（44）《臭氧污染防治攻坚行动方案》；</w:t>
      </w:r>
    </w:p>
    <w:p w14:paraId="6BE1E2DE">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（45）《重点行业挥发性有机物综合治理方案》，环大气〔2019〕</w:t>
      </w:r>
      <w:r>
        <w:rPr>
          <w:rFonts w:hint="default" w:ascii="Times New Roman" w:hAnsi="Times New Roman" w:cs="Times New Roman"/>
          <w:snapToGrid w:val="0"/>
          <w:color w:val="auto"/>
          <w:kern w:val="0"/>
          <w:sz w:val="24"/>
          <w:highlight w:val="none"/>
          <w:lang w:val="en-US" w:eastAsia="zh-CN"/>
        </w:rPr>
        <w:t>53</w:t>
      </w:r>
      <w:r>
        <w:rPr>
          <w:rFonts w:hint="eastAsia" w:ascii="Times New Roman" w:hAnsi="Times New Roman" w:cs="Times New Roman"/>
          <w:snapToGrid w:val="0"/>
          <w:color w:val="auto"/>
          <w:kern w:val="0"/>
          <w:sz w:val="24"/>
          <w:highlight w:val="none"/>
          <w:lang w:val="en-US" w:eastAsia="zh-CN"/>
        </w:rPr>
        <w:t>号，2019年6月26日；</w:t>
      </w:r>
    </w:p>
    <w:p w14:paraId="5160C289">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（46）《关于加快解决当前挥发性有机物治理突出问题的通知》，环大气〔2021〕65号，2021年8月4日；</w:t>
      </w:r>
    </w:p>
    <w:p w14:paraId="09E702F7">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（47）《石化建设项目环境影响评价文件审批原则》，环办环评〔2022〕31号，2022年12月6日；</w:t>
      </w:r>
    </w:p>
    <w:p w14:paraId="49C4A9BF">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（48）《工矿用地土壤环境管理办法（试行）》，生态环境部 部令第3号，2018年5月3日；</w:t>
      </w:r>
    </w:p>
    <w:p w14:paraId="57E16187">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（49）《挥发性有机物（VOCs）污染防治技术政策》，原环境保护部 公告2013年第31号，2013年5月24日；</w:t>
      </w:r>
    </w:p>
    <w:p w14:paraId="379FA7F0">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eastAsiaTheme="minorEastAsia"/>
          <w:snapToGrid w:val="0"/>
          <w:color w:val="auto"/>
          <w:spacing w:val="-6"/>
          <w:kern w:val="0"/>
          <w:sz w:val="24"/>
          <w:highlight w:val="none"/>
          <w:lang w:val="en-US" w:eastAsia="zh-CN"/>
        </w:rPr>
      </w:pPr>
      <w:r>
        <w:rPr>
          <w:rFonts w:hint="eastAsia" w:ascii="Times New Roman" w:hAnsi="Times New Roman" w:cs="Times New Roman" w:eastAsiaTheme="minorEastAsia"/>
          <w:snapToGrid w:val="0"/>
          <w:color w:val="auto"/>
          <w:spacing w:val="-6"/>
          <w:kern w:val="0"/>
          <w:sz w:val="24"/>
          <w:highlight w:val="none"/>
          <w:lang w:val="en-US" w:eastAsia="zh-CN"/>
        </w:rPr>
        <w:t>（50）《生态保护“十五五”规划》，环生态〔2026〕47号，2026年8月6日；</w:t>
      </w:r>
    </w:p>
    <w:p w14:paraId="678D970E">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（51）《工业绿色低碳发展“十五五”规划》，工信部规〔2026〕169号，2026年7月15日；</w:t>
      </w:r>
    </w:p>
    <w:p w14:paraId="7D38D428">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（52）《美丽中国建设“十五五”规划》，国发〔2026〕20号，2026年6月21日；</w:t>
      </w:r>
    </w:p>
    <w:p w14:paraId="08811A8F">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val="en-US" w:eastAsia="zh-CN"/>
        </w:rPr>
      </w:pPr>
      <w:r>
        <w:rPr>
          <w:rFonts w:hint="eastAsia" w:ascii="Times New Roman" w:hAnsi="Times New Roman" w:cs="Times New Roman"/>
          <w:snapToGrid w:val="0"/>
          <w:color w:val="auto"/>
          <w:kern w:val="0"/>
          <w:sz w:val="24"/>
          <w:highlight w:val="none"/>
          <w:lang w:val="en-US" w:eastAsia="zh-CN"/>
        </w:rPr>
        <w:t>（53）《国家应对气候变化“十五五”规划》，环气候〔2026〕42号，2026年7月24日；</w:t>
      </w:r>
    </w:p>
    <w:p w14:paraId="583C7522">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snapToGrid w:val="0"/>
          <w:color w:val="auto"/>
          <w:kern w:val="0"/>
          <w:sz w:val="24"/>
          <w:highlight w:val="none"/>
          <w:lang w:eastAsia="zh-CN"/>
        </w:rPr>
      </w:pPr>
      <w:r>
        <w:rPr>
          <w:rFonts w:hint="eastAsia" w:ascii="Times New Roman" w:hAnsi="Times New Roman" w:cs="Times New Roman"/>
          <w:snapToGrid w:val="0"/>
          <w:color w:val="auto"/>
          <w:kern w:val="0"/>
          <w:sz w:val="24"/>
          <w:highlight w:val="none"/>
          <w:lang w:val="en-US" w:eastAsia="zh-CN"/>
        </w:rPr>
        <w:t>（54）《土壤、地下水和农业农村生态环境保护“十五五”规划》，环土壤〔2026〕40号，2026年7月13日；</w:t>
      </w:r>
    </w:p>
    <w:p w14:paraId="15E02EB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bookmarkStart w:id="46" w:name="_Toc107673316"/>
      <w:bookmarkStart w:id="47" w:name="_Toc479357407"/>
      <w:r>
        <w:rPr>
          <w:rFonts w:hint="eastAsia" w:ascii="Times New Roman" w:hAnsi="Times New Roman" w:cs="Times New Roman"/>
          <w:snapToGrid w:val="0"/>
          <w:color w:val="auto"/>
          <w:spacing w:val="0"/>
          <w:kern w:val="0"/>
          <w:szCs w:val="24"/>
          <w:highlight w:val="none"/>
        </w:rPr>
        <w:t>2.1.3地方性法规、</w:t>
      </w:r>
      <w:r>
        <w:rPr>
          <w:rFonts w:hint="eastAsia" w:ascii="Times New Roman" w:cs="Times New Roman"/>
          <w:snapToGrid w:val="0"/>
          <w:color w:val="auto"/>
          <w:spacing w:val="0"/>
          <w:kern w:val="0"/>
          <w:szCs w:val="24"/>
          <w:highlight w:val="none"/>
          <w:lang w:val="en-US" w:eastAsia="zh-CN"/>
        </w:rPr>
        <w:t>政策</w:t>
      </w:r>
      <w:r>
        <w:rPr>
          <w:rFonts w:hint="eastAsia" w:ascii="Times New Roman" w:hAnsi="Times New Roman" w:cs="Times New Roman"/>
          <w:snapToGrid w:val="0"/>
          <w:color w:val="auto"/>
          <w:spacing w:val="0"/>
          <w:kern w:val="0"/>
          <w:szCs w:val="24"/>
          <w:highlight w:val="none"/>
        </w:rPr>
        <w:t>文件</w:t>
      </w:r>
      <w:r>
        <w:rPr>
          <w:rFonts w:hint="eastAsia" w:ascii="Times New Roman" w:cs="Times New Roman"/>
          <w:snapToGrid w:val="0"/>
          <w:color w:val="auto"/>
          <w:spacing w:val="0"/>
          <w:kern w:val="0"/>
          <w:szCs w:val="24"/>
          <w:highlight w:val="none"/>
          <w:lang w:val="en-US" w:eastAsia="zh-CN"/>
        </w:rPr>
        <w:t>及</w:t>
      </w:r>
      <w:r>
        <w:rPr>
          <w:rFonts w:hint="eastAsia" w:ascii="Times New Roman" w:hAnsi="Times New Roman" w:cs="Times New Roman"/>
          <w:snapToGrid w:val="0"/>
          <w:color w:val="auto"/>
          <w:spacing w:val="0"/>
          <w:kern w:val="0"/>
          <w:szCs w:val="24"/>
          <w:highlight w:val="none"/>
        </w:rPr>
        <w:t>规划</w:t>
      </w:r>
    </w:p>
    <w:p w14:paraId="7DE695F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snapToGrid w:val="0"/>
          <w:color w:val="auto"/>
          <w:kern w:val="0"/>
          <w:sz w:val="24"/>
          <w:highlight w:val="none"/>
        </w:rPr>
        <w:t>《新疆维吾尔自治区环境保护条例》</w:t>
      </w:r>
      <w:r>
        <w:rPr>
          <w:rFonts w:hint="eastAsia"/>
          <w:snapToGrid w:val="0"/>
          <w:color w:val="auto"/>
          <w:kern w:val="0"/>
          <w:sz w:val="24"/>
          <w:highlight w:val="none"/>
        </w:rPr>
        <w:t>，新疆维吾尔自治区第十三届人民代表大会常务委员会 公告第11号，</w:t>
      </w:r>
      <w:r>
        <w:rPr>
          <w:snapToGrid w:val="0"/>
          <w:color w:val="auto"/>
          <w:kern w:val="0"/>
          <w:sz w:val="24"/>
          <w:highlight w:val="none"/>
        </w:rPr>
        <w:t>2018年9月21日</w:t>
      </w:r>
      <w:r>
        <w:rPr>
          <w:rFonts w:hint="eastAsia"/>
          <w:snapToGrid w:val="0"/>
          <w:color w:val="auto"/>
          <w:kern w:val="0"/>
          <w:sz w:val="24"/>
          <w:highlight w:val="none"/>
        </w:rPr>
        <w:t>起施行</w:t>
      </w:r>
      <w:r>
        <w:rPr>
          <w:snapToGrid w:val="0"/>
          <w:color w:val="auto"/>
          <w:kern w:val="0"/>
          <w:sz w:val="24"/>
          <w:highlight w:val="none"/>
        </w:rPr>
        <w:t>；</w:t>
      </w:r>
    </w:p>
    <w:p w14:paraId="3638408E">
      <w:pPr>
        <w:tabs>
          <w:tab w:val="left" w:pos="5880"/>
        </w:tabs>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（2）《新疆维吾尔自治区大气污染防治条例》，新疆维吾尔自治区第十三届人民代表大会常务委员会公告第15号，2019年1月1日起施行；</w:t>
      </w:r>
    </w:p>
    <w:p w14:paraId="36FFCDC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3</w:t>
      </w:r>
      <w:r>
        <w:rPr>
          <w:rFonts w:hint="eastAsia"/>
          <w:snapToGrid w:val="0"/>
          <w:color w:val="auto"/>
          <w:kern w:val="0"/>
          <w:sz w:val="24"/>
          <w:highlight w:val="none"/>
        </w:rPr>
        <w:t>）</w:t>
      </w:r>
      <w:r>
        <w:rPr>
          <w:snapToGrid w:val="0"/>
          <w:color w:val="auto"/>
          <w:kern w:val="0"/>
          <w:sz w:val="24"/>
          <w:highlight w:val="none"/>
        </w:rPr>
        <w:t>《新疆维吾尔自治区重点行业</w:t>
      </w:r>
      <w:r>
        <w:rPr>
          <w:rFonts w:hint="eastAsia"/>
          <w:snapToGrid w:val="0"/>
          <w:color w:val="auto"/>
          <w:kern w:val="0"/>
          <w:sz w:val="24"/>
          <w:highlight w:val="none"/>
        </w:rPr>
        <w:t>生态</w:t>
      </w:r>
      <w:r>
        <w:rPr>
          <w:snapToGrid w:val="0"/>
          <w:color w:val="auto"/>
          <w:kern w:val="0"/>
          <w:sz w:val="24"/>
          <w:highlight w:val="none"/>
        </w:rPr>
        <w:t>环境准入条件</w:t>
      </w:r>
      <w:r>
        <w:rPr>
          <w:rFonts w:hint="eastAsia"/>
          <w:snapToGrid w:val="0"/>
          <w:color w:val="auto"/>
          <w:kern w:val="0"/>
          <w:sz w:val="24"/>
          <w:highlight w:val="none"/>
        </w:rPr>
        <w:t>（2024年本）</w:t>
      </w:r>
      <w:r>
        <w:rPr>
          <w:snapToGrid w:val="0"/>
          <w:color w:val="auto"/>
          <w:kern w:val="0"/>
          <w:sz w:val="24"/>
          <w:highlight w:val="none"/>
        </w:rPr>
        <w:t>》</w:t>
      </w:r>
      <w:r>
        <w:rPr>
          <w:rFonts w:hint="eastAsia"/>
          <w:snapToGrid w:val="0"/>
          <w:color w:val="auto"/>
          <w:kern w:val="0"/>
          <w:sz w:val="24"/>
          <w:highlight w:val="none"/>
        </w:rPr>
        <w:t>，新环环评发〔2024〕93号，</w:t>
      </w:r>
      <w:r>
        <w:rPr>
          <w:snapToGrid w:val="0"/>
          <w:color w:val="auto"/>
          <w:kern w:val="0"/>
          <w:sz w:val="24"/>
          <w:highlight w:val="none"/>
        </w:rPr>
        <w:t>20</w:t>
      </w:r>
      <w:r>
        <w:rPr>
          <w:rFonts w:hint="eastAsia"/>
          <w:snapToGrid w:val="0"/>
          <w:color w:val="auto"/>
          <w:kern w:val="0"/>
          <w:sz w:val="24"/>
          <w:highlight w:val="none"/>
        </w:rPr>
        <w:t>24</w:t>
      </w:r>
      <w:r>
        <w:rPr>
          <w:snapToGrid w:val="0"/>
          <w:color w:val="auto"/>
          <w:kern w:val="0"/>
          <w:sz w:val="24"/>
          <w:highlight w:val="none"/>
        </w:rPr>
        <w:t>年</w:t>
      </w:r>
      <w:r>
        <w:rPr>
          <w:rFonts w:hint="eastAsia"/>
          <w:snapToGrid w:val="0"/>
          <w:color w:val="auto"/>
          <w:kern w:val="0"/>
          <w:sz w:val="24"/>
          <w:highlight w:val="none"/>
        </w:rPr>
        <w:t>6</w:t>
      </w:r>
      <w:r>
        <w:rPr>
          <w:snapToGrid w:val="0"/>
          <w:color w:val="auto"/>
          <w:kern w:val="0"/>
          <w:sz w:val="24"/>
          <w:highlight w:val="none"/>
        </w:rPr>
        <w:t>月</w:t>
      </w:r>
      <w:r>
        <w:rPr>
          <w:rFonts w:hint="eastAsia"/>
          <w:snapToGrid w:val="0"/>
          <w:color w:val="auto"/>
          <w:kern w:val="0"/>
          <w:sz w:val="24"/>
          <w:highlight w:val="none"/>
        </w:rPr>
        <w:t>9日</w:t>
      </w:r>
      <w:r>
        <w:rPr>
          <w:snapToGrid w:val="0"/>
          <w:color w:val="auto"/>
          <w:kern w:val="0"/>
          <w:sz w:val="24"/>
          <w:highlight w:val="none"/>
        </w:rPr>
        <w:t>；</w:t>
      </w:r>
    </w:p>
    <w:p w14:paraId="756A7B7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4</w:t>
      </w:r>
      <w:r>
        <w:rPr>
          <w:rFonts w:hint="eastAsia"/>
          <w:snapToGrid w:val="0"/>
          <w:color w:val="auto"/>
          <w:kern w:val="0"/>
          <w:sz w:val="24"/>
          <w:highlight w:val="none"/>
        </w:rPr>
        <w:t>）《关于印发〈自治区环评与排污许可监管行动计划（2021-2023年）〉 〈自治区2021年度环评与排污许可监管工作方案〉的通知》，新环环评发〔2020〕213号，2020年11月13日</w:t>
      </w:r>
      <w:r>
        <w:rPr>
          <w:snapToGrid w:val="0"/>
          <w:color w:val="auto"/>
          <w:kern w:val="0"/>
          <w:sz w:val="24"/>
          <w:highlight w:val="none"/>
        </w:rPr>
        <w:t>；</w:t>
      </w:r>
    </w:p>
    <w:p w14:paraId="264A9CA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5</w:t>
      </w:r>
      <w:r>
        <w:rPr>
          <w:rFonts w:hint="eastAsia"/>
          <w:snapToGrid w:val="0"/>
          <w:color w:val="auto"/>
          <w:kern w:val="0"/>
          <w:sz w:val="24"/>
          <w:highlight w:val="none"/>
        </w:rPr>
        <w:t>）</w:t>
      </w:r>
      <w:r>
        <w:rPr>
          <w:snapToGrid w:val="0"/>
          <w:color w:val="auto"/>
          <w:kern w:val="0"/>
          <w:sz w:val="24"/>
          <w:highlight w:val="none"/>
        </w:rPr>
        <w:t>《新疆维吾尔自治区</w:t>
      </w:r>
      <w:r>
        <w:rPr>
          <w:rFonts w:hint="eastAsia"/>
          <w:snapToGrid w:val="0"/>
          <w:color w:val="auto"/>
          <w:kern w:val="0"/>
          <w:sz w:val="24"/>
          <w:highlight w:val="none"/>
        </w:rPr>
        <w:t>生态功能区划</w:t>
      </w:r>
      <w:r>
        <w:rPr>
          <w:snapToGrid w:val="0"/>
          <w:color w:val="auto"/>
          <w:kern w:val="0"/>
          <w:sz w:val="24"/>
          <w:highlight w:val="none"/>
        </w:rPr>
        <w:t>》；</w:t>
      </w:r>
    </w:p>
    <w:p w14:paraId="3ED6956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6</w:t>
      </w:r>
      <w:r>
        <w:rPr>
          <w:rFonts w:hint="eastAsia"/>
          <w:snapToGrid w:val="0"/>
          <w:color w:val="auto"/>
          <w:kern w:val="0"/>
          <w:sz w:val="24"/>
          <w:highlight w:val="none"/>
        </w:rPr>
        <w:t>）《关于印发〈自治区生态环境厅落实高耗能高排放项目生态环境源头防控的措施〉的通知》，新环环评发〔2021〕179号，2021年8月16日；</w:t>
      </w:r>
    </w:p>
    <w:p w14:paraId="78114A9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7</w:t>
      </w:r>
      <w:r>
        <w:rPr>
          <w:rFonts w:hint="eastAsia"/>
          <w:snapToGrid w:val="0"/>
          <w:color w:val="auto"/>
          <w:kern w:val="0"/>
          <w:sz w:val="24"/>
          <w:highlight w:val="none"/>
        </w:rPr>
        <w:t>）《关于印发〈新疆维吾尔自治区生态环境分区管控动态更新成果〉的通知》，新环环评发〔2024〕157号，2024年11月15日；</w:t>
      </w:r>
    </w:p>
    <w:p w14:paraId="5BCAA70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8</w:t>
      </w:r>
      <w:r>
        <w:rPr>
          <w:rFonts w:hint="eastAsia"/>
          <w:snapToGrid w:val="0"/>
          <w:color w:val="auto"/>
          <w:kern w:val="0"/>
          <w:sz w:val="24"/>
          <w:highlight w:val="none"/>
        </w:rPr>
        <w:t>）《关于印发〈新疆维吾尔自治区2025年空气质量持续改善行动实施方案〉的通知》，新政办发〔2024〕58号，2024年12月10日；</w:t>
      </w:r>
    </w:p>
    <w:p w14:paraId="4232BDBF">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9</w:t>
      </w:r>
      <w:r>
        <w:rPr>
          <w:rFonts w:hint="eastAsia"/>
          <w:snapToGrid w:val="0"/>
          <w:color w:val="auto"/>
          <w:kern w:val="0"/>
          <w:sz w:val="24"/>
          <w:highlight w:val="none"/>
        </w:rPr>
        <w:t>）《新疆维吾尔自治区实施&lt;中华人民共和国防沙治沙法&gt;办法》，2020年9月19日修正；</w:t>
      </w:r>
    </w:p>
    <w:p w14:paraId="524410D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《关于印发</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新疆维吾尔自治区控制污染物排放许可制实施方案</w:t>
      </w:r>
      <w:r>
        <w:rPr>
          <w:rFonts w:hint="eastAsia" w:ascii="Times New Roman" w:hAnsi="Times New Roman" w:eastAsia="宋体" w:cs="Times New Roman"/>
          <w:color w:val="auto"/>
          <w:sz w:val="24"/>
          <w:szCs w:val="24"/>
          <w:highlight w:val="none"/>
          <w:lang w:eastAsia="zh-CN"/>
        </w:rPr>
        <w:t>〉的通知》</w:t>
      </w:r>
      <w:r>
        <w:rPr>
          <w:rFonts w:hint="eastAsia" w:ascii="Times New Roman" w:hAnsi="Times New Roman" w:eastAsia="宋体" w:cs="Times New Roman"/>
          <w:color w:val="auto"/>
          <w:sz w:val="24"/>
          <w:szCs w:val="24"/>
          <w:highlight w:val="none"/>
        </w:rPr>
        <w:t>，新疆维吾尔自治区人民政府办公厅，新政办发</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2017</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105号，2017</w:t>
      </w:r>
      <w:r>
        <w:rPr>
          <w:rFonts w:hint="eastAsia"/>
          <w:snapToGrid w:val="0"/>
          <w:color w:val="auto"/>
          <w:kern w:val="0"/>
          <w:sz w:val="24"/>
          <w:highlight w:val="none"/>
        </w:rPr>
        <w:t>年</w:t>
      </w:r>
      <w:r>
        <w:rPr>
          <w:rFonts w:hint="eastAsia" w:ascii="Times New Roman" w:hAnsi="Times New Roman" w:eastAsia="宋体" w:cs="Times New Roman"/>
          <w:color w:val="auto"/>
          <w:sz w:val="24"/>
          <w:szCs w:val="24"/>
          <w:highlight w:val="none"/>
        </w:rPr>
        <w:t>5</w:t>
      </w:r>
      <w:r>
        <w:rPr>
          <w:rFonts w:hint="eastAsia"/>
          <w:snapToGrid w:val="0"/>
          <w:color w:val="auto"/>
          <w:kern w:val="0"/>
          <w:sz w:val="24"/>
          <w:highlight w:val="none"/>
        </w:rPr>
        <w:t>月</w:t>
      </w:r>
      <w:r>
        <w:rPr>
          <w:rFonts w:hint="eastAsia" w:ascii="Times New Roman" w:hAnsi="Times New Roman" w:eastAsia="宋体" w:cs="Times New Roman"/>
          <w:color w:val="auto"/>
          <w:sz w:val="24"/>
          <w:szCs w:val="24"/>
          <w:highlight w:val="none"/>
        </w:rPr>
        <w:t>11</w:t>
      </w:r>
      <w:r>
        <w:rPr>
          <w:rFonts w:hint="eastAsia"/>
          <w:snapToGrid w:val="0"/>
          <w:color w:val="auto"/>
          <w:kern w:val="0"/>
          <w:sz w:val="24"/>
          <w:highlight w:val="none"/>
        </w:rPr>
        <w:t>日</w:t>
      </w:r>
      <w:r>
        <w:rPr>
          <w:rFonts w:hint="eastAsia" w:ascii="Times New Roman" w:hAnsi="Times New Roman" w:eastAsia="宋体" w:cs="Times New Roman"/>
          <w:color w:val="auto"/>
          <w:sz w:val="24"/>
          <w:szCs w:val="24"/>
          <w:highlight w:val="none"/>
        </w:rPr>
        <w:t>；</w:t>
      </w:r>
    </w:p>
    <w:p w14:paraId="4ED0A3B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11</w:t>
      </w:r>
      <w:r>
        <w:rPr>
          <w:rFonts w:hint="eastAsia" w:ascii="Times New Roman" w:hAnsi="Times New Roman" w:eastAsia="宋体" w:cs="Times New Roman"/>
          <w:color w:val="auto"/>
          <w:sz w:val="24"/>
          <w:szCs w:val="24"/>
          <w:highlight w:val="none"/>
        </w:rPr>
        <w:t>）《自治区党委 自治区人民政府印发</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新疆维吾尔自治区碳达峰实施方案</w:t>
      </w:r>
      <w:r>
        <w:rPr>
          <w:rFonts w:hint="eastAsia" w:ascii="Times New Roman" w:hAnsi="Times New Roman" w:eastAsia="宋体" w:cs="Times New Roman"/>
          <w:color w:val="auto"/>
          <w:sz w:val="24"/>
          <w:szCs w:val="24"/>
          <w:highlight w:val="none"/>
          <w:lang w:eastAsia="zh-CN"/>
        </w:rPr>
        <w:t>〉的通知》</w:t>
      </w:r>
      <w:r>
        <w:rPr>
          <w:rFonts w:hint="eastAsia" w:ascii="Times New Roman" w:hAnsi="Times New Roman" w:eastAsia="宋体" w:cs="Times New Roman"/>
          <w:color w:val="auto"/>
          <w:sz w:val="24"/>
          <w:szCs w:val="24"/>
          <w:highlight w:val="none"/>
        </w:rPr>
        <w:t>，新党发</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2022</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13号，2022</w:t>
      </w:r>
      <w:r>
        <w:rPr>
          <w:rFonts w:hint="eastAsia"/>
          <w:snapToGrid w:val="0"/>
          <w:color w:val="auto"/>
          <w:kern w:val="0"/>
          <w:sz w:val="24"/>
          <w:highlight w:val="none"/>
        </w:rPr>
        <w:t>年</w:t>
      </w:r>
      <w:r>
        <w:rPr>
          <w:rFonts w:hint="eastAsia" w:ascii="Times New Roman" w:hAnsi="Times New Roman" w:eastAsia="宋体" w:cs="Times New Roman"/>
          <w:color w:val="auto"/>
          <w:sz w:val="24"/>
          <w:szCs w:val="24"/>
          <w:highlight w:val="none"/>
        </w:rPr>
        <w:t>12</w:t>
      </w:r>
      <w:r>
        <w:rPr>
          <w:rFonts w:hint="eastAsia"/>
          <w:snapToGrid w:val="0"/>
          <w:color w:val="auto"/>
          <w:kern w:val="0"/>
          <w:sz w:val="24"/>
          <w:highlight w:val="none"/>
        </w:rPr>
        <w:t>月</w:t>
      </w:r>
      <w:r>
        <w:rPr>
          <w:rFonts w:hint="eastAsia" w:ascii="Times New Roman" w:hAnsi="Times New Roman" w:eastAsia="宋体" w:cs="Times New Roman"/>
          <w:color w:val="auto"/>
          <w:sz w:val="24"/>
          <w:szCs w:val="24"/>
          <w:highlight w:val="none"/>
        </w:rPr>
        <w:t>29</w:t>
      </w:r>
      <w:r>
        <w:rPr>
          <w:rFonts w:hint="eastAsia"/>
          <w:snapToGrid w:val="0"/>
          <w:color w:val="auto"/>
          <w:kern w:val="0"/>
          <w:sz w:val="24"/>
          <w:highlight w:val="none"/>
        </w:rPr>
        <w:t>日</w:t>
      </w:r>
      <w:r>
        <w:rPr>
          <w:rFonts w:hint="eastAsia" w:ascii="Times New Roman" w:hAnsi="Times New Roman" w:eastAsia="宋体" w:cs="Times New Roman"/>
          <w:color w:val="auto"/>
          <w:sz w:val="24"/>
          <w:szCs w:val="24"/>
          <w:highlight w:val="none"/>
        </w:rPr>
        <w:t>；</w:t>
      </w:r>
    </w:p>
    <w:p w14:paraId="6DB987B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12</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《自治区减污降碳协同增效实施方案》，新环气候发</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2023</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19号，2023</w:t>
      </w:r>
      <w:r>
        <w:rPr>
          <w:rFonts w:hint="eastAsia"/>
          <w:snapToGrid w:val="0"/>
          <w:color w:val="auto"/>
          <w:kern w:val="0"/>
          <w:sz w:val="24"/>
          <w:highlight w:val="none"/>
        </w:rPr>
        <w:t>年</w:t>
      </w:r>
      <w:r>
        <w:rPr>
          <w:rFonts w:hint="eastAsia" w:ascii="Times New Roman" w:hAnsi="Times New Roman" w:eastAsia="宋体" w:cs="Times New Roman"/>
          <w:color w:val="auto"/>
          <w:sz w:val="24"/>
          <w:szCs w:val="24"/>
          <w:highlight w:val="none"/>
        </w:rPr>
        <w:t>2</w:t>
      </w:r>
      <w:r>
        <w:rPr>
          <w:rFonts w:hint="eastAsia"/>
          <w:snapToGrid w:val="0"/>
          <w:color w:val="auto"/>
          <w:kern w:val="0"/>
          <w:sz w:val="24"/>
          <w:highlight w:val="none"/>
        </w:rPr>
        <w:t>月</w:t>
      </w:r>
      <w:r>
        <w:rPr>
          <w:rFonts w:hint="eastAsia" w:ascii="Times New Roman" w:hAnsi="Times New Roman" w:eastAsia="宋体" w:cs="Times New Roman"/>
          <w:color w:val="auto"/>
          <w:sz w:val="24"/>
          <w:szCs w:val="24"/>
          <w:highlight w:val="none"/>
        </w:rPr>
        <w:t>28</w:t>
      </w:r>
      <w:r>
        <w:rPr>
          <w:rFonts w:hint="eastAsia"/>
          <w:snapToGrid w:val="0"/>
          <w:color w:val="auto"/>
          <w:kern w:val="0"/>
          <w:sz w:val="24"/>
          <w:highlight w:val="none"/>
        </w:rPr>
        <w:t>日</w:t>
      </w:r>
      <w:r>
        <w:rPr>
          <w:rFonts w:hint="eastAsia" w:ascii="Times New Roman" w:hAnsi="Times New Roman" w:eastAsia="宋体" w:cs="Times New Roman"/>
          <w:color w:val="auto"/>
          <w:sz w:val="24"/>
          <w:szCs w:val="24"/>
          <w:highlight w:val="none"/>
        </w:rPr>
        <w:t>；</w:t>
      </w:r>
    </w:p>
    <w:p w14:paraId="760AF2DB">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（13）</w:t>
      </w:r>
      <w:r>
        <w:rPr>
          <w:rFonts w:hint="eastAsia" w:ascii="Times New Roman" w:hAnsi="Times New Roman" w:eastAsia="宋体" w:cs="Times New Roman"/>
          <w:color w:val="auto"/>
          <w:sz w:val="24"/>
          <w:szCs w:val="24"/>
          <w:highlight w:val="none"/>
        </w:rPr>
        <w:t>《新疆维吾尔自治区新建化工项目准入条件（试行）》</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新工信石化〔2021〕1号</w:t>
      </w:r>
      <w:r>
        <w:rPr>
          <w:rFonts w:hint="eastAsia" w:ascii="Times New Roman" w:hAnsi="Times New Roman" w:eastAsia="宋体" w:cs="Times New Roman"/>
          <w:color w:val="auto"/>
          <w:sz w:val="24"/>
          <w:szCs w:val="24"/>
          <w:highlight w:val="none"/>
          <w:lang w:eastAsia="zh-CN"/>
        </w:rPr>
        <w:t>；</w:t>
      </w:r>
    </w:p>
    <w:p w14:paraId="37FDD72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14</w:t>
      </w:r>
      <w:r>
        <w:rPr>
          <w:rFonts w:hint="eastAsia" w:ascii="Times New Roman" w:hAnsi="Times New Roman" w:eastAsia="宋体" w:cs="Times New Roman"/>
          <w:color w:val="auto"/>
          <w:sz w:val="24"/>
          <w:szCs w:val="24"/>
          <w:highlight w:val="none"/>
          <w:lang w:eastAsia="zh-CN"/>
        </w:rPr>
        <w:t>）</w:t>
      </w:r>
      <w:r>
        <w:rPr>
          <w:rFonts w:hint="eastAsia"/>
          <w:snapToGrid w:val="0"/>
          <w:color w:val="auto"/>
          <w:kern w:val="0"/>
          <w:sz w:val="24"/>
          <w:highlight w:val="none"/>
          <w:lang w:val="en-US" w:eastAsia="zh-CN"/>
        </w:rPr>
        <w:t>新疆维吾尔自治区《关于深入打好污染防治攻坚战的实施方案》，2022年7月26日；</w:t>
      </w:r>
    </w:p>
    <w:p w14:paraId="0439C86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napToGrid w:val="0"/>
          <w:color w:val="auto"/>
          <w:kern w:val="0"/>
          <w:sz w:val="24"/>
          <w:highlight w:val="none"/>
          <w:lang w:val="en-US" w:eastAsia="zh-CN"/>
        </w:rPr>
      </w:pPr>
      <w:r>
        <w:rPr>
          <w:rFonts w:hint="eastAsia" w:cs="Times New Roman"/>
          <w:color w:val="auto"/>
          <w:sz w:val="24"/>
          <w:szCs w:val="24"/>
          <w:highlight w:val="none"/>
          <w:lang w:val="en-US" w:eastAsia="zh-CN"/>
        </w:rPr>
        <w:t>（15）</w:t>
      </w:r>
      <w:r>
        <w:rPr>
          <w:rFonts w:hint="eastAsia"/>
          <w:snapToGrid w:val="0"/>
          <w:color w:val="auto"/>
          <w:kern w:val="0"/>
          <w:sz w:val="24"/>
          <w:highlight w:val="none"/>
          <w:lang w:val="en-US" w:eastAsia="zh-CN"/>
        </w:rPr>
        <w:t>《新疆维吾尔自治区重点项目管理办法》，新政办发〔2024〕29号，2024年7月6日；</w:t>
      </w:r>
    </w:p>
    <w:p w14:paraId="6D0BCAC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snapToGrid w:val="0"/>
          <w:color w:val="auto"/>
          <w:kern w:val="0"/>
          <w:sz w:val="24"/>
          <w:highlight w:val="none"/>
          <w:lang w:val="en-US" w:eastAsia="zh-CN"/>
        </w:rPr>
        <w:t>（16）《新疆维吾尔自治区“奎-独-乌”区域大气环境整治2024-2025年行动方案》；</w:t>
      </w:r>
    </w:p>
    <w:p w14:paraId="0C78CF2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rFonts w:hint="eastAsia"/>
          <w:snapToGrid w:val="0"/>
          <w:color w:val="auto"/>
          <w:kern w:val="0"/>
          <w:sz w:val="24"/>
          <w:highlight w:val="none"/>
          <w:lang w:val="en-US" w:eastAsia="zh-CN"/>
        </w:rPr>
        <w:t>7</w:t>
      </w:r>
      <w:r>
        <w:rPr>
          <w:rFonts w:hint="eastAsia"/>
          <w:snapToGrid w:val="0"/>
          <w:color w:val="auto"/>
          <w:kern w:val="0"/>
          <w:sz w:val="24"/>
          <w:highlight w:val="none"/>
        </w:rPr>
        <w:t>）《塔城地区生态环境保护“十四五”规划》；</w:t>
      </w:r>
    </w:p>
    <w:p w14:paraId="10D5A5F8">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cs="Times New Roman" w:eastAsiaTheme="minorEastAsia"/>
          <w:snapToGrid w:val="0"/>
          <w:color w:val="auto"/>
          <w:spacing w:val="-6"/>
          <w:kern w:val="0"/>
          <w:sz w:val="24"/>
          <w:highlight w:val="none"/>
          <w:lang w:val="en-US" w:eastAsia="zh-CN"/>
        </w:rPr>
      </w:pPr>
      <w:r>
        <w:rPr>
          <w:rFonts w:hint="eastAsia" w:ascii="Times New Roman" w:hAnsi="Times New Roman" w:cs="Times New Roman" w:eastAsiaTheme="minorEastAsia"/>
          <w:snapToGrid w:val="0"/>
          <w:color w:val="auto"/>
          <w:spacing w:val="-6"/>
          <w:kern w:val="0"/>
          <w:sz w:val="24"/>
          <w:highlight w:val="none"/>
          <w:lang w:val="en-US" w:eastAsia="zh-CN"/>
        </w:rPr>
        <w:t>（18）《</w:t>
      </w:r>
      <w:r>
        <w:rPr>
          <w:rFonts w:hint="eastAsia" w:ascii="Times New Roman" w:hAnsi="Times New Roman" w:cs="Times New Roman" w:eastAsiaTheme="minorEastAsia"/>
          <w:snapToGrid w:val="0"/>
          <w:color w:val="auto"/>
          <w:spacing w:val="-6"/>
          <w:kern w:val="0"/>
          <w:sz w:val="24"/>
          <w:highlight w:val="none"/>
          <w:lang w:val="zh-CN" w:eastAsia="zh-CN"/>
        </w:rPr>
        <w:t>塔城地区生态环境准入清单</w:t>
      </w:r>
      <w:r>
        <w:rPr>
          <w:rFonts w:hint="eastAsia" w:ascii="Times New Roman" w:hAnsi="Times New Roman" w:cs="Times New Roman" w:eastAsiaTheme="minorEastAsia"/>
          <w:snapToGrid w:val="0"/>
          <w:color w:val="auto"/>
          <w:spacing w:val="-6"/>
          <w:kern w:val="0"/>
          <w:sz w:val="24"/>
          <w:highlight w:val="none"/>
          <w:lang w:val="en-US" w:eastAsia="zh-CN"/>
        </w:rPr>
        <w:t>》（塔城地区生态环境局，2023年11月）；</w:t>
      </w:r>
    </w:p>
    <w:p w14:paraId="120766C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rFonts w:hint="eastAsia"/>
          <w:snapToGrid w:val="0"/>
          <w:color w:val="auto"/>
          <w:kern w:val="0"/>
          <w:sz w:val="24"/>
          <w:highlight w:val="none"/>
          <w:lang w:val="en-US" w:eastAsia="zh-CN"/>
        </w:rPr>
        <w:t>9</w:t>
      </w:r>
      <w:r>
        <w:rPr>
          <w:rFonts w:hint="eastAsia"/>
          <w:snapToGrid w:val="0"/>
          <w:color w:val="auto"/>
          <w:kern w:val="0"/>
          <w:sz w:val="24"/>
          <w:highlight w:val="none"/>
        </w:rPr>
        <w:t>）《新疆塔城重点开发开放试验区建设总体规划》（2021-2030年）；</w:t>
      </w:r>
    </w:p>
    <w:p w14:paraId="7182587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20</w:t>
      </w:r>
      <w:r>
        <w:rPr>
          <w:rFonts w:hint="eastAsia"/>
          <w:snapToGrid w:val="0"/>
          <w:color w:val="auto"/>
          <w:kern w:val="0"/>
          <w:sz w:val="24"/>
          <w:highlight w:val="none"/>
        </w:rPr>
        <w:t>）《乌苏市国土空间总体规划（2021-2035年）》；</w:t>
      </w:r>
    </w:p>
    <w:p w14:paraId="7E32AFA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21</w:t>
      </w:r>
      <w:r>
        <w:rPr>
          <w:rFonts w:hint="eastAsia"/>
          <w:snapToGrid w:val="0"/>
          <w:color w:val="auto"/>
          <w:kern w:val="0"/>
          <w:sz w:val="24"/>
          <w:highlight w:val="none"/>
        </w:rPr>
        <w:t>）《乌苏市化工产业集中区总体规划（2024-2035年）》；</w:t>
      </w:r>
    </w:p>
    <w:p w14:paraId="13814199">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w:t>
      </w:r>
      <w:r>
        <w:rPr>
          <w:rFonts w:hint="eastAsia"/>
          <w:snapToGrid w:val="0"/>
          <w:color w:val="auto"/>
          <w:kern w:val="0"/>
          <w:sz w:val="24"/>
          <w:highlight w:val="none"/>
          <w:lang w:val="en-US" w:eastAsia="zh-CN"/>
        </w:rPr>
        <w:t>22</w:t>
      </w:r>
      <w:r>
        <w:rPr>
          <w:rFonts w:hint="eastAsia"/>
          <w:snapToGrid w:val="0"/>
          <w:color w:val="auto"/>
          <w:kern w:val="0"/>
          <w:sz w:val="24"/>
          <w:highlight w:val="none"/>
        </w:rPr>
        <w:t>）《乌苏市化工产业集中区总体规划（2024-2035年）环境影响报告书》；</w:t>
      </w:r>
    </w:p>
    <w:p w14:paraId="4C7C713D">
      <w:pPr>
        <w:adjustRightInd w:val="0"/>
        <w:snapToGrid w:val="0"/>
        <w:spacing w:line="360" w:lineRule="auto"/>
        <w:ind w:firstLine="480" w:firstLineChars="200"/>
        <w:rPr>
          <w:rFonts w:hint="eastAsia" w:eastAsia="宋体"/>
          <w:snapToGrid w:val="0"/>
          <w:color w:val="auto"/>
          <w:kern w:val="0"/>
          <w:sz w:val="24"/>
          <w:highlight w:val="none"/>
          <w:lang w:eastAsia="zh-CN"/>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23</w:t>
      </w:r>
      <w:r>
        <w:rPr>
          <w:rFonts w:hint="eastAsia"/>
          <w:snapToGrid w:val="0"/>
          <w:color w:val="auto"/>
          <w:kern w:val="0"/>
          <w:sz w:val="24"/>
          <w:highlight w:val="none"/>
          <w:lang w:eastAsia="zh-CN"/>
        </w:rPr>
        <w:t>）《关于认定第十批自治区化工产业集中区的批复》，新工信石化函</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eastAsia="zh-CN"/>
        </w:rPr>
        <w:t>〕</w:t>
      </w:r>
      <w:r>
        <w:rPr>
          <w:rFonts w:hint="eastAsia"/>
          <w:snapToGrid w:val="0"/>
          <w:color w:val="auto"/>
          <w:kern w:val="0"/>
          <w:sz w:val="24"/>
          <w:highlight w:val="none"/>
          <w:lang w:eastAsia="zh-CN"/>
        </w:rPr>
        <w:t>115号，</w:t>
      </w:r>
      <w:r>
        <w:rPr>
          <w:rFonts w:hint="eastAsia"/>
          <w:snapToGrid w:val="0"/>
          <w:color w:val="auto"/>
          <w:kern w:val="0"/>
          <w:sz w:val="24"/>
          <w:highlight w:val="none"/>
          <w:lang w:val="en-US" w:eastAsia="zh-CN"/>
        </w:rPr>
        <w:t>2026年8月27日</w:t>
      </w:r>
      <w:r>
        <w:rPr>
          <w:rFonts w:hint="eastAsia"/>
          <w:snapToGrid w:val="0"/>
          <w:color w:val="auto"/>
          <w:kern w:val="0"/>
          <w:sz w:val="24"/>
          <w:highlight w:val="none"/>
          <w:lang w:eastAsia="zh-CN"/>
        </w:rPr>
        <w:t>；</w:t>
      </w:r>
    </w:p>
    <w:p w14:paraId="573FE6C1">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2.1.4技术</w:t>
      </w:r>
      <w:bookmarkEnd w:id="46"/>
      <w:r>
        <w:rPr>
          <w:rFonts w:hint="eastAsia" w:ascii="Times New Roman" w:hAnsi="Times New Roman" w:cs="Times New Roman"/>
          <w:snapToGrid w:val="0"/>
          <w:color w:val="auto"/>
          <w:spacing w:val="0"/>
          <w:kern w:val="0"/>
          <w:szCs w:val="24"/>
          <w:highlight w:val="none"/>
        </w:rPr>
        <w:t>导则及规范</w:t>
      </w:r>
      <w:bookmarkEnd w:id="47"/>
    </w:p>
    <w:p w14:paraId="05678E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（1）</w:t>
      </w:r>
      <w:r>
        <w:rPr>
          <w:rFonts w:eastAsia="宋体"/>
          <w:snapToGrid w:val="0"/>
          <w:color w:val="auto"/>
          <w:kern w:val="0"/>
          <w:sz w:val="24"/>
          <w:highlight w:val="none"/>
        </w:rPr>
        <w:t>《建设项目环境影响评价技术导则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总纲》</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2</w:t>
      </w:r>
      <w:r>
        <w:rPr>
          <w:rFonts w:eastAsia="宋体"/>
          <w:snapToGrid w:val="0"/>
          <w:color w:val="auto"/>
          <w:kern w:val="0"/>
          <w:sz w:val="24"/>
          <w:highlight w:val="none"/>
        </w:rPr>
        <w:t>.1-2016</w:t>
      </w:r>
      <w:r>
        <w:rPr>
          <w:rFonts w:hint="eastAsia" w:eastAsia="宋体"/>
          <w:snapToGrid w:val="0"/>
          <w:color w:val="auto"/>
          <w:kern w:val="0"/>
          <w:sz w:val="24"/>
          <w:highlight w:val="none"/>
        </w:rPr>
        <w:t>）</w:t>
      </w:r>
      <w:r>
        <w:rPr>
          <w:rFonts w:eastAsia="宋体"/>
          <w:snapToGrid w:val="0"/>
          <w:color w:val="auto"/>
          <w:kern w:val="0"/>
          <w:sz w:val="24"/>
          <w:highlight w:val="none"/>
        </w:rPr>
        <w:t>；</w:t>
      </w:r>
    </w:p>
    <w:p w14:paraId="05C118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（2）</w:t>
      </w:r>
      <w:r>
        <w:rPr>
          <w:rFonts w:eastAsia="宋体"/>
          <w:snapToGrid w:val="0"/>
          <w:color w:val="auto"/>
          <w:kern w:val="0"/>
          <w:sz w:val="24"/>
          <w:highlight w:val="none"/>
        </w:rPr>
        <w:t>《环境影响评价技术导则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大气环境》</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2</w:t>
      </w:r>
      <w:r>
        <w:rPr>
          <w:rFonts w:eastAsia="宋体"/>
          <w:snapToGrid w:val="0"/>
          <w:color w:val="auto"/>
          <w:kern w:val="0"/>
          <w:sz w:val="24"/>
          <w:highlight w:val="none"/>
        </w:rPr>
        <w:t>.2-2018</w:t>
      </w:r>
      <w:r>
        <w:rPr>
          <w:rFonts w:hint="eastAsia" w:eastAsia="宋体"/>
          <w:snapToGrid w:val="0"/>
          <w:color w:val="auto"/>
          <w:kern w:val="0"/>
          <w:sz w:val="24"/>
          <w:highlight w:val="none"/>
        </w:rPr>
        <w:t>）</w:t>
      </w:r>
      <w:r>
        <w:rPr>
          <w:rFonts w:eastAsia="宋体"/>
          <w:snapToGrid w:val="0"/>
          <w:color w:val="auto"/>
          <w:kern w:val="0"/>
          <w:sz w:val="24"/>
          <w:highlight w:val="none"/>
        </w:rPr>
        <w:t>；</w:t>
      </w:r>
    </w:p>
    <w:p w14:paraId="1A1BFE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（3）</w:t>
      </w:r>
      <w:r>
        <w:rPr>
          <w:rFonts w:eastAsia="宋体"/>
          <w:snapToGrid w:val="0"/>
          <w:color w:val="auto"/>
          <w:kern w:val="0"/>
          <w:sz w:val="24"/>
          <w:highlight w:val="none"/>
        </w:rPr>
        <w:t>《环境影响评价技术导则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地表水环境》</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2</w:t>
      </w:r>
      <w:r>
        <w:rPr>
          <w:rFonts w:eastAsia="宋体"/>
          <w:snapToGrid w:val="0"/>
          <w:color w:val="auto"/>
          <w:kern w:val="0"/>
          <w:sz w:val="24"/>
          <w:highlight w:val="none"/>
        </w:rPr>
        <w:t>.3-2018</w:t>
      </w:r>
      <w:r>
        <w:rPr>
          <w:rFonts w:hint="eastAsia" w:eastAsia="宋体"/>
          <w:snapToGrid w:val="0"/>
          <w:color w:val="auto"/>
          <w:kern w:val="0"/>
          <w:sz w:val="24"/>
          <w:highlight w:val="none"/>
        </w:rPr>
        <w:t>）</w:t>
      </w:r>
      <w:r>
        <w:rPr>
          <w:rFonts w:eastAsia="宋体"/>
          <w:snapToGrid w:val="0"/>
          <w:color w:val="auto"/>
          <w:kern w:val="0"/>
          <w:sz w:val="24"/>
          <w:highlight w:val="none"/>
        </w:rPr>
        <w:t>；</w:t>
      </w:r>
    </w:p>
    <w:p w14:paraId="398E4F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（4）</w:t>
      </w:r>
      <w:r>
        <w:rPr>
          <w:rFonts w:eastAsia="宋体"/>
          <w:snapToGrid w:val="0"/>
          <w:color w:val="auto"/>
          <w:kern w:val="0"/>
          <w:sz w:val="24"/>
          <w:highlight w:val="none"/>
        </w:rPr>
        <w:t>《环境影响评价技术导则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地下水环境》</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610</w:t>
      </w:r>
      <w:r>
        <w:rPr>
          <w:rFonts w:eastAsia="宋体"/>
          <w:snapToGrid w:val="0"/>
          <w:color w:val="auto"/>
          <w:kern w:val="0"/>
          <w:sz w:val="24"/>
          <w:highlight w:val="none"/>
        </w:rPr>
        <w:t>-2016</w:t>
      </w:r>
      <w:r>
        <w:rPr>
          <w:rFonts w:hint="eastAsia" w:eastAsia="宋体"/>
          <w:snapToGrid w:val="0"/>
          <w:color w:val="auto"/>
          <w:kern w:val="0"/>
          <w:sz w:val="24"/>
          <w:highlight w:val="none"/>
        </w:rPr>
        <w:t>）</w:t>
      </w:r>
      <w:r>
        <w:rPr>
          <w:rFonts w:eastAsia="宋体"/>
          <w:snapToGrid w:val="0"/>
          <w:color w:val="auto"/>
          <w:kern w:val="0"/>
          <w:sz w:val="24"/>
          <w:highlight w:val="none"/>
        </w:rPr>
        <w:t>；</w:t>
      </w:r>
    </w:p>
    <w:p w14:paraId="03B583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（5）</w:t>
      </w:r>
      <w:r>
        <w:rPr>
          <w:rFonts w:eastAsia="宋体"/>
          <w:snapToGrid w:val="0"/>
          <w:color w:val="auto"/>
          <w:kern w:val="0"/>
          <w:sz w:val="24"/>
          <w:highlight w:val="none"/>
        </w:rPr>
        <w:t>《环境影响评价技术导则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声环境》</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2</w:t>
      </w:r>
      <w:r>
        <w:rPr>
          <w:rFonts w:eastAsia="宋体"/>
          <w:snapToGrid w:val="0"/>
          <w:color w:val="auto"/>
          <w:kern w:val="0"/>
          <w:sz w:val="24"/>
          <w:highlight w:val="none"/>
        </w:rPr>
        <w:t>.4-20</w:t>
      </w:r>
      <w:r>
        <w:rPr>
          <w:rFonts w:hint="eastAsia" w:eastAsia="宋体"/>
          <w:snapToGrid w:val="0"/>
          <w:color w:val="auto"/>
          <w:kern w:val="0"/>
          <w:sz w:val="24"/>
          <w:highlight w:val="none"/>
        </w:rPr>
        <w:t>21）</w:t>
      </w:r>
      <w:r>
        <w:rPr>
          <w:rFonts w:eastAsia="宋体"/>
          <w:snapToGrid w:val="0"/>
          <w:color w:val="auto"/>
          <w:kern w:val="0"/>
          <w:sz w:val="24"/>
          <w:highlight w:val="none"/>
        </w:rPr>
        <w:t>；</w:t>
      </w:r>
    </w:p>
    <w:p w14:paraId="376237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（6）</w:t>
      </w:r>
      <w:r>
        <w:rPr>
          <w:rFonts w:eastAsia="宋体"/>
          <w:snapToGrid w:val="0"/>
          <w:color w:val="auto"/>
          <w:kern w:val="0"/>
          <w:sz w:val="24"/>
          <w:highlight w:val="none"/>
        </w:rPr>
        <w:t>《环境影响评价技术导则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土壤环境（试行）》</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964</w:t>
      </w:r>
      <w:r>
        <w:rPr>
          <w:rFonts w:eastAsia="宋体"/>
          <w:snapToGrid w:val="0"/>
          <w:color w:val="auto"/>
          <w:kern w:val="0"/>
          <w:sz w:val="24"/>
          <w:highlight w:val="none"/>
        </w:rPr>
        <w:t>-2018</w:t>
      </w:r>
      <w:r>
        <w:rPr>
          <w:rFonts w:hint="eastAsia" w:eastAsia="宋体"/>
          <w:snapToGrid w:val="0"/>
          <w:color w:val="auto"/>
          <w:kern w:val="0"/>
          <w:sz w:val="24"/>
          <w:highlight w:val="none"/>
        </w:rPr>
        <w:t>）</w:t>
      </w:r>
      <w:r>
        <w:rPr>
          <w:rFonts w:eastAsia="宋体"/>
          <w:snapToGrid w:val="0"/>
          <w:color w:val="auto"/>
          <w:kern w:val="0"/>
          <w:sz w:val="24"/>
          <w:highlight w:val="none"/>
        </w:rPr>
        <w:t>；</w:t>
      </w:r>
    </w:p>
    <w:p w14:paraId="048FDD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（7）</w:t>
      </w:r>
      <w:r>
        <w:rPr>
          <w:rFonts w:eastAsia="宋体"/>
          <w:snapToGrid w:val="0"/>
          <w:color w:val="auto"/>
          <w:kern w:val="0"/>
          <w:sz w:val="24"/>
          <w:highlight w:val="none"/>
        </w:rPr>
        <w:t>《环境影响评价技术导则</w:t>
      </w:r>
      <w:r>
        <w:rPr>
          <w:rFonts w:hint="eastAsia" w:eastAsia="宋体"/>
          <w:snapToGrid w:val="0"/>
          <w:color w:val="auto"/>
          <w:kern w:val="0"/>
          <w:sz w:val="24"/>
          <w:highlight w:val="none"/>
        </w:rPr>
        <w:t xml:space="preserve"> </w:t>
      </w:r>
      <w:r>
        <w:rPr>
          <w:rFonts w:eastAsia="宋体"/>
          <w:snapToGrid w:val="0"/>
          <w:color w:val="auto"/>
          <w:kern w:val="0"/>
          <w:sz w:val="24"/>
          <w:highlight w:val="none"/>
        </w:rPr>
        <w:t>生态影响》</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19</w:t>
      </w:r>
      <w:r>
        <w:rPr>
          <w:rFonts w:eastAsia="宋体"/>
          <w:snapToGrid w:val="0"/>
          <w:color w:val="auto"/>
          <w:kern w:val="0"/>
          <w:sz w:val="24"/>
          <w:highlight w:val="none"/>
        </w:rPr>
        <w:t>-20</w:t>
      </w:r>
      <w:r>
        <w:rPr>
          <w:rFonts w:hint="eastAsia" w:eastAsia="宋体"/>
          <w:snapToGrid w:val="0"/>
          <w:color w:val="auto"/>
          <w:kern w:val="0"/>
          <w:sz w:val="24"/>
          <w:highlight w:val="none"/>
        </w:rPr>
        <w:t>22）；</w:t>
      </w:r>
    </w:p>
    <w:p w14:paraId="72F909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（8）</w:t>
      </w:r>
      <w:r>
        <w:rPr>
          <w:rFonts w:eastAsia="宋体"/>
          <w:snapToGrid w:val="0"/>
          <w:color w:val="auto"/>
          <w:kern w:val="0"/>
          <w:sz w:val="24"/>
          <w:highlight w:val="none"/>
        </w:rPr>
        <w:t>《建设项目环境风险评价技术导则》</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169</w:t>
      </w:r>
      <w:r>
        <w:rPr>
          <w:rFonts w:eastAsia="宋体"/>
          <w:snapToGrid w:val="0"/>
          <w:color w:val="auto"/>
          <w:kern w:val="0"/>
          <w:sz w:val="24"/>
          <w:highlight w:val="none"/>
        </w:rPr>
        <w:t>-2018</w:t>
      </w:r>
      <w:r>
        <w:rPr>
          <w:rFonts w:hint="eastAsia" w:eastAsia="宋体"/>
          <w:snapToGrid w:val="0"/>
          <w:color w:val="auto"/>
          <w:kern w:val="0"/>
          <w:sz w:val="24"/>
          <w:highlight w:val="none"/>
        </w:rPr>
        <w:t>）；</w:t>
      </w:r>
    </w:p>
    <w:p w14:paraId="7DE131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eastAsia="zh-CN"/>
        </w:rPr>
      </w:pPr>
      <w:r>
        <w:rPr>
          <w:rFonts w:hint="eastAsia" w:eastAsia="宋体"/>
          <w:snapToGrid w:val="0"/>
          <w:color w:val="auto"/>
          <w:kern w:val="0"/>
          <w:sz w:val="24"/>
          <w:highlight w:val="none"/>
        </w:rPr>
        <w:t>（9）《大气有害物质无组织排放卫生防护距离推导技术导则》（GB/T 39499-2020</w:t>
      </w:r>
      <w:r>
        <w:rPr>
          <w:rFonts w:hint="eastAsia" w:eastAsia="宋体"/>
          <w:snapToGrid w:val="0"/>
          <w:color w:val="auto"/>
          <w:kern w:val="0"/>
          <w:sz w:val="24"/>
          <w:highlight w:val="none"/>
          <w:lang w:eastAsia="zh-CN"/>
        </w:rPr>
        <w:t>）；</w:t>
      </w:r>
    </w:p>
    <w:p w14:paraId="0070F5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eastAsia="zh-CN"/>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10</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rPr>
        <w:t>《危险废物管理计划和管理台账制定技术导则》</w:t>
      </w:r>
      <w:r>
        <w:rPr>
          <w:rFonts w:eastAsia="宋体"/>
          <w:color w:val="auto"/>
          <w:kern w:val="0"/>
          <w:sz w:val="24"/>
          <w:highlight w:val="none"/>
        </w:rPr>
        <w:fldChar w:fldCharType="begin"/>
      </w:r>
      <w:r>
        <w:rPr>
          <w:rFonts w:eastAsia="宋体"/>
          <w:color w:val="auto"/>
          <w:kern w:val="0"/>
          <w:sz w:val="24"/>
          <w:highlight w:val="none"/>
        </w:rPr>
        <w:instrText xml:space="preserve"> HYPERLINK "https://www.mee.gov.cn/ywgz/fgbz/bz/bzwb/gthw/qtxgbz/202206/W020220630455255137316.pdf" </w:instrText>
      </w:r>
      <w:r>
        <w:rPr>
          <w:rFonts w:eastAsia="宋体"/>
          <w:color w:val="auto"/>
          <w:kern w:val="0"/>
          <w:sz w:val="24"/>
          <w:highlight w:val="none"/>
        </w:rPr>
        <w:fldChar w:fldCharType="separate"/>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1259</w:t>
      </w:r>
      <w:r>
        <w:rPr>
          <w:rFonts w:hint="eastAsia" w:eastAsia="宋体"/>
          <w:snapToGrid w:val="0"/>
          <w:color w:val="auto"/>
          <w:kern w:val="0"/>
          <w:sz w:val="24"/>
          <w:highlight w:val="none"/>
        </w:rPr>
        <w:t>-2022）</w:t>
      </w:r>
      <w:r>
        <w:rPr>
          <w:rFonts w:hint="eastAsia" w:eastAsia="宋体"/>
          <w:snapToGrid w:val="0"/>
          <w:color w:val="auto"/>
          <w:kern w:val="0"/>
          <w:sz w:val="24"/>
          <w:highlight w:val="none"/>
        </w:rPr>
        <w:fldChar w:fldCharType="end"/>
      </w:r>
      <w:r>
        <w:rPr>
          <w:rFonts w:hint="eastAsia" w:eastAsia="宋体"/>
          <w:snapToGrid w:val="0"/>
          <w:color w:val="auto"/>
          <w:kern w:val="0"/>
          <w:sz w:val="24"/>
          <w:highlight w:val="none"/>
        </w:rPr>
        <w:t>；</w:t>
      </w:r>
    </w:p>
    <w:p w14:paraId="2FF9C0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11</w:t>
      </w:r>
      <w:r>
        <w:rPr>
          <w:rFonts w:hint="eastAsia" w:eastAsia="宋体"/>
          <w:snapToGrid w:val="0"/>
          <w:color w:val="auto"/>
          <w:kern w:val="0"/>
          <w:sz w:val="24"/>
          <w:highlight w:val="none"/>
          <w:lang w:eastAsia="zh-CN"/>
        </w:rPr>
        <w:t>）</w:t>
      </w:r>
      <w:r>
        <w:rPr>
          <w:rFonts w:eastAsia="宋体"/>
          <w:snapToGrid w:val="0"/>
          <w:color w:val="auto"/>
          <w:kern w:val="0"/>
          <w:sz w:val="24"/>
          <w:highlight w:val="none"/>
        </w:rPr>
        <w:t>《排污许可证申请与核发技术规范 总则》（</w:t>
      </w:r>
      <w:r>
        <w:rPr>
          <w:rFonts w:hint="eastAsia" w:eastAsia="宋体"/>
          <w:snapToGrid w:val="0"/>
          <w:color w:val="auto"/>
          <w:kern w:val="0"/>
          <w:sz w:val="24"/>
          <w:highlight w:val="none"/>
          <w:lang w:eastAsia="zh-CN"/>
        </w:rPr>
        <w:t>HJ 942</w:t>
      </w:r>
      <w:r>
        <w:rPr>
          <w:rFonts w:eastAsia="宋体"/>
          <w:snapToGrid w:val="0"/>
          <w:color w:val="auto"/>
          <w:kern w:val="0"/>
          <w:sz w:val="24"/>
          <w:highlight w:val="none"/>
        </w:rPr>
        <w:t>-2018）</w:t>
      </w:r>
      <w:r>
        <w:rPr>
          <w:rFonts w:hint="eastAsia" w:eastAsia="宋体"/>
          <w:snapToGrid w:val="0"/>
          <w:color w:val="auto"/>
          <w:kern w:val="0"/>
          <w:sz w:val="24"/>
          <w:highlight w:val="none"/>
        </w:rPr>
        <w:t>；</w:t>
      </w:r>
    </w:p>
    <w:p w14:paraId="0F169C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12</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rPr>
        <w:t>《排污许可证申请与核发技术规范 化学纤维制造业》（</w:t>
      </w:r>
      <w:r>
        <w:rPr>
          <w:rFonts w:hint="eastAsia" w:eastAsia="宋体"/>
          <w:snapToGrid w:val="0"/>
          <w:color w:val="auto"/>
          <w:kern w:val="0"/>
          <w:sz w:val="24"/>
          <w:highlight w:val="none"/>
          <w:lang w:eastAsia="zh-CN"/>
        </w:rPr>
        <w:t>HJ1102</w:t>
      </w:r>
      <w:r>
        <w:rPr>
          <w:rFonts w:hint="eastAsia" w:eastAsia="宋体"/>
          <w:snapToGrid w:val="0"/>
          <w:color w:val="auto"/>
          <w:kern w:val="0"/>
          <w:sz w:val="24"/>
          <w:highlight w:val="none"/>
        </w:rPr>
        <w:t>-2020</w:t>
      </w:r>
      <w:r>
        <w:rPr>
          <w:rFonts w:hint="eastAsia" w:eastAsia="宋体"/>
          <w:snapToGrid w:val="0"/>
          <w:color w:val="auto"/>
          <w:kern w:val="0"/>
          <w:sz w:val="24"/>
          <w:highlight w:val="none"/>
          <w:lang w:eastAsia="zh-CN"/>
        </w:rPr>
        <w:t>）；</w:t>
      </w:r>
    </w:p>
    <w:p w14:paraId="1263A3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（1</w:t>
      </w:r>
      <w:r>
        <w:rPr>
          <w:rFonts w:hint="eastAsia" w:eastAsia="宋体"/>
          <w:snapToGrid w:val="0"/>
          <w:color w:val="auto"/>
          <w:kern w:val="0"/>
          <w:sz w:val="24"/>
          <w:highlight w:val="none"/>
          <w:lang w:val="en-US" w:eastAsia="zh-CN"/>
        </w:rPr>
        <w:t>3</w:t>
      </w:r>
      <w:r>
        <w:rPr>
          <w:rFonts w:hint="eastAsia" w:eastAsia="宋体"/>
          <w:snapToGrid w:val="0"/>
          <w:color w:val="auto"/>
          <w:kern w:val="0"/>
          <w:sz w:val="24"/>
          <w:highlight w:val="none"/>
        </w:rPr>
        <w:t>）《排污许可证申请与核发技术规范 工业噪声》（</w:t>
      </w:r>
      <w:r>
        <w:rPr>
          <w:rFonts w:hint="eastAsia" w:eastAsia="宋体"/>
          <w:snapToGrid w:val="0"/>
          <w:color w:val="auto"/>
          <w:kern w:val="0"/>
          <w:sz w:val="24"/>
          <w:highlight w:val="none"/>
          <w:lang w:eastAsia="zh-CN"/>
        </w:rPr>
        <w:t>HJ 1301</w:t>
      </w:r>
      <w:r>
        <w:rPr>
          <w:rFonts w:hint="eastAsia" w:eastAsia="宋体"/>
          <w:snapToGrid w:val="0"/>
          <w:color w:val="auto"/>
          <w:kern w:val="0"/>
          <w:sz w:val="24"/>
          <w:highlight w:val="none"/>
        </w:rPr>
        <w:t>-2023）；</w:t>
      </w:r>
    </w:p>
    <w:p w14:paraId="35ED11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rPr>
      </w:pPr>
      <w:r>
        <w:rPr>
          <w:rFonts w:hint="eastAsia" w:eastAsia="宋体"/>
          <w:snapToGrid w:val="0"/>
          <w:color w:val="auto"/>
          <w:kern w:val="0"/>
          <w:sz w:val="24"/>
          <w:highlight w:val="none"/>
        </w:rPr>
        <w:t>（1</w:t>
      </w:r>
      <w:r>
        <w:rPr>
          <w:rFonts w:hint="eastAsia" w:eastAsia="宋体"/>
          <w:snapToGrid w:val="0"/>
          <w:color w:val="auto"/>
          <w:kern w:val="0"/>
          <w:sz w:val="24"/>
          <w:highlight w:val="none"/>
          <w:lang w:val="en-US" w:eastAsia="zh-CN"/>
        </w:rPr>
        <w:t>4</w:t>
      </w:r>
      <w:r>
        <w:rPr>
          <w:rFonts w:hint="eastAsia" w:eastAsia="宋体"/>
          <w:snapToGrid w:val="0"/>
          <w:color w:val="auto"/>
          <w:kern w:val="0"/>
          <w:sz w:val="24"/>
          <w:highlight w:val="none"/>
        </w:rPr>
        <w:t>）《排污许可证申请与核发技术规范 工业固体废物（试行）》（</w:t>
      </w:r>
      <w:r>
        <w:rPr>
          <w:rFonts w:hint="eastAsia" w:eastAsia="宋体"/>
          <w:snapToGrid w:val="0"/>
          <w:color w:val="auto"/>
          <w:kern w:val="0"/>
          <w:sz w:val="24"/>
          <w:highlight w:val="none"/>
          <w:lang w:eastAsia="zh-CN"/>
        </w:rPr>
        <w:t>HJ 1200</w:t>
      </w:r>
      <w:r>
        <w:rPr>
          <w:rFonts w:hint="eastAsia" w:eastAsia="宋体"/>
          <w:snapToGrid w:val="0"/>
          <w:color w:val="auto"/>
          <w:kern w:val="0"/>
          <w:sz w:val="24"/>
          <w:highlight w:val="none"/>
        </w:rPr>
        <w:t>-2021）；</w:t>
      </w:r>
    </w:p>
    <w:p w14:paraId="46CEBC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15</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rPr>
        <w:t>《排污单位环境管理台账及排污许可证执行报告技术规范总则（试行）》（</w:t>
      </w:r>
      <w:r>
        <w:rPr>
          <w:rFonts w:hint="eastAsia" w:eastAsia="宋体"/>
          <w:snapToGrid w:val="0"/>
          <w:color w:val="auto"/>
          <w:kern w:val="0"/>
          <w:sz w:val="24"/>
          <w:highlight w:val="none"/>
          <w:lang w:eastAsia="zh-CN"/>
        </w:rPr>
        <w:t>HJ 944</w:t>
      </w:r>
      <w:r>
        <w:rPr>
          <w:rFonts w:hint="eastAsia" w:eastAsia="宋体"/>
          <w:snapToGrid w:val="0"/>
          <w:color w:val="auto"/>
          <w:kern w:val="0"/>
          <w:sz w:val="24"/>
          <w:highlight w:val="none"/>
        </w:rPr>
        <w:t>-2018）；</w:t>
      </w:r>
    </w:p>
    <w:p w14:paraId="6D72FDA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val="en-US" w:eastAsia="zh-CN"/>
        </w:rPr>
      </w:pPr>
      <w:r>
        <w:rPr>
          <w:rFonts w:hint="eastAsia" w:eastAsia="宋体"/>
          <w:snapToGrid w:val="0"/>
          <w:color w:val="auto"/>
          <w:kern w:val="0"/>
          <w:sz w:val="24"/>
          <w:highlight w:val="none"/>
          <w:lang w:val="en-US" w:eastAsia="zh-CN"/>
        </w:rPr>
        <w:t>（16）《排污许可证申请与核发技术规范 石化工业》（HJ 853-2026）；</w:t>
      </w:r>
    </w:p>
    <w:p w14:paraId="6CA414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rPr>
      </w:pPr>
      <w:r>
        <w:rPr>
          <w:rFonts w:hint="eastAsia" w:eastAsia="宋体"/>
          <w:snapToGrid w:val="0"/>
          <w:color w:val="auto"/>
          <w:kern w:val="0"/>
          <w:sz w:val="24"/>
          <w:highlight w:val="none"/>
          <w:lang w:val="en-US" w:eastAsia="zh-CN"/>
        </w:rPr>
        <w:t>（17）《</w:t>
      </w:r>
      <w:bookmarkStart w:id="48" w:name="OLE_LINK8"/>
      <w:r>
        <w:rPr>
          <w:rFonts w:hint="eastAsia" w:eastAsia="宋体"/>
          <w:snapToGrid w:val="0"/>
          <w:color w:val="auto"/>
          <w:kern w:val="0"/>
          <w:sz w:val="24"/>
          <w:highlight w:val="none"/>
          <w:lang w:val="en-US" w:eastAsia="zh-CN"/>
        </w:rPr>
        <w:t>排污单位污染物排放口监测点位设置技术规范</w:t>
      </w:r>
      <w:bookmarkEnd w:id="48"/>
      <w:r>
        <w:rPr>
          <w:rFonts w:hint="eastAsia" w:eastAsia="宋体"/>
          <w:snapToGrid w:val="0"/>
          <w:color w:val="auto"/>
          <w:kern w:val="0"/>
          <w:sz w:val="24"/>
          <w:highlight w:val="none"/>
          <w:lang w:val="en-US" w:eastAsia="zh-CN"/>
        </w:rPr>
        <w:t>》（HJ 1405-2024）；</w:t>
      </w:r>
    </w:p>
    <w:p w14:paraId="413D97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18</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rPr>
        <w:t>《排污单位自行监测技术指南 总则》（</w:t>
      </w:r>
      <w:r>
        <w:rPr>
          <w:rFonts w:hint="eastAsia" w:eastAsia="宋体"/>
          <w:snapToGrid w:val="0"/>
          <w:color w:val="auto"/>
          <w:kern w:val="0"/>
          <w:sz w:val="24"/>
          <w:highlight w:val="none"/>
          <w:lang w:eastAsia="zh-CN"/>
        </w:rPr>
        <w:t>HJ 819</w:t>
      </w:r>
      <w:r>
        <w:rPr>
          <w:rFonts w:hint="eastAsia" w:eastAsia="宋体"/>
          <w:snapToGrid w:val="0"/>
          <w:color w:val="auto"/>
          <w:kern w:val="0"/>
          <w:sz w:val="24"/>
          <w:highlight w:val="none"/>
        </w:rPr>
        <w:t>-2017）；</w:t>
      </w:r>
    </w:p>
    <w:p w14:paraId="4E05625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eastAsia="zh-CN"/>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19</w:t>
      </w:r>
      <w:r>
        <w:rPr>
          <w:rFonts w:hint="eastAsia" w:eastAsia="宋体"/>
          <w:snapToGrid w:val="0"/>
          <w:color w:val="auto"/>
          <w:kern w:val="0"/>
          <w:sz w:val="24"/>
          <w:highlight w:val="none"/>
          <w:lang w:eastAsia="zh-CN"/>
        </w:rPr>
        <w:t xml:space="preserve">）《排污单位自行监测技术指南 </w:t>
      </w:r>
      <w:r>
        <w:rPr>
          <w:rFonts w:hint="eastAsia" w:eastAsia="宋体"/>
          <w:snapToGrid w:val="0"/>
          <w:color w:val="auto"/>
          <w:kern w:val="0"/>
          <w:sz w:val="24"/>
          <w:highlight w:val="none"/>
          <w:lang w:val="en-US" w:eastAsia="zh-CN"/>
        </w:rPr>
        <w:t>石油化学工业</w:t>
      </w:r>
      <w:r>
        <w:rPr>
          <w:rFonts w:hint="eastAsia" w:eastAsia="宋体"/>
          <w:snapToGrid w:val="0"/>
          <w:color w:val="auto"/>
          <w:kern w:val="0"/>
          <w:sz w:val="24"/>
          <w:highlight w:val="none"/>
          <w:lang w:eastAsia="zh-CN"/>
        </w:rPr>
        <w:t>》</w:t>
      </w:r>
      <w:r>
        <w:rPr>
          <w:rFonts w:hint="eastAsia"/>
          <w:snapToGrid w:val="0"/>
          <w:color w:val="auto"/>
          <w:kern w:val="0"/>
          <w:sz w:val="24"/>
          <w:highlight w:val="none"/>
          <w:lang w:eastAsia="zh-CN"/>
        </w:rPr>
        <w:t>（HJ 947-2018）；</w:t>
      </w:r>
    </w:p>
    <w:p w14:paraId="4E526C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eastAsia="zh-CN"/>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20</w:t>
      </w:r>
      <w:r>
        <w:rPr>
          <w:rFonts w:hint="eastAsia"/>
          <w:snapToGrid w:val="0"/>
          <w:color w:val="auto"/>
          <w:kern w:val="0"/>
          <w:sz w:val="24"/>
          <w:highlight w:val="none"/>
          <w:lang w:eastAsia="zh-CN"/>
        </w:rPr>
        <w:t>）</w:t>
      </w:r>
      <w:r>
        <w:rPr>
          <w:rFonts w:hint="eastAsia" w:eastAsia="宋体"/>
          <w:snapToGrid w:val="0"/>
          <w:color w:val="auto"/>
          <w:kern w:val="0"/>
          <w:sz w:val="24"/>
          <w:highlight w:val="none"/>
          <w:lang w:eastAsia="zh-CN"/>
        </w:rPr>
        <w:t xml:space="preserve">《排污单位自行监测技术指南 </w:t>
      </w:r>
      <w:r>
        <w:rPr>
          <w:rFonts w:hint="eastAsia" w:eastAsia="宋体"/>
          <w:snapToGrid w:val="0"/>
          <w:color w:val="auto"/>
          <w:kern w:val="0"/>
          <w:sz w:val="24"/>
          <w:highlight w:val="none"/>
          <w:lang w:val="en-US" w:eastAsia="zh-CN"/>
        </w:rPr>
        <w:t>化学纤维制造业</w:t>
      </w:r>
      <w:r>
        <w:rPr>
          <w:rFonts w:hint="eastAsia" w:eastAsia="宋体"/>
          <w:snapToGrid w:val="0"/>
          <w:color w:val="auto"/>
          <w:kern w:val="0"/>
          <w:sz w:val="24"/>
          <w:highlight w:val="none"/>
          <w:lang w:eastAsia="zh-CN"/>
        </w:rPr>
        <w:t>》</w:t>
      </w:r>
      <w:r>
        <w:rPr>
          <w:rFonts w:hint="eastAsia"/>
          <w:snapToGrid w:val="0"/>
          <w:color w:val="auto"/>
          <w:kern w:val="0"/>
          <w:sz w:val="24"/>
          <w:highlight w:val="none"/>
          <w:lang w:eastAsia="zh-CN"/>
        </w:rPr>
        <w:t>（HJ 1139-2020）；</w:t>
      </w:r>
    </w:p>
    <w:p w14:paraId="536FE3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21</w:t>
      </w:r>
      <w:r>
        <w:rPr>
          <w:rFonts w:hint="eastAsia"/>
          <w:snapToGrid w:val="0"/>
          <w:color w:val="auto"/>
          <w:kern w:val="0"/>
          <w:sz w:val="24"/>
          <w:highlight w:val="none"/>
          <w:lang w:eastAsia="zh-CN"/>
        </w:rPr>
        <w:t>）</w:t>
      </w:r>
      <w:r>
        <w:rPr>
          <w:rFonts w:hint="eastAsia" w:eastAsia="宋体"/>
          <w:snapToGrid w:val="0"/>
          <w:color w:val="auto"/>
          <w:kern w:val="0"/>
          <w:sz w:val="24"/>
          <w:highlight w:val="none"/>
        </w:rPr>
        <w:t>《工业企业土壤和地下水自行监测技术指南（试行）》（</w:t>
      </w:r>
      <w:r>
        <w:rPr>
          <w:rFonts w:hint="eastAsia" w:eastAsia="宋体"/>
          <w:snapToGrid w:val="0"/>
          <w:color w:val="auto"/>
          <w:kern w:val="0"/>
          <w:sz w:val="24"/>
          <w:highlight w:val="none"/>
          <w:lang w:eastAsia="zh-CN"/>
        </w:rPr>
        <w:t>HJ 1209</w:t>
      </w:r>
      <w:r>
        <w:rPr>
          <w:rFonts w:hint="eastAsia" w:eastAsia="宋体"/>
          <w:snapToGrid w:val="0"/>
          <w:color w:val="auto"/>
          <w:kern w:val="0"/>
          <w:sz w:val="24"/>
          <w:highlight w:val="none"/>
        </w:rPr>
        <w:t>-2021）；</w:t>
      </w:r>
    </w:p>
    <w:p w14:paraId="54AA6C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olor w:val="auto"/>
          <w:kern w:val="0"/>
          <w:sz w:val="24"/>
          <w:szCs w:val="24"/>
          <w:highlight w:val="none"/>
        </w:rPr>
      </w:pPr>
      <w:r>
        <w:rPr>
          <w:rFonts w:hint="eastAsia" w:eastAsia="宋体"/>
          <w:color w:val="auto"/>
          <w:kern w:val="0"/>
          <w:sz w:val="24"/>
          <w:szCs w:val="24"/>
          <w:highlight w:val="none"/>
          <w:lang w:eastAsia="zh-CN"/>
        </w:rPr>
        <w:t>（</w:t>
      </w:r>
      <w:r>
        <w:rPr>
          <w:rFonts w:hint="eastAsia" w:eastAsia="宋体"/>
          <w:color w:val="auto"/>
          <w:kern w:val="0"/>
          <w:sz w:val="24"/>
          <w:szCs w:val="24"/>
          <w:highlight w:val="none"/>
          <w:lang w:val="en-US" w:eastAsia="zh-CN"/>
        </w:rPr>
        <w:t>2</w:t>
      </w:r>
      <w:r>
        <w:rPr>
          <w:rFonts w:hint="eastAsia"/>
          <w:color w:val="auto"/>
          <w:kern w:val="0"/>
          <w:sz w:val="24"/>
          <w:szCs w:val="24"/>
          <w:highlight w:val="none"/>
          <w:lang w:val="en-US" w:eastAsia="zh-CN"/>
        </w:rPr>
        <w:t>2</w:t>
      </w:r>
      <w:r>
        <w:rPr>
          <w:rFonts w:hint="eastAsia" w:eastAsia="宋体"/>
          <w:color w:val="auto"/>
          <w:kern w:val="0"/>
          <w:sz w:val="24"/>
          <w:szCs w:val="24"/>
          <w:highlight w:val="none"/>
          <w:lang w:eastAsia="zh-CN"/>
        </w:rPr>
        <w:t>）</w:t>
      </w:r>
      <w:r>
        <w:rPr>
          <w:rFonts w:hint="eastAsia" w:ascii="Times New Roman" w:hAnsi="Times New Roman" w:eastAsia="宋体"/>
          <w:color w:val="auto"/>
          <w:kern w:val="0"/>
          <w:sz w:val="24"/>
          <w:szCs w:val="24"/>
          <w:highlight w:val="none"/>
        </w:rPr>
        <w:t>《地下水环境监测技术规范》（HJ164-2020）；</w:t>
      </w:r>
    </w:p>
    <w:p w14:paraId="5B5623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olor w:val="auto"/>
          <w:kern w:val="0"/>
          <w:sz w:val="24"/>
          <w:szCs w:val="24"/>
          <w:highlight w:val="none"/>
        </w:rPr>
      </w:pPr>
      <w:r>
        <w:rPr>
          <w:rFonts w:hint="eastAsia" w:ascii="Times New Roman" w:hAnsi="Times New Roman" w:eastAsia="宋体"/>
          <w:color w:val="auto"/>
          <w:kern w:val="0"/>
          <w:sz w:val="24"/>
          <w:szCs w:val="24"/>
          <w:highlight w:val="none"/>
        </w:rPr>
        <w:t>（</w:t>
      </w:r>
      <w:r>
        <w:rPr>
          <w:rFonts w:hint="eastAsia" w:eastAsia="宋体"/>
          <w:color w:val="auto"/>
          <w:kern w:val="0"/>
          <w:sz w:val="24"/>
          <w:szCs w:val="24"/>
          <w:highlight w:val="none"/>
          <w:lang w:val="en-US" w:eastAsia="zh-CN"/>
        </w:rPr>
        <w:t>2</w:t>
      </w:r>
      <w:r>
        <w:rPr>
          <w:rFonts w:hint="eastAsia"/>
          <w:color w:val="auto"/>
          <w:kern w:val="0"/>
          <w:sz w:val="24"/>
          <w:szCs w:val="24"/>
          <w:highlight w:val="none"/>
          <w:lang w:val="en-US" w:eastAsia="zh-CN"/>
        </w:rPr>
        <w:t>3</w:t>
      </w:r>
      <w:r>
        <w:rPr>
          <w:rFonts w:hint="eastAsia" w:ascii="Times New Roman" w:hAnsi="Times New Roman" w:eastAsia="宋体"/>
          <w:color w:val="auto"/>
          <w:kern w:val="0"/>
          <w:sz w:val="24"/>
          <w:szCs w:val="24"/>
          <w:highlight w:val="none"/>
        </w:rPr>
        <w:t>）《土壤环境监测技术规范》（HJ166-20</w:t>
      </w:r>
      <w:r>
        <w:rPr>
          <w:rFonts w:hint="eastAsia" w:ascii="Times New Roman" w:hAnsi="Times New Roman" w:eastAsia="宋体"/>
          <w:color w:val="auto"/>
          <w:kern w:val="0"/>
          <w:sz w:val="24"/>
          <w:szCs w:val="24"/>
          <w:highlight w:val="none"/>
          <w:lang w:val="en-US" w:eastAsia="zh-CN"/>
        </w:rPr>
        <w:t>26</w:t>
      </w:r>
      <w:r>
        <w:rPr>
          <w:rFonts w:hint="eastAsia" w:ascii="Times New Roman" w:hAnsi="Times New Roman" w:eastAsia="宋体"/>
          <w:color w:val="auto"/>
          <w:kern w:val="0"/>
          <w:sz w:val="24"/>
          <w:szCs w:val="24"/>
          <w:highlight w:val="none"/>
        </w:rPr>
        <w:t>）；</w:t>
      </w:r>
    </w:p>
    <w:p w14:paraId="6FD3D0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2</w:t>
      </w:r>
      <w:r>
        <w:rPr>
          <w:rFonts w:hint="eastAsia"/>
          <w:snapToGrid w:val="0"/>
          <w:color w:val="auto"/>
          <w:kern w:val="0"/>
          <w:sz w:val="24"/>
          <w:highlight w:val="none"/>
          <w:lang w:val="en-US" w:eastAsia="zh-CN"/>
        </w:rPr>
        <w:t>4</w:t>
      </w:r>
      <w:r>
        <w:rPr>
          <w:rFonts w:hint="eastAsia" w:eastAsia="宋体"/>
          <w:snapToGrid w:val="0"/>
          <w:color w:val="auto"/>
          <w:kern w:val="0"/>
          <w:sz w:val="24"/>
          <w:highlight w:val="none"/>
          <w:lang w:eastAsia="zh-CN"/>
        </w:rPr>
        <w:t>）</w:t>
      </w:r>
      <w:r>
        <w:rPr>
          <w:rFonts w:eastAsia="宋体"/>
          <w:snapToGrid w:val="0"/>
          <w:color w:val="auto"/>
          <w:kern w:val="0"/>
          <w:sz w:val="24"/>
          <w:highlight w:val="none"/>
        </w:rPr>
        <w:t>《污染源源强核算技术指南 准则》</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884</w:t>
      </w:r>
      <w:r>
        <w:rPr>
          <w:rFonts w:eastAsia="宋体"/>
          <w:snapToGrid w:val="0"/>
          <w:color w:val="auto"/>
          <w:kern w:val="0"/>
          <w:sz w:val="24"/>
          <w:highlight w:val="none"/>
        </w:rPr>
        <w:t>-2018</w:t>
      </w:r>
      <w:r>
        <w:rPr>
          <w:rFonts w:hint="eastAsia" w:eastAsia="宋体"/>
          <w:snapToGrid w:val="0"/>
          <w:color w:val="auto"/>
          <w:kern w:val="0"/>
          <w:sz w:val="24"/>
          <w:highlight w:val="none"/>
        </w:rPr>
        <w:t>）；</w:t>
      </w:r>
    </w:p>
    <w:p w14:paraId="237448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2</w:t>
      </w:r>
      <w:r>
        <w:rPr>
          <w:rFonts w:hint="eastAsia"/>
          <w:snapToGrid w:val="0"/>
          <w:color w:val="auto"/>
          <w:kern w:val="0"/>
          <w:sz w:val="24"/>
          <w:highlight w:val="none"/>
          <w:lang w:val="en-US" w:eastAsia="zh-CN"/>
        </w:rPr>
        <w:t>5</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rPr>
        <w:t>《危险化学品重大危险源辨识》（</w:t>
      </w:r>
      <w:r>
        <w:rPr>
          <w:rFonts w:hint="eastAsia" w:eastAsia="宋体"/>
          <w:snapToGrid w:val="0"/>
          <w:color w:val="auto"/>
          <w:kern w:val="0"/>
          <w:sz w:val="24"/>
          <w:highlight w:val="none"/>
          <w:lang w:eastAsia="zh-CN"/>
        </w:rPr>
        <w:t>GB 18218</w:t>
      </w:r>
      <w:r>
        <w:rPr>
          <w:rFonts w:hint="eastAsia" w:eastAsia="宋体"/>
          <w:snapToGrid w:val="0"/>
          <w:color w:val="auto"/>
          <w:kern w:val="0"/>
          <w:sz w:val="24"/>
          <w:highlight w:val="none"/>
        </w:rPr>
        <w:t>-2018）；</w:t>
      </w:r>
    </w:p>
    <w:p w14:paraId="4C8387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2</w:t>
      </w:r>
      <w:r>
        <w:rPr>
          <w:rFonts w:hint="eastAsia"/>
          <w:snapToGrid w:val="0"/>
          <w:color w:val="auto"/>
          <w:kern w:val="0"/>
          <w:sz w:val="24"/>
          <w:highlight w:val="none"/>
          <w:lang w:val="en-US" w:eastAsia="zh-CN"/>
        </w:rPr>
        <w:t>6</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rPr>
        <w:t>《危险废物收集 贮存 运输技术规范》</w:t>
      </w:r>
      <w:r>
        <w:rPr>
          <w:rFonts w:eastAsia="宋体"/>
          <w:color w:val="auto"/>
          <w:kern w:val="0"/>
          <w:sz w:val="24"/>
          <w:highlight w:val="none"/>
        </w:rPr>
        <w:fldChar w:fldCharType="begin"/>
      </w:r>
      <w:r>
        <w:rPr>
          <w:rFonts w:eastAsia="宋体"/>
          <w:color w:val="auto"/>
          <w:kern w:val="0"/>
          <w:sz w:val="24"/>
          <w:highlight w:val="none"/>
        </w:rPr>
        <w:instrText xml:space="preserve"> HYPERLINK "https://www.mee.gov.cn/ywgz/fgbz/bz/bzwb/other/hjbhgc/201212/W020121231388626474080.pdf" </w:instrText>
      </w:r>
      <w:r>
        <w:rPr>
          <w:rFonts w:eastAsia="宋体"/>
          <w:color w:val="auto"/>
          <w:kern w:val="0"/>
          <w:sz w:val="24"/>
          <w:highlight w:val="none"/>
        </w:rPr>
        <w:fldChar w:fldCharType="separate"/>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HJ 2025</w:t>
      </w:r>
      <w:r>
        <w:rPr>
          <w:rFonts w:hint="eastAsia" w:eastAsia="宋体"/>
          <w:snapToGrid w:val="0"/>
          <w:color w:val="auto"/>
          <w:kern w:val="0"/>
          <w:sz w:val="24"/>
          <w:highlight w:val="none"/>
        </w:rPr>
        <w:t>-2012）</w:t>
      </w:r>
      <w:r>
        <w:rPr>
          <w:rFonts w:hint="eastAsia" w:eastAsia="宋体"/>
          <w:snapToGrid w:val="0"/>
          <w:color w:val="auto"/>
          <w:kern w:val="0"/>
          <w:sz w:val="24"/>
          <w:highlight w:val="none"/>
        </w:rPr>
        <w:fldChar w:fldCharType="end"/>
      </w:r>
      <w:r>
        <w:rPr>
          <w:rFonts w:hint="eastAsia" w:eastAsia="宋体"/>
          <w:snapToGrid w:val="0"/>
          <w:color w:val="auto"/>
          <w:kern w:val="0"/>
          <w:sz w:val="24"/>
          <w:highlight w:val="none"/>
        </w:rPr>
        <w:t>；</w:t>
      </w:r>
    </w:p>
    <w:p w14:paraId="5F4CE9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w:t>
      </w:r>
      <w:r>
        <w:rPr>
          <w:rFonts w:hint="eastAsia" w:eastAsia="宋体"/>
          <w:snapToGrid w:val="0"/>
          <w:color w:val="auto"/>
          <w:kern w:val="0"/>
          <w:sz w:val="24"/>
          <w:highlight w:val="none"/>
          <w:lang w:val="en-US" w:eastAsia="zh-CN"/>
        </w:rPr>
        <w:t>2</w:t>
      </w:r>
      <w:r>
        <w:rPr>
          <w:rFonts w:hint="eastAsia"/>
          <w:snapToGrid w:val="0"/>
          <w:color w:val="auto"/>
          <w:kern w:val="0"/>
          <w:sz w:val="24"/>
          <w:highlight w:val="none"/>
          <w:lang w:val="en-US" w:eastAsia="zh-CN"/>
        </w:rPr>
        <w:t>7</w:t>
      </w:r>
      <w:r>
        <w:rPr>
          <w:rFonts w:hint="eastAsia" w:eastAsia="宋体"/>
          <w:snapToGrid w:val="0"/>
          <w:color w:val="auto"/>
          <w:kern w:val="0"/>
          <w:sz w:val="24"/>
          <w:highlight w:val="none"/>
        </w:rPr>
        <w:t>）《危险废物识别标志设置技术规范》（</w:t>
      </w:r>
      <w:r>
        <w:rPr>
          <w:rFonts w:hint="eastAsia" w:eastAsia="宋体"/>
          <w:snapToGrid w:val="0"/>
          <w:color w:val="auto"/>
          <w:kern w:val="0"/>
          <w:sz w:val="24"/>
          <w:highlight w:val="none"/>
          <w:lang w:eastAsia="zh-CN"/>
        </w:rPr>
        <w:t>HJ 1276</w:t>
      </w:r>
      <w:r>
        <w:rPr>
          <w:rFonts w:hint="eastAsia" w:eastAsia="宋体"/>
          <w:snapToGrid w:val="0"/>
          <w:color w:val="auto"/>
          <w:kern w:val="0"/>
          <w:sz w:val="24"/>
          <w:highlight w:val="none"/>
        </w:rPr>
        <w:t>-2022）；</w:t>
      </w:r>
    </w:p>
    <w:p w14:paraId="7CCB08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（2</w:t>
      </w:r>
      <w:r>
        <w:rPr>
          <w:rFonts w:hint="eastAsia"/>
          <w:snapToGrid w:val="0"/>
          <w:color w:val="auto"/>
          <w:kern w:val="0"/>
          <w:sz w:val="24"/>
          <w:highlight w:val="none"/>
          <w:lang w:val="en-US" w:eastAsia="zh-CN"/>
        </w:rPr>
        <w:t>8</w:t>
      </w:r>
      <w:r>
        <w:rPr>
          <w:rFonts w:hint="eastAsia" w:eastAsia="宋体"/>
          <w:snapToGrid w:val="0"/>
          <w:color w:val="auto"/>
          <w:kern w:val="0"/>
          <w:sz w:val="24"/>
          <w:highlight w:val="none"/>
        </w:rPr>
        <w:t>）《</w:t>
      </w:r>
      <w:r>
        <w:rPr>
          <w:rFonts w:hint="eastAsia" w:eastAsiaTheme="minorEastAsia"/>
          <w:snapToGrid w:val="0"/>
          <w:color w:val="auto"/>
          <w:kern w:val="0"/>
          <w:sz w:val="24"/>
          <w:highlight w:val="none"/>
        </w:rPr>
        <w:t>固体废物鉴别标准</w:t>
      </w:r>
      <w:r>
        <w:rPr>
          <w:rFonts w:hint="eastAsia" w:eastAsiaTheme="minorEastAsia"/>
          <w:snapToGrid w:val="0"/>
          <w:color w:val="auto"/>
          <w:kern w:val="0"/>
          <w:sz w:val="24"/>
          <w:highlight w:val="none"/>
          <w:lang w:val="en-US" w:eastAsia="zh-CN"/>
        </w:rPr>
        <w:t xml:space="preserve"> </w:t>
      </w:r>
      <w:r>
        <w:rPr>
          <w:rFonts w:hint="eastAsia" w:eastAsiaTheme="minorEastAsia"/>
          <w:snapToGrid w:val="0"/>
          <w:color w:val="auto"/>
          <w:kern w:val="0"/>
          <w:sz w:val="24"/>
          <w:highlight w:val="none"/>
        </w:rPr>
        <w:t>通则</w:t>
      </w:r>
      <w:r>
        <w:rPr>
          <w:rFonts w:hint="eastAsia" w:eastAsia="宋体"/>
          <w:snapToGrid w:val="0"/>
          <w:color w:val="auto"/>
          <w:kern w:val="0"/>
          <w:sz w:val="24"/>
          <w:highlight w:val="none"/>
        </w:rPr>
        <w:t>》（</w:t>
      </w:r>
      <w:r>
        <w:rPr>
          <w:rFonts w:hint="eastAsia" w:eastAsia="宋体"/>
          <w:snapToGrid w:val="0"/>
          <w:color w:val="auto"/>
          <w:kern w:val="0"/>
          <w:sz w:val="24"/>
          <w:highlight w:val="none"/>
          <w:lang w:eastAsia="zh-CN"/>
        </w:rPr>
        <w:t>GB 34330</w:t>
      </w:r>
      <w:r>
        <w:rPr>
          <w:rFonts w:hint="eastAsia" w:eastAsia="宋体"/>
          <w:snapToGrid w:val="0"/>
          <w:color w:val="auto"/>
          <w:kern w:val="0"/>
          <w:sz w:val="24"/>
          <w:highlight w:val="none"/>
        </w:rPr>
        <w:t>-20</w:t>
      </w:r>
      <w:r>
        <w:rPr>
          <w:rFonts w:hint="eastAsia" w:eastAsia="宋体"/>
          <w:snapToGrid w:val="0"/>
          <w:color w:val="auto"/>
          <w:kern w:val="0"/>
          <w:sz w:val="24"/>
          <w:highlight w:val="none"/>
          <w:lang w:val="en-US" w:eastAsia="zh-CN"/>
        </w:rPr>
        <w:t>25</w:t>
      </w:r>
      <w:r>
        <w:rPr>
          <w:rFonts w:hint="eastAsia" w:eastAsia="宋体"/>
          <w:snapToGrid w:val="0"/>
          <w:color w:val="auto"/>
          <w:kern w:val="0"/>
          <w:sz w:val="24"/>
          <w:highlight w:val="none"/>
        </w:rPr>
        <w:t>）；</w:t>
      </w:r>
    </w:p>
    <w:p w14:paraId="13AABEE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olor w:val="auto"/>
          <w:kern w:val="0"/>
          <w:sz w:val="24"/>
          <w:szCs w:val="24"/>
          <w:highlight w:val="none"/>
        </w:rPr>
      </w:pPr>
      <w:r>
        <w:rPr>
          <w:rFonts w:hint="eastAsia" w:ascii="Times New Roman" w:hAnsi="Times New Roman" w:eastAsia="宋体"/>
          <w:color w:val="auto"/>
          <w:kern w:val="0"/>
          <w:sz w:val="24"/>
          <w:szCs w:val="24"/>
          <w:highlight w:val="none"/>
          <w:lang w:eastAsia="zh-CN"/>
        </w:rPr>
        <w:t>（</w:t>
      </w:r>
      <w:r>
        <w:rPr>
          <w:rFonts w:hint="eastAsia" w:ascii="Times New Roman" w:hAnsi="Times New Roman" w:eastAsia="宋体"/>
          <w:color w:val="auto"/>
          <w:kern w:val="0"/>
          <w:sz w:val="24"/>
          <w:szCs w:val="24"/>
          <w:highlight w:val="none"/>
          <w:lang w:val="en-US" w:eastAsia="zh-CN"/>
        </w:rPr>
        <w:t>2</w:t>
      </w:r>
      <w:r>
        <w:rPr>
          <w:rFonts w:hint="eastAsia"/>
          <w:color w:val="auto"/>
          <w:kern w:val="0"/>
          <w:sz w:val="24"/>
          <w:szCs w:val="24"/>
          <w:highlight w:val="none"/>
          <w:lang w:val="en-US" w:eastAsia="zh-CN"/>
        </w:rPr>
        <w:t>9</w:t>
      </w:r>
      <w:r>
        <w:rPr>
          <w:rFonts w:hint="eastAsia" w:ascii="Times New Roman" w:hAnsi="Times New Roman" w:eastAsia="宋体"/>
          <w:color w:val="auto"/>
          <w:kern w:val="0"/>
          <w:sz w:val="24"/>
          <w:szCs w:val="24"/>
          <w:highlight w:val="none"/>
          <w:lang w:eastAsia="zh-CN"/>
        </w:rPr>
        <w:t>）</w:t>
      </w:r>
      <w:r>
        <w:rPr>
          <w:rFonts w:hint="eastAsia" w:ascii="Times New Roman" w:hAnsi="Times New Roman" w:eastAsia="宋体"/>
          <w:color w:val="auto"/>
          <w:kern w:val="0"/>
          <w:sz w:val="24"/>
          <w:szCs w:val="24"/>
          <w:highlight w:val="none"/>
        </w:rPr>
        <w:t>《危险化学品储存通则》（GB15603-</w:t>
      </w:r>
      <w:r>
        <w:rPr>
          <w:rFonts w:hint="eastAsia" w:ascii="Times New Roman" w:hAnsi="Times New Roman" w:eastAsia="宋体"/>
          <w:color w:val="auto"/>
          <w:kern w:val="0"/>
          <w:sz w:val="24"/>
          <w:szCs w:val="24"/>
          <w:highlight w:val="none"/>
          <w:lang w:val="en-US" w:eastAsia="zh-CN"/>
        </w:rPr>
        <w:t>2022</w:t>
      </w:r>
      <w:r>
        <w:rPr>
          <w:rFonts w:hint="eastAsia" w:ascii="Times New Roman" w:hAnsi="Times New Roman" w:eastAsia="宋体"/>
          <w:color w:val="auto"/>
          <w:kern w:val="0"/>
          <w:sz w:val="24"/>
          <w:szCs w:val="24"/>
          <w:highlight w:val="none"/>
        </w:rPr>
        <w:t>）；</w:t>
      </w:r>
    </w:p>
    <w:p w14:paraId="72FB26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snapToGrid w:val="0"/>
          <w:color w:val="auto"/>
          <w:kern w:val="0"/>
          <w:sz w:val="24"/>
          <w:highlight w:val="none"/>
        </w:rPr>
      </w:pPr>
      <w:r>
        <w:rPr>
          <w:rFonts w:hint="eastAsia" w:eastAsia="宋体"/>
          <w:snapToGrid w:val="0"/>
          <w:color w:val="auto"/>
          <w:kern w:val="0"/>
          <w:sz w:val="24"/>
          <w:highlight w:val="none"/>
        </w:rPr>
        <w:t>（</w:t>
      </w:r>
      <w:r>
        <w:rPr>
          <w:rFonts w:hint="eastAsia"/>
          <w:snapToGrid w:val="0"/>
          <w:color w:val="auto"/>
          <w:kern w:val="0"/>
          <w:sz w:val="24"/>
          <w:highlight w:val="none"/>
          <w:lang w:val="en-US" w:eastAsia="zh-CN"/>
        </w:rPr>
        <w:t>30</w:t>
      </w:r>
      <w:r>
        <w:rPr>
          <w:rFonts w:hint="eastAsia" w:eastAsia="宋体"/>
          <w:snapToGrid w:val="0"/>
          <w:color w:val="auto"/>
          <w:kern w:val="0"/>
          <w:sz w:val="24"/>
          <w:highlight w:val="none"/>
        </w:rPr>
        <w:t>）《环境保护图形标志-固体废物贮存（处置）场》（</w:t>
      </w:r>
      <w:r>
        <w:rPr>
          <w:rFonts w:hint="eastAsia" w:eastAsia="宋体"/>
          <w:snapToGrid w:val="0"/>
          <w:color w:val="auto"/>
          <w:kern w:val="0"/>
          <w:sz w:val="24"/>
          <w:highlight w:val="none"/>
          <w:lang w:eastAsia="zh-CN"/>
        </w:rPr>
        <w:t>GB 15562</w:t>
      </w:r>
      <w:r>
        <w:rPr>
          <w:rFonts w:hint="eastAsia" w:eastAsia="宋体"/>
          <w:snapToGrid w:val="0"/>
          <w:color w:val="auto"/>
          <w:kern w:val="0"/>
          <w:sz w:val="24"/>
          <w:highlight w:val="none"/>
        </w:rPr>
        <w:t>.2-1995）及修改单；</w:t>
      </w:r>
    </w:p>
    <w:p w14:paraId="68F258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olor w:val="auto"/>
          <w:kern w:val="0"/>
          <w:sz w:val="24"/>
          <w:szCs w:val="24"/>
          <w:highlight w:val="none"/>
        </w:rPr>
      </w:pPr>
      <w:r>
        <w:rPr>
          <w:rFonts w:hint="eastAsia" w:ascii="Times New Roman" w:hAnsi="Times New Roman" w:eastAsia="宋体"/>
          <w:color w:val="auto"/>
          <w:kern w:val="0"/>
          <w:sz w:val="24"/>
          <w:szCs w:val="24"/>
          <w:highlight w:val="none"/>
        </w:rPr>
        <w:t>（</w:t>
      </w:r>
      <w:r>
        <w:rPr>
          <w:rFonts w:hint="eastAsia"/>
          <w:color w:val="auto"/>
          <w:kern w:val="0"/>
          <w:sz w:val="24"/>
          <w:szCs w:val="24"/>
          <w:highlight w:val="none"/>
          <w:lang w:val="en-US" w:eastAsia="zh-CN"/>
        </w:rPr>
        <w:t>31</w:t>
      </w:r>
      <w:r>
        <w:rPr>
          <w:rFonts w:hint="eastAsia" w:ascii="Times New Roman" w:hAnsi="Times New Roman" w:eastAsia="宋体"/>
          <w:color w:val="auto"/>
          <w:kern w:val="0"/>
          <w:sz w:val="24"/>
          <w:szCs w:val="24"/>
          <w:highlight w:val="none"/>
        </w:rPr>
        <w:t>）《石油化工工程防渗技术规范》（GB/T50934-2013）；</w:t>
      </w:r>
    </w:p>
    <w:p w14:paraId="3DC1F0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olor w:val="auto"/>
          <w:kern w:val="0"/>
          <w:sz w:val="24"/>
          <w:szCs w:val="24"/>
          <w:highlight w:val="none"/>
        </w:rPr>
      </w:pPr>
      <w:r>
        <w:rPr>
          <w:rFonts w:hint="eastAsia" w:ascii="Times New Roman" w:hAnsi="Times New Roman" w:eastAsia="宋体"/>
          <w:color w:val="auto"/>
          <w:kern w:val="0"/>
          <w:sz w:val="24"/>
          <w:szCs w:val="24"/>
          <w:highlight w:val="none"/>
        </w:rPr>
        <w:t>（</w:t>
      </w:r>
      <w:r>
        <w:rPr>
          <w:rFonts w:hint="eastAsia" w:eastAsia="宋体"/>
          <w:color w:val="auto"/>
          <w:kern w:val="0"/>
          <w:sz w:val="24"/>
          <w:szCs w:val="24"/>
          <w:highlight w:val="none"/>
          <w:lang w:val="en-US" w:eastAsia="zh-CN"/>
        </w:rPr>
        <w:t>3</w:t>
      </w:r>
      <w:r>
        <w:rPr>
          <w:rFonts w:hint="eastAsia"/>
          <w:color w:val="auto"/>
          <w:kern w:val="0"/>
          <w:sz w:val="24"/>
          <w:szCs w:val="24"/>
          <w:highlight w:val="none"/>
          <w:lang w:val="en-US" w:eastAsia="zh-CN"/>
        </w:rPr>
        <w:t>2</w:t>
      </w:r>
      <w:r>
        <w:rPr>
          <w:rFonts w:hint="eastAsia" w:ascii="Times New Roman" w:hAnsi="Times New Roman" w:eastAsia="宋体"/>
          <w:color w:val="auto"/>
          <w:kern w:val="0"/>
          <w:sz w:val="24"/>
          <w:szCs w:val="24"/>
          <w:highlight w:val="none"/>
        </w:rPr>
        <w:t>）《石油化工储运系统罐区设计规范》（SH/T3007-2014）；</w:t>
      </w:r>
    </w:p>
    <w:p w14:paraId="0DD4B7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olor w:val="auto"/>
          <w:kern w:val="0"/>
          <w:sz w:val="24"/>
          <w:szCs w:val="24"/>
          <w:highlight w:val="none"/>
        </w:rPr>
      </w:pPr>
      <w:r>
        <w:rPr>
          <w:rFonts w:hint="eastAsia" w:ascii="Times New Roman" w:hAnsi="Times New Roman" w:eastAsia="宋体"/>
          <w:color w:val="auto"/>
          <w:kern w:val="0"/>
          <w:sz w:val="24"/>
          <w:szCs w:val="24"/>
          <w:highlight w:val="none"/>
        </w:rPr>
        <w:t>（</w:t>
      </w:r>
      <w:r>
        <w:rPr>
          <w:rFonts w:hint="eastAsia" w:eastAsia="宋体"/>
          <w:color w:val="auto"/>
          <w:kern w:val="0"/>
          <w:sz w:val="24"/>
          <w:szCs w:val="24"/>
          <w:highlight w:val="none"/>
          <w:lang w:val="en-US" w:eastAsia="zh-CN"/>
        </w:rPr>
        <w:t>3</w:t>
      </w:r>
      <w:r>
        <w:rPr>
          <w:rFonts w:hint="eastAsia"/>
          <w:color w:val="auto"/>
          <w:kern w:val="0"/>
          <w:sz w:val="24"/>
          <w:szCs w:val="24"/>
          <w:highlight w:val="none"/>
          <w:lang w:val="en-US" w:eastAsia="zh-CN"/>
        </w:rPr>
        <w:t>3</w:t>
      </w:r>
      <w:r>
        <w:rPr>
          <w:rFonts w:hint="eastAsia" w:ascii="Times New Roman" w:hAnsi="Times New Roman" w:eastAsia="宋体"/>
          <w:color w:val="auto"/>
          <w:kern w:val="0"/>
          <w:sz w:val="24"/>
          <w:szCs w:val="24"/>
          <w:highlight w:val="none"/>
        </w:rPr>
        <w:t>）</w:t>
      </w:r>
      <w:r>
        <w:rPr>
          <w:rFonts w:ascii="Times New Roman" w:hAnsi="Times New Roman" w:eastAsia="宋体"/>
          <w:color w:val="auto"/>
          <w:kern w:val="0"/>
          <w:sz w:val="24"/>
          <w:szCs w:val="24"/>
          <w:highlight w:val="none"/>
        </w:rPr>
        <w:t>《</w:t>
      </w:r>
      <w:r>
        <w:rPr>
          <w:rFonts w:hint="eastAsia" w:ascii="Times New Roman" w:hAnsi="Times New Roman" w:eastAsia="宋体"/>
          <w:color w:val="auto"/>
          <w:kern w:val="0"/>
          <w:sz w:val="24"/>
          <w:szCs w:val="24"/>
          <w:highlight w:val="none"/>
        </w:rPr>
        <w:t>化工建设项目环境保护工程设计标准</w:t>
      </w:r>
      <w:r>
        <w:rPr>
          <w:rFonts w:ascii="Times New Roman" w:hAnsi="Times New Roman" w:eastAsia="宋体"/>
          <w:color w:val="auto"/>
          <w:kern w:val="0"/>
          <w:sz w:val="24"/>
          <w:szCs w:val="24"/>
          <w:highlight w:val="none"/>
        </w:rPr>
        <w:t>》（GB/T50483-2019）</w:t>
      </w:r>
      <w:r>
        <w:rPr>
          <w:rFonts w:hint="eastAsia" w:ascii="Times New Roman" w:hAnsi="Times New Roman" w:eastAsia="宋体"/>
          <w:color w:val="auto"/>
          <w:kern w:val="0"/>
          <w:sz w:val="24"/>
          <w:szCs w:val="24"/>
          <w:highlight w:val="none"/>
        </w:rPr>
        <w:t>；</w:t>
      </w:r>
    </w:p>
    <w:p w14:paraId="6E7E0B06">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bookmarkStart w:id="49" w:name="_Toc479357408"/>
      <w:r>
        <w:rPr>
          <w:rFonts w:hint="eastAsia" w:ascii="Times New Roman" w:hAnsi="Times New Roman" w:cs="Times New Roman"/>
          <w:snapToGrid w:val="0"/>
          <w:color w:val="auto"/>
          <w:spacing w:val="0"/>
          <w:kern w:val="0"/>
          <w:szCs w:val="24"/>
          <w:highlight w:val="none"/>
        </w:rPr>
        <w:t>2.1.5项目相关资料</w:t>
      </w:r>
      <w:bookmarkEnd w:id="49"/>
    </w:p>
    <w:p w14:paraId="1403CFD9">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（1）《凯赛（乌苏）生物材料有限公司生物法年产40000吨二元酸项目申请报告》，中国中轻国际工程有限公司，2026年4月18日；</w:t>
      </w:r>
    </w:p>
    <w:p w14:paraId="0D2F118D">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（2）项目备案证；</w:t>
      </w:r>
    </w:p>
    <w:p w14:paraId="1CE30A20">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（3）凯赛（乌苏）生物材料有限公司自行监测报告；</w:t>
      </w:r>
    </w:p>
    <w:p w14:paraId="0519DE73">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（4）</w:t>
      </w:r>
      <w:r>
        <w:rPr>
          <w:rFonts w:hint="eastAsia" w:eastAsiaTheme="minorEastAsia"/>
          <w:snapToGrid w:val="0"/>
          <w:color w:val="auto"/>
          <w:kern w:val="0"/>
          <w:sz w:val="24"/>
          <w:highlight w:val="none"/>
          <w:lang w:val="en-US" w:eastAsia="zh-CN"/>
        </w:rPr>
        <w:t>项目</w:t>
      </w:r>
      <w:r>
        <w:rPr>
          <w:rFonts w:eastAsiaTheme="minorEastAsia"/>
          <w:snapToGrid w:val="0"/>
          <w:color w:val="auto"/>
          <w:kern w:val="0"/>
          <w:sz w:val="24"/>
          <w:highlight w:val="none"/>
        </w:rPr>
        <w:t>委托书；</w:t>
      </w:r>
    </w:p>
    <w:p w14:paraId="15D31158">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（5）</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环境质量现状</w:t>
      </w:r>
      <w:r>
        <w:rPr>
          <w:rFonts w:hint="eastAsia" w:eastAsiaTheme="minorEastAsia"/>
          <w:snapToGrid w:val="0"/>
          <w:color w:val="auto"/>
          <w:kern w:val="0"/>
          <w:sz w:val="24"/>
          <w:highlight w:val="none"/>
          <w:lang w:val="en-US" w:eastAsia="zh-CN"/>
        </w:rPr>
        <w:t>检测</w:t>
      </w:r>
      <w:r>
        <w:rPr>
          <w:rFonts w:hint="eastAsia" w:eastAsiaTheme="minorEastAsia"/>
          <w:snapToGrid w:val="0"/>
          <w:color w:val="auto"/>
          <w:kern w:val="0"/>
          <w:sz w:val="24"/>
          <w:highlight w:val="none"/>
        </w:rPr>
        <w:t>报告</w:t>
      </w:r>
      <w:r>
        <w:rPr>
          <w:rFonts w:eastAsiaTheme="minorEastAsia"/>
          <w:snapToGrid w:val="0"/>
          <w:color w:val="auto"/>
          <w:kern w:val="0"/>
          <w:sz w:val="24"/>
          <w:highlight w:val="none"/>
        </w:rPr>
        <w:t>；</w:t>
      </w:r>
    </w:p>
    <w:p w14:paraId="3E24E6F6">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（6）</w:t>
      </w:r>
      <w:r>
        <w:rPr>
          <w:rFonts w:eastAsiaTheme="minorEastAsia"/>
          <w:snapToGrid w:val="0"/>
          <w:color w:val="auto"/>
          <w:kern w:val="0"/>
          <w:sz w:val="24"/>
          <w:highlight w:val="none"/>
        </w:rPr>
        <w:t>建设单位提供的其他</w:t>
      </w:r>
      <w:r>
        <w:rPr>
          <w:rFonts w:hint="eastAsia" w:eastAsiaTheme="minorEastAsia"/>
          <w:snapToGrid w:val="0"/>
          <w:color w:val="auto"/>
          <w:kern w:val="0"/>
          <w:sz w:val="24"/>
          <w:highlight w:val="none"/>
        </w:rPr>
        <w:t>相关</w:t>
      </w:r>
      <w:r>
        <w:rPr>
          <w:rFonts w:eastAsiaTheme="minorEastAsia"/>
          <w:snapToGrid w:val="0"/>
          <w:color w:val="auto"/>
          <w:kern w:val="0"/>
          <w:sz w:val="24"/>
          <w:highlight w:val="none"/>
        </w:rPr>
        <w:t>技术支持文件。</w:t>
      </w:r>
    </w:p>
    <w:p w14:paraId="004B7D10">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50" w:name="_Toc507155707"/>
      <w:bookmarkStart w:id="51" w:name="_Toc738"/>
      <w:bookmarkStart w:id="52" w:name="_Toc1505"/>
      <w:bookmarkStart w:id="53" w:name="_Toc188349433"/>
      <w:bookmarkStart w:id="54" w:name="_Toc9409"/>
      <w:bookmarkStart w:id="55" w:name="_Toc146967231"/>
      <w:bookmarkStart w:id="56" w:name="_Toc149705130"/>
      <w:bookmarkStart w:id="57" w:name="_Toc327365461"/>
      <w:r>
        <w:rPr>
          <w:rFonts w:hint="eastAsia" w:ascii="Times New Roman" w:hAnsi="Times New Roman" w:cs="Times New Roman"/>
          <w:b w:val="0"/>
          <w:bCs w:val="0"/>
          <w:snapToGrid w:val="0"/>
          <w:color w:val="auto"/>
          <w:kern w:val="0"/>
          <w:sz w:val="28"/>
          <w:szCs w:val="28"/>
          <w:highlight w:val="none"/>
        </w:rPr>
        <w:t>2.2 评价目的与原则</w:t>
      </w:r>
      <w:bookmarkEnd w:id="50"/>
      <w:bookmarkEnd w:id="51"/>
      <w:bookmarkEnd w:id="52"/>
    </w:p>
    <w:p w14:paraId="08B995C1">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2.2.1评价目的</w:t>
      </w:r>
    </w:p>
    <w:p w14:paraId="7CF9FCA4">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w:t>
      </w:r>
      <w:r>
        <w:rPr>
          <w:rFonts w:eastAsiaTheme="minorEastAsia"/>
          <w:snapToGrid w:val="0"/>
          <w:color w:val="auto"/>
          <w:kern w:val="0"/>
          <w:sz w:val="24"/>
          <w:highlight w:val="none"/>
        </w:rPr>
        <w:t>通过调查、收集资料与实测，了解本项目评价范围内的自然环境和</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环境质量现状；</w:t>
      </w:r>
    </w:p>
    <w:p w14:paraId="31DE4A67">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（2）通过工程分析，明确本项目的主要污染源、污染物种类、排放源强，并对污染物达标排放进行分析</w:t>
      </w:r>
      <w:r>
        <w:rPr>
          <w:rFonts w:eastAsiaTheme="minorEastAsia"/>
          <w:snapToGrid w:val="0"/>
          <w:color w:val="auto"/>
          <w:kern w:val="0"/>
          <w:sz w:val="24"/>
          <w:highlight w:val="none"/>
        </w:rPr>
        <w:t>；</w:t>
      </w:r>
    </w:p>
    <w:p w14:paraId="05C00724">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（3）论证本项目采取的</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环境保护措施技术可行性及经济合理性，并针对存在的问题，提出预防或者减轻不良</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环境影响的对策和措施</w:t>
      </w:r>
      <w:r>
        <w:rPr>
          <w:rFonts w:eastAsiaTheme="minorEastAsia"/>
          <w:snapToGrid w:val="0"/>
          <w:color w:val="auto"/>
          <w:kern w:val="0"/>
          <w:sz w:val="24"/>
          <w:highlight w:val="none"/>
        </w:rPr>
        <w:t>；</w:t>
      </w:r>
    </w:p>
    <w:p w14:paraId="2576747D">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（4）论证项目与产业政策的符合性、与相关规划的相容性、资源利用可行性、生态环境分区管控符合性；</w:t>
      </w:r>
    </w:p>
    <w:p w14:paraId="6F18FABC">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（5）分析本项目可能存在的事故隐患，提出具体的</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环境风险防范措施。</w:t>
      </w:r>
    </w:p>
    <w:p w14:paraId="7FE44F20">
      <w:pPr>
        <w:tabs>
          <w:tab w:val="left" w:pos="630"/>
        </w:tabs>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通过上述评价，论证项目在</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环境方面的可行性，给出</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环境影响评价结论，为生态环境主管部门提供决策依据。</w:t>
      </w:r>
    </w:p>
    <w:p w14:paraId="3B05D00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2.2.2评价原则</w:t>
      </w:r>
    </w:p>
    <w:p w14:paraId="0E66A0C8">
      <w:pPr>
        <w:adjustRightInd w:val="0"/>
        <w:snapToGrid w:val="0"/>
        <w:spacing w:line="360" w:lineRule="auto"/>
        <w:ind w:firstLine="480" w:firstLineChars="200"/>
        <w:rPr>
          <w:rFonts w:eastAsiaTheme="minorEastAsia"/>
          <w:snapToGrid w:val="0"/>
          <w:color w:val="auto"/>
          <w:kern w:val="0"/>
          <w:sz w:val="24"/>
          <w:highlight w:val="none"/>
        </w:rPr>
      </w:pPr>
      <w:r>
        <w:rPr>
          <w:rFonts w:eastAsiaTheme="minorEastAsia"/>
          <w:snapToGrid w:val="0"/>
          <w:color w:val="auto"/>
          <w:kern w:val="0"/>
          <w:sz w:val="24"/>
          <w:highlight w:val="none"/>
        </w:rPr>
        <w:t>突出</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环境影响评价的源头预防作用，坚持保护和改善</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环境质量。</w:t>
      </w:r>
    </w:p>
    <w:p w14:paraId="2A6CB49B">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w:t>
      </w:r>
      <w:r>
        <w:rPr>
          <w:rFonts w:eastAsiaTheme="minorEastAsia"/>
          <w:snapToGrid w:val="0"/>
          <w:color w:val="auto"/>
          <w:kern w:val="0"/>
          <w:sz w:val="24"/>
          <w:highlight w:val="none"/>
        </w:rPr>
        <w:t>依法评价</w:t>
      </w:r>
      <w:r>
        <w:rPr>
          <w:rFonts w:hint="eastAsia" w:eastAsiaTheme="minorEastAsia"/>
          <w:snapToGrid w:val="0"/>
          <w:color w:val="auto"/>
          <w:kern w:val="0"/>
          <w:sz w:val="24"/>
          <w:highlight w:val="none"/>
        </w:rPr>
        <w:t>：</w:t>
      </w:r>
      <w:r>
        <w:rPr>
          <w:rFonts w:eastAsiaTheme="minorEastAsia"/>
          <w:snapToGrid w:val="0"/>
          <w:color w:val="auto"/>
          <w:kern w:val="0"/>
          <w:sz w:val="24"/>
          <w:highlight w:val="none"/>
        </w:rPr>
        <w:t>贯彻执行我国</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环境保护相关法律法规、标准、政策和规划等，优化项目建设，服务</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环境管理。</w:t>
      </w:r>
    </w:p>
    <w:p w14:paraId="0949D8C1">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w:t>
      </w:r>
      <w:r>
        <w:rPr>
          <w:rFonts w:eastAsiaTheme="minorEastAsia"/>
          <w:snapToGrid w:val="0"/>
          <w:color w:val="auto"/>
          <w:kern w:val="0"/>
          <w:sz w:val="24"/>
          <w:highlight w:val="none"/>
        </w:rPr>
        <w:t>科学评价</w:t>
      </w:r>
      <w:r>
        <w:rPr>
          <w:rFonts w:hint="eastAsia" w:eastAsiaTheme="minorEastAsia"/>
          <w:snapToGrid w:val="0"/>
          <w:color w:val="auto"/>
          <w:kern w:val="0"/>
          <w:sz w:val="24"/>
          <w:highlight w:val="none"/>
        </w:rPr>
        <w:t>：</w:t>
      </w:r>
      <w:r>
        <w:rPr>
          <w:rFonts w:eastAsiaTheme="minorEastAsia"/>
          <w:snapToGrid w:val="0"/>
          <w:color w:val="auto"/>
          <w:kern w:val="0"/>
          <w:sz w:val="24"/>
          <w:highlight w:val="none"/>
        </w:rPr>
        <w:t>规范</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环境影响评价方法，科学分析项目建设对</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环境质量的影响。</w:t>
      </w:r>
    </w:p>
    <w:p w14:paraId="3E0C57A8">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w:t>
      </w:r>
      <w:r>
        <w:rPr>
          <w:rFonts w:eastAsiaTheme="minorEastAsia"/>
          <w:snapToGrid w:val="0"/>
          <w:color w:val="auto"/>
          <w:kern w:val="0"/>
          <w:sz w:val="24"/>
          <w:highlight w:val="none"/>
        </w:rPr>
        <w:t>突出重点</w:t>
      </w:r>
      <w:r>
        <w:rPr>
          <w:rFonts w:hint="eastAsia" w:eastAsiaTheme="minorEastAsia"/>
          <w:snapToGrid w:val="0"/>
          <w:color w:val="auto"/>
          <w:kern w:val="0"/>
          <w:sz w:val="24"/>
          <w:highlight w:val="none"/>
        </w:rPr>
        <w:t>：</w:t>
      </w:r>
      <w:r>
        <w:rPr>
          <w:rFonts w:eastAsiaTheme="minorEastAsia"/>
          <w:snapToGrid w:val="0"/>
          <w:color w:val="auto"/>
          <w:kern w:val="0"/>
          <w:sz w:val="24"/>
          <w:highlight w:val="none"/>
        </w:rPr>
        <w:t>根据建设项目的工程内容及其特点，明确与环境要素间的作用效应关系，根据规划环境影响评价结论和审查意见，充分利用符合时效的数据资料及成果，对建设项目主要</w:t>
      </w:r>
      <w:r>
        <w:rPr>
          <w:rFonts w:hint="eastAsia" w:eastAsiaTheme="minorEastAsia"/>
          <w:snapToGrid w:val="0"/>
          <w:color w:val="auto"/>
          <w:kern w:val="0"/>
          <w:sz w:val="24"/>
          <w:highlight w:val="none"/>
          <w:lang w:val="en-US" w:eastAsia="zh-CN"/>
        </w:rPr>
        <w:t>生态</w:t>
      </w:r>
      <w:r>
        <w:rPr>
          <w:rFonts w:eastAsiaTheme="minorEastAsia"/>
          <w:snapToGrid w:val="0"/>
          <w:color w:val="auto"/>
          <w:kern w:val="0"/>
          <w:sz w:val="24"/>
          <w:highlight w:val="none"/>
        </w:rPr>
        <w:t>环境影响予以重点分析和评价。</w:t>
      </w:r>
    </w:p>
    <w:p w14:paraId="7BE09C26">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58" w:name="_Toc16536"/>
      <w:bookmarkStart w:id="59" w:name="_Toc30824"/>
      <w:r>
        <w:rPr>
          <w:rFonts w:hint="eastAsia" w:ascii="Times New Roman" w:hAnsi="Times New Roman" w:cs="Times New Roman"/>
          <w:b w:val="0"/>
          <w:bCs w:val="0"/>
          <w:snapToGrid w:val="0"/>
          <w:color w:val="auto"/>
          <w:kern w:val="0"/>
          <w:sz w:val="28"/>
          <w:szCs w:val="28"/>
          <w:highlight w:val="none"/>
        </w:rPr>
        <w:t xml:space="preserve">2.3 </w:t>
      </w:r>
      <w:r>
        <w:rPr>
          <w:rFonts w:hint="eastAsia" w:ascii="Times New Roman" w:hAnsi="Times New Roman" w:cs="Times New Roman"/>
          <w:b w:val="0"/>
          <w:bCs w:val="0"/>
          <w:snapToGrid w:val="0"/>
          <w:color w:val="auto"/>
          <w:kern w:val="0"/>
          <w:sz w:val="28"/>
          <w:szCs w:val="28"/>
          <w:highlight w:val="none"/>
          <w:lang w:val="en-US" w:eastAsia="zh-CN"/>
        </w:rPr>
        <w:t>生态</w:t>
      </w:r>
      <w:r>
        <w:rPr>
          <w:rFonts w:hint="eastAsia" w:ascii="Times New Roman" w:hAnsi="Times New Roman" w:cs="Times New Roman"/>
          <w:b w:val="0"/>
          <w:bCs w:val="0"/>
          <w:snapToGrid w:val="0"/>
          <w:color w:val="auto"/>
          <w:kern w:val="0"/>
          <w:sz w:val="28"/>
          <w:szCs w:val="28"/>
          <w:highlight w:val="none"/>
        </w:rPr>
        <w:t>环境影响因素识别及评价因子筛选</w:t>
      </w:r>
      <w:bookmarkEnd w:id="58"/>
      <w:bookmarkEnd w:id="59"/>
    </w:p>
    <w:p w14:paraId="63C5412D">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2.3.1</w:t>
      </w:r>
      <w:r>
        <w:rPr>
          <w:rFonts w:hint="eastAsia" w:ascii="Times New Roman" w:hAns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rPr>
        <w:t>环境影响要素识别</w:t>
      </w:r>
    </w:p>
    <w:p w14:paraId="6E60B55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rPr>
      </w:pPr>
      <w:r>
        <w:rPr>
          <w:rFonts w:hint="eastAsia" w:ascii="宋体" w:hAnsi="宋体" w:eastAsia="宋体" w:cs="宋体"/>
          <w:b/>
          <w:bCs w:val="0"/>
          <w:snapToGrid w:val="0"/>
          <w:color w:val="auto"/>
          <w:spacing w:val="0"/>
          <w:w w:val="100"/>
          <w:kern w:val="0"/>
          <w:sz w:val="24"/>
          <w:szCs w:val="24"/>
          <w:highlight w:val="none"/>
          <w:lang w:val="en-US" w:eastAsia="zh-CN"/>
        </w:rPr>
        <w:t>2.3.1.1</w:t>
      </w:r>
      <w:r>
        <w:rPr>
          <w:rFonts w:hint="eastAsia" w:ascii="宋体" w:hAnsi="宋体" w:eastAsia="宋体" w:cs="宋体"/>
          <w:b/>
          <w:bCs w:val="0"/>
          <w:snapToGrid w:val="0"/>
          <w:color w:val="auto"/>
          <w:spacing w:val="0"/>
          <w:w w:val="100"/>
          <w:kern w:val="0"/>
          <w:sz w:val="24"/>
          <w:szCs w:val="24"/>
          <w:highlight w:val="none"/>
        </w:rPr>
        <w:t>施工期</w:t>
      </w:r>
      <w:r>
        <w:rPr>
          <w:rFonts w:hint="eastAsia" w:ascii="宋体" w:hAnsi="宋体" w:eastAsia="宋体" w:cs="宋体"/>
          <w:b/>
          <w:bCs w:val="0"/>
          <w:snapToGrid w:val="0"/>
          <w:color w:val="auto"/>
          <w:spacing w:val="0"/>
          <w:w w:val="100"/>
          <w:kern w:val="0"/>
          <w:sz w:val="24"/>
          <w:szCs w:val="24"/>
          <w:highlight w:val="none"/>
          <w:lang w:val="en-US" w:eastAsia="zh-CN"/>
        </w:rPr>
        <w:t>生态</w:t>
      </w:r>
      <w:r>
        <w:rPr>
          <w:rFonts w:hint="eastAsia" w:ascii="宋体" w:hAnsi="宋体" w:eastAsia="宋体" w:cs="宋体"/>
          <w:b/>
          <w:bCs w:val="0"/>
          <w:snapToGrid w:val="0"/>
          <w:color w:val="auto"/>
          <w:spacing w:val="0"/>
          <w:w w:val="100"/>
          <w:kern w:val="0"/>
          <w:sz w:val="24"/>
          <w:szCs w:val="24"/>
          <w:highlight w:val="none"/>
        </w:rPr>
        <w:t>环境影响要素识别</w:t>
      </w:r>
    </w:p>
    <w:p w14:paraId="2FF57903">
      <w:pPr>
        <w:pStyle w:val="54"/>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根据项目所在地和评价范围，结合施工期的主要特点，本项目施工期对</w:t>
      </w:r>
      <w:r>
        <w:rPr>
          <w:rFonts w:hint="eastAsia" w:ascii="Times New Roman" w:hAnsi="Times New Roman" w:cs="Times New Roman"/>
          <w:snapToGrid w:val="0"/>
          <w:color w:val="auto"/>
          <w:kern w:val="0"/>
          <w:sz w:val="24"/>
          <w:highlight w:val="none"/>
          <w:lang w:val="en-US" w:eastAsia="zh-CN"/>
        </w:rPr>
        <w:t>生态</w:t>
      </w:r>
      <w:r>
        <w:rPr>
          <w:rFonts w:hint="eastAsia" w:ascii="Times New Roman" w:hAnsi="Times New Roman" w:cs="Times New Roman"/>
          <w:snapToGrid w:val="0"/>
          <w:color w:val="auto"/>
          <w:kern w:val="0"/>
          <w:sz w:val="24"/>
          <w:highlight w:val="none"/>
        </w:rPr>
        <w:t>环境造成的影响因素主要有：因土方开挖、建构筑物砌筑及建筑材料运输、装卸等将产生的扬尘，施工机械设备排放的废气，运输车辆排放的尾气以及施工人员的生活垃圾等会对环境空气产生不利影响；施工人员产生的生活污水</w:t>
      </w:r>
      <w:r>
        <w:rPr>
          <w:rFonts w:hint="eastAsia" w:ascii="Times New Roman" w:hAnsi="Times New Roman" w:cs="Times New Roman"/>
          <w:snapToGrid w:val="0"/>
          <w:color w:val="auto"/>
          <w:kern w:val="0"/>
          <w:sz w:val="24"/>
          <w:highlight w:val="none"/>
          <w:lang w:val="en-US" w:eastAsia="zh-CN"/>
        </w:rPr>
        <w:t>和</w:t>
      </w:r>
      <w:r>
        <w:rPr>
          <w:rFonts w:hint="eastAsia" w:ascii="Times New Roman" w:hAnsi="Times New Roman" w:cs="Times New Roman"/>
          <w:snapToGrid w:val="0"/>
          <w:color w:val="auto"/>
          <w:kern w:val="0"/>
          <w:sz w:val="24"/>
          <w:highlight w:val="none"/>
        </w:rPr>
        <w:t>建设过程中产生的生产污水</w:t>
      </w:r>
      <w:r>
        <w:rPr>
          <w:rFonts w:hint="eastAsia" w:ascii="Times New Roman" w:hAnsi="Times New Roman" w:cs="Times New Roman"/>
          <w:snapToGrid w:val="0"/>
          <w:color w:val="auto"/>
          <w:kern w:val="0"/>
          <w:sz w:val="24"/>
          <w:highlight w:val="none"/>
          <w:lang w:eastAsia="zh-CN"/>
        </w:rPr>
        <w:t>会对水环境</w:t>
      </w:r>
      <w:r>
        <w:rPr>
          <w:rFonts w:hint="eastAsia" w:ascii="Times New Roman" w:hAnsi="Times New Roman" w:cs="Times New Roman"/>
          <w:snapToGrid w:val="0"/>
          <w:color w:val="auto"/>
          <w:kern w:val="0"/>
          <w:sz w:val="24"/>
          <w:highlight w:val="none"/>
        </w:rPr>
        <w:t>产生不利影响；施工人员产生的生活垃圾和工程建筑</w:t>
      </w:r>
      <w:r>
        <w:rPr>
          <w:rFonts w:hint="eastAsia" w:ascii="Times New Roman" w:hAnsi="Times New Roman" w:cs="Times New Roman"/>
          <w:snapToGrid w:val="0"/>
          <w:color w:val="auto"/>
          <w:kern w:val="0"/>
          <w:sz w:val="24"/>
          <w:highlight w:val="none"/>
          <w:lang w:eastAsia="zh-CN"/>
        </w:rPr>
        <w:t>垃圾处置不当</w:t>
      </w:r>
      <w:r>
        <w:rPr>
          <w:rFonts w:hint="eastAsia" w:ascii="Times New Roman" w:hAnsi="Times New Roman" w:cs="Times New Roman"/>
          <w:snapToGrid w:val="0"/>
          <w:color w:val="auto"/>
          <w:kern w:val="0"/>
          <w:sz w:val="24"/>
          <w:highlight w:val="none"/>
        </w:rPr>
        <w:t>，会对生态环境产生影响；工程建设中各类施工机械运行和作业产生的噪声</w:t>
      </w:r>
      <w:r>
        <w:rPr>
          <w:rFonts w:hint="eastAsia" w:ascii="Times New Roman" w:hAnsi="Times New Roman" w:cs="Times New Roman"/>
          <w:snapToGrid w:val="0"/>
          <w:color w:val="auto"/>
          <w:kern w:val="0"/>
          <w:sz w:val="24"/>
          <w:highlight w:val="none"/>
          <w:lang w:val="en-US" w:eastAsia="zh-CN"/>
        </w:rPr>
        <w:t>和</w:t>
      </w:r>
      <w:r>
        <w:rPr>
          <w:rFonts w:hint="eastAsia" w:ascii="Times New Roman" w:hAnsi="Times New Roman" w:cs="Times New Roman"/>
          <w:snapToGrid w:val="0"/>
          <w:color w:val="auto"/>
          <w:kern w:val="0"/>
          <w:sz w:val="24"/>
          <w:highlight w:val="none"/>
        </w:rPr>
        <w:t>运输车辆产生的噪声等</w:t>
      </w:r>
      <w:r>
        <w:rPr>
          <w:rFonts w:hint="eastAsia" w:ascii="Times New Roman" w:hAnsi="Times New Roman" w:cs="Times New Roman"/>
          <w:snapToGrid w:val="0"/>
          <w:color w:val="auto"/>
          <w:kern w:val="0"/>
          <w:sz w:val="24"/>
          <w:highlight w:val="none"/>
          <w:lang w:eastAsia="zh-CN"/>
        </w:rPr>
        <w:t>会对</w:t>
      </w:r>
      <w:r>
        <w:rPr>
          <w:rFonts w:hint="eastAsia" w:ascii="Times New Roman" w:hAnsi="Times New Roman" w:cs="Times New Roman"/>
          <w:snapToGrid w:val="0"/>
          <w:color w:val="auto"/>
          <w:kern w:val="0"/>
          <w:sz w:val="24"/>
          <w:highlight w:val="none"/>
        </w:rPr>
        <w:t>声环境产生影响；施工期的作业活动将改变场地地形条件</w:t>
      </w:r>
      <w:r>
        <w:rPr>
          <w:rFonts w:hint="eastAsia" w:ascii="Times New Roman" w:hAnsi="Times New Roman" w:cs="Times New Roman"/>
          <w:snapToGrid w:val="0"/>
          <w:color w:val="auto"/>
          <w:kern w:val="0"/>
          <w:sz w:val="24"/>
          <w:highlight w:val="none"/>
          <w:lang w:eastAsia="zh-CN"/>
        </w:rPr>
        <w:t>，造成</w:t>
      </w:r>
      <w:r>
        <w:rPr>
          <w:rFonts w:hint="eastAsia" w:ascii="Times New Roman" w:hAnsi="Times New Roman" w:cs="Times New Roman"/>
          <w:snapToGrid w:val="0"/>
          <w:color w:val="auto"/>
          <w:kern w:val="0"/>
          <w:sz w:val="24"/>
          <w:highlight w:val="none"/>
        </w:rPr>
        <w:t>原有景观的改变。施工期的</w:t>
      </w:r>
      <w:r>
        <w:rPr>
          <w:rFonts w:hint="eastAsia" w:ascii="Times New Roman" w:hAnsi="Times New Roman" w:cs="Times New Roman"/>
          <w:snapToGrid w:val="0"/>
          <w:color w:val="auto"/>
          <w:kern w:val="0"/>
          <w:sz w:val="24"/>
          <w:highlight w:val="none"/>
          <w:lang w:val="en-US" w:eastAsia="zh-CN"/>
        </w:rPr>
        <w:t>生态</w:t>
      </w:r>
      <w:r>
        <w:rPr>
          <w:rFonts w:hint="eastAsia" w:ascii="Times New Roman" w:hAnsi="Times New Roman" w:cs="Times New Roman"/>
          <w:snapToGrid w:val="0"/>
          <w:color w:val="auto"/>
          <w:kern w:val="0"/>
          <w:sz w:val="24"/>
          <w:highlight w:val="none"/>
        </w:rPr>
        <w:t>环境影响具有阶段性，是短期影响，会随着施工期的结束而消失。另外，施工机械设备作业、车辆运输作业及人员活动等将使施工区的生态遭到破坏；场地平整、建构筑物砌筑、固体废物的不合理处置，导致与原有周围景观的不协调，破坏景观美学；且建构筑物、装置等设施将永久占用土地，改变土地用途。因此该类影响是长期的，但影响范围是局部的。</w:t>
      </w:r>
    </w:p>
    <w:p w14:paraId="3748C52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2.3.1.2运营期生态环境影响要素识别</w:t>
      </w:r>
    </w:p>
    <w:p w14:paraId="30E1779F">
      <w:pPr>
        <w:pStyle w:val="54"/>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cs="Times New Roman"/>
          <w:snapToGrid w:val="0"/>
          <w:color w:val="auto"/>
          <w:kern w:val="0"/>
          <w:sz w:val="24"/>
          <w:szCs w:val="24"/>
          <w:highlight w:val="none"/>
        </w:rPr>
      </w:pPr>
      <w:r>
        <w:rPr>
          <w:rFonts w:hint="eastAsia" w:ascii="Times New Roman" w:hAnsi="Times New Roman" w:cs="Times New Roman"/>
          <w:snapToGrid w:val="0"/>
          <w:color w:val="auto"/>
          <w:kern w:val="0"/>
          <w:sz w:val="24"/>
          <w:szCs w:val="24"/>
          <w:highlight w:val="none"/>
        </w:rPr>
        <w:t>运营期</w:t>
      </w:r>
      <w:r>
        <w:rPr>
          <w:rFonts w:hint="eastAsia" w:ascii="Times New Roman" w:hAnsi="Times New Roman" w:cs="Times New Roman"/>
          <w:snapToGrid w:val="0"/>
          <w:color w:val="auto"/>
          <w:kern w:val="0"/>
          <w:sz w:val="24"/>
          <w:szCs w:val="24"/>
          <w:highlight w:val="none"/>
          <w:lang w:val="en-US" w:eastAsia="zh-CN"/>
        </w:rPr>
        <w:t>生态</w:t>
      </w:r>
      <w:r>
        <w:rPr>
          <w:rFonts w:hint="eastAsia" w:ascii="Times New Roman" w:hAnsi="Times New Roman" w:cs="Times New Roman"/>
          <w:snapToGrid w:val="0"/>
          <w:color w:val="auto"/>
          <w:kern w:val="0"/>
          <w:sz w:val="24"/>
          <w:szCs w:val="24"/>
          <w:highlight w:val="none"/>
        </w:rPr>
        <w:t>环境影响因素识别结果如下：</w:t>
      </w:r>
    </w:p>
    <w:p w14:paraId="09C927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napToGrid w:val="0"/>
          <w:color w:val="auto"/>
          <w:kern w:val="0"/>
          <w:sz w:val="24"/>
          <w:szCs w:val="24"/>
          <w:highlight w:val="none"/>
        </w:rPr>
      </w:pPr>
      <w:r>
        <w:rPr>
          <w:rFonts w:hint="eastAsia" w:ascii="Times New Roman" w:hAnsi="Times New Roman" w:cs="Times New Roman"/>
          <w:snapToGrid w:val="0"/>
          <w:color w:val="auto"/>
          <w:kern w:val="0"/>
          <w:sz w:val="24"/>
          <w:szCs w:val="24"/>
          <w:highlight w:val="none"/>
        </w:rPr>
        <w:t>①环境空气：</w:t>
      </w:r>
      <w:r>
        <w:rPr>
          <w:rFonts w:hint="eastAsia" w:ascii="Times New Roman" w:hAnsi="Times New Roman" w:cs="Times New Roman"/>
          <w:snapToGrid w:val="0"/>
          <w:color w:val="auto"/>
          <w:kern w:val="0"/>
          <w:sz w:val="24"/>
          <w:szCs w:val="24"/>
          <w:highlight w:val="none"/>
          <w:lang w:val="en-US" w:eastAsia="zh-CN"/>
        </w:rPr>
        <w:t>发酵废气</w:t>
      </w:r>
      <w:r>
        <w:rPr>
          <w:rFonts w:hint="eastAsia" w:ascii="Times New Roman" w:hAnsi="Times New Roman" w:cs="Times New Roman"/>
          <w:snapToGrid w:val="0"/>
          <w:color w:val="auto"/>
          <w:kern w:val="0"/>
          <w:sz w:val="24"/>
          <w:szCs w:val="24"/>
          <w:highlight w:val="none"/>
          <w:lang w:bidi="ar"/>
        </w:rPr>
        <w:t>主要污染物为</w:t>
      </w:r>
      <w:r>
        <w:rPr>
          <w:rFonts w:hint="eastAsia" w:ascii="Times New Roman" w:hAnsi="Times New Roman" w:cs="Times New Roman"/>
          <w:snapToGrid w:val="0"/>
          <w:color w:val="auto"/>
          <w:kern w:val="0"/>
          <w:sz w:val="24"/>
          <w:szCs w:val="24"/>
          <w:highlight w:val="none"/>
          <w:lang w:val="en-US" w:eastAsia="zh-CN" w:bidi="ar"/>
        </w:rPr>
        <w:t>颗粒物、NMHC、NH</w:t>
      </w:r>
      <w:r>
        <w:rPr>
          <w:rFonts w:hint="eastAsia" w:ascii="Times New Roman" w:hAnsi="Times New Roman" w:cs="Times New Roman"/>
          <w:snapToGrid w:val="0"/>
          <w:color w:val="auto"/>
          <w:kern w:val="0"/>
          <w:sz w:val="24"/>
          <w:szCs w:val="24"/>
          <w:highlight w:val="none"/>
          <w:vertAlign w:val="subscript"/>
          <w:lang w:val="en-US" w:eastAsia="zh-CN" w:bidi="ar"/>
        </w:rPr>
        <w:t>3</w:t>
      </w:r>
      <w:r>
        <w:rPr>
          <w:rFonts w:hint="eastAsia" w:ascii="Times New Roman" w:hAnsi="Times New Roman" w:cs="Times New Roman"/>
          <w:snapToGrid w:val="0"/>
          <w:color w:val="auto"/>
          <w:kern w:val="0"/>
          <w:sz w:val="24"/>
          <w:szCs w:val="24"/>
          <w:highlight w:val="none"/>
          <w:lang w:val="en-US" w:eastAsia="zh-CN" w:bidi="ar"/>
        </w:rPr>
        <w:t>、H</w:t>
      </w:r>
      <w:r>
        <w:rPr>
          <w:rFonts w:hint="eastAsia" w:ascii="Times New Roman" w:hAnsi="Times New Roman" w:cs="Times New Roman"/>
          <w:snapToGrid w:val="0"/>
          <w:color w:val="auto"/>
          <w:kern w:val="0"/>
          <w:sz w:val="24"/>
          <w:szCs w:val="24"/>
          <w:highlight w:val="none"/>
          <w:vertAlign w:val="subscript"/>
          <w:lang w:val="en-US" w:eastAsia="zh-CN" w:bidi="ar"/>
        </w:rPr>
        <w:t>2</w:t>
      </w:r>
      <w:r>
        <w:rPr>
          <w:rFonts w:hint="eastAsia" w:ascii="Times New Roman" w:hAnsi="Times New Roman" w:cs="Times New Roman"/>
          <w:snapToGrid w:val="0"/>
          <w:color w:val="auto"/>
          <w:kern w:val="0"/>
          <w:sz w:val="24"/>
          <w:szCs w:val="24"/>
          <w:highlight w:val="none"/>
          <w:lang w:val="en-US" w:eastAsia="zh-CN" w:bidi="ar"/>
        </w:rPr>
        <w:t>S、臭气浓度</w:t>
      </w:r>
      <w:r>
        <w:rPr>
          <w:rFonts w:hint="eastAsia" w:ascii="Times New Roman" w:hAnsi="Times New Roman" w:cs="Times New Roman"/>
          <w:snapToGrid w:val="0"/>
          <w:color w:val="auto"/>
          <w:kern w:val="0"/>
          <w:sz w:val="24"/>
          <w:szCs w:val="24"/>
          <w:highlight w:val="none"/>
          <w:lang w:bidi="ar"/>
        </w:rPr>
        <w:t>，</w:t>
      </w:r>
      <w:r>
        <w:rPr>
          <w:rFonts w:hint="eastAsia" w:ascii="Times New Roman" w:hAnsi="Times New Roman" w:cs="Times New Roman"/>
          <w:snapToGrid w:val="0"/>
          <w:color w:val="auto"/>
          <w:kern w:val="0"/>
          <w:sz w:val="24"/>
          <w:szCs w:val="24"/>
          <w:highlight w:val="none"/>
          <w:lang w:val="en-US" w:eastAsia="zh-CN" w:bidi="ar"/>
        </w:rPr>
        <w:t>采用</w:t>
      </w:r>
      <w:r>
        <w:rPr>
          <w:rFonts w:hint="eastAsia" w:cs="Times New Roman"/>
          <w:snapToGrid w:val="0"/>
          <w:color w:val="auto"/>
          <w:kern w:val="0"/>
          <w:sz w:val="24"/>
          <w:szCs w:val="24"/>
          <w:highlight w:val="none"/>
          <w:lang w:val="en-US" w:eastAsia="zh-CN" w:bidi="ar"/>
        </w:rPr>
        <w:t>旋风分离器</w:t>
      </w:r>
      <w:r>
        <w:rPr>
          <w:rFonts w:hint="eastAsia" w:ascii="Times New Roman" w:hAnsi="Times New Roman" w:cs="Times New Roman"/>
          <w:snapToGrid w:val="0"/>
          <w:color w:val="auto"/>
          <w:kern w:val="0"/>
          <w:sz w:val="24"/>
          <w:szCs w:val="24"/>
          <w:highlight w:val="none"/>
          <w:lang w:val="en-US" w:eastAsia="zh-CN" w:bidi="ar"/>
        </w:rPr>
        <w:t>+活性炭吸附工艺处理</w:t>
      </w:r>
      <w:r>
        <w:rPr>
          <w:rFonts w:hint="eastAsia" w:ascii="Times New Roman" w:hAnsi="Times New Roman" w:cs="Times New Roman"/>
          <w:snapToGrid w:val="0"/>
          <w:color w:val="auto"/>
          <w:kern w:val="0"/>
          <w:sz w:val="24"/>
          <w:szCs w:val="24"/>
          <w:highlight w:val="none"/>
          <w:lang w:eastAsia="zh-CN" w:bidi="ar"/>
        </w:rPr>
        <w:t>；</w:t>
      </w:r>
      <w:r>
        <w:rPr>
          <w:rFonts w:hint="eastAsia" w:ascii="Times New Roman" w:hAnsi="Times New Roman" w:cs="Times New Roman"/>
          <w:snapToGrid w:val="0"/>
          <w:color w:val="auto"/>
          <w:kern w:val="0"/>
          <w:sz w:val="24"/>
          <w:szCs w:val="24"/>
          <w:highlight w:val="none"/>
          <w:lang w:val="en-US" w:eastAsia="zh-CN" w:bidi="ar"/>
        </w:rPr>
        <w:t>酸化</w:t>
      </w:r>
      <w:r>
        <w:rPr>
          <w:rFonts w:hint="eastAsia" w:ascii="Times New Roman" w:hAnsi="Times New Roman" w:cs="Times New Roman"/>
          <w:snapToGrid w:val="0"/>
          <w:color w:val="auto"/>
          <w:kern w:val="0"/>
          <w:sz w:val="24"/>
          <w:szCs w:val="24"/>
          <w:highlight w:val="none"/>
          <w:lang w:bidi="ar"/>
        </w:rPr>
        <w:t>废气主要污染物为</w:t>
      </w:r>
      <w:r>
        <w:rPr>
          <w:rFonts w:hint="eastAsia" w:ascii="Times New Roman" w:hAnsi="Times New Roman" w:cs="Times New Roman"/>
          <w:snapToGrid w:val="0"/>
          <w:color w:val="auto"/>
          <w:kern w:val="0"/>
          <w:sz w:val="24"/>
          <w:szCs w:val="24"/>
          <w:highlight w:val="none"/>
          <w:lang w:val="en-US" w:eastAsia="zh-CN" w:bidi="ar"/>
        </w:rPr>
        <w:t>硫酸雾、NMHC</w:t>
      </w:r>
      <w:r>
        <w:rPr>
          <w:rFonts w:hint="eastAsia" w:ascii="Times New Roman" w:hAnsi="Times New Roman" w:cs="Times New Roman"/>
          <w:snapToGrid w:val="0"/>
          <w:color w:val="auto"/>
          <w:kern w:val="0"/>
          <w:sz w:val="24"/>
          <w:szCs w:val="24"/>
          <w:highlight w:val="none"/>
          <w:lang w:bidi="ar"/>
        </w:rPr>
        <w:t>，</w:t>
      </w:r>
      <w:r>
        <w:rPr>
          <w:rFonts w:hint="eastAsia" w:ascii="Times New Roman" w:hAnsi="Times New Roman" w:cs="Times New Roman"/>
          <w:snapToGrid w:val="0"/>
          <w:color w:val="auto"/>
          <w:kern w:val="0"/>
          <w:sz w:val="24"/>
          <w:szCs w:val="24"/>
          <w:highlight w:val="none"/>
          <w:lang w:val="en-US" w:eastAsia="zh-CN" w:bidi="ar"/>
        </w:rPr>
        <w:t>采用一级水洗+一级碱洗工艺处理</w:t>
      </w:r>
      <w:r>
        <w:rPr>
          <w:rFonts w:hint="eastAsia" w:ascii="Times New Roman" w:hAnsi="Times New Roman" w:cs="Times New Roman"/>
          <w:snapToGrid w:val="0"/>
          <w:color w:val="auto"/>
          <w:kern w:val="0"/>
          <w:sz w:val="24"/>
          <w:szCs w:val="24"/>
          <w:highlight w:val="none"/>
          <w:lang w:eastAsia="zh-CN" w:bidi="ar"/>
        </w:rPr>
        <w:t>；</w:t>
      </w:r>
      <w:r>
        <w:rPr>
          <w:rFonts w:hint="eastAsia" w:ascii="Times New Roman" w:hAnsi="Times New Roman" w:cs="Times New Roman"/>
          <w:snapToGrid w:val="0"/>
          <w:color w:val="auto"/>
          <w:kern w:val="0"/>
          <w:sz w:val="24"/>
          <w:szCs w:val="24"/>
          <w:highlight w:val="none"/>
          <w:lang w:val="en-US" w:eastAsia="zh-CN" w:bidi="ar"/>
        </w:rPr>
        <w:t>粗品干燥</w:t>
      </w:r>
      <w:r>
        <w:rPr>
          <w:rFonts w:hint="eastAsia" w:ascii="Times New Roman" w:hAnsi="Times New Roman" w:cs="Times New Roman"/>
          <w:snapToGrid w:val="0"/>
          <w:color w:val="auto"/>
          <w:kern w:val="0"/>
          <w:sz w:val="24"/>
          <w:szCs w:val="24"/>
          <w:highlight w:val="none"/>
          <w:lang w:bidi="ar"/>
        </w:rPr>
        <w:t>废气</w:t>
      </w:r>
      <w:r>
        <w:rPr>
          <w:rFonts w:hint="eastAsia" w:ascii="Times New Roman" w:hAnsi="Times New Roman" w:cs="Times New Roman"/>
          <w:snapToGrid w:val="0"/>
          <w:color w:val="auto"/>
          <w:kern w:val="0"/>
          <w:sz w:val="24"/>
          <w:szCs w:val="24"/>
          <w:highlight w:val="none"/>
          <w:lang w:val="en-US" w:eastAsia="zh-CN" w:bidi="ar"/>
        </w:rPr>
        <w:t>主要污染物为颗粒物、NMHC，采用布袋除尘+一级水洗+一级碱洗工艺处理</w:t>
      </w:r>
      <w:r>
        <w:rPr>
          <w:rFonts w:hint="eastAsia" w:ascii="Times New Roman" w:hAnsi="Times New Roman" w:cs="Times New Roman"/>
          <w:snapToGrid w:val="0"/>
          <w:color w:val="auto"/>
          <w:kern w:val="0"/>
          <w:sz w:val="24"/>
          <w:szCs w:val="24"/>
          <w:highlight w:val="none"/>
          <w:lang w:eastAsia="zh-CN" w:bidi="ar"/>
        </w:rPr>
        <w:t>；</w:t>
      </w:r>
      <w:r>
        <w:rPr>
          <w:rFonts w:hint="eastAsia" w:ascii="Times New Roman" w:hAnsi="Times New Roman" w:cs="Times New Roman"/>
          <w:snapToGrid w:val="0"/>
          <w:color w:val="auto"/>
          <w:kern w:val="0"/>
          <w:sz w:val="24"/>
          <w:szCs w:val="24"/>
          <w:highlight w:val="none"/>
          <w:lang w:val="en-US" w:eastAsia="zh-CN"/>
        </w:rPr>
        <w:t>成品</w:t>
      </w:r>
      <w:r>
        <w:rPr>
          <w:rFonts w:hint="eastAsia" w:ascii="Times New Roman" w:hAnsi="Times New Roman" w:cs="Times New Roman"/>
          <w:snapToGrid w:val="0"/>
          <w:color w:val="auto"/>
          <w:kern w:val="0"/>
          <w:sz w:val="24"/>
          <w:szCs w:val="24"/>
          <w:highlight w:val="none"/>
        </w:rPr>
        <w:t>干燥废气</w:t>
      </w:r>
      <w:r>
        <w:rPr>
          <w:rFonts w:hint="eastAsia" w:ascii="Times New Roman" w:hAnsi="Times New Roman" w:cs="Times New Roman"/>
          <w:snapToGrid w:val="0"/>
          <w:color w:val="auto"/>
          <w:kern w:val="0"/>
          <w:sz w:val="24"/>
          <w:szCs w:val="24"/>
          <w:highlight w:val="none"/>
          <w:lang w:val="en-US" w:eastAsia="zh-CN" w:bidi="ar"/>
        </w:rPr>
        <w:t>主要污染物为颗粒物，</w:t>
      </w:r>
      <w:r>
        <w:rPr>
          <w:rFonts w:hint="eastAsia" w:ascii="Times New Roman" w:hAnsi="Times New Roman" w:cs="Times New Roman"/>
          <w:snapToGrid w:val="0"/>
          <w:color w:val="auto"/>
          <w:kern w:val="0"/>
          <w:sz w:val="24"/>
          <w:szCs w:val="24"/>
          <w:highlight w:val="none"/>
          <w:lang w:val="en-US" w:eastAsia="zh-CN"/>
        </w:rPr>
        <w:t>采用袋式除尘+二级水洗+一级碱洗工艺处理；活性炭再生炉烟气</w:t>
      </w:r>
      <w:r>
        <w:rPr>
          <w:rFonts w:hint="eastAsia" w:ascii="Times New Roman" w:hAnsi="Times New Roman" w:cs="Times New Roman"/>
          <w:snapToGrid w:val="0"/>
          <w:color w:val="auto"/>
          <w:kern w:val="0"/>
          <w:sz w:val="24"/>
          <w:szCs w:val="24"/>
          <w:highlight w:val="none"/>
          <w:lang w:val="en-US" w:eastAsia="zh-CN" w:bidi="ar"/>
        </w:rPr>
        <w:t>主要污染物为颗粒物、SO</w:t>
      </w:r>
      <w:r>
        <w:rPr>
          <w:rFonts w:hint="eastAsia" w:ascii="Times New Roman" w:hAnsi="Times New Roman" w:cs="Times New Roman"/>
          <w:snapToGrid w:val="0"/>
          <w:color w:val="auto"/>
          <w:kern w:val="0"/>
          <w:sz w:val="24"/>
          <w:szCs w:val="24"/>
          <w:highlight w:val="none"/>
          <w:vertAlign w:val="subscript"/>
          <w:lang w:val="en-US" w:eastAsia="zh-CN" w:bidi="ar"/>
        </w:rPr>
        <w:t>2</w:t>
      </w:r>
      <w:r>
        <w:rPr>
          <w:rFonts w:hint="eastAsia" w:ascii="Times New Roman" w:hAnsi="Times New Roman" w:cs="Times New Roman"/>
          <w:snapToGrid w:val="0"/>
          <w:color w:val="auto"/>
          <w:kern w:val="0"/>
          <w:sz w:val="24"/>
          <w:szCs w:val="24"/>
          <w:highlight w:val="none"/>
          <w:lang w:val="en-US" w:eastAsia="zh-CN" w:bidi="ar"/>
        </w:rPr>
        <w:t>、NO</w:t>
      </w:r>
      <w:r>
        <w:rPr>
          <w:rFonts w:hint="eastAsia" w:ascii="Times New Roman" w:hAnsi="Times New Roman" w:cs="Times New Roman"/>
          <w:snapToGrid w:val="0"/>
          <w:color w:val="auto"/>
          <w:kern w:val="0"/>
          <w:sz w:val="24"/>
          <w:szCs w:val="24"/>
          <w:highlight w:val="none"/>
          <w:vertAlign w:val="subscript"/>
          <w:lang w:val="en-US" w:eastAsia="zh-CN" w:bidi="ar"/>
        </w:rPr>
        <w:t>X</w:t>
      </w:r>
      <w:r>
        <w:rPr>
          <w:rFonts w:hint="eastAsia" w:ascii="Times New Roman" w:hAnsi="Times New Roman" w:cs="Times New Roman"/>
          <w:snapToGrid w:val="0"/>
          <w:color w:val="auto"/>
          <w:kern w:val="0"/>
          <w:sz w:val="24"/>
          <w:szCs w:val="24"/>
          <w:highlight w:val="none"/>
          <w:lang w:val="en-US" w:eastAsia="zh-CN" w:bidi="ar"/>
        </w:rPr>
        <w:t>，</w:t>
      </w:r>
      <w:r>
        <w:rPr>
          <w:rFonts w:hint="eastAsia" w:ascii="Times New Roman" w:hAnsi="Times New Roman" w:cs="Times New Roman"/>
          <w:snapToGrid w:val="0"/>
          <w:color w:val="auto"/>
          <w:kern w:val="0"/>
          <w:sz w:val="24"/>
          <w:szCs w:val="24"/>
          <w:highlight w:val="none"/>
          <w:lang w:val="en-US" w:eastAsia="zh-CN"/>
        </w:rPr>
        <w:t>采用RTO焚烧+余热回收+二级水洗+一级碱洗工艺处理；罐区废气</w:t>
      </w:r>
      <w:r>
        <w:rPr>
          <w:rFonts w:hint="eastAsia" w:ascii="Times New Roman" w:hAnsi="Times New Roman" w:cs="Times New Roman"/>
          <w:snapToGrid w:val="0"/>
          <w:color w:val="auto"/>
          <w:kern w:val="0"/>
          <w:sz w:val="24"/>
          <w:szCs w:val="24"/>
          <w:highlight w:val="none"/>
          <w:lang w:val="en-US" w:eastAsia="zh-CN" w:bidi="ar"/>
        </w:rPr>
        <w:t>主要污染物为NMHC，</w:t>
      </w:r>
      <w:r>
        <w:rPr>
          <w:rFonts w:hint="eastAsia" w:ascii="Times New Roman" w:hAnsi="Times New Roman" w:cs="Times New Roman"/>
          <w:snapToGrid w:val="0"/>
          <w:color w:val="auto"/>
          <w:kern w:val="0"/>
          <w:sz w:val="24"/>
          <w:szCs w:val="24"/>
          <w:highlight w:val="none"/>
          <w:lang w:val="en-US" w:eastAsia="zh-CN"/>
        </w:rPr>
        <w:t>采用冷凝+活性炭吸附工艺处理</w:t>
      </w:r>
      <w:r>
        <w:rPr>
          <w:rFonts w:hint="eastAsia" w:ascii="Times New Roman" w:hAnsi="Times New Roman" w:cs="Times New Roman"/>
          <w:snapToGrid w:val="0"/>
          <w:color w:val="auto"/>
          <w:kern w:val="0"/>
          <w:sz w:val="24"/>
          <w:szCs w:val="24"/>
          <w:highlight w:val="none"/>
        </w:rPr>
        <w:t>。</w:t>
      </w:r>
    </w:p>
    <w:p w14:paraId="098B6BA0">
      <w:pPr>
        <w:pStyle w:val="54"/>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cs="Times New Roman"/>
          <w:snapToGrid w:val="0"/>
          <w:color w:val="auto"/>
          <w:kern w:val="0"/>
          <w:sz w:val="24"/>
          <w:szCs w:val="24"/>
          <w:highlight w:val="none"/>
        </w:rPr>
      </w:pPr>
      <w:r>
        <w:rPr>
          <w:rFonts w:hint="eastAsia" w:ascii="Times New Roman" w:hAnsi="Times New Roman" w:cs="Times New Roman"/>
          <w:snapToGrid w:val="0"/>
          <w:color w:val="auto"/>
          <w:kern w:val="0"/>
          <w:sz w:val="24"/>
          <w:szCs w:val="24"/>
          <w:highlight w:val="none"/>
        </w:rPr>
        <w:t>②声环境：噪声主要来自压缩机</w:t>
      </w:r>
      <w:r>
        <w:rPr>
          <w:rFonts w:hint="eastAsia" w:ascii="Times New Roman" w:hAnsi="Times New Roman" w:cs="Times New Roman"/>
          <w:snapToGrid w:val="0"/>
          <w:color w:val="auto"/>
          <w:kern w:val="0"/>
          <w:sz w:val="24"/>
          <w:szCs w:val="24"/>
          <w:highlight w:val="none"/>
          <w:lang w:eastAsia="zh-CN"/>
        </w:rPr>
        <w:t>、</w:t>
      </w:r>
      <w:r>
        <w:rPr>
          <w:rFonts w:hint="eastAsia" w:ascii="Times New Roman" w:hAnsi="Times New Roman" w:cs="Times New Roman"/>
          <w:snapToGrid w:val="0"/>
          <w:color w:val="auto"/>
          <w:kern w:val="0"/>
          <w:sz w:val="24"/>
          <w:szCs w:val="24"/>
          <w:highlight w:val="none"/>
          <w:lang w:val="en-US" w:eastAsia="zh-CN"/>
        </w:rPr>
        <w:t>风机</w:t>
      </w:r>
      <w:r>
        <w:rPr>
          <w:rFonts w:hint="eastAsia" w:ascii="Times New Roman" w:hAnsi="Times New Roman" w:cs="Times New Roman"/>
          <w:snapToGrid w:val="0"/>
          <w:color w:val="auto"/>
          <w:kern w:val="0"/>
          <w:sz w:val="24"/>
          <w:szCs w:val="24"/>
          <w:highlight w:val="none"/>
        </w:rPr>
        <w:t>及各种泵类，设备运行噪声对周围声环境会产生影响。</w:t>
      </w:r>
    </w:p>
    <w:p w14:paraId="02A3C1EA">
      <w:pPr>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Times New Roman" w:hAnsi="Times New Roman" w:eastAsia="宋体" w:cs="Times New Roman"/>
          <w:snapToGrid w:val="0"/>
          <w:color w:val="auto"/>
          <w:spacing w:val="-6"/>
          <w:kern w:val="0"/>
          <w:sz w:val="24"/>
          <w:szCs w:val="24"/>
          <w:highlight w:val="none"/>
          <w:lang w:eastAsia="zh-CN"/>
        </w:rPr>
      </w:pPr>
      <w:r>
        <w:rPr>
          <w:rFonts w:hint="eastAsia" w:ascii="Times New Roman" w:hAnsi="Times New Roman" w:cs="Times New Roman"/>
          <w:snapToGrid w:val="0"/>
          <w:color w:val="auto"/>
          <w:spacing w:val="-6"/>
          <w:kern w:val="0"/>
          <w:sz w:val="24"/>
          <w:szCs w:val="24"/>
          <w:highlight w:val="none"/>
        </w:rPr>
        <w:t>③水环境：本项目发酵清洗废水、分离废水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ascii="Times New Roman" w:hAnsi="Times New Roman" w:cs="Times New Roman"/>
          <w:snapToGrid w:val="0"/>
          <w:color w:val="auto"/>
          <w:spacing w:val="-6"/>
          <w:kern w:val="0"/>
          <w:sz w:val="24"/>
          <w:szCs w:val="24"/>
          <w:highlight w:val="none"/>
          <w:lang w:val="en-US" w:eastAsia="zh-CN"/>
        </w:rPr>
        <w:t>排入</w:t>
      </w:r>
      <w:r>
        <w:rPr>
          <w:rFonts w:hint="eastAsia" w:ascii="Times New Roman" w:hAnsi="Times New Roman" w:cs="Times New Roman"/>
          <w:snapToGrid w:val="0"/>
          <w:color w:val="auto"/>
          <w:spacing w:val="-6"/>
          <w:kern w:val="0"/>
          <w:sz w:val="24"/>
          <w:szCs w:val="24"/>
          <w:highlight w:val="none"/>
        </w:rPr>
        <w:t>西区污水处理厂</w:t>
      </w:r>
      <w:r>
        <w:rPr>
          <w:rFonts w:hint="eastAsia" w:ascii="Times New Roman" w:hAnsi="Times New Roman" w:cs="Times New Roman"/>
          <w:snapToGrid w:val="0"/>
          <w:color w:val="auto"/>
          <w:spacing w:val="-6"/>
          <w:kern w:val="0"/>
          <w:sz w:val="24"/>
          <w:szCs w:val="24"/>
          <w:highlight w:val="none"/>
          <w:lang w:val="en-US" w:eastAsia="zh-CN"/>
        </w:rPr>
        <w:t>二</w:t>
      </w:r>
      <w:r>
        <w:rPr>
          <w:rFonts w:hint="eastAsia" w:ascii="Times New Roman" w:hAnsi="Times New Roman" w:cs="Times New Roman"/>
          <w:snapToGrid w:val="0"/>
          <w:color w:val="auto"/>
          <w:spacing w:val="-6"/>
          <w:kern w:val="0"/>
          <w:sz w:val="24"/>
          <w:szCs w:val="24"/>
          <w:highlight w:val="none"/>
        </w:rPr>
        <w:t>期工程</w:t>
      </w:r>
      <w:r>
        <w:rPr>
          <w:rFonts w:hint="eastAsia" w:ascii="Times New Roman" w:hAnsi="Times New Roman" w:cs="Times New Roman"/>
          <w:snapToGrid w:val="0"/>
          <w:color w:val="auto"/>
          <w:spacing w:val="-6"/>
          <w:kern w:val="0"/>
          <w:sz w:val="24"/>
          <w:szCs w:val="24"/>
          <w:highlight w:val="none"/>
          <w:lang w:val="en-US" w:eastAsia="zh-CN"/>
        </w:rPr>
        <w:t>处理</w:t>
      </w:r>
      <w:r>
        <w:rPr>
          <w:rFonts w:hint="eastAsia" w:ascii="Times New Roman" w:hAnsi="Times New Roman" w:cs="Times New Roman"/>
          <w:snapToGrid w:val="0"/>
          <w:color w:val="auto"/>
          <w:spacing w:val="-6"/>
          <w:kern w:val="0"/>
          <w:sz w:val="24"/>
          <w:szCs w:val="24"/>
          <w:highlight w:val="none"/>
          <w:lang w:eastAsia="zh-CN"/>
        </w:rPr>
        <w:t>；</w:t>
      </w:r>
      <w:r>
        <w:rPr>
          <w:rFonts w:hint="eastAsia" w:ascii="Times New Roman" w:hAnsi="Times New Roman" w:cs="Times New Roman"/>
          <w:snapToGrid w:val="0"/>
          <w:color w:val="auto"/>
          <w:spacing w:val="-6"/>
          <w:kern w:val="0"/>
          <w:sz w:val="24"/>
          <w:szCs w:val="24"/>
          <w:highlight w:val="none"/>
        </w:rPr>
        <w:t>循环水排污依托现有污水处理站中水段</w:t>
      </w:r>
      <w:r>
        <w:rPr>
          <w:rFonts w:hint="eastAsia" w:ascii="Times New Roman" w:hAnsi="Times New Roman" w:cs="Times New Roman"/>
          <w:snapToGrid w:val="0"/>
          <w:color w:val="auto"/>
          <w:spacing w:val="-6"/>
          <w:kern w:val="0"/>
          <w:sz w:val="24"/>
          <w:szCs w:val="24"/>
          <w:highlight w:val="none"/>
          <w:lang w:val="en-US" w:eastAsia="zh-CN"/>
        </w:rPr>
        <w:t>处理；</w:t>
      </w:r>
      <w:r>
        <w:rPr>
          <w:rFonts w:hint="eastAsia" w:ascii="Times New Roman" w:hAnsi="Times New Roman" w:cs="Times New Roman"/>
          <w:snapToGrid w:val="0"/>
          <w:color w:val="auto"/>
          <w:spacing w:val="-6"/>
          <w:kern w:val="0"/>
          <w:sz w:val="24"/>
          <w:szCs w:val="24"/>
          <w:highlight w:val="none"/>
        </w:rPr>
        <w:t>生活污水</w:t>
      </w:r>
      <w:r>
        <w:rPr>
          <w:rFonts w:hint="eastAsia" w:ascii="Times New Roman" w:hAnsi="Times New Roman" w:cs="Times New Roman"/>
          <w:snapToGrid w:val="0"/>
          <w:color w:val="auto"/>
          <w:spacing w:val="-6"/>
          <w:kern w:val="0"/>
          <w:sz w:val="24"/>
          <w:szCs w:val="24"/>
          <w:highlight w:val="none"/>
          <w:lang w:eastAsia="zh-CN"/>
        </w:rPr>
        <w:t>、</w:t>
      </w:r>
      <w:r>
        <w:rPr>
          <w:rFonts w:hint="eastAsia" w:ascii="Times New Roman" w:hAnsi="Times New Roman" w:cs="Times New Roman"/>
          <w:snapToGrid w:val="0"/>
          <w:color w:val="auto"/>
          <w:spacing w:val="-6"/>
          <w:kern w:val="0"/>
          <w:sz w:val="24"/>
          <w:szCs w:val="24"/>
          <w:highlight w:val="none"/>
        </w:rPr>
        <w:t>水洗塔定排和碱洗塔定排</w:t>
      </w:r>
      <w:r>
        <w:rPr>
          <w:rFonts w:hint="eastAsia" w:ascii="Times New Roman" w:hAnsi="Times New Roman" w:cs="Times New Roman"/>
          <w:snapToGrid w:val="0"/>
          <w:color w:val="auto"/>
          <w:spacing w:val="-6"/>
          <w:kern w:val="0"/>
          <w:sz w:val="24"/>
          <w:szCs w:val="24"/>
          <w:highlight w:val="none"/>
          <w:lang w:val="en-US" w:eastAsia="zh-CN"/>
        </w:rPr>
        <w:t>依托现有污水处理站生化段处理后</w:t>
      </w:r>
      <w:r>
        <w:rPr>
          <w:rFonts w:hint="eastAsia" w:ascii="Times New Roman" w:hAnsi="Times New Roman" w:cs="Times New Roman"/>
          <w:snapToGrid w:val="0"/>
          <w:color w:val="auto"/>
          <w:spacing w:val="-6"/>
          <w:kern w:val="0"/>
          <w:sz w:val="24"/>
          <w:szCs w:val="24"/>
          <w:highlight w:val="none"/>
        </w:rPr>
        <w:t>排入西区污水处理厂</w:t>
      </w:r>
      <w:r>
        <w:rPr>
          <w:rFonts w:hint="eastAsia" w:ascii="Times New Roman" w:hAnsi="Times New Roman" w:cs="Times New Roman"/>
          <w:snapToGrid w:val="0"/>
          <w:color w:val="auto"/>
          <w:spacing w:val="-6"/>
          <w:kern w:val="0"/>
          <w:sz w:val="24"/>
          <w:szCs w:val="24"/>
          <w:highlight w:val="none"/>
          <w:lang w:val="en-US" w:eastAsia="zh-CN"/>
        </w:rPr>
        <w:t>一</w:t>
      </w:r>
      <w:r>
        <w:rPr>
          <w:rFonts w:hint="eastAsia" w:ascii="Times New Roman" w:hAnsi="Times New Roman" w:cs="Times New Roman"/>
          <w:snapToGrid w:val="0"/>
          <w:color w:val="auto"/>
          <w:spacing w:val="-6"/>
          <w:kern w:val="0"/>
          <w:sz w:val="24"/>
          <w:szCs w:val="24"/>
          <w:highlight w:val="none"/>
        </w:rPr>
        <w:t>期</w:t>
      </w:r>
      <w:r>
        <w:rPr>
          <w:rFonts w:hint="eastAsia" w:ascii="Times New Roman" w:hAnsi="Times New Roman" w:cs="Times New Roman"/>
          <w:snapToGrid w:val="0"/>
          <w:color w:val="auto"/>
          <w:spacing w:val="-6"/>
          <w:kern w:val="0"/>
          <w:sz w:val="24"/>
          <w:szCs w:val="24"/>
          <w:highlight w:val="none"/>
          <w:lang w:val="en-US" w:eastAsia="zh-CN"/>
        </w:rPr>
        <w:t>工程处理</w:t>
      </w:r>
      <w:r>
        <w:rPr>
          <w:rFonts w:hint="eastAsia" w:ascii="Times New Roman" w:hAnsi="Times New Roman" w:cs="Times New Roman"/>
          <w:snapToGrid w:val="0"/>
          <w:color w:val="auto"/>
          <w:spacing w:val="-6"/>
          <w:kern w:val="0"/>
          <w:sz w:val="24"/>
          <w:szCs w:val="24"/>
          <w:highlight w:val="none"/>
          <w:lang w:eastAsia="zh-CN"/>
        </w:rPr>
        <w:t>。</w:t>
      </w:r>
    </w:p>
    <w:p w14:paraId="7A09A467">
      <w:pPr>
        <w:pStyle w:val="54"/>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cs="Times New Roman"/>
          <w:color w:val="auto"/>
          <w:kern w:val="0"/>
          <w:sz w:val="24"/>
          <w:highlight w:val="none"/>
        </w:rPr>
      </w:pPr>
      <w:r>
        <w:rPr>
          <w:rFonts w:hint="eastAsia" w:ascii="Times New Roman" w:hAnsi="Times New Roman" w:cs="Times New Roman"/>
          <w:snapToGrid w:val="0"/>
          <w:color w:val="auto"/>
          <w:kern w:val="0"/>
          <w:sz w:val="24"/>
          <w:szCs w:val="24"/>
          <w:highlight w:val="none"/>
        </w:rPr>
        <w:t>④固体废物：主要包括危险废物</w:t>
      </w:r>
      <w:r>
        <w:rPr>
          <w:rFonts w:hint="eastAsia" w:ascii="Times New Roman" w:hAnsi="Times New Roman" w:cs="Times New Roman"/>
          <w:snapToGrid w:val="0"/>
          <w:color w:val="auto"/>
          <w:kern w:val="0"/>
          <w:sz w:val="24"/>
          <w:highlight w:val="none"/>
          <w:lang w:eastAsia="zh-CN"/>
        </w:rPr>
        <w:t>化验室废液</w:t>
      </w:r>
      <w:r>
        <w:rPr>
          <w:rFonts w:hint="eastAsia" w:ascii="Times New Roman" w:hAnsi="Times New Roman" w:cs="Times New Roman"/>
          <w:snapToGrid w:val="0"/>
          <w:color w:val="auto"/>
          <w:kern w:val="0"/>
          <w:sz w:val="24"/>
          <w:highlight w:val="none"/>
        </w:rPr>
        <w:t>、</w:t>
      </w:r>
      <w:r>
        <w:rPr>
          <w:rFonts w:hint="eastAsia" w:ascii="Times New Roman" w:hAnsi="Times New Roman" w:cs="Times New Roman"/>
          <w:snapToGrid w:val="0"/>
          <w:color w:val="auto"/>
          <w:kern w:val="0"/>
          <w:sz w:val="24"/>
          <w:highlight w:val="none"/>
          <w:lang w:eastAsia="zh-CN"/>
        </w:rPr>
        <w:t>废矿物油</w:t>
      </w:r>
      <w:r>
        <w:rPr>
          <w:rFonts w:hint="eastAsia" w:ascii="Times New Roman" w:hAnsi="Times New Roman" w:cs="Times New Roman"/>
          <w:snapToGrid w:val="0"/>
          <w:color w:val="auto"/>
          <w:kern w:val="0"/>
          <w:sz w:val="24"/>
          <w:highlight w:val="none"/>
        </w:rPr>
        <w:t>、</w:t>
      </w:r>
      <w:r>
        <w:rPr>
          <w:rFonts w:hint="eastAsia" w:ascii="Times New Roman" w:hAnsi="Times New Roman" w:cs="Times New Roman"/>
          <w:color w:val="auto"/>
          <w:kern w:val="0"/>
          <w:sz w:val="24"/>
          <w:highlight w:val="none"/>
          <w:lang w:bidi="ar"/>
        </w:rPr>
        <w:t>废铅蓄电池</w:t>
      </w:r>
      <w:r>
        <w:rPr>
          <w:rFonts w:hint="eastAsia" w:ascii="Times New Roman" w:hAnsi="Times New Roman" w:cs="Times New Roman"/>
          <w:snapToGrid w:val="0"/>
          <w:color w:val="auto"/>
          <w:kern w:val="0"/>
          <w:sz w:val="24"/>
          <w:szCs w:val="24"/>
          <w:highlight w:val="none"/>
          <w:lang w:val="en-US" w:eastAsia="zh-CN"/>
        </w:rPr>
        <w:t>等</w:t>
      </w:r>
      <w:r>
        <w:rPr>
          <w:rFonts w:hint="eastAsia" w:ascii="Times New Roman" w:hAnsi="Times New Roman" w:cs="Times New Roman"/>
          <w:snapToGrid w:val="0"/>
          <w:color w:val="auto"/>
          <w:kern w:val="0"/>
          <w:sz w:val="24"/>
          <w:szCs w:val="24"/>
          <w:highlight w:val="none"/>
        </w:rPr>
        <w:t>；一般固体废物</w:t>
      </w:r>
      <w:r>
        <w:rPr>
          <w:rFonts w:hint="eastAsia" w:ascii="Times New Roman" w:hAnsi="Times New Roman" w:cs="Times New Roman"/>
          <w:snapToGrid w:val="0"/>
          <w:color w:val="auto"/>
          <w:kern w:val="0"/>
          <w:sz w:val="24"/>
          <w:highlight w:val="none"/>
        </w:rPr>
        <w:t>菌体污泥</w:t>
      </w:r>
      <w:r>
        <w:rPr>
          <w:rFonts w:hint="eastAsia" w:ascii="Times New Roman" w:hAnsi="Times New Roman" w:cs="Times New Roman"/>
          <w:snapToGrid w:val="0"/>
          <w:color w:val="auto"/>
          <w:kern w:val="0"/>
          <w:sz w:val="24"/>
          <w:szCs w:val="24"/>
          <w:highlight w:val="none"/>
        </w:rPr>
        <w:t>；</w:t>
      </w:r>
      <w:r>
        <w:rPr>
          <w:rFonts w:hint="eastAsia" w:ascii="Times New Roman" w:hAnsi="Times New Roman" w:cs="Times New Roman"/>
          <w:snapToGrid w:val="0"/>
          <w:color w:val="auto"/>
          <w:kern w:val="0"/>
          <w:sz w:val="24"/>
          <w:highlight w:val="none"/>
        </w:rPr>
        <w:t>其他废物为人员生活产生的生活垃圾。</w:t>
      </w:r>
    </w:p>
    <w:p w14:paraId="02591B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采用矩阵识别法</w:t>
      </w:r>
      <w:r>
        <w:rPr>
          <w:rFonts w:hint="eastAsia"/>
          <w:color w:val="auto"/>
          <w:kern w:val="0"/>
          <w:sz w:val="24"/>
          <w:highlight w:val="none"/>
          <w:lang w:val="en-US" w:eastAsia="zh-CN"/>
        </w:rPr>
        <w:t>识别</w:t>
      </w:r>
      <w:r>
        <w:rPr>
          <w:rFonts w:hint="eastAsia"/>
          <w:color w:val="auto"/>
          <w:kern w:val="0"/>
          <w:sz w:val="24"/>
          <w:highlight w:val="none"/>
        </w:rPr>
        <w:t>项目建设期和运营期对地表水、地下水、环境空气、声环境、土壤环境及固体废物的影响因素，识别结果见表2.3-1。</w:t>
      </w:r>
    </w:p>
    <w:p w14:paraId="0E2E785D">
      <w:pPr>
        <w:adjustRightInd w:val="0"/>
        <w:snapToGrid w:val="0"/>
        <w:jc w:val="center"/>
        <w:rPr>
          <w:b/>
          <w:bCs/>
          <w:snapToGrid w:val="0"/>
          <w:color w:val="auto"/>
          <w:kern w:val="0"/>
          <w:szCs w:val="21"/>
          <w:highlight w:val="none"/>
        </w:rPr>
      </w:pPr>
      <w:r>
        <w:rPr>
          <w:b/>
          <w:bCs/>
          <w:snapToGrid w:val="0"/>
          <w:color w:val="auto"/>
          <w:kern w:val="0"/>
          <w:szCs w:val="21"/>
          <w:highlight w:val="none"/>
        </w:rPr>
        <w:t>表2-3-1</w:t>
      </w:r>
      <w:r>
        <w:rPr>
          <w:rFonts w:hint="eastAsia"/>
          <w:b/>
          <w:bCs/>
          <w:snapToGrid w:val="0"/>
          <w:color w:val="auto"/>
          <w:kern w:val="0"/>
          <w:szCs w:val="21"/>
          <w:highlight w:val="none"/>
        </w:rPr>
        <w:t xml:space="preserve"> </w:t>
      </w:r>
      <w:r>
        <w:rPr>
          <w:rFonts w:hint="eastAsia"/>
          <w:b/>
          <w:bCs/>
          <w:snapToGrid w:val="0"/>
          <w:color w:val="auto"/>
          <w:kern w:val="0"/>
          <w:szCs w:val="21"/>
          <w:highlight w:val="none"/>
          <w:lang w:val="en-US" w:eastAsia="zh-CN"/>
        </w:rPr>
        <w:t>生态</w:t>
      </w:r>
      <w:r>
        <w:rPr>
          <w:b/>
          <w:bCs/>
          <w:snapToGrid w:val="0"/>
          <w:color w:val="auto"/>
          <w:kern w:val="0"/>
          <w:szCs w:val="21"/>
          <w:highlight w:val="none"/>
        </w:rPr>
        <w:t>环境影响因素识别一览表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435"/>
        <w:gridCol w:w="1237"/>
        <w:gridCol w:w="1237"/>
        <w:gridCol w:w="1237"/>
        <w:gridCol w:w="1237"/>
        <w:gridCol w:w="1250"/>
      </w:tblGrid>
      <w:tr w14:paraId="36C7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07" w:type="pct"/>
            <w:gridSpan w:val="2"/>
            <w:vMerge w:val="restart"/>
            <w:tcBorders>
              <w:tl2br w:val="nil"/>
              <w:tr2bl w:val="nil"/>
            </w:tcBorders>
            <w:noWrap w:val="0"/>
            <w:tcMar>
              <w:top w:w="0" w:type="dxa"/>
              <w:left w:w="57" w:type="dxa"/>
              <w:bottom w:w="0" w:type="dxa"/>
              <w:right w:w="57" w:type="dxa"/>
            </w:tcMar>
            <w:vAlign w:val="center"/>
          </w:tcPr>
          <w:p w14:paraId="278C87D4">
            <w:pPr>
              <w:pStyle w:val="768"/>
              <w:keepNext w:val="0"/>
              <w:keepLines w:val="0"/>
              <w:pageBreakBefore w:val="0"/>
              <w:widowControl w:val="0"/>
              <w:kinsoku/>
              <w:wordWrap/>
              <w:overflowPunct/>
              <w:topLinePunct w:val="0"/>
              <w:autoSpaceDE/>
              <w:autoSpaceDN/>
              <w:bidi w:val="0"/>
              <w:adjustRightInd w:val="0"/>
              <w:snapToGrid w:val="0"/>
              <w:spacing w:line="280" w:lineRule="exact"/>
              <w:jc w:val="right"/>
              <w:rPr>
                <w:rFonts w:hint="default" w:ascii="Times New Roman" w:hAnsi="Times New Roman" w:eastAsia="宋体" w:cs="Times New Roman"/>
                <w:b w:val="0"/>
                <w:bCs w:val="0"/>
                <w:snapToGrid w:val="0"/>
                <w:color w:val="auto"/>
                <w:spacing w:val="0"/>
                <w:kern w:val="0"/>
                <w:sz w:val="21"/>
                <w:szCs w:val="21"/>
                <w:highlight w:val="none"/>
              </w:rPr>
            </w:pPr>
            <w:r>
              <w:rPr>
                <w:rFonts w:ascii="Times New Roman" w:hAnsi="Times New Roman" w:eastAsia="宋体" w:cs="Times New Roman"/>
                <w:b w:val="0"/>
                <w:bCs w:val="0"/>
                <w:snapToGrid w:val="0"/>
                <w:color w:val="auto"/>
                <w:spacing w:val="0"/>
                <w:kern w:val="0"/>
                <w:sz w:val="21"/>
                <w:szCs w:val="21"/>
                <w:highlight w:val="none"/>
              </w:rPr>
              <mc:AlternateContent>
                <mc:Choice Requires="wps">
                  <w:drawing>
                    <wp:anchor distT="0" distB="0" distL="114300" distR="114300" simplePos="0" relativeHeight="251685888" behindDoc="0" locked="0" layoutInCell="1" allowOverlap="1">
                      <wp:simplePos x="0" y="0"/>
                      <wp:positionH relativeFrom="column">
                        <wp:posOffset>-26035</wp:posOffset>
                      </wp:positionH>
                      <wp:positionV relativeFrom="paragraph">
                        <wp:posOffset>29845</wp:posOffset>
                      </wp:positionV>
                      <wp:extent cx="1378585" cy="498475"/>
                      <wp:effectExtent l="1905" t="4445" r="6350" b="15240"/>
                      <wp:wrapNone/>
                      <wp:docPr id="14" name="直接连接符 14"/>
                      <wp:cNvGraphicFramePr/>
                      <a:graphic xmlns:a="http://schemas.openxmlformats.org/drawingml/2006/main">
                        <a:graphicData uri="http://schemas.microsoft.com/office/word/2010/wordprocessingShape">
                          <wps:wsp>
                            <wps:cNvCnPr/>
                            <wps:spPr>
                              <a:xfrm>
                                <a:off x="0" y="0"/>
                                <a:ext cx="1378585" cy="498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05pt;margin-top:2.35pt;height:39.25pt;width:108.55pt;z-index:251685888;mso-width-relative:page;mso-height-relative:page;" filled="f" stroked="t" coordsize="21600,21600" o:gfxdata="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0bNYAAAAHAQAADwAAAAAAAAABACAAAAAiAAAAZHJzL2Rvd25yZXYueG1s&#10;UEsBAhQAFAAAAAgAh07iQOPHERH6AQAA6wMAAA4AAAAAAAAAAQAgAAAAJQEAAGRycy9lMm9Eb2Mu&#10;eG1sUEsFBgAAAAAGAAYAWQEAAJEFAAAAAA==&#10;">
                      <v:fill on="f" focussize="0,0"/>
                      <v:stroke color="#000000" joinstyle="round"/>
                      <v:imagedata o:title=""/>
                      <o:lock v:ext="edit" aspectratio="f"/>
                    </v:line>
                  </w:pict>
                </mc:Fallback>
              </mc:AlternateContent>
            </w:r>
            <w:r>
              <w:rPr>
                <w:rFonts w:hint="default" w:ascii="Times New Roman" w:hAnsi="Times New Roman" w:eastAsia="宋体" w:cs="Times New Roman"/>
                <w:b w:val="0"/>
                <w:bCs w:val="0"/>
                <w:snapToGrid w:val="0"/>
                <w:color w:val="auto"/>
                <w:spacing w:val="0"/>
                <w:kern w:val="0"/>
                <w:sz w:val="21"/>
                <w:szCs w:val="21"/>
                <w:highlight w:val="none"/>
              </w:rPr>
              <w:t>环境因素</w:t>
            </w:r>
          </w:p>
          <w:p w14:paraId="289814D6">
            <w:pPr>
              <w:pStyle w:val="768"/>
              <w:keepNext w:val="0"/>
              <w:keepLines w:val="0"/>
              <w:pageBreakBefore w:val="0"/>
              <w:widowControl w:val="0"/>
              <w:kinsoku/>
              <w:wordWrap/>
              <w:overflowPunct/>
              <w:topLinePunct w:val="0"/>
              <w:autoSpaceDE/>
              <w:autoSpaceDN/>
              <w:bidi w:val="0"/>
              <w:adjustRightInd w:val="0"/>
              <w:snapToGrid w:val="0"/>
              <w:spacing w:line="280" w:lineRule="exact"/>
              <w:jc w:val="left"/>
              <w:textAlignment w:val="baseline"/>
              <w:rPr>
                <w:rFonts w:hint="default" w:ascii="Times New Roman" w:hAnsi="Times New Roman" w:eastAsia="宋体" w:cs="Times New Roman"/>
                <w:b w:val="0"/>
                <w:bCs w:val="0"/>
                <w:snapToGrid w:val="0"/>
                <w:color w:val="auto"/>
                <w:spacing w:val="0"/>
                <w:kern w:val="0"/>
                <w:sz w:val="21"/>
                <w:szCs w:val="21"/>
                <w:highlight w:val="none"/>
              </w:rPr>
            </w:pPr>
          </w:p>
          <w:p w14:paraId="6433967E">
            <w:pPr>
              <w:pStyle w:val="768"/>
              <w:keepNext w:val="0"/>
              <w:keepLines w:val="0"/>
              <w:pageBreakBefore w:val="0"/>
              <w:widowControl w:val="0"/>
              <w:kinsoku/>
              <w:wordWrap/>
              <w:overflowPunct/>
              <w:topLinePunct w:val="0"/>
              <w:autoSpaceDE/>
              <w:autoSpaceDN/>
              <w:bidi w:val="0"/>
              <w:adjustRightInd w:val="0"/>
              <w:snapToGrid w:val="0"/>
              <w:spacing w:line="280" w:lineRule="exact"/>
              <w:jc w:val="left"/>
              <w:textAlignment w:val="baseline"/>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影响因素</w:t>
            </w:r>
          </w:p>
        </w:tc>
        <w:tc>
          <w:tcPr>
            <w:tcW w:w="3692" w:type="pct"/>
            <w:gridSpan w:val="5"/>
            <w:tcBorders>
              <w:tl2br w:val="nil"/>
              <w:tr2bl w:val="nil"/>
            </w:tcBorders>
            <w:noWrap w:val="0"/>
            <w:tcMar>
              <w:top w:w="0" w:type="dxa"/>
              <w:left w:w="57" w:type="dxa"/>
              <w:bottom w:w="0" w:type="dxa"/>
              <w:right w:w="57" w:type="dxa"/>
            </w:tcMar>
            <w:vAlign w:val="center"/>
          </w:tcPr>
          <w:p w14:paraId="4F7ABF4C">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主要</w:t>
            </w:r>
            <w:r>
              <w:rPr>
                <w:rFonts w:hint="eastAsia" w:ascii="Times New Roman" w:hAnsi="Times New Roman" w:eastAsia="宋体" w:cs="Times New Roman"/>
                <w:b w:val="0"/>
                <w:bCs w:val="0"/>
                <w:snapToGrid w:val="0"/>
                <w:color w:val="auto"/>
                <w:spacing w:val="0"/>
                <w:kern w:val="0"/>
                <w:sz w:val="21"/>
                <w:szCs w:val="21"/>
                <w:highlight w:val="none"/>
                <w:lang w:eastAsia="zh-CN"/>
              </w:rPr>
              <w:t>生态环境</w:t>
            </w:r>
            <w:r>
              <w:rPr>
                <w:rFonts w:hint="default" w:ascii="Times New Roman" w:hAnsi="Times New Roman" w:eastAsia="宋体" w:cs="Times New Roman"/>
                <w:b w:val="0"/>
                <w:bCs w:val="0"/>
                <w:snapToGrid w:val="0"/>
                <w:color w:val="auto"/>
                <w:spacing w:val="0"/>
                <w:kern w:val="0"/>
                <w:sz w:val="21"/>
                <w:szCs w:val="21"/>
                <w:highlight w:val="none"/>
              </w:rPr>
              <w:t>要素</w:t>
            </w:r>
          </w:p>
        </w:tc>
      </w:tr>
      <w:tr w14:paraId="4E71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07" w:type="pct"/>
            <w:gridSpan w:val="2"/>
            <w:vMerge w:val="continue"/>
            <w:tcBorders>
              <w:tl2br w:val="nil"/>
              <w:tr2bl w:val="nil"/>
            </w:tcBorders>
            <w:noWrap w:val="0"/>
            <w:tcMar>
              <w:top w:w="0" w:type="dxa"/>
              <w:left w:w="57" w:type="dxa"/>
              <w:bottom w:w="0" w:type="dxa"/>
              <w:right w:w="57" w:type="dxa"/>
            </w:tcMar>
            <w:vAlign w:val="center"/>
          </w:tcPr>
          <w:p w14:paraId="53299037">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0703F664">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环境空气</w:t>
            </w:r>
          </w:p>
        </w:tc>
        <w:tc>
          <w:tcPr>
            <w:tcW w:w="737" w:type="pct"/>
            <w:tcBorders>
              <w:tl2br w:val="nil"/>
              <w:tr2bl w:val="nil"/>
            </w:tcBorders>
            <w:noWrap w:val="0"/>
            <w:tcMar>
              <w:top w:w="0" w:type="dxa"/>
              <w:left w:w="57" w:type="dxa"/>
              <w:bottom w:w="0" w:type="dxa"/>
              <w:right w:w="57" w:type="dxa"/>
            </w:tcMar>
            <w:vAlign w:val="center"/>
          </w:tcPr>
          <w:p w14:paraId="264D37A6">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lang w:val="en-US" w:eastAsia="zh-CN"/>
              </w:rPr>
            </w:pPr>
            <w:r>
              <w:rPr>
                <w:rFonts w:hint="eastAsia" w:ascii="Times New Roman" w:hAnsi="Times New Roman" w:eastAsia="宋体" w:cs="Times New Roman"/>
                <w:b w:val="0"/>
                <w:bCs w:val="0"/>
                <w:snapToGrid w:val="0"/>
                <w:color w:val="auto"/>
                <w:spacing w:val="0"/>
                <w:kern w:val="0"/>
                <w:sz w:val="21"/>
                <w:szCs w:val="21"/>
                <w:highlight w:val="none"/>
                <w:lang w:val="en-US" w:eastAsia="zh-CN"/>
              </w:rPr>
              <w:t>地下水</w:t>
            </w:r>
          </w:p>
        </w:tc>
        <w:tc>
          <w:tcPr>
            <w:tcW w:w="737" w:type="pct"/>
            <w:tcBorders>
              <w:tl2br w:val="nil"/>
              <w:tr2bl w:val="nil"/>
            </w:tcBorders>
            <w:noWrap w:val="0"/>
            <w:tcMar>
              <w:top w:w="0" w:type="dxa"/>
              <w:left w:w="57" w:type="dxa"/>
              <w:bottom w:w="0" w:type="dxa"/>
              <w:right w:w="57" w:type="dxa"/>
            </w:tcMar>
            <w:vAlign w:val="center"/>
          </w:tcPr>
          <w:p w14:paraId="7315D1D0">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声环境</w:t>
            </w:r>
          </w:p>
        </w:tc>
        <w:tc>
          <w:tcPr>
            <w:tcW w:w="737" w:type="pct"/>
            <w:tcBorders>
              <w:tl2br w:val="nil"/>
              <w:tr2bl w:val="nil"/>
            </w:tcBorders>
            <w:noWrap w:val="0"/>
            <w:tcMar>
              <w:top w:w="0" w:type="dxa"/>
              <w:left w:w="57" w:type="dxa"/>
              <w:bottom w:w="0" w:type="dxa"/>
              <w:right w:w="57" w:type="dxa"/>
            </w:tcMar>
            <w:vAlign w:val="center"/>
          </w:tcPr>
          <w:p w14:paraId="698A39F6">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土壤环境</w:t>
            </w:r>
          </w:p>
        </w:tc>
        <w:tc>
          <w:tcPr>
            <w:tcW w:w="740" w:type="pct"/>
            <w:tcBorders>
              <w:tl2br w:val="nil"/>
              <w:tr2bl w:val="nil"/>
            </w:tcBorders>
            <w:noWrap w:val="0"/>
            <w:tcMar>
              <w:top w:w="0" w:type="dxa"/>
              <w:left w:w="57" w:type="dxa"/>
              <w:bottom w:w="0" w:type="dxa"/>
              <w:right w:w="57" w:type="dxa"/>
            </w:tcMar>
            <w:vAlign w:val="center"/>
          </w:tcPr>
          <w:p w14:paraId="4EB396DA">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生态环境</w:t>
            </w:r>
          </w:p>
        </w:tc>
      </w:tr>
      <w:tr w14:paraId="2C5F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restart"/>
            <w:tcBorders>
              <w:tl2br w:val="nil"/>
              <w:tr2bl w:val="nil"/>
            </w:tcBorders>
            <w:noWrap w:val="0"/>
            <w:tcMar>
              <w:top w:w="0" w:type="dxa"/>
              <w:left w:w="57" w:type="dxa"/>
              <w:bottom w:w="0" w:type="dxa"/>
              <w:right w:w="57" w:type="dxa"/>
            </w:tcMar>
            <w:vAlign w:val="center"/>
          </w:tcPr>
          <w:p w14:paraId="600E099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施</w:t>
            </w:r>
          </w:p>
          <w:p w14:paraId="117399F5">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工</w:t>
            </w:r>
          </w:p>
          <w:p w14:paraId="782236D1">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期</w:t>
            </w:r>
          </w:p>
        </w:tc>
        <w:tc>
          <w:tcPr>
            <w:tcW w:w="855" w:type="pct"/>
            <w:tcBorders>
              <w:tl2br w:val="nil"/>
              <w:tr2bl w:val="nil"/>
            </w:tcBorders>
            <w:noWrap w:val="0"/>
            <w:tcMar>
              <w:top w:w="0" w:type="dxa"/>
              <w:left w:w="57" w:type="dxa"/>
              <w:bottom w:w="0" w:type="dxa"/>
              <w:right w:w="57" w:type="dxa"/>
            </w:tcMar>
            <w:vAlign w:val="center"/>
          </w:tcPr>
          <w:p w14:paraId="06097BFB">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施工废水</w:t>
            </w:r>
          </w:p>
        </w:tc>
        <w:tc>
          <w:tcPr>
            <w:tcW w:w="737" w:type="pct"/>
            <w:tcBorders>
              <w:tl2br w:val="nil"/>
              <w:tr2bl w:val="nil"/>
            </w:tcBorders>
            <w:noWrap w:val="0"/>
            <w:tcMar>
              <w:top w:w="0" w:type="dxa"/>
              <w:left w:w="57" w:type="dxa"/>
              <w:bottom w:w="0" w:type="dxa"/>
              <w:right w:w="57" w:type="dxa"/>
            </w:tcMar>
            <w:vAlign w:val="center"/>
          </w:tcPr>
          <w:p w14:paraId="09851B3F">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5F0483EC">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w:t>
            </w:r>
            <w:r>
              <w:rPr>
                <w:rFonts w:hint="eastAsia" w:ascii="Times New Roman" w:hAnsi="Times New Roman" w:eastAsia="宋体" w:cs="Times New Roman"/>
                <w:b w:val="0"/>
                <w:bCs w:val="0"/>
                <w:snapToGrid w:val="0"/>
                <w:color w:val="auto"/>
                <w:spacing w:val="0"/>
                <w:kern w:val="0"/>
                <w:sz w:val="21"/>
                <w:szCs w:val="21"/>
                <w:highlight w:val="none"/>
              </w:rPr>
              <w:t>S1D</w:t>
            </w:r>
          </w:p>
        </w:tc>
        <w:tc>
          <w:tcPr>
            <w:tcW w:w="737" w:type="pct"/>
            <w:tcBorders>
              <w:tl2br w:val="nil"/>
              <w:tr2bl w:val="nil"/>
            </w:tcBorders>
            <w:noWrap w:val="0"/>
            <w:tcMar>
              <w:top w:w="0" w:type="dxa"/>
              <w:left w:w="57" w:type="dxa"/>
              <w:bottom w:w="0" w:type="dxa"/>
              <w:right w:w="57" w:type="dxa"/>
            </w:tcMar>
            <w:vAlign w:val="center"/>
          </w:tcPr>
          <w:p w14:paraId="5B48E966">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4364C65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w:t>
            </w:r>
            <w:r>
              <w:rPr>
                <w:rFonts w:hint="eastAsia" w:ascii="Times New Roman" w:hAnsi="Times New Roman" w:eastAsia="宋体" w:cs="Times New Roman"/>
                <w:b w:val="0"/>
                <w:bCs w:val="0"/>
                <w:snapToGrid w:val="0"/>
                <w:color w:val="auto"/>
                <w:spacing w:val="0"/>
                <w:kern w:val="0"/>
                <w:sz w:val="21"/>
                <w:szCs w:val="21"/>
                <w:highlight w:val="none"/>
              </w:rPr>
              <w:t>S1I</w:t>
            </w:r>
          </w:p>
        </w:tc>
        <w:tc>
          <w:tcPr>
            <w:tcW w:w="740" w:type="pct"/>
            <w:tcBorders>
              <w:tl2br w:val="nil"/>
              <w:tr2bl w:val="nil"/>
            </w:tcBorders>
            <w:noWrap w:val="0"/>
            <w:tcMar>
              <w:top w:w="0" w:type="dxa"/>
              <w:left w:w="57" w:type="dxa"/>
              <w:bottom w:w="0" w:type="dxa"/>
              <w:right w:w="57" w:type="dxa"/>
            </w:tcMar>
            <w:vAlign w:val="center"/>
          </w:tcPr>
          <w:p w14:paraId="558DC874">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w:t>
            </w:r>
            <w:r>
              <w:rPr>
                <w:rFonts w:hint="eastAsia" w:ascii="Times New Roman" w:hAnsi="Times New Roman" w:eastAsia="宋体" w:cs="Times New Roman"/>
                <w:b w:val="0"/>
                <w:bCs w:val="0"/>
                <w:snapToGrid w:val="0"/>
                <w:color w:val="auto"/>
                <w:spacing w:val="0"/>
                <w:kern w:val="0"/>
                <w:sz w:val="21"/>
                <w:szCs w:val="21"/>
                <w:highlight w:val="none"/>
              </w:rPr>
              <w:t>S1I</w:t>
            </w:r>
          </w:p>
        </w:tc>
      </w:tr>
      <w:tr w14:paraId="5077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2CF94E2E">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58E43B7C">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施工扬尘</w:t>
            </w:r>
          </w:p>
        </w:tc>
        <w:tc>
          <w:tcPr>
            <w:tcW w:w="737" w:type="pct"/>
            <w:tcBorders>
              <w:tl2br w:val="nil"/>
              <w:tr2bl w:val="nil"/>
            </w:tcBorders>
            <w:noWrap w:val="0"/>
            <w:tcMar>
              <w:top w:w="0" w:type="dxa"/>
              <w:left w:w="57" w:type="dxa"/>
              <w:bottom w:w="0" w:type="dxa"/>
              <w:right w:w="57" w:type="dxa"/>
            </w:tcMar>
            <w:vAlign w:val="center"/>
          </w:tcPr>
          <w:p w14:paraId="6DCF3175">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w:t>
            </w:r>
            <w:r>
              <w:rPr>
                <w:rFonts w:hint="eastAsia" w:ascii="Times New Roman" w:hAnsi="Times New Roman" w:eastAsia="宋体" w:cs="Times New Roman"/>
                <w:b w:val="0"/>
                <w:bCs w:val="0"/>
                <w:snapToGrid w:val="0"/>
                <w:color w:val="auto"/>
                <w:spacing w:val="0"/>
                <w:kern w:val="0"/>
                <w:sz w:val="21"/>
                <w:szCs w:val="21"/>
                <w:highlight w:val="none"/>
              </w:rPr>
              <w:t>S</w:t>
            </w:r>
            <w:r>
              <w:rPr>
                <w:rFonts w:hint="eastAsia" w:ascii="Times New Roman" w:hAnsi="Times New Roman" w:eastAsia="宋体" w:cs="Times New Roman"/>
                <w:b w:val="0"/>
                <w:bCs w:val="0"/>
                <w:snapToGrid w:val="0"/>
                <w:color w:val="auto"/>
                <w:spacing w:val="0"/>
                <w:kern w:val="0"/>
                <w:sz w:val="21"/>
                <w:szCs w:val="21"/>
                <w:highlight w:val="none"/>
                <w:lang w:val="en-US" w:eastAsia="zh-CN"/>
              </w:rPr>
              <w:t>2</w:t>
            </w:r>
            <w:r>
              <w:rPr>
                <w:rFonts w:hint="eastAsia" w:ascii="Times New Roman" w:hAnsi="Times New Roman" w:eastAsia="宋体" w:cs="Times New Roman"/>
                <w:b w:val="0"/>
                <w:bCs w:val="0"/>
                <w:snapToGrid w:val="0"/>
                <w:color w:val="auto"/>
                <w:spacing w:val="0"/>
                <w:kern w:val="0"/>
                <w:sz w:val="21"/>
                <w:szCs w:val="21"/>
                <w:highlight w:val="none"/>
              </w:rPr>
              <w:t>D</w:t>
            </w:r>
          </w:p>
        </w:tc>
        <w:tc>
          <w:tcPr>
            <w:tcW w:w="737" w:type="pct"/>
            <w:tcBorders>
              <w:tl2br w:val="nil"/>
              <w:tr2bl w:val="nil"/>
            </w:tcBorders>
            <w:noWrap w:val="0"/>
            <w:tcMar>
              <w:top w:w="0" w:type="dxa"/>
              <w:left w:w="57" w:type="dxa"/>
              <w:bottom w:w="0" w:type="dxa"/>
              <w:right w:w="57" w:type="dxa"/>
            </w:tcMar>
            <w:vAlign w:val="center"/>
          </w:tcPr>
          <w:p w14:paraId="7AE6F21D">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38D2F810">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14A31E08">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w:t>
            </w:r>
            <w:r>
              <w:rPr>
                <w:rFonts w:hint="eastAsia" w:ascii="Times New Roman" w:hAnsi="Times New Roman" w:eastAsia="宋体" w:cs="Times New Roman"/>
                <w:b w:val="0"/>
                <w:bCs w:val="0"/>
                <w:snapToGrid w:val="0"/>
                <w:color w:val="auto"/>
                <w:spacing w:val="0"/>
                <w:kern w:val="0"/>
                <w:sz w:val="21"/>
                <w:szCs w:val="21"/>
                <w:highlight w:val="none"/>
              </w:rPr>
              <w:t>S1D</w:t>
            </w:r>
          </w:p>
        </w:tc>
        <w:tc>
          <w:tcPr>
            <w:tcW w:w="740" w:type="pct"/>
            <w:tcBorders>
              <w:tl2br w:val="nil"/>
              <w:tr2bl w:val="nil"/>
            </w:tcBorders>
            <w:noWrap w:val="0"/>
            <w:tcMar>
              <w:top w:w="0" w:type="dxa"/>
              <w:left w:w="57" w:type="dxa"/>
              <w:bottom w:w="0" w:type="dxa"/>
              <w:right w:w="57" w:type="dxa"/>
            </w:tcMar>
            <w:vAlign w:val="center"/>
          </w:tcPr>
          <w:p w14:paraId="48684D5A">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w:t>
            </w:r>
            <w:r>
              <w:rPr>
                <w:rFonts w:hint="eastAsia" w:ascii="Times New Roman" w:hAnsi="Times New Roman" w:eastAsia="宋体" w:cs="Times New Roman"/>
                <w:b w:val="0"/>
                <w:bCs w:val="0"/>
                <w:snapToGrid w:val="0"/>
                <w:color w:val="auto"/>
                <w:spacing w:val="0"/>
                <w:kern w:val="0"/>
                <w:sz w:val="21"/>
                <w:szCs w:val="21"/>
                <w:highlight w:val="none"/>
              </w:rPr>
              <w:t>S1D</w:t>
            </w:r>
          </w:p>
        </w:tc>
      </w:tr>
      <w:tr w14:paraId="1033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33503036">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1F44948A">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施工噪声</w:t>
            </w:r>
          </w:p>
        </w:tc>
        <w:tc>
          <w:tcPr>
            <w:tcW w:w="737" w:type="pct"/>
            <w:tcBorders>
              <w:tl2br w:val="nil"/>
              <w:tr2bl w:val="nil"/>
            </w:tcBorders>
            <w:noWrap w:val="0"/>
            <w:tcMar>
              <w:top w:w="0" w:type="dxa"/>
              <w:left w:w="57" w:type="dxa"/>
              <w:bottom w:w="0" w:type="dxa"/>
              <w:right w:w="57" w:type="dxa"/>
            </w:tcMar>
            <w:vAlign w:val="center"/>
          </w:tcPr>
          <w:p w14:paraId="4A48FAC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09830C29">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6FED9B9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-S1D</w:t>
            </w:r>
          </w:p>
        </w:tc>
        <w:tc>
          <w:tcPr>
            <w:tcW w:w="737" w:type="pct"/>
            <w:tcBorders>
              <w:tl2br w:val="nil"/>
              <w:tr2bl w:val="nil"/>
            </w:tcBorders>
            <w:noWrap w:val="0"/>
            <w:tcMar>
              <w:top w:w="0" w:type="dxa"/>
              <w:left w:w="57" w:type="dxa"/>
              <w:bottom w:w="0" w:type="dxa"/>
              <w:right w:w="57" w:type="dxa"/>
            </w:tcMar>
            <w:vAlign w:val="center"/>
          </w:tcPr>
          <w:p w14:paraId="19700EC2">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40" w:type="pct"/>
            <w:tcBorders>
              <w:tl2br w:val="nil"/>
              <w:tr2bl w:val="nil"/>
            </w:tcBorders>
            <w:noWrap w:val="0"/>
            <w:tcMar>
              <w:top w:w="0" w:type="dxa"/>
              <w:left w:w="57" w:type="dxa"/>
              <w:bottom w:w="0" w:type="dxa"/>
              <w:right w:w="57" w:type="dxa"/>
            </w:tcMar>
            <w:vAlign w:val="center"/>
          </w:tcPr>
          <w:p w14:paraId="3350D015">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r>
      <w:tr w14:paraId="7DE6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2DA3793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1F6D3218">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固体废物</w:t>
            </w:r>
          </w:p>
        </w:tc>
        <w:tc>
          <w:tcPr>
            <w:tcW w:w="737" w:type="pct"/>
            <w:tcBorders>
              <w:tl2br w:val="nil"/>
              <w:tr2bl w:val="nil"/>
            </w:tcBorders>
            <w:noWrap w:val="0"/>
            <w:tcMar>
              <w:top w:w="0" w:type="dxa"/>
              <w:left w:w="57" w:type="dxa"/>
              <w:bottom w:w="0" w:type="dxa"/>
              <w:right w:w="57" w:type="dxa"/>
            </w:tcMar>
            <w:vAlign w:val="center"/>
          </w:tcPr>
          <w:p w14:paraId="7A69320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-S1I</w:t>
            </w:r>
          </w:p>
        </w:tc>
        <w:tc>
          <w:tcPr>
            <w:tcW w:w="737" w:type="pct"/>
            <w:tcBorders>
              <w:tl2br w:val="nil"/>
              <w:tr2bl w:val="nil"/>
            </w:tcBorders>
            <w:noWrap w:val="0"/>
            <w:tcMar>
              <w:top w:w="0" w:type="dxa"/>
              <w:left w:w="57" w:type="dxa"/>
              <w:bottom w:w="0" w:type="dxa"/>
              <w:right w:w="57" w:type="dxa"/>
            </w:tcMar>
            <w:vAlign w:val="center"/>
          </w:tcPr>
          <w:p w14:paraId="149CD0DE">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-S1I</w:t>
            </w:r>
          </w:p>
        </w:tc>
        <w:tc>
          <w:tcPr>
            <w:tcW w:w="737" w:type="pct"/>
            <w:tcBorders>
              <w:tl2br w:val="nil"/>
              <w:tr2bl w:val="nil"/>
            </w:tcBorders>
            <w:noWrap w:val="0"/>
            <w:tcMar>
              <w:top w:w="0" w:type="dxa"/>
              <w:left w:w="57" w:type="dxa"/>
              <w:bottom w:w="0" w:type="dxa"/>
              <w:right w:w="57" w:type="dxa"/>
            </w:tcMar>
            <w:vAlign w:val="center"/>
          </w:tcPr>
          <w:p w14:paraId="46FE16AC">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564B9A2F">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-S1I</w:t>
            </w:r>
          </w:p>
        </w:tc>
        <w:tc>
          <w:tcPr>
            <w:tcW w:w="740" w:type="pct"/>
            <w:tcBorders>
              <w:tl2br w:val="nil"/>
              <w:tr2bl w:val="nil"/>
            </w:tcBorders>
            <w:noWrap w:val="0"/>
            <w:tcMar>
              <w:top w:w="0" w:type="dxa"/>
              <w:left w:w="57" w:type="dxa"/>
              <w:bottom w:w="0" w:type="dxa"/>
              <w:right w:w="57" w:type="dxa"/>
            </w:tcMar>
            <w:vAlign w:val="center"/>
          </w:tcPr>
          <w:p w14:paraId="0EA79A24">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-S1I</w:t>
            </w:r>
          </w:p>
        </w:tc>
      </w:tr>
      <w:tr w14:paraId="36E2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restart"/>
            <w:tcBorders>
              <w:tl2br w:val="nil"/>
              <w:tr2bl w:val="nil"/>
            </w:tcBorders>
            <w:noWrap w:val="0"/>
            <w:tcMar>
              <w:top w:w="0" w:type="dxa"/>
              <w:left w:w="57" w:type="dxa"/>
              <w:bottom w:w="0" w:type="dxa"/>
              <w:right w:w="57" w:type="dxa"/>
            </w:tcMar>
            <w:vAlign w:val="center"/>
          </w:tcPr>
          <w:p w14:paraId="021FBB2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运</w:t>
            </w:r>
          </w:p>
          <w:p w14:paraId="0C894E8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营</w:t>
            </w:r>
          </w:p>
          <w:p w14:paraId="58F04972">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期</w:t>
            </w:r>
          </w:p>
        </w:tc>
        <w:tc>
          <w:tcPr>
            <w:tcW w:w="855" w:type="pct"/>
            <w:tcBorders>
              <w:tl2br w:val="nil"/>
              <w:tr2bl w:val="nil"/>
            </w:tcBorders>
            <w:noWrap w:val="0"/>
            <w:tcMar>
              <w:top w:w="0" w:type="dxa"/>
              <w:left w:w="57" w:type="dxa"/>
              <w:bottom w:w="0" w:type="dxa"/>
              <w:right w:w="57" w:type="dxa"/>
            </w:tcMar>
            <w:vAlign w:val="center"/>
          </w:tcPr>
          <w:p w14:paraId="1A11B9BE">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废水排放</w:t>
            </w:r>
          </w:p>
        </w:tc>
        <w:tc>
          <w:tcPr>
            <w:tcW w:w="737" w:type="pct"/>
            <w:tcBorders>
              <w:tl2br w:val="nil"/>
              <w:tr2bl w:val="nil"/>
            </w:tcBorders>
            <w:noWrap w:val="0"/>
            <w:tcMar>
              <w:top w:w="0" w:type="dxa"/>
              <w:left w:w="57" w:type="dxa"/>
              <w:bottom w:w="0" w:type="dxa"/>
              <w:right w:w="57" w:type="dxa"/>
            </w:tcMar>
            <w:vAlign w:val="center"/>
          </w:tcPr>
          <w:p w14:paraId="0DFFD0C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61D9D6EE">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-L1D</w:t>
            </w:r>
          </w:p>
        </w:tc>
        <w:tc>
          <w:tcPr>
            <w:tcW w:w="737" w:type="pct"/>
            <w:tcBorders>
              <w:tl2br w:val="nil"/>
              <w:tr2bl w:val="nil"/>
            </w:tcBorders>
            <w:noWrap w:val="0"/>
            <w:tcMar>
              <w:top w:w="0" w:type="dxa"/>
              <w:left w:w="57" w:type="dxa"/>
              <w:bottom w:w="0" w:type="dxa"/>
              <w:right w:w="57" w:type="dxa"/>
            </w:tcMar>
            <w:vAlign w:val="center"/>
          </w:tcPr>
          <w:p w14:paraId="5C379807">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443A8CBE">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-L1I</w:t>
            </w:r>
          </w:p>
        </w:tc>
        <w:tc>
          <w:tcPr>
            <w:tcW w:w="740" w:type="pct"/>
            <w:tcBorders>
              <w:tl2br w:val="nil"/>
              <w:tr2bl w:val="nil"/>
            </w:tcBorders>
            <w:noWrap w:val="0"/>
            <w:tcMar>
              <w:top w:w="0" w:type="dxa"/>
              <w:left w:w="57" w:type="dxa"/>
              <w:bottom w:w="0" w:type="dxa"/>
              <w:right w:w="57" w:type="dxa"/>
            </w:tcMar>
            <w:vAlign w:val="center"/>
          </w:tcPr>
          <w:p w14:paraId="1A795B58">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-L1I</w:t>
            </w:r>
          </w:p>
        </w:tc>
      </w:tr>
      <w:tr w14:paraId="469A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6088D98E">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73EB29F2">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废气排放</w:t>
            </w:r>
          </w:p>
        </w:tc>
        <w:tc>
          <w:tcPr>
            <w:tcW w:w="737" w:type="pct"/>
            <w:tcBorders>
              <w:tl2br w:val="nil"/>
              <w:tr2bl w:val="nil"/>
            </w:tcBorders>
            <w:noWrap w:val="0"/>
            <w:tcMar>
              <w:top w:w="0" w:type="dxa"/>
              <w:left w:w="57" w:type="dxa"/>
              <w:bottom w:w="0" w:type="dxa"/>
              <w:right w:w="57" w:type="dxa"/>
            </w:tcMar>
            <w:vAlign w:val="center"/>
          </w:tcPr>
          <w:p w14:paraId="408348E1">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-L2D</w:t>
            </w:r>
          </w:p>
        </w:tc>
        <w:tc>
          <w:tcPr>
            <w:tcW w:w="737" w:type="pct"/>
            <w:tcBorders>
              <w:tl2br w:val="nil"/>
              <w:tr2bl w:val="nil"/>
            </w:tcBorders>
            <w:noWrap w:val="0"/>
            <w:tcMar>
              <w:top w:w="0" w:type="dxa"/>
              <w:left w:w="57" w:type="dxa"/>
              <w:bottom w:w="0" w:type="dxa"/>
              <w:right w:w="57" w:type="dxa"/>
            </w:tcMar>
            <w:vAlign w:val="center"/>
          </w:tcPr>
          <w:p w14:paraId="09806AA2">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26FF88B5">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7AEABEAD">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-L1D</w:t>
            </w:r>
          </w:p>
        </w:tc>
        <w:tc>
          <w:tcPr>
            <w:tcW w:w="740" w:type="pct"/>
            <w:tcBorders>
              <w:tl2br w:val="nil"/>
              <w:tr2bl w:val="nil"/>
            </w:tcBorders>
            <w:noWrap w:val="0"/>
            <w:tcMar>
              <w:top w:w="0" w:type="dxa"/>
              <w:left w:w="57" w:type="dxa"/>
              <w:bottom w:w="0" w:type="dxa"/>
              <w:right w:w="57" w:type="dxa"/>
            </w:tcMar>
            <w:vAlign w:val="center"/>
          </w:tcPr>
          <w:p w14:paraId="5E475E8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-L1D</w:t>
            </w:r>
          </w:p>
        </w:tc>
      </w:tr>
      <w:tr w14:paraId="767E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08A37370">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51F377D6">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噪声排放</w:t>
            </w:r>
          </w:p>
        </w:tc>
        <w:tc>
          <w:tcPr>
            <w:tcW w:w="737" w:type="pct"/>
            <w:tcBorders>
              <w:tl2br w:val="nil"/>
              <w:tr2bl w:val="nil"/>
            </w:tcBorders>
            <w:noWrap w:val="0"/>
            <w:tcMar>
              <w:top w:w="0" w:type="dxa"/>
              <w:left w:w="57" w:type="dxa"/>
              <w:bottom w:w="0" w:type="dxa"/>
              <w:right w:w="57" w:type="dxa"/>
            </w:tcMar>
            <w:vAlign w:val="center"/>
          </w:tcPr>
          <w:p w14:paraId="6198525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0BB27E8B">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5D94654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-L1D</w:t>
            </w:r>
          </w:p>
        </w:tc>
        <w:tc>
          <w:tcPr>
            <w:tcW w:w="737" w:type="pct"/>
            <w:tcBorders>
              <w:tl2br w:val="nil"/>
              <w:tr2bl w:val="nil"/>
            </w:tcBorders>
            <w:noWrap w:val="0"/>
            <w:tcMar>
              <w:top w:w="0" w:type="dxa"/>
              <w:left w:w="57" w:type="dxa"/>
              <w:bottom w:w="0" w:type="dxa"/>
              <w:right w:w="57" w:type="dxa"/>
            </w:tcMar>
            <w:vAlign w:val="center"/>
          </w:tcPr>
          <w:p w14:paraId="4C1EF557">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40" w:type="pct"/>
            <w:tcBorders>
              <w:tl2br w:val="nil"/>
              <w:tr2bl w:val="nil"/>
            </w:tcBorders>
            <w:noWrap w:val="0"/>
            <w:tcMar>
              <w:top w:w="0" w:type="dxa"/>
              <w:left w:w="57" w:type="dxa"/>
              <w:bottom w:w="0" w:type="dxa"/>
              <w:right w:w="57" w:type="dxa"/>
            </w:tcMar>
            <w:vAlign w:val="center"/>
          </w:tcPr>
          <w:p w14:paraId="2A6CF471">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r>
      <w:tr w14:paraId="5675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1D4DFB78">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77CE24E5">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固体废物</w:t>
            </w:r>
          </w:p>
        </w:tc>
        <w:tc>
          <w:tcPr>
            <w:tcW w:w="737" w:type="pct"/>
            <w:tcBorders>
              <w:tl2br w:val="nil"/>
              <w:tr2bl w:val="nil"/>
            </w:tcBorders>
            <w:noWrap w:val="0"/>
            <w:tcMar>
              <w:top w:w="0" w:type="dxa"/>
              <w:left w:w="57" w:type="dxa"/>
              <w:bottom w:w="0" w:type="dxa"/>
              <w:right w:w="57" w:type="dxa"/>
            </w:tcMar>
            <w:vAlign w:val="center"/>
          </w:tcPr>
          <w:p w14:paraId="421A9498">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30FA7588">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193E448F">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16E5953F">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-L1I</w:t>
            </w:r>
          </w:p>
        </w:tc>
        <w:tc>
          <w:tcPr>
            <w:tcW w:w="740" w:type="pct"/>
            <w:tcBorders>
              <w:tl2br w:val="nil"/>
              <w:tr2bl w:val="nil"/>
            </w:tcBorders>
            <w:noWrap w:val="0"/>
            <w:tcMar>
              <w:top w:w="0" w:type="dxa"/>
              <w:left w:w="57" w:type="dxa"/>
              <w:bottom w:w="0" w:type="dxa"/>
              <w:right w:w="57" w:type="dxa"/>
            </w:tcMar>
            <w:vAlign w:val="center"/>
          </w:tcPr>
          <w:p w14:paraId="4927E875">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-L1I</w:t>
            </w:r>
          </w:p>
        </w:tc>
      </w:tr>
      <w:tr w14:paraId="3A85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451" w:type="pct"/>
            <w:vMerge w:val="continue"/>
            <w:tcBorders>
              <w:tl2br w:val="nil"/>
              <w:tr2bl w:val="nil"/>
            </w:tcBorders>
            <w:noWrap w:val="0"/>
            <w:tcMar>
              <w:top w:w="0" w:type="dxa"/>
              <w:left w:w="57" w:type="dxa"/>
              <w:bottom w:w="0" w:type="dxa"/>
              <w:right w:w="57" w:type="dxa"/>
            </w:tcMar>
            <w:vAlign w:val="center"/>
          </w:tcPr>
          <w:p w14:paraId="15715928">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p>
        </w:tc>
        <w:tc>
          <w:tcPr>
            <w:tcW w:w="855" w:type="pct"/>
            <w:tcBorders>
              <w:tl2br w:val="nil"/>
              <w:tr2bl w:val="nil"/>
            </w:tcBorders>
            <w:noWrap w:val="0"/>
            <w:tcMar>
              <w:top w:w="0" w:type="dxa"/>
              <w:left w:w="57" w:type="dxa"/>
              <w:bottom w:w="0" w:type="dxa"/>
              <w:right w:w="57" w:type="dxa"/>
            </w:tcMar>
            <w:vAlign w:val="center"/>
          </w:tcPr>
          <w:p w14:paraId="4B9D20D3">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环境</w:t>
            </w:r>
            <w:r>
              <w:rPr>
                <w:rFonts w:hint="default" w:ascii="Times New Roman" w:hAnsi="Times New Roman" w:eastAsia="宋体" w:cs="Times New Roman"/>
                <w:b w:val="0"/>
                <w:bCs w:val="0"/>
                <w:snapToGrid w:val="0"/>
                <w:color w:val="auto"/>
                <w:spacing w:val="0"/>
                <w:kern w:val="0"/>
                <w:sz w:val="21"/>
                <w:szCs w:val="21"/>
                <w:highlight w:val="none"/>
              </w:rPr>
              <w:t>风险</w:t>
            </w:r>
          </w:p>
        </w:tc>
        <w:tc>
          <w:tcPr>
            <w:tcW w:w="737" w:type="pct"/>
            <w:tcBorders>
              <w:tl2br w:val="nil"/>
              <w:tr2bl w:val="nil"/>
            </w:tcBorders>
            <w:noWrap w:val="0"/>
            <w:tcMar>
              <w:top w:w="0" w:type="dxa"/>
              <w:left w:w="57" w:type="dxa"/>
              <w:bottom w:w="0" w:type="dxa"/>
              <w:right w:w="57" w:type="dxa"/>
            </w:tcMar>
            <w:vAlign w:val="center"/>
          </w:tcPr>
          <w:p w14:paraId="0130E362">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w:t>
            </w:r>
            <w:r>
              <w:rPr>
                <w:rFonts w:hint="eastAsia" w:ascii="Times New Roman" w:hAnsi="Times New Roman" w:eastAsia="宋体" w:cs="Times New Roman"/>
                <w:b w:val="0"/>
                <w:bCs w:val="0"/>
                <w:snapToGrid w:val="0"/>
                <w:color w:val="auto"/>
                <w:spacing w:val="0"/>
                <w:kern w:val="0"/>
                <w:sz w:val="21"/>
                <w:szCs w:val="21"/>
                <w:highlight w:val="none"/>
                <w:lang w:val="en-US" w:eastAsia="zh-CN"/>
              </w:rPr>
              <w:t>1</w:t>
            </w:r>
            <w:r>
              <w:rPr>
                <w:rFonts w:hint="eastAsia" w:ascii="Times New Roman" w:hAnsi="Times New Roman" w:eastAsia="宋体" w:cs="Times New Roman"/>
                <w:b w:val="0"/>
                <w:bCs w:val="0"/>
                <w:snapToGrid w:val="0"/>
                <w:color w:val="auto"/>
                <w:spacing w:val="0"/>
                <w:kern w:val="0"/>
                <w:sz w:val="21"/>
                <w:szCs w:val="21"/>
                <w:highlight w:val="none"/>
              </w:rPr>
              <w:t>D</w:t>
            </w:r>
          </w:p>
        </w:tc>
        <w:tc>
          <w:tcPr>
            <w:tcW w:w="737" w:type="pct"/>
            <w:tcBorders>
              <w:tl2br w:val="nil"/>
              <w:tr2bl w:val="nil"/>
            </w:tcBorders>
            <w:noWrap w:val="0"/>
            <w:tcMar>
              <w:top w:w="0" w:type="dxa"/>
              <w:left w:w="57" w:type="dxa"/>
              <w:bottom w:w="0" w:type="dxa"/>
              <w:right w:w="57" w:type="dxa"/>
            </w:tcMar>
            <w:vAlign w:val="center"/>
          </w:tcPr>
          <w:p w14:paraId="1E20E059">
            <w:pPr>
              <w:pStyle w:val="768"/>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-S2D</w:t>
            </w:r>
          </w:p>
        </w:tc>
        <w:tc>
          <w:tcPr>
            <w:tcW w:w="737" w:type="pct"/>
            <w:tcBorders>
              <w:tl2br w:val="nil"/>
              <w:tr2bl w:val="nil"/>
            </w:tcBorders>
            <w:noWrap w:val="0"/>
            <w:tcMar>
              <w:top w:w="0" w:type="dxa"/>
              <w:left w:w="57" w:type="dxa"/>
              <w:bottom w:w="0" w:type="dxa"/>
              <w:right w:w="57" w:type="dxa"/>
            </w:tcMar>
            <w:vAlign w:val="center"/>
          </w:tcPr>
          <w:p w14:paraId="353BCFC7">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p>
        </w:tc>
        <w:tc>
          <w:tcPr>
            <w:tcW w:w="737" w:type="pct"/>
            <w:tcBorders>
              <w:tl2br w:val="nil"/>
              <w:tr2bl w:val="nil"/>
            </w:tcBorders>
            <w:noWrap w:val="0"/>
            <w:tcMar>
              <w:top w:w="0" w:type="dxa"/>
              <w:left w:w="57" w:type="dxa"/>
              <w:bottom w:w="0" w:type="dxa"/>
              <w:right w:w="57" w:type="dxa"/>
            </w:tcMar>
            <w:vAlign w:val="center"/>
          </w:tcPr>
          <w:p w14:paraId="194897FE">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-S2D</w:t>
            </w:r>
          </w:p>
        </w:tc>
        <w:tc>
          <w:tcPr>
            <w:tcW w:w="740" w:type="pct"/>
            <w:tcBorders>
              <w:tl2br w:val="nil"/>
              <w:tr2bl w:val="nil"/>
            </w:tcBorders>
            <w:noWrap w:val="0"/>
            <w:tcMar>
              <w:top w:w="0" w:type="dxa"/>
              <w:left w:w="57" w:type="dxa"/>
              <w:bottom w:w="0" w:type="dxa"/>
              <w:right w:w="57" w:type="dxa"/>
            </w:tcMar>
            <w:vAlign w:val="center"/>
          </w:tcPr>
          <w:p w14:paraId="3D5E5C46">
            <w:pPr>
              <w:pStyle w:val="768"/>
              <w:keepNext w:val="0"/>
              <w:keepLines w:val="0"/>
              <w:pageBreakBefore w:val="0"/>
              <w:widowControl w:val="0"/>
              <w:kinsoku/>
              <w:wordWrap/>
              <w:overflowPunct/>
              <w:topLinePunct w:val="0"/>
              <w:autoSpaceDE/>
              <w:autoSpaceDN/>
              <w:bidi w:val="0"/>
              <w:adjustRightInd w:val="0"/>
              <w:snapToGrid w:val="0"/>
              <w:spacing w:line="280" w:lineRule="exact"/>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-S1D</w:t>
            </w:r>
          </w:p>
        </w:tc>
      </w:tr>
      <w:tr w14:paraId="0EFC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5000" w:type="pct"/>
            <w:gridSpan w:val="7"/>
            <w:tcBorders>
              <w:tl2br w:val="nil"/>
              <w:tr2bl w:val="nil"/>
            </w:tcBorders>
            <w:noWrap w:val="0"/>
            <w:tcMar>
              <w:top w:w="0" w:type="dxa"/>
              <w:left w:w="57" w:type="dxa"/>
              <w:bottom w:w="0" w:type="dxa"/>
              <w:right w:w="57" w:type="dxa"/>
            </w:tcMar>
            <w:vAlign w:val="center"/>
          </w:tcPr>
          <w:p w14:paraId="4FA3DC8B">
            <w:pPr>
              <w:keepNext w:val="0"/>
              <w:keepLines w:val="0"/>
              <w:pageBreakBefore w:val="0"/>
              <w:widowControl w:val="0"/>
              <w:kinsoku/>
              <w:wordWrap/>
              <w:overflowPunct/>
              <w:topLinePunct w:val="0"/>
              <w:autoSpaceDE/>
              <w:autoSpaceDN/>
              <w:bidi w:val="0"/>
              <w:adjustRightInd w:val="0"/>
              <w:snapToGrid w:val="0"/>
              <w:spacing w:line="280" w:lineRule="exact"/>
              <w:ind w:firstLine="0"/>
              <w:jc w:val="center"/>
              <w:rPr>
                <w:rFonts w:hint="eastAsia" w:ascii="Times New Roman" w:hAnsi="Times New Roman" w:eastAsia="宋体" w:cs="Times New Roman"/>
                <w:b w:val="0"/>
                <w:bCs w:val="0"/>
                <w:snapToGrid w:val="0"/>
                <w:color w:val="auto"/>
                <w:spacing w:val="0"/>
                <w:kern w:val="0"/>
                <w:sz w:val="21"/>
                <w:szCs w:val="21"/>
                <w:highlight w:val="none"/>
              </w:rPr>
            </w:pPr>
            <w:r>
              <w:rPr>
                <w:rFonts w:hint="eastAsia" w:ascii="Times New Roman" w:hAnsi="Times New Roman" w:eastAsia="宋体" w:cs="Times New Roman"/>
                <w:b w:val="0"/>
                <w:bCs w:val="0"/>
                <w:snapToGrid w:val="0"/>
                <w:color w:val="auto"/>
                <w:spacing w:val="0"/>
                <w:kern w:val="0"/>
                <w:sz w:val="21"/>
                <w:szCs w:val="21"/>
                <w:highlight w:val="none"/>
              </w:rPr>
              <w:t>注：“+和-”分别表示有利、不利影响；“L和S”分别表示长期、短期影响；“0至3”分别表示无影响、轻微影响、中等影响、重大影响；“D和I”分别表示直接、间接影响。</w:t>
            </w:r>
          </w:p>
        </w:tc>
      </w:tr>
    </w:tbl>
    <w:p w14:paraId="3946B0ED">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2.3.2评价因子筛选</w:t>
      </w:r>
    </w:p>
    <w:p w14:paraId="3D20611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本项目建设对</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环境的影响分为施工期和运营期两个阶段，不同阶段对</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环境的影响也不同</w:t>
      </w:r>
      <w:r>
        <w:rPr>
          <w:rFonts w:hint="eastAsia"/>
          <w:snapToGrid w:val="0"/>
          <w:color w:val="auto"/>
          <w:kern w:val="0"/>
          <w:sz w:val="24"/>
          <w:highlight w:val="none"/>
          <w:lang w:eastAsia="zh-CN"/>
        </w:rPr>
        <w:t>。</w:t>
      </w:r>
      <w:r>
        <w:rPr>
          <w:rFonts w:hint="eastAsia"/>
          <w:snapToGrid w:val="0"/>
          <w:color w:val="auto"/>
          <w:kern w:val="0"/>
          <w:sz w:val="24"/>
          <w:highlight w:val="none"/>
        </w:rPr>
        <w:t>根据本项目特点和所在区域</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环境特征，</w:t>
      </w:r>
      <w:r>
        <w:rPr>
          <w:rFonts w:hint="eastAsia"/>
          <w:snapToGrid w:val="0"/>
          <w:color w:val="auto"/>
          <w:kern w:val="0"/>
          <w:sz w:val="24"/>
          <w:highlight w:val="none"/>
          <w:lang w:val="en-US" w:eastAsia="zh-CN"/>
        </w:rPr>
        <w:t>对</w:t>
      </w:r>
      <w:r>
        <w:rPr>
          <w:rFonts w:hint="eastAsia"/>
          <w:snapToGrid w:val="0"/>
          <w:color w:val="auto"/>
          <w:kern w:val="0"/>
          <w:sz w:val="24"/>
          <w:highlight w:val="none"/>
        </w:rPr>
        <w:t>主要</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环境影响</w:t>
      </w:r>
      <w:r>
        <w:rPr>
          <w:rFonts w:hint="eastAsia"/>
          <w:snapToGrid w:val="0"/>
          <w:color w:val="auto"/>
          <w:kern w:val="0"/>
          <w:sz w:val="24"/>
          <w:highlight w:val="none"/>
          <w:lang w:val="en-US" w:eastAsia="zh-CN"/>
        </w:rPr>
        <w:t>因子</w:t>
      </w:r>
      <w:r>
        <w:rPr>
          <w:rFonts w:hint="eastAsia"/>
          <w:snapToGrid w:val="0"/>
          <w:color w:val="auto"/>
          <w:kern w:val="0"/>
          <w:sz w:val="24"/>
          <w:highlight w:val="none"/>
        </w:rPr>
        <w:t>进行识别</w:t>
      </w:r>
      <w:r>
        <w:rPr>
          <w:rFonts w:hint="eastAsia"/>
          <w:snapToGrid w:val="0"/>
          <w:color w:val="auto"/>
          <w:kern w:val="0"/>
          <w:sz w:val="24"/>
          <w:highlight w:val="none"/>
          <w:lang w:eastAsia="zh-CN"/>
        </w:rPr>
        <w:t>，并分析</w:t>
      </w:r>
      <w:r>
        <w:rPr>
          <w:rFonts w:hint="eastAsia"/>
          <w:snapToGrid w:val="0"/>
          <w:color w:val="auto"/>
          <w:kern w:val="0"/>
          <w:sz w:val="24"/>
          <w:highlight w:val="none"/>
        </w:rPr>
        <w:t>项目施工期与运营期对</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环境影响的性质和程度</w:t>
      </w:r>
      <w:r>
        <w:rPr>
          <w:snapToGrid w:val="0"/>
          <w:color w:val="auto"/>
          <w:kern w:val="0"/>
          <w:sz w:val="24"/>
          <w:highlight w:val="none"/>
        </w:rPr>
        <w:t>，</w:t>
      </w:r>
      <w:r>
        <w:rPr>
          <w:rFonts w:hint="eastAsia"/>
          <w:snapToGrid w:val="0"/>
          <w:color w:val="auto"/>
          <w:kern w:val="0"/>
          <w:sz w:val="24"/>
          <w:highlight w:val="none"/>
        </w:rPr>
        <w:t>本项目</w:t>
      </w:r>
      <w:r>
        <w:rPr>
          <w:rFonts w:hint="eastAsia"/>
          <w:snapToGrid w:val="0"/>
          <w:color w:val="auto"/>
          <w:kern w:val="0"/>
          <w:sz w:val="24"/>
          <w:highlight w:val="none"/>
          <w:lang w:val="en-US" w:eastAsia="zh-CN"/>
        </w:rPr>
        <w:t>评价因子</w:t>
      </w:r>
      <w:r>
        <w:rPr>
          <w:snapToGrid w:val="0"/>
          <w:color w:val="auto"/>
          <w:kern w:val="0"/>
          <w:sz w:val="24"/>
          <w:highlight w:val="none"/>
        </w:rPr>
        <w:t>筛选见表</w:t>
      </w:r>
      <w:r>
        <w:rPr>
          <w:rFonts w:hint="eastAsia"/>
          <w:snapToGrid w:val="0"/>
          <w:color w:val="auto"/>
          <w:kern w:val="0"/>
          <w:sz w:val="24"/>
          <w:highlight w:val="none"/>
        </w:rPr>
        <w:t>2</w:t>
      </w:r>
      <w:r>
        <w:rPr>
          <w:snapToGrid w:val="0"/>
          <w:color w:val="auto"/>
          <w:kern w:val="0"/>
          <w:sz w:val="24"/>
          <w:highlight w:val="none"/>
        </w:rPr>
        <w:t>.3-</w:t>
      </w:r>
      <w:r>
        <w:rPr>
          <w:rFonts w:hint="eastAsia"/>
          <w:snapToGrid w:val="0"/>
          <w:color w:val="auto"/>
          <w:kern w:val="0"/>
          <w:sz w:val="24"/>
          <w:highlight w:val="none"/>
        </w:rPr>
        <w:t>2</w:t>
      </w:r>
      <w:r>
        <w:rPr>
          <w:snapToGrid w:val="0"/>
          <w:color w:val="auto"/>
          <w:kern w:val="0"/>
          <w:sz w:val="24"/>
          <w:highlight w:val="none"/>
        </w:rPr>
        <w:t>。</w:t>
      </w:r>
    </w:p>
    <w:p w14:paraId="782BF7B8">
      <w:pPr>
        <w:adjustRightInd w:val="0"/>
        <w:snapToGrid w:val="0"/>
        <w:jc w:val="center"/>
        <w:rPr>
          <w:rFonts w:hint="default" w:eastAsia="宋体"/>
          <w:b/>
          <w:bCs/>
          <w:snapToGrid w:val="0"/>
          <w:color w:val="auto"/>
          <w:kern w:val="0"/>
          <w:szCs w:val="21"/>
          <w:highlight w:val="none"/>
          <w:lang w:val="en-US" w:eastAsia="zh-CN"/>
        </w:rPr>
      </w:pPr>
      <w:r>
        <w:rPr>
          <w:b/>
          <w:bCs/>
          <w:snapToGrid w:val="0"/>
          <w:color w:val="auto"/>
          <w:kern w:val="0"/>
          <w:szCs w:val="21"/>
          <w:highlight w:val="none"/>
        </w:rPr>
        <w:t>表</w:t>
      </w:r>
      <w:r>
        <w:rPr>
          <w:rFonts w:hint="eastAsia"/>
          <w:b/>
          <w:bCs/>
          <w:snapToGrid w:val="0"/>
          <w:color w:val="auto"/>
          <w:kern w:val="0"/>
          <w:szCs w:val="21"/>
          <w:highlight w:val="none"/>
        </w:rPr>
        <w:t>2.</w:t>
      </w:r>
      <w:r>
        <w:rPr>
          <w:b/>
          <w:bCs/>
          <w:snapToGrid w:val="0"/>
          <w:color w:val="auto"/>
          <w:kern w:val="0"/>
          <w:szCs w:val="21"/>
          <w:highlight w:val="none"/>
        </w:rPr>
        <w:t>3-</w:t>
      </w:r>
      <w:r>
        <w:rPr>
          <w:rFonts w:hint="eastAsia"/>
          <w:b/>
          <w:bCs/>
          <w:snapToGrid w:val="0"/>
          <w:color w:val="auto"/>
          <w:kern w:val="0"/>
          <w:szCs w:val="21"/>
          <w:highlight w:val="none"/>
        </w:rPr>
        <w:t xml:space="preserve">2 </w:t>
      </w:r>
      <w:r>
        <w:rPr>
          <w:b/>
          <w:bCs/>
          <w:snapToGrid w:val="0"/>
          <w:color w:val="auto"/>
          <w:kern w:val="0"/>
          <w:szCs w:val="21"/>
          <w:highlight w:val="none"/>
        </w:rPr>
        <w:t>项目</w:t>
      </w:r>
      <w:r>
        <w:rPr>
          <w:rFonts w:hint="eastAsia"/>
          <w:b/>
          <w:bCs/>
          <w:snapToGrid w:val="0"/>
          <w:color w:val="auto"/>
          <w:kern w:val="0"/>
          <w:szCs w:val="21"/>
          <w:highlight w:val="none"/>
          <w:lang w:val="en-US" w:eastAsia="zh-CN"/>
        </w:rPr>
        <w:t>评价因子筛选一览表</w:t>
      </w:r>
    </w:p>
    <w:tbl>
      <w:tblPr>
        <w:tblStyle w:val="735"/>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915"/>
        <w:gridCol w:w="1026"/>
        <w:gridCol w:w="6412"/>
      </w:tblGrid>
      <w:tr w14:paraId="6404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1162" w:type="pct"/>
            <w:gridSpan w:val="2"/>
            <w:shd w:val="clear" w:color="auto" w:fill="auto"/>
            <w:noWrap w:val="0"/>
            <w:vAlign w:val="center"/>
          </w:tcPr>
          <w:p w14:paraId="600DC3A5">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项目</w:t>
            </w:r>
          </w:p>
        </w:tc>
        <w:tc>
          <w:tcPr>
            <w:tcW w:w="3837" w:type="pct"/>
            <w:shd w:val="clear" w:color="auto" w:fill="auto"/>
            <w:noWrap w:val="0"/>
            <w:vAlign w:val="center"/>
          </w:tcPr>
          <w:p w14:paraId="2CE9D410">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cs="Times New Roman"/>
                <w:snapToGrid w:val="0"/>
                <w:color w:val="auto"/>
                <w:kern w:val="0"/>
                <w:sz w:val="21"/>
                <w:szCs w:val="21"/>
                <w:highlight w:val="none"/>
                <w:lang w:val="en-US" w:eastAsia="zh-CN"/>
              </w:rPr>
              <w:t>评价因子</w:t>
            </w:r>
          </w:p>
        </w:tc>
      </w:tr>
      <w:tr w14:paraId="6A45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restart"/>
            <w:shd w:val="clear" w:color="auto" w:fill="auto"/>
            <w:noWrap w:val="0"/>
            <w:vAlign w:val="center"/>
          </w:tcPr>
          <w:p w14:paraId="499E0594">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环境空气</w:t>
            </w:r>
          </w:p>
        </w:tc>
        <w:tc>
          <w:tcPr>
            <w:tcW w:w="613" w:type="pct"/>
            <w:shd w:val="clear" w:color="auto" w:fill="auto"/>
            <w:noWrap w:val="0"/>
            <w:vAlign w:val="center"/>
          </w:tcPr>
          <w:p w14:paraId="3CEBA799">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现状评价</w:t>
            </w:r>
          </w:p>
        </w:tc>
        <w:tc>
          <w:tcPr>
            <w:tcW w:w="3837" w:type="pct"/>
            <w:shd w:val="clear" w:color="auto" w:fill="auto"/>
            <w:noWrap w:val="0"/>
            <w:vAlign w:val="center"/>
          </w:tcPr>
          <w:p w14:paraId="0820A4A5">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SO</w:t>
            </w:r>
            <w:r>
              <w:rPr>
                <w:rFonts w:hint="default" w:ascii="Times New Roman" w:hAnsi="Times New Roman" w:eastAsia="宋体" w:cs="Times New Roman"/>
                <w:snapToGrid w:val="0"/>
                <w:color w:val="auto"/>
                <w:kern w:val="0"/>
                <w:sz w:val="21"/>
                <w:szCs w:val="21"/>
                <w:highlight w:val="none"/>
                <w:vertAlign w:val="subscript"/>
              </w:rPr>
              <w:t>2</w:t>
            </w:r>
            <w:r>
              <w:rPr>
                <w:rFonts w:hint="default" w:ascii="Times New Roman" w:hAnsi="Times New Roman" w:eastAsia="宋体" w:cs="Times New Roman"/>
                <w:snapToGrid w:val="0"/>
                <w:color w:val="auto"/>
                <w:kern w:val="0"/>
                <w:sz w:val="21"/>
                <w:szCs w:val="21"/>
                <w:highlight w:val="none"/>
              </w:rPr>
              <w:t>、NO</w:t>
            </w:r>
            <w:r>
              <w:rPr>
                <w:rFonts w:hint="default" w:ascii="Times New Roman" w:hAnsi="Times New Roman" w:eastAsia="宋体" w:cs="Times New Roman"/>
                <w:snapToGrid w:val="0"/>
                <w:color w:val="auto"/>
                <w:kern w:val="0"/>
                <w:sz w:val="21"/>
                <w:szCs w:val="21"/>
                <w:highlight w:val="none"/>
                <w:vertAlign w:val="subscript"/>
              </w:rPr>
              <w:t>2</w:t>
            </w:r>
            <w:r>
              <w:rPr>
                <w:rFonts w:hint="default" w:ascii="Times New Roman" w:hAnsi="Times New Roman" w:eastAsia="宋体" w:cs="Times New Roman"/>
                <w:snapToGrid w:val="0"/>
                <w:color w:val="auto"/>
                <w:kern w:val="0"/>
                <w:sz w:val="21"/>
                <w:szCs w:val="21"/>
                <w:highlight w:val="none"/>
              </w:rPr>
              <w:t>、PM</w:t>
            </w:r>
            <w:r>
              <w:rPr>
                <w:rFonts w:hint="default" w:ascii="Times New Roman" w:hAnsi="Times New Roman" w:eastAsia="宋体" w:cs="Times New Roman"/>
                <w:snapToGrid w:val="0"/>
                <w:color w:val="auto"/>
                <w:kern w:val="0"/>
                <w:sz w:val="21"/>
                <w:szCs w:val="21"/>
                <w:highlight w:val="none"/>
                <w:vertAlign w:val="subscript"/>
              </w:rPr>
              <w:t>10</w:t>
            </w:r>
            <w:r>
              <w:rPr>
                <w:rFonts w:hint="default" w:ascii="Times New Roman" w:hAnsi="Times New Roman" w:eastAsia="宋体" w:cs="Times New Roman"/>
                <w:snapToGrid w:val="0"/>
                <w:color w:val="auto"/>
                <w:kern w:val="0"/>
                <w:sz w:val="21"/>
                <w:szCs w:val="21"/>
                <w:highlight w:val="none"/>
              </w:rPr>
              <w:t>、PM</w:t>
            </w:r>
            <w:r>
              <w:rPr>
                <w:rFonts w:hint="default" w:ascii="Times New Roman" w:hAnsi="Times New Roman" w:eastAsia="宋体" w:cs="Times New Roman"/>
                <w:snapToGrid w:val="0"/>
                <w:color w:val="auto"/>
                <w:kern w:val="0"/>
                <w:sz w:val="21"/>
                <w:szCs w:val="21"/>
                <w:highlight w:val="none"/>
                <w:vertAlign w:val="subscript"/>
              </w:rPr>
              <w:t>2.5</w:t>
            </w:r>
            <w:r>
              <w:rPr>
                <w:rFonts w:hint="default" w:ascii="Times New Roman" w:hAnsi="Times New Roman" w:eastAsia="宋体" w:cs="Times New Roman"/>
                <w:snapToGrid w:val="0"/>
                <w:color w:val="auto"/>
                <w:kern w:val="0"/>
                <w:sz w:val="21"/>
                <w:szCs w:val="21"/>
                <w:highlight w:val="none"/>
              </w:rPr>
              <w:t>、CO、O</w:t>
            </w:r>
            <w:r>
              <w:rPr>
                <w:rFonts w:hint="default" w:ascii="Times New Roman" w:hAnsi="Times New Roman" w:eastAsia="宋体" w:cs="Times New Roman"/>
                <w:snapToGrid w:val="0"/>
                <w:color w:val="auto"/>
                <w:kern w:val="0"/>
                <w:sz w:val="21"/>
                <w:szCs w:val="21"/>
                <w:highlight w:val="none"/>
                <w:vertAlign w:val="subscript"/>
              </w:rPr>
              <w:t>3</w:t>
            </w:r>
            <w:r>
              <w:rPr>
                <w:rFonts w:hint="default"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氨、硫化氢、非甲烷总烃、硫酸</w:t>
            </w:r>
            <w:r>
              <w:rPr>
                <w:rFonts w:hint="eastAsia" w:ascii="Times New Roman" w:hAnsi="Times New Roman" w:eastAsia="宋体" w:cs="Times New Roman"/>
                <w:snapToGrid w:val="0"/>
                <w:color w:val="auto"/>
                <w:kern w:val="0"/>
                <w:sz w:val="21"/>
                <w:szCs w:val="21"/>
                <w:highlight w:val="none"/>
              </w:rPr>
              <w:t>雾</w:t>
            </w:r>
          </w:p>
        </w:tc>
      </w:tr>
      <w:tr w14:paraId="3328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continue"/>
            <w:shd w:val="clear" w:color="auto" w:fill="auto"/>
            <w:noWrap w:val="0"/>
            <w:vAlign w:val="center"/>
          </w:tcPr>
          <w:p w14:paraId="04ABAAB2">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613" w:type="pct"/>
            <w:shd w:val="clear" w:color="auto" w:fill="auto"/>
            <w:noWrap w:val="0"/>
            <w:vAlign w:val="center"/>
          </w:tcPr>
          <w:p w14:paraId="5769569D">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color w:val="auto"/>
                <w:highlight w:val="none"/>
              </w:rPr>
              <w:t>运营期污染源分析</w:t>
            </w:r>
          </w:p>
        </w:tc>
        <w:tc>
          <w:tcPr>
            <w:tcW w:w="3837" w:type="pct"/>
            <w:shd w:val="clear" w:color="auto" w:fill="auto"/>
            <w:noWrap w:val="0"/>
            <w:vAlign w:val="center"/>
          </w:tcPr>
          <w:p w14:paraId="170A0858">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PM</w:t>
            </w:r>
            <w:r>
              <w:rPr>
                <w:rFonts w:ascii="Times New Roman" w:hAnsi="Times New Roman" w:eastAsia="宋体" w:cs="Times New Roman"/>
                <w:snapToGrid w:val="0"/>
                <w:color w:val="auto"/>
                <w:kern w:val="0"/>
                <w:sz w:val="21"/>
                <w:szCs w:val="21"/>
                <w:highlight w:val="none"/>
                <w:vertAlign w:val="subscript"/>
              </w:rPr>
              <w:t>10</w:t>
            </w:r>
            <w:r>
              <w:rPr>
                <w:rFonts w:ascii="Times New Roman" w:hAnsi="Times New Roman" w:eastAsia="宋体" w:cs="Times New Roman"/>
                <w:snapToGrid w:val="0"/>
                <w:color w:val="auto"/>
                <w:kern w:val="0"/>
                <w:sz w:val="21"/>
                <w:szCs w:val="21"/>
                <w:highlight w:val="none"/>
              </w:rPr>
              <w:t>、PM</w:t>
            </w:r>
            <w:r>
              <w:rPr>
                <w:rFonts w:ascii="Times New Roman" w:hAnsi="Times New Roman" w:eastAsia="宋体" w:cs="Times New Roman"/>
                <w:snapToGrid w:val="0"/>
                <w:color w:val="auto"/>
                <w:kern w:val="0"/>
                <w:sz w:val="21"/>
                <w:szCs w:val="21"/>
                <w:highlight w:val="none"/>
                <w:vertAlign w:val="subscript"/>
              </w:rPr>
              <w:t>2.5</w:t>
            </w:r>
            <w:r>
              <w:rPr>
                <w:rFonts w:ascii="Times New Roman" w:hAnsi="Times New Roman" w:eastAsia="宋体" w:cs="Times New Roman"/>
                <w:snapToGrid w:val="0"/>
                <w:color w:val="auto"/>
                <w:kern w:val="0"/>
                <w:sz w:val="21"/>
                <w:szCs w:val="21"/>
                <w:highlight w:val="none"/>
              </w:rPr>
              <w:t>、非甲烷总烃</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氨、硫化氢、</w:t>
            </w:r>
            <w:r>
              <w:rPr>
                <w:rFonts w:hint="eastAsia" w:ascii="Times New Roman" w:hAnsi="Times New Roman" w:eastAsia="宋体" w:cs="Times New Roman"/>
                <w:snapToGrid w:val="0"/>
                <w:color w:val="auto"/>
                <w:kern w:val="0"/>
                <w:sz w:val="21"/>
                <w:szCs w:val="21"/>
                <w:highlight w:val="none"/>
              </w:rPr>
              <w:t>硫酸雾</w:t>
            </w:r>
            <w:r>
              <w:rPr>
                <w:rFonts w:ascii="Times New Roman" w:hAnsi="Times New Roman" w:eastAsia="宋体" w:cs="Times New Roman"/>
                <w:snapToGrid w:val="0"/>
                <w:color w:val="auto"/>
                <w:kern w:val="0"/>
                <w:sz w:val="21"/>
                <w:szCs w:val="21"/>
                <w:highlight w:val="none"/>
              </w:rPr>
              <w:t>、SO</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、NO</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臭气浓度</w:t>
            </w:r>
          </w:p>
        </w:tc>
      </w:tr>
      <w:tr w14:paraId="3D20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continue"/>
            <w:shd w:val="clear" w:color="auto" w:fill="auto"/>
            <w:noWrap w:val="0"/>
            <w:vAlign w:val="center"/>
          </w:tcPr>
          <w:p w14:paraId="047473FD">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13" w:type="pct"/>
            <w:shd w:val="clear" w:color="auto" w:fill="auto"/>
            <w:noWrap w:val="0"/>
            <w:vAlign w:val="center"/>
          </w:tcPr>
          <w:p w14:paraId="06AAB59A">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影响评价</w:t>
            </w:r>
          </w:p>
        </w:tc>
        <w:tc>
          <w:tcPr>
            <w:tcW w:w="3837" w:type="pct"/>
            <w:shd w:val="clear" w:color="auto" w:fill="auto"/>
            <w:noWrap w:val="0"/>
            <w:vAlign w:val="center"/>
          </w:tcPr>
          <w:p w14:paraId="1DD82ADD">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PM</w:t>
            </w:r>
            <w:r>
              <w:rPr>
                <w:rFonts w:ascii="Times New Roman" w:hAnsi="Times New Roman" w:eastAsia="宋体" w:cs="Times New Roman"/>
                <w:snapToGrid w:val="0"/>
                <w:color w:val="auto"/>
                <w:kern w:val="0"/>
                <w:sz w:val="21"/>
                <w:szCs w:val="21"/>
                <w:highlight w:val="none"/>
                <w:vertAlign w:val="subscript"/>
              </w:rPr>
              <w:t>10</w:t>
            </w:r>
            <w:r>
              <w:rPr>
                <w:rFonts w:ascii="Times New Roman" w:hAnsi="Times New Roman" w:eastAsia="宋体" w:cs="Times New Roman"/>
                <w:snapToGrid w:val="0"/>
                <w:color w:val="auto"/>
                <w:kern w:val="0"/>
                <w:sz w:val="21"/>
                <w:szCs w:val="21"/>
                <w:highlight w:val="none"/>
              </w:rPr>
              <w:t>、PM</w:t>
            </w:r>
            <w:r>
              <w:rPr>
                <w:rFonts w:ascii="Times New Roman" w:hAnsi="Times New Roman" w:eastAsia="宋体" w:cs="Times New Roman"/>
                <w:snapToGrid w:val="0"/>
                <w:color w:val="auto"/>
                <w:kern w:val="0"/>
                <w:sz w:val="21"/>
                <w:szCs w:val="21"/>
                <w:highlight w:val="none"/>
                <w:vertAlign w:val="subscript"/>
              </w:rPr>
              <w:t>2.5</w:t>
            </w:r>
            <w:r>
              <w:rPr>
                <w:rFonts w:ascii="Times New Roman" w:hAnsi="Times New Roman" w:eastAsia="宋体" w:cs="Times New Roman"/>
                <w:snapToGrid w:val="0"/>
                <w:color w:val="auto"/>
                <w:kern w:val="0"/>
                <w:sz w:val="21"/>
                <w:szCs w:val="21"/>
                <w:highlight w:val="none"/>
              </w:rPr>
              <w:t>、非甲烷总烃</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氨、硫化氢、</w:t>
            </w:r>
            <w:r>
              <w:rPr>
                <w:rFonts w:hint="eastAsia" w:ascii="Times New Roman" w:hAnsi="Times New Roman" w:eastAsia="宋体" w:cs="Times New Roman"/>
                <w:snapToGrid w:val="0"/>
                <w:color w:val="auto"/>
                <w:kern w:val="0"/>
                <w:sz w:val="21"/>
                <w:szCs w:val="21"/>
                <w:highlight w:val="none"/>
              </w:rPr>
              <w:t>硫酸雾</w:t>
            </w:r>
            <w:r>
              <w:rPr>
                <w:rFonts w:ascii="Times New Roman" w:hAnsi="Times New Roman" w:eastAsia="宋体" w:cs="Times New Roman"/>
                <w:snapToGrid w:val="0"/>
                <w:color w:val="auto"/>
                <w:kern w:val="0"/>
                <w:sz w:val="21"/>
                <w:szCs w:val="21"/>
                <w:highlight w:val="none"/>
              </w:rPr>
              <w:t>、SO</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、NO</w:t>
            </w:r>
            <w:r>
              <w:rPr>
                <w:rFonts w:ascii="Times New Roman" w:hAnsi="Times New Roman" w:eastAsia="宋体" w:cs="Times New Roman"/>
                <w:snapToGrid w:val="0"/>
                <w:color w:val="auto"/>
                <w:kern w:val="0"/>
                <w:sz w:val="21"/>
                <w:szCs w:val="21"/>
                <w:highlight w:val="none"/>
                <w:vertAlign w:val="subscript"/>
              </w:rPr>
              <w:t>2</w:t>
            </w:r>
          </w:p>
        </w:tc>
      </w:tr>
      <w:tr w14:paraId="0DCC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shd w:val="clear" w:color="auto" w:fill="auto"/>
            <w:noWrap w:val="0"/>
            <w:vAlign w:val="center"/>
          </w:tcPr>
          <w:p w14:paraId="486F1675">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lang w:eastAsia="zh-CN"/>
              </w:rPr>
              <w:t>地表水</w:t>
            </w:r>
          </w:p>
          <w:p w14:paraId="21C0FDC8">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snapToGrid w:val="0"/>
                <w:color w:val="auto"/>
                <w:kern w:val="0"/>
                <w:sz w:val="21"/>
                <w:szCs w:val="21"/>
                <w:highlight w:val="none"/>
                <w:lang w:val="en-US" w:eastAsia="zh-CN"/>
              </w:rPr>
              <w:t>环境</w:t>
            </w:r>
          </w:p>
        </w:tc>
        <w:tc>
          <w:tcPr>
            <w:tcW w:w="613" w:type="pct"/>
            <w:shd w:val="clear" w:color="auto" w:fill="auto"/>
            <w:noWrap w:val="0"/>
            <w:vAlign w:val="center"/>
          </w:tcPr>
          <w:p w14:paraId="1983657D">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现状评价</w:t>
            </w:r>
          </w:p>
        </w:tc>
        <w:tc>
          <w:tcPr>
            <w:tcW w:w="3837" w:type="pct"/>
            <w:shd w:val="clear" w:color="auto" w:fill="auto"/>
            <w:noWrap w:val="0"/>
            <w:vAlign w:val="center"/>
          </w:tcPr>
          <w:p w14:paraId="18B5716F">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无</w:t>
            </w:r>
          </w:p>
        </w:tc>
      </w:tr>
      <w:tr w14:paraId="2DE9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restart"/>
            <w:shd w:val="clear" w:color="auto" w:fill="auto"/>
            <w:noWrap w:val="0"/>
            <w:vAlign w:val="center"/>
          </w:tcPr>
          <w:p w14:paraId="33FF47C4">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地下水</w:t>
            </w:r>
          </w:p>
          <w:p w14:paraId="58378B8B">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环境</w:t>
            </w:r>
          </w:p>
        </w:tc>
        <w:tc>
          <w:tcPr>
            <w:tcW w:w="613" w:type="pct"/>
            <w:shd w:val="clear" w:color="auto" w:fill="auto"/>
            <w:noWrap w:val="0"/>
            <w:vAlign w:val="center"/>
          </w:tcPr>
          <w:p w14:paraId="020593E7">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现状评价</w:t>
            </w:r>
          </w:p>
        </w:tc>
        <w:tc>
          <w:tcPr>
            <w:tcW w:w="3837" w:type="pct"/>
            <w:shd w:val="clear" w:color="auto" w:fill="auto"/>
            <w:noWrap w:val="0"/>
            <w:vAlign w:val="center"/>
          </w:tcPr>
          <w:p w14:paraId="1B2002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pH、总硬度、溶解性总固体、耗氧量、硝酸盐、亚硝酸盐、氨氮、硫酸盐、氟化物、氯化物、硫化物、氰化物、挥发酚、苯、甲苯、总大肠菌群、石油类、六价铬、铁、铜、锌、镍、镉、铅、汞等及钙、镁、钠等8大离子</w:t>
            </w:r>
          </w:p>
        </w:tc>
      </w:tr>
      <w:tr w14:paraId="1872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continue"/>
            <w:shd w:val="clear" w:color="auto" w:fill="auto"/>
            <w:noWrap w:val="0"/>
            <w:vAlign w:val="center"/>
          </w:tcPr>
          <w:p w14:paraId="5EBF5DC3">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13" w:type="pct"/>
            <w:shd w:val="clear" w:color="auto" w:fill="auto"/>
            <w:noWrap w:val="0"/>
            <w:vAlign w:val="center"/>
          </w:tcPr>
          <w:p w14:paraId="39E5AE23">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影响评价</w:t>
            </w:r>
          </w:p>
        </w:tc>
        <w:tc>
          <w:tcPr>
            <w:tcW w:w="3837" w:type="pct"/>
            <w:shd w:val="clear" w:color="auto" w:fill="auto"/>
            <w:noWrap w:val="0"/>
            <w:vAlign w:val="center"/>
          </w:tcPr>
          <w:p w14:paraId="7CAE12B4">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COD、石油烃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r>
      <w:tr w14:paraId="159A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shd w:val="clear" w:color="auto" w:fill="auto"/>
            <w:noWrap w:val="0"/>
            <w:vAlign w:val="center"/>
          </w:tcPr>
          <w:p w14:paraId="074AA30A">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生态环境</w:t>
            </w:r>
          </w:p>
        </w:tc>
        <w:tc>
          <w:tcPr>
            <w:tcW w:w="613" w:type="pct"/>
            <w:shd w:val="clear" w:color="auto" w:fill="auto"/>
            <w:noWrap w:val="0"/>
            <w:vAlign w:val="center"/>
          </w:tcPr>
          <w:p w14:paraId="255436BB">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现状评价</w:t>
            </w:r>
          </w:p>
        </w:tc>
        <w:tc>
          <w:tcPr>
            <w:tcW w:w="3837" w:type="pct"/>
            <w:shd w:val="clear" w:color="auto" w:fill="auto"/>
            <w:noWrap w:val="0"/>
            <w:vAlign w:val="center"/>
          </w:tcPr>
          <w:p w14:paraId="5E1851DF">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土地利用、植被分布、生态系统结构与功能、生态环境问题</w:t>
            </w:r>
          </w:p>
        </w:tc>
      </w:tr>
      <w:tr w14:paraId="69F4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restart"/>
            <w:shd w:val="clear" w:color="auto" w:fill="auto"/>
            <w:noWrap w:val="0"/>
            <w:vAlign w:val="center"/>
          </w:tcPr>
          <w:p w14:paraId="5823C824">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土壤</w:t>
            </w:r>
            <w:r>
              <w:rPr>
                <w:rFonts w:hint="eastAsia" w:ascii="Times New Roman" w:hAnsi="Times New Roman" w:eastAsia="宋体" w:cs="Times New Roman"/>
                <w:snapToGrid w:val="0"/>
                <w:color w:val="auto"/>
                <w:kern w:val="0"/>
                <w:sz w:val="21"/>
                <w:szCs w:val="21"/>
                <w:highlight w:val="none"/>
                <w:lang w:val="en-US" w:eastAsia="zh-CN"/>
              </w:rPr>
              <w:t>环境</w:t>
            </w:r>
          </w:p>
        </w:tc>
        <w:tc>
          <w:tcPr>
            <w:tcW w:w="613" w:type="pct"/>
            <w:shd w:val="clear" w:color="auto" w:fill="auto"/>
            <w:noWrap w:val="0"/>
            <w:vAlign w:val="center"/>
          </w:tcPr>
          <w:p w14:paraId="02283142">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现状评价</w:t>
            </w:r>
          </w:p>
        </w:tc>
        <w:tc>
          <w:tcPr>
            <w:tcW w:w="3837" w:type="pct"/>
            <w:shd w:val="clear" w:color="auto" w:fill="auto"/>
            <w:noWrap w:val="0"/>
            <w:vAlign w:val="center"/>
          </w:tcPr>
          <w:p w14:paraId="2BF1E783">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砷、镉、铬（六价）、铜、铅、汞、镍、四氯化碳、氯仿、氯甲烷、1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1-二氯乙烷、1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2-二氯乙烷、1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1-二氯乙烯、顺-1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2-二氯乙烯、反-1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2-二氯乙烯、二氯甲烷、1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2-二氯丙烷、1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2-四氯乙烷、1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2-四氯乙烷、四氯乙烯、1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1-三氯乙烷、1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2-三氯乙烷、三氯乙烯、1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3-三氯丙烷、氯乙烯、苯、氯苯、1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2-二氯苯、1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4-二氯苯、乙苯、苯乙烯、甲苯、间二甲苯+对二甲苯、邻二甲苯、硝基苯、苯胺、2-氯酚、苯并〔a〕蒽、苯并〔a〕芘、苯并〔b〕荧蒽、苯并〔k〕荧蒽、䓛、二苯并〔a</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h〕蒽、茚并〔1</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2</w:t>
            </w:r>
            <w:r>
              <w:rPr>
                <w:rFonts w:hint="eastAsia"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3-cd〕芘、萘</w:t>
            </w:r>
            <w:r>
              <w:rPr>
                <w:rFonts w:hint="eastAsia" w:ascii="Times New Roman" w:hAnsi="Times New Roman" w:eastAsia="宋体" w:cs="Times New Roman"/>
                <w:snapToGrid w:val="0"/>
                <w:color w:val="auto"/>
                <w:kern w:val="0"/>
                <w:sz w:val="21"/>
                <w:szCs w:val="21"/>
                <w:highlight w:val="none"/>
                <w:lang w:val="en-US" w:eastAsia="zh-CN" w:bidi="ar-SA"/>
              </w:rPr>
              <w:t>、</w:t>
            </w:r>
            <w:r>
              <w:rPr>
                <w:rFonts w:hint="eastAsia" w:ascii="Times New Roman" w:hAnsi="Times New Roman" w:eastAsia="宋体" w:cs="Times New Roman"/>
                <w:snapToGrid w:val="0"/>
                <w:color w:val="auto"/>
                <w:kern w:val="0"/>
                <w:sz w:val="21"/>
                <w:szCs w:val="21"/>
                <w:highlight w:val="none"/>
              </w:rPr>
              <w:t>pH、</w:t>
            </w:r>
            <w:r>
              <w:rPr>
                <w:rFonts w:hint="default" w:ascii="Times New Roman" w:hAnsi="Times New Roman" w:eastAsia="宋体" w:cs="Times New Roman"/>
                <w:snapToGrid w:val="0"/>
                <w:color w:val="auto"/>
                <w:kern w:val="0"/>
                <w:sz w:val="21"/>
                <w:szCs w:val="21"/>
                <w:highlight w:val="none"/>
              </w:rPr>
              <w:t>石油烃</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C</w:t>
            </w:r>
            <w:r>
              <w:rPr>
                <w:rFonts w:hint="eastAsia" w:ascii="Times New Roman" w:hAnsi="Times New Roman" w:eastAsia="宋体" w:cs="Times New Roman"/>
                <w:snapToGrid w:val="0"/>
                <w:color w:val="auto"/>
                <w:kern w:val="0"/>
                <w:sz w:val="21"/>
                <w:szCs w:val="21"/>
                <w:highlight w:val="none"/>
                <w:vertAlign w:val="subscript"/>
                <w:lang w:val="en-US" w:eastAsia="zh-CN"/>
              </w:rPr>
              <w:t>10</w:t>
            </w:r>
            <w:r>
              <w:rPr>
                <w:rFonts w:hint="eastAsia" w:ascii="Times New Roman" w:hAnsi="Times New Roman" w:eastAsia="宋体" w:cs="Times New Roman"/>
                <w:snapToGrid w:val="0"/>
                <w:color w:val="auto"/>
                <w:kern w:val="0"/>
                <w:sz w:val="21"/>
                <w:szCs w:val="21"/>
                <w:highlight w:val="none"/>
                <w:lang w:val="en-US" w:eastAsia="zh-CN"/>
              </w:rPr>
              <w:t>-C</w:t>
            </w:r>
            <w:r>
              <w:rPr>
                <w:rFonts w:hint="eastAsia" w:ascii="Times New Roman" w:hAnsi="Times New Roman" w:eastAsia="宋体" w:cs="Times New Roman"/>
                <w:snapToGrid w:val="0"/>
                <w:color w:val="auto"/>
                <w:kern w:val="0"/>
                <w:sz w:val="21"/>
                <w:szCs w:val="21"/>
                <w:highlight w:val="none"/>
                <w:vertAlign w:val="subscript"/>
                <w:lang w:val="en-US" w:eastAsia="zh-CN"/>
              </w:rPr>
              <w:t>40</w:t>
            </w:r>
            <w:r>
              <w:rPr>
                <w:rFonts w:hint="eastAsia" w:ascii="Times New Roman" w:hAnsi="Times New Roman" w:eastAsia="宋体" w:cs="Times New Roman"/>
                <w:snapToGrid w:val="0"/>
                <w:color w:val="auto"/>
                <w:kern w:val="0"/>
                <w:sz w:val="21"/>
                <w:szCs w:val="21"/>
                <w:highlight w:val="none"/>
                <w:lang w:eastAsia="zh-CN"/>
              </w:rPr>
              <w:t>）</w:t>
            </w:r>
          </w:p>
        </w:tc>
      </w:tr>
      <w:tr w14:paraId="6CC7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55" w:hRule="atLeast"/>
          <w:tblHeader/>
          <w:jc w:val="center"/>
        </w:trPr>
        <w:tc>
          <w:tcPr>
            <w:tcW w:w="548" w:type="pct"/>
            <w:vMerge w:val="continue"/>
            <w:shd w:val="clear" w:color="auto" w:fill="auto"/>
            <w:noWrap w:val="0"/>
            <w:vAlign w:val="center"/>
          </w:tcPr>
          <w:p w14:paraId="654F9CB7">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13" w:type="pct"/>
            <w:shd w:val="clear" w:color="auto" w:fill="auto"/>
            <w:noWrap w:val="0"/>
            <w:vAlign w:val="center"/>
          </w:tcPr>
          <w:p w14:paraId="409459DE">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影响评价</w:t>
            </w:r>
          </w:p>
        </w:tc>
        <w:tc>
          <w:tcPr>
            <w:tcW w:w="3837" w:type="pct"/>
            <w:shd w:val="clear" w:color="auto" w:fill="auto"/>
            <w:noWrap w:val="0"/>
            <w:vAlign w:val="center"/>
          </w:tcPr>
          <w:p w14:paraId="69B1582F">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石油烃</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C</w:t>
            </w:r>
            <w:r>
              <w:rPr>
                <w:rFonts w:hint="eastAsia" w:ascii="Times New Roman" w:hAnsi="Times New Roman" w:eastAsia="宋体" w:cs="Times New Roman"/>
                <w:snapToGrid w:val="0"/>
                <w:color w:val="auto"/>
                <w:kern w:val="0"/>
                <w:sz w:val="21"/>
                <w:szCs w:val="21"/>
                <w:highlight w:val="none"/>
                <w:vertAlign w:val="subscript"/>
                <w:lang w:val="en-US" w:eastAsia="zh-CN"/>
              </w:rPr>
              <w:t>10</w:t>
            </w:r>
            <w:r>
              <w:rPr>
                <w:rFonts w:hint="eastAsia" w:ascii="Times New Roman" w:hAnsi="Times New Roman" w:eastAsia="宋体" w:cs="Times New Roman"/>
                <w:snapToGrid w:val="0"/>
                <w:color w:val="auto"/>
                <w:kern w:val="0"/>
                <w:sz w:val="21"/>
                <w:szCs w:val="21"/>
                <w:highlight w:val="none"/>
                <w:lang w:val="en-US" w:eastAsia="zh-CN"/>
              </w:rPr>
              <w:t>-C</w:t>
            </w:r>
            <w:r>
              <w:rPr>
                <w:rFonts w:hint="eastAsia" w:ascii="Times New Roman" w:hAnsi="Times New Roman" w:eastAsia="宋体" w:cs="Times New Roman"/>
                <w:snapToGrid w:val="0"/>
                <w:color w:val="auto"/>
                <w:kern w:val="0"/>
                <w:sz w:val="21"/>
                <w:szCs w:val="21"/>
                <w:highlight w:val="none"/>
                <w:vertAlign w:val="subscript"/>
                <w:lang w:val="en-US" w:eastAsia="zh-CN"/>
              </w:rPr>
              <w:t>40</w:t>
            </w:r>
            <w:r>
              <w:rPr>
                <w:rFonts w:hint="eastAsia" w:ascii="Times New Roman" w:hAnsi="Times New Roman" w:eastAsia="宋体" w:cs="Times New Roman"/>
                <w:snapToGrid w:val="0"/>
                <w:color w:val="auto"/>
                <w:kern w:val="0"/>
                <w:sz w:val="21"/>
                <w:szCs w:val="21"/>
                <w:highlight w:val="none"/>
                <w:lang w:eastAsia="zh-CN"/>
              </w:rPr>
              <w:t>）</w:t>
            </w:r>
          </w:p>
        </w:tc>
      </w:tr>
      <w:tr w14:paraId="6F1F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55" w:hRule="atLeast"/>
          <w:tblHeader/>
          <w:jc w:val="center"/>
        </w:trPr>
        <w:tc>
          <w:tcPr>
            <w:tcW w:w="548" w:type="pct"/>
            <w:vMerge w:val="restart"/>
            <w:shd w:val="clear" w:color="auto" w:fill="auto"/>
            <w:noWrap w:val="0"/>
            <w:vAlign w:val="center"/>
          </w:tcPr>
          <w:p w14:paraId="3D97E128">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声环境</w:t>
            </w:r>
          </w:p>
        </w:tc>
        <w:tc>
          <w:tcPr>
            <w:tcW w:w="613" w:type="pct"/>
            <w:shd w:val="clear" w:color="auto" w:fill="auto"/>
            <w:noWrap w:val="0"/>
            <w:vAlign w:val="center"/>
          </w:tcPr>
          <w:p w14:paraId="23D3ECCE">
            <w:pPr>
              <w:pStyle w:val="42"/>
              <w:keepNext w:val="0"/>
              <w:keepLines w:val="0"/>
              <w:pageBreakBefore w:val="0"/>
              <w:widowControl w:val="0"/>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现状评价</w:t>
            </w:r>
          </w:p>
        </w:tc>
        <w:tc>
          <w:tcPr>
            <w:tcW w:w="3837" w:type="pct"/>
            <w:shd w:val="clear" w:color="auto" w:fill="auto"/>
            <w:noWrap w:val="0"/>
            <w:vAlign w:val="center"/>
          </w:tcPr>
          <w:p w14:paraId="0FF947CB">
            <w:pPr>
              <w:pStyle w:val="42"/>
              <w:keepNext w:val="0"/>
              <w:keepLines w:val="0"/>
              <w:pageBreakBefore w:val="0"/>
              <w:widowControl w:val="0"/>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LAeq</w:t>
            </w:r>
          </w:p>
        </w:tc>
      </w:tr>
      <w:tr w14:paraId="733B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55" w:hRule="atLeast"/>
          <w:tblHeader/>
          <w:jc w:val="center"/>
        </w:trPr>
        <w:tc>
          <w:tcPr>
            <w:tcW w:w="548" w:type="pct"/>
            <w:vMerge w:val="continue"/>
            <w:shd w:val="clear" w:color="auto" w:fill="auto"/>
            <w:noWrap w:val="0"/>
            <w:vAlign w:val="center"/>
          </w:tcPr>
          <w:p w14:paraId="198D92CB">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13" w:type="pct"/>
            <w:shd w:val="clear" w:color="auto" w:fill="auto"/>
            <w:noWrap w:val="0"/>
            <w:vAlign w:val="center"/>
          </w:tcPr>
          <w:p w14:paraId="5BBB7286">
            <w:pPr>
              <w:pStyle w:val="42"/>
              <w:keepNext w:val="0"/>
              <w:keepLines w:val="0"/>
              <w:pageBreakBefore w:val="0"/>
              <w:widowControl w:val="0"/>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影响评价</w:t>
            </w:r>
          </w:p>
        </w:tc>
        <w:tc>
          <w:tcPr>
            <w:tcW w:w="3837" w:type="pct"/>
            <w:shd w:val="clear" w:color="auto" w:fill="auto"/>
            <w:noWrap w:val="0"/>
            <w:vAlign w:val="center"/>
          </w:tcPr>
          <w:p w14:paraId="33C623FA">
            <w:pPr>
              <w:pStyle w:val="42"/>
              <w:keepNext w:val="0"/>
              <w:keepLines w:val="0"/>
              <w:pageBreakBefore w:val="0"/>
              <w:widowControl w:val="0"/>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LAeq</w:t>
            </w:r>
          </w:p>
        </w:tc>
      </w:tr>
      <w:tr w14:paraId="0CEC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55" w:hRule="atLeast"/>
          <w:tblHeader/>
          <w:jc w:val="center"/>
        </w:trPr>
        <w:tc>
          <w:tcPr>
            <w:tcW w:w="548" w:type="pct"/>
            <w:shd w:val="clear" w:color="auto" w:fill="auto"/>
            <w:noWrap w:val="0"/>
            <w:vAlign w:val="center"/>
          </w:tcPr>
          <w:p w14:paraId="2EDC668A">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生态环境</w:t>
            </w:r>
          </w:p>
        </w:tc>
        <w:tc>
          <w:tcPr>
            <w:tcW w:w="613" w:type="pct"/>
            <w:shd w:val="clear" w:color="auto" w:fill="auto"/>
            <w:noWrap w:val="0"/>
            <w:vAlign w:val="center"/>
          </w:tcPr>
          <w:p w14:paraId="10C99CFC">
            <w:pPr>
              <w:pStyle w:val="768"/>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影响分析</w:t>
            </w:r>
          </w:p>
        </w:tc>
        <w:tc>
          <w:tcPr>
            <w:tcW w:w="3837" w:type="pct"/>
            <w:shd w:val="clear" w:color="auto" w:fill="auto"/>
            <w:noWrap w:val="0"/>
            <w:vAlign w:val="center"/>
          </w:tcPr>
          <w:p w14:paraId="3F5EB324">
            <w:pPr>
              <w:pStyle w:val="768"/>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占地影响、对植被影响等</w:t>
            </w:r>
          </w:p>
        </w:tc>
      </w:tr>
      <w:tr w14:paraId="6E63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55" w:hRule="atLeast"/>
          <w:tblHeader/>
          <w:jc w:val="center"/>
        </w:trPr>
        <w:tc>
          <w:tcPr>
            <w:tcW w:w="1162" w:type="pct"/>
            <w:gridSpan w:val="2"/>
            <w:shd w:val="clear" w:color="auto" w:fill="auto"/>
            <w:noWrap w:val="0"/>
            <w:vAlign w:val="center"/>
          </w:tcPr>
          <w:p w14:paraId="6140559B">
            <w:pPr>
              <w:pStyle w:val="768"/>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项目</w:t>
            </w:r>
          </w:p>
        </w:tc>
        <w:tc>
          <w:tcPr>
            <w:tcW w:w="3837" w:type="pct"/>
            <w:shd w:val="clear" w:color="auto" w:fill="auto"/>
            <w:noWrap w:val="0"/>
            <w:vAlign w:val="center"/>
          </w:tcPr>
          <w:p w14:paraId="16D41D8B">
            <w:pPr>
              <w:pStyle w:val="768"/>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固体废物名称</w:t>
            </w:r>
          </w:p>
        </w:tc>
      </w:tr>
      <w:tr w14:paraId="3A07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restart"/>
            <w:shd w:val="clear" w:color="auto" w:fill="auto"/>
            <w:noWrap w:val="0"/>
            <w:vAlign w:val="center"/>
          </w:tcPr>
          <w:p w14:paraId="78CA9DC7">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固体废物</w:t>
            </w:r>
          </w:p>
        </w:tc>
        <w:tc>
          <w:tcPr>
            <w:tcW w:w="613" w:type="pct"/>
            <w:shd w:val="clear" w:color="auto" w:fill="auto"/>
            <w:noWrap w:val="0"/>
            <w:vAlign w:val="center"/>
          </w:tcPr>
          <w:p w14:paraId="36930CE7">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危险废物</w:t>
            </w:r>
          </w:p>
        </w:tc>
        <w:tc>
          <w:tcPr>
            <w:tcW w:w="3837" w:type="pct"/>
            <w:shd w:val="clear" w:color="auto" w:fill="auto"/>
            <w:noWrap w:val="0"/>
            <w:vAlign w:val="center"/>
          </w:tcPr>
          <w:p w14:paraId="40F853C8">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eastAsia="zh-CN"/>
              </w:rPr>
              <w:t>化验室废液</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废矿物油</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bidi="ar"/>
              </w:rPr>
              <w:t>废铅蓄电池</w:t>
            </w:r>
          </w:p>
        </w:tc>
      </w:tr>
      <w:tr w14:paraId="28D7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continue"/>
            <w:shd w:val="clear" w:color="auto" w:fill="auto"/>
            <w:noWrap w:val="0"/>
            <w:vAlign w:val="center"/>
          </w:tcPr>
          <w:p w14:paraId="0B6C7A2A">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13" w:type="pct"/>
            <w:shd w:val="clear" w:color="auto" w:fill="auto"/>
            <w:noWrap w:val="0"/>
            <w:vAlign w:val="center"/>
          </w:tcPr>
          <w:p w14:paraId="7261DFAA">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一般固体废物</w:t>
            </w:r>
          </w:p>
        </w:tc>
        <w:tc>
          <w:tcPr>
            <w:tcW w:w="3837" w:type="pct"/>
            <w:shd w:val="clear" w:color="auto" w:fill="auto"/>
            <w:noWrap w:val="0"/>
            <w:vAlign w:val="center"/>
          </w:tcPr>
          <w:p w14:paraId="1CCD985A">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rPr>
              <w:t>菌体污泥</w:t>
            </w:r>
          </w:p>
        </w:tc>
      </w:tr>
      <w:tr w14:paraId="15D1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vMerge w:val="continue"/>
            <w:shd w:val="clear" w:color="auto" w:fill="auto"/>
            <w:noWrap w:val="0"/>
            <w:vAlign w:val="center"/>
          </w:tcPr>
          <w:p w14:paraId="210F2F89">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13" w:type="pct"/>
            <w:shd w:val="clear" w:color="auto" w:fill="auto"/>
            <w:noWrap w:val="0"/>
            <w:vAlign w:val="center"/>
          </w:tcPr>
          <w:p w14:paraId="052E29F4">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生活垃圾</w:t>
            </w:r>
          </w:p>
        </w:tc>
        <w:tc>
          <w:tcPr>
            <w:tcW w:w="3837" w:type="pct"/>
            <w:shd w:val="clear" w:color="auto" w:fill="auto"/>
            <w:noWrap w:val="0"/>
            <w:vAlign w:val="center"/>
          </w:tcPr>
          <w:p w14:paraId="1F5C3C99">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生活垃圾</w:t>
            </w:r>
          </w:p>
        </w:tc>
      </w:tr>
      <w:tr w14:paraId="324D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1162" w:type="pct"/>
            <w:gridSpan w:val="2"/>
            <w:shd w:val="clear" w:color="auto" w:fill="auto"/>
            <w:noWrap w:val="0"/>
            <w:vAlign w:val="center"/>
          </w:tcPr>
          <w:p w14:paraId="24944141">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项目</w:t>
            </w:r>
          </w:p>
        </w:tc>
        <w:tc>
          <w:tcPr>
            <w:tcW w:w="3837" w:type="pct"/>
            <w:shd w:val="clear" w:color="auto" w:fill="auto"/>
            <w:noWrap w:val="0"/>
            <w:vAlign w:val="center"/>
          </w:tcPr>
          <w:p w14:paraId="0DA662B7">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cs="Times New Roman"/>
                <w:b w:val="0"/>
                <w:bCs w:val="0"/>
                <w:snapToGrid w:val="0"/>
                <w:color w:val="auto"/>
                <w:kern w:val="0"/>
                <w:sz w:val="21"/>
                <w:szCs w:val="21"/>
                <w:highlight w:val="none"/>
                <w:lang w:val="en-US" w:eastAsia="zh-CN"/>
              </w:rPr>
              <w:t>风险源</w:t>
            </w:r>
          </w:p>
        </w:tc>
      </w:tr>
      <w:tr w14:paraId="6C3F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tblHeader/>
          <w:jc w:val="center"/>
        </w:trPr>
        <w:tc>
          <w:tcPr>
            <w:tcW w:w="548" w:type="pct"/>
            <w:shd w:val="clear" w:color="auto" w:fill="auto"/>
            <w:noWrap w:val="0"/>
            <w:vAlign w:val="center"/>
          </w:tcPr>
          <w:p w14:paraId="14C2834A">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生态环境风险</w:t>
            </w:r>
          </w:p>
        </w:tc>
        <w:tc>
          <w:tcPr>
            <w:tcW w:w="613" w:type="pct"/>
            <w:shd w:val="clear" w:color="auto" w:fill="auto"/>
            <w:noWrap w:val="0"/>
            <w:vAlign w:val="center"/>
          </w:tcPr>
          <w:p w14:paraId="7B4426E5">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影响分析</w:t>
            </w:r>
          </w:p>
        </w:tc>
        <w:tc>
          <w:tcPr>
            <w:tcW w:w="3837" w:type="pct"/>
            <w:shd w:val="clear" w:color="auto" w:fill="auto"/>
            <w:noWrap w:val="0"/>
            <w:vAlign w:val="center"/>
          </w:tcPr>
          <w:p w14:paraId="353C029E">
            <w:pPr>
              <w:pStyle w:val="42"/>
              <w:keepNext w:val="0"/>
              <w:keepLines w:val="0"/>
              <w:pageBreakBefore w:val="0"/>
              <w:widowControl w:val="0"/>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硫酸、烷烃、生产废水（COD</w:t>
            </w:r>
            <w:r>
              <w:rPr>
                <w:rFonts w:hint="default" w:ascii="Times New Roman" w:hAnsi="Times New Roman" w:eastAsia="宋体" w:cs="Times New Roman"/>
                <w:snapToGrid w:val="0"/>
                <w:color w:val="auto"/>
                <w:kern w:val="0"/>
                <w:sz w:val="21"/>
                <w:szCs w:val="21"/>
                <w:highlight w:val="none"/>
                <w:vertAlign w:val="subscript"/>
                <w:lang w:val="en-US" w:eastAsia="zh-CN"/>
              </w:rPr>
              <w:t>Cr</w:t>
            </w:r>
            <w:r>
              <w:rPr>
                <w:rFonts w:hint="default" w:ascii="Times New Roman" w:hAnsi="Times New Roman" w:eastAsia="宋体" w:cs="Times New Roman"/>
                <w:snapToGrid w:val="0"/>
                <w:color w:val="auto"/>
                <w:kern w:val="0"/>
                <w:sz w:val="21"/>
                <w:szCs w:val="21"/>
                <w:highlight w:val="none"/>
                <w:lang w:val="en-US" w:eastAsia="zh-CN"/>
              </w:rPr>
              <w:t>浓度≥10000mg/L）、废矿物油</w:t>
            </w:r>
          </w:p>
        </w:tc>
      </w:tr>
      <w:bookmarkEnd w:id="53"/>
      <w:bookmarkEnd w:id="54"/>
      <w:bookmarkEnd w:id="55"/>
      <w:bookmarkEnd w:id="56"/>
      <w:bookmarkEnd w:id="57"/>
    </w:tbl>
    <w:p w14:paraId="57132B2D">
      <w:pPr>
        <w:pStyle w:val="4"/>
        <w:keepNext w:val="0"/>
        <w:keepLines w:val="0"/>
        <w:pageBreakBefore w:val="0"/>
        <w:widowControl w:val="0"/>
        <w:kinsoku/>
        <w:wordWrap/>
        <w:overflowPunct/>
        <w:topLinePunct w:val="0"/>
        <w:autoSpaceDE/>
        <w:autoSpaceDN/>
        <w:bidi w:val="0"/>
        <w:adjustRightInd w:val="0"/>
        <w:snapToGrid w:val="0"/>
        <w:spacing w:before="157" w:beforeLines="5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60" w:name="_Toc5826"/>
      <w:bookmarkStart w:id="61" w:name="_Toc19345"/>
      <w:bookmarkStart w:id="62" w:name="_Toc430033216"/>
      <w:bookmarkStart w:id="63" w:name="_Toc437732080"/>
      <w:bookmarkStart w:id="64" w:name="_Toc146967233"/>
      <w:bookmarkStart w:id="65" w:name="_Toc149705132"/>
      <w:bookmarkStart w:id="66" w:name="_Toc327365463"/>
      <w:bookmarkStart w:id="67" w:name="_Toc188349435"/>
      <w:bookmarkStart w:id="68" w:name="_Toc1588"/>
      <w:r>
        <w:rPr>
          <w:rFonts w:hint="eastAsia" w:ascii="Times New Roman" w:hAnsi="Times New Roman" w:cs="Times New Roman"/>
          <w:b w:val="0"/>
          <w:bCs w:val="0"/>
          <w:snapToGrid w:val="0"/>
          <w:color w:val="auto"/>
          <w:kern w:val="0"/>
          <w:sz w:val="28"/>
          <w:szCs w:val="28"/>
          <w:highlight w:val="none"/>
        </w:rPr>
        <w:t xml:space="preserve">2.4 </w:t>
      </w:r>
      <w:r>
        <w:rPr>
          <w:rFonts w:hint="eastAsia" w:ascii="Times New Roman" w:hAnsi="Times New Roman" w:cs="Times New Roman"/>
          <w:b w:val="0"/>
          <w:bCs w:val="0"/>
          <w:snapToGrid w:val="0"/>
          <w:color w:val="auto"/>
          <w:kern w:val="0"/>
          <w:sz w:val="28"/>
          <w:szCs w:val="28"/>
          <w:highlight w:val="none"/>
          <w:lang w:val="en-US" w:eastAsia="zh-CN"/>
        </w:rPr>
        <w:t>生态</w:t>
      </w:r>
      <w:r>
        <w:rPr>
          <w:rFonts w:hint="eastAsia" w:ascii="Times New Roman" w:hAnsi="Times New Roman" w:cs="Times New Roman"/>
          <w:b w:val="0"/>
          <w:bCs w:val="0"/>
          <w:snapToGrid w:val="0"/>
          <w:color w:val="auto"/>
          <w:kern w:val="0"/>
          <w:sz w:val="28"/>
          <w:szCs w:val="28"/>
          <w:highlight w:val="none"/>
        </w:rPr>
        <w:t>环境功能区划</w:t>
      </w:r>
      <w:bookmarkEnd w:id="60"/>
      <w:bookmarkEnd w:id="61"/>
      <w:bookmarkEnd w:id="62"/>
      <w:bookmarkEnd w:id="63"/>
    </w:p>
    <w:p w14:paraId="78BF9A9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2.4.1生态功能区划</w:t>
      </w:r>
    </w:p>
    <w:p w14:paraId="0624AD70">
      <w:pPr>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snapToGrid w:val="0"/>
          <w:color w:val="auto"/>
          <w:spacing w:val="-6"/>
          <w:kern w:val="0"/>
          <w:sz w:val="24"/>
          <w:highlight w:val="none"/>
        </w:rPr>
      </w:pPr>
      <w:r>
        <w:rPr>
          <w:rFonts w:hint="eastAsia"/>
          <w:snapToGrid w:val="0"/>
          <w:color w:val="auto"/>
          <w:spacing w:val="-6"/>
          <w:kern w:val="0"/>
          <w:sz w:val="24"/>
          <w:highlight w:val="none"/>
        </w:rPr>
        <w:t>按照《新疆维吾尔自治区生态功能区划》，项目区位于乌苏市化工产业集中区，生态功能区划属于Ⅱ准噶尔盆地温带干旱荒漠与绿洲生态功能区-Ⅱ5准噶尔盆地南部荒漠绿洲农业生态区-26乌苏-</w:t>
      </w:r>
      <w:r>
        <w:rPr>
          <w:rFonts w:hint="eastAsia"/>
          <w:snapToGrid w:val="0"/>
          <w:color w:val="auto"/>
          <w:spacing w:val="-6"/>
          <w:kern w:val="0"/>
          <w:sz w:val="24"/>
          <w:highlight w:val="none"/>
          <w:lang w:val="en-US" w:eastAsia="zh-CN"/>
        </w:rPr>
        <w:t>石河子</w:t>
      </w:r>
      <w:r>
        <w:rPr>
          <w:rFonts w:hint="eastAsia"/>
          <w:snapToGrid w:val="0"/>
          <w:color w:val="auto"/>
          <w:spacing w:val="-6"/>
          <w:kern w:val="0"/>
          <w:sz w:val="24"/>
          <w:highlight w:val="none"/>
        </w:rPr>
        <w:t>-昌吉城镇与绿洲农业生态区。</w:t>
      </w:r>
    </w:p>
    <w:p w14:paraId="5328248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2.4-1 项目所属区域生态功能区划分表</w:t>
      </w:r>
    </w:p>
    <w:tbl>
      <w:tblPr>
        <w:tblStyle w:val="7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6502"/>
      </w:tblGrid>
      <w:tr w14:paraId="1B39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5D6B82A8">
            <w:pPr>
              <w:adjustRightInd w:val="0"/>
              <w:snapToGrid w:val="0"/>
              <w:jc w:val="center"/>
              <w:rPr>
                <w:snapToGrid w:val="0"/>
                <w:color w:val="auto"/>
                <w:kern w:val="0"/>
                <w:szCs w:val="21"/>
                <w:highlight w:val="none"/>
              </w:rPr>
            </w:pPr>
            <w:r>
              <w:rPr>
                <w:snapToGrid w:val="0"/>
                <w:color w:val="auto"/>
                <w:kern w:val="0"/>
                <w:szCs w:val="21"/>
                <w:highlight w:val="none"/>
              </w:rPr>
              <w:t>项目</w:t>
            </w:r>
          </w:p>
        </w:tc>
        <w:tc>
          <w:tcPr>
            <w:tcW w:w="6502" w:type="dxa"/>
            <w:shd w:val="clear" w:color="auto" w:fill="auto"/>
          </w:tcPr>
          <w:p w14:paraId="5E51F1D1">
            <w:pPr>
              <w:adjustRightInd w:val="0"/>
              <w:snapToGrid w:val="0"/>
              <w:jc w:val="center"/>
              <w:rPr>
                <w:snapToGrid w:val="0"/>
                <w:color w:val="auto"/>
                <w:kern w:val="0"/>
                <w:szCs w:val="21"/>
                <w:highlight w:val="none"/>
              </w:rPr>
            </w:pPr>
            <w:r>
              <w:rPr>
                <w:snapToGrid w:val="0"/>
                <w:color w:val="auto"/>
                <w:kern w:val="0"/>
                <w:szCs w:val="21"/>
                <w:highlight w:val="none"/>
              </w:rPr>
              <w:t>区划</w:t>
            </w:r>
          </w:p>
        </w:tc>
      </w:tr>
      <w:tr w14:paraId="4A4E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04893C9D">
            <w:pPr>
              <w:adjustRightInd w:val="0"/>
              <w:snapToGrid w:val="0"/>
              <w:jc w:val="center"/>
              <w:rPr>
                <w:snapToGrid w:val="0"/>
                <w:color w:val="auto"/>
                <w:kern w:val="0"/>
                <w:szCs w:val="21"/>
                <w:highlight w:val="none"/>
              </w:rPr>
            </w:pPr>
            <w:r>
              <w:rPr>
                <w:snapToGrid w:val="0"/>
                <w:color w:val="auto"/>
                <w:kern w:val="0"/>
                <w:szCs w:val="21"/>
                <w:highlight w:val="none"/>
              </w:rPr>
              <w:t>生态区</w:t>
            </w:r>
          </w:p>
        </w:tc>
        <w:tc>
          <w:tcPr>
            <w:tcW w:w="6502" w:type="dxa"/>
            <w:shd w:val="clear" w:color="auto" w:fill="auto"/>
          </w:tcPr>
          <w:p w14:paraId="05952BA9">
            <w:pPr>
              <w:adjustRightInd w:val="0"/>
              <w:snapToGrid w:val="0"/>
              <w:jc w:val="center"/>
              <w:rPr>
                <w:snapToGrid w:val="0"/>
                <w:color w:val="auto"/>
                <w:kern w:val="0"/>
                <w:szCs w:val="21"/>
                <w:highlight w:val="none"/>
              </w:rPr>
            </w:pPr>
            <w:r>
              <w:rPr>
                <w:snapToGrid w:val="0"/>
                <w:color w:val="auto"/>
                <w:kern w:val="0"/>
                <w:szCs w:val="21"/>
                <w:highlight w:val="none"/>
              </w:rPr>
              <w:t>Ⅱ准噶尔盆地温带干旱荒漠与绿洲生态功能区</w:t>
            </w:r>
          </w:p>
        </w:tc>
      </w:tr>
      <w:tr w14:paraId="1502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44ECC7BE">
            <w:pPr>
              <w:adjustRightInd w:val="0"/>
              <w:snapToGrid w:val="0"/>
              <w:jc w:val="center"/>
              <w:rPr>
                <w:snapToGrid w:val="0"/>
                <w:color w:val="auto"/>
                <w:kern w:val="0"/>
                <w:szCs w:val="21"/>
                <w:highlight w:val="none"/>
              </w:rPr>
            </w:pPr>
            <w:r>
              <w:rPr>
                <w:snapToGrid w:val="0"/>
                <w:color w:val="auto"/>
                <w:kern w:val="0"/>
                <w:szCs w:val="21"/>
                <w:highlight w:val="none"/>
              </w:rPr>
              <w:t>生态亚区</w:t>
            </w:r>
          </w:p>
        </w:tc>
        <w:tc>
          <w:tcPr>
            <w:tcW w:w="6502" w:type="dxa"/>
            <w:shd w:val="clear" w:color="auto" w:fill="auto"/>
          </w:tcPr>
          <w:p w14:paraId="6A55CA43">
            <w:pPr>
              <w:adjustRightInd w:val="0"/>
              <w:snapToGrid w:val="0"/>
              <w:jc w:val="center"/>
              <w:rPr>
                <w:snapToGrid w:val="0"/>
                <w:color w:val="auto"/>
                <w:kern w:val="0"/>
                <w:szCs w:val="21"/>
                <w:highlight w:val="none"/>
              </w:rPr>
            </w:pPr>
            <w:r>
              <w:rPr>
                <w:snapToGrid w:val="0"/>
                <w:color w:val="auto"/>
                <w:kern w:val="0"/>
                <w:szCs w:val="21"/>
                <w:highlight w:val="none"/>
              </w:rPr>
              <w:t>Ⅱ</w:t>
            </w:r>
            <w:r>
              <w:rPr>
                <w:snapToGrid w:val="0"/>
                <w:color w:val="auto"/>
                <w:kern w:val="0"/>
                <w:szCs w:val="21"/>
                <w:highlight w:val="none"/>
                <w:vertAlign w:val="subscript"/>
              </w:rPr>
              <w:t>5</w:t>
            </w:r>
            <w:r>
              <w:rPr>
                <w:snapToGrid w:val="0"/>
                <w:color w:val="auto"/>
                <w:kern w:val="0"/>
                <w:szCs w:val="21"/>
                <w:highlight w:val="none"/>
              </w:rPr>
              <w:t>准噶尔盆地南部荒漠绿洲农业生态区</w:t>
            </w:r>
          </w:p>
        </w:tc>
      </w:tr>
      <w:tr w14:paraId="4CCE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773D4E24">
            <w:pPr>
              <w:adjustRightInd w:val="0"/>
              <w:snapToGrid w:val="0"/>
              <w:jc w:val="center"/>
              <w:rPr>
                <w:snapToGrid w:val="0"/>
                <w:color w:val="auto"/>
                <w:kern w:val="0"/>
                <w:szCs w:val="21"/>
                <w:highlight w:val="none"/>
              </w:rPr>
            </w:pPr>
            <w:r>
              <w:rPr>
                <w:snapToGrid w:val="0"/>
                <w:color w:val="auto"/>
                <w:kern w:val="0"/>
                <w:szCs w:val="21"/>
                <w:highlight w:val="none"/>
              </w:rPr>
              <w:t>生态功能区</w:t>
            </w:r>
          </w:p>
        </w:tc>
        <w:tc>
          <w:tcPr>
            <w:tcW w:w="6502" w:type="dxa"/>
            <w:shd w:val="clear" w:color="auto" w:fill="auto"/>
          </w:tcPr>
          <w:p w14:paraId="536CD571">
            <w:pPr>
              <w:adjustRightInd w:val="0"/>
              <w:snapToGrid w:val="0"/>
              <w:jc w:val="center"/>
              <w:rPr>
                <w:snapToGrid w:val="0"/>
                <w:color w:val="auto"/>
                <w:kern w:val="0"/>
                <w:szCs w:val="21"/>
                <w:highlight w:val="none"/>
              </w:rPr>
            </w:pPr>
            <w:r>
              <w:rPr>
                <w:snapToGrid w:val="0"/>
                <w:color w:val="auto"/>
                <w:kern w:val="0"/>
                <w:szCs w:val="21"/>
                <w:highlight w:val="none"/>
              </w:rPr>
              <w:t>26乌苏-石河子-昌吉城镇与绿洲农业生态区</w:t>
            </w:r>
          </w:p>
        </w:tc>
      </w:tr>
      <w:tr w14:paraId="33D3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4A31891D">
            <w:pPr>
              <w:adjustRightInd w:val="0"/>
              <w:snapToGrid w:val="0"/>
              <w:jc w:val="center"/>
              <w:rPr>
                <w:snapToGrid w:val="0"/>
                <w:color w:val="auto"/>
                <w:kern w:val="0"/>
                <w:szCs w:val="21"/>
                <w:highlight w:val="none"/>
              </w:rPr>
            </w:pPr>
            <w:r>
              <w:rPr>
                <w:snapToGrid w:val="0"/>
                <w:color w:val="auto"/>
                <w:kern w:val="0"/>
                <w:szCs w:val="21"/>
                <w:highlight w:val="none"/>
              </w:rPr>
              <w:t>主要生态服务功能</w:t>
            </w:r>
          </w:p>
        </w:tc>
        <w:tc>
          <w:tcPr>
            <w:tcW w:w="6502" w:type="dxa"/>
            <w:shd w:val="clear" w:color="auto" w:fill="auto"/>
          </w:tcPr>
          <w:p w14:paraId="0B2D88B3">
            <w:pPr>
              <w:adjustRightInd w:val="0"/>
              <w:snapToGrid w:val="0"/>
              <w:jc w:val="center"/>
              <w:rPr>
                <w:snapToGrid w:val="0"/>
                <w:color w:val="auto"/>
                <w:kern w:val="0"/>
                <w:szCs w:val="21"/>
                <w:highlight w:val="none"/>
              </w:rPr>
            </w:pPr>
            <w:r>
              <w:rPr>
                <w:snapToGrid w:val="0"/>
                <w:color w:val="auto"/>
                <w:kern w:val="0"/>
                <w:szCs w:val="21"/>
                <w:highlight w:val="none"/>
              </w:rPr>
              <w:t>工农畜产品生产、人居环境、荒漠化控制</w:t>
            </w:r>
          </w:p>
        </w:tc>
      </w:tr>
      <w:tr w14:paraId="6A8F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0193A8F8">
            <w:pPr>
              <w:pStyle w:val="768"/>
              <w:rPr>
                <w:rFonts w:cs="Times New Roman"/>
                <w:snapToGrid w:val="0"/>
                <w:color w:val="auto"/>
                <w:kern w:val="0"/>
                <w:szCs w:val="21"/>
                <w:highlight w:val="none"/>
              </w:rPr>
            </w:pPr>
            <w:r>
              <w:rPr>
                <w:color w:val="auto"/>
                <w:highlight w:val="none"/>
              </w:rPr>
              <w:t>主要生态环境问题</w:t>
            </w:r>
          </w:p>
        </w:tc>
        <w:tc>
          <w:tcPr>
            <w:tcW w:w="6502" w:type="dxa"/>
            <w:shd w:val="clear" w:color="auto" w:fill="auto"/>
            <w:vAlign w:val="center"/>
          </w:tcPr>
          <w:p w14:paraId="4DD494D5">
            <w:pPr>
              <w:pStyle w:val="768"/>
              <w:rPr>
                <w:rFonts w:cs="Times New Roman"/>
                <w:snapToGrid w:val="0"/>
                <w:color w:val="auto"/>
                <w:kern w:val="0"/>
                <w:szCs w:val="21"/>
                <w:highlight w:val="none"/>
              </w:rPr>
            </w:pPr>
            <w:r>
              <w:rPr>
                <w:color w:val="auto"/>
                <w:highlight w:val="none"/>
              </w:rPr>
              <w:t>地下水超采、荒漠植被退化、土地荒漠化与盐渍化、大气和水质及土壤污染、良田减少、绿洲外围受到沙漠化威胁</w:t>
            </w:r>
          </w:p>
        </w:tc>
      </w:tr>
      <w:tr w14:paraId="70ED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2E3D4F3D">
            <w:pPr>
              <w:pStyle w:val="768"/>
              <w:rPr>
                <w:rFonts w:cs="Times New Roman"/>
                <w:snapToGrid w:val="0"/>
                <w:color w:val="auto"/>
                <w:kern w:val="0"/>
                <w:szCs w:val="21"/>
                <w:highlight w:val="none"/>
              </w:rPr>
            </w:pPr>
            <w:r>
              <w:rPr>
                <w:color w:val="auto"/>
                <w:highlight w:val="none"/>
              </w:rPr>
              <w:t>主要生态敏感因子、敏感程度</w:t>
            </w:r>
          </w:p>
        </w:tc>
        <w:tc>
          <w:tcPr>
            <w:tcW w:w="6502" w:type="dxa"/>
            <w:shd w:val="clear" w:color="auto" w:fill="auto"/>
            <w:vAlign w:val="center"/>
          </w:tcPr>
          <w:p w14:paraId="226E156B">
            <w:pPr>
              <w:pStyle w:val="768"/>
              <w:rPr>
                <w:rFonts w:cs="Times New Roman"/>
                <w:snapToGrid w:val="0"/>
                <w:color w:val="auto"/>
                <w:kern w:val="0"/>
                <w:szCs w:val="21"/>
                <w:highlight w:val="none"/>
              </w:rPr>
            </w:pPr>
            <w:r>
              <w:rPr>
                <w:color w:val="auto"/>
                <w:highlight w:val="none"/>
              </w:rPr>
              <w:t>生物多样性及其生境中度敏感，土壤盐渍化轻度敏感</w:t>
            </w:r>
          </w:p>
        </w:tc>
      </w:tr>
      <w:tr w14:paraId="4CEE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71CE8665">
            <w:pPr>
              <w:pStyle w:val="768"/>
              <w:rPr>
                <w:rFonts w:cs="Times New Roman"/>
                <w:snapToGrid w:val="0"/>
                <w:color w:val="auto"/>
                <w:kern w:val="0"/>
                <w:szCs w:val="21"/>
                <w:highlight w:val="none"/>
              </w:rPr>
            </w:pPr>
            <w:r>
              <w:rPr>
                <w:color w:val="auto"/>
                <w:highlight w:val="none"/>
              </w:rPr>
              <w:t>主要保护目标</w:t>
            </w:r>
          </w:p>
        </w:tc>
        <w:tc>
          <w:tcPr>
            <w:tcW w:w="6502" w:type="dxa"/>
            <w:shd w:val="clear" w:color="auto" w:fill="auto"/>
            <w:vAlign w:val="center"/>
          </w:tcPr>
          <w:p w14:paraId="71BC6895">
            <w:pPr>
              <w:pStyle w:val="768"/>
              <w:rPr>
                <w:rFonts w:cs="Times New Roman"/>
                <w:snapToGrid w:val="0"/>
                <w:color w:val="auto"/>
                <w:kern w:val="0"/>
                <w:szCs w:val="21"/>
                <w:highlight w:val="none"/>
              </w:rPr>
            </w:pPr>
            <w:r>
              <w:rPr>
                <w:color w:val="auto"/>
                <w:highlight w:val="none"/>
              </w:rPr>
              <w:t>保护绿洲农田、保护城市大气和水环境质量、保护荒漠植被、保护农田土壤环境质量</w:t>
            </w:r>
          </w:p>
        </w:tc>
      </w:tr>
      <w:tr w14:paraId="1585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992" w:type="dxa"/>
            <w:shd w:val="clear" w:color="auto" w:fill="auto"/>
            <w:vAlign w:val="center"/>
          </w:tcPr>
          <w:p w14:paraId="4F910A8E">
            <w:pPr>
              <w:pStyle w:val="768"/>
              <w:rPr>
                <w:rFonts w:cs="Times New Roman"/>
                <w:snapToGrid w:val="0"/>
                <w:color w:val="auto"/>
                <w:kern w:val="0"/>
                <w:szCs w:val="21"/>
                <w:highlight w:val="none"/>
              </w:rPr>
            </w:pPr>
            <w:r>
              <w:rPr>
                <w:color w:val="auto"/>
                <w:highlight w:val="none"/>
              </w:rPr>
              <w:t>主要保护措施</w:t>
            </w:r>
          </w:p>
        </w:tc>
        <w:tc>
          <w:tcPr>
            <w:tcW w:w="6502" w:type="dxa"/>
            <w:shd w:val="clear" w:color="auto" w:fill="auto"/>
            <w:vAlign w:val="center"/>
          </w:tcPr>
          <w:p w14:paraId="0A5FB61A">
            <w:pPr>
              <w:pStyle w:val="768"/>
              <w:rPr>
                <w:rFonts w:cs="Times New Roman"/>
                <w:snapToGrid w:val="0"/>
                <w:color w:val="auto"/>
                <w:kern w:val="0"/>
                <w:szCs w:val="21"/>
                <w:highlight w:val="none"/>
              </w:rPr>
            </w:pPr>
            <w:r>
              <w:rPr>
                <w:color w:val="auto"/>
                <w:highlight w:val="none"/>
              </w:rPr>
              <w:t>节水灌溉、严格控制地下水开采、污染物达标排放、提高城镇建设规划水平、控制城镇建设用地、荒漠草场禁牧休牧、完善防护林体系、加强农田投入品的使用管理</w:t>
            </w:r>
          </w:p>
        </w:tc>
      </w:tr>
      <w:tr w14:paraId="1D1E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7620C7C4">
            <w:pPr>
              <w:pStyle w:val="768"/>
              <w:rPr>
                <w:rFonts w:cs="Times New Roman"/>
                <w:snapToGrid w:val="0"/>
                <w:color w:val="auto"/>
                <w:kern w:val="0"/>
                <w:szCs w:val="21"/>
                <w:highlight w:val="none"/>
              </w:rPr>
            </w:pPr>
            <w:r>
              <w:rPr>
                <w:color w:val="auto"/>
                <w:highlight w:val="none"/>
              </w:rPr>
              <w:t>适宜发展方向</w:t>
            </w:r>
          </w:p>
        </w:tc>
        <w:tc>
          <w:tcPr>
            <w:tcW w:w="6502" w:type="dxa"/>
            <w:shd w:val="clear" w:color="auto" w:fill="auto"/>
            <w:vAlign w:val="center"/>
          </w:tcPr>
          <w:p w14:paraId="7C4BCEAA">
            <w:pPr>
              <w:pStyle w:val="768"/>
              <w:rPr>
                <w:rFonts w:cs="Times New Roman"/>
                <w:snapToGrid w:val="0"/>
                <w:color w:val="auto"/>
                <w:kern w:val="0"/>
                <w:szCs w:val="21"/>
                <w:highlight w:val="none"/>
              </w:rPr>
            </w:pPr>
            <w:r>
              <w:rPr>
                <w:color w:val="auto"/>
                <w:highlight w:val="none"/>
              </w:rPr>
              <w:t>发展优质高效农牧业，美化城市环境，建设健康、稳定的城乡生态系统与人居环境</w:t>
            </w:r>
          </w:p>
        </w:tc>
      </w:tr>
    </w:tbl>
    <w:p w14:paraId="355C5822">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2.4.2环境空气功能区划</w:t>
      </w:r>
    </w:p>
    <w:p w14:paraId="157A8ABE">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本项目位于</w:t>
      </w:r>
      <w:r>
        <w:rPr>
          <w:rFonts w:hint="eastAsia"/>
          <w:color w:val="auto"/>
          <w:kern w:val="0"/>
          <w:sz w:val="24"/>
          <w:highlight w:val="none"/>
          <w:lang w:val="fr-FR"/>
        </w:rPr>
        <w:t>乌苏</w:t>
      </w:r>
      <w:r>
        <w:rPr>
          <w:rFonts w:hint="eastAsia"/>
          <w:color w:val="auto"/>
          <w:kern w:val="0"/>
          <w:sz w:val="24"/>
          <w:highlight w:val="none"/>
        </w:rPr>
        <w:t>市化工产业集中区凯赛（乌苏）生物材料有限公司厂区内，根据《</w:t>
      </w:r>
      <w:r>
        <w:rPr>
          <w:rFonts w:hint="eastAsia"/>
          <w:color w:val="auto"/>
          <w:kern w:val="0"/>
          <w:sz w:val="24"/>
          <w:highlight w:val="none"/>
        </w:rPr>
        <mc:AlternateContent>
          <mc:Choice Requires="wps">
            <w:drawing>
              <wp:anchor distT="0" distB="0" distL="114300" distR="114300" simplePos="0" relativeHeight="251669504" behindDoc="0" locked="0" layoutInCell="0" allowOverlap="1">
                <wp:simplePos x="0" y="0"/>
                <wp:positionH relativeFrom="page">
                  <wp:posOffset>1141095</wp:posOffset>
                </wp:positionH>
                <wp:positionV relativeFrom="page">
                  <wp:posOffset>701040</wp:posOffset>
                </wp:positionV>
                <wp:extent cx="5278755" cy="6350"/>
                <wp:effectExtent l="0" t="0" r="0" b="0"/>
                <wp:wrapNone/>
                <wp:docPr id="50" name="任意多边形 50"/>
                <wp:cNvGraphicFramePr/>
                <a:graphic xmlns:a="http://schemas.openxmlformats.org/drawingml/2006/main">
                  <a:graphicData uri="http://schemas.microsoft.com/office/word/2010/wordprocessingShape">
                    <wps:wsp>
                      <wps:cNvSpPr/>
                      <wps:spPr>
                        <a:xfrm>
                          <a:off x="0" y="0"/>
                          <a:ext cx="5278755" cy="6350"/>
                        </a:xfrm>
                        <a:custGeom>
                          <a:avLst/>
                          <a:gdLst/>
                          <a:ahLst/>
                          <a:cxnLst/>
                          <a:rect l="0" t="0" r="0" b="0"/>
                          <a:pathLst>
                            <a:path w="8312" h="10">
                              <a:moveTo>
                                <a:pt x="0" y="0"/>
                              </a:moveTo>
                              <a:lnTo>
                                <a:pt x="8312" y="0"/>
                              </a:lnTo>
                              <a:lnTo>
                                <a:pt x="831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5.2pt;height:0.5pt;width:415.65pt;mso-position-horizontal-relative:page;mso-position-vertical-relative:page;z-index:251669504;mso-width-relative:page;mso-height-relative:page;" fillcolor="#000000" filled="t" stroked="f" coordsize="8312,10" o:allowincell="f" o:gfxdata="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Pq9MO1gAAAAwBAAAPAAAAAAAA&#10;AAEAIAAAACIAAABkcnMvZG93bnJldi54bWxQSwECFAAUAAAACACHTuJAf0dkVhQCAACcBAAADgAA&#10;AAAAAAABACAAAAAlAQAAZHJzL2Uyb0RvYy54bWxQSwUGAAAAAAYABgBZAQAAqwUAAAAA&#10;" path="m0,0l8312,0,8312,9,0,9,0,0xe">
                <v:fill on="t" focussize="0,0"/>
                <v:stroke on="f"/>
                <v:imagedata o:title=""/>
                <o:lock v:ext="edit" aspectratio="f"/>
              </v:shape>
            </w:pict>
          </mc:Fallback>
        </mc:AlternateContent>
      </w:r>
      <w:r>
        <w:rPr>
          <w:rFonts w:hint="eastAsia"/>
          <w:color w:val="auto"/>
          <w:kern w:val="0"/>
          <w:sz w:val="24"/>
          <w:highlight w:val="none"/>
        </w:rPr>
        <w:t>乌苏市化工产业集中区总体规划（2024-2035年）环境影响报告书》，该区域的环境空气质量功能区划属于二类功能区。</w:t>
      </w:r>
    </w:p>
    <w:p w14:paraId="1B16D34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2.4.3水环境功能区划</w:t>
      </w:r>
    </w:p>
    <w:p w14:paraId="443EB48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2.4.3.1地表水环境</w:t>
      </w:r>
    </w:p>
    <w:p w14:paraId="243E7D61">
      <w:pPr>
        <w:pStyle w:val="162"/>
        <w:adjustRightInd w:val="0"/>
        <w:snapToGrid w:val="0"/>
        <w:ind w:firstLine="480" w:firstLineChars="200"/>
        <w:rPr>
          <w:rFonts w:ascii="Times New Roman" w:hAnsi="Times New Roman" w:cs="Times New Roman"/>
          <w:color w:val="auto"/>
          <w:kern w:val="0"/>
          <w:szCs w:val="24"/>
          <w:highlight w:val="none"/>
        </w:rPr>
      </w:pPr>
      <w:r>
        <w:rPr>
          <w:rFonts w:cs="Times New Roman"/>
          <w:color w:val="auto"/>
          <w:highlight w:val="none"/>
        </w:rPr>
        <w:t>本项目废水不与地表水体产生水力联系，</w:t>
      </w:r>
      <w:r>
        <w:rPr>
          <w:rFonts w:hint="eastAsia" w:ascii="Times New Roman" w:hAnsi="Times New Roman" w:cs="Times New Roman"/>
          <w:color w:val="auto"/>
          <w:kern w:val="0"/>
          <w:szCs w:val="24"/>
          <w:highlight w:val="none"/>
        </w:rPr>
        <w:t>项目附近最近的地表水体主要是项目区东侧3.4km处四棵树河。根据</w:t>
      </w:r>
      <w:r>
        <w:rPr>
          <w:rFonts w:hint="eastAsia"/>
          <w:color w:val="auto"/>
          <w:highlight w:val="none"/>
          <w:lang w:val="en-US" w:eastAsia="zh-CN"/>
        </w:rPr>
        <w:t>《中国新疆水环境功能区划》</w:t>
      </w:r>
      <w:r>
        <w:rPr>
          <w:rFonts w:hint="eastAsia" w:ascii="Times New Roman" w:hAnsi="Times New Roman" w:cs="Times New Roman"/>
          <w:color w:val="auto"/>
          <w:kern w:val="0"/>
          <w:szCs w:val="24"/>
          <w:highlight w:val="none"/>
        </w:rPr>
        <w:t>，四棵树河</w:t>
      </w:r>
      <w:r>
        <w:rPr>
          <w:rFonts w:ascii="Times New Roman" w:hAnsi="Times New Roman" w:cs="Times New Roman"/>
          <w:color w:val="auto"/>
          <w:kern w:val="0"/>
          <w:szCs w:val="24"/>
          <w:highlight w:val="none"/>
        </w:rPr>
        <w:t>为Ⅲ类水体</w:t>
      </w:r>
      <w:r>
        <w:rPr>
          <w:rFonts w:hint="eastAsia" w:ascii="Times New Roman" w:hAnsi="Times New Roman" w:cs="Times New Roman"/>
          <w:color w:val="auto"/>
          <w:kern w:val="0"/>
          <w:szCs w:val="24"/>
          <w:highlight w:val="none"/>
        </w:rPr>
        <w:t>，水质执行《地表水环境质量标准》（GB3038-2002）中Ⅲ类标准。</w:t>
      </w:r>
    </w:p>
    <w:p w14:paraId="447F663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2.4.3.2地下水环境</w:t>
      </w:r>
    </w:p>
    <w:p w14:paraId="2DBFE25A">
      <w:pPr>
        <w:pStyle w:val="162"/>
        <w:adjustRightInd w:val="0"/>
        <w:snapToGrid w:val="0"/>
        <w:ind w:firstLine="480" w:firstLineChars="200"/>
        <w:rPr>
          <w:rFonts w:ascii="Times New Roman" w:hAnsi="Times New Roman" w:cs="Times New Roman"/>
          <w:color w:val="auto"/>
          <w:kern w:val="0"/>
          <w:szCs w:val="24"/>
          <w:highlight w:val="none"/>
        </w:rPr>
      </w:pPr>
      <w:r>
        <w:rPr>
          <w:rFonts w:hint="eastAsia" w:ascii="Times New Roman" w:hAnsi="Times New Roman" w:cs="Times New Roman"/>
          <w:color w:val="auto"/>
          <w:kern w:val="0"/>
          <w:szCs w:val="24"/>
          <w:highlight w:val="none"/>
        </w:rPr>
        <w:t>根据《乌苏市化工产业集中区总体规划（2024-2035年）环境影响报告书》，园区地下水参照《地下水质量标准》（GB/T14848-2017）</w:t>
      </w:r>
      <w:r>
        <w:rPr>
          <w:rFonts w:ascii="Times New Roman" w:hAnsi="Times New Roman" w:cs="Times New Roman"/>
          <w:color w:val="auto"/>
          <w:kern w:val="0"/>
          <w:szCs w:val="24"/>
          <w:highlight w:val="none"/>
        </w:rPr>
        <w:t>Ⅲ</w:t>
      </w:r>
      <w:r>
        <w:rPr>
          <w:rFonts w:hint="eastAsia" w:ascii="Times New Roman" w:hAnsi="Times New Roman" w:cs="Times New Roman"/>
          <w:color w:val="auto"/>
          <w:kern w:val="0"/>
          <w:szCs w:val="24"/>
          <w:highlight w:val="none"/>
        </w:rPr>
        <w:t>类标准进行评价。</w:t>
      </w:r>
    </w:p>
    <w:p w14:paraId="246F7D15">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2.4.4声环境功能区划</w:t>
      </w:r>
    </w:p>
    <w:p w14:paraId="594B977E">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本项目位于乌苏市化工产业集中区内，所在区域属于声环境功能区为3类区，执行《声环境质量标准》（</w:t>
      </w:r>
      <w:r>
        <w:rPr>
          <w:rFonts w:hint="eastAsia"/>
          <w:color w:val="auto"/>
          <w:kern w:val="0"/>
          <w:sz w:val="24"/>
          <w:highlight w:val="none"/>
          <w:lang w:eastAsia="zh-CN"/>
        </w:rPr>
        <w:t>GB 3096</w:t>
      </w:r>
      <w:r>
        <w:rPr>
          <w:rFonts w:hint="eastAsia"/>
          <w:color w:val="auto"/>
          <w:kern w:val="0"/>
          <w:sz w:val="24"/>
          <w:highlight w:val="none"/>
        </w:rPr>
        <w:t>-2008）3类标准。</w:t>
      </w:r>
    </w:p>
    <w:p w14:paraId="3537CAA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2.4.5土壤环境功能区划</w:t>
      </w:r>
    </w:p>
    <w:p w14:paraId="6492254E">
      <w:pPr>
        <w:adjustRightInd w:val="0"/>
        <w:snapToGrid w:val="0"/>
        <w:spacing w:line="360" w:lineRule="auto"/>
        <w:ind w:firstLine="456" w:firstLineChars="200"/>
        <w:rPr>
          <w:snapToGrid w:val="0"/>
          <w:color w:val="auto"/>
          <w:spacing w:val="-6"/>
          <w:kern w:val="0"/>
          <w:sz w:val="24"/>
          <w:highlight w:val="none"/>
        </w:rPr>
      </w:pPr>
      <w:r>
        <w:rPr>
          <w:rFonts w:hint="eastAsia"/>
          <w:snapToGrid w:val="0"/>
          <w:color w:val="auto"/>
          <w:spacing w:val="-6"/>
          <w:kern w:val="0"/>
          <w:sz w:val="24"/>
          <w:highlight w:val="none"/>
        </w:rPr>
        <w:t>项目占地类型为园区规划的工业用地，土壤环境质量执行《土壤环境质量 建设用地土壤污染风险管控标准（试行）》（GB36600-2018）第二类用地</w:t>
      </w:r>
      <w:r>
        <w:rPr>
          <w:rFonts w:hint="eastAsia"/>
          <w:snapToGrid w:val="0"/>
          <w:color w:val="auto"/>
          <w:spacing w:val="-6"/>
          <w:kern w:val="0"/>
          <w:sz w:val="24"/>
          <w:highlight w:val="none"/>
          <w:lang w:val="en-US" w:eastAsia="zh-CN"/>
        </w:rPr>
        <w:t>筛选值</w:t>
      </w:r>
      <w:r>
        <w:rPr>
          <w:rFonts w:hint="eastAsia"/>
          <w:snapToGrid w:val="0"/>
          <w:color w:val="auto"/>
          <w:spacing w:val="-6"/>
          <w:kern w:val="0"/>
          <w:sz w:val="24"/>
          <w:highlight w:val="none"/>
        </w:rPr>
        <w:t>。</w:t>
      </w:r>
    </w:p>
    <w:p w14:paraId="762C2D17">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69" w:name="_Toc437732081"/>
      <w:bookmarkStart w:id="70" w:name="_Toc20344"/>
      <w:bookmarkStart w:id="71" w:name="_Toc6308"/>
      <w:bookmarkStart w:id="72" w:name="_Toc430033217"/>
      <w:r>
        <w:rPr>
          <w:rFonts w:hint="eastAsia" w:ascii="Times New Roman" w:hAnsi="Times New Roman" w:cs="Times New Roman"/>
          <w:b w:val="0"/>
          <w:bCs w:val="0"/>
          <w:snapToGrid w:val="0"/>
          <w:color w:val="auto"/>
          <w:kern w:val="0"/>
          <w:sz w:val="28"/>
          <w:szCs w:val="28"/>
          <w:highlight w:val="none"/>
        </w:rPr>
        <w:t>2.</w:t>
      </w:r>
      <w:r>
        <w:rPr>
          <w:rFonts w:hint="eastAsia" w:ascii="Times New Roman" w:hAnsi="Times New Roman" w:cs="Times New Roman"/>
          <w:b w:val="0"/>
          <w:bCs w:val="0"/>
          <w:snapToGrid w:val="0"/>
          <w:color w:val="auto"/>
          <w:kern w:val="0"/>
          <w:sz w:val="28"/>
          <w:szCs w:val="28"/>
          <w:highlight w:val="none"/>
          <w:lang w:val="en-US" w:eastAsia="zh-CN"/>
        </w:rPr>
        <w:t>5</w:t>
      </w:r>
      <w:r>
        <w:rPr>
          <w:rFonts w:hint="eastAsia" w:ascii="Times New Roman" w:hAnsi="Times New Roman" w:cs="Times New Roman"/>
          <w:b w:val="0"/>
          <w:bCs w:val="0"/>
          <w:snapToGrid w:val="0"/>
          <w:color w:val="auto"/>
          <w:kern w:val="0"/>
          <w:sz w:val="28"/>
          <w:szCs w:val="28"/>
          <w:highlight w:val="none"/>
        </w:rPr>
        <w:t>评价标准</w:t>
      </w:r>
      <w:bookmarkEnd w:id="69"/>
      <w:bookmarkEnd w:id="70"/>
      <w:bookmarkEnd w:id="71"/>
      <w:bookmarkEnd w:id="72"/>
    </w:p>
    <w:p w14:paraId="0CE2FF6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5</w:t>
      </w:r>
      <w:r>
        <w:rPr>
          <w:rFonts w:hint="eastAsia" w:ascii="Times New Roman" w:hAnsi="Times New Roman" w:cs="Times New Roman"/>
          <w:snapToGrid w:val="0"/>
          <w:color w:val="auto"/>
          <w:spacing w:val="0"/>
          <w:kern w:val="0"/>
          <w:szCs w:val="24"/>
          <w:highlight w:val="none"/>
        </w:rPr>
        <w:t>.1</w:t>
      </w:r>
      <w:r>
        <w:rPr>
          <w:rFonts w:hint="eastAsia" w:asci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rPr>
        <w:t>环境质量标准</w:t>
      </w:r>
    </w:p>
    <w:p w14:paraId="656F1C20">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根据本项目的行业特点，结合项目所在区域</w:t>
      </w:r>
      <w:r>
        <w:rPr>
          <w:rFonts w:hint="eastAsia"/>
          <w:snapToGrid w:val="0"/>
          <w:color w:val="auto"/>
          <w:kern w:val="0"/>
          <w:sz w:val="24"/>
          <w:highlight w:val="none"/>
          <w:lang w:val="en-US" w:eastAsia="zh-CN"/>
        </w:rPr>
        <w:t>生态</w:t>
      </w:r>
      <w:r>
        <w:rPr>
          <w:snapToGrid w:val="0"/>
          <w:color w:val="auto"/>
          <w:kern w:val="0"/>
          <w:sz w:val="24"/>
          <w:highlight w:val="none"/>
        </w:rPr>
        <w:t>环境功能</w:t>
      </w:r>
      <w:r>
        <w:rPr>
          <w:rFonts w:hint="eastAsia"/>
          <w:snapToGrid w:val="0"/>
          <w:color w:val="auto"/>
          <w:kern w:val="0"/>
          <w:sz w:val="24"/>
          <w:highlight w:val="none"/>
        </w:rPr>
        <w:t>区划</w:t>
      </w:r>
      <w:r>
        <w:rPr>
          <w:snapToGrid w:val="0"/>
          <w:color w:val="auto"/>
          <w:kern w:val="0"/>
          <w:sz w:val="24"/>
          <w:highlight w:val="none"/>
        </w:rPr>
        <w:t>，采用以下标准进行本项目</w:t>
      </w:r>
      <w:r>
        <w:rPr>
          <w:rFonts w:hint="eastAsia"/>
          <w:snapToGrid w:val="0"/>
          <w:color w:val="auto"/>
          <w:kern w:val="0"/>
          <w:sz w:val="24"/>
          <w:highlight w:val="none"/>
          <w:lang w:val="en-US" w:eastAsia="zh-CN"/>
        </w:rPr>
        <w:t>生态</w:t>
      </w:r>
      <w:r>
        <w:rPr>
          <w:snapToGrid w:val="0"/>
          <w:color w:val="auto"/>
          <w:kern w:val="0"/>
          <w:sz w:val="24"/>
          <w:highlight w:val="none"/>
        </w:rPr>
        <w:t>环境影响评价。</w:t>
      </w:r>
    </w:p>
    <w:p w14:paraId="365EC9C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2.5.1.1环境空气质量标准</w:t>
      </w:r>
    </w:p>
    <w:p w14:paraId="21BEA09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环境空气质量评价中PM</w:t>
      </w:r>
      <w:r>
        <w:rPr>
          <w:rFonts w:hint="eastAsia"/>
          <w:snapToGrid w:val="0"/>
          <w:color w:val="auto"/>
          <w:kern w:val="0"/>
          <w:sz w:val="24"/>
          <w:highlight w:val="none"/>
          <w:vertAlign w:val="subscript"/>
        </w:rPr>
        <w:t>2.5</w:t>
      </w:r>
      <w:r>
        <w:rPr>
          <w:rFonts w:hint="eastAsia"/>
          <w:snapToGrid w:val="0"/>
          <w:color w:val="auto"/>
          <w:kern w:val="0"/>
          <w:sz w:val="24"/>
          <w:highlight w:val="none"/>
        </w:rPr>
        <w:t>、PM</w:t>
      </w:r>
      <w:r>
        <w:rPr>
          <w:rFonts w:hint="eastAsia"/>
          <w:snapToGrid w:val="0"/>
          <w:color w:val="auto"/>
          <w:kern w:val="0"/>
          <w:sz w:val="24"/>
          <w:highlight w:val="none"/>
          <w:vertAlign w:val="subscript"/>
        </w:rPr>
        <w:t>10</w:t>
      </w:r>
      <w:r>
        <w:rPr>
          <w:rFonts w:hint="eastAsia"/>
          <w:snapToGrid w:val="0"/>
          <w:color w:val="auto"/>
          <w:kern w:val="0"/>
          <w:sz w:val="24"/>
          <w:highlight w:val="none"/>
        </w:rPr>
        <w:t>、SO</w:t>
      </w:r>
      <w:r>
        <w:rPr>
          <w:rFonts w:hint="eastAsia"/>
          <w:snapToGrid w:val="0"/>
          <w:color w:val="auto"/>
          <w:kern w:val="0"/>
          <w:sz w:val="24"/>
          <w:highlight w:val="none"/>
          <w:vertAlign w:val="subscript"/>
        </w:rPr>
        <w:t>2</w:t>
      </w:r>
      <w:r>
        <w:rPr>
          <w:rFonts w:hint="eastAsia"/>
          <w:snapToGrid w:val="0"/>
          <w:color w:val="auto"/>
          <w:kern w:val="0"/>
          <w:sz w:val="24"/>
          <w:highlight w:val="none"/>
        </w:rPr>
        <w:t>、NO</w:t>
      </w:r>
      <w:r>
        <w:rPr>
          <w:rFonts w:hint="eastAsia"/>
          <w:snapToGrid w:val="0"/>
          <w:color w:val="auto"/>
          <w:kern w:val="0"/>
          <w:sz w:val="24"/>
          <w:highlight w:val="none"/>
          <w:vertAlign w:val="subscript"/>
          <w:lang w:val="en-US" w:eastAsia="zh-CN"/>
        </w:rPr>
        <w:t>2</w:t>
      </w:r>
      <w:r>
        <w:rPr>
          <w:rFonts w:hint="eastAsia"/>
          <w:snapToGrid w:val="0"/>
          <w:color w:val="auto"/>
          <w:kern w:val="0"/>
          <w:sz w:val="24"/>
          <w:highlight w:val="none"/>
        </w:rPr>
        <w:t>、O</w:t>
      </w:r>
      <w:r>
        <w:rPr>
          <w:rFonts w:hint="eastAsia"/>
          <w:snapToGrid w:val="0"/>
          <w:color w:val="auto"/>
          <w:kern w:val="0"/>
          <w:sz w:val="24"/>
          <w:highlight w:val="none"/>
          <w:vertAlign w:val="subscript"/>
        </w:rPr>
        <w:t>3</w:t>
      </w:r>
      <w:r>
        <w:rPr>
          <w:rFonts w:hint="eastAsia"/>
          <w:snapToGrid w:val="0"/>
          <w:color w:val="auto"/>
          <w:kern w:val="0"/>
          <w:sz w:val="24"/>
          <w:highlight w:val="none"/>
        </w:rPr>
        <w:t>、CO执行</w:t>
      </w:r>
      <w:r>
        <w:rPr>
          <w:snapToGrid w:val="0"/>
          <w:color w:val="auto"/>
          <w:kern w:val="0"/>
          <w:sz w:val="24"/>
          <w:highlight w:val="none"/>
        </w:rPr>
        <w:t>《环境空气质量标准》（</w:t>
      </w:r>
      <w:r>
        <w:rPr>
          <w:rFonts w:hint="eastAsia"/>
          <w:snapToGrid w:val="0"/>
          <w:color w:val="auto"/>
          <w:kern w:val="0"/>
          <w:sz w:val="24"/>
          <w:highlight w:val="none"/>
          <w:lang w:eastAsia="zh-CN"/>
        </w:rPr>
        <w:t>GB 3095</w:t>
      </w:r>
      <w:r>
        <w:rPr>
          <w:snapToGrid w:val="0"/>
          <w:color w:val="auto"/>
          <w:kern w:val="0"/>
          <w:sz w:val="24"/>
          <w:highlight w:val="none"/>
        </w:rPr>
        <w:t>-2026）</w:t>
      </w:r>
      <w:r>
        <w:rPr>
          <w:rFonts w:hint="eastAsia"/>
          <w:snapToGrid w:val="0"/>
          <w:color w:val="auto"/>
          <w:kern w:val="0"/>
          <w:sz w:val="24"/>
          <w:highlight w:val="none"/>
          <w:lang w:val="en-US" w:eastAsia="zh-CN"/>
        </w:rPr>
        <w:t>表1中</w:t>
      </w:r>
      <w:r>
        <w:rPr>
          <w:snapToGrid w:val="0"/>
          <w:color w:val="auto"/>
          <w:kern w:val="0"/>
          <w:sz w:val="24"/>
          <w:highlight w:val="none"/>
        </w:rPr>
        <w:t>过渡阶段二级浓度限值</w:t>
      </w:r>
      <w:r>
        <w:rPr>
          <w:rFonts w:hint="eastAsia"/>
          <w:snapToGrid w:val="0"/>
          <w:color w:val="auto"/>
          <w:kern w:val="0"/>
          <w:sz w:val="24"/>
          <w:highlight w:val="none"/>
        </w:rPr>
        <w:t>；非甲烷总烃执行《大气污染物综合排放标准详解》中推荐值</w:t>
      </w:r>
      <w:r>
        <w:rPr>
          <w:rFonts w:hint="eastAsia"/>
          <w:snapToGrid w:val="0"/>
          <w:color w:val="auto"/>
          <w:kern w:val="0"/>
          <w:sz w:val="24"/>
          <w:highlight w:val="none"/>
          <w:lang w:eastAsia="zh-CN"/>
        </w:rPr>
        <w:t>；</w:t>
      </w:r>
      <w:r>
        <w:rPr>
          <w:rFonts w:hint="eastAsia"/>
          <w:snapToGrid w:val="0"/>
          <w:color w:val="auto"/>
          <w:kern w:val="0"/>
          <w:sz w:val="24"/>
          <w:highlight w:val="none"/>
        </w:rPr>
        <w:t>氨、硫化氢、硫酸执行《环境影响评价技术导则 大气环境》（</w:t>
      </w:r>
      <w:r>
        <w:rPr>
          <w:rFonts w:hint="eastAsia"/>
          <w:snapToGrid w:val="0"/>
          <w:color w:val="auto"/>
          <w:kern w:val="0"/>
          <w:sz w:val="24"/>
          <w:highlight w:val="none"/>
          <w:lang w:eastAsia="zh-CN"/>
        </w:rPr>
        <w:t>HJ 2</w:t>
      </w:r>
      <w:r>
        <w:rPr>
          <w:rFonts w:hint="eastAsia"/>
          <w:snapToGrid w:val="0"/>
          <w:color w:val="auto"/>
          <w:kern w:val="0"/>
          <w:sz w:val="24"/>
          <w:highlight w:val="none"/>
        </w:rPr>
        <w:t>.2-2018）附录D</w:t>
      </w:r>
      <w:r>
        <w:rPr>
          <w:rFonts w:hint="eastAsia" w:ascii="Times New Roman" w:hAnsi="Times New Roman" w:eastAsia="宋体" w:cs="Times New Roman"/>
          <w:color w:val="auto"/>
          <w:kern w:val="0"/>
          <w:sz w:val="24"/>
          <w:highlight w:val="none"/>
          <w:lang w:val="en-US" w:eastAsia="zh-CN"/>
        </w:rPr>
        <w:t>其他污染物空气质量浓度参考限值</w:t>
      </w:r>
      <w:r>
        <w:rPr>
          <w:rFonts w:hint="eastAsia"/>
          <w:snapToGrid w:val="0"/>
          <w:color w:val="auto"/>
          <w:kern w:val="0"/>
          <w:sz w:val="24"/>
          <w:highlight w:val="none"/>
        </w:rPr>
        <w:t>，指标标准取值见表2.</w:t>
      </w:r>
      <w:r>
        <w:rPr>
          <w:rFonts w:hint="eastAsia"/>
          <w:snapToGrid w:val="0"/>
          <w:color w:val="auto"/>
          <w:kern w:val="0"/>
          <w:sz w:val="24"/>
          <w:highlight w:val="none"/>
          <w:lang w:val="en-US" w:eastAsia="zh-CN"/>
        </w:rPr>
        <w:t>5</w:t>
      </w:r>
      <w:r>
        <w:rPr>
          <w:rFonts w:hint="eastAsia"/>
          <w:snapToGrid w:val="0"/>
          <w:color w:val="auto"/>
          <w:kern w:val="0"/>
          <w:sz w:val="24"/>
          <w:highlight w:val="none"/>
        </w:rPr>
        <w:t>-</w:t>
      </w:r>
      <w:r>
        <w:rPr>
          <w:rFonts w:hint="eastAsia"/>
          <w:snapToGrid w:val="0"/>
          <w:color w:val="auto"/>
          <w:kern w:val="0"/>
          <w:sz w:val="24"/>
          <w:highlight w:val="none"/>
          <w:lang w:val="en-US" w:eastAsia="zh-CN"/>
        </w:rPr>
        <w:t>1</w:t>
      </w:r>
      <w:r>
        <w:rPr>
          <w:snapToGrid w:val="0"/>
          <w:color w:val="auto"/>
          <w:kern w:val="0"/>
          <w:sz w:val="24"/>
          <w:highlight w:val="none"/>
        </w:rPr>
        <w:t>。</w:t>
      </w:r>
    </w:p>
    <w:p w14:paraId="6D5434B8">
      <w:pPr>
        <w:pStyle w:val="412"/>
        <w:tabs>
          <w:tab w:val="left" w:pos="0"/>
          <w:tab w:val="clear" w:pos="6840"/>
        </w:tabs>
        <w:topLinePunct w:val="0"/>
        <w:adjustRightInd w:val="0"/>
        <w:spacing w:line="240" w:lineRule="auto"/>
        <w:ind w:left="422" w:hanging="422"/>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2.</w:t>
      </w:r>
      <w:r>
        <w:rPr>
          <w:rFonts w:hint="eastAsia" w:ascii="Times New Roman" w:hAnsi="Times New Roman" w:cs="Times New Roman"/>
          <w:snapToGrid w:val="0"/>
          <w:color w:val="auto"/>
          <w:kern w:val="0"/>
          <w:sz w:val="21"/>
          <w:szCs w:val="21"/>
          <w:highlight w:val="none"/>
          <w:lang w:val="en-US" w:eastAsia="zh-CN"/>
        </w:rPr>
        <w:t>5</w:t>
      </w:r>
      <w:r>
        <w:rPr>
          <w:rFonts w:hint="eastAsia" w:ascii="Times New Roman" w:hAnsi="Times New Roman" w:cs="Times New Roman"/>
          <w:snapToGrid w:val="0"/>
          <w:color w:val="auto"/>
          <w:kern w:val="0"/>
          <w:sz w:val="21"/>
          <w:szCs w:val="21"/>
          <w:highlight w:val="none"/>
        </w:rPr>
        <w:t>-</w:t>
      </w:r>
      <w:r>
        <w:rPr>
          <w:rFonts w:hint="eastAsia" w:ascii="Times New Roman" w:hAnsi="Times New Roman" w:cs="Times New Roman"/>
          <w:snapToGrid w:val="0"/>
          <w:color w:val="auto"/>
          <w:kern w:val="0"/>
          <w:sz w:val="21"/>
          <w:szCs w:val="21"/>
          <w:highlight w:val="none"/>
          <w:lang w:val="en-US" w:eastAsia="zh-CN"/>
        </w:rPr>
        <w:t>1</w:t>
      </w:r>
      <w:r>
        <w:rPr>
          <w:rFonts w:hint="eastAsia" w:ascii="Times New Roman" w:hAnsi="Times New Roman" w:cs="Times New Roman"/>
          <w:snapToGrid w:val="0"/>
          <w:color w:val="auto"/>
          <w:kern w:val="0"/>
          <w:sz w:val="21"/>
          <w:szCs w:val="21"/>
          <w:highlight w:val="none"/>
        </w:rPr>
        <w:t xml:space="preserve"> 环境空气质量标准</w:t>
      </w:r>
      <w:r>
        <w:rPr>
          <w:rFonts w:hint="eastAsia" w:ascii="Times New Roman" w:hAnsi="Times New Roman" w:cs="Times New Roman"/>
          <w:snapToGrid w:val="0"/>
          <w:color w:val="auto"/>
          <w:kern w:val="0"/>
          <w:sz w:val="21"/>
          <w:szCs w:val="21"/>
          <w:highlight w:val="none"/>
          <w:lang w:val="en-US" w:eastAsia="zh-CN"/>
        </w:rPr>
        <w:t>一览</w:t>
      </w:r>
      <w:r>
        <w:rPr>
          <w:rFonts w:hint="eastAsia" w:ascii="Times New Roman" w:hAnsi="Times New Roman" w:cs="Times New Roman"/>
          <w:snapToGrid w:val="0"/>
          <w:color w:val="auto"/>
          <w:kern w:val="0"/>
          <w:sz w:val="21"/>
          <w:szCs w:val="21"/>
          <w:highlight w:val="none"/>
        </w:rPr>
        <w:t>表</w:t>
      </w:r>
    </w:p>
    <w:tbl>
      <w:tblPr>
        <w:tblStyle w:val="56"/>
        <w:tblW w:w="507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1405"/>
        <w:gridCol w:w="1303"/>
        <w:gridCol w:w="893"/>
        <w:gridCol w:w="861"/>
        <w:gridCol w:w="3345"/>
      </w:tblGrid>
      <w:tr w14:paraId="5EE3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shd w:val="clear" w:color="auto" w:fill="auto"/>
            <w:vAlign w:val="center"/>
          </w:tcPr>
          <w:p w14:paraId="057A40E9">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序号</w:t>
            </w:r>
          </w:p>
        </w:tc>
        <w:tc>
          <w:tcPr>
            <w:tcW w:w="0" w:type="auto"/>
            <w:shd w:val="clear" w:color="auto" w:fill="auto"/>
            <w:vAlign w:val="center"/>
          </w:tcPr>
          <w:p w14:paraId="4FA3F42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污染物项目</w:t>
            </w:r>
          </w:p>
        </w:tc>
        <w:tc>
          <w:tcPr>
            <w:tcW w:w="775" w:type="pct"/>
            <w:shd w:val="clear" w:color="auto" w:fill="auto"/>
            <w:vAlign w:val="center"/>
          </w:tcPr>
          <w:p w14:paraId="60444AA8">
            <w:pPr>
              <w:pStyle w:val="42"/>
              <w:tabs>
                <w:tab w:val="left" w:pos="0"/>
              </w:tabs>
              <w:adjustRightInd w:val="0"/>
              <w:snapToGrid w:val="0"/>
              <w:ind w:left="0" w:firstLine="0" w:firstLineChars="0"/>
              <w:jc w:val="center"/>
              <w:rPr>
                <w:snapToGrid w:val="0"/>
                <w:color w:val="auto"/>
                <w:kern w:val="0"/>
                <w:szCs w:val="21"/>
                <w:highlight w:val="none"/>
              </w:rPr>
            </w:pPr>
            <w:r>
              <w:rPr>
                <w:rFonts w:hint="eastAsia"/>
                <w:color w:val="auto"/>
                <w:highlight w:val="none"/>
              </w:rPr>
              <w:t>平均时间</w:t>
            </w:r>
          </w:p>
        </w:tc>
        <w:tc>
          <w:tcPr>
            <w:tcW w:w="531" w:type="pct"/>
            <w:shd w:val="clear" w:color="auto" w:fill="auto"/>
            <w:vAlign w:val="center"/>
          </w:tcPr>
          <w:p w14:paraId="2C3AA7E2">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过渡阶段浓度限值</w:t>
            </w:r>
          </w:p>
        </w:tc>
        <w:tc>
          <w:tcPr>
            <w:tcW w:w="512" w:type="pct"/>
            <w:shd w:val="clear" w:color="auto" w:fill="auto"/>
            <w:vAlign w:val="center"/>
          </w:tcPr>
          <w:p w14:paraId="49E4375F">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单位</w:t>
            </w:r>
          </w:p>
        </w:tc>
        <w:tc>
          <w:tcPr>
            <w:tcW w:w="1990" w:type="pct"/>
            <w:shd w:val="clear" w:color="auto" w:fill="auto"/>
            <w:vAlign w:val="center"/>
          </w:tcPr>
          <w:p w14:paraId="725E92C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标准名称及级（类）别</w:t>
            </w:r>
          </w:p>
        </w:tc>
      </w:tr>
      <w:tr w14:paraId="5BF3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restart"/>
            <w:shd w:val="clear" w:color="auto" w:fill="auto"/>
            <w:vAlign w:val="center"/>
          </w:tcPr>
          <w:p w14:paraId="6ABCE7D6">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w:t>
            </w:r>
          </w:p>
        </w:tc>
        <w:tc>
          <w:tcPr>
            <w:tcW w:w="0" w:type="auto"/>
            <w:vMerge w:val="restart"/>
            <w:shd w:val="clear" w:color="auto" w:fill="auto"/>
            <w:vAlign w:val="center"/>
          </w:tcPr>
          <w:p w14:paraId="5A39E054">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SO</w:t>
            </w:r>
            <w:r>
              <w:rPr>
                <w:snapToGrid w:val="0"/>
                <w:color w:val="auto"/>
                <w:kern w:val="0"/>
                <w:szCs w:val="21"/>
                <w:highlight w:val="none"/>
                <w:vertAlign w:val="subscript"/>
              </w:rPr>
              <w:t>2</w:t>
            </w:r>
          </w:p>
        </w:tc>
        <w:tc>
          <w:tcPr>
            <w:tcW w:w="775" w:type="pct"/>
            <w:shd w:val="clear" w:color="auto" w:fill="auto"/>
            <w:vAlign w:val="center"/>
          </w:tcPr>
          <w:p w14:paraId="75FEF67B">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年平均</w:t>
            </w:r>
          </w:p>
        </w:tc>
        <w:tc>
          <w:tcPr>
            <w:tcW w:w="531" w:type="pct"/>
            <w:shd w:val="clear" w:color="auto" w:fill="auto"/>
            <w:vAlign w:val="center"/>
          </w:tcPr>
          <w:p w14:paraId="480980EE">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60</w:t>
            </w:r>
          </w:p>
        </w:tc>
        <w:tc>
          <w:tcPr>
            <w:tcW w:w="512" w:type="pct"/>
            <w:vMerge w:val="restart"/>
            <w:shd w:val="clear" w:color="auto" w:fill="auto"/>
            <w:vAlign w:val="center"/>
          </w:tcPr>
          <w:p w14:paraId="0685D379">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μg/m</w:t>
            </w:r>
            <w:r>
              <w:rPr>
                <w:snapToGrid w:val="0"/>
                <w:color w:val="auto"/>
                <w:kern w:val="0"/>
                <w:szCs w:val="21"/>
                <w:highlight w:val="none"/>
                <w:vertAlign w:val="superscript"/>
              </w:rPr>
              <w:t>3</w:t>
            </w:r>
          </w:p>
        </w:tc>
        <w:tc>
          <w:tcPr>
            <w:tcW w:w="1990" w:type="pct"/>
            <w:vMerge w:val="restart"/>
            <w:shd w:val="clear" w:color="auto" w:fill="auto"/>
            <w:vAlign w:val="center"/>
          </w:tcPr>
          <w:p w14:paraId="13090480">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《环境空气质量标准》（</w:t>
            </w:r>
            <w:r>
              <w:rPr>
                <w:rFonts w:hint="eastAsia"/>
                <w:snapToGrid w:val="0"/>
                <w:color w:val="auto"/>
                <w:kern w:val="0"/>
                <w:szCs w:val="21"/>
                <w:highlight w:val="none"/>
                <w:lang w:eastAsia="zh-CN"/>
              </w:rPr>
              <w:t>GB 3095</w:t>
            </w:r>
            <w:r>
              <w:rPr>
                <w:rFonts w:hint="eastAsia"/>
                <w:snapToGrid w:val="0"/>
                <w:color w:val="auto"/>
                <w:kern w:val="0"/>
                <w:szCs w:val="21"/>
                <w:highlight w:val="none"/>
              </w:rPr>
              <w:t>-2026</w:t>
            </w:r>
            <w:r>
              <w:rPr>
                <w:snapToGrid w:val="0"/>
                <w:color w:val="auto"/>
                <w:kern w:val="0"/>
                <w:szCs w:val="21"/>
                <w:highlight w:val="none"/>
              </w:rPr>
              <w:t>）</w:t>
            </w:r>
            <w:r>
              <w:rPr>
                <w:rFonts w:hint="eastAsia"/>
                <w:snapToGrid w:val="0"/>
                <w:color w:val="auto"/>
                <w:kern w:val="0"/>
                <w:szCs w:val="21"/>
                <w:highlight w:val="none"/>
              </w:rPr>
              <w:t>表1中</w:t>
            </w:r>
            <w:r>
              <w:rPr>
                <w:snapToGrid w:val="0"/>
                <w:color w:val="auto"/>
                <w:kern w:val="0"/>
                <w:szCs w:val="21"/>
                <w:highlight w:val="none"/>
              </w:rPr>
              <w:t>过渡阶段二级浓度限值</w:t>
            </w:r>
          </w:p>
        </w:tc>
      </w:tr>
      <w:tr w14:paraId="38CD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4520DB31">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0315AB27">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703BAB5D">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日平均</w:t>
            </w:r>
          </w:p>
        </w:tc>
        <w:tc>
          <w:tcPr>
            <w:tcW w:w="531" w:type="pct"/>
            <w:shd w:val="clear" w:color="auto" w:fill="auto"/>
            <w:vAlign w:val="center"/>
          </w:tcPr>
          <w:p w14:paraId="7877F69C">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150</w:t>
            </w:r>
          </w:p>
        </w:tc>
        <w:tc>
          <w:tcPr>
            <w:tcW w:w="512" w:type="pct"/>
            <w:vMerge w:val="continue"/>
            <w:shd w:val="clear" w:color="auto" w:fill="auto"/>
            <w:vAlign w:val="center"/>
          </w:tcPr>
          <w:p w14:paraId="6104B82D">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3771EA74">
            <w:pPr>
              <w:pStyle w:val="42"/>
              <w:tabs>
                <w:tab w:val="left" w:pos="0"/>
              </w:tabs>
              <w:adjustRightInd w:val="0"/>
              <w:snapToGrid w:val="0"/>
              <w:ind w:left="0" w:firstLine="0" w:firstLineChars="0"/>
              <w:jc w:val="center"/>
              <w:rPr>
                <w:snapToGrid w:val="0"/>
                <w:color w:val="auto"/>
                <w:kern w:val="0"/>
                <w:szCs w:val="21"/>
                <w:highlight w:val="none"/>
              </w:rPr>
            </w:pPr>
          </w:p>
        </w:tc>
      </w:tr>
      <w:tr w14:paraId="2B81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215004EE">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4F80C151">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140D42D0">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4B0873F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500</w:t>
            </w:r>
          </w:p>
        </w:tc>
        <w:tc>
          <w:tcPr>
            <w:tcW w:w="512" w:type="pct"/>
            <w:vMerge w:val="continue"/>
            <w:shd w:val="clear" w:color="auto" w:fill="auto"/>
            <w:vAlign w:val="center"/>
          </w:tcPr>
          <w:p w14:paraId="204D67DF">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543E3C0F">
            <w:pPr>
              <w:pStyle w:val="42"/>
              <w:tabs>
                <w:tab w:val="left" w:pos="0"/>
              </w:tabs>
              <w:adjustRightInd w:val="0"/>
              <w:snapToGrid w:val="0"/>
              <w:ind w:left="0" w:firstLine="0" w:firstLineChars="0"/>
              <w:jc w:val="center"/>
              <w:rPr>
                <w:snapToGrid w:val="0"/>
                <w:color w:val="auto"/>
                <w:kern w:val="0"/>
                <w:szCs w:val="21"/>
                <w:highlight w:val="none"/>
              </w:rPr>
            </w:pPr>
          </w:p>
        </w:tc>
      </w:tr>
      <w:tr w14:paraId="1A5F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restart"/>
            <w:shd w:val="clear" w:color="auto" w:fill="auto"/>
            <w:vAlign w:val="center"/>
          </w:tcPr>
          <w:p w14:paraId="2724A545">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w:t>
            </w:r>
          </w:p>
        </w:tc>
        <w:tc>
          <w:tcPr>
            <w:tcW w:w="0" w:type="auto"/>
            <w:vMerge w:val="restart"/>
            <w:shd w:val="clear" w:color="auto" w:fill="auto"/>
            <w:vAlign w:val="center"/>
          </w:tcPr>
          <w:p w14:paraId="77E3ACAD">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NO</w:t>
            </w:r>
            <w:r>
              <w:rPr>
                <w:snapToGrid w:val="0"/>
                <w:color w:val="auto"/>
                <w:kern w:val="0"/>
                <w:szCs w:val="21"/>
                <w:highlight w:val="none"/>
                <w:vertAlign w:val="subscript"/>
              </w:rPr>
              <w:t>2</w:t>
            </w:r>
          </w:p>
        </w:tc>
        <w:tc>
          <w:tcPr>
            <w:tcW w:w="775" w:type="pct"/>
            <w:shd w:val="clear" w:color="auto" w:fill="auto"/>
            <w:vAlign w:val="center"/>
          </w:tcPr>
          <w:p w14:paraId="5921FA6F">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年平均</w:t>
            </w:r>
          </w:p>
        </w:tc>
        <w:tc>
          <w:tcPr>
            <w:tcW w:w="531" w:type="pct"/>
            <w:shd w:val="clear" w:color="auto" w:fill="auto"/>
            <w:vAlign w:val="center"/>
          </w:tcPr>
          <w:p w14:paraId="07C4FA1F">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40</w:t>
            </w:r>
          </w:p>
        </w:tc>
        <w:tc>
          <w:tcPr>
            <w:tcW w:w="512" w:type="pct"/>
            <w:vMerge w:val="continue"/>
            <w:shd w:val="clear" w:color="auto" w:fill="auto"/>
            <w:vAlign w:val="center"/>
          </w:tcPr>
          <w:p w14:paraId="784192BB">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2841C172">
            <w:pPr>
              <w:pStyle w:val="42"/>
              <w:tabs>
                <w:tab w:val="left" w:pos="0"/>
              </w:tabs>
              <w:adjustRightInd w:val="0"/>
              <w:snapToGrid w:val="0"/>
              <w:ind w:left="0" w:firstLine="0" w:firstLineChars="0"/>
              <w:jc w:val="center"/>
              <w:rPr>
                <w:snapToGrid w:val="0"/>
                <w:color w:val="auto"/>
                <w:kern w:val="0"/>
                <w:szCs w:val="21"/>
                <w:highlight w:val="none"/>
              </w:rPr>
            </w:pPr>
          </w:p>
        </w:tc>
      </w:tr>
      <w:tr w14:paraId="58A9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5B93E5F7">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6650CE76">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7F81C653">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日平均</w:t>
            </w:r>
          </w:p>
        </w:tc>
        <w:tc>
          <w:tcPr>
            <w:tcW w:w="531" w:type="pct"/>
            <w:shd w:val="clear" w:color="auto" w:fill="auto"/>
            <w:vAlign w:val="center"/>
          </w:tcPr>
          <w:p w14:paraId="0E838D92">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80</w:t>
            </w:r>
          </w:p>
        </w:tc>
        <w:tc>
          <w:tcPr>
            <w:tcW w:w="512" w:type="pct"/>
            <w:vMerge w:val="continue"/>
            <w:shd w:val="clear" w:color="auto" w:fill="auto"/>
            <w:vAlign w:val="center"/>
          </w:tcPr>
          <w:p w14:paraId="0717D503">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53B6803F">
            <w:pPr>
              <w:pStyle w:val="42"/>
              <w:tabs>
                <w:tab w:val="left" w:pos="0"/>
              </w:tabs>
              <w:adjustRightInd w:val="0"/>
              <w:snapToGrid w:val="0"/>
              <w:ind w:left="0" w:firstLine="0" w:firstLineChars="0"/>
              <w:jc w:val="center"/>
              <w:rPr>
                <w:snapToGrid w:val="0"/>
                <w:color w:val="auto"/>
                <w:kern w:val="0"/>
                <w:szCs w:val="21"/>
                <w:highlight w:val="none"/>
              </w:rPr>
            </w:pPr>
          </w:p>
        </w:tc>
      </w:tr>
      <w:tr w14:paraId="4FAC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753A99DB">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78DD4584">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1018C746">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7916AFF7">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200</w:t>
            </w:r>
          </w:p>
        </w:tc>
        <w:tc>
          <w:tcPr>
            <w:tcW w:w="512" w:type="pct"/>
            <w:vMerge w:val="continue"/>
            <w:shd w:val="clear" w:color="auto" w:fill="auto"/>
            <w:vAlign w:val="center"/>
          </w:tcPr>
          <w:p w14:paraId="05084E3E">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190CC542">
            <w:pPr>
              <w:pStyle w:val="42"/>
              <w:tabs>
                <w:tab w:val="left" w:pos="0"/>
              </w:tabs>
              <w:adjustRightInd w:val="0"/>
              <w:snapToGrid w:val="0"/>
              <w:ind w:left="0" w:firstLine="0" w:firstLineChars="0"/>
              <w:jc w:val="center"/>
              <w:rPr>
                <w:snapToGrid w:val="0"/>
                <w:color w:val="auto"/>
                <w:kern w:val="0"/>
                <w:szCs w:val="21"/>
                <w:highlight w:val="none"/>
              </w:rPr>
            </w:pPr>
          </w:p>
        </w:tc>
      </w:tr>
      <w:tr w14:paraId="014C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restart"/>
            <w:shd w:val="clear" w:color="auto" w:fill="auto"/>
            <w:vAlign w:val="center"/>
          </w:tcPr>
          <w:p w14:paraId="36C3F701">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3</w:t>
            </w:r>
          </w:p>
        </w:tc>
        <w:tc>
          <w:tcPr>
            <w:tcW w:w="0" w:type="auto"/>
            <w:vMerge w:val="restart"/>
            <w:shd w:val="clear" w:color="auto" w:fill="auto"/>
            <w:vAlign w:val="center"/>
          </w:tcPr>
          <w:p w14:paraId="116EDFA3">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CO</w:t>
            </w:r>
          </w:p>
        </w:tc>
        <w:tc>
          <w:tcPr>
            <w:tcW w:w="775" w:type="pct"/>
            <w:shd w:val="clear" w:color="auto" w:fill="auto"/>
            <w:vAlign w:val="center"/>
          </w:tcPr>
          <w:p w14:paraId="679EBBE3">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日</w:t>
            </w:r>
            <w:r>
              <w:rPr>
                <w:snapToGrid w:val="0"/>
                <w:color w:val="auto"/>
                <w:kern w:val="0"/>
                <w:szCs w:val="21"/>
                <w:highlight w:val="none"/>
              </w:rPr>
              <w:t>平均</w:t>
            </w:r>
          </w:p>
        </w:tc>
        <w:tc>
          <w:tcPr>
            <w:tcW w:w="531" w:type="pct"/>
            <w:shd w:val="clear" w:color="auto" w:fill="auto"/>
            <w:vAlign w:val="center"/>
          </w:tcPr>
          <w:p w14:paraId="6ACB6C42">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4</w:t>
            </w:r>
          </w:p>
        </w:tc>
        <w:tc>
          <w:tcPr>
            <w:tcW w:w="512" w:type="pct"/>
            <w:vMerge w:val="restart"/>
            <w:shd w:val="clear" w:color="auto" w:fill="auto"/>
            <w:vAlign w:val="center"/>
          </w:tcPr>
          <w:p w14:paraId="51749D0E">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mg/m</w:t>
            </w:r>
            <w:r>
              <w:rPr>
                <w:snapToGrid w:val="0"/>
                <w:color w:val="auto"/>
                <w:kern w:val="0"/>
                <w:szCs w:val="21"/>
                <w:highlight w:val="none"/>
                <w:vertAlign w:val="superscript"/>
              </w:rPr>
              <w:t>3</w:t>
            </w:r>
          </w:p>
        </w:tc>
        <w:tc>
          <w:tcPr>
            <w:tcW w:w="1990" w:type="pct"/>
            <w:vMerge w:val="continue"/>
            <w:shd w:val="clear" w:color="auto" w:fill="auto"/>
            <w:vAlign w:val="center"/>
          </w:tcPr>
          <w:p w14:paraId="41E8458E">
            <w:pPr>
              <w:pStyle w:val="42"/>
              <w:tabs>
                <w:tab w:val="left" w:pos="0"/>
              </w:tabs>
              <w:adjustRightInd w:val="0"/>
              <w:snapToGrid w:val="0"/>
              <w:ind w:left="0" w:firstLine="0" w:firstLineChars="0"/>
              <w:jc w:val="center"/>
              <w:rPr>
                <w:snapToGrid w:val="0"/>
                <w:color w:val="auto"/>
                <w:kern w:val="0"/>
                <w:szCs w:val="21"/>
                <w:highlight w:val="none"/>
              </w:rPr>
            </w:pPr>
          </w:p>
        </w:tc>
      </w:tr>
      <w:tr w14:paraId="51A0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5D4A3F88">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5DF41136">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4D98D24B">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4BD6E889">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10</w:t>
            </w:r>
          </w:p>
        </w:tc>
        <w:tc>
          <w:tcPr>
            <w:tcW w:w="512" w:type="pct"/>
            <w:vMerge w:val="continue"/>
            <w:shd w:val="clear" w:color="auto" w:fill="auto"/>
            <w:vAlign w:val="center"/>
          </w:tcPr>
          <w:p w14:paraId="3C62208C">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413ECB55">
            <w:pPr>
              <w:pStyle w:val="42"/>
              <w:tabs>
                <w:tab w:val="left" w:pos="0"/>
              </w:tabs>
              <w:adjustRightInd w:val="0"/>
              <w:snapToGrid w:val="0"/>
              <w:ind w:left="0" w:firstLine="0" w:firstLineChars="0"/>
              <w:jc w:val="center"/>
              <w:rPr>
                <w:snapToGrid w:val="0"/>
                <w:color w:val="auto"/>
                <w:kern w:val="0"/>
                <w:szCs w:val="21"/>
                <w:highlight w:val="none"/>
              </w:rPr>
            </w:pPr>
          </w:p>
        </w:tc>
      </w:tr>
      <w:tr w14:paraId="2283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restart"/>
            <w:shd w:val="clear" w:color="auto" w:fill="auto"/>
            <w:vAlign w:val="center"/>
          </w:tcPr>
          <w:p w14:paraId="7074EC96">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4</w:t>
            </w:r>
          </w:p>
        </w:tc>
        <w:tc>
          <w:tcPr>
            <w:tcW w:w="0" w:type="auto"/>
            <w:vMerge w:val="restart"/>
            <w:shd w:val="clear" w:color="auto" w:fill="auto"/>
            <w:vAlign w:val="center"/>
          </w:tcPr>
          <w:p w14:paraId="0EF223B4">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O</w:t>
            </w:r>
            <w:r>
              <w:rPr>
                <w:snapToGrid w:val="0"/>
                <w:color w:val="auto"/>
                <w:kern w:val="0"/>
                <w:szCs w:val="21"/>
                <w:highlight w:val="none"/>
                <w:vertAlign w:val="subscript"/>
              </w:rPr>
              <w:t>3</w:t>
            </w:r>
          </w:p>
        </w:tc>
        <w:tc>
          <w:tcPr>
            <w:tcW w:w="775" w:type="pct"/>
            <w:shd w:val="clear" w:color="auto" w:fill="auto"/>
            <w:vAlign w:val="center"/>
          </w:tcPr>
          <w:p w14:paraId="4FCB53C1">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日最大8小时平均</w:t>
            </w:r>
          </w:p>
        </w:tc>
        <w:tc>
          <w:tcPr>
            <w:tcW w:w="531" w:type="pct"/>
            <w:shd w:val="clear" w:color="auto" w:fill="auto"/>
            <w:vAlign w:val="center"/>
          </w:tcPr>
          <w:p w14:paraId="03FD09B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160</w:t>
            </w:r>
          </w:p>
        </w:tc>
        <w:tc>
          <w:tcPr>
            <w:tcW w:w="512" w:type="pct"/>
            <w:vMerge w:val="restart"/>
            <w:shd w:val="clear" w:color="auto" w:fill="auto"/>
            <w:vAlign w:val="center"/>
          </w:tcPr>
          <w:p w14:paraId="785D928C">
            <w:pPr>
              <w:pStyle w:val="42"/>
              <w:tabs>
                <w:tab w:val="left" w:pos="0"/>
              </w:tabs>
              <w:adjustRightInd w:val="0"/>
              <w:snapToGrid w:val="0"/>
              <w:ind w:left="0" w:firstLine="0" w:firstLineChars="0"/>
              <w:jc w:val="center"/>
              <w:rPr>
                <w:snapToGrid w:val="0"/>
                <w:color w:val="auto"/>
                <w:kern w:val="0"/>
                <w:szCs w:val="21"/>
                <w:highlight w:val="none"/>
                <w:lang w:val="zh-CN"/>
              </w:rPr>
            </w:pPr>
            <w:r>
              <w:rPr>
                <w:snapToGrid w:val="0"/>
                <w:color w:val="auto"/>
                <w:kern w:val="0"/>
                <w:szCs w:val="21"/>
                <w:highlight w:val="none"/>
              </w:rPr>
              <w:t>μg/m</w:t>
            </w:r>
            <w:r>
              <w:rPr>
                <w:snapToGrid w:val="0"/>
                <w:color w:val="auto"/>
                <w:kern w:val="0"/>
                <w:szCs w:val="21"/>
                <w:highlight w:val="none"/>
                <w:vertAlign w:val="superscript"/>
              </w:rPr>
              <w:t>3</w:t>
            </w:r>
          </w:p>
        </w:tc>
        <w:tc>
          <w:tcPr>
            <w:tcW w:w="1990" w:type="pct"/>
            <w:vMerge w:val="continue"/>
            <w:shd w:val="clear" w:color="auto" w:fill="auto"/>
            <w:vAlign w:val="center"/>
          </w:tcPr>
          <w:p w14:paraId="6D293D81">
            <w:pPr>
              <w:pStyle w:val="42"/>
              <w:tabs>
                <w:tab w:val="left" w:pos="0"/>
              </w:tabs>
              <w:adjustRightInd w:val="0"/>
              <w:snapToGrid w:val="0"/>
              <w:ind w:left="0" w:firstLine="0" w:firstLineChars="0"/>
              <w:jc w:val="center"/>
              <w:rPr>
                <w:snapToGrid w:val="0"/>
                <w:color w:val="auto"/>
                <w:kern w:val="0"/>
                <w:szCs w:val="21"/>
                <w:highlight w:val="none"/>
              </w:rPr>
            </w:pPr>
          </w:p>
        </w:tc>
      </w:tr>
      <w:tr w14:paraId="5BC0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5DC74498">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7DB04B48">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0B1CE38F">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14FE387A">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200</w:t>
            </w:r>
          </w:p>
        </w:tc>
        <w:tc>
          <w:tcPr>
            <w:tcW w:w="512" w:type="pct"/>
            <w:vMerge w:val="continue"/>
            <w:shd w:val="clear" w:color="auto" w:fill="auto"/>
            <w:vAlign w:val="center"/>
          </w:tcPr>
          <w:p w14:paraId="7BE16044">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7737A832">
            <w:pPr>
              <w:pStyle w:val="42"/>
              <w:tabs>
                <w:tab w:val="left" w:pos="0"/>
              </w:tabs>
              <w:adjustRightInd w:val="0"/>
              <w:snapToGrid w:val="0"/>
              <w:ind w:left="0" w:firstLine="0" w:firstLineChars="0"/>
              <w:jc w:val="center"/>
              <w:rPr>
                <w:snapToGrid w:val="0"/>
                <w:color w:val="auto"/>
                <w:kern w:val="0"/>
                <w:szCs w:val="21"/>
                <w:highlight w:val="none"/>
              </w:rPr>
            </w:pPr>
          </w:p>
        </w:tc>
      </w:tr>
      <w:tr w14:paraId="114C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restart"/>
            <w:shd w:val="clear" w:color="auto" w:fill="auto"/>
            <w:vAlign w:val="center"/>
          </w:tcPr>
          <w:p w14:paraId="0A120BBE">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5</w:t>
            </w:r>
          </w:p>
        </w:tc>
        <w:tc>
          <w:tcPr>
            <w:tcW w:w="0" w:type="auto"/>
            <w:vMerge w:val="restart"/>
            <w:shd w:val="clear" w:color="auto" w:fill="auto"/>
            <w:vAlign w:val="center"/>
          </w:tcPr>
          <w:p w14:paraId="4CB75B0C">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PM</w:t>
            </w:r>
            <w:r>
              <w:rPr>
                <w:snapToGrid w:val="0"/>
                <w:color w:val="auto"/>
                <w:kern w:val="0"/>
                <w:szCs w:val="21"/>
                <w:highlight w:val="none"/>
                <w:vertAlign w:val="subscript"/>
              </w:rPr>
              <w:t>10</w:t>
            </w:r>
          </w:p>
        </w:tc>
        <w:tc>
          <w:tcPr>
            <w:tcW w:w="775" w:type="pct"/>
            <w:shd w:val="clear" w:color="auto" w:fill="auto"/>
            <w:vAlign w:val="center"/>
          </w:tcPr>
          <w:p w14:paraId="40296F91">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年平均</w:t>
            </w:r>
          </w:p>
        </w:tc>
        <w:tc>
          <w:tcPr>
            <w:tcW w:w="531" w:type="pct"/>
            <w:shd w:val="clear" w:color="auto" w:fill="auto"/>
            <w:vAlign w:val="center"/>
          </w:tcPr>
          <w:p w14:paraId="75BC483F">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0</w:t>
            </w:r>
          </w:p>
        </w:tc>
        <w:tc>
          <w:tcPr>
            <w:tcW w:w="512" w:type="pct"/>
            <w:vMerge w:val="continue"/>
            <w:shd w:val="clear" w:color="auto" w:fill="auto"/>
            <w:vAlign w:val="center"/>
          </w:tcPr>
          <w:p w14:paraId="2E980B8A">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1A01CF02">
            <w:pPr>
              <w:pStyle w:val="42"/>
              <w:tabs>
                <w:tab w:val="left" w:pos="0"/>
              </w:tabs>
              <w:adjustRightInd w:val="0"/>
              <w:snapToGrid w:val="0"/>
              <w:ind w:left="0" w:firstLine="0" w:firstLineChars="0"/>
              <w:jc w:val="center"/>
              <w:rPr>
                <w:snapToGrid w:val="0"/>
                <w:color w:val="auto"/>
                <w:kern w:val="0"/>
                <w:szCs w:val="21"/>
                <w:highlight w:val="none"/>
              </w:rPr>
            </w:pPr>
          </w:p>
        </w:tc>
      </w:tr>
      <w:tr w14:paraId="27E8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6C291D1E">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0F1DA438">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7841B3B3">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日</w:t>
            </w:r>
            <w:r>
              <w:rPr>
                <w:snapToGrid w:val="0"/>
                <w:color w:val="auto"/>
                <w:kern w:val="0"/>
                <w:szCs w:val="21"/>
                <w:highlight w:val="none"/>
              </w:rPr>
              <w:t>平均</w:t>
            </w:r>
          </w:p>
        </w:tc>
        <w:tc>
          <w:tcPr>
            <w:tcW w:w="531" w:type="pct"/>
            <w:shd w:val="clear" w:color="auto" w:fill="auto"/>
            <w:vAlign w:val="center"/>
          </w:tcPr>
          <w:p w14:paraId="6E58C833">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w:t>
            </w:r>
            <w:r>
              <w:rPr>
                <w:rFonts w:hint="eastAsia"/>
                <w:snapToGrid w:val="0"/>
                <w:color w:val="auto"/>
                <w:kern w:val="0"/>
                <w:szCs w:val="21"/>
                <w:highlight w:val="none"/>
              </w:rPr>
              <w:t>2</w:t>
            </w:r>
            <w:r>
              <w:rPr>
                <w:snapToGrid w:val="0"/>
                <w:color w:val="auto"/>
                <w:kern w:val="0"/>
                <w:szCs w:val="21"/>
                <w:highlight w:val="none"/>
              </w:rPr>
              <w:t>0</w:t>
            </w:r>
          </w:p>
        </w:tc>
        <w:tc>
          <w:tcPr>
            <w:tcW w:w="512" w:type="pct"/>
            <w:vMerge w:val="continue"/>
            <w:shd w:val="clear" w:color="auto" w:fill="auto"/>
            <w:vAlign w:val="center"/>
          </w:tcPr>
          <w:p w14:paraId="43B9B18D">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728EC0AB">
            <w:pPr>
              <w:pStyle w:val="42"/>
              <w:tabs>
                <w:tab w:val="left" w:pos="0"/>
              </w:tabs>
              <w:adjustRightInd w:val="0"/>
              <w:snapToGrid w:val="0"/>
              <w:ind w:left="0" w:firstLine="0" w:firstLineChars="0"/>
              <w:jc w:val="center"/>
              <w:rPr>
                <w:snapToGrid w:val="0"/>
                <w:color w:val="auto"/>
                <w:kern w:val="0"/>
                <w:szCs w:val="21"/>
                <w:highlight w:val="none"/>
              </w:rPr>
            </w:pPr>
          </w:p>
        </w:tc>
      </w:tr>
      <w:tr w14:paraId="10C3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restart"/>
            <w:shd w:val="clear" w:color="auto" w:fill="auto"/>
            <w:vAlign w:val="center"/>
          </w:tcPr>
          <w:p w14:paraId="41BC5FE1">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6</w:t>
            </w:r>
          </w:p>
        </w:tc>
        <w:tc>
          <w:tcPr>
            <w:tcW w:w="0" w:type="auto"/>
            <w:vMerge w:val="restart"/>
            <w:shd w:val="clear" w:color="auto" w:fill="auto"/>
            <w:vAlign w:val="center"/>
          </w:tcPr>
          <w:p w14:paraId="36F03242">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PM</w:t>
            </w:r>
            <w:r>
              <w:rPr>
                <w:snapToGrid w:val="0"/>
                <w:color w:val="auto"/>
                <w:kern w:val="0"/>
                <w:szCs w:val="21"/>
                <w:highlight w:val="none"/>
                <w:vertAlign w:val="subscript"/>
              </w:rPr>
              <w:t>2.5</w:t>
            </w:r>
          </w:p>
        </w:tc>
        <w:tc>
          <w:tcPr>
            <w:tcW w:w="775" w:type="pct"/>
            <w:shd w:val="clear" w:color="auto" w:fill="auto"/>
            <w:vAlign w:val="center"/>
          </w:tcPr>
          <w:p w14:paraId="306B3803">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年平均</w:t>
            </w:r>
          </w:p>
        </w:tc>
        <w:tc>
          <w:tcPr>
            <w:tcW w:w="531" w:type="pct"/>
            <w:shd w:val="clear" w:color="auto" w:fill="auto"/>
            <w:vAlign w:val="center"/>
          </w:tcPr>
          <w:p w14:paraId="3DE1AFB7">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3</w:t>
            </w:r>
            <w:r>
              <w:rPr>
                <w:rFonts w:hint="eastAsia"/>
                <w:snapToGrid w:val="0"/>
                <w:color w:val="auto"/>
                <w:kern w:val="0"/>
                <w:szCs w:val="21"/>
                <w:highlight w:val="none"/>
              </w:rPr>
              <w:t>0</w:t>
            </w:r>
          </w:p>
        </w:tc>
        <w:tc>
          <w:tcPr>
            <w:tcW w:w="512" w:type="pct"/>
            <w:vMerge w:val="continue"/>
            <w:shd w:val="clear" w:color="auto" w:fill="auto"/>
            <w:vAlign w:val="center"/>
          </w:tcPr>
          <w:p w14:paraId="2727D608">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4673B667">
            <w:pPr>
              <w:pStyle w:val="42"/>
              <w:tabs>
                <w:tab w:val="left" w:pos="0"/>
              </w:tabs>
              <w:adjustRightInd w:val="0"/>
              <w:snapToGrid w:val="0"/>
              <w:ind w:left="0" w:firstLine="0" w:firstLineChars="0"/>
              <w:jc w:val="center"/>
              <w:rPr>
                <w:snapToGrid w:val="0"/>
                <w:color w:val="auto"/>
                <w:kern w:val="0"/>
                <w:szCs w:val="21"/>
                <w:highlight w:val="none"/>
              </w:rPr>
            </w:pPr>
          </w:p>
        </w:tc>
      </w:tr>
      <w:tr w14:paraId="53B3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vMerge w:val="continue"/>
            <w:shd w:val="clear" w:color="auto" w:fill="auto"/>
            <w:vAlign w:val="center"/>
          </w:tcPr>
          <w:p w14:paraId="1A9007F1">
            <w:pPr>
              <w:pStyle w:val="42"/>
              <w:tabs>
                <w:tab w:val="left" w:pos="0"/>
              </w:tabs>
              <w:adjustRightInd w:val="0"/>
              <w:snapToGrid w:val="0"/>
              <w:ind w:left="0" w:firstLine="0" w:firstLineChars="0"/>
              <w:jc w:val="center"/>
              <w:rPr>
                <w:snapToGrid w:val="0"/>
                <w:color w:val="auto"/>
                <w:kern w:val="0"/>
                <w:szCs w:val="21"/>
                <w:highlight w:val="none"/>
              </w:rPr>
            </w:pPr>
          </w:p>
        </w:tc>
        <w:tc>
          <w:tcPr>
            <w:tcW w:w="0" w:type="auto"/>
            <w:vMerge w:val="continue"/>
            <w:shd w:val="clear" w:color="auto" w:fill="auto"/>
            <w:vAlign w:val="center"/>
          </w:tcPr>
          <w:p w14:paraId="488EAC69">
            <w:pPr>
              <w:pStyle w:val="42"/>
              <w:tabs>
                <w:tab w:val="left" w:pos="0"/>
              </w:tabs>
              <w:adjustRightInd w:val="0"/>
              <w:snapToGrid w:val="0"/>
              <w:ind w:left="0" w:firstLine="0" w:firstLineChars="0"/>
              <w:jc w:val="center"/>
              <w:rPr>
                <w:snapToGrid w:val="0"/>
                <w:color w:val="auto"/>
                <w:kern w:val="0"/>
                <w:szCs w:val="21"/>
                <w:highlight w:val="none"/>
              </w:rPr>
            </w:pPr>
          </w:p>
        </w:tc>
        <w:tc>
          <w:tcPr>
            <w:tcW w:w="775" w:type="pct"/>
            <w:shd w:val="clear" w:color="auto" w:fill="auto"/>
            <w:vAlign w:val="center"/>
          </w:tcPr>
          <w:p w14:paraId="63CAFC0F">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日</w:t>
            </w:r>
            <w:r>
              <w:rPr>
                <w:snapToGrid w:val="0"/>
                <w:color w:val="auto"/>
                <w:kern w:val="0"/>
                <w:szCs w:val="21"/>
                <w:highlight w:val="none"/>
              </w:rPr>
              <w:t>平均</w:t>
            </w:r>
          </w:p>
        </w:tc>
        <w:tc>
          <w:tcPr>
            <w:tcW w:w="531" w:type="pct"/>
            <w:shd w:val="clear" w:color="auto" w:fill="auto"/>
            <w:vAlign w:val="center"/>
          </w:tcPr>
          <w:p w14:paraId="2B703628">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60</w:t>
            </w:r>
          </w:p>
        </w:tc>
        <w:tc>
          <w:tcPr>
            <w:tcW w:w="512" w:type="pct"/>
            <w:vMerge w:val="continue"/>
            <w:shd w:val="clear" w:color="auto" w:fill="auto"/>
            <w:vAlign w:val="center"/>
          </w:tcPr>
          <w:p w14:paraId="34F00760">
            <w:pPr>
              <w:pStyle w:val="42"/>
              <w:tabs>
                <w:tab w:val="left" w:pos="0"/>
              </w:tabs>
              <w:adjustRightInd w:val="0"/>
              <w:snapToGrid w:val="0"/>
              <w:ind w:left="0" w:firstLine="0" w:firstLineChars="0"/>
              <w:jc w:val="center"/>
              <w:rPr>
                <w:snapToGrid w:val="0"/>
                <w:color w:val="auto"/>
                <w:kern w:val="0"/>
                <w:szCs w:val="21"/>
                <w:highlight w:val="none"/>
              </w:rPr>
            </w:pPr>
          </w:p>
        </w:tc>
        <w:tc>
          <w:tcPr>
            <w:tcW w:w="1990" w:type="pct"/>
            <w:vMerge w:val="continue"/>
            <w:shd w:val="clear" w:color="auto" w:fill="auto"/>
            <w:vAlign w:val="center"/>
          </w:tcPr>
          <w:p w14:paraId="4FAF8794">
            <w:pPr>
              <w:pStyle w:val="42"/>
              <w:tabs>
                <w:tab w:val="left" w:pos="0"/>
              </w:tabs>
              <w:adjustRightInd w:val="0"/>
              <w:snapToGrid w:val="0"/>
              <w:ind w:left="0" w:firstLine="0" w:firstLineChars="0"/>
              <w:jc w:val="center"/>
              <w:rPr>
                <w:snapToGrid w:val="0"/>
                <w:color w:val="auto"/>
                <w:kern w:val="0"/>
                <w:szCs w:val="21"/>
                <w:highlight w:val="none"/>
              </w:rPr>
            </w:pPr>
          </w:p>
        </w:tc>
      </w:tr>
      <w:tr w14:paraId="2E6A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shd w:val="clear" w:color="auto" w:fill="auto"/>
            <w:vAlign w:val="center"/>
          </w:tcPr>
          <w:p w14:paraId="06A385C4">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7</w:t>
            </w:r>
          </w:p>
        </w:tc>
        <w:tc>
          <w:tcPr>
            <w:tcW w:w="836" w:type="pct"/>
            <w:shd w:val="clear" w:color="auto" w:fill="auto"/>
            <w:vAlign w:val="center"/>
          </w:tcPr>
          <w:p w14:paraId="2AD26F99">
            <w:pPr>
              <w:pStyle w:val="768"/>
              <w:rPr>
                <w:rFonts w:cs="Times New Roman"/>
                <w:snapToGrid w:val="0"/>
                <w:color w:val="auto"/>
                <w:kern w:val="0"/>
                <w:szCs w:val="21"/>
                <w:highlight w:val="none"/>
              </w:rPr>
            </w:pPr>
            <w:r>
              <w:rPr>
                <w:color w:val="auto"/>
                <w:highlight w:val="none"/>
              </w:rPr>
              <w:t>非甲烷总烃</w:t>
            </w:r>
          </w:p>
        </w:tc>
        <w:tc>
          <w:tcPr>
            <w:tcW w:w="775" w:type="pct"/>
            <w:shd w:val="clear" w:color="auto" w:fill="auto"/>
            <w:vAlign w:val="center"/>
          </w:tcPr>
          <w:p w14:paraId="06246C0E">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4CA496D7">
            <w:pPr>
              <w:pStyle w:val="768"/>
              <w:rPr>
                <w:rFonts w:cs="Times New Roman"/>
                <w:snapToGrid w:val="0"/>
                <w:color w:val="auto"/>
                <w:kern w:val="0"/>
                <w:szCs w:val="21"/>
                <w:highlight w:val="none"/>
              </w:rPr>
            </w:pPr>
            <w:r>
              <w:rPr>
                <w:color w:val="auto"/>
                <w:highlight w:val="none"/>
              </w:rPr>
              <w:t>2.0</w:t>
            </w:r>
          </w:p>
        </w:tc>
        <w:tc>
          <w:tcPr>
            <w:tcW w:w="512" w:type="pct"/>
            <w:vMerge w:val="restart"/>
            <w:shd w:val="clear" w:color="auto" w:fill="auto"/>
            <w:vAlign w:val="center"/>
          </w:tcPr>
          <w:p w14:paraId="77F7E7EA">
            <w:pPr>
              <w:pStyle w:val="42"/>
              <w:tabs>
                <w:tab w:val="left" w:pos="0"/>
              </w:tabs>
              <w:adjustRightInd w:val="0"/>
              <w:snapToGrid w:val="0"/>
              <w:ind w:left="0" w:firstLine="0" w:firstLineChars="0"/>
              <w:jc w:val="center"/>
              <w:rPr>
                <w:snapToGrid w:val="0"/>
                <w:color w:val="auto"/>
                <w:kern w:val="0"/>
                <w:szCs w:val="21"/>
                <w:highlight w:val="none"/>
                <w:lang w:val="zh-CN"/>
              </w:rPr>
            </w:pPr>
            <w:r>
              <w:rPr>
                <w:snapToGrid w:val="0"/>
                <w:color w:val="auto"/>
                <w:kern w:val="0"/>
                <w:szCs w:val="21"/>
                <w:highlight w:val="none"/>
              </w:rPr>
              <w:t>mg/m</w:t>
            </w:r>
            <w:r>
              <w:rPr>
                <w:snapToGrid w:val="0"/>
                <w:color w:val="auto"/>
                <w:kern w:val="0"/>
                <w:szCs w:val="21"/>
                <w:highlight w:val="none"/>
                <w:vertAlign w:val="superscript"/>
              </w:rPr>
              <w:t>3</w:t>
            </w:r>
          </w:p>
        </w:tc>
        <w:tc>
          <w:tcPr>
            <w:tcW w:w="1990" w:type="pct"/>
            <w:shd w:val="clear" w:color="auto" w:fill="auto"/>
            <w:vAlign w:val="center"/>
          </w:tcPr>
          <w:p w14:paraId="54BC312A">
            <w:pPr>
              <w:pStyle w:val="768"/>
              <w:rPr>
                <w:color w:val="auto"/>
                <w:highlight w:val="none"/>
                <w:lang w:val="zh-CN"/>
              </w:rPr>
            </w:pPr>
            <w:r>
              <w:rPr>
                <w:color w:val="auto"/>
                <w:highlight w:val="none"/>
              </w:rPr>
              <w:t>《大气污染物综合排放标准详解》</w:t>
            </w:r>
          </w:p>
        </w:tc>
      </w:tr>
      <w:tr w14:paraId="34E2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shd w:val="clear" w:color="auto" w:fill="auto"/>
            <w:vAlign w:val="center"/>
          </w:tcPr>
          <w:p w14:paraId="13D1ECAB">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8</w:t>
            </w:r>
          </w:p>
        </w:tc>
        <w:tc>
          <w:tcPr>
            <w:tcW w:w="836" w:type="pct"/>
            <w:shd w:val="clear" w:color="auto" w:fill="auto"/>
            <w:vAlign w:val="center"/>
          </w:tcPr>
          <w:p w14:paraId="39C81E04">
            <w:pPr>
              <w:pStyle w:val="768"/>
              <w:rPr>
                <w:rFonts w:cs="Times New Roman"/>
                <w:snapToGrid w:val="0"/>
                <w:color w:val="auto"/>
                <w:kern w:val="0"/>
                <w:szCs w:val="21"/>
                <w:highlight w:val="none"/>
              </w:rPr>
            </w:pPr>
            <w:r>
              <w:rPr>
                <w:color w:val="auto"/>
                <w:highlight w:val="none"/>
              </w:rPr>
              <w:t>硫酸</w:t>
            </w:r>
          </w:p>
        </w:tc>
        <w:tc>
          <w:tcPr>
            <w:tcW w:w="775" w:type="pct"/>
            <w:shd w:val="clear" w:color="auto" w:fill="auto"/>
            <w:vAlign w:val="center"/>
          </w:tcPr>
          <w:p w14:paraId="52F19B4C">
            <w:pPr>
              <w:adjustRightInd w:val="0"/>
              <w:snapToGrid w:val="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52020FBF">
            <w:pPr>
              <w:pStyle w:val="768"/>
              <w:rPr>
                <w:rFonts w:cs="Times New Roman"/>
                <w:snapToGrid w:val="0"/>
                <w:color w:val="auto"/>
                <w:kern w:val="0"/>
                <w:szCs w:val="21"/>
                <w:highlight w:val="none"/>
              </w:rPr>
            </w:pPr>
            <w:r>
              <w:rPr>
                <w:rFonts w:hint="eastAsia"/>
                <w:color w:val="auto"/>
                <w:highlight w:val="none"/>
              </w:rPr>
              <w:t>0.3</w:t>
            </w:r>
          </w:p>
        </w:tc>
        <w:tc>
          <w:tcPr>
            <w:tcW w:w="512" w:type="pct"/>
            <w:vMerge w:val="continue"/>
            <w:shd w:val="clear" w:color="auto" w:fill="auto"/>
            <w:vAlign w:val="center"/>
          </w:tcPr>
          <w:p w14:paraId="5EF3D36A">
            <w:pPr>
              <w:pStyle w:val="42"/>
              <w:tabs>
                <w:tab w:val="left" w:pos="0"/>
              </w:tabs>
              <w:adjustRightInd w:val="0"/>
              <w:snapToGrid w:val="0"/>
              <w:ind w:left="0" w:firstLine="0" w:firstLineChars="0"/>
              <w:jc w:val="center"/>
              <w:rPr>
                <w:snapToGrid w:val="0"/>
                <w:color w:val="auto"/>
                <w:kern w:val="0"/>
                <w:szCs w:val="21"/>
                <w:highlight w:val="none"/>
                <w:lang w:val="zh-CN"/>
              </w:rPr>
            </w:pPr>
          </w:p>
        </w:tc>
        <w:tc>
          <w:tcPr>
            <w:tcW w:w="1990" w:type="pct"/>
            <w:vMerge w:val="restart"/>
            <w:shd w:val="clear" w:color="auto" w:fill="auto"/>
            <w:vAlign w:val="center"/>
          </w:tcPr>
          <w:p w14:paraId="728A69FB">
            <w:pPr>
              <w:pStyle w:val="768"/>
              <w:rPr>
                <w:color w:val="auto"/>
                <w:highlight w:val="none"/>
              </w:rPr>
            </w:pPr>
            <w:r>
              <w:rPr>
                <w:color w:val="auto"/>
                <w:highlight w:val="none"/>
              </w:rPr>
              <w:t>《环境影响评价技术导则 大气环境》（HJ2.2-2018）附录D</w:t>
            </w:r>
          </w:p>
        </w:tc>
      </w:tr>
      <w:tr w14:paraId="01A2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shd w:val="clear" w:color="auto" w:fill="auto"/>
            <w:vAlign w:val="center"/>
          </w:tcPr>
          <w:p w14:paraId="1C416BA3">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9</w:t>
            </w:r>
          </w:p>
        </w:tc>
        <w:tc>
          <w:tcPr>
            <w:tcW w:w="836" w:type="pct"/>
            <w:shd w:val="clear" w:color="auto" w:fill="auto"/>
            <w:vAlign w:val="center"/>
          </w:tcPr>
          <w:p w14:paraId="65806B23">
            <w:pPr>
              <w:pStyle w:val="768"/>
              <w:rPr>
                <w:rFonts w:cs="Times New Roman"/>
                <w:snapToGrid w:val="0"/>
                <w:color w:val="auto"/>
                <w:kern w:val="0"/>
                <w:szCs w:val="21"/>
                <w:highlight w:val="none"/>
              </w:rPr>
            </w:pPr>
            <w:r>
              <w:rPr>
                <w:rFonts w:hint="eastAsia"/>
                <w:color w:val="auto"/>
                <w:highlight w:val="none"/>
              </w:rPr>
              <w:t>氨</w:t>
            </w:r>
          </w:p>
        </w:tc>
        <w:tc>
          <w:tcPr>
            <w:tcW w:w="775" w:type="pct"/>
            <w:shd w:val="clear" w:color="auto" w:fill="auto"/>
            <w:vAlign w:val="center"/>
          </w:tcPr>
          <w:p w14:paraId="056492A5">
            <w:pPr>
              <w:adjustRightInd w:val="0"/>
              <w:snapToGrid w:val="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107BC308">
            <w:pPr>
              <w:pStyle w:val="768"/>
              <w:rPr>
                <w:rFonts w:cs="Times New Roman"/>
                <w:snapToGrid w:val="0"/>
                <w:color w:val="auto"/>
                <w:kern w:val="0"/>
                <w:szCs w:val="21"/>
                <w:highlight w:val="none"/>
              </w:rPr>
            </w:pPr>
            <w:r>
              <w:rPr>
                <w:rFonts w:hint="eastAsia"/>
                <w:color w:val="auto"/>
                <w:highlight w:val="none"/>
              </w:rPr>
              <w:t>0.2</w:t>
            </w:r>
          </w:p>
        </w:tc>
        <w:tc>
          <w:tcPr>
            <w:tcW w:w="512" w:type="pct"/>
            <w:vMerge w:val="continue"/>
            <w:shd w:val="clear" w:color="auto" w:fill="auto"/>
            <w:vAlign w:val="center"/>
          </w:tcPr>
          <w:p w14:paraId="34D6260A">
            <w:pPr>
              <w:pStyle w:val="42"/>
              <w:tabs>
                <w:tab w:val="left" w:pos="0"/>
              </w:tabs>
              <w:adjustRightInd w:val="0"/>
              <w:snapToGrid w:val="0"/>
              <w:ind w:left="0" w:firstLine="0" w:firstLineChars="0"/>
              <w:jc w:val="center"/>
              <w:rPr>
                <w:snapToGrid w:val="0"/>
                <w:color w:val="auto"/>
                <w:kern w:val="0"/>
                <w:szCs w:val="21"/>
                <w:highlight w:val="none"/>
                <w:lang w:val="zh-CN"/>
              </w:rPr>
            </w:pPr>
          </w:p>
        </w:tc>
        <w:tc>
          <w:tcPr>
            <w:tcW w:w="1990" w:type="pct"/>
            <w:vMerge w:val="continue"/>
            <w:shd w:val="clear" w:color="auto" w:fill="auto"/>
            <w:vAlign w:val="center"/>
          </w:tcPr>
          <w:p w14:paraId="22F3DF18">
            <w:pPr>
              <w:pStyle w:val="42"/>
              <w:tabs>
                <w:tab w:val="left" w:pos="0"/>
              </w:tabs>
              <w:adjustRightInd w:val="0"/>
              <w:snapToGrid w:val="0"/>
              <w:ind w:left="0" w:firstLine="0" w:firstLineChars="0"/>
              <w:jc w:val="center"/>
              <w:rPr>
                <w:snapToGrid w:val="0"/>
                <w:color w:val="auto"/>
                <w:kern w:val="0"/>
                <w:szCs w:val="21"/>
                <w:highlight w:val="none"/>
              </w:rPr>
            </w:pPr>
          </w:p>
        </w:tc>
      </w:tr>
      <w:tr w14:paraId="375F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shd w:val="clear" w:color="auto" w:fill="auto"/>
            <w:vAlign w:val="center"/>
          </w:tcPr>
          <w:p w14:paraId="565080A0">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10</w:t>
            </w:r>
          </w:p>
        </w:tc>
        <w:tc>
          <w:tcPr>
            <w:tcW w:w="836" w:type="pct"/>
            <w:shd w:val="clear" w:color="auto" w:fill="auto"/>
            <w:vAlign w:val="center"/>
          </w:tcPr>
          <w:p w14:paraId="5A145757">
            <w:pPr>
              <w:pStyle w:val="768"/>
              <w:rPr>
                <w:rFonts w:cs="Times New Roman"/>
                <w:snapToGrid w:val="0"/>
                <w:color w:val="auto"/>
                <w:kern w:val="0"/>
                <w:szCs w:val="21"/>
                <w:highlight w:val="none"/>
              </w:rPr>
            </w:pPr>
            <w:r>
              <w:rPr>
                <w:rFonts w:hint="eastAsia"/>
                <w:color w:val="auto"/>
                <w:highlight w:val="none"/>
              </w:rPr>
              <w:t>硫化氢</w:t>
            </w:r>
          </w:p>
        </w:tc>
        <w:tc>
          <w:tcPr>
            <w:tcW w:w="775" w:type="pct"/>
            <w:shd w:val="clear" w:color="auto" w:fill="auto"/>
            <w:vAlign w:val="center"/>
          </w:tcPr>
          <w:p w14:paraId="307CF5DF">
            <w:pPr>
              <w:adjustRightInd w:val="0"/>
              <w:snapToGrid w:val="0"/>
              <w:jc w:val="center"/>
              <w:rPr>
                <w:snapToGrid w:val="0"/>
                <w:color w:val="auto"/>
                <w:kern w:val="0"/>
                <w:szCs w:val="21"/>
                <w:highlight w:val="none"/>
              </w:rPr>
            </w:pPr>
            <w:r>
              <w:rPr>
                <w:snapToGrid w:val="0"/>
                <w:color w:val="auto"/>
                <w:kern w:val="0"/>
                <w:szCs w:val="21"/>
                <w:highlight w:val="none"/>
              </w:rPr>
              <w:t>1小时平均</w:t>
            </w:r>
          </w:p>
        </w:tc>
        <w:tc>
          <w:tcPr>
            <w:tcW w:w="531" w:type="pct"/>
            <w:shd w:val="clear" w:color="auto" w:fill="auto"/>
            <w:vAlign w:val="center"/>
          </w:tcPr>
          <w:p w14:paraId="19B4F0E7">
            <w:pPr>
              <w:pStyle w:val="768"/>
              <w:rPr>
                <w:rFonts w:cs="Times New Roman"/>
                <w:snapToGrid w:val="0"/>
                <w:color w:val="auto"/>
                <w:kern w:val="0"/>
                <w:szCs w:val="21"/>
                <w:highlight w:val="none"/>
              </w:rPr>
            </w:pPr>
            <w:r>
              <w:rPr>
                <w:rFonts w:hint="eastAsia"/>
                <w:color w:val="auto"/>
                <w:highlight w:val="none"/>
              </w:rPr>
              <w:t>0.01</w:t>
            </w:r>
          </w:p>
        </w:tc>
        <w:tc>
          <w:tcPr>
            <w:tcW w:w="512" w:type="pct"/>
            <w:vMerge w:val="continue"/>
            <w:shd w:val="clear" w:color="auto" w:fill="auto"/>
            <w:vAlign w:val="center"/>
          </w:tcPr>
          <w:p w14:paraId="3EC05B4E">
            <w:pPr>
              <w:pStyle w:val="42"/>
              <w:tabs>
                <w:tab w:val="left" w:pos="0"/>
              </w:tabs>
              <w:adjustRightInd w:val="0"/>
              <w:snapToGrid w:val="0"/>
              <w:ind w:left="0" w:firstLine="0" w:firstLineChars="0"/>
              <w:jc w:val="center"/>
              <w:rPr>
                <w:snapToGrid w:val="0"/>
                <w:color w:val="auto"/>
                <w:kern w:val="0"/>
                <w:szCs w:val="21"/>
                <w:highlight w:val="none"/>
                <w:lang w:val="zh-CN"/>
              </w:rPr>
            </w:pPr>
          </w:p>
        </w:tc>
        <w:tc>
          <w:tcPr>
            <w:tcW w:w="1990" w:type="pct"/>
            <w:vMerge w:val="continue"/>
            <w:shd w:val="clear" w:color="auto" w:fill="auto"/>
            <w:vAlign w:val="center"/>
          </w:tcPr>
          <w:p w14:paraId="53812257">
            <w:pPr>
              <w:pStyle w:val="42"/>
              <w:tabs>
                <w:tab w:val="left" w:pos="0"/>
              </w:tabs>
              <w:adjustRightInd w:val="0"/>
              <w:snapToGrid w:val="0"/>
              <w:ind w:left="0" w:firstLine="0" w:firstLineChars="0"/>
              <w:jc w:val="center"/>
              <w:rPr>
                <w:snapToGrid w:val="0"/>
                <w:color w:val="auto"/>
                <w:kern w:val="0"/>
                <w:szCs w:val="21"/>
                <w:highlight w:val="none"/>
              </w:rPr>
            </w:pPr>
          </w:p>
        </w:tc>
      </w:tr>
    </w:tbl>
    <w:p w14:paraId="0C826AD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2.5.1.2地下水质量标准</w:t>
      </w:r>
    </w:p>
    <w:p w14:paraId="00AA0CEC">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区域地下水质量执行《地下水质量标准》（GB/T14848-2017）中的Ⅲ类标准，具体限值见表</w:t>
      </w:r>
      <w:r>
        <w:rPr>
          <w:rFonts w:hint="eastAsia"/>
          <w:snapToGrid w:val="0"/>
          <w:color w:val="auto"/>
          <w:kern w:val="0"/>
          <w:sz w:val="24"/>
          <w:highlight w:val="none"/>
        </w:rPr>
        <w:t>2</w:t>
      </w:r>
      <w:r>
        <w:rPr>
          <w:snapToGrid w:val="0"/>
          <w:color w:val="auto"/>
          <w:kern w:val="0"/>
          <w:sz w:val="24"/>
          <w:highlight w:val="none"/>
        </w:rPr>
        <w:t>.</w:t>
      </w:r>
      <w:r>
        <w:rPr>
          <w:rFonts w:hint="eastAsia"/>
          <w:snapToGrid w:val="0"/>
          <w:color w:val="auto"/>
          <w:kern w:val="0"/>
          <w:sz w:val="24"/>
          <w:highlight w:val="none"/>
          <w:lang w:val="en-US" w:eastAsia="zh-CN"/>
        </w:rPr>
        <w:t>5</w:t>
      </w:r>
      <w:r>
        <w:rPr>
          <w:snapToGrid w:val="0"/>
          <w:color w:val="auto"/>
          <w:kern w:val="0"/>
          <w:sz w:val="24"/>
          <w:highlight w:val="none"/>
        </w:rPr>
        <w:t>-</w:t>
      </w:r>
      <w:r>
        <w:rPr>
          <w:rFonts w:hint="eastAsia"/>
          <w:snapToGrid w:val="0"/>
          <w:color w:val="auto"/>
          <w:kern w:val="0"/>
          <w:sz w:val="24"/>
          <w:highlight w:val="none"/>
          <w:lang w:val="en-US" w:eastAsia="zh-CN"/>
        </w:rPr>
        <w:t>2</w:t>
      </w:r>
      <w:r>
        <w:rPr>
          <w:snapToGrid w:val="0"/>
          <w:color w:val="auto"/>
          <w:kern w:val="0"/>
          <w:sz w:val="24"/>
          <w:highlight w:val="none"/>
        </w:rPr>
        <w:t>。</w:t>
      </w:r>
    </w:p>
    <w:p w14:paraId="5EAD25D9">
      <w:pPr>
        <w:adjustRightInd w:val="0"/>
        <w:snapToGrid w:val="0"/>
        <w:spacing w:line="360" w:lineRule="auto"/>
        <w:ind w:firstLine="480" w:firstLineChars="200"/>
        <w:rPr>
          <w:snapToGrid w:val="0"/>
          <w:color w:val="auto"/>
          <w:kern w:val="0"/>
          <w:sz w:val="24"/>
          <w:highlight w:val="none"/>
        </w:rPr>
      </w:pPr>
    </w:p>
    <w:p w14:paraId="4D2C36D6">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5</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2</w:t>
      </w:r>
      <w:r>
        <w:rPr>
          <w:b/>
          <w:bCs/>
          <w:snapToGrid w:val="0"/>
          <w:color w:val="auto"/>
          <w:kern w:val="0"/>
          <w:szCs w:val="21"/>
          <w:highlight w:val="none"/>
        </w:rPr>
        <w:t xml:space="preserve"> 地下水质量标准</w:t>
      </w:r>
    </w:p>
    <w:tbl>
      <w:tblPr>
        <w:tblStyle w:val="770"/>
        <w:tblW w:w="50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9"/>
        <w:gridCol w:w="2051"/>
        <w:gridCol w:w="1266"/>
        <w:gridCol w:w="962"/>
        <w:gridCol w:w="1531"/>
        <w:gridCol w:w="1566"/>
      </w:tblGrid>
      <w:tr w14:paraId="625E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559" w:type="pct"/>
            <w:tcBorders>
              <w:tl2br w:val="nil"/>
              <w:tr2bl w:val="nil"/>
            </w:tcBorders>
            <w:vAlign w:val="center"/>
          </w:tcPr>
          <w:p w14:paraId="454EB73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序号</w:t>
            </w:r>
          </w:p>
        </w:tc>
        <w:tc>
          <w:tcPr>
            <w:tcW w:w="1234" w:type="pct"/>
            <w:tcBorders>
              <w:tl2br w:val="nil"/>
              <w:tr2bl w:val="nil"/>
            </w:tcBorders>
            <w:vAlign w:val="center"/>
          </w:tcPr>
          <w:p w14:paraId="751C8782">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评价项目</w:t>
            </w:r>
          </w:p>
        </w:tc>
        <w:tc>
          <w:tcPr>
            <w:tcW w:w="762" w:type="pct"/>
            <w:tcBorders>
              <w:tl2br w:val="nil"/>
              <w:tr2bl w:val="nil"/>
            </w:tcBorders>
            <w:vAlign w:val="center"/>
          </w:tcPr>
          <w:p w14:paraId="47EE5EF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标准限值</w:t>
            </w:r>
          </w:p>
        </w:tc>
        <w:tc>
          <w:tcPr>
            <w:tcW w:w="579" w:type="pct"/>
            <w:tcBorders>
              <w:tl2br w:val="nil"/>
              <w:tr2bl w:val="nil"/>
            </w:tcBorders>
            <w:vAlign w:val="center"/>
          </w:tcPr>
          <w:p w14:paraId="74BDA798">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序号</w:t>
            </w:r>
          </w:p>
        </w:tc>
        <w:tc>
          <w:tcPr>
            <w:tcW w:w="921" w:type="pct"/>
            <w:tcBorders>
              <w:tl2br w:val="nil"/>
              <w:tr2bl w:val="nil"/>
            </w:tcBorders>
            <w:vAlign w:val="center"/>
          </w:tcPr>
          <w:p w14:paraId="06EB0705">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评价项目</w:t>
            </w:r>
          </w:p>
        </w:tc>
        <w:tc>
          <w:tcPr>
            <w:tcW w:w="942" w:type="pct"/>
            <w:tcBorders>
              <w:tl2br w:val="nil"/>
              <w:tr2bl w:val="nil"/>
            </w:tcBorders>
            <w:vAlign w:val="center"/>
          </w:tcPr>
          <w:p w14:paraId="572B0E20">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标准限值</w:t>
            </w:r>
          </w:p>
        </w:tc>
      </w:tr>
      <w:tr w14:paraId="46CB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vAlign w:val="center"/>
          </w:tcPr>
          <w:p w14:paraId="6E67131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w:t>
            </w:r>
          </w:p>
        </w:tc>
        <w:tc>
          <w:tcPr>
            <w:tcW w:w="1234" w:type="pct"/>
            <w:tcBorders>
              <w:tl2br w:val="nil"/>
              <w:tr2bl w:val="nil"/>
            </w:tcBorders>
            <w:vAlign w:val="center"/>
          </w:tcPr>
          <w:p w14:paraId="5043843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pH值（无量纲）</w:t>
            </w:r>
          </w:p>
        </w:tc>
        <w:tc>
          <w:tcPr>
            <w:tcW w:w="762" w:type="pct"/>
            <w:tcBorders>
              <w:tl2br w:val="nil"/>
              <w:tr2bl w:val="nil"/>
            </w:tcBorders>
            <w:vAlign w:val="center"/>
          </w:tcPr>
          <w:p w14:paraId="40A5247C">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6.5-8.5</w:t>
            </w:r>
          </w:p>
        </w:tc>
        <w:tc>
          <w:tcPr>
            <w:tcW w:w="579" w:type="pct"/>
            <w:tcBorders>
              <w:tl2br w:val="nil"/>
              <w:tr2bl w:val="nil"/>
            </w:tcBorders>
            <w:shd w:val="clear" w:color="auto" w:fill="auto"/>
            <w:vAlign w:val="center"/>
          </w:tcPr>
          <w:p w14:paraId="5C9BA981">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17</w:t>
            </w:r>
          </w:p>
        </w:tc>
        <w:tc>
          <w:tcPr>
            <w:tcW w:w="921" w:type="pct"/>
            <w:tcBorders>
              <w:tl2br w:val="nil"/>
              <w:tr2bl w:val="nil"/>
            </w:tcBorders>
            <w:shd w:val="clear" w:color="auto" w:fill="auto"/>
            <w:vAlign w:val="center"/>
          </w:tcPr>
          <w:p w14:paraId="44E8C6E1">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K</w:t>
            </w:r>
            <w:r>
              <w:rPr>
                <w:rFonts w:ascii="Times New Roman" w:hAnsi="Times New Roman" w:eastAsia="宋体" w:cs="Times New Roman"/>
                <w:snapToGrid w:val="0"/>
                <w:color w:val="auto"/>
                <w:kern w:val="0"/>
                <w:sz w:val="21"/>
                <w:szCs w:val="21"/>
                <w:highlight w:val="none"/>
                <w:vertAlign w:val="superscript"/>
              </w:rPr>
              <w:t>+</w:t>
            </w:r>
          </w:p>
        </w:tc>
        <w:tc>
          <w:tcPr>
            <w:tcW w:w="942" w:type="pct"/>
            <w:tcBorders>
              <w:tl2br w:val="nil"/>
              <w:tr2bl w:val="nil"/>
            </w:tcBorders>
            <w:shd w:val="clear" w:color="auto" w:fill="auto"/>
            <w:vAlign w:val="center"/>
          </w:tcPr>
          <w:p w14:paraId="1B579CE0">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r>
      <w:tr w14:paraId="663E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vAlign w:val="center"/>
          </w:tcPr>
          <w:p w14:paraId="48DC9F5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w:t>
            </w:r>
          </w:p>
        </w:tc>
        <w:tc>
          <w:tcPr>
            <w:tcW w:w="1234" w:type="pct"/>
            <w:tcBorders>
              <w:tl2br w:val="nil"/>
              <w:tr2bl w:val="nil"/>
            </w:tcBorders>
            <w:vAlign w:val="center"/>
          </w:tcPr>
          <w:p w14:paraId="0558B492">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溶解性总固体</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vAlign w:val="center"/>
          </w:tcPr>
          <w:p w14:paraId="3EA2C9C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≤1000</w:t>
            </w:r>
          </w:p>
        </w:tc>
        <w:tc>
          <w:tcPr>
            <w:tcW w:w="579" w:type="pct"/>
            <w:tcBorders>
              <w:tl2br w:val="nil"/>
              <w:tr2bl w:val="nil"/>
            </w:tcBorders>
            <w:shd w:val="clear" w:color="auto" w:fill="auto"/>
            <w:vAlign w:val="center"/>
          </w:tcPr>
          <w:p w14:paraId="13543B4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18</w:t>
            </w:r>
          </w:p>
        </w:tc>
        <w:tc>
          <w:tcPr>
            <w:tcW w:w="921" w:type="pct"/>
            <w:tcBorders>
              <w:tl2br w:val="nil"/>
              <w:tr2bl w:val="nil"/>
            </w:tcBorders>
            <w:shd w:val="clear" w:color="auto" w:fill="auto"/>
            <w:vAlign w:val="center"/>
          </w:tcPr>
          <w:p w14:paraId="2F79F51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Na</w:t>
            </w:r>
            <w:r>
              <w:rPr>
                <w:rFonts w:ascii="Times New Roman" w:hAnsi="Times New Roman" w:eastAsia="宋体" w:cs="Times New Roman"/>
                <w:snapToGrid w:val="0"/>
                <w:color w:val="auto"/>
                <w:kern w:val="0"/>
                <w:sz w:val="21"/>
                <w:szCs w:val="21"/>
                <w:highlight w:val="none"/>
                <w:vertAlign w:val="superscript"/>
              </w:rPr>
              <w:t>+</w:t>
            </w:r>
          </w:p>
        </w:tc>
        <w:tc>
          <w:tcPr>
            <w:tcW w:w="942" w:type="pct"/>
            <w:tcBorders>
              <w:tl2br w:val="nil"/>
              <w:tr2bl w:val="nil"/>
            </w:tcBorders>
            <w:shd w:val="clear" w:color="auto" w:fill="auto"/>
            <w:vAlign w:val="center"/>
          </w:tcPr>
          <w:p w14:paraId="59D5546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r>
      <w:tr w14:paraId="1920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vAlign w:val="center"/>
          </w:tcPr>
          <w:p w14:paraId="701C71D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w:t>
            </w:r>
          </w:p>
        </w:tc>
        <w:tc>
          <w:tcPr>
            <w:tcW w:w="1234" w:type="pct"/>
            <w:tcBorders>
              <w:tl2br w:val="nil"/>
              <w:tr2bl w:val="nil"/>
            </w:tcBorders>
            <w:vAlign w:val="center"/>
          </w:tcPr>
          <w:p w14:paraId="65DA323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总硬度</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vAlign w:val="center"/>
          </w:tcPr>
          <w:p w14:paraId="57BDCD5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≤450</w:t>
            </w:r>
          </w:p>
        </w:tc>
        <w:tc>
          <w:tcPr>
            <w:tcW w:w="579" w:type="pct"/>
            <w:tcBorders>
              <w:tl2br w:val="nil"/>
              <w:tr2bl w:val="nil"/>
            </w:tcBorders>
            <w:shd w:val="clear" w:color="auto" w:fill="auto"/>
            <w:vAlign w:val="center"/>
          </w:tcPr>
          <w:p w14:paraId="04BF494C">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19</w:t>
            </w:r>
          </w:p>
        </w:tc>
        <w:tc>
          <w:tcPr>
            <w:tcW w:w="921" w:type="pct"/>
            <w:tcBorders>
              <w:tl2br w:val="nil"/>
              <w:tr2bl w:val="nil"/>
            </w:tcBorders>
            <w:shd w:val="clear" w:color="auto" w:fill="auto"/>
            <w:vAlign w:val="center"/>
          </w:tcPr>
          <w:p w14:paraId="4A85D4B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Ca</w:t>
            </w:r>
            <w:r>
              <w:rPr>
                <w:rFonts w:ascii="Times New Roman" w:hAnsi="Times New Roman" w:eastAsia="宋体" w:cs="Times New Roman"/>
                <w:snapToGrid w:val="0"/>
                <w:color w:val="auto"/>
                <w:kern w:val="0"/>
                <w:sz w:val="21"/>
                <w:szCs w:val="21"/>
                <w:highlight w:val="none"/>
                <w:vertAlign w:val="superscript"/>
              </w:rPr>
              <w:t>2+</w:t>
            </w:r>
          </w:p>
        </w:tc>
        <w:tc>
          <w:tcPr>
            <w:tcW w:w="942" w:type="pct"/>
            <w:tcBorders>
              <w:tl2br w:val="nil"/>
              <w:tr2bl w:val="nil"/>
            </w:tcBorders>
            <w:shd w:val="clear" w:color="auto" w:fill="auto"/>
            <w:vAlign w:val="center"/>
          </w:tcPr>
          <w:p w14:paraId="67C84C78">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p>
        </w:tc>
      </w:tr>
      <w:tr w14:paraId="14A2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0700AE0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w:t>
            </w:r>
          </w:p>
        </w:tc>
        <w:tc>
          <w:tcPr>
            <w:tcW w:w="1234" w:type="pct"/>
            <w:tcBorders>
              <w:tl2br w:val="nil"/>
              <w:tr2bl w:val="nil"/>
            </w:tcBorders>
            <w:shd w:val="clear" w:color="auto" w:fill="auto"/>
            <w:vAlign w:val="center"/>
          </w:tcPr>
          <w:p w14:paraId="538B523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氨氮</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3FAC4F8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≤0.50</w:t>
            </w:r>
          </w:p>
        </w:tc>
        <w:tc>
          <w:tcPr>
            <w:tcW w:w="579" w:type="pct"/>
            <w:tcBorders>
              <w:tl2br w:val="nil"/>
              <w:tr2bl w:val="nil"/>
            </w:tcBorders>
            <w:shd w:val="clear" w:color="auto" w:fill="auto"/>
            <w:vAlign w:val="center"/>
          </w:tcPr>
          <w:p w14:paraId="319A5F9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20</w:t>
            </w:r>
          </w:p>
        </w:tc>
        <w:tc>
          <w:tcPr>
            <w:tcW w:w="921" w:type="pct"/>
            <w:tcBorders>
              <w:tl2br w:val="nil"/>
              <w:tr2bl w:val="nil"/>
            </w:tcBorders>
            <w:shd w:val="clear" w:color="auto" w:fill="auto"/>
            <w:vAlign w:val="center"/>
          </w:tcPr>
          <w:p w14:paraId="4D853A4F">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Mg</w:t>
            </w:r>
            <w:r>
              <w:rPr>
                <w:rFonts w:ascii="Times New Roman" w:hAnsi="Times New Roman" w:eastAsia="宋体" w:cs="Times New Roman"/>
                <w:snapToGrid w:val="0"/>
                <w:color w:val="auto"/>
                <w:kern w:val="0"/>
                <w:sz w:val="21"/>
                <w:szCs w:val="21"/>
                <w:highlight w:val="none"/>
                <w:vertAlign w:val="superscript"/>
              </w:rPr>
              <w:t>2+</w:t>
            </w:r>
          </w:p>
        </w:tc>
        <w:tc>
          <w:tcPr>
            <w:tcW w:w="942" w:type="pct"/>
            <w:tcBorders>
              <w:tl2br w:val="nil"/>
              <w:tr2bl w:val="nil"/>
            </w:tcBorders>
            <w:shd w:val="clear" w:color="auto" w:fill="auto"/>
            <w:vAlign w:val="center"/>
          </w:tcPr>
          <w:p w14:paraId="7EC9FE1F">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r>
      <w:tr w14:paraId="0610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2943040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w:t>
            </w:r>
          </w:p>
        </w:tc>
        <w:tc>
          <w:tcPr>
            <w:tcW w:w="1234" w:type="pct"/>
            <w:tcBorders>
              <w:tl2br w:val="nil"/>
              <w:tr2bl w:val="nil"/>
            </w:tcBorders>
            <w:vAlign w:val="center"/>
          </w:tcPr>
          <w:p w14:paraId="3C536DB4">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石油类（参照GB3838Ⅲ类）</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vAlign w:val="center"/>
          </w:tcPr>
          <w:p w14:paraId="5E4FC32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w:t>
            </w: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5</w:t>
            </w:r>
          </w:p>
        </w:tc>
        <w:tc>
          <w:tcPr>
            <w:tcW w:w="579" w:type="pct"/>
            <w:tcBorders>
              <w:tl2br w:val="nil"/>
              <w:tr2bl w:val="nil"/>
            </w:tcBorders>
            <w:shd w:val="clear" w:color="auto" w:fill="auto"/>
            <w:vAlign w:val="center"/>
          </w:tcPr>
          <w:p w14:paraId="29095B5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21</w:t>
            </w:r>
          </w:p>
        </w:tc>
        <w:tc>
          <w:tcPr>
            <w:tcW w:w="921" w:type="pct"/>
            <w:tcBorders>
              <w:tl2br w:val="nil"/>
              <w:tr2bl w:val="nil"/>
            </w:tcBorders>
            <w:shd w:val="clear" w:color="auto" w:fill="auto"/>
            <w:vAlign w:val="center"/>
          </w:tcPr>
          <w:p w14:paraId="309AC8D3">
            <w:pPr>
              <w:widowControl/>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苯</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u</w:t>
            </w:r>
            <w:r>
              <w:rPr>
                <w:rFonts w:hint="eastAsia" w:ascii="Times New Roman" w:hAnsi="Times New Roman" w:eastAsia="宋体" w:cs="Times New Roman"/>
                <w:snapToGrid w:val="0"/>
                <w:color w:val="auto"/>
                <w:kern w:val="0"/>
                <w:sz w:val="21"/>
                <w:szCs w:val="21"/>
                <w:highlight w:val="none"/>
                <w:lang w:eastAsia="zh-CN"/>
              </w:rPr>
              <w:t>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vAlign w:val="center"/>
          </w:tcPr>
          <w:p w14:paraId="06746421">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10</w:t>
            </w:r>
          </w:p>
        </w:tc>
      </w:tr>
      <w:tr w14:paraId="1FBB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7223EC9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6</w:t>
            </w:r>
          </w:p>
        </w:tc>
        <w:tc>
          <w:tcPr>
            <w:tcW w:w="1234" w:type="pct"/>
            <w:tcBorders>
              <w:tl2br w:val="nil"/>
              <w:tr2bl w:val="nil"/>
            </w:tcBorders>
            <w:shd w:val="clear" w:color="auto" w:fill="auto"/>
            <w:vAlign w:val="center"/>
          </w:tcPr>
          <w:p w14:paraId="4746A4C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氟化物</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2672DFC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w:t>
            </w:r>
          </w:p>
        </w:tc>
        <w:tc>
          <w:tcPr>
            <w:tcW w:w="579" w:type="pct"/>
            <w:tcBorders>
              <w:tl2br w:val="nil"/>
              <w:tr2bl w:val="nil"/>
            </w:tcBorders>
            <w:shd w:val="clear" w:color="auto" w:fill="auto"/>
            <w:vAlign w:val="center"/>
          </w:tcPr>
          <w:p w14:paraId="6D943DB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22</w:t>
            </w:r>
          </w:p>
        </w:tc>
        <w:tc>
          <w:tcPr>
            <w:tcW w:w="921" w:type="pct"/>
            <w:tcBorders>
              <w:tl2br w:val="nil"/>
              <w:tr2bl w:val="nil"/>
            </w:tcBorders>
            <w:shd w:val="clear" w:color="auto" w:fill="auto"/>
            <w:vAlign w:val="center"/>
          </w:tcPr>
          <w:p w14:paraId="3C2FF2BA">
            <w:pPr>
              <w:widowControl/>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甲苯</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u</w:t>
            </w:r>
            <w:r>
              <w:rPr>
                <w:rFonts w:hint="eastAsia" w:ascii="Times New Roman" w:hAnsi="Times New Roman" w:eastAsia="宋体" w:cs="Times New Roman"/>
                <w:snapToGrid w:val="0"/>
                <w:color w:val="auto"/>
                <w:kern w:val="0"/>
                <w:sz w:val="21"/>
                <w:szCs w:val="21"/>
                <w:highlight w:val="none"/>
                <w:lang w:eastAsia="zh-CN"/>
              </w:rPr>
              <w:t>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vAlign w:val="center"/>
          </w:tcPr>
          <w:p w14:paraId="403993A1">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700</w:t>
            </w:r>
          </w:p>
        </w:tc>
      </w:tr>
      <w:tr w14:paraId="7F12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231F5DE2">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7</w:t>
            </w:r>
          </w:p>
        </w:tc>
        <w:tc>
          <w:tcPr>
            <w:tcW w:w="1234" w:type="pct"/>
            <w:tcBorders>
              <w:tl2br w:val="nil"/>
              <w:tr2bl w:val="nil"/>
            </w:tcBorders>
            <w:shd w:val="clear" w:color="auto" w:fill="auto"/>
            <w:vAlign w:val="center"/>
          </w:tcPr>
          <w:p w14:paraId="2ABD9774">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氯化物</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14201A01">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≤250</w:t>
            </w:r>
          </w:p>
        </w:tc>
        <w:tc>
          <w:tcPr>
            <w:tcW w:w="579" w:type="pct"/>
            <w:tcBorders>
              <w:tl2br w:val="nil"/>
              <w:tr2bl w:val="nil"/>
            </w:tcBorders>
            <w:shd w:val="clear" w:color="auto" w:fill="auto"/>
            <w:vAlign w:val="center"/>
          </w:tcPr>
          <w:p w14:paraId="52D2F754">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23</w:t>
            </w:r>
          </w:p>
        </w:tc>
        <w:tc>
          <w:tcPr>
            <w:tcW w:w="921" w:type="pct"/>
            <w:tcBorders>
              <w:tl2br w:val="nil"/>
              <w:tr2bl w:val="nil"/>
            </w:tcBorders>
            <w:shd w:val="clear" w:color="auto" w:fill="auto"/>
            <w:vAlign w:val="center"/>
          </w:tcPr>
          <w:p w14:paraId="1A2D4E6E">
            <w:pPr>
              <w:widowControl/>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总大肠菌群</w:t>
            </w:r>
          </w:p>
        </w:tc>
        <w:tc>
          <w:tcPr>
            <w:tcW w:w="942" w:type="pct"/>
            <w:tcBorders>
              <w:tl2br w:val="nil"/>
              <w:tr2bl w:val="nil"/>
            </w:tcBorders>
            <w:shd w:val="clear" w:color="auto" w:fill="auto"/>
            <w:vAlign w:val="center"/>
          </w:tcPr>
          <w:p w14:paraId="0FCC3E5F">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≤3.0MPN/100mL</w:t>
            </w:r>
          </w:p>
        </w:tc>
      </w:tr>
      <w:tr w14:paraId="6F04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28AA4D2F">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8</w:t>
            </w:r>
          </w:p>
        </w:tc>
        <w:tc>
          <w:tcPr>
            <w:tcW w:w="1234" w:type="pct"/>
            <w:tcBorders>
              <w:tl2br w:val="nil"/>
              <w:tr2bl w:val="nil"/>
            </w:tcBorders>
            <w:shd w:val="clear" w:color="auto" w:fill="auto"/>
            <w:vAlign w:val="center"/>
          </w:tcPr>
          <w:p w14:paraId="4E99EE3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耗氧量</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5A19BD8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≤3.0</w:t>
            </w:r>
          </w:p>
        </w:tc>
        <w:tc>
          <w:tcPr>
            <w:tcW w:w="579" w:type="pct"/>
            <w:tcBorders>
              <w:tl2br w:val="nil"/>
              <w:tr2bl w:val="nil"/>
            </w:tcBorders>
            <w:shd w:val="clear" w:color="auto" w:fill="auto"/>
            <w:vAlign w:val="center"/>
          </w:tcPr>
          <w:p w14:paraId="165EF84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24</w:t>
            </w:r>
          </w:p>
        </w:tc>
        <w:tc>
          <w:tcPr>
            <w:tcW w:w="921" w:type="pct"/>
            <w:tcBorders>
              <w:tl2br w:val="nil"/>
              <w:tr2bl w:val="nil"/>
            </w:tcBorders>
            <w:shd w:val="clear" w:color="auto" w:fill="auto"/>
            <w:vAlign w:val="center"/>
          </w:tcPr>
          <w:p w14:paraId="635BC2A2">
            <w:pPr>
              <w:pStyle w:val="771"/>
              <w:tabs>
                <w:tab w:val="left" w:pos="1119"/>
              </w:tabs>
              <w:adjustRightInd w:val="0"/>
              <w:snapToGrid w:val="0"/>
              <w:spacing w:line="240" w:lineRule="auto"/>
              <w:rPr>
                <w:rFonts w:hint="default"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细菌总数</w:t>
            </w:r>
          </w:p>
        </w:tc>
        <w:tc>
          <w:tcPr>
            <w:tcW w:w="942" w:type="pct"/>
            <w:tcBorders>
              <w:tl2br w:val="nil"/>
              <w:tr2bl w:val="nil"/>
            </w:tcBorders>
            <w:vAlign w:val="center"/>
          </w:tcPr>
          <w:p w14:paraId="7DF33783">
            <w:pPr>
              <w:pStyle w:val="771"/>
              <w:tabs>
                <w:tab w:val="left" w:pos="1119"/>
              </w:tabs>
              <w:adjustRightInd w:val="0"/>
              <w:snapToGrid w:val="0"/>
              <w:spacing w:line="240" w:lineRule="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≤100CFU/mL</w:t>
            </w:r>
          </w:p>
        </w:tc>
      </w:tr>
      <w:tr w14:paraId="7A5F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5C18B1F8">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9</w:t>
            </w:r>
          </w:p>
        </w:tc>
        <w:tc>
          <w:tcPr>
            <w:tcW w:w="1234" w:type="pct"/>
            <w:tcBorders>
              <w:tl2br w:val="nil"/>
              <w:tr2bl w:val="nil"/>
            </w:tcBorders>
            <w:shd w:val="clear" w:color="auto" w:fill="auto"/>
            <w:vAlign w:val="center"/>
          </w:tcPr>
          <w:p w14:paraId="2D282DD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氰化物</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1104818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≤0.05</w:t>
            </w:r>
          </w:p>
        </w:tc>
        <w:tc>
          <w:tcPr>
            <w:tcW w:w="579" w:type="pct"/>
            <w:tcBorders>
              <w:tl2br w:val="nil"/>
              <w:tr2bl w:val="nil"/>
            </w:tcBorders>
            <w:shd w:val="clear" w:color="auto" w:fill="auto"/>
            <w:vAlign w:val="center"/>
          </w:tcPr>
          <w:p w14:paraId="7EBDD098">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25</w:t>
            </w:r>
          </w:p>
        </w:tc>
        <w:tc>
          <w:tcPr>
            <w:tcW w:w="921" w:type="pct"/>
            <w:tcBorders>
              <w:tl2br w:val="nil"/>
              <w:tr2bl w:val="nil"/>
            </w:tcBorders>
            <w:shd w:val="clear" w:color="auto" w:fill="auto"/>
            <w:vAlign w:val="center"/>
          </w:tcPr>
          <w:p w14:paraId="78AAD12C">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镉</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shd w:val="clear" w:color="auto" w:fill="auto"/>
            <w:vAlign w:val="center"/>
          </w:tcPr>
          <w:p w14:paraId="056CCFE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≤0.005</w:t>
            </w:r>
          </w:p>
        </w:tc>
      </w:tr>
      <w:tr w14:paraId="571A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53522FE5">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w:t>
            </w:r>
          </w:p>
        </w:tc>
        <w:tc>
          <w:tcPr>
            <w:tcW w:w="1234" w:type="pct"/>
            <w:tcBorders>
              <w:tl2br w:val="nil"/>
              <w:tr2bl w:val="nil"/>
            </w:tcBorders>
            <w:vAlign w:val="center"/>
          </w:tcPr>
          <w:p w14:paraId="060299D4">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硫化物</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vAlign w:val="center"/>
          </w:tcPr>
          <w:p w14:paraId="446FCE72">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w:t>
            </w:r>
            <w:r>
              <w:rPr>
                <w:rFonts w:hint="eastAsia" w:ascii="Times New Roman" w:hAnsi="Times New Roman" w:eastAsia="宋体" w:cs="Times New Roman"/>
                <w:snapToGrid w:val="0"/>
                <w:color w:val="auto"/>
                <w:kern w:val="0"/>
                <w:sz w:val="21"/>
                <w:szCs w:val="21"/>
                <w:highlight w:val="none"/>
              </w:rPr>
              <w:t>2</w:t>
            </w:r>
          </w:p>
        </w:tc>
        <w:tc>
          <w:tcPr>
            <w:tcW w:w="579" w:type="pct"/>
            <w:tcBorders>
              <w:tl2br w:val="nil"/>
              <w:tr2bl w:val="nil"/>
            </w:tcBorders>
            <w:shd w:val="clear" w:color="auto" w:fill="auto"/>
            <w:vAlign w:val="center"/>
          </w:tcPr>
          <w:p w14:paraId="71668804">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26</w:t>
            </w:r>
          </w:p>
        </w:tc>
        <w:tc>
          <w:tcPr>
            <w:tcW w:w="921" w:type="pct"/>
            <w:tcBorders>
              <w:tl2br w:val="nil"/>
              <w:tr2bl w:val="nil"/>
            </w:tcBorders>
            <w:vAlign w:val="center"/>
          </w:tcPr>
          <w:p w14:paraId="1CAF33F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铜</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vAlign w:val="center"/>
          </w:tcPr>
          <w:p w14:paraId="6C6762DD">
            <w:pPr>
              <w:pStyle w:val="768"/>
              <w:adjustRightInd w:val="0"/>
              <w:snapToGrid w:val="0"/>
              <w:spacing w:line="240" w:lineRule="auto"/>
              <w:rPr>
                <w:rFonts w:hint="default"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1</w:t>
            </w:r>
            <w:r>
              <w:rPr>
                <w:rFonts w:hint="eastAsia" w:cs="Times New Roman"/>
                <w:snapToGrid w:val="0"/>
                <w:color w:val="auto"/>
                <w:kern w:val="0"/>
                <w:sz w:val="21"/>
                <w:szCs w:val="21"/>
                <w:highlight w:val="none"/>
                <w:lang w:val="en-US" w:eastAsia="zh-CN"/>
              </w:rPr>
              <w:t>.00</w:t>
            </w:r>
          </w:p>
        </w:tc>
      </w:tr>
      <w:tr w14:paraId="5F91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63203C9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11</w:t>
            </w:r>
          </w:p>
        </w:tc>
        <w:tc>
          <w:tcPr>
            <w:tcW w:w="1234" w:type="pct"/>
            <w:tcBorders>
              <w:tl2br w:val="nil"/>
              <w:tr2bl w:val="nil"/>
            </w:tcBorders>
            <w:shd w:val="clear" w:color="auto" w:fill="auto"/>
            <w:vAlign w:val="center"/>
          </w:tcPr>
          <w:p w14:paraId="15EBFE70">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挥发性酚类</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43BBBCD5">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≤0.002</w:t>
            </w:r>
          </w:p>
        </w:tc>
        <w:tc>
          <w:tcPr>
            <w:tcW w:w="579" w:type="pct"/>
            <w:tcBorders>
              <w:tl2br w:val="nil"/>
              <w:tr2bl w:val="nil"/>
            </w:tcBorders>
            <w:shd w:val="clear" w:color="auto" w:fill="auto"/>
            <w:vAlign w:val="center"/>
          </w:tcPr>
          <w:p w14:paraId="454CF59C">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27</w:t>
            </w:r>
          </w:p>
        </w:tc>
        <w:tc>
          <w:tcPr>
            <w:tcW w:w="921" w:type="pct"/>
            <w:tcBorders>
              <w:tl2br w:val="nil"/>
              <w:tr2bl w:val="nil"/>
            </w:tcBorders>
            <w:shd w:val="clear" w:color="auto" w:fill="auto"/>
            <w:vAlign w:val="center"/>
          </w:tcPr>
          <w:p w14:paraId="2FFBB80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铅</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shd w:val="clear" w:color="auto" w:fill="auto"/>
            <w:vAlign w:val="center"/>
          </w:tcPr>
          <w:p w14:paraId="1032887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≤0.01</w:t>
            </w:r>
          </w:p>
        </w:tc>
      </w:tr>
      <w:tr w14:paraId="71A1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3C042B2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12</w:t>
            </w:r>
          </w:p>
        </w:tc>
        <w:tc>
          <w:tcPr>
            <w:tcW w:w="1234" w:type="pct"/>
            <w:tcBorders>
              <w:tl2br w:val="nil"/>
              <w:tr2bl w:val="nil"/>
            </w:tcBorders>
            <w:shd w:val="clear" w:color="auto" w:fill="auto"/>
            <w:vAlign w:val="center"/>
          </w:tcPr>
          <w:p w14:paraId="3A4F6FE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硝酸盐</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32FED327">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≤20.0</w:t>
            </w:r>
          </w:p>
        </w:tc>
        <w:tc>
          <w:tcPr>
            <w:tcW w:w="579" w:type="pct"/>
            <w:tcBorders>
              <w:tl2br w:val="nil"/>
              <w:tr2bl w:val="nil"/>
            </w:tcBorders>
            <w:vAlign w:val="center"/>
          </w:tcPr>
          <w:p w14:paraId="0573F3C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28</w:t>
            </w:r>
          </w:p>
        </w:tc>
        <w:tc>
          <w:tcPr>
            <w:tcW w:w="921" w:type="pct"/>
            <w:tcBorders>
              <w:tl2br w:val="nil"/>
              <w:tr2bl w:val="nil"/>
            </w:tcBorders>
            <w:vAlign w:val="center"/>
          </w:tcPr>
          <w:p w14:paraId="65817798">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锌</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vAlign w:val="center"/>
          </w:tcPr>
          <w:p w14:paraId="595EF27D">
            <w:pPr>
              <w:pStyle w:val="768"/>
              <w:adjustRightInd w:val="0"/>
              <w:snapToGrid w:val="0"/>
              <w:spacing w:line="240" w:lineRule="auto"/>
              <w:rPr>
                <w:rFonts w:hint="default"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1</w:t>
            </w:r>
            <w:r>
              <w:rPr>
                <w:rFonts w:hint="eastAsia" w:cs="Times New Roman"/>
                <w:snapToGrid w:val="0"/>
                <w:color w:val="auto"/>
                <w:kern w:val="0"/>
                <w:sz w:val="21"/>
                <w:szCs w:val="21"/>
                <w:highlight w:val="none"/>
                <w:lang w:val="en-US" w:eastAsia="zh-CN"/>
              </w:rPr>
              <w:t>.00</w:t>
            </w:r>
          </w:p>
        </w:tc>
      </w:tr>
      <w:tr w14:paraId="1791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7F5785E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13</w:t>
            </w:r>
          </w:p>
        </w:tc>
        <w:tc>
          <w:tcPr>
            <w:tcW w:w="1234" w:type="pct"/>
            <w:tcBorders>
              <w:tl2br w:val="nil"/>
              <w:tr2bl w:val="nil"/>
            </w:tcBorders>
            <w:shd w:val="clear" w:color="auto" w:fill="auto"/>
            <w:vAlign w:val="center"/>
          </w:tcPr>
          <w:p w14:paraId="216A3A7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亚硝酸盐</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shd w:val="clear" w:color="auto" w:fill="auto"/>
            <w:vAlign w:val="center"/>
          </w:tcPr>
          <w:p w14:paraId="3E8B84B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w:t>
            </w:r>
          </w:p>
        </w:tc>
        <w:tc>
          <w:tcPr>
            <w:tcW w:w="579" w:type="pct"/>
            <w:tcBorders>
              <w:tl2br w:val="nil"/>
              <w:tr2bl w:val="nil"/>
            </w:tcBorders>
            <w:vAlign w:val="center"/>
          </w:tcPr>
          <w:p w14:paraId="1E6848DF">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29</w:t>
            </w:r>
          </w:p>
        </w:tc>
        <w:tc>
          <w:tcPr>
            <w:tcW w:w="921" w:type="pct"/>
            <w:tcBorders>
              <w:tl2br w:val="nil"/>
              <w:tr2bl w:val="nil"/>
            </w:tcBorders>
            <w:shd w:val="clear" w:color="auto" w:fill="auto"/>
            <w:vAlign w:val="center"/>
          </w:tcPr>
          <w:p w14:paraId="2E6FCC7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铁</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shd w:val="clear" w:color="auto" w:fill="auto"/>
            <w:vAlign w:val="center"/>
          </w:tcPr>
          <w:p w14:paraId="60866AD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≤0.3</w:t>
            </w:r>
          </w:p>
        </w:tc>
      </w:tr>
      <w:tr w14:paraId="48BC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21051FEE">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14</w:t>
            </w:r>
          </w:p>
        </w:tc>
        <w:tc>
          <w:tcPr>
            <w:tcW w:w="1234" w:type="pct"/>
            <w:tcBorders>
              <w:tl2br w:val="nil"/>
              <w:tr2bl w:val="nil"/>
            </w:tcBorders>
            <w:vAlign w:val="center"/>
          </w:tcPr>
          <w:p w14:paraId="587473A2">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硫酸盐</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762" w:type="pct"/>
            <w:tcBorders>
              <w:tl2br w:val="nil"/>
              <w:tr2bl w:val="nil"/>
            </w:tcBorders>
            <w:vAlign w:val="center"/>
          </w:tcPr>
          <w:p w14:paraId="7988457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≤250</w:t>
            </w:r>
          </w:p>
        </w:tc>
        <w:tc>
          <w:tcPr>
            <w:tcW w:w="579" w:type="pct"/>
            <w:tcBorders>
              <w:tl2br w:val="nil"/>
              <w:tr2bl w:val="nil"/>
            </w:tcBorders>
            <w:vAlign w:val="center"/>
          </w:tcPr>
          <w:p w14:paraId="38D2048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30</w:t>
            </w:r>
          </w:p>
        </w:tc>
        <w:tc>
          <w:tcPr>
            <w:tcW w:w="921" w:type="pct"/>
            <w:tcBorders>
              <w:tl2br w:val="nil"/>
              <w:tr2bl w:val="nil"/>
            </w:tcBorders>
            <w:vAlign w:val="center"/>
          </w:tcPr>
          <w:p w14:paraId="71C5251B">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镍</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vAlign w:val="center"/>
          </w:tcPr>
          <w:p w14:paraId="74F7FAA1">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w:t>
            </w:r>
            <w:r>
              <w:rPr>
                <w:rFonts w:hint="eastAsia" w:ascii="Times New Roman" w:hAnsi="Times New Roman" w:eastAsia="宋体" w:cs="Times New Roman"/>
                <w:snapToGrid w:val="0"/>
                <w:color w:val="auto"/>
                <w:kern w:val="0"/>
                <w:sz w:val="21"/>
                <w:szCs w:val="21"/>
                <w:highlight w:val="none"/>
              </w:rPr>
              <w:t>02</w:t>
            </w:r>
          </w:p>
        </w:tc>
      </w:tr>
      <w:tr w14:paraId="2D53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shd w:val="clear" w:color="auto" w:fill="auto"/>
            <w:vAlign w:val="center"/>
          </w:tcPr>
          <w:p w14:paraId="0C9A0BA0">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15</w:t>
            </w:r>
          </w:p>
        </w:tc>
        <w:tc>
          <w:tcPr>
            <w:tcW w:w="1234" w:type="pct"/>
            <w:tcBorders>
              <w:tl2br w:val="nil"/>
              <w:tr2bl w:val="nil"/>
            </w:tcBorders>
            <w:shd w:val="clear" w:color="auto" w:fill="auto"/>
            <w:vAlign w:val="center"/>
          </w:tcPr>
          <w:p w14:paraId="6FED437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CO</w:t>
            </w:r>
            <w:r>
              <w:rPr>
                <w:rFonts w:ascii="Times New Roman" w:hAnsi="Times New Roman" w:eastAsia="宋体" w:cs="Times New Roman"/>
                <w:snapToGrid w:val="0"/>
                <w:color w:val="auto"/>
                <w:kern w:val="0"/>
                <w:sz w:val="21"/>
                <w:szCs w:val="21"/>
                <w:highlight w:val="none"/>
                <w:vertAlign w:val="subscript"/>
              </w:rPr>
              <w:t>3</w:t>
            </w:r>
            <w:r>
              <w:rPr>
                <w:rFonts w:ascii="Times New Roman" w:hAnsi="Times New Roman" w:eastAsia="宋体" w:cs="Times New Roman"/>
                <w:snapToGrid w:val="0"/>
                <w:color w:val="auto"/>
                <w:kern w:val="0"/>
                <w:sz w:val="21"/>
                <w:szCs w:val="21"/>
                <w:highlight w:val="none"/>
                <w:vertAlign w:val="superscript"/>
              </w:rPr>
              <w:t>2-</w:t>
            </w:r>
          </w:p>
        </w:tc>
        <w:tc>
          <w:tcPr>
            <w:tcW w:w="762" w:type="pct"/>
            <w:tcBorders>
              <w:tl2br w:val="nil"/>
              <w:tr2bl w:val="nil"/>
            </w:tcBorders>
            <w:shd w:val="clear" w:color="auto" w:fill="auto"/>
            <w:vAlign w:val="center"/>
          </w:tcPr>
          <w:p w14:paraId="3098F08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579" w:type="pct"/>
            <w:tcBorders>
              <w:tl2br w:val="nil"/>
              <w:tr2bl w:val="nil"/>
            </w:tcBorders>
            <w:vAlign w:val="center"/>
          </w:tcPr>
          <w:p w14:paraId="36BD848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31</w:t>
            </w:r>
          </w:p>
        </w:tc>
        <w:tc>
          <w:tcPr>
            <w:tcW w:w="921" w:type="pct"/>
            <w:tcBorders>
              <w:tl2br w:val="nil"/>
              <w:tr2bl w:val="nil"/>
            </w:tcBorders>
            <w:shd w:val="clear" w:color="auto" w:fill="auto"/>
            <w:vAlign w:val="center"/>
          </w:tcPr>
          <w:p w14:paraId="1CADC46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汞</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shd w:val="clear" w:color="auto" w:fill="auto"/>
            <w:vAlign w:val="center"/>
          </w:tcPr>
          <w:p w14:paraId="536E4460">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≤0.001</w:t>
            </w:r>
          </w:p>
        </w:tc>
      </w:tr>
      <w:tr w14:paraId="4E68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59" w:type="pct"/>
            <w:tcBorders>
              <w:tl2br w:val="nil"/>
              <w:tr2bl w:val="nil"/>
            </w:tcBorders>
            <w:vAlign w:val="center"/>
          </w:tcPr>
          <w:p w14:paraId="64A8F0A2">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16</w:t>
            </w:r>
          </w:p>
        </w:tc>
        <w:tc>
          <w:tcPr>
            <w:tcW w:w="1234" w:type="pct"/>
            <w:tcBorders>
              <w:tl2br w:val="nil"/>
              <w:tr2bl w:val="nil"/>
            </w:tcBorders>
            <w:shd w:val="clear" w:color="auto" w:fill="auto"/>
            <w:vAlign w:val="center"/>
          </w:tcPr>
          <w:p w14:paraId="339078FD">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HCO</w:t>
            </w:r>
            <w:r>
              <w:rPr>
                <w:rFonts w:ascii="Times New Roman" w:hAnsi="Times New Roman" w:eastAsia="宋体" w:cs="Times New Roman"/>
                <w:snapToGrid w:val="0"/>
                <w:color w:val="auto"/>
                <w:kern w:val="0"/>
                <w:sz w:val="21"/>
                <w:szCs w:val="21"/>
                <w:highlight w:val="none"/>
                <w:vertAlign w:val="superscript"/>
              </w:rPr>
              <w:t>-</w:t>
            </w:r>
          </w:p>
        </w:tc>
        <w:tc>
          <w:tcPr>
            <w:tcW w:w="762" w:type="pct"/>
            <w:tcBorders>
              <w:tl2br w:val="nil"/>
              <w:tr2bl w:val="nil"/>
            </w:tcBorders>
            <w:shd w:val="clear" w:color="auto" w:fill="auto"/>
            <w:vAlign w:val="center"/>
          </w:tcPr>
          <w:p w14:paraId="22DC4E26">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579" w:type="pct"/>
            <w:tcBorders>
              <w:tl2br w:val="nil"/>
              <w:tr2bl w:val="nil"/>
            </w:tcBorders>
            <w:vAlign w:val="center"/>
          </w:tcPr>
          <w:p w14:paraId="05E86D8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32</w:t>
            </w:r>
          </w:p>
        </w:tc>
        <w:tc>
          <w:tcPr>
            <w:tcW w:w="921" w:type="pct"/>
            <w:tcBorders>
              <w:tl2br w:val="nil"/>
              <w:tr2bl w:val="nil"/>
            </w:tcBorders>
            <w:shd w:val="clear" w:color="auto" w:fill="auto"/>
            <w:vAlign w:val="center"/>
          </w:tcPr>
          <w:p w14:paraId="71CAA049">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六价铬</w:t>
            </w:r>
            <w:r>
              <w:rPr>
                <w:rFonts w:hint="default"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eastAsia="zh-CN"/>
              </w:rPr>
              <w:t>mg/L</w:t>
            </w:r>
            <w:r>
              <w:rPr>
                <w:rFonts w:hint="default" w:ascii="Times New Roman" w:hAnsi="Times New Roman" w:eastAsia="宋体" w:cs="Times New Roman"/>
                <w:snapToGrid w:val="0"/>
                <w:color w:val="auto"/>
                <w:kern w:val="0"/>
                <w:sz w:val="21"/>
                <w:szCs w:val="21"/>
                <w:highlight w:val="none"/>
              </w:rPr>
              <w:t>）</w:t>
            </w:r>
          </w:p>
        </w:tc>
        <w:tc>
          <w:tcPr>
            <w:tcW w:w="942" w:type="pct"/>
            <w:tcBorders>
              <w:tl2br w:val="nil"/>
              <w:tr2bl w:val="nil"/>
            </w:tcBorders>
            <w:shd w:val="clear" w:color="auto" w:fill="auto"/>
            <w:vAlign w:val="center"/>
          </w:tcPr>
          <w:p w14:paraId="320C1443">
            <w:pPr>
              <w:pStyle w:val="768"/>
              <w:adjustRightInd w:val="0"/>
              <w:snapToGrid w:val="0"/>
              <w:spacing w:line="240" w:lineRule="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≤0.05</w:t>
            </w:r>
          </w:p>
        </w:tc>
      </w:tr>
    </w:tbl>
    <w:p w14:paraId="5429304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default"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2.5.1.3声环境质量标准</w:t>
      </w:r>
    </w:p>
    <w:p w14:paraId="24DBD6BF">
      <w:pPr>
        <w:adjustRightInd w:val="0"/>
        <w:snapToGrid w:val="0"/>
        <w:spacing w:line="360" w:lineRule="auto"/>
        <w:ind w:firstLine="456" w:firstLineChars="200"/>
        <w:rPr>
          <w:rFonts w:hint="eastAsia" w:ascii="Times New Roman" w:hAnsi="Times New Roman" w:eastAsia="宋体" w:cs="Times New Roman"/>
          <w:snapToGrid w:val="0"/>
          <w:color w:val="auto"/>
          <w:spacing w:val="-6"/>
          <w:kern w:val="0"/>
          <w:sz w:val="24"/>
          <w:highlight w:val="none"/>
        </w:rPr>
      </w:pPr>
      <w:r>
        <w:rPr>
          <w:rFonts w:hint="eastAsia" w:ascii="Times New Roman" w:hAnsi="Times New Roman" w:eastAsia="宋体" w:cs="Times New Roman"/>
          <w:snapToGrid w:val="0"/>
          <w:color w:val="auto"/>
          <w:spacing w:val="-6"/>
          <w:kern w:val="0"/>
          <w:sz w:val="24"/>
          <w:highlight w:val="none"/>
        </w:rPr>
        <w:t>本项目位于3类声环境功能区，因此项目所在区域声环境质量执行《声环境质量标准》（</w:t>
      </w:r>
      <w:r>
        <w:rPr>
          <w:rFonts w:hint="eastAsia" w:ascii="Times New Roman" w:hAnsi="Times New Roman" w:eastAsia="宋体" w:cs="Times New Roman"/>
          <w:snapToGrid w:val="0"/>
          <w:color w:val="auto"/>
          <w:spacing w:val="-6"/>
          <w:kern w:val="0"/>
          <w:sz w:val="24"/>
          <w:highlight w:val="none"/>
          <w:lang w:eastAsia="zh-CN"/>
        </w:rPr>
        <w:t>GB 3096</w:t>
      </w:r>
      <w:r>
        <w:rPr>
          <w:rFonts w:hint="eastAsia" w:ascii="Times New Roman" w:hAnsi="Times New Roman" w:eastAsia="宋体" w:cs="Times New Roman"/>
          <w:snapToGrid w:val="0"/>
          <w:color w:val="auto"/>
          <w:spacing w:val="-6"/>
          <w:kern w:val="0"/>
          <w:sz w:val="24"/>
          <w:highlight w:val="none"/>
        </w:rPr>
        <w:t>-2008）中的3类标准，即：昼间65dB（A）、夜间55dB（A）。</w:t>
      </w:r>
    </w:p>
    <w:p w14:paraId="769C68FC">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5</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3</w:t>
      </w:r>
      <w:r>
        <w:rPr>
          <w:b/>
          <w:bCs/>
          <w:snapToGrid w:val="0"/>
          <w:color w:val="auto"/>
          <w:kern w:val="0"/>
          <w:szCs w:val="21"/>
          <w:highlight w:val="none"/>
        </w:rPr>
        <w:t xml:space="preserve"> 声环境质量标准    单位：dB（A）</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6"/>
        <w:gridCol w:w="1532"/>
        <w:gridCol w:w="1806"/>
      </w:tblGrid>
      <w:tr w14:paraId="7C74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5042" w:type="dxa"/>
            <w:tcBorders>
              <w:bottom w:val="single" w:color="auto" w:sz="4" w:space="0"/>
            </w:tcBorders>
            <w:shd w:val="clear" w:color="auto" w:fill="auto"/>
            <w:vAlign w:val="center"/>
          </w:tcPr>
          <w:p w14:paraId="52808629">
            <w:pPr>
              <w:pStyle w:val="42"/>
              <w:tabs>
                <w:tab w:val="left" w:pos="0"/>
              </w:tabs>
              <w:ind w:left="0" w:firstLine="0" w:firstLineChars="0"/>
              <w:jc w:val="center"/>
              <w:rPr>
                <w:rFonts w:eastAsia="Times New Roman"/>
                <w:snapToGrid w:val="0"/>
                <w:color w:val="auto"/>
                <w:kern w:val="0"/>
                <w:szCs w:val="21"/>
                <w:highlight w:val="none"/>
              </w:rPr>
            </w:pPr>
            <w:r>
              <w:rPr>
                <w:rFonts w:eastAsia="Times New Roman"/>
                <w:snapToGrid w:val="0"/>
                <w:color w:val="auto"/>
                <w:kern w:val="0"/>
                <w:szCs w:val="21"/>
                <w:highlight w:val="none"/>
              </w:rPr>
              <w:t>项目</w:t>
            </w:r>
          </w:p>
        </w:tc>
        <w:tc>
          <w:tcPr>
            <w:tcW w:w="1498" w:type="dxa"/>
            <w:tcBorders>
              <w:bottom w:val="single" w:color="auto" w:sz="4" w:space="0"/>
            </w:tcBorders>
            <w:shd w:val="clear" w:color="auto" w:fill="auto"/>
            <w:vAlign w:val="center"/>
          </w:tcPr>
          <w:p w14:paraId="72F4327C">
            <w:pPr>
              <w:pStyle w:val="42"/>
              <w:tabs>
                <w:tab w:val="left" w:pos="0"/>
              </w:tabs>
              <w:ind w:left="0" w:firstLine="0" w:firstLineChars="0"/>
              <w:jc w:val="center"/>
              <w:rPr>
                <w:rFonts w:eastAsia="Times New Roman"/>
                <w:snapToGrid w:val="0"/>
                <w:color w:val="auto"/>
                <w:kern w:val="0"/>
                <w:szCs w:val="21"/>
                <w:highlight w:val="none"/>
              </w:rPr>
            </w:pPr>
            <w:r>
              <w:rPr>
                <w:rFonts w:eastAsia="Times New Roman"/>
                <w:snapToGrid w:val="0"/>
                <w:color w:val="auto"/>
                <w:kern w:val="0"/>
                <w:szCs w:val="21"/>
                <w:highlight w:val="none"/>
              </w:rPr>
              <w:t>昼间</w:t>
            </w:r>
          </w:p>
        </w:tc>
        <w:tc>
          <w:tcPr>
            <w:tcW w:w="1766" w:type="dxa"/>
            <w:tcBorders>
              <w:bottom w:val="single" w:color="auto" w:sz="4" w:space="0"/>
            </w:tcBorders>
            <w:shd w:val="clear" w:color="auto" w:fill="auto"/>
            <w:vAlign w:val="center"/>
          </w:tcPr>
          <w:p w14:paraId="29977EEA">
            <w:pPr>
              <w:pStyle w:val="42"/>
              <w:tabs>
                <w:tab w:val="left" w:pos="0"/>
              </w:tabs>
              <w:ind w:left="0" w:firstLine="0" w:firstLineChars="0"/>
              <w:jc w:val="center"/>
              <w:rPr>
                <w:rFonts w:eastAsia="Times New Roman"/>
                <w:snapToGrid w:val="0"/>
                <w:color w:val="auto"/>
                <w:kern w:val="0"/>
                <w:szCs w:val="21"/>
                <w:highlight w:val="none"/>
              </w:rPr>
            </w:pPr>
            <w:r>
              <w:rPr>
                <w:rFonts w:eastAsia="Times New Roman"/>
                <w:snapToGrid w:val="0"/>
                <w:color w:val="auto"/>
                <w:kern w:val="0"/>
                <w:szCs w:val="21"/>
                <w:highlight w:val="none"/>
              </w:rPr>
              <w:t>夜间</w:t>
            </w:r>
          </w:p>
        </w:tc>
      </w:tr>
      <w:tr w14:paraId="6072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5042" w:type="dxa"/>
            <w:shd w:val="clear" w:color="auto" w:fill="auto"/>
            <w:vAlign w:val="center"/>
          </w:tcPr>
          <w:p w14:paraId="17CB6862">
            <w:pPr>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《声环境质量标准》（GB3096-2008）中的</w:t>
            </w:r>
            <w:r>
              <w:rPr>
                <w:rFonts w:hint="eastAsia" w:eastAsia="Times New Roman"/>
                <w:snapToGrid w:val="0"/>
                <w:color w:val="auto"/>
                <w:kern w:val="0"/>
                <w:szCs w:val="21"/>
                <w:highlight w:val="none"/>
              </w:rPr>
              <w:t>3</w:t>
            </w:r>
            <w:r>
              <w:rPr>
                <w:rFonts w:eastAsia="Times New Roman"/>
                <w:snapToGrid w:val="0"/>
                <w:color w:val="auto"/>
                <w:kern w:val="0"/>
                <w:szCs w:val="21"/>
                <w:highlight w:val="none"/>
              </w:rPr>
              <w:t>类标准</w:t>
            </w:r>
          </w:p>
        </w:tc>
        <w:tc>
          <w:tcPr>
            <w:tcW w:w="1498" w:type="dxa"/>
            <w:shd w:val="clear" w:color="auto" w:fill="auto"/>
            <w:vAlign w:val="center"/>
          </w:tcPr>
          <w:p w14:paraId="004E6AC0">
            <w:pPr>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6</w:t>
            </w:r>
            <w:r>
              <w:rPr>
                <w:rFonts w:hint="eastAsia" w:eastAsia="Times New Roman"/>
                <w:snapToGrid w:val="0"/>
                <w:color w:val="auto"/>
                <w:kern w:val="0"/>
                <w:szCs w:val="21"/>
                <w:highlight w:val="none"/>
              </w:rPr>
              <w:t>5</w:t>
            </w:r>
          </w:p>
        </w:tc>
        <w:tc>
          <w:tcPr>
            <w:tcW w:w="1766" w:type="dxa"/>
            <w:shd w:val="clear" w:color="auto" w:fill="auto"/>
            <w:vAlign w:val="center"/>
          </w:tcPr>
          <w:p w14:paraId="46FE7AF0">
            <w:pPr>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5</w:t>
            </w:r>
            <w:r>
              <w:rPr>
                <w:rFonts w:hint="eastAsia" w:eastAsia="Times New Roman"/>
                <w:snapToGrid w:val="0"/>
                <w:color w:val="auto"/>
                <w:kern w:val="0"/>
                <w:szCs w:val="21"/>
                <w:highlight w:val="none"/>
              </w:rPr>
              <w:t>5</w:t>
            </w:r>
          </w:p>
        </w:tc>
      </w:tr>
    </w:tbl>
    <w:p w14:paraId="272696D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default"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2.5.1.4土壤环境质量标准</w:t>
      </w:r>
    </w:p>
    <w:p w14:paraId="55EDE09C">
      <w:pPr>
        <w:adjustRightInd w:val="0"/>
        <w:snapToGrid w:val="0"/>
        <w:spacing w:line="360" w:lineRule="auto"/>
        <w:ind w:firstLine="456" w:firstLineChars="200"/>
        <w:rPr>
          <w:rFonts w:hint="eastAsia" w:ascii="Times New Roman" w:hAnsi="Times New Roman" w:eastAsia="宋体" w:cs="Times New Roman"/>
          <w:snapToGrid w:val="0"/>
          <w:color w:val="auto"/>
          <w:spacing w:val="-6"/>
          <w:kern w:val="0"/>
          <w:sz w:val="24"/>
          <w:highlight w:val="none"/>
        </w:rPr>
      </w:pPr>
      <w:r>
        <w:rPr>
          <w:rFonts w:hint="eastAsia" w:ascii="Times New Roman" w:hAnsi="Times New Roman" w:eastAsia="宋体" w:cs="Times New Roman"/>
          <w:snapToGrid w:val="0"/>
          <w:color w:val="auto"/>
          <w:spacing w:val="-6"/>
          <w:kern w:val="0"/>
          <w:sz w:val="24"/>
          <w:highlight w:val="none"/>
        </w:rPr>
        <w:t>本项目所在区域土壤环境质量执行《土壤环境质量 建设用地土壤污染风险管控标准（试行）》（</w:t>
      </w:r>
      <w:r>
        <w:rPr>
          <w:rFonts w:hint="eastAsia" w:ascii="Times New Roman" w:hAnsi="Times New Roman" w:eastAsia="宋体" w:cs="Times New Roman"/>
          <w:snapToGrid w:val="0"/>
          <w:color w:val="auto"/>
          <w:spacing w:val="-6"/>
          <w:kern w:val="0"/>
          <w:sz w:val="24"/>
          <w:highlight w:val="none"/>
          <w:lang w:eastAsia="zh-CN"/>
        </w:rPr>
        <w:t>GB 36600</w:t>
      </w:r>
      <w:r>
        <w:rPr>
          <w:rFonts w:hint="eastAsia" w:ascii="Times New Roman" w:hAnsi="Times New Roman" w:eastAsia="宋体" w:cs="Times New Roman"/>
          <w:snapToGrid w:val="0"/>
          <w:color w:val="auto"/>
          <w:spacing w:val="-6"/>
          <w:kern w:val="0"/>
          <w:sz w:val="24"/>
          <w:highlight w:val="none"/>
        </w:rPr>
        <w:t>-2018）中第二类用地标准的筛选值，具体见表2.</w:t>
      </w:r>
      <w:r>
        <w:rPr>
          <w:rFonts w:hint="eastAsia" w:ascii="Times New Roman" w:hAnsi="Times New Roman" w:eastAsia="宋体" w:cs="Times New Roman"/>
          <w:snapToGrid w:val="0"/>
          <w:color w:val="auto"/>
          <w:spacing w:val="-6"/>
          <w:kern w:val="0"/>
          <w:sz w:val="24"/>
          <w:highlight w:val="none"/>
          <w:lang w:val="en-US" w:eastAsia="zh-CN"/>
        </w:rPr>
        <w:t>5</w:t>
      </w:r>
      <w:r>
        <w:rPr>
          <w:rFonts w:hint="eastAsia" w:ascii="Times New Roman" w:hAnsi="Times New Roman" w:eastAsia="宋体" w:cs="Times New Roman"/>
          <w:snapToGrid w:val="0"/>
          <w:color w:val="auto"/>
          <w:spacing w:val="-6"/>
          <w:kern w:val="0"/>
          <w:sz w:val="24"/>
          <w:highlight w:val="none"/>
        </w:rPr>
        <w:t>-</w:t>
      </w:r>
      <w:r>
        <w:rPr>
          <w:rFonts w:hint="eastAsia" w:ascii="Times New Roman" w:hAnsi="Times New Roman" w:eastAsia="宋体" w:cs="Times New Roman"/>
          <w:snapToGrid w:val="0"/>
          <w:color w:val="auto"/>
          <w:spacing w:val="-6"/>
          <w:kern w:val="0"/>
          <w:sz w:val="24"/>
          <w:highlight w:val="none"/>
          <w:lang w:val="en-US" w:eastAsia="zh-CN"/>
        </w:rPr>
        <w:t>4</w:t>
      </w:r>
      <w:r>
        <w:rPr>
          <w:rFonts w:hint="eastAsia" w:ascii="Times New Roman" w:hAnsi="Times New Roman" w:eastAsia="宋体" w:cs="Times New Roman"/>
          <w:snapToGrid w:val="0"/>
          <w:color w:val="auto"/>
          <w:spacing w:val="-6"/>
          <w:kern w:val="0"/>
          <w:sz w:val="24"/>
          <w:highlight w:val="none"/>
        </w:rPr>
        <w:t>。</w:t>
      </w:r>
    </w:p>
    <w:p w14:paraId="6D007557">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5</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4</w:t>
      </w:r>
      <w:r>
        <w:rPr>
          <w:b/>
          <w:bCs/>
          <w:snapToGrid w:val="0"/>
          <w:color w:val="auto"/>
          <w:kern w:val="0"/>
          <w:szCs w:val="21"/>
          <w:highlight w:val="none"/>
        </w:rPr>
        <w:t xml:space="preserve"> 土壤环境</w:t>
      </w:r>
      <w:r>
        <w:rPr>
          <w:rFonts w:hint="eastAsia"/>
          <w:b/>
          <w:bCs/>
          <w:snapToGrid w:val="0"/>
          <w:color w:val="auto"/>
          <w:kern w:val="0"/>
          <w:szCs w:val="21"/>
          <w:highlight w:val="none"/>
          <w:lang w:eastAsia="zh-CN"/>
        </w:rPr>
        <w:t>质量标准</w:t>
      </w:r>
      <w:r>
        <w:rPr>
          <w:rFonts w:hint="eastAsia"/>
          <w:b/>
          <w:bCs/>
          <w:snapToGrid w:val="0"/>
          <w:color w:val="auto"/>
          <w:kern w:val="0"/>
          <w:szCs w:val="21"/>
          <w:highlight w:val="none"/>
        </w:rPr>
        <w:t>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7"/>
        <w:gridCol w:w="2149"/>
        <w:gridCol w:w="1614"/>
        <w:gridCol w:w="468"/>
        <w:gridCol w:w="1973"/>
        <w:gridCol w:w="1614"/>
      </w:tblGrid>
      <w:tr w14:paraId="3F23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282" w:type="pct"/>
            <w:tcBorders>
              <w:tl2br w:val="nil"/>
              <w:tr2bl w:val="nil"/>
            </w:tcBorders>
            <w:vAlign w:val="center"/>
          </w:tcPr>
          <w:p w14:paraId="0219187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序号</w:t>
            </w:r>
          </w:p>
        </w:tc>
        <w:tc>
          <w:tcPr>
            <w:tcW w:w="1296" w:type="pct"/>
            <w:tcBorders>
              <w:tl2br w:val="nil"/>
              <w:tr2bl w:val="nil"/>
            </w:tcBorders>
            <w:vAlign w:val="center"/>
          </w:tcPr>
          <w:p w14:paraId="617CD78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污染物项目</w:t>
            </w:r>
          </w:p>
        </w:tc>
        <w:tc>
          <w:tcPr>
            <w:tcW w:w="973" w:type="pct"/>
            <w:tcBorders>
              <w:tl2br w:val="nil"/>
              <w:tr2bl w:val="nil"/>
            </w:tcBorders>
            <w:vAlign w:val="center"/>
          </w:tcPr>
          <w:p w14:paraId="53748CA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筛选值</w:t>
            </w:r>
          </w:p>
          <w:p w14:paraId="2152573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（第二类</w:t>
            </w:r>
            <w:r>
              <w:rPr>
                <w:rFonts w:hint="eastAsia" w:ascii="Times New Roman" w:hAnsi="Times New Roman" w:eastAsia="宋体" w:cs="Times New Roman"/>
                <w:snapToGrid w:val="0"/>
                <w:color w:val="auto"/>
                <w:kern w:val="0"/>
                <w:szCs w:val="21"/>
                <w:highlight w:val="none"/>
                <w:lang w:val="en-US" w:eastAsia="zh-CN"/>
              </w:rPr>
              <w:t>用地</w:t>
            </w:r>
            <w:r>
              <w:rPr>
                <w:rFonts w:ascii="Times New Roman" w:hAnsi="Times New Roman" w:eastAsia="宋体" w:cs="Times New Roman"/>
                <w:snapToGrid w:val="0"/>
                <w:color w:val="auto"/>
                <w:kern w:val="0"/>
                <w:szCs w:val="21"/>
                <w:highlight w:val="none"/>
              </w:rPr>
              <w:t>）</w:t>
            </w:r>
          </w:p>
        </w:tc>
        <w:tc>
          <w:tcPr>
            <w:tcW w:w="282" w:type="pct"/>
            <w:tcBorders>
              <w:tl2br w:val="nil"/>
              <w:tr2bl w:val="nil"/>
            </w:tcBorders>
            <w:vAlign w:val="center"/>
          </w:tcPr>
          <w:p w14:paraId="120B9A3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序号</w:t>
            </w:r>
          </w:p>
        </w:tc>
        <w:tc>
          <w:tcPr>
            <w:tcW w:w="1190" w:type="pct"/>
            <w:tcBorders>
              <w:tl2br w:val="nil"/>
              <w:tr2bl w:val="nil"/>
            </w:tcBorders>
            <w:vAlign w:val="center"/>
          </w:tcPr>
          <w:p w14:paraId="1779E48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污染物项目</w:t>
            </w:r>
          </w:p>
        </w:tc>
        <w:tc>
          <w:tcPr>
            <w:tcW w:w="973" w:type="pct"/>
            <w:tcBorders>
              <w:tl2br w:val="nil"/>
              <w:tr2bl w:val="nil"/>
            </w:tcBorders>
            <w:vAlign w:val="center"/>
          </w:tcPr>
          <w:p w14:paraId="623FCF0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筛选值</w:t>
            </w:r>
          </w:p>
          <w:p w14:paraId="4B7E32C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（第二类</w:t>
            </w:r>
            <w:r>
              <w:rPr>
                <w:rFonts w:hint="eastAsia" w:ascii="Times New Roman" w:hAnsi="Times New Roman" w:eastAsia="宋体" w:cs="Times New Roman"/>
                <w:snapToGrid w:val="0"/>
                <w:color w:val="auto"/>
                <w:kern w:val="0"/>
                <w:szCs w:val="21"/>
                <w:highlight w:val="none"/>
                <w:lang w:val="en-US" w:eastAsia="zh-CN"/>
              </w:rPr>
              <w:t>用地</w:t>
            </w:r>
            <w:r>
              <w:rPr>
                <w:rFonts w:ascii="Times New Roman" w:hAnsi="Times New Roman" w:eastAsia="宋体" w:cs="Times New Roman"/>
                <w:snapToGrid w:val="0"/>
                <w:color w:val="auto"/>
                <w:kern w:val="0"/>
                <w:szCs w:val="21"/>
                <w:highlight w:val="none"/>
              </w:rPr>
              <w:t>）</w:t>
            </w:r>
          </w:p>
        </w:tc>
      </w:tr>
      <w:tr w14:paraId="6B3E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15BDCCE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p>
        </w:tc>
        <w:tc>
          <w:tcPr>
            <w:tcW w:w="1296" w:type="pct"/>
            <w:tcBorders>
              <w:tl2br w:val="nil"/>
              <w:tr2bl w:val="nil"/>
            </w:tcBorders>
            <w:vAlign w:val="center"/>
          </w:tcPr>
          <w:p w14:paraId="138328A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砷</w:t>
            </w:r>
          </w:p>
        </w:tc>
        <w:tc>
          <w:tcPr>
            <w:tcW w:w="973" w:type="pct"/>
            <w:tcBorders>
              <w:tl2br w:val="nil"/>
              <w:tr2bl w:val="nil"/>
            </w:tcBorders>
            <w:vAlign w:val="center"/>
          </w:tcPr>
          <w:p w14:paraId="5B2124E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60</w:t>
            </w:r>
          </w:p>
        </w:tc>
        <w:tc>
          <w:tcPr>
            <w:tcW w:w="282" w:type="pct"/>
            <w:tcBorders>
              <w:tl2br w:val="nil"/>
              <w:tr2bl w:val="nil"/>
            </w:tcBorders>
          </w:tcPr>
          <w:p w14:paraId="49E2180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25</w:t>
            </w:r>
          </w:p>
        </w:tc>
        <w:tc>
          <w:tcPr>
            <w:tcW w:w="1190" w:type="pct"/>
            <w:tcBorders>
              <w:tl2br w:val="nil"/>
              <w:tr2bl w:val="nil"/>
            </w:tcBorders>
            <w:vAlign w:val="center"/>
          </w:tcPr>
          <w:p w14:paraId="5925CD9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氯乙烯</w:t>
            </w:r>
          </w:p>
        </w:tc>
        <w:tc>
          <w:tcPr>
            <w:tcW w:w="973" w:type="pct"/>
            <w:tcBorders>
              <w:tl2br w:val="nil"/>
              <w:tr2bl w:val="nil"/>
            </w:tcBorders>
          </w:tcPr>
          <w:p w14:paraId="00F59F7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0.43</w:t>
            </w:r>
          </w:p>
        </w:tc>
      </w:tr>
      <w:tr w14:paraId="6E67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1D2C877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w:t>
            </w:r>
          </w:p>
        </w:tc>
        <w:tc>
          <w:tcPr>
            <w:tcW w:w="1296" w:type="pct"/>
            <w:tcBorders>
              <w:tl2br w:val="nil"/>
              <w:tr2bl w:val="nil"/>
            </w:tcBorders>
            <w:vAlign w:val="center"/>
          </w:tcPr>
          <w:p w14:paraId="5D1565B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镉</w:t>
            </w:r>
          </w:p>
        </w:tc>
        <w:tc>
          <w:tcPr>
            <w:tcW w:w="973" w:type="pct"/>
            <w:tcBorders>
              <w:tl2br w:val="nil"/>
              <w:tr2bl w:val="nil"/>
            </w:tcBorders>
            <w:vAlign w:val="center"/>
          </w:tcPr>
          <w:p w14:paraId="5EC9C34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65</w:t>
            </w:r>
          </w:p>
        </w:tc>
        <w:tc>
          <w:tcPr>
            <w:tcW w:w="282" w:type="pct"/>
            <w:tcBorders>
              <w:tl2br w:val="nil"/>
              <w:tr2bl w:val="nil"/>
            </w:tcBorders>
          </w:tcPr>
          <w:p w14:paraId="73080A3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26</w:t>
            </w:r>
          </w:p>
        </w:tc>
        <w:tc>
          <w:tcPr>
            <w:tcW w:w="1190" w:type="pct"/>
            <w:tcBorders>
              <w:tl2br w:val="nil"/>
              <w:tr2bl w:val="nil"/>
            </w:tcBorders>
            <w:vAlign w:val="center"/>
          </w:tcPr>
          <w:p w14:paraId="6903BB0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w:t>
            </w:r>
          </w:p>
        </w:tc>
        <w:tc>
          <w:tcPr>
            <w:tcW w:w="973" w:type="pct"/>
            <w:tcBorders>
              <w:tl2br w:val="nil"/>
              <w:tr2bl w:val="nil"/>
            </w:tcBorders>
          </w:tcPr>
          <w:p w14:paraId="12834B1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w:t>
            </w:r>
          </w:p>
        </w:tc>
      </w:tr>
      <w:tr w14:paraId="7314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36EA8F4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w:t>
            </w:r>
          </w:p>
        </w:tc>
        <w:tc>
          <w:tcPr>
            <w:tcW w:w="1296" w:type="pct"/>
            <w:tcBorders>
              <w:tl2br w:val="nil"/>
              <w:tr2bl w:val="nil"/>
            </w:tcBorders>
            <w:vAlign w:val="center"/>
          </w:tcPr>
          <w:p w14:paraId="66D400A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铬（六价）</w:t>
            </w:r>
          </w:p>
        </w:tc>
        <w:tc>
          <w:tcPr>
            <w:tcW w:w="973" w:type="pct"/>
            <w:tcBorders>
              <w:tl2br w:val="nil"/>
              <w:tr2bl w:val="nil"/>
            </w:tcBorders>
            <w:vAlign w:val="center"/>
          </w:tcPr>
          <w:p w14:paraId="5687DB3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5.7</w:t>
            </w:r>
          </w:p>
        </w:tc>
        <w:tc>
          <w:tcPr>
            <w:tcW w:w="282" w:type="pct"/>
            <w:tcBorders>
              <w:tl2br w:val="nil"/>
              <w:tr2bl w:val="nil"/>
            </w:tcBorders>
          </w:tcPr>
          <w:p w14:paraId="614EDC0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27</w:t>
            </w:r>
          </w:p>
        </w:tc>
        <w:tc>
          <w:tcPr>
            <w:tcW w:w="1190" w:type="pct"/>
            <w:tcBorders>
              <w:tl2br w:val="nil"/>
              <w:tr2bl w:val="nil"/>
            </w:tcBorders>
            <w:vAlign w:val="center"/>
          </w:tcPr>
          <w:p w14:paraId="59C8ECD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氯苯</w:t>
            </w:r>
          </w:p>
        </w:tc>
        <w:tc>
          <w:tcPr>
            <w:tcW w:w="973" w:type="pct"/>
            <w:tcBorders>
              <w:tl2br w:val="nil"/>
              <w:tr2bl w:val="nil"/>
            </w:tcBorders>
          </w:tcPr>
          <w:p w14:paraId="4545093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270</w:t>
            </w:r>
          </w:p>
        </w:tc>
      </w:tr>
      <w:tr w14:paraId="5CAB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3117230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w:t>
            </w:r>
          </w:p>
        </w:tc>
        <w:tc>
          <w:tcPr>
            <w:tcW w:w="1296" w:type="pct"/>
            <w:tcBorders>
              <w:tl2br w:val="nil"/>
              <w:tr2bl w:val="nil"/>
            </w:tcBorders>
            <w:vAlign w:val="center"/>
          </w:tcPr>
          <w:p w14:paraId="5D7BAC3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铜</w:t>
            </w:r>
          </w:p>
        </w:tc>
        <w:tc>
          <w:tcPr>
            <w:tcW w:w="973" w:type="pct"/>
            <w:tcBorders>
              <w:tl2br w:val="nil"/>
              <w:tr2bl w:val="nil"/>
            </w:tcBorders>
            <w:vAlign w:val="center"/>
          </w:tcPr>
          <w:p w14:paraId="5435F3F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18000</w:t>
            </w:r>
          </w:p>
        </w:tc>
        <w:tc>
          <w:tcPr>
            <w:tcW w:w="282" w:type="pct"/>
            <w:tcBorders>
              <w:tl2br w:val="nil"/>
              <w:tr2bl w:val="nil"/>
            </w:tcBorders>
          </w:tcPr>
          <w:p w14:paraId="539E898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28</w:t>
            </w:r>
          </w:p>
        </w:tc>
        <w:tc>
          <w:tcPr>
            <w:tcW w:w="1190" w:type="pct"/>
            <w:tcBorders>
              <w:tl2br w:val="nil"/>
              <w:tr2bl w:val="nil"/>
            </w:tcBorders>
            <w:vAlign w:val="center"/>
          </w:tcPr>
          <w:p w14:paraId="5562A49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2-二氯苯</w:t>
            </w:r>
          </w:p>
        </w:tc>
        <w:tc>
          <w:tcPr>
            <w:tcW w:w="973" w:type="pct"/>
            <w:tcBorders>
              <w:tl2br w:val="nil"/>
              <w:tr2bl w:val="nil"/>
            </w:tcBorders>
          </w:tcPr>
          <w:p w14:paraId="7B32A7E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560</w:t>
            </w:r>
          </w:p>
        </w:tc>
      </w:tr>
      <w:tr w14:paraId="1BA6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6B7C1D7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w:t>
            </w:r>
          </w:p>
        </w:tc>
        <w:tc>
          <w:tcPr>
            <w:tcW w:w="1296" w:type="pct"/>
            <w:tcBorders>
              <w:tl2br w:val="nil"/>
              <w:tr2bl w:val="nil"/>
            </w:tcBorders>
            <w:vAlign w:val="center"/>
          </w:tcPr>
          <w:p w14:paraId="5EF694D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铅</w:t>
            </w:r>
          </w:p>
        </w:tc>
        <w:tc>
          <w:tcPr>
            <w:tcW w:w="973" w:type="pct"/>
            <w:tcBorders>
              <w:tl2br w:val="nil"/>
              <w:tr2bl w:val="nil"/>
            </w:tcBorders>
            <w:vAlign w:val="center"/>
          </w:tcPr>
          <w:p w14:paraId="6D9D417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800</w:t>
            </w:r>
          </w:p>
        </w:tc>
        <w:tc>
          <w:tcPr>
            <w:tcW w:w="282" w:type="pct"/>
            <w:tcBorders>
              <w:tl2br w:val="nil"/>
              <w:tr2bl w:val="nil"/>
            </w:tcBorders>
          </w:tcPr>
          <w:p w14:paraId="5780681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29</w:t>
            </w:r>
          </w:p>
        </w:tc>
        <w:tc>
          <w:tcPr>
            <w:tcW w:w="1190" w:type="pct"/>
            <w:tcBorders>
              <w:tl2br w:val="nil"/>
              <w:tr2bl w:val="nil"/>
            </w:tcBorders>
            <w:vAlign w:val="center"/>
          </w:tcPr>
          <w:p w14:paraId="5D3FCB7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4-二氯苯</w:t>
            </w:r>
          </w:p>
        </w:tc>
        <w:tc>
          <w:tcPr>
            <w:tcW w:w="973" w:type="pct"/>
            <w:tcBorders>
              <w:tl2br w:val="nil"/>
              <w:tr2bl w:val="nil"/>
            </w:tcBorders>
          </w:tcPr>
          <w:p w14:paraId="0C5AE26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20</w:t>
            </w:r>
          </w:p>
        </w:tc>
      </w:tr>
      <w:tr w14:paraId="11F1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6263039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w:t>
            </w:r>
          </w:p>
        </w:tc>
        <w:tc>
          <w:tcPr>
            <w:tcW w:w="1296" w:type="pct"/>
            <w:tcBorders>
              <w:tl2br w:val="nil"/>
              <w:tr2bl w:val="nil"/>
            </w:tcBorders>
            <w:vAlign w:val="center"/>
          </w:tcPr>
          <w:p w14:paraId="593E0E5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汞</w:t>
            </w:r>
          </w:p>
        </w:tc>
        <w:tc>
          <w:tcPr>
            <w:tcW w:w="973" w:type="pct"/>
            <w:tcBorders>
              <w:tl2br w:val="nil"/>
              <w:tr2bl w:val="nil"/>
            </w:tcBorders>
            <w:vAlign w:val="center"/>
          </w:tcPr>
          <w:p w14:paraId="50A8D2A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38</w:t>
            </w:r>
          </w:p>
        </w:tc>
        <w:tc>
          <w:tcPr>
            <w:tcW w:w="282" w:type="pct"/>
            <w:tcBorders>
              <w:tl2br w:val="nil"/>
              <w:tr2bl w:val="nil"/>
            </w:tcBorders>
          </w:tcPr>
          <w:p w14:paraId="2C99834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30</w:t>
            </w:r>
          </w:p>
        </w:tc>
        <w:tc>
          <w:tcPr>
            <w:tcW w:w="1190" w:type="pct"/>
            <w:tcBorders>
              <w:tl2br w:val="nil"/>
              <w:tr2bl w:val="nil"/>
            </w:tcBorders>
            <w:vAlign w:val="center"/>
          </w:tcPr>
          <w:p w14:paraId="5FE235B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乙苯</w:t>
            </w:r>
          </w:p>
        </w:tc>
        <w:tc>
          <w:tcPr>
            <w:tcW w:w="973" w:type="pct"/>
            <w:tcBorders>
              <w:tl2br w:val="nil"/>
              <w:tr2bl w:val="nil"/>
            </w:tcBorders>
          </w:tcPr>
          <w:p w14:paraId="4AA062D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28</w:t>
            </w:r>
          </w:p>
        </w:tc>
      </w:tr>
      <w:tr w14:paraId="471C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6211CBF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7</w:t>
            </w:r>
          </w:p>
        </w:tc>
        <w:tc>
          <w:tcPr>
            <w:tcW w:w="1296" w:type="pct"/>
            <w:tcBorders>
              <w:tl2br w:val="nil"/>
              <w:tr2bl w:val="nil"/>
            </w:tcBorders>
            <w:vAlign w:val="center"/>
          </w:tcPr>
          <w:p w14:paraId="45F7867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镍</w:t>
            </w:r>
          </w:p>
        </w:tc>
        <w:tc>
          <w:tcPr>
            <w:tcW w:w="973" w:type="pct"/>
            <w:tcBorders>
              <w:tl2br w:val="nil"/>
              <w:tr2bl w:val="nil"/>
            </w:tcBorders>
            <w:vAlign w:val="center"/>
          </w:tcPr>
          <w:p w14:paraId="1BF1EAC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900</w:t>
            </w:r>
          </w:p>
        </w:tc>
        <w:tc>
          <w:tcPr>
            <w:tcW w:w="282" w:type="pct"/>
            <w:tcBorders>
              <w:tl2br w:val="nil"/>
              <w:tr2bl w:val="nil"/>
            </w:tcBorders>
          </w:tcPr>
          <w:p w14:paraId="3D5421E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31</w:t>
            </w:r>
          </w:p>
        </w:tc>
        <w:tc>
          <w:tcPr>
            <w:tcW w:w="1190" w:type="pct"/>
            <w:tcBorders>
              <w:tl2br w:val="nil"/>
              <w:tr2bl w:val="nil"/>
            </w:tcBorders>
            <w:vAlign w:val="center"/>
          </w:tcPr>
          <w:p w14:paraId="30C53AA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苯乙烯</w:t>
            </w:r>
          </w:p>
        </w:tc>
        <w:tc>
          <w:tcPr>
            <w:tcW w:w="973" w:type="pct"/>
            <w:tcBorders>
              <w:tl2br w:val="nil"/>
              <w:tr2bl w:val="nil"/>
            </w:tcBorders>
          </w:tcPr>
          <w:p w14:paraId="0A5D63F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1290</w:t>
            </w:r>
          </w:p>
        </w:tc>
      </w:tr>
      <w:tr w14:paraId="6A48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0E49AE3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8</w:t>
            </w:r>
          </w:p>
        </w:tc>
        <w:tc>
          <w:tcPr>
            <w:tcW w:w="1296" w:type="pct"/>
            <w:tcBorders>
              <w:tl2br w:val="nil"/>
              <w:tr2bl w:val="nil"/>
            </w:tcBorders>
            <w:vAlign w:val="center"/>
          </w:tcPr>
          <w:p w14:paraId="1BB6B28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四氯化碳</w:t>
            </w:r>
          </w:p>
        </w:tc>
        <w:tc>
          <w:tcPr>
            <w:tcW w:w="973" w:type="pct"/>
            <w:tcBorders>
              <w:tl2br w:val="nil"/>
              <w:tr2bl w:val="nil"/>
            </w:tcBorders>
            <w:vAlign w:val="center"/>
          </w:tcPr>
          <w:p w14:paraId="016E7AF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2.8</w:t>
            </w:r>
          </w:p>
        </w:tc>
        <w:tc>
          <w:tcPr>
            <w:tcW w:w="282" w:type="pct"/>
            <w:tcBorders>
              <w:tl2br w:val="nil"/>
              <w:tr2bl w:val="nil"/>
            </w:tcBorders>
          </w:tcPr>
          <w:p w14:paraId="68C4829B">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32</w:t>
            </w:r>
          </w:p>
        </w:tc>
        <w:tc>
          <w:tcPr>
            <w:tcW w:w="1190" w:type="pct"/>
            <w:tcBorders>
              <w:tl2br w:val="nil"/>
              <w:tr2bl w:val="nil"/>
            </w:tcBorders>
            <w:vAlign w:val="center"/>
          </w:tcPr>
          <w:p w14:paraId="5300201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甲苯</w:t>
            </w:r>
          </w:p>
        </w:tc>
        <w:tc>
          <w:tcPr>
            <w:tcW w:w="973" w:type="pct"/>
            <w:tcBorders>
              <w:tl2br w:val="nil"/>
              <w:tr2bl w:val="nil"/>
            </w:tcBorders>
          </w:tcPr>
          <w:p w14:paraId="6AE9A5C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1200</w:t>
            </w:r>
          </w:p>
        </w:tc>
      </w:tr>
      <w:tr w14:paraId="3D51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64A5842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9</w:t>
            </w:r>
          </w:p>
        </w:tc>
        <w:tc>
          <w:tcPr>
            <w:tcW w:w="1296" w:type="pct"/>
            <w:tcBorders>
              <w:tl2br w:val="nil"/>
              <w:tr2bl w:val="nil"/>
            </w:tcBorders>
            <w:vAlign w:val="center"/>
          </w:tcPr>
          <w:p w14:paraId="17D0E50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氯仿</w:t>
            </w:r>
          </w:p>
        </w:tc>
        <w:tc>
          <w:tcPr>
            <w:tcW w:w="973" w:type="pct"/>
            <w:tcBorders>
              <w:tl2br w:val="nil"/>
              <w:tr2bl w:val="nil"/>
            </w:tcBorders>
            <w:vAlign w:val="center"/>
          </w:tcPr>
          <w:p w14:paraId="26D7D84B">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0.9</w:t>
            </w:r>
          </w:p>
        </w:tc>
        <w:tc>
          <w:tcPr>
            <w:tcW w:w="282" w:type="pct"/>
            <w:tcBorders>
              <w:tl2br w:val="nil"/>
              <w:tr2bl w:val="nil"/>
            </w:tcBorders>
          </w:tcPr>
          <w:p w14:paraId="2FE13DE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33</w:t>
            </w:r>
          </w:p>
        </w:tc>
        <w:tc>
          <w:tcPr>
            <w:tcW w:w="1190" w:type="pct"/>
            <w:tcBorders>
              <w:tl2br w:val="nil"/>
              <w:tr2bl w:val="nil"/>
            </w:tcBorders>
            <w:vAlign w:val="center"/>
          </w:tcPr>
          <w:p w14:paraId="470D2E1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间二甲苯+对二甲苯</w:t>
            </w:r>
          </w:p>
        </w:tc>
        <w:tc>
          <w:tcPr>
            <w:tcW w:w="973" w:type="pct"/>
            <w:tcBorders>
              <w:tl2br w:val="nil"/>
              <w:tr2bl w:val="nil"/>
            </w:tcBorders>
          </w:tcPr>
          <w:p w14:paraId="48D3930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570</w:t>
            </w:r>
          </w:p>
        </w:tc>
      </w:tr>
      <w:tr w14:paraId="49D7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7E7DFB4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10</w:t>
            </w:r>
          </w:p>
        </w:tc>
        <w:tc>
          <w:tcPr>
            <w:tcW w:w="1296" w:type="pct"/>
            <w:tcBorders>
              <w:tl2br w:val="nil"/>
              <w:tr2bl w:val="nil"/>
            </w:tcBorders>
            <w:vAlign w:val="center"/>
          </w:tcPr>
          <w:p w14:paraId="27F77FE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氯甲烷</w:t>
            </w:r>
          </w:p>
        </w:tc>
        <w:tc>
          <w:tcPr>
            <w:tcW w:w="973" w:type="pct"/>
            <w:tcBorders>
              <w:tl2br w:val="nil"/>
              <w:tr2bl w:val="nil"/>
            </w:tcBorders>
            <w:vAlign w:val="center"/>
          </w:tcPr>
          <w:p w14:paraId="5D6F5F9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37</w:t>
            </w:r>
          </w:p>
        </w:tc>
        <w:tc>
          <w:tcPr>
            <w:tcW w:w="282" w:type="pct"/>
            <w:tcBorders>
              <w:tl2br w:val="nil"/>
              <w:tr2bl w:val="nil"/>
            </w:tcBorders>
          </w:tcPr>
          <w:p w14:paraId="6D68032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34</w:t>
            </w:r>
          </w:p>
        </w:tc>
        <w:tc>
          <w:tcPr>
            <w:tcW w:w="1190" w:type="pct"/>
            <w:tcBorders>
              <w:tl2br w:val="nil"/>
              <w:tr2bl w:val="nil"/>
            </w:tcBorders>
            <w:vAlign w:val="center"/>
          </w:tcPr>
          <w:p w14:paraId="601915C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邻二甲苯</w:t>
            </w:r>
          </w:p>
        </w:tc>
        <w:tc>
          <w:tcPr>
            <w:tcW w:w="973" w:type="pct"/>
            <w:tcBorders>
              <w:tl2br w:val="nil"/>
              <w:tr2bl w:val="nil"/>
            </w:tcBorders>
          </w:tcPr>
          <w:p w14:paraId="7B58430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640</w:t>
            </w:r>
          </w:p>
        </w:tc>
      </w:tr>
      <w:tr w14:paraId="2569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2E253AE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11</w:t>
            </w:r>
          </w:p>
        </w:tc>
        <w:tc>
          <w:tcPr>
            <w:tcW w:w="1296" w:type="pct"/>
            <w:tcBorders>
              <w:tl2br w:val="nil"/>
              <w:tr2bl w:val="nil"/>
            </w:tcBorders>
            <w:vAlign w:val="center"/>
          </w:tcPr>
          <w:p w14:paraId="3D5AC5F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1-二氯乙烷</w:t>
            </w:r>
          </w:p>
        </w:tc>
        <w:tc>
          <w:tcPr>
            <w:tcW w:w="973" w:type="pct"/>
            <w:tcBorders>
              <w:tl2br w:val="nil"/>
              <w:tr2bl w:val="nil"/>
            </w:tcBorders>
            <w:vAlign w:val="center"/>
          </w:tcPr>
          <w:p w14:paraId="1735EC6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9</w:t>
            </w:r>
          </w:p>
        </w:tc>
        <w:tc>
          <w:tcPr>
            <w:tcW w:w="282" w:type="pct"/>
            <w:tcBorders>
              <w:tl2br w:val="nil"/>
              <w:tr2bl w:val="nil"/>
            </w:tcBorders>
          </w:tcPr>
          <w:p w14:paraId="26BACC3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35</w:t>
            </w:r>
          </w:p>
        </w:tc>
        <w:tc>
          <w:tcPr>
            <w:tcW w:w="1190" w:type="pct"/>
            <w:tcBorders>
              <w:tl2br w:val="nil"/>
              <w:tr2bl w:val="nil"/>
            </w:tcBorders>
            <w:vAlign w:val="center"/>
          </w:tcPr>
          <w:p w14:paraId="380280C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硝基苯</w:t>
            </w:r>
          </w:p>
        </w:tc>
        <w:tc>
          <w:tcPr>
            <w:tcW w:w="973" w:type="pct"/>
            <w:tcBorders>
              <w:tl2br w:val="nil"/>
              <w:tr2bl w:val="nil"/>
            </w:tcBorders>
          </w:tcPr>
          <w:p w14:paraId="69D97F6B">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76</w:t>
            </w:r>
          </w:p>
        </w:tc>
      </w:tr>
      <w:tr w14:paraId="51B3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51BEA88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12</w:t>
            </w:r>
          </w:p>
        </w:tc>
        <w:tc>
          <w:tcPr>
            <w:tcW w:w="1296" w:type="pct"/>
            <w:tcBorders>
              <w:tl2br w:val="nil"/>
              <w:tr2bl w:val="nil"/>
            </w:tcBorders>
            <w:vAlign w:val="center"/>
          </w:tcPr>
          <w:p w14:paraId="07583D3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2-二氯乙烷</w:t>
            </w:r>
          </w:p>
        </w:tc>
        <w:tc>
          <w:tcPr>
            <w:tcW w:w="973" w:type="pct"/>
            <w:tcBorders>
              <w:tl2br w:val="nil"/>
              <w:tr2bl w:val="nil"/>
            </w:tcBorders>
            <w:vAlign w:val="center"/>
          </w:tcPr>
          <w:p w14:paraId="605E55C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w:t>
            </w:r>
          </w:p>
        </w:tc>
        <w:tc>
          <w:tcPr>
            <w:tcW w:w="282" w:type="pct"/>
            <w:tcBorders>
              <w:tl2br w:val="nil"/>
              <w:tr2bl w:val="nil"/>
            </w:tcBorders>
          </w:tcPr>
          <w:p w14:paraId="4FD8DDE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36</w:t>
            </w:r>
          </w:p>
        </w:tc>
        <w:tc>
          <w:tcPr>
            <w:tcW w:w="1190" w:type="pct"/>
            <w:tcBorders>
              <w:tl2br w:val="nil"/>
              <w:tr2bl w:val="nil"/>
            </w:tcBorders>
            <w:vAlign w:val="center"/>
          </w:tcPr>
          <w:p w14:paraId="4EE624D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苯胺</w:t>
            </w:r>
          </w:p>
        </w:tc>
        <w:tc>
          <w:tcPr>
            <w:tcW w:w="973" w:type="pct"/>
            <w:tcBorders>
              <w:tl2br w:val="nil"/>
              <w:tr2bl w:val="nil"/>
            </w:tcBorders>
          </w:tcPr>
          <w:p w14:paraId="711D25E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260</w:t>
            </w:r>
          </w:p>
        </w:tc>
      </w:tr>
      <w:tr w14:paraId="0B97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7A4887D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13</w:t>
            </w:r>
          </w:p>
        </w:tc>
        <w:tc>
          <w:tcPr>
            <w:tcW w:w="1296" w:type="pct"/>
            <w:tcBorders>
              <w:tl2br w:val="nil"/>
              <w:tr2bl w:val="nil"/>
            </w:tcBorders>
            <w:vAlign w:val="center"/>
          </w:tcPr>
          <w:p w14:paraId="3692715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1-二氯乙烯</w:t>
            </w:r>
          </w:p>
        </w:tc>
        <w:tc>
          <w:tcPr>
            <w:tcW w:w="973" w:type="pct"/>
            <w:tcBorders>
              <w:tl2br w:val="nil"/>
              <w:tr2bl w:val="nil"/>
            </w:tcBorders>
            <w:vAlign w:val="center"/>
          </w:tcPr>
          <w:p w14:paraId="3F04F15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66</w:t>
            </w:r>
          </w:p>
        </w:tc>
        <w:tc>
          <w:tcPr>
            <w:tcW w:w="282" w:type="pct"/>
            <w:tcBorders>
              <w:tl2br w:val="nil"/>
              <w:tr2bl w:val="nil"/>
            </w:tcBorders>
          </w:tcPr>
          <w:p w14:paraId="5694896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37</w:t>
            </w:r>
          </w:p>
        </w:tc>
        <w:tc>
          <w:tcPr>
            <w:tcW w:w="1190" w:type="pct"/>
            <w:tcBorders>
              <w:tl2br w:val="nil"/>
              <w:tr2bl w:val="nil"/>
            </w:tcBorders>
            <w:vAlign w:val="center"/>
          </w:tcPr>
          <w:p w14:paraId="73578BE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2-氯酚</w:t>
            </w:r>
          </w:p>
        </w:tc>
        <w:tc>
          <w:tcPr>
            <w:tcW w:w="973" w:type="pct"/>
            <w:tcBorders>
              <w:tl2br w:val="nil"/>
              <w:tr2bl w:val="nil"/>
            </w:tcBorders>
          </w:tcPr>
          <w:p w14:paraId="1332109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2256</w:t>
            </w:r>
          </w:p>
        </w:tc>
      </w:tr>
      <w:tr w14:paraId="7728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6FD759F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14</w:t>
            </w:r>
          </w:p>
        </w:tc>
        <w:tc>
          <w:tcPr>
            <w:tcW w:w="1296" w:type="pct"/>
            <w:tcBorders>
              <w:tl2br w:val="nil"/>
              <w:tr2bl w:val="nil"/>
            </w:tcBorders>
            <w:vAlign w:val="center"/>
          </w:tcPr>
          <w:p w14:paraId="433F7BF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顺-1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2-二氯乙烯</w:t>
            </w:r>
          </w:p>
        </w:tc>
        <w:tc>
          <w:tcPr>
            <w:tcW w:w="973" w:type="pct"/>
            <w:tcBorders>
              <w:tl2br w:val="nil"/>
              <w:tr2bl w:val="nil"/>
            </w:tcBorders>
            <w:vAlign w:val="center"/>
          </w:tcPr>
          <w:p w14:paraId="2F99E0E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596</w:t>
            </w:r>
          </w:p>
        </w:tc>
        <w:tc>
          <w:tcPr>
            <w:tcW w:w="282" w:type="pct"/>
            <w:tcBorders>
              <w:tl2br w:val="nil"/>
              <w:tr2bl w:val="nil"/>
            </w:tcBorders>
          </w:tcPr>
          <w:p w14:paraId="2816849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38</w:t>
            </w:r>
          </w:p>
        </w:tc>
        <w:tc>
          <w:tcPr>
            <w:tcW w:w="1190" w:type="pct"/>
            <w:tcBorders>
              <w:tl2br w:val="nil"/>
              <w:tr2bl w:val="nil"/>
            </w:tcBorders>
            <w:vAlign w:val="center"/>
          </w:tcPr>
          <w:p w14:paraId="38766F2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苯并[a]蒽</w:t>
            </w:r>
          </w:p>
        </w:tc>
        <w:tc>
          <w:tcPr>
            <w:tcW w:w="973" w:type="pct"/>
            <w:tcBorders>
              <w:tl2br w:val="nil"/>
              <w:tr2bl w:val="nil"/>
            </w:tcBorders>
          </w:tcPr>
          <w:p w14:paraId="303488F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w:t>
            </w:r>
          </w:p>
        </w:tc>
      </w:tr>
      <w:tr w14:paraId="3ED7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51311A9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w:t>
            </w:r>
          </w:p>
        </w:tc>
        <w:tc>
          <w:tcPr>
            <w:tcW w:w="1296" w:type="pct"/>
            <w:tcBorders>
              <w:tl2br w:val="nil"/>
              <w:tr2bl w:val="nil"/>
            </w:tcBorders>
            <w:vAlign w:val="center"/>
          </w:tcPr>
          <w:p w14:paraId="517BC50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反-1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2-二氯乙烯</w:t>
            </w:r>
          </w:p>
        </w:tc>
        <w:tc>
          <w:tcPr>
            <w:tcW w:w="973" w:type="pct"/>
            <w:tcBorders>
              <w:tl2br w:val="nil"/>
              <w:tr2bl w:val="nil"/>
            </w:tcBorders>
            <w:vAlign w:val="center"/>
          </w:tcPr>
          <w:p w14:paraId="013D10F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54</w:t>
            </w:r>
          </w:p>
        </w:tc>
        <w:tc>
          <w:tcPr>
            <w:tcW w:w="282" w:type="pct"/>
            <w:tcBorders>
              <w:tl2br w:val="nil"/>
              <w:tr2bl w:val="nil"/>
            </w:tcBorders>
          </w:tcPr>
          <w:p w14:paraId="2A286ED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39</w:t>
            </w:r>
          </w:p>
        </w:tc>
        <w:tc>
          <w:tcPr>
            <w:tcW w:w="1190" w:type="pct"/>
            <w:tcBorders>
              <w:tl2br w:val="nil"/>
              <w:tr2bl w:val="nil"/>
            </w:tcBorders>
            <w:vAlign w:val="center"/>
          </w:tcPr>
          <w:p w14:paraId="50E7121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苯并[a]芘</w:t>
            </w:r>
          </w:p>
        </w:tc>
        <w:tc>
          <w:tcPr>
            <w:tcW w:w="973" w:type="pct"/>
            <w:tcBorders>
              <w:tl2br w:val="nil"/>
              <w:tr2bl w:val="nil"/>
            </w:tcBorders>
          </w:tcPr>
          <w:p w14:paraId="19AF91C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w:t>
            </w:r>
          </w:p>
        </w:tc>
      </w:tr>
      <w:tr w14:paraId="0E34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0273788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16</w:t>
            </w:r>
          </w:p>
        </w:tc>
        <w:tc>
          <w:tcPr>
            <w:tcW w:w="1296" w:type="pct"/>
            <w:tcBorders>
              <w:tl2br w:val="nil"/>
              <w:tr2bl w:val="nil"/>
            </w:tcBorders>
            <w:vAlign w:val="center"/>
          </w:tcPr>
          <w:p w14:paraId="2B44B87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二氯甲烷</w:t>
            </w:r>
          </w:p>
        </w:tc>
        <w:tc>
          <w:tcPr>
            <w:tcW w:w="973" w:type="pct"/>
            <w:tcBorders>
              <w:tl2br w:val="nil"/>
              <w:tr2bl w:val="nil"/>
            </w:tcBorders>
            <w:vAlign w:val="center"/>
          </w:tcPr>
          <w:p w14:paraId="4B03850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616</w:t>
            </w:r>
          </w:p>
        </w:tc>
        <w:tc>
          <w:tcPr>
            <w:tcW w:w="282" w:type="pct"/>
            <w:tcBorders>
              <w:tl2br w:val="nil"/>
              <w:tr2bl w:val="nil"/>
            </w:tcBorders>
          </w:tcPr>
          <w:p w14:paraId="626B110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40</w:t>
            </w:r>
          </w:p>
        </w:tc>
        <w:tc>
          <w:tcPr>
            <w:tcW w:w="1190" w:type="pct"/>
            <w:tcBorders>
              <w:tl2br w:val="nil"/>
              <w:tr2bl w:val="nil"/>
            </w:tcBorders>
            <w:vAlign w:val="center"/>
          </w:tcPr>
          <w:p w14:paraId="78FBDC7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苯并[b]荧蒽</w:t>
            </w:r>
          </w:p>
        </w:tc>
        <w:tc>
          <w:tcPr>
            <w:tcW w:w="973" w:type="pct"/>
            <w:tcBorders>
              <w:tl2br w:val="nil"/>
              <w:tr2bl w:val="nil"/>
            </w:tcBorders>
          </w:tcPr>
          <w:p w14:paraId="1EDA0A3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w:t>
            </w:r>
          </w:p>
        </w:tc>
      </w:tr>
      <w:tr w14:paraId="4BD7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0EF31F1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17</w:t>
            </w:r>
          </w:p>
        </w:tc>
        <w:tc>
          <w:tcPr>
            <w:tcW w:w="1296" w:type="pct"/>
            <w:tcBorders>
              <w:tl2br w:val="nil"/>
              <w:tr2bl w:val="nil"/>
            </w:tcBorders>
            <w:vAlign w:val="center"/>
          </w:tcPr>
          <w:p w14:paraId="5FE48E6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2-二氯丙烷</w:t>
            </w:r>
          </w:p>
        </w:tc>
        <w:tc>
          <w:tcPr>
            <w:tcW w:w="973" w:type="pct"/>
            <w:tcBorders>
              <w:tl2br w:val="nil"/>
              <w:tr2bl w:val="nil"/>
            </w:tcBorders>
            <w:vAlign w:val="center"/>
          </w:tcPr>
          <w:p w14:paraId="74AF141B">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w:t>
            </w:r>
          </w:p>
        </w:tc>
        <w:tc>
          <w:tcPr>
            <w:tcW w:w="282" w:type="pct"/>
            <w:tcBorders>
              <w:tl2br w:val="nil"/>
              <w:tr2bl w:val="nil"/>
            </w:tcBorders>
          </w:tcPr>
          <w:p w14:paraId="6DE2F6F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41</w:t>
            </w:r>
          </w:p>
        </w:tc>
        <w:tc>
          <w:tcPr>
            <w:tcW w:w="1190" w:type="pct"/>
            <w:tcBorders>
              <w:tl2br w:val="nil"/>
              <w:tr2bl w:val="nil"/>
            </w:tcBorders>
            <w:vAlign w:val="center"/>
          </w:tcPr>
          <w:p w14:paraId="0A39CFD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苯并[k]荧蒽</w:t>
            </w:r>
          </w:p>
        </w:tc>
        <w:tc>
          <w:tcPr>
            <w:tcW w:w="973" w:type="pct"/>
            <w:tcBorders>
              <w:tl2br w:val="nil"/>
              <w:tr2bl w:val="nil"/>
            </w:tcBorders>
          </w:tcPr>
          <w:p w14:paraId="18DB438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151</w:t>
            </w:r>
          </w:p>
        </w:tc>
      </w:tr>
      <w:tr w14:paraId="22E9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0BE0203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18</w:t>
            </w:r>
          </w:p>
        </w:tc>
        <w:tc>
          <w:tcPr>
            <w:tcW w:w="1296" w:type="pct"/>
            <w:tcBorders>
              <w:tl2br w:val="nil"/>
              <w:tr2bl w:val="nil"/>
            </w:tcBorders>
            <w:vAlign w:val="center"/>
          </w:tcPr>
          <w:p w14:paraId="4584FDE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2-四氯乙烷</w:t>
            </w:r>
          </w:p>
        </w:tc>
        <w:tc>
          <w:tcPr>
            <w:tcW w:w="973" w:type="pct"/>
            <w:tcBorders>
              <w:tl2br w:val="nil"/>
              <w:tr2bl w:val="nil"/>
            </w:tcBorders>
            <w:vAlign w:val="center"/>
          </w:tcPr>
          <w:p w14:paraId="2B70503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10</w:t>
            </w:r>
          </w:p>
        </w:tc>
        <w:tc>
          <w:tcPr>
            <w:tcW w:w="282" w:type="pct"/>
            <w:tcBorders>
              <w:tl2br w:val="nil"/>
              <w:tr2bl w:val="nil"/>
            </w:tcBorders>
          </w:tcPr>
          <w:p w14:paraId="751C368B">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42</w:t>
            </w:r>
          </w:p>
        </w:tc>
        <w:tc>
          <w:tcPr>
            <w:tcW w:w="1190" w:type="pct"/>
            <w:tcBorders>
              <w:tl2br w:val="nil"/>
              <w:tr2bl w:val="nil"/>
            </w:tcBorders>
            <w:vAlign w:val="center"/>
          </w:tcPr>
          <w:p w14:paraId="22528EE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䓛</w:t>
            </w:r>
          </w:p>
        </w:tc>
        <w:tc>
          <w:tcPr>
            <w:tcW w:w="973" w:type="pct"/>
            <w:tcBorders>
              <w:tl2br w:val="nil"/>
              <w:tr2bl w:val="nil"/>
            </w:tcBorders>
          </w:tcPr>
          <w:p w14:paraId="64458CA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1293</w:t>
            </w:r>
          </w:p>
        </w:tc>
      </w:tr>
      <w:tr w14:paraId="65E3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1E50DD77">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19</w:t>
            </w:r>
          </w:p>
        </w:tc>
        <w:tc>
          <w:tcPr>
            <w:tcW w:w="1296" w:type="pct"/>
            <w:tcBorders>
              <w:tl2br w:val="nil"/>
              <w:tr2bl w:val="nil"/>
            </w:tcBorders>
            <w:vAlign w:val="center"/>
          </w:tcPr>
          <w:p w14:paraId="20D4721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2-四氯乙烷</w:t>
            </w:r>
          </w:p>
        </w:tc>
        <w:tc>
          <w:tcPr>
            <w:tcW w:w="973" w:type="pct"/>
            <w:tcBorders>
              <w:tl2br w:val="nil"/>
              <w:tr2bl w:val="nil"/>
            </w:tcBorders>
            <w:vAlign w:val="center"/>
          </w:tcPr>
          <w:p w14:paraId="528C9AC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6.8</w:t>
            </w:r>
          </w:p>
        </w:tc>
        <w:tc>
          <w:tcPr>
            <w:tcW w:w="282" w:type="pct"/>
            <w:tcBorders>
              <w:tl2br w:val="nil"/>
              <w:tr2bl w:val="nil"/>
            </w:tcBorders>
          </w:tcPr>
          <w:p w14:paraId="629EF33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43</w:t>
            </w:r>
          </w:p>
        </w:tc>
        <w:tc>
          <w:tcPr>
            <w:tcW w:w="1190" w:type="pct"/>
            <w:tcBorders>
              <w:tl2br w:val="nil"/>
              <w:tr2bl w:val="nil"/>
            </w:tcBorders>
            <w:vAlign w:val="center"/>
          </w:tcPr>
          <w:p w14:paraId="435A6B41">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二苯并[a</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h]蒽</w:t>
            </w:r>
          </w:p>
        </w:tc>
        <w:tc>
          <w:tcPr>
            <w:tcW w:w="973" w:type="pct"/>
            <w:tcBorders>
              <w:tl2br w:val="nil"/>
              <w:tr2bl w:val="nil"/>
            </w:tcBorders>
          </w:tcPr>
          <w:p w14:paraId="2C9A692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w:t>
            </w:r>
          </w:p>
        </w:tc>
      </w:tr>
      <w:tr w14:paraId="23C4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5A64487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20</w:t>
            </w:r>
          </w:p>
        </w:tc>
        <w:tc>
          <w:tcPr>
            <w:tcW w:w="1296" w:type="pct"/>
            <w:tcBorders>
              <w:tl2br w:val="nil"/>
              <w:tr2bl w:val="nil"/>
            </w:tcBorders>
            <w:vAlign w:val="center"/>
          </w:tcPr>
          <w:p w14:paraId="13DB7DDA">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四氯乙烯</w:t>
            </w:r>
          </w:p>
        </w:tc>
        <w:tc>
          <w:tcPr>
            <w:tcW w:w="973" w:type="pct"/>
            <w:tcBorders>
              <w:tl2br w:val="nil"/>
              <w:tr2bl w:val="nil"/>
            </w:tcBorders>
            <w:vAlign w:val="center"/>
          </w:tcPr>
          <w:p w14:paraId="107A762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53</w:t>
            </w:r>
          </w:p>
        </w:tc>
        <w:tc>
          <w:tcPr>
            <w:tcW w:w="282" w:type="pct"/>
            <w:tcBorders>
              <w:tl2br w:val="nil"/>
              <w:tr2bl w:val="nil"/>
            </w:tcBorders>
          </w:tcPr>
          <w:p w14:paraId="27AF527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44</w:t>
            </w:r>
          </w:p>
        </w:tc>
        <w:tc>
          <w:tcPr>
            <w:tcW w:w="1190" w:type="pct"/>
            <w:tcBorders>
              <w:tl2br w:val="nil"/>
              <w:tr2bl w:val="nil"/>
            </w:tcBorders>
            <w:vAlign w:val="center"/>
          </w:tcPr>
          <w:p w14:paraId="5A5C087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茚并[1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3-cd]芘</w:t>
            </w:r>
          </w:p>
        </w:tc>
        <w:tc>
          <w:tcPr>
            <w:tcW w:w="973" w:type="pct"/>
            <w:tcBorders>
              <w:tl2br w:val="nil"/>
              <w:tr2bl w:val="nil"/>
            </w:tcBorders>
          </w:tcPr>
          <w:p w14:paraId="599D766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15</w:t>
            </w:r>
          </w:p>
        </w:tc>
      </w:tr>
      <w:tr w14:paraId="1443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82" w:type="pct"/>
            <w:tcBorders>
              <w:tl2br w:val="nil"/>
              <w:tr2bl w:val="nil"/>
            </w:tcBorders>
            <w:vAlign w:val="center"/>
          </w:tcPr>
          <w:p w14:paraId="1608851D">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21</w:t>
            </w:r>
          </w:p>
        </w:tc>
        <w:tc>
          <w:tcPr>
            <w:tcW w:w="1296" w:type="pct"/>
            <w:tcBorders>
              <w:tl2br w:val="nil"/>
              <w:tr2bl w:val="nil"/>
            </w:tcBorders>
            <w:vAlign w:val="center"/>
          </w:tcPr>
          <w:p w14:paraId="2414B76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1-三氯乙烷</w:t>
            </w:r>
          </w:p>
        </w:tc>
        <w:tc>
          <w:tcPr>
            <w:tcW w:w="973" w:type="pct"/>
            <w:tcBorders>
              <w:tl2br w:val="nil"/>
              <w:tr2bl w:val="nil"/>
            </w:tcBorders>
            <w:vAlign w:val="center"/>
          </w:tcPr>
          <w:p w14:paraId="413B154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840</w:t>
            </w:r>
          </w:p>
        </w:tc>
        <w:tc>
          <w:tcPr>
            <w:tcW w:w="282" w:type="pct"/>
            <w:tcBorders>
              <w:tl2br w:val="nil"/>
              <w:tr2bl w:val="nil"/>
            </w:tcBorders>
          </w:tcPr>
          <w:p w14:paraId="583DE18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45</w:t>
            </w:r>
          </w:p>
        </w:tc>
        <w:tc>
          <w:tcPr>
            <w:tcW w:w="1190" w:type="pct"/>
            <w:tcBorders>
              <w:tl2br w:val="nil"/>
              <w:tr2bl w:val="nil"/>
            </w:tcBorders>
            <w:vAlign w:val="center"/>
          </w:tcPr>
          <w:p w14:paraId="69ED935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萘</w:t>
            </w:r>
          </w:p>
        </w:tc>
        <w:tc>
          <w:tcPr>
            <w:tcW w:w="973" w:type="pct"/>
            <w:tcBorders>
              <w:tl2br w:val="nil"/>
              <w:tr2bl w:val="nil"/>
            </w:tcBorders>
          </w:tcPr>
          <w:p w14:paraId="7780E80F">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70</w:t>
            </w:r>
          </w:p>
        </w:tc>
      </w:tr>
      <w:tr w14:paraId="7A95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7A69FAB2">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22</w:t>
            </w:r>
          </w:p>
        </w:tc>
        <w:tc>
          <w:tcPr>
            <w:tcW w:w="1296" w:type="pct"/>
            <w:tcBorders>
              <w:tl2br w:val="nil"/>
              <w:tr2bl w:val="nil"/>
            </w:tcBorders>
            <w:vAlign w:val="center"/>
          </w:tcPr>
          <w:p w14:paraId="4AB59BA6">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2-三氯乙烷</w:t>
            </w:r>
          </w:p>
        </w:tc>
        <w:tc>
          <w:tcPr>
            <w:tcW w:w="973" w:type="pct"/>
            <w:tcBorders>
              <w:tl2br w:val="nil"/>
              <w:tr2bl w:val="nil"/>
            </w:tcBorders>
            <w:vAlign w:val="center"/>
          </w:tcPr>
          <w:p w14:paraId="45F6BAA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2.8</w:t>
            </w:r>
          </w:p>
        </w:tc>
        <w:tc>
          <w:tcPr>
            <w:tcW w:w="282" w:type="pct"/>
            <w:tcBorders>
              <w:tl2br w:val="nil"/>
              <w:tr2bl w:val="nil"/>
            </w:tcBorders>
          </w:tcPr>
          <w:p w14:paraId="2E57451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46</w:t>
            </w:r>
          </w:p>
        </w:tc>
        <w:tc>
          <w:tcPr>
            <w:tcW w:w="1190" w:type="pct"/>
            <w:tcBorders>
              <w:tl2br w:val="nil"/>
              <w:tr2bl w:val="nil"/>
            </w:tcBorders>
            <w:vAlign w:val="center"/>
          </w:tcPr>
          <w:p w14:paraId="2BBFA2B4">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pH值（无量纲）</w:t>
            </w:r>
          </w:p>
        </w:tc>
        <w:tc>
          <w:tcPr>
            <w:tcW w:w="973" w:type="pct"/>
            <w:tcBorders>
              <w:tl2br w:val="nil"/>
              <w:tr2bl w:val="nil"/>
            </w:tcBorders>
          </w:tcPr>
          <w:p w14:paraId="56E8CD98">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w:t>
            </w:r>
          </w:p>
        </w:tc>
      </w:tr>
      <w:tr w14:paraId="7161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vAlign w:val="center"/>
          </w:tcPr>
          <w:p w14:paraId="2930D4A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23</w:t>
            </w:r>
          </w:p>
        </w:tc>
        <w:tc>
          <w:tcPr>
            <w:tcW w:w="1296" w:type="pct"/>
            <w:tcBorders>
              <w:tl2br w:val="nil"/>
              <w:tr2bl w:val="nil"/>
            </w:tcBorders>
            <w:vAlign w:val="center"/>
          </w:tcPr>
          <w:p w14:paraId="6A6DB6AE">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三氯乙烯</w:t>
            </w:r>
          </w:p>
        </w:tc>
        <w:tc>
          <w:tcPr>
            <w:tcW w:w="973" w:type="pct"/>
            <w:tcBorders>
              <w:tl2br w:val="nil"/>
              <w:tr2bl w:val="nil"/>
            </w:tcBorders>
            <w:vAlign w:val="center"/>
          </w:tcPr>
          <w:p w14:paraId="3668095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2.8</w:t>
            </w:r>
          </w:p>
        </w:tc>
        <w:tc>
          <w:tcPr>
            <w:tcW w:w="282" w:type="pct"/>
            <w:tcBorders>
              <w:tl2br w:val="nil"/>
              <w:tr2bl w:val="nil"/>
            </w:tcBorders>
          </w:tcPr>
          <w:p w14:paraId="2F14A24C">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47</w:t>
            </w:r>
          </w:p>
        </w:tc>
        <w:tc>
          <w:tcPr>
            <w:tcW w:w="1190" w:type="pct"/>
            <w:tcBorders>
              <w:tl2br w:val="nil"/>
              <w:tr2bl w:val="nil"/>
            </w:tcBorders>
            <w:vAlign w:val="center"/>
          </w:tcPr>
          <w:p w14:paraId="2575361C">
            <w:pPr>
              <w:pStyle w:val="680"/>
              <w:widowControl/>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石油烃</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C</w:t>
            </w:r>
            <w:r>
              <w:rPr>
                <w:rFonts w:hint="eastAsia" w:ascii="Times New Roman" w:hAnsi="Times New Roman" w:eastAsia="宋体" w:cs="Times New Roman"/>
                <w:snapToGrid w:val="0"/>
                <w:color w:val="auto"/>
                <w:kern w:val="0"/>
                <w:szCs w:val="21"/>
                <w:highlight w:val="none"/>
                <w:vertAlign w:val="subscript"/>
                <w:lang w:val="en-US" w:eastAsia="zh-CN"/>
              </w:rPr>
              <w:t>10</w:t>
            </w:r>
            <w:r>
              <w:rPr>
                <w:rFonts w:hint="eastAsia" w:ascii="Times New Roman" w:hAnsi="Times New Roman" w:eastAsia="宋体" w:cs="Times New Roman"/>
                <w:snapToGrid w:val="0"/>
                <w:color w:val="auto"/>
                <w:kern w:val="0"/>
                <w:szCs w:val="21"/>
                <w:highlight w:val="none"/>
                <w:lang w:val="en-US" w:eastAsia="zh-CN"/>
              </w:rPr>
              <w:t>-C</w:t>
            </w:r>
            <w:r>
              <w:rPr>
                <w:rFonts w:hint="eastAsia" w:ascii="Times New Roman" w:hAnsi="Times New Roman" w:eastAsia="宋体" w:cs="Times New Roman"/>
                <w:snapToGrid w:val="0"/>
                <w:color w:val="auto"/>
                <w:kern w:val="0"/>
                <w:szCs w:val="21"/>
                <w:highlight w:val="none"/>
                <w:vertAlign w:val="subscript"/>
                <w:lang w:val="en-US" w:eastAsia="zh-CN"/>
              </w:rPr>
              <w:t>40</w:t>
            </w:r>
            <w:r>
              <w:rPr>
                <w:rFonts w:hint="eastAsia" w:ascii="Times New Roman" w:hAnsi="Times New Roman" w:eastAsia="宋体" w:cs="Times New Roman"/>
                <w:snapToGrid w:val="0"/>
                <w:color w:val="auto"/>
                <w:kern w:val="0"/>
                <w:szCs w:val="21"/>
                <w:highlight w:val="none"/>
                <w:lang w:eastAsia="zh-CN"/>
              </w:rPr>
              <w:t>）</w:t>
            </w:r>
          </w:p>
        </w:tc>
        <w:tc>
          <w:tcPr>
            <w:tcW w:w="973" w:type="pct"/>
            <w:tcBorders>
              <w:tl2br w:val="nil"/>
              <w:tr2bl w:val="nil"/>
            </w:tcBorders>
          </w:tcPr>
          <w:p w14:paraId="4D68BA60">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4500</w:t>
            </w:r>
          </w:p>
        </w:tc>
      </w:tr>
      <w:tr w14:paraId="52F7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2" w:type="pct"/>
            <w:tcBorders>
              <w:tl2br w:val="nil"/>
              <w:tr2bl w:val="nil"/>
            </w:tcBorders>
          </w:tcPr>
          <w:p w14:paraId="18F29355">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24</w:t>
            </w:r>
          </w:p>
        </w:tc>
        <w:tc>
          <w:tcPr>
            <w:tcW w:w="1296" w:type="pct"/>
            <w:tcBorders>
              <w:tl2br w:val="nil"/>
              <w:tr2bl w:val="nil"/>
            </w:tcBorders>
            <w:vAlign w:val="center"/>
          </w:tcPr>
          <w:p w14:paraId="2E2BC8C3">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1</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2</w:t>
            </w:r>
            <w:r>
              <w:rPr>
                <w:rFonts w:hint="eastAsia" w:ascii="Times New Roman" w:hAnsi="Times New Roman" w:eastAsia="宋体" w:cs="Times New Roman"/>
                <w:snapToGrid w:val="0"/>
                <w:color w:val="auto"/>
                <w:kern w:val="0"/>
                <w:szCs w:val="21"/>
                <w:highlight w:val="none"/>
                <w:lang w:val="en-US" w:eastAsia="zh-CN"/>
              </w:rPr>
              <w:t>,</w:t>
            </w:r>
            <w:r>
              <w:rPr>
                <w:rFonts w:ascii="Times New Roman" w:hAnsi="Times New Roman" w:eastAsia="宋体" w:cs="Times New Roman"/>
                <w:snapToGrid w:val="0"/>
                <w:color w:val="auto"/>
                <w:kern w:val="0"/>
                <w:szCs w:val="21"/>
                <w:highlight w:val="none"/>
              </w:rPr>
              <w:t>3-三氯丙烷</w:t>
            </w:r>
          </w:p>
        </w:tc>
        <w:tc>
          <w:tcPr>
            <w:tcW w:w="973" w:type="pct"/>
            <w:tcBorders>
              <w:tl2br w:val="nil"/>
              <w:tr2bl w:val="nil"/>
            </w:tcBorders>
          </w:tcPr>
          <w:p w14:paraId="76E02309">
            <w:pPr>
              <w:pStyle w:val="680"/>
              <w:widowControl/>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0.5</w:t>
            </w:r>
          </w:p>
        </w:tc>
        <w:tc>
          <w:tcPr>
            <w:tcW w:w="282" w:type="pct"/>
            <w:tcBorders>
              <w:tl2br w:val="nil"/>
              <w:tr2bl w:val="nil"/>
            </w:tcBorders>
          </w:tcPr>
          <w:p w14:paraId="21DC1344">
            <w:pPr>
              <w:pStyle w:val="680"/>
              <w:widowControl/>
              <w:adjustRightInd w:val="0"/>
              <w:snapToGrid w:val="0"/>
              <w:jc w:val="center"/>
              <w:rPr>
                <w:rFonts w:ascii="Times New Roman" w:hAnsi="Times New Roman" w:eastAsia="宋体" w:cs="Times New Roman"/>
                <w:snapToGrid w:val="0"/>
                <w:color w:val="auto"/>
                <w:kern w:val="0"/>
                <w:szCs w:val="21"/>
                <w:highlight w:val="none"/>
              </w:rPr>
            </w:pPr>
          </w:p>
        </w:tc>
        <w:tc>
          <w:tcPr>
            <w:tcW w:w="1190" w:type="pct"/>
            <w:tcBorders>
              <w:tl2br w:val="nil"/>
              <w:tr2bl w:val="nil"/>
            </w:tcBorders>
            <w:vAlign w:val="center"/>
          </w:tcPr>
          <w:p w14:paraId="10106A1B">
            <w:pPr>
              <w:pStyle w:val="680"/>
              <w:widowControl/>
              <w:adjustRightInd w:val="0"/>
              <w:snapToGrid w:val="0"/>
              <w:jc w:val="center"/>
              <w:rPr>
                <w:rFonts w:ascii="Times New Roman" w:hAnsi="Times New Roman" w:eastAsia="宋体" w:cs="Times New Roman"/>
                <w:snapToGrid w:val="0"/>
                <w:color w:val="auto"/>
                <w:kern w:val="0"/>
                <w:szCs w:val="21"/>
                <w:highlight w:val="none"/>
              </w:rPr>
            </w:pPr>
          </w:p>
        </w:tc>
        <w:tc>
          <w:tcPr>
            <w:tcW w:w="973" w:type="pct"/>
            <w:tcBorders>
              <w:tl2br w:val="nil"/>
              <w:tr2bl w:val="nil"/>
            </w:tcBorders>
          </w:tcPr>
          <w:p w14:paraId="68FDF9E7">
            <w:pPr>
              <w:pStyle w:val="680"/>
              <w:widowControl/>
              <w:adjustRightInd w:val="0"/>
              <w:snapToGrid w:val="0"/>
              <w:jc w:val="center"/>
              <w:rPr>
                <w:rFonts w:ascii="Times New Roman" w:hAnsi="Times New Roman" w:eastAsia="宋体" w:cs="Times New Roman"/>
                <w:snapToGrid w:val="0"/>
                <w:color w:val="auto"/>
                <w:kern w:val="0"/>
                <w:szCs w:val="21"/>
                <w:highlight w:val="none"/>
              </w:rPr>
            </w:pPr>
          </w:p>
        </w:tc>
      </w:tr>
    </w:tbl>
    <w:p w14:paraId="2DD5C065">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5.2</w:t>
      </w:r>
      <w:r>
        <w:rPr>
          <w:rFonts w:hint="eastAsia" w:ascii="Times New Roman" w:hAnsi="Times New Roman" w:cs="Times New Roman"/>
          <w:snapToGrid w:val="0"/>
          <w:color w:val="auto"/>
          <w:spacing w:val="0"/>
          <w:kern w:val="0"/>
          <w:szCs w:val="24"/>
          <w:highlight w:val="none"/>
        </w:rPr>
        <w:t>污染物排放标准</w:t>
      </w:r>
    </w:p>
    <w:p w14:paraId="0652B78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2.5.2.1大气污染物排放标准</w:t>
      </w:r>
    </w:p>
    <w:p w14:paraId="61564CB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1</w:t>
      </w:r>
      <w:r>
        <w:rPr>
          <w:rFonts w:hint="eastAsia"/>
          <w:snapToGrid w:val="0"/>
          <w:color w:val="auto"/>
          <w:kern w:val="0"/>
          <w:sz w:val="24"/>
          <w:highlight w:val="none"/>
          <w:lang w:eastAsia="zh-CN"/>
        </w:rPr>
        <w:t>）</w:t>
      </w:r>
      <w:r>
        <w:rPr>
          <w:rFonts w:hint="eastAsia"/>
          <w:snapToGrid w:val="0"/>
          <w:color w:val="auto"/>
          <w:kern w:val="0"/>
          <w:sz w:val="24"/>
          <w:highlight w:val="none"/>
        </w:rPr>
        <w:t>有组织废气</w:t>
      </w:r>
    </w:p>
    <w:p w14:paraId="5A4F8CE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本项目产品为</w:t>
      </w:r>
      <w:r>
        <w:rPr>
          <w:rFonts w:hint="eastAsia"/>
          <w:snapToGrid w:val="0"/>
          <w:color w:val="auto"/>
          <w:kern w:val="0"/>
          <w:sz w:val="24"/>
          <w:highlight w:val="none"/>
          <w:lang w:eastAsia="zh-CN"/>
        </w:rPr>
        <w:t>二元酸</w:t>
      </w:r>
      <w:r>
        <w:rPr>
          <w:rFonts w:hint="eastAsia"/>
          <w:snapToGrid w:val="0"/>
          <w:color w:val="auto"/>
          <w:kern w:val="0"/>
          <w:sz w:val="24"/>
          <w:highlight w:val="none"/>
        </w:rPr>
        <w:t>，属于聚酰胺</w:t>
      </w:r>
      <w:r>
        <w:rPr>
          <w:rFonts w:hint="eastAsia"/>
          <w:snapToGrid w:val="0"/>
          <w:color w:val="auto"/>
          <w:kern w:val="0"/>
          <w:sz w:val="24"/>
          <w:highlight w:val="none"/>
          <w:lang w:val="en-US" w:eastAsia="zh-CN"/>
        </w:rPr>
        <w:t>单体，聚酰胺属于聚酰胺树脂</w:t>
      </w:r>
      <w:r>
        <w:rPr>
          <w:rFonts w:hint="eastAsia"/>
          <w:snapToGrid w:val="0"/>
          <w:color w:val="auto"/>
          <w:kern w:val="0"/>
          <w:sz w:val="24"/>
          <w:highlight w:val="none"/>
        </w:rPr>
        <w:t>，根据《合成树脂工业污染物排放标准》（GB31572-2015</w:t>
      </w:r>
      <w:r>
        <w:rPr>
          <w:rFonts w:hint="eastAsia"/>
          <w:snapToGrid w:val="0"/>
          <w:color w:val="auto"/>
          <w:kern w:val="0"/>
          <w:sz w:val="24"/>
          <w:highlight w:val="none"/>
          <w:lang w:eastAsia="zh-CN"/>
        </w:rPr>
        <w:t>，</w:t>
      </w:r>
      <w:r>
        <w:rPr>
          <w:rFonts w:hint="eastAsia"/>
          <w:snapToGrid w:val="0"/>
          <w:color w:val="auto"/>
          <w:kern w:val="0"/>
          <w:sz w:val="24"/>
          <w:highlight w:val="none"/>
        </w:rPr>
        <w:t>含2024年修改单）：合成树脂企业内的单体生产装置执行《石油化学工业污染物排放标准》（</w:t>
      </w:r>
      <w:r>
        <w:rPr>
          <w:rFonts w:hint="eastAsia"/>
          <w:snapToGrid w:val="0"/>
          <w:color w:val="auto"/>
          <w:kern w:val="0"/>
          <w:sz w:val="24"/>
          <w:highlight w:val="none"/>
          <w:lang w:eastAsia="zh-CN"/>
        </w:rPr>
        <w:t>GB3157</w:t>
      </w:r>
      <w:r>
        <w:rPr>
          <w:rFonts w:hint="eastAsia"/>
          <w:snapToGrid w:val="0"/>
          <w:color w:val="auto"/>
          <w:kern w:val="0"/>
          <w:sz w:val="24"/>
          <w:highlight w:val="none"/>
          <w:lang w:val="en-US" w:eastAsia="zh-CN"/>
        </w:rPr>
        <w:t>1</w:t>
      </w:r>
      <w:r>
        <w:rPr>
          <w:rFonts w:hint="eastAsia"/>
          <w:snapToGrid w:val="0"/>
          <w:color w:val="auto"/>
          <w:kern w:val="0"/>
          <w:sz w:val="24"/>
          <w:highlight w:val="none"/>
          <w:lang w:eastAsia="zh-CN"/>
        </w:rPr>
        <w:t>-2015，含2024年修改单</w:t>
      </w:r>
      <w:r>
        <w:rPr>
          <w:rFonts w:hint="eastAsia"/>
          <w:snapToGrid w:val="0"/>
          <w:color w:val="auto"/>
          <w:kern w:val="0"/>
          <w:sz w:val="24"/>
          <w:highlight w:val="none"/>
        </w:rPr>
        <w:t>），但《石油化学工业污染物排放标准》（</w:t>
      </w:r>
      <w:r>
        <w:rPr>
          <w:rFonts w:hint="eastAsia"/>
          <w:snapToGrid w:val="0"/>
          <w:color w:val="auto"/>
          <w:kern w:val="0"/>
          <w:sz w:val="24"/>
          <w:highlight w:val="none"/>
          <w:lang w:eastAsia="zh-CN"/>
        </w:rPr>
        <w:t>GB3157</w:t>
      </w:r>
      <w:r>
        <w:rPr>
          <w:rFonts w:hint="eastAsia"/>
          <w:snapToGrid w:val="0"/>
          <w:color w:val="auto"/>
          <w:kern w:val="0"/>
          <w:sz w:val="24"/>
          <w:highlight w:val="none"/>
          <w:lang w:val="en-US" w:eastAsia="zh-CN"/>
        </w:rPr>
        <w:t>1</w:t>
      </w:r>
      <w:r>
        <w:rPr>
          <w:rFonts w:hint="eastAsia"/>
          <w:snapToGrid w:val="0"/>
          <w:color w:val="auto"/>
          <w:kern w:val="0"/>
          <w:sz w:val="24"/>
          <w:highlight w:val="none"/>
          <w:lang w:eastAsia="zh-CN"/>
        </w:rPr>
        <w:t>-2015，含2024年修改单</w:t>
      </w:r>
      <w:r>
        <w:rPr>
          <w:rFonts w:hint="eastAsia"/>
          <w:snapToGrid w:val="0"/>
          <w:color w:val="auto"/>
          <w:kern w:val="0"/>
          <w:sz w:val="24"/>
          <w:highlight w:val="none"/>
        </w:rPr>
        <w:t>）中未规定</w:t>
      </w:r>
      <w:r>
        <w:rPr>
          <w:rFonts w:hint="eastAsia"/>
          <w:snapToGrid w:val="0"/>
          <w:color w:val="auto"/>
          <w:kern w:val="0"/>
          <w:sz w:val="24"/>
          <w:highlight w:val="none"/>
          <w:lang w:val="en-US" w:eastAsia="zh-CN"/>
        </w:rPr>
        <w:t>工艺加热炉外的颗粒物和</w:t>
      </w:r>
      <w:r>
        <w:rPr>
          <w:rFonts w:hint="eastAsia"/>
          <w:snapToGrid w:val="0"/>
          <w:color w:val="auto"/>
          <w:kern w:val="0"/>
          <w:sz w:val="24"/>
          <w:highlight w:val="none"/>
        </w:rPr>
        <w:t>非甲烷总烃排放浓度限值，同时，本项目位于“奎-独-乌”大气污染联防联控区，因此本项目</w:t>
      </w:r>
      <w:r>
        <w:rPr>
          <w:rFonts w:hint="eastAsia"/>
          <w:snapToGrid w:val="0"/>
          <w:color w:val="auto"/>
          <w:kern w:val="0"/>
          <w:sz w:val="24"/>
          <w:highlight w:val="none"/>
          <w:lang w:val="en-US" w:eastAsia="zh-CN"/>
        </w:rPr>
        <w:t>参照</w:t>
      </w:r>
      <w:r>
        <w:rPr>
          <w:rFonts w:hint="eastAsia"/>
          <w:snapToGrid w:val="0"/>
          <w:color w:val="auto"/>
          <w:kern w:val="0"/>
          <w:sz w:val="24"/>
          <w:highlight w:val="none"/>
        </w:rPr>
        <w:t>执行《合成树脂工业污染物排放标准》（GB31572-2015</w:t>
      </w:r>
      <w:r>
        <w:rPr>
          <w:rFonts w:hint="eastAsia"/>
          <w:snapToGrid w:val="0"/>
          <w:color w:val="auto"/>
          <w:kern w:val="0"/>
          <w:sz w:val="24"/>
          <w:highlight w:val="none"/>
          <w:lang w:eastAsia="zh-CN"/>
        </w:rPr>
        <w:t>，</w:t>
      </w:r>
      <w:r>
        <w:rPr>
          <w:rFonts w:hint="eastAsia"/>
          <w:snapToGrid w:val="0"/>
          <w:color w:val="auto"/>
          <w:kern w:val="0"/>
          <w:sz w:val="24"/>
          <w:highlight w:val="none"/>
        </w:rPr>
        <w:t>含2024年修改单）。</w:t>
      </w:r>
    </w:p>
    <w:p w14:paraId="17932719">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本项目产生的主要</w:t>
      </w:r>
      <w:r>
        <w:rPr>
          <w:rFonts w:hint="eastAsia"/>
          <w:snapToGrid w:val="0"/>
          <w:color w:val="auto"/>
          <w:kern w:val="0"/>
          <w:sz w:val="24"/>
          <w:highlight w:val="none"/>
          <w:lang w:val="en-US" w:eastAsia="zh-CN"/>
        </w:rPr>
        <w:t>污染物</w:t>
      </w:r>
      <w:r>
        <w:rPr>
          <w:rFonts w:hint="eastAsia"/>
          <w:snapToGrid w:val="0"/>
          <w:color w:val="auto"/>
          <w:kern w:val="0"/>
          <w:sz w:val="24"/>
          <w:highlight w:val="none"/>
        </w:rPr>
        <w:t>有颗粒物、非甲烷总烃、硫酸雾，其中发酵废气中颗粒物、非甲烷总烃排放浓度</w:t>
      </w:r>
      <w:r>
        <w:rPr>
          <w:rFonts w:hint="eastAsia"/>
          <w:snapToGrid w:val="0"/>
          <w:color w:val="auto"/>
          <w:kern w:val="0"/>
          <w:sz w:val="24"/>
          <w:highlight w:val="none"/>
          <w:lang w:val="en-US" w:eastAsia="zh-CN"/>
        </w:rPr>
        <w:t>参照</w:t>
      </w:r>
      <w:r>
        <w:rPr>
          <w:rFonts w:hint="eastAsia"/>
          <w:snapToGrid w:val="0"/>
          <w:color w:val="auto"/>
          <w:kern w:val="0"/>
          <w:sz w:val="24"/>
          <w:highlight w:val="none"/>
        </w:rPr>
        <w:t>执行《制药工业大气污染物排放标准》（GB37823-2019）中表2大气污染物特别排放限值，H</w:t>
      </w:r>
      <w:r>
        <w:rPr>
          <w:rFonts w:hint="eastAsia"/>
          <w:snapToGrid w:val="0"/>
          <w:color w:val="auto"/>
          <w:kern w:val="0"/>
          <w:sz w:val="24"/>
          <w:highlight w:val="none"/>
          <w:vertAlign w:val="subscript"/>
        </w:rPr>
        <w:t>2</w:t>
      </w:r>
      <w:r>
        <w:rPr>
          <w:rFonts w:hint="eastAsia"/>
          <w:snapToGrid w:val="0"/>
          <w:color w:val="auto"/>
          <w:kern w:val="0"/>
          <w:sz w:val="24"/>
          <w:highlight w:val="none"/>
        </w:rPr>
        <w:t>S、NH</w:t>
      </w:r>
      <w:r>
        <w:rPr>
          <w:rFonts w:hint="eastAsia"/>
          <w:snapToGrid w:val="0"/>
          <w:color w:val="auto"/>
          <w:kern w:val="0"/>
          <w:sz w:val="24"/>
          <w:highlight w:val="none"/>
          <w:vertAlign w:val="subscript"/>
        </w:rPr>
        <w:t>3</w:t>
      </w:r>
      <w:r>
        <w:rPr>
          <w:rFonts w:hint="eastAsia"/>
          <w:snapToGrid w:val="0"/>
          <w:color w:val="auto"/>
          <w:kern w:val="0"/>
          <w:sz w:val="24"/>
          <w:highlight w:val="none"/>
        </w:rPr>
        <w:t>、臭气浓度执行《恶臭污染物排放标准》（‌GB14554-93）中表2恶臭污染物排放标准值；</w:t>
      </w:r>
      <w:r>
        <w:rPr>
          <w:rFonts w:hint="eastAsia"/>
          <w:snapToGrid w:val="0"/>
          <w:color w:val="auto"/>
          <w:kern w:val="0"/>
          <w:sz w:val="24"/>
          <w:highlight w:val="none"/>
          <w:lang w:val="en-US" w:eastAsia="zh-CN"/>
        </w:rPr>
        <w:t>除活性炭再生炉废气、发酵废气外的</w:t>
      </w:r>
      <w:r>
        <w:rPr>
          <w:rFonts w:hint="eastAsia"/>
          <w:snapToGrid w:val="0"/>
          <w:color w:val="auto"/>
          <w:kern w:val="0"/>
          <w:sz w:val="24"/>
          <w:highlight w:val="none"/>
        </w:rPr>
        <w:t>其他废气中颗粒物、非甲烷总烃排放浓度</w:t>
      </w:r>
      <w:r>
        <w:rPr>
          <w:rFonts w:hint="eastAsia"/>
          <w:snapToGrid w:val="0"/>
          <w:color w:val="auto"/>
          <w:kern w:val="0"/>
          <w:sz w:val="24"/>
          <w:highlight w:val="none"/>
          <w:lang w:val="en-US" w:eastAsia="zh-CN"/>
        </w:rPr>
        <w:t>参照</w:t>
      </w:r>
      <w:r>
        <w:rPr>
          <w:rFonts w:hint="eastAsia"/>
          <w:snapToGrid w:val="0"/>
          <w:color w:val="auto"/>
          <w:kern w:val="0"/>
          <w:sz w:val="24"/>
          <w:highlight w:val="none"/>
        </w:rPr>
        <w:t>执行《合成树脂工业污染物排放标准》（GB31572-2015</w:t>
      </w:r>
      <w:r>
        <w:rPr>
          <w:rFonts w:hint="eastAsia"/>
          <w:snapToGrid w:val="0"/>
          <w:color w:val="auto"/>
          <w:kern w:val="0"/>
          <w:sz w:val="24"/>
          <w:highlight w:val="none"/>
          <w:lang w:eastAsia="zh-CN"/>
        </w:rPr>
        <w:t>，</w:t>
      </w:r>
      <w:r>
        <w:rPr>
          <w:rFonts w:hint="eastAsia"/>
          <w:snapToGrid w:val="0"/>
          <w:color w:val="auto"/>
          <w:kern w:val="0"/>
          <w:sz w:val="24"/>
          <w:highlight w:val="none"/>
        </w:rPr>
        <w:t>含2024年修改单）表5大气污染物特别排放限值，硫酸雾执行《大气污染物综合排放标准》（GB 16297-1996）中</w:t>
      </w:r>
      <w:r>
        <w:rPr>
          <w:rFonts w:hint="eastAsia"/>
          <w:snapToGrid w:val="0"/>
          <w:color w:val="auto"/>
          <w:kern w:val="0"/>
          <w:sz w:val="24"/>
          <w:highlight w:val="none"/>
          <w:lang w:val="en-US" w:eastAsia="zh-CN"/>
        </w:rPr>
        <w:t>表2中二级限值要求（排放浓度及排气筒对应的排放速率）</w:t>
      </w:r>
      <w:r>
        <w:rPr>
          <w:rFonts w:hint="eastAsia"/>
          <w:snapToGrid w:val="0"/>
          <w:color w:val="auto"/>
          <w:kern w:val="0"/>
          <w:sz w:val="24"/>
          <w:highlight w:val="none"/>
        </w:rPr>
        <w:t>。活性炭再生</w:t>
      </w:r>
      <w:r>
        <w:rPr>
          <w:rFonts w:hint="eastAsia"/>
          <w:snapToGrid w:val="0"/>
          <w:color w:val="auto"/>
          <w:kern w:val="0"/>
          <w:sz w:val="24"/>
          <w:highlight w:val="none"/>
          <w:lang w:val="en-US" w:eastAsia="zh-CN"/>
        </w:rPr>
        <w:t>炉</w:t>
      </w:r>
      <w:r>
        <w:rPr>
          <w:rFonts w:hint="eastAsia"/>
          <w:snapToGrid w:val="0"/>
          <w:color w:val="auto"/>
          <w:kern w:val="0"/>
          <w:sz w:val="24"/>
          <w:highlight w:val="none"/>
        </w:rPr>
        <w:t>废气</w:t>
      </w:r>
      <w:r>
        <w:rPr>
          <w:rFonts w:hint="eastAsia"/>
          <w:snapToGrid w:val="0"/>
          <w:color w:val="auto"/>
          <w:kern w:val="0"/>
          <w:sz w:val="24"/>
          <w:highlight w:val="none"/>
          <w:lang w:eastAsia="zh-CN"/>
        </w:rPr>
        <w:t>中</w:t>
      </w:r>
      <w:r>
        <w:rPr>
          <w:rFonts w:hint="eastAsia"/>
          <w:snapToGrid w:val="0"/>
          <w:color w:val="auto"/>
          <w:kern w:val="0"/>
          <w:sz w:val="24"/>
          <w:highlight w:val="none"/>
          <w:lang w:val="en-US" w:eastAsia="zh-CN"/>
        </w:rPr>
        <w:t>颗粒物参照执行</w:t>
      </w:r>
      <w:r>
        <w:rPr>
          <w:rFonts w:hint="eastAsia"/>
          <w:snapToGrid w:val="0"/>
          <w:color w:val="auto"/>
          <w:kern w:val="0"/>
          <w:sz w:val="24"/>
          <w:highlight w:val="none"/>
        </w:rPr>
        <w:t>《合成树脂工业污染物排放标准》（GB31572-2015</w:t>
      </w:r>
      <w:r>
        <w:rPr>
          <w:rFonts w:hint="eastAsia"/>
          <w:snapToGrid w:val="0"/>
          <w:color w:val="auto"/>
          <w:kern w:val="0"/>
          <w:sz w:val="24"/>
          <w:highlight w:val="none"/>
          <w:lang w:eastAsia="zh-CN"/>
        </w:rPr>
        <w:t>，</w:t>
      </w:r>
      <w:r>
        <w:rPr>
          <w:rFonts w:hint="eastAsia"/>
          <w:snapToGrid w:val="0"/>
          <w:color w:val="auto"/>
          <w:kern w:val="0"/>
          <w:sz w:val="24"/>
          <w:highlight w:val="none"/>
        </w:rPr>
        <w:t>含2024年修改单）表5大气污染物特别排放限值，二氧化硫、氮氧化物</w:t>
      </w:r>
      <w:r>
        <w:rPr>
          <w:rFonts w:hint="eastAsia"/>
          <w:snapToGrid w:val="0"/>
          <w:color w:val="auto"/>
          <w:kern w:val="0"/>
          <w:sz w:val="24"/>
          <w:highlight w:val="none"/>
          <w:lang w:val="en-US" w:eastAsia="zh-CN"/>
        </w:rPr>
        <w:t>参照</w:t>
      </w:r>
      <w:r>
        <w:rPr>
          <w:rFonts w:hint="eastAsia"/>
          <w:snapToGrid w:val="0"/>
          <w:color w:val="auto"/>
          <w:kern w:val="0"/>
          <w:sz w:val="24"/>
          <w:highlight w:val="none"/>
        </w:rPr>
        <w:t>执行《合成树脂工业污染物排放标准》（GB31572-2015</w:t>
      </w:r>
      <w:r>
        <w:rPr>
          <w:rFonts w:hint="eastAsia"/>
          <w:snapToGrid w:val="0"/>
          <w:color w:val="auto"/>
          <w:kern w:val="0"/>
          <w:sz w:val="24"/>
          <w:highlight w:val="none"/>
          <w:lang w:eastAsia="zh-CN"/>
        </w:rPr>
        <w:t>，</w:t>
      </w:r>
      <w:r>
        <w:rPr>
          <w:rFonts w:hint="eastAsia"/>
          <w:snapToGrid w:val="0"/>
          <w:color w:val="auto"/>
          <w:kern w:val="0"/>
          <w:sz w:val="24"/>
          <w:highlight w:val="none"/>
        </w:rPr>
        <w:t>含2024年修改单）表</w:t>
      </w:r>
      <w:r>
        <w:rPr>
          <w:rFonts w:hint="eastAsia"/>
          <w:snapToGrid w:val="0"/>
          <w:color w:val="auto"/>
          <w:kern w:val="0"/>
          <w:sz w:val="24"/>
          <w:highlight w:val="none"/>
          <w:lang w:val="en-US" w:eastAsia="zh-CN"/>
        </w:rPr>
        <w:t>6</w:t>
      </w:r>
      <w:r>
        <w:rPr>
          <w:rFonts w:hint="eastAsia"/>
          <w:snapToGrid w:val="0"/>
          <w:color w:val="auto"/>
          <w:kern w:val="0"/>
          <w:sz w:val="24"/>
          <w:highlight w:val="none"/>
        </w:rPr>
        <w:t>焚烧设施SO</w:t>
      </w:r>
      <w:r>
        <w:rPr>
          <w:rFonts w:hint="eastAsia"/>
          <w:snapToGrid w:val="0"/>
          <w:color w:val="auto"/>
          <w:kern w:val="0"/>
          <w:sz w:val="24"/>
          <w:highlight w:val="none"/>
          <w:vertAlign w:val="subscript"/>
        </w:rPr>
        <w:t>2</w:t>
      </w:r>
      <w:r>
        <w:rPr>
          <w:rFonts w:hint="eastAsia"/>
          <w:snapToGrid w:val="0"/>
          <w:color w:val="auto"/>
          <w:kern w:val="0"/>
          <w:sz w:val="24"/>
          <w:highlight w:val="none"/>
        </w:rPr>
        <w:t>、NO</w:t>
      </w:r>
      <w:r>
        <w:rPr>
          <w:rFonts w:hint="eastAsia"/>
          <w:snapToGrid w:val="0"/>
          <w:color w:val="auto"/>
          <w:kern w:val="0"/>
          <w:sz w:val="24"/>
          <w:highlight w:val="none"/>
          <w:vertAlign w:val="subscript"/>
          <w:lang w:val="en-US" w:eastAsia="zh-CN"/>
        </w:rPr>
        <w:t>X</w:t>
      </w:r>
      <w:r>
        <w:rPr>
          <w:rFonts w:hint="eastAsia"/>
          <w:snapToGrid w:val="0"/>
          <w:color w:val="auto"/>
          <w:kern w:val="0"/>
          <w:sz w:val="24"/>
          <w:highlight w:val="none"/>
        </w:rPr>
        <w:t>排放限值。</w:t>
      </w:r>
    </w:p>
    <w:p w14:paraId="2ABF8AF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w:t>
      </w:r>
      <w:r>
        <w:rPr>
          <w:rFonts w:hint="eastAsia"/>
          <w:snapToGrid w:val="0"/>
          <w:color w:val="auto"/>
          <w:kern w:val="0"/>
          <w:sz w:val="24"/>
          <w:highlight w:val="none"/>
          <w:lang w:eastAsia="zh-CN"/>
        </w:rPr>
        <w:t>）</w:t>
      </w:r>
      <w:r>
        <w:rPr>
          <w:rFonts w:hint="eastAsia"/>
          <w:snapToGrid w:val="0"/>
          <w:color w:val="auto"/>
          <w:kern w:val="0"/>
          <w:sz w:val="24"/>
          <w:highlight w:val="none"/>
        </w:rPr>
        <w:t>无组织废气</w:t>
      </w:r>
    </w:p>
    <w:p w14:paraId="44014A1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NMHC厂界无组织排放执行《合成树脂工业污染物排放标准》（GB31572-2015，含2024年修改单）表9企业边界大气污染物浓度限值。</w:t>
      </w:r>
    </w:p>
    <w:p w14:paraId="44686CC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厂区内NMHC无组织排放执行《挥发性有机物无组织排放控制标准》（GB37822-2019）表A.1特别排放限值。</w:t>
      </w:r>
    </w:p>
    <w:p w14:paraId="47F58EF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本项目废气污染物排放标准限值一览表，见表2.</w:t>
      </w:r>
      <w:r>
        <w:rPr>
          <w:rFonts w:hint="eastAsia"/>
          <w:snapToGrid w:val="0"/>
          <w:color w:val="auto"/>
          <w:kern w:val="0"/>
          <w:sz w:val="24"/>
          <w:highlight w:val="none"/>
          <w:lang w:val="en-US" w:eastAsia="zh-CN"/>
        </w:rPr>
        <w:t>5</w:t>
      </w:r>
      <w:r>
        <w:rPr>
          <w:rFonts w:hint="eastAsia"/>
          <w:snapToGrid w:val="0"/>
          <w:color w:val="auto"/>
          <w:kern w:val="0"/>
          <w:sz w:val="24"/>
          <w:highlight w:val="none"/>
        </w:rPr>
        <w:t>-</w:t>
      </w:r>
      <w:r>
        <w:rPr>
          <w:rFonts w:hint="eastAsia"/>
          <w:snapToGrid w:val="0"/>
          <w:color w:val="auto"/>
          <w:kern w:val="0"/>
          <w:sz w:val="24"/>
          <w:highlight w:val="none"/>
          <w:lang w:val="en-US" w:eastAsia="zh-CN"/>
        </w:rPr>
        <w:t>5</w:t>
      </w:r>
      <w:r>
        <w:rPr>
          <w:rFonts w:hint="eastAsia"/>
          <w:snapToGrid w:val="0"/>
          <w:color w:val="auto"/>
          <w:kern w:val="0"/>
          <w:sz w:val="24"/>
          <w:highlight w:val="none"/>
        </w:rPr>
        <w:t>。</w:t>
      </w:r>
    </w:p>
    <w:p w14:paraId="188633A3">
      <w:pPr>
        <w:adjustRightInd w:val="0"/>
        <w:snapToGrid w:val="0"/>
        <w:jc w:val="center"/>
        <w:rPr>
          <w:b/>
          <w:bCs/>
          <w:snapToGrid w:val="0"/>
          <w:color w:val="auto"/>
          <w:kern w:val="0"/>
          <w:szCs w:val="21"/>
          <w:highlight w:val="none"/>
          <w:vertAlign w:val="superscript"/>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5</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5</w:t>
      </w:r>
      <w:r>
        <w:rPr>
          <w:b/>
          <w:bCs/>
          <w:snapToGrid w:val="0"/>
          <w:color w:val="auto"/>
          <w:kern w:val="0"/>
          <w:szCs w:val="21"/>
          <w:highlight w:val="none"/>
        </w:rPr>
        <w:t xml:space="preserve"> 大气污染物排放标准</w:t>
      </w:r>
      <w:r>
        <w:rPr>
          <w:rFonts w:hint="eastAsia"/>
          <w:b/>
          <w:bCs/>
          <w:snapToGrid w:val="0"/>
          <w:color w:val="auto"/>
          <w:kern w:val="0"/>
          <w:szCs w:val="21"/>
          <w:highlight w:val="none"/>
        </w:rPr>
        <w:t xml:space="preserve">  单位mg/m</w:t>
      </w:r>
      <w:r>
        <w:rPr>
          <w:rFonts w:hint="eastAsia"/>
          <w:b/>
          <w:bCs/>
          <w:snapToGrid w:val="0"/>
          <w:color w:val="auto"/>
          <w:kern w:val="0"/>
          <w:szCs w:val="21"/>
          <w:highlight w:val="none"/>
          <w:vertAlign w:val="superscript"/>
        </w:rPr>
        <w:t>3</w:t>
      </w:r>
    </w:p>
    <w:tbl>
      <w:tblPr>
        <w:tblStyle w:val="56"/>
        <w:tblW w:w="81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33"/>
        <w:gridCol w:w="1347"/>
        <w:gridCol w:w="1740"/>
        <w:gridCol w:w="3860"/>
      </w:tblGrid>
      <w:tr w14:paraId="3FE1E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tcMar>
              <w:left w:w="0" w:type="dxa"/>
              <w:right w:w="0" w:type="dxa"/>
            </w:tcMar>
            <w:vAlign w:val="center"/>
          </w:tcPr>
          <w:p w14:paraId="71E889DC">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污染源</w:t>
            </w:r>
          </w:p>
        </w:tc>
        <w:tc>
          <w:tcPr>
            <w:tcW w:w="1347" w:type="dxa"/>
            <w:tcMar>
              <w:left w:w="0" w:type="dxa"/>
              <w:right w:w="0" w:type="dxa"/>
            </w:tcMar>
            <w:vAlign w:val="center"/>
          </w:tcPr>
          <w:p w14:paraId="2F0F58E1">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污染物名称</w:t>
            </w:r>
          </w:p>
        </w:tc>
        <w:tc>
          <w:tcPr>
            <w:tcW w:w="1740" w:type="dxa"/>
            <w:tcMar>
              <w:left w:w="0" w:type="dxa"/>
              <w:right w:w="0" w:type="dxa"/>
            </w:tcMar>
            <w:vAlign w:val="center"/>
          </w:tcPr>
          <w:p w14:paraId="7D42D7DB">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最高允许排放浓度</w:t>
            </w:r>
          </w:p>
          <w:p w14:paraId="2B5B9768">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mg/m</w:t>
            </w:r>
            <w:r>
              <w:rPr>
                <w:rFonts w:ascii="Times New Roman" w:hAnsi="Times New Roman" w:eastAsia="宋体" w:cs="Times New Roman"/>
                <w:snapToGrid w:val="0"/>
                <w:color w:val="auto"/>
                <w:kern w:val="0"/>
                <w:sz w:val="21"/>
                <w:szCs w:val="21"/>
                <w:highlight w:val="none"/>
                <w:vertAlign w:val="superscript"/>
              </w:rPr>
              <w:t>3</w:t>
            </w:r>
            <w:r>
              <w:rPr>
                <w:rFonts w:hint="eastAsia" w:ascii="Times New Roman" w:hAnsi="Times New Roman" w:eastAsia="宋体" w:cs="Times New Roman"/>
                <w:snapToGrid w:val="0"/>
                <w:color w:val="auto"/>
                <w:kern w:val="0"/>
                <w:sz w:val="21"/>
                <w:szCs w:val="21"/>
                <w:highlight w:val="none"/>
                <w:lang w:eastAsia="zh-CN"/>
              </w:rPr>
              <w:t>）</w:t>
            </w:r>
          </w:p>
        </w:tc>
        <w:tc>
          <w:tcPr>
            <w:tcW w:w="3860" w:type="dxa"/>
            <w:vAlign w:val="center"/>
          </w:tcPr>
          <w:p w14:paraId="1DE63296">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标准来源</w:t>
            </w:r>
          </w:p>
        </w:tc>
      </w:tr>
      <w:tr w14:paraId="51315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restart"/>
            <w:tcMar>
              <w:left w:w="0" w:type="dxa"/>
              <w:right w:w="0" w:type="dxa"/>
            </w:tcMar>
            <w:vAlign w:val="center"/>
          </w:tcPr>
          <w:p w14:paraId="19817316">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发酵废气</w:t>
            </w:r>
          </w:p>
        </w:tc>
        <w:tc>
          <w:tcPr>
            <w:tcW w:w="1347" w:type="dxa"/>
            <w:shd w:val="clear" w:color="auto" w:fill="auto"/>
            <w:tcMar>
              <w:left w:w="0" w:type="dxa"/>
              <w:right w:w="0" w:type="dxa"/>
            </w:tcMar>
            <w:vAlign w:val="center"/>
          </w:tcPr>
          <w:p w14:paraId="5466E3E1">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颗粒物</w:t>
            </w:r>
          </w:p>
        </w:tc>
        <w:tc>
          <w:tcPr>
            <w:tcW w:w="1740" w:type="dxa"/>
            <w:tcMar>
              <w:left w:w="0" w:type="dxa"/>
              <w:right w:w="0" w:type="dxa"/>
            </w:tcMar>
            <w:vAlign w:val="center"/>
          </w:tcPr>
          <w:p w14:paraId="59BC4903">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20</w:t>
            </w:r>
          </w:p>
        </w:tc>
        <w:tc>
          <w:tcPr>
            <w:tcW w:w="3860" w:type="dxa"/>
            <w:vMerge w:val="restart"/>
            <w:vAlign w:val="center"/>
          </w:tcPr>
          <w:p w14:paraId="2E46EF58">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《制药工业大气污染物排放标准》（GB37823-2019）表2</w:t>
            </w:r>
          </w:p>
        </w:tc>
      </w:tr>
      <w:tr w14:paraId="46577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0D487920">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shd w:val="clear" w:color="auto" w:fill="auto"/>
            <w:tcMar>
              <w:left w:w="0" w:type="dxa"/>
              <w:right w:w="0" w:type="dxa"/>
            </w:tcMar>
            <w:vAlign w:val="center"/>
          </w:tcPr>
          <w:p w14:paraId="4C7E8546">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w:t>
            </w:r>
          </w:p>
        </w:tc>
        <w:tc>
          <w:tcPr>
            <w:tcW w:w="1740" w:type="dxa"/>
            <w:tcMar>
              <w:left w:w="0" w:type="dxa"/>
              <w:right w:w="0" w:type="dxa"/>
            </w:tcMar>
            <w:vAlign w:val="center"/>
          </w:tcPr>
          <w:p w14:paraId="7D5D75FE">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60</w:t>
            </w:r>
          </w:p>
        </w:tc>
        <w:tc>
          <w:tcPr>
            <w:tcW w:w="3860" w:type="dxa"/>
            <w:vMerge w:val="continue"/>
            <w:vAlign w:val="center"/>
          </w:tcPr>
          <w:p w14:paraId="25003B1C">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r>
      <w:tr w14:paraId="4E5A3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5FEE108C">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shd w:val="clear" w:color="auto" w:fill="auto"/>
            <w:tcMar>
              <w:left w:w="0" w:type="dxa"/>
              <w:right w:w="0" w:type="dxa"/>
            </w:tcMar>
            <w:vAlign w:val="center"/>
          </w:tcPr>
          <w:p w14:paraId="3D35B246">
            <w:pPr>
              <w:keepNext w:val="0"/>
              <w:keepLines w:val="0"/>
              <w:pageBreakBefore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w:t>
            </w:r>
            <w:r>
              <w:rPr>
                <w:rFonts w:ascii="Times New Roman" w:hAnsi="Times New Roman" w:eastAsia="宋体" w:cs="Times New Roman"/>
                <w:snapToGrid w:val="0"/>
                <w:color w:val="auto"/>
                <w:kern w:val="0"/>
                <w:sz w:val="21"/>
                <w:szCs w:val="21"/>
                <w:highlight w:val="none"/>
              </w:rPr>
              <w:t>H</w:t>
            </w:r>
            <w:r>
              <w:rPr>
                <w:rFonts w:ascii="Times New Roman" w:hAnsi="Times New Roman" w:eastAsia="宋体" w:cs="Times New Roman"/>
                <w:snapToGrid w:val="0"/>
                <w:color w:val="auto"/>
                <w:kern w:val="0"/>
                <w:sz w:val="21"/>
                <w:szCs w:val="21"/>
                <w:highlight w:val="none"/>
                <w:vertAlign w:val="subscript"/>
              </w:rPr>
              <w:t>3</w:t>
            </w:r>
          </w:p>
        </w:tc>
        <w:tc>
          <w:tcPr>
            <w:tcW w:w="1740" w:type="dxa"/>
            <w:tcMar>
              <w:left w:w="0" w:type="dxa"/>
              <w:right w:w="0" w:type="dxa"/>
            </w:tcMar>
            <w:vAlign w:val="center"/>
          </w:tcPr>
          <w:p w14:paraId="3B05C7F0">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3</w:t>
            </w:r>
            <w:r>
              <w:rPr>
                <w:rFonts w:hint="eastAsia" w:ascii="Times New Roman" w:hAnsi="Times New Roman" w:eastAsia="宋体" w:cs="Times New Roman"/>
                <w:snapToGrid w:val="0"/>
                <w:color w:val="auto"/>
                <w:kern w:val="0"/>
                <w:sz w:val="21"/>
                <w:szCs w:val="21"/>
                <w:highlight w:val="none"/>
              </w:rPr>
              <w:t>5m高排气筒</w:t>
            </w:r>
          </w:p>
          <w:p w14:paraId="0CF35234">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速率≤</w:t>
            </w:r>
            <w:r>
              <w:rPr>
                <w:rFonts w:hint="eastAsia" w:ascii="Times New Roman" w:hAnsi="Times New Roman" w:eastAsia="宋体" w:cs="Times New Roman"/>
                <w:snapToGrid w:val="0"/>
                <w:color w:val="auto"/>
                <w:kern w:val="0"/>
                <w:sz w:val="21"/>
                <w:szCs w:val="21"/>
                <w:highlight w:val="none"/>
                <w:lang w:val="en-US" w:eastAsia="zh-CN"/>
              </w:rPr>
              <w:t>27</w:t>
            </w:r>
            <w:r>
              <w:rPr>
                <w:rFonts w:hint="eastAsia" w:ascii="Times New Roman" w:hAnsi="Times New Roman" w:eastAsia="宋体" w:cs="Times New Roman"/>
                <w:snapToGrid w:val="0"/>
                <w:color w:val="auto"/>
                <w:kern w:val="0"/>
                <w:sz w:val="21"/>
                <w:szCs w:val="21"/>
                <w:highlight w:val="none"/>
              </w:rPr>
              <w:t>kg/h</w:t>
            </w:r>
          </w:p>
        </w:tc>
        <w:tc>
          <w:tcPr>
            <w:tcW w:w="3860" w:type="dxa"/>
            <w:vMerge w:val="restart"/>
            <w:vAlign w:val="center"/>
          </w:tcPr>
          <w:p w14:paraId="2A22247D">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《恶臭污染物排放标准》（‌GB14554-93）表2</w:t>
            </w:r>
          </w:p>
        </w:tc>
      </w:tr>
      <w:tr w14:paraId="02539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4C0B87E6">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shd w:val="clear" w:color="auto" w:fill="auto"/>
            <w:tcMar>
              <w:left w:w="0" w:type="dxa"/>
              <w:right w:w="0" w:type="dxa"/>
            </w:tcMar>
            <w:vAlign w:val="center"/>
          </w:tcPr>
          <w:p w14:paraId="60E8782C">
            <w:pPr>
              <w:keepNext w:val="0"/>
              <w:keepLines w:val="0"/>
              <w:pageBreakBefore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S</w:t>
            </w:r>
          </w:p>
        </w:tc>
        <w:tc>
          <w:tcPr>
            <w:tcW w:w="1740" w:type="dxa"/>
            <w:tcMar>
              <w:left w:w="0" w:type="dxa"/>
              <w:right w:w="0" w:type="dxa"/>
            </w:tcMar>
            <w:vAlign w:val="center"/>
          </w:tcPr>
          <w:p w14:paraId="3D835910">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35</w:t>
            </w:r>
            <w:r>
              <w:rPr>
                <w:rFonts w:hint="eastAsia" w:ascii="Times New Roman" w:hAnsi="Times New Roman" w:eastAsia="宋体" w:cs="Times New Roman"/>
                <w:snapToGrid w:val="0"/>
                <w:color w:val="auto"/>
                <w:kern w:val="0"/>
                <w:sz w:val="21"/>
                <w:szCs w:val="21"/>
                <w:highlight w:val="none"/>
              </w:rPr>
              <w:t>m高排气筒</w:t>
            </w:r>
          </w:p>
          <w:p w14:paraId="7BA794A2">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速率≤</w:t>
            </w:r>
            <w:r>
              <w:rPr>
                <w:rFonts w:hint="eastAsia" w:ascii="Times New Roman" w:hAnsi="Times New Roman" w:eastAsia="宋体" w:cs="Times New Roman"/>
                <w:snapToGrid w:val="0"/>
                <w:color w:val="auto"/>
                <w:kern w:val="0"/>
                <w:sz w:val="21"/>
                <w:szCs w:val="21"/>
                <w:highlight w:val="none"/>
                <w:lang w:val="en-US" w:eastAsia="zh-CN"/>
              </w:rPr>
              <w:t>1.8</w:t>
            </w:r>
            <w:r>
              <w:rPr>
                <w:rFonts w:hint="eastAsia" w:ascii="Times New Roman" w:hAnsi="Times New Roman" w:eastAsia="宋体" w:cs="Times New Roman"/>
                <w:snapToGrid w:val="0"/>
                <w:color w:val="auto"/>
                <w:kern w:val="0"/>
                <w:sz w:val="21"/>
                <w:szCs w:val="21"/>
                <w:highlight w:val="none"/>
              </w:rPr>
              <w:t>kg/h</w:t>
            </w:r>
          </w:p>
        </w:tc>
        <w:tc>
          <w:tcPr>
            <w:tcW w:w="3860" w:type="dxa"/>
            <w:vMerge w:val="continue"/>
            <w:vAlign w:val="center"/>
          </w:tcPr>
          <w:p w14:paraId="49821A3A">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r>
      <w:tr w14:paraId="1C342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0E1BBE35">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shd w:val="clear" w:color="auto" w:fill="auto"/>
            <w:tcMar>
              <w:left w:w="0" w:type="dxa"/>
              <w:right w:w="0" w:type="dxa"/>
            </w:tcMar>
            <w:vAlign w:val="center"/>
          </w:tcPr>
          <w:p w14:paraId="24E9AE86">
            <w:pPr>
              <w:keepNext w:val="0"/>
              <w:keepLines w:val="0"/>
              <w:pageBreakBefore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臭气浓度</w:t>
            </w:r>
          </w:p>
        </w:tc>
        <w:tc>
          <w:tcPr>
            <w:tcW w:w="1740" w:type="dxa"/>
            <w:tcMar>
              <w:left w:w="0" w:type="dxa"/>
              <w:right w:w="0" w:type="dxa"/>
            </w:tcMar>
            <w:vAlign w:val="center"/>
          </w:tcPr>
          <w:p w14:paraId="1E68A33A">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3</w:t>
            </w:r>
            <w:r>
              <w:rPr>
                <w:rFonts w:hint="eastAsia" w:ascii="Times New Roman" w:hAnsi="Times New Roman" w:eastAsia="宋体" w:cs="Times New Roman"/>
                <w:snapToGrid w:val="0"/>
                <w:color w:val="auto"/>
                <w:kern w:val="0"/>
                <w:sz w:val="21"/>
                <w:szCs w:val="21"/>
                <w:highlight w:val="none"/>
              </w:rPr>
              <w:t>5m高排气筒</w:t>
            </w:r>
          </w:p>
          <w:p w14:paraId="6DEFF452">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标准值</w:t>
            </w:r>
            <w:r>
              <w:rPr>
                <w:rFonts w:hint="eastAsia"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15</w:t>
            </w:r>
            <w:r>
              <w:rPr>
                <w:rFonts w:hint="eastAsia" w:ascii="Times New Roman" w:hAnsi="Times New Roman" w:eastAsia="宋体" w:cs="Times New Roman"/>
                <w:snapToGrid w:val="0"/>
                <w:color w:val="auto"/>
                <w:kern w:val="0"/>
                <w:sz w:val="21"/>
                <w:szCs w:val="21"/>
                <w:highlight w:val="none"/>
              </w:rPr>
              <w:t>000</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无量纲</w:t>
            </w:r>
            <w:r>
              <w:rPr>
                <w:rFonts w:hint="eastAsia" w:ascii="Times New Roman" w:hAnsi="Times New Roman" w:eastAsia="宋体" w:cs="Times New Roman"/>
                <w:snapToGrid w:val="0"/>
                <w:color w:val="auto"/>
                <w:kern w:val="0"/>
                <w:sz w:val="21"/>
                <w:szCs w:val="21"/>
                <w:highlight w:val="none"/>
                <w:lang w:eastAsia="zh-CN"/>
              </w:rPr>
              <w:t>）</w:t>
            </w:r>
          </w:p>
        </w:tc>
        <w:tc>
          <w:tcPr>
            <w:tcW w:w="3860" w:type="dxa"/>
            <w:vMerge w:val="continue"/>
            <w:vAlign w:val="center"/>
          </w:tcPr>
          <w:p w14:paraId="2A74F770">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r>
      <w:tr w14:paraId="5AC14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restart"/>
            <w:tcMar>
              <w:left w:w="0" w:type="dxa"/>
              <w:right w:w="0" w:type="dxa"/>
            </w:tcMar>
            <w:vAlign w:val="center"/>
          </w:tcPr>
          <w:p w14:paraId="1FD41A21">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其他</w:t>
            </w:r>
          </w:p>
          <w:p w14:paraId="395623AD">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工艺废气</w:t>
            </w:r>
          </w:p>
        </w:tc>
        <w:tc>
          <w:tcPr>
            <w:tcW w:w="1347" w:type="dxa"/>
            <w:tcMar>
              <w:left w:w="0" w:type="dxa"/>
              <w:right w:w="0" w:type="dxa"/>
            </w:tcMar>
            <w:vAlign w:val="center"/>
          </w:tcPr>
          <w:p w14:paraId="3101FED3">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颗粒物</w:t>
            </w:r>
          </w:p>
        </w:tc>
        <w:tc>
          <w:tcPr>
            <w:tcW w:w="1740" w:type="dxa"/>
            <w:tcMar>
              <w:left w:w="0" w:type="dxa"/>
              <w:right w:w="0" w:type="dxa"/>
            </w:tcMar>
            <w:vAlign w:val="center"/>
          </w:tcPr>
          <w:p w14:paraId="59EC018B">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20</w:t>
            </w:r>
          </w:p>
        </w:tc>
        <w:tc>
          <w:tcPr>
            <w:tcW w:w="3860" w:type="dxa"/>
            <w:vMerge w:val="restart"/>
            <w:tcMar>
              <w:left w:w="0" w:type="dxa"/>
              <w:right w:w="0" w:type="dxa"/>
            </w:tcMar>
            <w:vAlign w:val="center"/>
          </w:tcPr>
          <w:p w14:paraId="30A8EBD8">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含2024年修改单）表5</w:t>
            </w:r>
          </w:p>
        </w:tc>
      </w:tr>
      <w:tr w14:paraId="164C0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7D049BED">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tcMar>
              <w:left w:w="0" w:type="dxa"/>
              <w:right w:w="0" w:type="dxa"/>
            </w:tcMar>
            <w:vAlign w:val="center"/>
          </w:tcPr>
          <w:p w14:paraId="0A1AF2C9">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w:t>
            </w:r>
          </w:p>
        </w:tc>
        <w:tc>
          <w:tcPr>
            <w:tcW w:w="1740" w:type="dxa"/>
            <w:tcMar>
              <w:left w:w="0" w:type="dxa"/>
              <w:right w:w="0" w:type="dxa"/>
            </w:tcMar>
            <w:vAlign w:val="center"/>
          </w:tcPr>
          <w:p w14:paraId="1A14EB4F">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60</w:t>
            </w:r>
          </w:p>
        </w:tc>
        <w:tc>
          <w:tcPr>
            <w:tcW w:w="3860" w:type="dxa"/>
            <w:vMerge w:val="continue"/>
            <w:tcMar>
              <w:left w:w="0" w:type="dxa"/>
              <w:right w:w="0" w:type="dxa"/>
            </w:tcMar>
            <w:vAlign w:val="center"/>
          </w:tcPr>
          <w:p w14:paraId="27A3AD42">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r>
      <w:tr w14:paraId="0F844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45D09592">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shd w:val="clear" w:color="auto" w:fill="auto"/>
            <w:tcMar>
              <w:left w:w="0" w:type="dxa"/>
              <w:right w:w="0" w:type="dxa"/>
            </w:tcMar>
            <w:vAlign w:val="center"/>
          </w:tcPr>
          <w:p w14:paraId="20982257">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硫酸雾</w:t>
            </w:r>
          </w:p>
        </w:tc>
        <w:tc>
          <w:tcPr>
            <w:tcW w:w="1740" w:type="dxa"/>
            <w:shd w:val="clear" w:color="auto" w:fill="auto"/>
            <w:tcMar>
              <w:left w:w="0" w:type="dxa"/>
              <w:right w:w="0" w:type="dxa"/>
            </w:tcMar>
            <w:vAlign w:val="center"/>
          </w:tcPr>
          <w:p w14:paraId="34DC5C78">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45，</w:t>
            </w:r>
          </w:p>
          <w:p w14:paraId="03762629">
            <w:pPr>
              <w:keepNext w:val="0"/>
              <w:keepLines w:val="0"/>
              <w:pageBreakBefore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20m高排气筒</w:t>
            </w:r>
          </w:p>
          <w:p w14:paraId="14526C6E">
            <w:pPr>
              <w:keepNext w:val="0"/>
              <w:keepLines w:val="0"/>
              <w:pageBreakBefore w:val="0"/>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速率≤2.6kg/h</w:t>
            </w:r>
          </w:p>
        </w:tc>
        <w:tc>
          <w:tcPr>
            <w:tcW w:w="3860" w:type="dxa"/>
            <w:shd w:val="clear" w:color="auto" w:fill="auto"/>
            <w:tcMar>
              <w:left w:w="0" w:type="dxa"/>
              <w:right w:w="0" w:type="dxa"/>
            </w:tcMar>
            <w:vAlign w:val="center"/>
          </w:tcPr>
          <w:p w14:paraId="27CE8074">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《大气污染物综合排放标准》（GB26132-2010）表</w:t>
            </w:r>
            <w:r>
              <w:rPr>
                <w:rFonts w:hint="eastAsia" w:ascii="Times New Roman" w:hAnsi="Times New Roman" w:eastAsia="宋体" w:cs="Times New Roman"/>
                <w:snapToGrid w:val="0"/>
                <w:color w:val="auto"/>
                <w:kern w:val="0"/>
                <w:sz w:val="21"/>
                <w:szCs w:val="21"/>
                <w:highlight w:val="none"/>
              </w:rPr>
              <w:t>2</w:t>
            </w:r>
          </w:p>
        </w:tc>
      </w:tr>
      <w:tr w14:paraId="55997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restart"/>
            <w:tcMar>
              <w:left w:w="0" w:type="dxa"/>
              <w:right w:w="0" w:type="dxa"/>
            </w:tcMar>
            <w:vAlign w:val="center"/>
          </w:tcPr>
          <w:p w14:paraId="7948BA6D">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rPr>
              <w:t>活性炭再生</w:t>
            </w:r>
            <w:r>
              <w:rPr>
                <w:rFonts w:hint="eastAsia" w:ascii="Times New Roman" w:hAnsi="Times New Roman" w:eastAsia="宋体" w:cs="Times New Roman"/>
                <w:snapToGrid w:val="0"/>
                <w:color w:val="auto"/>
                <w:kern w:val="0"/>
                <w:sz w:val="21"/>
                <w:szCs w:val="21"/>
                <w:highlight w:val="none"/>
                <w:lang w:val="en-US" w:eastAsia="zh-CN"/>
              </w:rPr>
              <w:t>炉</w:t>
            </w:r>
          </w:p>
        </w:tc>
        <w:tc>
          <w:tcPr>
            <w:tcW w:w="1347" w:type="dxa"/>
            <w:tcMar>
              <w:left w:w="0" w:type="dxa"/>
              <w:right w:w="0" w:type="dxa"/>
            </w:tcMar>
            <w:vAlign w:val="center"/>
          </w:tcPr>
          <w:p w14:paraId="609669A3">
            <w:pPr>
              <w:pStyle w:val="771"/>
              <w:keepNext w:val="0"/>
              <w:keepLines w:val="0"/>
              <w:pageBreakBefore w:val="0"/>
              <w:tabs>
                <w:tab w:val="left" w:pos="1119"/>
              </w:tabs>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SO</w:t>
            </w:r>
            <w:r>
              <w:rPr>
                <w:rFonts w:hint="default" w:ascii="Times New Roman" w:hAnsi="Times New Roman" w:eastAsia="宋体" w:cs="Times New Roman"/>
                <w:snapToGrid w:val="0"/>
                <w:color w:val="auto"/>
                <w:kern w:val="0"/>
                <w:sz w:val="21"/>
                <w:szCs w:val="21"/>
                <w:highlight w:val="none"/>
                <w:vertAlign w:val="subscript"/>
              </w:rPr>
              <w:t>2</w:t>
            </w:r>
          </w:p>
        </w:tc>
        <w:tc>
          <w:tcPr>
            <w:tcW w:w="1740" w:type="dxa"/>
            <w:tcMar>
              <w:left w:w="0" w:type="dxa"/>
              <w:right w:w="0" w:type="dxa"/>
            </w:tcMar>
            <w:vAlign w:val="center"/>
          </w:tcPr>
          <w:p w14:paraId="0D8C6445">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5</w:t>
            </w:r>
            <w:r>
              <w:rPr>
                <w:rFonts w:hint="eastAsia" w:ascii="Times New Roman" w:hAnsi="Times New Roman" w:eastAsia="宋体" w:cs="Times New Roman"/>
                <w:snapToGrid w:val="0"/>
                <w:color w:val="auto"/>
                <w:kern w:val="0"/>
                <w:sz w:val="21"/>
                <w:szCs w:val="21"/>
                <w:highlight w:val="none"/>
              </w:rPr>
              <w:t>0</w:t>
            </w:r>
          </w:p>
        </w:tc>
        <w:tc>
          <w:tcPr>
            <w:tcW w:w="3860" w:type="dxa"/>
            <w:vMerge w:val="restart"/>
            <w:tcMar>
              <w:left w:w="0" w:type="dxa"/>
              <w:right w:w="0" w:type="dxa"/>
            </w:tcMar>
            <w:vAlign w:val="center"/>
          </w:tcPr>
          <w:p w14:paraId="7828FEEE">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含2024年修改单）表</w:t>
            </w:r>
            <w:r>
              <w:rPr>
                <w:rFonts w:hint="eastAsia" w:ascii="Times New Roman" w:hAnsi="Times New Roman" w:eastAsia="宋体" w:cs="Times New Roman"/>
                <w:snapToGrid w:val="0"/>
                <w:color w:val="auto"/>
                <w:kern w:val="0"/>
                <w:sz w:val="21"/>
                <w:szCs w:val="21"/>
                <w:highlight w:val="none"/>
                <w:lang w:val="en-US" w:eastAsia="zh-CN"/>
              </w:rPr>
              <w:t>6特别排放限值</w:t>
            </w:r>
          </w:p>
        </w:tc>
      </w:tr>
      <w:tr w14:paraId="19C1A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117CCEE2">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tcMar>
              <w:left w:w="0" w:type="dxa"/>
              <w:right w:w="0" w:type="dxa"/>
            </w:tcMar>
            <w:vAlign w:val="center"/>
          </w:tcPr>
          <w:p w14:paraId="665F5BA4">
            <w:pPr>
              <w:pStyle w:val="771"/>
              <w:keepNext w:val="0"/>
              <w:keepLines w:val="0"/>
              <w:pageBreakBefore w:val="0"/>
              <w:tabs>
                <w:tab w:val="left" w:pos="1119"/>
              </w:tabs>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NOx</w:t>
            </w:r>
          </w:p>
        </w:tc>
        <w:tc>
          <w:tcPr>
            <w:tcW w:w="1740" w:type="dxa"/>
            <w:tcMar>
              <w:left w:w="0" w:type="dxa"/>
              <w:right w:w="0" w:type="dxa"/>
            </w:tcMar>
            <w:vAlign w:val="center"/>
          </w:tcPr>
          <w:p w14:paraId="7AA18455">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w:t>
            </w:r>
            <w:r>
              <w:rPr>
                <w:rFonts w:hint="eastAsia" w:ascii="Times New Roman" w:hAnsi="Times New Roman" w:eastAsia="宋体" w:cs="Times New Roman"/>
                <w:snapToGrid w:val="0"/>
                <w:color w:val="auto"/>
                <w:kern w:val="0"/>
                <w:sz w:val="21"/>
                <w:szCs w:val="21"/>
                <w:highlight w:val="none"/>
              </w:rPr>
              <w:t>00</w:t>
            </w:r>
          </w:p>
        </w:tc>
        <w:tc>
          <w:tcPr>
            <w:tcW w:w="3860" w:type="dxa"/>
            <w:vMerge w:val="continue"/>
            <w:tcMar>
              <w:left w:w="0" w:type="dxa"/>
              <w:right w:w="0" w:type="dxa"/>
            </w:tcMar>
            <w:vAlign w:val="center"/>
          </w:tcPr>
          <w:p w14:paraId="38DA6D16">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r>
      <w:tr w14:paraId="2D5C6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233" w:type="dxa"/>
            <w:vMerge w:val="continue"/>
            <w:tcMar>
              <w:left w:w="0" w:type="dxa"/>
              <w:right w:w="0" w:type="dxa"/>
            </w:tcMar>
            <w:vAlign w:val="center"/>
          </w:tcPr>
          <w:p w14:paraId="189BE00C">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tcMar>
              <w:left w:w="0" w:type="dxa"/>
              <w:right w:w="0" w:type="dxa"/>
            </w:tcMar>
            <w:vAlign w:val="center"/>
          </w:tcPr>
          <w:p w14:paraId="4B6F616C">
            <w:pPr>
              <w:pStyle w:val="771"/>
              <w:keepNext w:val="0"/>
              <w:keepLines w:val="0"/>
              <w:pageBreakBefore w:val="0"/>
              <w:tabs>
                <w:tab w:val="left" w:pos="1119"/>
              </w:tabs>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颗粒物</w:t>
            </w:r>
          </w:p>
        </w:tc>
        <w:tc>
          <w:tcPr>
            <w:tcW w:w="1740" w:type="dxa"/>
            <w:tcMar>
              <w:left w:w="0" w:type="dxa"/>
              <w:right w:w="0" w:type="dxa"/>
            </w:tcMar>
            <w:vAlign w:val="center"/>
          </w:tcPr>
          <w:p w14:paraId="7EE8E9CC">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2</w:t>
            </w:r>
            <w:r>
              <w:rPr>
                <w:rFonts w:hint="eastAsia" w:ascii="Times New Roman" w:hAnsi="Times New Roman" w:eastAsia="宋体" w:cs="Times New Roman"/>
                <w:snapToGrid w:val="0"/>
                <w:color w:val="auto"/>
                <w:kern w:val="0"/>
                <w:sz w:val="21"/>
                <w:szCs w:val="21"/>
                <w:highlight w:val="none"/>
              </w:rPr>
              <w:t>0</w:t>
            </w:r>
          </w:p>
        </w:tc>
        <w:tc>
          <w:tcPr>
            <w:tcW w:w="3860" w:type="dxa"/>
            <w:tcMar>
              <w:left w:w="0" w:type="dxa"/>
              <w:right w:w="0" w:type="dxa"/>
            </w:tcMar>
            <w:vAlign w:val="center"/>
          </w:tcPr>
          <w:p w14:paraId="5D55F1B6">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含2024年修改单）表5</w:t>
            </w:r>
          </w:p>
        </w:tc>
      </w:tr>
      <w:tr w14:paraId="30D58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1233" w:type="dxa"/>
            <w:vMerge w:val="restart"/>
            <w:tcMar>
              <w:left w:w="0" w:type="dxa"/>
              <w:right w:w="0" w:type="dxa"/>
            </w:tcMar>
            <w:vAlign w:val="center"/>
          </w:tcPr>
          <w:p w14:paraId="33A0085C">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无组织排源（生产装置、罐区）</w:t>
            </w:r>
          </w:p>
        </w:tc>
        <w:tc>
          <w:tcPr>
            <w:tcW w:w="1347" w:type="dxa"/>
            <w:tcMar>
              <w:left w:w="0" w:type="dxa"/>
              <w:right w:w="0" w:type="dxa"/>
            </w:tcMar>
            <w:vAlign w:val="center"/>
          </w:tcPr>
          <w:p w14:paraId="72AF4F27">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NMHC（厂界）</w:t>
            </w:r>
          </w:p>
        </w:tc>
        <w:tc>
          <w:tcPr>
            <w:tcW w:w="1740" w:type="dxa"/>
            <w:tcMar>
              <w:left w:w="0" w:type="dxa"/>
              <w:right w:w="0" w:type="dxa"/>
            </w:tcMar>
            <w:vAlign w:val="center"/>
          </w:tcPr>
          <w:p w14:paraId="65CAC0C2">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4.0</w:t>
            </w:r>
          </w:p>
        </w:tc>
        <w:tc>
          <w:tcPr>
            <w:tcW w:w="3860" w:type="dxa"/>
            <w:vAlign w:val="center"/>
          </w:tcPr>
          <w:p w14:paraId="4EDCF689">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含2024年修改单）表9</w:t>
            </w:r>
          </w:p>
        </w:tc>
      </w:tr>
      <w:tr w14:paraId="758D5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1233" w:type="dxa"/>
            <w:vMerge w:val="continue"/>
            <w:tcMar>
              <w:left w:w="0" w:type="dxa"/>
              <w:right w:w="0" w:type="dxa"/>
            </w:tcMar>
            <w:vAlign w:val="center"/>
          </w:tcPr>
          <w:p w14:paraId="1F945BB9">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vMerge w:val="restart"/>
            <w:tcMar>
              <w:left w:w="0" w:type="dxa"/>
              <w:right w:w="0" w:type="dxa"/>
            </w:tcMar>
            <w:vAlign w:val="center"/>
          </w:tcPr>
          <w:p w14:paraId="7ABE0AA1">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NMHC（厂内）</w:t>
            </w:r>
          </w:p>
        </w:tc>
        <w:tc>
          <w:tcPr>
            <w:tcW w:w="1740" w:type="dxa"/>
            <w:tcMar>
              <w:left w:w="0" w:type="dxa"/>
              <w:right w:w="0" w:type="dxa"/>
            </w:tcMar>
            <w:vAlign w:val="center"/>
          </w:tcPr>
          <w:p w14:paraId="2D3B98A8">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6（</w:t>
            </w:r>
            <w:r>
              <w:rPr>
                <w:rFonts w:ascii="Times New Roman" w:hAnsi="Times New Roman" w:eastAsia="宋体" w:cs="Times New Roman"/>
                <w:snapToGrid w:val="0"/>
                <w:color w:val="auto"/>
                <w:kern w:val="0"/>
                <w:sz w:val="21"/>
                <w:szCs w:val="21"/>
                <w:highlight w:val="none"/>
              </w:rPr>
              <w:t>监控点处1h平均浓度值</w:t>
            </w:r>
            <w:r>
              <w:rPr>
                <w:rFonts w:hint="eastAsia" w:ascii="Times New Roman" w:hAnsi="Times New Roman" w:eastAsia="宋体" w:cs="Times New Roman"/>
                <w:snapToGrid w:val="0"/>
                <w:color w:val="auto"/>
                <w:kern w:val="0"/>
                <w:sz w:val="21"/>
                <w:szCs w:val="21"/>
                <w:highlight w:val="none"/>
              </w:rPr>
              <w:t>）</w:t>
            </w:r>
          </w:p>
        </w:tc>
        <w:tc>
          <w:tcPr>
            <w:tcW w:w="3860" w:type="dxa"/>
            <w:vMerge w:val="restart"/>
            <w:vAlign w:val="center"/>
          </w:tcPr>
          <w:p w14:paraId="7C690EE7">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《挥发性有机物无组织排放控制标准》（GB37822-2019）表A.1</w:t>
            </w:r>
            <w:r>
              <w:rPr>
                <w:rFonts w:hint="eastAsia" w:ascii="Times New Roman" w:hAnsi="Times New Roman" w:eastAsia="宋体" w:cs="Times New Roman"/>
                <w:snapToGrid w:val="0"/>
                <w:color w:val="auto"/>
                <w:kern w:val="0"/>
                <w:sz w:val="21"/>
                <w:szCs w:val="21"/>
                <w:highlight w:val="none"/>
                <w:lang w:val="en-US" w:eastAsia="zh-CN"/>
              </w:rPr>
              <w:t>特别排放限值</w:t>
            </w:r>
          </w:p>
        </w:tc>
      </w:tr>
      <w:tr w14:paraId="2110B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1233" w:type="dxa"/>
            <w:vMerge w:val="continue"/>
            <w:tcMar>
              <w:left w:w="0" w:type="dxa"/>
              <w:right w:w="0" w:type="dxa"/>
            </w:tcMar>
            <w:vAlign w:val="center"/>
          </w:tcPr>
          <w:p w14:paraId="188CA523">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347" w:type="dxa"/>
            <w:vMerge w:val="continue"/>
            <w:tcMar>
              <w:left w:w="0" w:type="dxa"/>
              <w:right w:w="0" w:type="dxa"/>
            </w:tcMar>
            <w:vAlign w:val="center"/>
          </w:tcPr>
          <w:p w14:paraId="3470653C">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1740" w:type="dxa"/>
            <w:tcMar>
              <w:left w:w="0" w:type="dxa"/>
              <w:right w:w="0" w:type="dxa"/>
            </w:tcMar>
            <w:vAlign w:val="center"/>
          </w:tcPr>
          <w:p w14:paraId="20F6DD33">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20（</w:t>
            </w:r>
            <w:r>
              <w:rPr>
                <w:rFonts w:ascii="Times New Roman" w:hAnsi="Times New Roman" w:eastAsia="宋体" w:cs="Times New Roman"/>
                <w:snapToGrid w:val="0"/>
                <w:color w:val="auto"/>
                <w:kern w:val="0"/>
                <w:sz w:val="21"/>
                <w:szCs w:val="21"/>
                <w:highlight w:val="none"/>
              </w:rPr>
              <w:t>监控点处任意一次浓度值</w:t>
            </w:r>
            <w:r>
              <w:rPr>
                <w:rFonts w:hint="eastAsia" w:ascii="Times New Roman" w:hAnsi="Times New Roman" w:eastAsia="宋体" w:cs="Times New Roman"/>
                <w:snapToGrid w:val="0"/>
                <w:color w:val="auto"/>
                <w:kern w:val="0"/>
                <w:sz w:val="21"/>
                <w:szCs w:val="21"/>
                <w:highlight w:val="none"/>
              </w:rPr>
              <w:t>）</w:t>
            </w:r>
          </w:p>
        </w:tc>
        <w:tc>
          <w:tcPr>
            <w:tcW w:w="3860" w:type="dxa"/>
            <w:vMerge w:val="continue"/>
            <w:vAlign w:val="center"/>
          </w:tcPr>
          <w:p w14:paraId="72511E64">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r>
    </w:tbl>
    <w:p w14:paraId="72F427D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2.5.2.2废水污染物排放标准</w:t>
      </w:r>
    </w:p>
    <w:p w14:paraId="6B769BB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snapToGrid w:val="0"/>
          <w:color w:val="auto"/>
          <w:kern w:val="0"/>
          <w:sz w:val="24"/>
          <w:highlight w:val="none"/>
          <w:lang w:val="en-US" w:eastAsia="zh-CN"/>
        </w:rPr>
        <w:t>排入</w:t>
      </w:r>
      <w:r>
        <w:rPr>
          <w:rFonts w:hint="eastAsia"/>
          <w:snapToGrid w:val="0"/>
          <w:color w:val="auto"/>
          <w:kern w:val="0"/>
          <w:sz w:val="24"/>
          <w:highlight w:val="none"/>
        </w:rPr>
        <w:t>西区污水处理厂</w:t>
      </w:r>
      <w:r>
        <w:rPr>
          <w:rFonts w:hint="eastAsia"/>
          <w:snapToGrid w:val="0"/>
          <w:color w:val="auto"/>
          <w:kern w:val="0"/>
          <w:sz w:val="24"/>
          <w:highlight w:val="none"/>
          <w:lang w:val="en-US" w:eastAsia="zh-CN"/>
        </w:rPr>
        <w:t>二</w:t>
      </w:r>
      <w:r>
        <w:rPr>
          <w:rFonts w:hint="eastAsia"/>
          <w:snapToGrid w:val="0"/>
          <w:color w:val="auto"/>
          <w:kern w:val="0"/>
          <w:sz w:val="24"/>
          <w:highlight w:val="none"/>
        </w:rPr>
        <w:t>期工程</w:t>
      </w:r>
      <w:r>
        <w:rPr>
          <w:rFonts w:hint="eastAsia"/>
          <w:snapToGrid w:val="0"/>
          <w:color w:val="auto"/>
          <w:kern w:val="0"/>
          <w:sz w:val="24"/>
          <w:highlight w:val="none"/>
          <w:lang w:val="en-US" w:eastAsia="zh-CN"/>
        </w:rPr>
        <w:t>处理</w:t>
      </w:r>
      <w:r>
        <w:rPr>
          <w:rFonts w:hint="eastAsia"/>
          <w:snapToGrid w:val="0"/>
          <w:color w:val="auto"/>
          <w:kern w:val="0"/>
          <w:sz w:val="24"/>
          <w:highlight w:val="none"/>
          <w:lang w:eastAsia="zh-CN"/>
        </w:rPr>
        <w:t>；</w:t>
      </w:r>
      <w:r>
        <w:rPr>
          <w:rFonts w:hint="eastAsia"/>
          <w:snapToGrid w:val="0"/>
          <w:color w:val="auto"/>
          <w:kern w:val="0"/>
          <w:sz w:val="24"/>
          <w:highlight w:val="none"/>
        </w:rPr>
        <w:t>循环水排污依托现有污水处理站中水段</w:t>
      </w:r>
      <w:r>
        <w:rPr>
          <w:rFonts w:hint="eastAsia"/>
          <w:snapToGrid w:val="0"/>
          <w:color w:val="auto"/>
          <w:kern w:val="0"/>
          <w:sz w:val="24"/>
          <w:highlight w:val="none"/>
          <w:lang w:val="en-US" w:eastAsia="zh-CN"/>
        </w:rPr>
        <w:t>处理；</w:t>
      </w:r>
      <w:r>
        <w:rPr>
          <w:rFonts w:hint="eastAsia"/>
          <w:snapToGrid w:val="0"/>
          <w:color w:val="auto"/>
          <w:kern w:val="0"/>
          <w:sz w:val="24"/>
          <w:highlight w:val="none"/>
        </w:rPr>
        <w:t>生活污水</w:t>
      </w:r>
      <w:r>
        <w:rPr>
          <w:rFonts w:hint="eastAsia"/>
          <w:snapToGrid w:val="0"/>
          <w:color w:val="auto"/>
          <w:kern w:val="0"/>
          <w:sz w:val="24"/>
          <w:highlight w:val="none"/>
          <w:lang w:eastAsia="zh-CN"/>
        </w:rPr>
        <w:t>、</w:t>
      </w:r>
      <w:r>
        <w:rPr>
          <w:rFonts w:hint="eastAsia"/>
          <w:snapToGrid w:val="0"/>
          <w:color w:val="auto"/>
          <w:kern w:val="0"/>
          <w:sz w:val="24"/>
          <w:highlight w:val="none"/>
        </w:rPr>
        <w:t>水洗塔定排和碱洗塔定排</w:t>
      </w:r>
      <w:r>
        <w:rPr>
          <w:rFonts w:hint="eastAsia"/>
          <w:snapToGrid w:val="0"/>
          <w:color w:val="auto"/>
          <w:kern w:val="0"/>
          <w:sz w:val="24"/>
          <w:highlight w:val="none"/>
          <w:lang w:val="en-US" w:eastAsia="zh-CN"/>
        </w:rPr>
        <w:t>依托现有污水处理站生化段处理后</w:t>
      </w:r>
      <w:r>
        <w:rPr>
          <w:rFonts w:hint="eastAsia"/>
          <w:snapToGrid w:val="0"/>
          <w:color w:val="auto"/>
          <w:kern w:val="0"/>
          <w:sz w:val="24"/>
          <w:highlight w:val="none"/>
        </w:rPr>
        <w:t>排入西区污水处理厂</w:t>
      </w:r>
      <w:r>
        <w:rPr>
          <w:rFonts w:hint="eastAsia"/>
          <w:snapToGrid w:val="0"/>
          <w:color w:val="auto"/>
          <w:kern w:val="0"/>
          <w:sz w:val="24"/>
          <w:highlight w:val="none"/>
          <w:lang w:val="en-US" w:eastAsia="zh-CN"/>
        </w:rPr>
        <w:t>一</w:t>
      </w:r>
      <w:r>
        <w:rPr>
          <w:rFonts w:hint="eastAsia"/>
          <w:snapToGrid w:val="0"/>
          <w:color w:val="auto"/>
          <w:kern w:val="0"/>
          <w:sz w:val="24"/>
          <w:highlight w:val="none"/>
        </w:rPr>
        <w:t>期</w:t>
      </w:r>
      <w:r>
        <w:rPr>
          <w:rFonts w:hint="eastAsia"/>
          <w:snapToGrid w:val="0"/>
          <w:color w:val="auto"/>
          <w:kern w:val="0"/>
          <w:sz w:val="24"/>
          <w:highlight w:val="none"/>
          <w:lang w:val="en-US" w:eastAsia="zh-CN"/>
        </w:rPr>
        <w:t>工程处理</w:t>
      </w:r>
      <w:r>
        <w:rPr>
          <w:rFonts w:hint="eastAsia"/>
          <w:snapToGrid w:val="0"/>
          <w:color w:val="auto"/>
          <w:kern w:val="0"/>
          <w:sz w:val="24"/>
          <w:highlight w:val="none"/>
          <w:lang w:eastAsia="zh-CN"/>
        </w:rPr>
        <w:t>。</w:t>
      </w:r>
      <w:r>
        <w:rPr>
          <w:rFonts w:hint="eastAsia"/>
          <w:snapToGrid w:val="0"/>
          <w:color w:val="auto"/>
          <w:kern w:val="0"/>
          <w:sz w:val="24"/>
          <w:highlight w:val="none"/>
        </w:rPr>
        <w:t>根据《石油化学工业污染物排放标准》（</w:t>
      </w:r>
      <w:r>
        <w:rPr>
          <w:rFonts w:hint="eastAsia"/>
          <w:snapToGrid w:val="0"/>
          <w:color w:val="auto"/>
          <w:kern w:val="0"/>
          <w:sz w:val="24"/>
          <w:highlight w:val="none"/>
          <w:lang w:eastAsia="zh-CN"/>
        </w:rPr>
        <w:t>GB3157</w:t>
      </w:r>
      <w:r>
        <w:rPr>
          <w:rFonts w:hint="eastAsia"/>
          <w:snapToGrid w:val="0"/>
          <w:color w:val="auto"/>
          <w:kern w:val="0"/>
          <w:sz w:val="24"/>
          <w:highlight w:val="none"/>
          <w:lang w:val="en-US" w:eastAsia="zh-CN"/>
        </w:rPr>
        <w:t>1</w:t>
      </w:r>
      <w:r>
        <w:rPr>
          <w:rFonts w:hint="eastAsia"/>
          <w:snapToGrid w:val="0"/>
          <w:color w:val="auto"/>
          <w:kern w:val="0"/>
          <w:sz w:val="24"/>
          <w:highlight w:val="none"/>
          <w:lang w:eastAsia="zh-CN"/>
        </w:rPr>
        <w:t>-2015，含2024年修改单</w:t>
      </w:r>
      <w:r>
        <w:rPr>
          <w:rFonts w:hint="eastAsia"/>
          <w:snapToGrid w:val="0"/>
          <w:color w:val="auto"/>
          <w:kern w:val="0"/>
          <w:sz w:val="24"/>
          <w:highlight w:val="none"/>
        </w:rPr>
        <w:t>）</w:t>
      </w:r>
      <w:r>
        <w:rPr>
          <w:rFonts w:hint="eastAsia"/>
          <w:snapToGrid w:val="0"/>
          <w:color w:val="auto"/>
          <w:kern w:val="0"/>
          <w:sz w:val="24"/>
          <w:highlight w:val="none"/>
          <w:lang w:val="en-US" w:eastAsia="zh-CN"/>
        </w:rPr>
        <w:t>表1中</w:t>
      </w:r>
      <w:r>
        <w:rPr>
          <w:rFonts w:hint="eastAsia"/>
          <w:snapToGrid w:val="0"/>
          <w:color w:val="auto"/>
          <w:kern w:val="0"/>
          <w:sz w:val="24"/>
          <w:highlight w:val="none"/>
        </w:rPr>
        <w:t>“</w:t>
      </w:r>
      <w:r>
        <w:rPr>
          <w:rFonts w:hint="eastAsia"/>
          <w:snapToGrid w:val="0"/>
          <w:color w:val="auto"/>
          <w:kern w:val="0"/>
          <w:sz w:val="24"/>
          <w:highlight w:val="none"/>
          <w:lang w:val="en-US" w:eastAsia="zh-CN"/>
        </w:rPr>
        <w:t>废水进入城镇污水处理厂或经由城镇污水管线排放，应达到直接排放限值；废水进入园区（包括各类工业园区、开发区、工业聚集地等）污水处理厂执行间接排放限值，未规定限值的污染物项目由企业与园区污水处理厂根据其污水处理能力商定相关标准，并报当地环境保护主管部门备案。</w:t>
      </w:r>
      <w:r>
        <w:rPr>
          <w:rFonts w:hint="eastAsia"/>
          <w:snapToGrid w:val="0"/>
          <w:color w:val="auto"/>
          <w:kern w:val="0"/>
          <w:sz w:val="24"/>
          <w:highlight w:val="none"/>
        </w:rPr>
        <w:t>”本项目废水pH值、SS、CODcr、BOD</w:t>
      </w:r>
      <w:r>
        <w:rPr>
          <w:rFonts w:hint="eastAsia"/>
          <w:snapToGrid w:val="0"/>
          <w:color w:val="auto"/>
          <w:kern w:val="0"/>
          <w:sz w:val="24"/>
          <w:highlight w:val="none"/>
          <w:vertAlign w:val="subscript"/>
        </w:rPr>
        <w:t>5</w:t>
      </w:r>
      <w:r>
        <w:rPr>
          <w:rFonts w:hint="eastAsia"/>
          <w:snapToGrid w:val="0"/>
          <w:color w:val="auto"/>
          <w:kern w:val="0"/>
          <w:sz w:val="24"/>
          <w:highlight w:val="none"/>
        </w:rPr>
        <w:t>、氨氮等在《石油化学工业污染物排放标准》（</w:t>
      </w:r>
      <w:r>
        <w:rPr>
          <w:rFonts w:hint="eastAsia"/>
          <w:snapToGrid w:val="0"/>
          <w:color w:val="auto"/>
          <w:kern w:val="0"/>
          <w:sz w:val="24"/>
          <w:highlight w:val="none"/>
          <w:lang w:eastAsia="zh-CN"/>
        </w:rPr>
        <w:t>GB3157</w:t>
      </w:r>
      <w:r>
        <w:rPr>
          <w:rFonts w:hint="eastAsia"/>
          <w:snapToGrid w:val="0"/>
          <w:color w:val="auto"/>
          <w:kern w:val="0"/>
          <w:sz w:val="24"/>
          <w:highlight w:val="none"/>
          <w:lang w:val="en-US" w:eastAsia="zh-CN"/>
        </w:rPr>
        <w:t>1</w:t>
      </w:r>
      <w:r>
        <w:rPr>
          <w:rFonts w:hint="eastAsia"/>
          <w:snapToGrid w:val="0"/>
          <w:color w:val="auto"/>
          <w:kern w:val="0"/>
          <w:sz w:val="24"/>
          <w:highlight w:val="none"/>
          <w:lang w:eastAsia="zh-CN"/>
        </w:rPr>
        <w:t>-2015，含2024年修改单</w:t>
      </w:r>
      <w:r>
        <w:rPr>
          <w:rFonts w:hint="eastAsia"/>
          <w:snapToGrid w:val="0"/>
          <w:color w:val="auto"/>
          <w:kern w:val="0"/>
          <w:sz w:val="24"/>
          <w:highlight w:val="none"/>
        </w:rPr>
        <w:t>）中未规定间接排放限值，因此</w:t>
      </w:r>
      <w:r>
        <w:rPr>
          <w:rFonts w:hint="eastAsia"/>
          <w:snapToGrid w:val="0"/>
          <w:color w:val="auto"/>
          <w:kern w:val="0"/>
          <w:sz w:val="24"/>
          <w:highlight w:val="none"/>
          <w:lang w:val="en-US" w:eastAsia="zh-CN"/>
        </w:rPr>
        <w:t>直排</w:t>
      </w:r>
      <w:r>
        <w:rPr>
          <w:rFonts w:hint="eastAsia" w:ascii="Times New Roman" w:hAnsi="Times New Roman" w:cs="Times New Roman"/>
          <w:color w:val="auto"/>
          <w:sz w:val="24"/>
          <w:szCs w:val="24"/>
          <w:highlight w:val="none"/>
          <w:lang w:val="en-US" w:eastAsia="zh-CN" w:bidi="ar-SA"/>
        </w:rPr>
        <w:t>乌苏市西区</w:t>
      </w:r>
      <w:r>
        <w:rPr>
          <w:rFonts w:hint="eastAsia"/>
          <w:snapToGrid w:val="0"/>
          <w:color w:val="auto"/>
          <w:kern w:val="0"/>
          <w:sz w:val="24"/>
          <w:highlight w:val="none"/>
          <w:lang w:val="en-US" w:eastAsia="zh-CN"/>
        </w:rPr>
        <w:t>污水处理厂二期工程的废水</w:t>
      </w:r>
      <w:r>
        <w:rPr>
          <w:rFonts w:hint="eastAsia"/>
          <w:snapToGrid w:val="0"/>
          <w:color w:val="auto"/>
          <w:kern w:val="0"/>
          <w:sz w:val="24"/>
          <w:highlight w:val="none"/>
        </w:rPr>
        <w:t>SS、CODcr、BOD</w:t>
      </w:r>
      <w:r>
        <w:rPr>
          <w:rFonts w:hint="eastAsia"/>
          <w:snapToGrid w:val="0"/>
          <w:color w:val="auto"/>
          <w:kern w:val="0"/>
          <w:sz w:val="24"/>
          <w:highlight w:val="none"/>
          <w:vertAlign w:val="subscript"/>
        </w:rPr>
        <w:t>5</w:t>
      </w:r>
      <w:r>
        <w:rPr>
          <w:rFonts w:hint="eastAsia"/>
          <w:snapToGrid w:val="0"/>
          <w:color w:val="auto"/>
          <w:kern w:val="0"/>
          <w:sz w:val="24"/>
          <w:highlight w:val="none"/>
        </w:rPr>
        <w:t>、氨氮等污染物执行企业与园区污水处理厂商定的协议标准限值（已签订废水</w:t>
      </w:r>
      <w:r>
        <w:rPr>
          <w:rFonts w:hint="eastAsia"/>
          <w:snapToGrid w:val="0"/>
          <w:color w:val="auto"/>
          <w:kern w:val="0"/>
          <w:sz w:val="24"/>
          <w:highlight w:val="none"/>
          <w:lang w:val="en-US" w:eastAsia="zh-CN"/>
        </w:rPr>
        <w:t>接收</w:t>
      </w:r>
      <w:r>
        <w:rPr>
          <w:rFonts w:hint="eastAsia"/>
          <w:snapToGrid w:val="0"/>
          <w:color w:val="auto"/>
          <w:kern w:val="0"/>
          <w:sz w:val="24"/>
          <w:highlight w:val="none"/>
        </w:rPr>
        <w:t>协议，见附件</w:t>
      </w:r>
      <w:r>
        <w:rPr>
          <w:rFonts w:hint="eastAsia"/>
          <w:snapToGrid w:val="0"/>
          <w:color w:val="auto"/>
          <w:kern w:val="0"/>
          <w:sz w:val="24"/>
          <w:highlight w:val="none"/>
          <w:lang w:val="en-US" w:eastAsia="zh-CN"/>
        </w:rPr>
        <w:t>6</w:t>
      </w:r>
      <w:r>
        <w:rPr>
          <w:rFonts w:hint="eastAsia"/>
          <w:snapToGrid w:val="0"/>
          <w:color w:val="auto"/>
          <w:kern w:val="0"/>
          <w:sz w:val="24"/>
          <w:highlight w:val="none"/>
        </w:rPr>
        <w:t>）</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厂区废水总排口废水</w:t>
      </w:r>
      <w:r>
        <w:rPr>
          <w:rFonts w:hint="eastAsia" w:ascii="Times New Roman" w:hAnsi="Times New Roman" w:cs="Times New Roman"/>
          <w:color w:val="auto"/>
          <w:sz w:val="24"/>
          <w:szCs w:val="24"/>
          <w:highlight w:val="none"/>
          <w:lang w:val="en-US" w:eastAsia="zh-CN" w:bidi="ar-SA"/>
        </w:rPr>
        <w:t>按照乌苏市西区污水处理厂一期工程收水</w:t>
      </w:r>
      <w:r>
        <w:rPr>
          <w:rFonts w:hint="eastAsia" w:ascii="Times New Roman" w:hAnsi="Times New Roman" w:eastAsia="宋体" w:cs="Times New Roman"/>
          <w:color w:val="auto"/>
          <w:sz w:val="24"/>
          <w:szCs w:val="24"/>
          <w:highlight w:val="none"/>
          <w:lang w:val="en-US" w:eastAsia="zh-CN" w:bidi="ar-SA"/>
        </w:rPr>
        <w:t>水质《污水排入城镇下水道水质标准》（GB/T</w:t>
      </w:r>
      <w:r>
        <w:rPr>
          <w:rFonts w:hint="eastAsia" w:cs="Times New Roman"/>
          <w:color w:val="auto"/>
          <w:sz w:val="24"/>
          <w:szCs w:val="24"/>
          <w:highlight w:val="none"/>
          <w:lang w:val="en-US" w:eastAsia="zh-CN" w:bidi="ar-SA"/>
        </w:rPr>
        <w:t xml:space="preserve"> </w:t>
      </w:r>
      <w:r>
        <w:rPr>
          <w:rFonts w:hint="eastAsia" w:ascii="Times New Roman" w:hAnsi="Times New Roman" w:eastAsia="宋体" w:cs="Times New Roman"/>
          <w:color w:val="auto"/>
          <w:sz w:val="24"/>
          <w:szCs w:val="24"/>
          <w:highlight w:val="none"/>
          <w:lang w:val="en-US" w:eastAsia="zh-CN" w:bidi="ar-SA"/>
        </w:rPr>
        <w:t>3</w:t>
      </w:r>
      <w:r>
        <w:rPr>
          <w:rFonts w:hint="eastAsia" w:cs="Times New Roman"/>
          <w:color w:val="auto"/>
          <w:sz w:val="24"/>
          <w:szCs w:val="24"/>
          <w:highlight w:val="none"/>
          <w:lang w:val="en-US" w:eastAsia="zh-CN" w:bidi="ar-SA"/>
        </w:rPr>
        <w:t>1</w:t>
      </w:r>
      <w:r>
        <w:rPr>
          <w:rFonts w:hint="eastAsia" w:ascii="Times New Roman" w:hAnsi="Times New Roman" w:eastAsia="宋体" w:cs="Times New Roman"/>
          <w:color w:val="auto"/>
          <w:sz w:val="24"/>
          <w:szCs w:val="24"/>
          <w:highlight w:val="none"/>
          <w:lang w:val="en-US" w:eastAsia="zh-CN" w:bidi="ar-SA"/>
        </w:rPr>
        <w:t>962-2015）中表1</w:t>
      </w:r>
      <w:r>
        <w:rPr>
          <w:rFonts w:hint="eastAsia" w:ascii="Times New Roman" w:hAnsi="Times New Roman" w:cs="Times New Roman"/>
          <w:color w:val="auto"/>
          <w:sz w:val="24"/>
          <w:szCs w:val="24"/>
          <w:highlight w:val="none"/>
          <w:lang w:val="en-US" w:eastAsia="zh-CN" w:bidi="ar-SA"/>
        </w:rPr>
        <w:t>A</w:t>
      </w:r>
      <w:r>
        <w:rPr>
          <w:rFonts w:hint="eastAsia" w:ascii="Times New Roman" w:hAnsi="Times New Roman" w:eastAsia="宋体" w:cs="Times New Roman"/>
          <w:color w:val="auto"/>
          <w:sz w:val="24"/>
          <w:szCs w:val="24"/>
          <w:highlight w:val="none"/>
          <w:lang w:val="en-US" w:eastAsia="zh-CN" w:bidi="ar-SA"/>
        </w:rPr>
        <w:t>级标准确定废水排放标准。</w:t>
      </w:r>
    </w:p>
    <w:p w14:paraId="0E1D731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废水排放标准见表2.</w:t>
      </w:r>
      <w:r>
        <w:rPr>
          <w:rFonts w:hint="eastAsia"/>
          <w:snapToGrid w:val="0"/>
          <w:color w:val="auto"/>
          <w:kern w:val="0"/>
          <w:sz w:val="24"/>
          <w:highlight w:val="none"/>
          <w:lang w:val="en-US" w:eastAsia="zh-CN"/>
        </w:rPr>
        <w:t>5</w:t>
      </w:r>
      <w:r>
        <w:rPr>
          <w:rFonts w:hint="eastAsia"/>
          <w:snapToGrid w:val="0"/>
          <w:color w:val="auto"/>
          <w:kern w:val="0"/>
          <w:sz w:val="24"/>
          <w:highlight w:val="none"/>
        </w:rPr>
        <w:t>-</w:t>
      </w:r>
      <w:r>
        <w:rPr>
          <w:rFonts w:hint="eastAsia"/>
          <w:snapToGrid w:val="0"/>
          <w:color w:val="auto"/>
          <w:kern w:val="0"/>
          <w:sz w:val="24"/>
          <w:highlight w:val="none"/>
          <w:lang w:val="en-US" w:eastAsia="zh-CN"/>
        </w:rPr>
        <w:t>6</w:t>
      </w:r>
      <w:r>
        <w:rPr>
          <w:rFonts w:hint="eastAsia"/>
          <w:snapToGrid w:val="0"/>
          <w:color w:val="auto"/>
          <w:kern w:val="0"/>
          <w:sz w:val="24"/>
          <w:highlight w:val="none"/>
        </w:rPr>
        <w:t>。</w:t>
      </w:r>
    </w:p>
    <w:p w14:paraId="77F8EB90">
      <w:pPr>
        <w:adjustRightInd w:val="0"/>
        <w:snapToGrid w:val="0"/>
        <w:jc w:val="center"/>
        <w:rPr>
          <w:b/>
          <w:bCs/>
          <w:snapToGrid w:val="0"/>
          <w:color w:val="auto"/>
          <w:kern w:val="0"/>
          <w:szCs w:val="21"/>
          <w:highlight w:val="none"/>
        </w:rPr>
      </w:pPr>
      <w:r>
        <w:rPr>
          <w:b/>
          <w:bCs/>
          <w:snapToGrid w:val="0"/>
          <w:color w:val="auto"/>
          <w:kern w:val="0"/>
          <w:szCs w:val="21"/>
          <w:highlight w:val="none"/>
        </w:rPr>
        <w:t>表2.</w:t>
      </w:r>
      <w:r>
        <w:rPr>
          <w:rFonts w:hint="eastAsia"/>
          <w:b/>
          <w:bCs/>
          <w:snapToGrid w:val="0"/>
          <w:color w:val="auto"/>
          <w:kern w:val="0"/>
          <w:szCs w:val="21"/>
          <w:highlight w:val="none"/>
          <w:lang w:val="en-US" w:eastAsia="zh-CN"/>
        </w:rPr>
        <w:t>5</w:t>
      </w:r>
      <w:r>
        <w:rPr>
          <w:b/>
          <w:bCs/>
          <w:snapToGrid w:val="0"/>
          <w:color w:val="auto"/>
          <w:kern w:val="0"/>
          <w:szCs w:val="21"/>
          <w:highlight w:val="none"/>
        </w:rPr>
        <w:t>-</w:t>
      </w:r>
      <w:r>
        <w:rPr>
          <w:rFonts w:hint="eastAsia"/>
          <w:b/>
          <w:bCs/>
          <w:snapToGrid w:val="0"/>
          <w:color w:val="auto"/>
          <w:kern w:val="0"/>
          <w:szCs w:val="21"/>
          <w:highlight w:val="none"/>
          <w:lang w:val="en-US" w:eastAsia="zh-CN"/>
        </w:rPr>
        <w:t>6</w:t>
      </w:r>
      <w:r>
        <w:rPr>
          <w:b/>
          <w:bCs/>
          <w:snapToGrid w:val="0"/>
          <w:color w:val="auto"/>
          <w:kern w:val="0"/>
          <w:szCs w:val="21"/>
          <w:highlight w:val="none"/>
        </w:rPr>
        <w:t xml:space="preserve"> 废水排放标准    单位：mg/L</w:t>
      </w:r>
    </w:p>
    <w:tbl>
      <w:tblPr>
        <w:tblStyle w:val="57"/>
        <w:tblW w:w="50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8"/>
        <w:gridCol w:w="2082"/>
        <w:gridCol w:w="3248"/>
        <w:gridCol w:w="2277"/>
      </w:tblGrid>
      <w:tr w14:paraId="240A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20" w:type="pct"/>
            <w:vMerge w:val="restart"/>
            <w:tcBorders>
              <w:tl2br w:val="nil"/>
              <w:tr2bl w:val="nil"/>
            </w:tcBorders>
            <w:vAlign w:val="center"/>
          </w:tcPr>
          <w:p w14:paraId="4F5C34B7">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序号</w:t>
            </w:r>
          </w:p>
        </w:tc>
        <w:tc>
          <w:tcPr>
            <w:tcW w:w="1253" w:type="pct"/>
            <w:vMerge w:val="restart"/>
            <w:tcBorders>
              <w:tl2br w:val="nil"/>
              <w:tr2bl w:val="nil"/>
            </w:tcBorders>
            <w:vAlign w:val="center"/>
          </w:tcPr>
          <w:p w14:paraId="6CDDF0AA">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污染物项目</w:t>
            </w:r>
          </w:p>
        </w:tc>
        <w:tc>
          <w:tcPr>
            <w:tcW w:w="3325" w:type="pct"/>
            <w:gridSpan w:val="2"/>
            <w:tcBorders>
              <w:tl2br w:val="nil"/>
              <w:tr2bl w:val="nil"/>
            </w:tcBorders>
            <w:vAlign w:val="center"/>
          </w:tcPr>
          <w:p w14:paraId="20A4F9E9">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标准限值</w:t>
            </w:r>
          </w:p>
        </w:tc>
      </w:tr>
      <w:tr w14:paraId="2480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20" w:type="pct"/>
            <w:vMerge w:val="continue"/>
            <w:tcBorders>
              <w:tl2br w:val="nil"/>
              <w:tr2bl w:val="nil"/>
            </w:tcBorders>
            <w:vAlign w:val="center"/>
          </w:tcPr>
          <w:p w14:paraId="02C9185F">
            <w:pPr>
              <w:pStyle w:val="738"/>
              <w:widowControl/>
              <w:adjustRightInd w:val="0"/>
              <w:snapToGrid w:val="0"/>
              <w:spacing w:line="240" w:lineRule="auto"/>
              <w:rPr>
                <w:rFonts w:eastAsia="Times New Roman"/>
                <w:snapToGrid w:val="0"/>
                <w:color w:val="auto"/>
                <w:kern w:val="0"/>
                <w:szCs w:val="21"/>
                <w:highlight w:val="none"/>
              </w:rPr>
            </w:pPr>
          </w:p>
        </w:tc>
        <w:tc>
          <w:tcPr>
            <w:tcW w:w="1253" w:type="pct"/>
            <w:vMerge w:val="continue"/>
            <w:tcBorders>
              <w:tl2br w:val="nil"/>
              <w:tr2bl w:val="nil"/>
            </w:tcBorders>
            <w:vAlign w:val="center"/>
          </w:tcPr>
          <w:p w14:paraId="67BE384E">
            <w:pPr>
              <w:pStyle w:val="738"/>
              <w:widowControl/>
              <w:adjustRightInd w:val="0"/>
              <w:snapToGrid w:val="0"/>
              <w:spacing w:line="240" w:lineRule="auto"/>
              <w:rPr>
                <w:rFonts w:eastAsia="Times New Roman"/>
                <w:snapToGrid w:val="0"/>
                <w:color w:val="auto"/>
                <w:kern w:val="0"/>
                <w:szCs w:val="21"/>
                <w:highlight w:val="none"/>
              </w:rPr>
            </w:pPr>
          </w:p>
        </w:tc>
        <w:tc>
          <w:tcPr>
            <w:tcW w:w="1955" w:type="pct"/>
            <w:tcBorders>
              <w:tl2br w:val="nil"/>
              <w:tr2bl w:val="nil"/>
            </w:tcBorders>
            <w:vAlign w:val="center"/>
          </w:tcPr>
          <w:p w14:paraId="5696AB99">
            <w:pPr>
              <w:pStyle w:val="738"/>
              <w:widowControl/>
              <w:adjustRightInd w:val="0"/>
              <w:snapToGrid w:val="0"/>
              <w:spacing w:line="240" w:lineRule="auto"/>
              <w:rPr>
                <w:rFonts w:eastAsia="Times New Roman"/>
                <w:snapToGrid w:val="0"/>
                <w:color w:val="auto"/>
                <w:kern w:val="0"/>
                <w:szCs w:val="21"/>
                <w:highlight w:val="none"/>
              </w:rPr>
            </w:pPr>
            <w:r>
              <w:rPr>
                <w:rFonts w:hint="eastAsia" w:eastAsia="Times New Roman"/>
                <w:snapToGrid w:val="0"/>
                <w:color w:val="auto"/>
                <w:kern w:val="0"/>
                <w:szCs w:val="21"/>
                <w:highlight w:val="none"/>
                <w:lang w:val="en-US" w:eastAsia="zh-CN"/>
              </w:rPr>
              <w:t>GB/T31962-2015中表1A级标准</w:t>
            </w:r>
          </w:p>
        </w:tc>
        <w:tc>
          <w:tcPr>
            <w:tcW w:w="1369" w:type="pct"/>
            <w:tcBorders>
              <w:tl2br w:val="nil"/>
              <w:tr2bl w:val="nil"/>
            </w:tcBorders>
            <w:vAlign w:val="center"/>
          </w:tcPr>
          <w:p w14:paraId="55C24E2D">
            <w:pPr>
              <w:pStyle w:val="738"/>
              <w:widowControl/>
              <w:adjustRightInd w:val="0"/>
              <w:snapToGrid w:val="0"/>
              <w:spacing w:line="240" w:lineRule="auto"/>
              <w:rPr>
                <w:rFonts w:eastAsia="Times New Roman"/>
                <w:snapToGrid w:val="0"/>
                <w:color w:val="auto"/>
                <w:kern w:val="0"/>
                <w:szCs w:val="21"/>
                <w:highlight w:val="none"/>
              </w:rPr>
            </w:pPr>
            <w:r>
              <w:rPr>
                <w:rFonts w:hint="eastAsia" w:eastAsia="宋体"/>
                <w:snapToGrid w:val="0"/>
                <w:color w:val="auto"/>
                <w:kern w:val="0"/>
                <w:szCs w:val="21"/>
                <w:highlight w:val="none"/>
                <w:lang w:val="en-US" w:eastAsia="zh-CN"/>
              </w:rPr>
              <w:t>二期</w:t>
            </w:r>
            <w:r>
              <w:rPr>
                <w:rFonts w:hint="eastAsia" w:eastAsia="Times New Roman"/>
                <w:snapToGrid w:val="0"/>
                <w:color w:val="auto"/>
                <w:kern w:val="0"/>
                <w:szCs w:val="21"/>
                <w:highlight w:val="none"/>
              </w:rPr>
              <w:t>协议标准</w:t>
            </w:r>
          </w:p>
        </w:tc>
      </w:tr>
      <w:tr w14:paraId="3BA6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01CE078A">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1</w:t>
            </w:r>
          </w:p>
        </w:tc>
        <w:tc>
          <w:tcPr>
            <w:tcW w:w="1253" w:type="pct"/>
            <w:tcBorders>
              <w:tl2br w:val="nil"/>
              <w:tr2bl w:val="nil"/>
            </w:tcBorders>
            <w:vAlign w:val="center"/>
          </w:tcPr>
          <w:p w14:paraId="32BC95C4">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pH值（无量纲）</w:t>
            </w:r>
          </w:p>
        </w:tc>
        <w:tc>
          <w:tcPr>
            <w:tcW w:w="1955" w:type="pct"/>
            <w:tcBorders>
              <w:tl2br w:val="nil"/>
              <w:tr2bl w:val="nil"/>
            </w:tcBorders>
            <w:vAlign w:val="center"/>
          </w:tcPr>
          <w:p w14:paraId="61B78718">
            <w:pPr>
              <w:pStyle w:val="738"/>
              <w:widowControl/>
              <w:adjustRightInd w:val="0"/>
              <w:snapToGrid w:val="0"/>
              <w:spacing w:line="240" w:lineRule="auto"/>
              <w:rPr>
                <w:rFonts w:eastAsia="Times New Roman"/>
                <w:snapToGrid w:val="0"/>
                <w:color w:val="auto"/>
                <w:kern w:val="0"/>
                <w:szCs w:val="21"/>
                <w:highlight w:val="none"/>
              </w:rPr>
            </w:pPr>
            <w:r>
              <w:rPr>
                <w:rFonts w:ascii="Times New Roman" w:hAnsi="Times New Roman" w:eastAsia="宋体" w:cs="宋体"/>
                <w:color w:val="auto"/>
                <w:sz w:val="21"/>
                <w:szCs w:val="21"/>
                <w:highlight w:val="none"/>
              </w:rPr>
              <w:t>6</w:t>
            </w:r>
            <w:r>
              <w:rPr>
                <w:rFonts w:hint="eastAsia" w:ascii="Times New Roman" w:hAnsi="Times New Roman" w:cs="宋体"/>
                <w:color w:val="auto"/>
                <w:sz w:val="21"/>
                <w:szCs w:val="21"/>
                <w:highlight w:val="none"/>
                <w:lang w:val="en-US" w:eastAsia="zh-CN"/>
              </w:rPr>
              <w:t>.5</w:t>
            </w:r>
            <w:r>
              <w:rPr>
                <w:rFonts w:ascii="Times New Roman" w:hAnsi="Times New Roman" w:eastAsia="宋体" w:cs="宋体"/>
                <w:color w:val="auto"/>
                <w:sz w:val="21"/>
                <w:szCs w:val="21"/>
                <w:highlight w:val="none"/>
              </w:rPr>
              <w:t>~9</w:t>
            </w:r>
            <w:r>
              <w:rPr>
                <w:rFonts w:hint="eastAsia" w:ascii="Times New Roman" w:hAnsi="Times New Roman" w:cs="宋体"/>
                <w:color w:val="auto"/>
                <w:sz w:val="21"/>
                <w:szCs w:val="21"/>
                <w:highlight w:val="none"/>
                <w:lang w:val="en-US" w:eastAsia="zh-CN"/>
              </w:rPr>
              <w:t>.5</w:t>
            </w:r>
          </w:p>
        </w:tc>
        <w:tc>
          <w:tcPr>
            <w:tcW w:w="1369" w:type="pct"/>
            <w:tcBorders>
              <w:tl2br w:val="nil"/>
              <w:tr2bl w:val="nil"/>
            </w:tcBorders>
            <w:vAlign w:val="center"/>
          </w:tcPr>
          <w:p w14:paraId="49C05D54">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w:t>
            </w:r>
          </w:p>
        </w:tc>
      </w:tr>
      <w:tr w14:paraId="2FB3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5D238641">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2</w:t>
            </w:r>
          </w:p>
        </w:tc>
        <w:tc>
          <w:tcPr>
            <w:tcW w:w="1253" w:type="pct"/>
            <w:tcBorders>
              <w:tl2br w:val="nil"/>
              <w:tr2bl w:val="nil"/>
            </w:tcBorders>
            <w:vAlign w:val="center"/>
          </w:tcPr>
          <w:p w14:paraId="0CA05992">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SS</w:t>
            </w:r>
          </w:p>
        </w:tc>
        <w:tc>
          <w:tcPr>
            <w:tcW w:w="1955" w:type="pct"/>
            <w:tcBorders>
              <w:tl2br w:val="nil"/>
              <w:tr2bl w:val="nil"/>
            </w:tcBorders>
            <w:vAlign w:val="center"/>
          </w:tcPr>
          <w:p w14:paraId="0F0EB49D">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400</w:t>
            </w:r>
          </w:p>
        </w:tc>
        <w:tc>
          <w:tcPr>
            <w:tcW w:w="1369" w:type="pct"/>
            <w:tcBorders>
              <w:tl2br w:val="nil"/>
              <w:tr2bl w:val="nil"/>
            </w:tcBorders>
            <w:vAlign w:val="center"/>
          </w:tcPr>
          <w:p w14:paraId="7D3B2F19">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Times New Roman"/>
                <w:snapToGrid w:val="0"/>
                <w:color w:val="auto"/>
                <w:kern w:val="0"/>
                <w:szCs w:val="21"/>
                <w:highlight w:val="none"/>
              </w:rPr>
              <w:t>2</w:t>
            </w:r>
            <w:r>
              <w:rPr>
                <w:rFonts w:hint="eastAsia" w:eastAsia="宋体"/>
                <w:snapToGrid w:val="0"/>
                <w:color w:val="auto"/>
                <w:kern w:val="0"/>
                <w:szCs w:val="21"/>
                <w:highlight w:val="none"/>
                <w:lang w:val="en-US" w:eastAsia="zh-CN"/>
              </w:rPr>
              <w:t>286</w:t>
            </w:r>
          </w:p>
        </w:tc>
      </w:tr>
      <w:tr w14:paraId="1A88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6B82E0A7">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3</w:t>
            </w:r>
          </w:p>
        </w:tc>
        <w:tc>
          <w:tcPr>
            <w:tcW w:w="1253" w:type="pct"/>
            <w:tcBorders>
              <w:tl2br w:val="nil"/>
              <w:tr2bl w:val="nil"/>
            </w:tcBorders>
            <w:vAlign w:val="center"/>
          </w:tcPr>
          <w:p w14:paraId="048CCB12">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BOD</w:t>
            </w:r>
            <w:r>
              <w:rPr>
                <w:rFonts w:eastAsia="Times New Roman"/>
                <w:snapToGrid w:val="0"/>
                <w:color w:val="auto"/>
                <w:kern w:val="0"/>
                <w:szCs w:val="21"/>
                <w:highlight w:val="none"/>
                <w:vertAlign w:val="subscript"/>
              </w:rPr>
              <w:t>5</w:t>
            </w:r>
          </w:p>
        </w:tc>
        <w:tc>
          <w:tcPr>
            <w:tcW w:w="1955" w:type="pct"/>
            <w:tcBorders>
              <w:tl2br w:val="nil"/>
              <w:tr2bl w:val="nil"/>
            </w:tcBorders>
            <w:vAlign w:val="center"/>
          </w:tcPr>
          <w:p w14:paraId="6CF87183">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350</w:t>
            </w:r>
          </w:p>
        </w:tc>
        <w:tc>
          <w:tcPr>
            <w:tcW w:w="1369" w:type="pct"/>
            <w:tcBorders>
              <w:tl2br w:val="nil"/>
              <w:tr2bl w:val="nil"/>
            </w:tcBorders>
            <w:vAlign w:val="center"/>
          </w:tcPr>
          <w:p w14:paraId="5710FF6C">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4457</w:t>
            </w:r>
          </w:p>
        </w:tc>
      </w:tr>
      <w:tr w14:paraId="6F74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3D9EEB96">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4</w:t>
            </w:r>
          </w:p>
        </w:tc>
        <w:tc>
          <w:tcPr>
            <w:tcW w:w="1253" w:type="pct"/>
            <w:tcBorders>
              <w:tl2br w:val="nil"/>
              <w:tr2bl w:val="nil"/>
            </w:tcBorders>
            <w:vAlign w:val="center"/>
          </w:tcPr>
          <w:p w14:paraId="034B3A52">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COD</w:t>
            </w:r>
            <w:r>
              <w:rPr>
                <w:rFonts w:eastAsia="Times New Roman"/>
                <w:snapToGrid w:val="0"/>
                <w:color w:val="auto"/>
                <w:kern w:val="0"/>
                <w:szCs w:val="21"/>
                <w:highlight w:val="none"/>
                <w:vertAlign w:val="subscript"/>
              </w:rPr>
              <w:t>cr</w:t>
            </w:r>
          </w:p>
        </w:tc>
        <w:tc>
          <w:tcPr>
            <w:tcW w:w="1955" w:type="pct"/>
            <w:tcBorders>
              <w:tl2br w:val="nil"/>
              <w:tr2bl w:val="nil"/>
            </w:tcBorders>
            <w:vAlign w:val="center"/>
          </w:tcPr>
          <w:p w14:paraId="13E88B90">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500</w:t>
            </w:r>
          </w:p>
        </w:tc>
        <w:tc>
          <w:tcPr>
            <w:tcW w:w="1369" w:type="pct"/>
            <w:tcBorders>
              <w:tl2br w:val="nil"/>
              <w:tr2bl w:val="nil"/>
            </w:tcBorders>
            <w:vAlign w:val="center"/>
          </w:tcPr>
          <w:p w14:paraId="70EDC70F">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12904</w:t>
            </w:r>
          </w:p>
        </w:tc>
      </w:tr>
      <w:tr w14:paraId="3257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5EC6A0E0">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5</w:t>
            </w:r>
          </w:p>
        </w:tc>
        <w:tc>
          <w:tcPr>
            <w:tcW w:w="1253" w:type="pct"/>
            <w:tcBorders>
              <w:tl2br w:val="nil"/>
              <w:tr2bl w:val="nil"/>
            </w:tcBorders>
            <w:vAlign w:val="center"/>
          </w:tcPr>
          <w:p w14:paraId="58675D67">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氨氮</w:t>
            </w:r>
          </w:p>
        </w:tc>
        <w:tc>
          <w:tcPr>
            <w:tcW w:w="1955" w:type="pct"/>
            <w:tcBorders>
              <w:tl2br w:val="nil"/>
              <w:tr2bl w:val="nil"/>
            </w:tcBorders>
            <w:vAlign w:val="center"/>
          </w:tcPr>
          <w:p w14:paraId="3FA86ADB">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45</w:t>
            </w:r>
          </w:p>
        </w:tc>
        <w:tc>
          <w:tcPr>
            <w:tcW w:w="1369" w:type="pct"/>
            <w:tcBorders>
              <w:tl2br w:val="nil"/>
              <w:tr2bl w:val="nil"/>
            </w:tcBorders>
            <w:vAlign w:val="center"/>
          </w:tcPr>
          <w:p w14:paraId="77E9477E">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309</w:t>
            </w:r>
          </w:p>
        </w:tc>
      </w:tr>
      <w:tr w14:paraId="6857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327B651E">
            <w:pPr>
              <w:pStyle w:val="738"/>
              <w:widowControl/>
              <w:adjustRightInd w:val="0"/>
              <w:snapToGrid w:val="0"/>
              <w:spacing w:line="240" w:lineRule="auto"/>
              <w:rPr>
                <w:rFonts w:eastAsia="Times New Roman"/>
                <w:snapToGrid w:val="0"/>
                <w:color w:val="auto"/>
                <w:kern w:val="0"/>
                <w:szCs w:val="21"/>
                <w:highlight w:val="none"/>
              </w:rPr>
            </w:pPr>
            <w:r>
              <w:rPr>
                <w:rFonts w:eastAsia="Times New Roman"/>
                <w:snapToGrid w:val="0"/>
                <w:color w:val="auto"/>
                <w:kern w:val="0"/>
                <w:szCs w:val="21"/>
                <w:highlight w:val="none"/>
              </w:rPr>
              <w:t>6</w:t>
            </w:r>
          </w:p>
        </w:tc>
        <w:tc>
          <w:tcPr>
            <w:tcW w:w="1253" w:type="pct"/>
            <w:tcBorders>
              <w:tl2br w:val="nil"/>
              <w:tr2bl w:val="nil"/>
            </w:tcBorders>
            <w:vAlign w:val="center"/>
          </w:tcPr>
          <w:p w14:paraId="6B7D2188">
            <w:pPr>
              <w:pStyle w:val="738"/>
              <w:widowControl/>
              <w:adjustRightInd w:val="0"/>
              <w:snapToGrid w:val="0"/>
              <w:spacing w:line="240" w:lineRule="auto"/>
              <w:rPr>
                <w:rFonts w:eastAsia="Times New Roman"/>
                <w:snapToGrid w:val="0"/>
                <w:color w:val="auto"/>
                <w:kern w:val="0"/>
                <w:szCs w:val="21"/>
                <w:highlight w:val="none"/>
              </w:rPr>
            </w:pPr>
            <w:r>
              <w:rPr>
                <w:rFonts w:hint="eastAsia" w:eastAsia="Times New Roman"/>
                <w:snapToGrid w:val="0"/>
                <w:color w:val="auto"/>
                <w:kern w:val="0"/>
                <w:szCs w:val="21"/>
                <w:highlight w:val="none"/>
              </w:rPr>
              <w:t>溶解性总固体TDS</w:t>
            </w:r>
          </w:p>
        </w:tc>
        <w:tc>
          <w:tcPr>
            <w:tcW w:w="1955" w:type="pct"/>
            <w:tcBorders>
              <w:tl2br w:val="nil"/>
              <w:tr2bl w:val="nil"/>
            </w:tcBorders>
            <w:vAlign w:val="center"/>
          </w:tcPr>
          <w:p w14:paraId="76ABD9D7">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1500</w:t>
            </w:r>
          </w:p>
        </w:tc>
        <w:tc>
          <w:tcPr>
            <w:tcW w:w="1369" w:type="pct"/>
            <w:tcBorders>
              <w:tl2br w:val="nil"/>
              <w:tr2bl w:val="nil"/>
            </w:tcBorders>
            <w:vAlign w:val="center"/>
          </w:tcPr>
          <w:p w14:paraId="122FD2B7">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10224</w:t>
            </w:r>
          </w:p>
        </w:tc>
      </w:tr>
      <w:tr w14:paraId="07E9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0C9186B0">
            <w:pPr>
              <w:pStyle w:val="738"/>
              <w:widowControl/>
              <w:adjustRightInd w:val="0"/>
              <w:snapToGrid w:val="0"/>
              <w:spacing w:line="240" w:lineRule="auto"/>
              <w:rPr>
                <w:rFonts w:eastAsia="Times New Roman"/>
                <w:snapToGrid w:val="0"/>
                <w:color w:val="auto"/>
                <w:kern w:val="0"/>
                <w:szCs w:val="21"/>
                <w:highlight w:val="none"/>
              </w:rPr>
            </w:pPr>
            <w:r>
              <w:rPr>
                <w:rFonts w:hint="eastAsia" w:eastAsia="Times New Roman"/>
                <w:snapToGrid w:val="0"/>
                <w:color w:val="auto"/>
                <w:kern w:val="0"/>
                <w:szCs w:val="21"/>
                <w:highlight w:val="none"/>
              </w:rPr>
              <w:t>7</w:t>
            </w:r>
          </w:p>
        </w:tc>
        <w:tc>
          <w:tcPr>
            <w:tcW w:w="1253" w:type="pct"/>
            <w:tcBorders>
              <w:tl2br w:val="nil"/>
              <w:tr2bl w:val="nil"/>
            </w:tcBorders>
            <w:vAlign w:val="center"/>
          </w:tcPr>
          <w:p w14:paraId="18322C3C">
            <w:pPr>
              <w:pStyle w:val="738"/>
              <w:widowControl/>
              <w:adjustRightInd w:val="0"/>
              <w:snapToGrid w:val="0"/>
              <w:spacing w:line="240" w:lineRule="auto"/>
              <w:rPr>
                <w:rFonts w:eastAsia="Times New Roman"/>
                <w:snapToGrid w:val="0"/>
                <w:color w:val="auto"/>
                <w:kern w:val="0"/>
                <w:szCs w:val="21"/>
                <w:highlight w:val="none"/>
              </w:rPr>
            </w:pPr>
            <w:r>
              <w:rPr>
                <w:rFonts w:hint="eastAsia" w:eastAsia="Times New Roman"/>
                <w:snapToGrid w:val="0"/>
                <w:color w:val="auto"/>
                <w:kern w:val="0"/>
                <w:szCs w:val="21"/>
                <w:highlight w:val="none"/>
              </w:rPr>
              <w:t>总氮</w:t>
            </w:r>
            <w:r>
              <w:rPr>
                <w:rFonts w:hint="eastAsia" w:eastAsia="Times New Roman"/>
                <w:snapToGrid w:val="0"/>
                <w:color w:val="auto"/>
                <w:kern w:val="0"/>
                <w:szCs w:val="21"/>
                <w:highlight w:val="none"/>
                <w:lang w:eastAsia="zh-CN"/>
              </w:rPr>
              <w:t>（</w:t>
            </w:r>
            <w:r>
              <w:rPr>
                <w:rFonts w:hint="eastAsia" w:eastAsia="Times New Roman"/>
                <w:snapToGrid w:val="0"/>
                <w:color w:val="auto"/>
                <w:kern w:val="0"/>
                <w:szCs w:val="21"/>
                <w:highlight w:val="none"/>
                <w:lang w:val="en-US" w:eastAsia="zh-CN"/>
              </w:rPr>
              <w:t>以N计</w:t>
            </w:r>
            <w:r>
              <w:rPr>
                <w:rFonts w:hint="eastAsia" w:eastAsia="Times New Roman"/>
                <w:snapToGrid w:val="0"/>
                <w:color w:val="auto"/>
                <w:kern w:val="0"/>
                <w:szCs w:val="21"/>
                <w:highlight w:val="none"/>
                <w:lang w:eastAsia="zh-CN"/>
              </w:rPr>
              <w:t>）</w:t>
            </w:r>
          </w:p>
        </w:tc>
        <w:tc>
          <w:tcPr>
            <w:tcW w:w="1955" w:type="pct"/>
            <w:tcBorders>
              <w:tl2br w:val="nil"/>
              <w:tr2bl w:val="nil"/>
            </w:tcBorders>
            <w:vAlign w:val="center"/>
          </w:tcPr>
          <w:p w14:paraId="75EBA56A">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70</w:t>
            </w:r>
          </w:p>
        </w:tc>
        <w:tc>
          <w:tcPr>
            <w:tcW w:w="1369" w:type="pct"/>
            <w:tcBorders>
              <w:tl2br w:val="nil"/>
              <w:tr2bl w:val="nil"/>
            </w:tcBorders>
            <w:vAlign w:val="center"/>
          </w:tcPr>
          <w:p w14:paraId="7C7C2B80">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361</w:t>
            </w:r>
          </w:p>
        </w:tc>
      </w:tr>
      <w:tr w14:paraId="2591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0" w:type="pct"/>
            <w:tcBorders>
              <w:tl2br w:val="nil"/>
              <w:tr2bl w:val="nil"/>
            </w:tcBorders>
            <w:vAlign w:val="center"/>
          </w:tcPr>
          <w:p w14:paraId="5BAB17D5">
            <w:pPr>
              <w:pStyle w:val="738"/>
              <w:widowControl/>
              <w:adjustRightInd w:val="0"/>
              <w:snapToGrid w:val="0"/>
              <w:spacing w:line="240" w:lineRule="auto"/>
              <w:rPr>
                <w:rFonts w:eastAsia="Times New Roman"/>
                <w:snapToGrid w:val="0"/>
                <w:color w:val="auto"/>
                <w:kern w:val="0"/>
                <w:szCs w:val="21"/>
                <w:highlight w:val="none"/>
              </w:rPr>
            </w:pPr>
            <w:r>
              <w:rPr>
                <w:rFonts w:hint="eastAsia" w:eastAsia="Times New Roman"/>
                <w:snapToGrid w:val="0"/>
                <w:color w:val="auto"/>
                <w:kern w:val="0"/>
                <w:szCs w:val="21"/>
                <w:highlight w:val="none"/>
              </w:rPr>
              <w:t>8</w:t>
            </w:r>
          </w:p>
        </w:tc>
        <w:tc>
          <w:tcPr>
            <w:tcW w:w="1253" w:type="pct"/>
            <w:tcBorders>
              <w:tl2br w:val="nil"/>
              <w:tr2bl w:val="nil"/>
            </w:tcBorders>
            <w:vAlign w:val="center"/>
          </w:tcPr>
          <w:p w14:paraId="7A7A313B">
            <w:pPr>
              <w:pStyle w:val="738"/>
              <w:widowControl/>
              <w:adjustRightInd w:val="0"/>
              <w:snapToGrid w:val="0"/>
              <w:spacing w:line="240" w:lineRule="auto"/>
              <w:rPr>
                <w:rFonts w:eastAsia="Times New Roman"/>
                <w:snapToGrid w:val="0"/>
                <w:color w:val="auto"/>
                <w:kern w:val="0"/>
                <w:szCs w:val="21"/>
                <w:highlight w:val="none"/>
              </w:rPr>
            </w:pPr>
            <w:r>
              <w:rPr>
                <w:rFonts w:hint="eastAsia" w:eastAsia="Times New Roman"/>
                <w:snapToGrid w:val="0"/>
                <w:color w:val="auto"/>
                <w:kern w:val="0"/>
                <w:szCs w:val="21"/>
                <w:highlight w:val="none"/>
              </w:rPr>
              <w:t>总磷</w:t>
            </w:r>
            <w:r>
              <w:rPr>
                <w:rFonts w:hint="eastAsia" w:eastAsia="Times New Roman"/>
                <w:snapToGrid w:val="0"/>
                <w:color w:val="auto"/>
                <w:kern w:val="0"/>
                <w:szCs w:val="21"/>
                <w:highlight w:val="none"/>
                <w:lang w:eastAsia="zh-CN"/>
              </w:rPr>
              <w:t>（</w:t>
            </w:r>
            <w:r>
              <w:rPr>
                <w:rFonts w:hint="eastAsia" w:eastAsia="Times New Roman"/>
                <w:snapToGrid w:val="0"/>
                <w:color w:val="auto"/>
                <w:kern w:val="0"/>
                <w:szCs w:val="21"/>
                <w:highlight w:val="none"/>
                <w:lang w:val="en-US" w:eastAsia="zh-CN"/>
              </w:rPr>
              <w:t>以P计</w:t>
            </w:r>
            <w:r>
              <w:rPr>
                <w:rFonts w:hint="eastAsia" w:eastAsia="Times New Roman"/>
                <w:snapToGrid w:val="0"/>
                <w:color w:val="auto"/>
                <w:kern w:val="0"/>
                <w:szCs w:val="21"/>
                <w:highlight w:val="none"/>
                <w:lang w:eastAsia="zh-CN"/>
              </w:rPr>
              <w:t>）</w:t>
            </w:r>
          </w:p>
        </w:tc>
        <w:tc>
          <w:tcPr>
            <w:tcW w:w="1955" w:type="pct"/>
            <w:tcBorders>
              <w:tl2br w:val="nil"/>
              <w:tr2bl w:val="nil"/>
            </w:tcBorders>
            <w:vAlign w:val="center"/>
          </w:tcPr>
          <w:p w14:paraId="13DB0723">
            <w:pPr>
              <w:pStyle w:val="738"/>
              <w:widowControl/>
              <w:adjustRightInd w:val="0"/>
              <w:snapToGrid w:val="0"/>
              <w:spacing w:line="240" w:lineRule="auto"/>
              <w:rPr>
                <w:rFonts w:hint="eastAsia" w:eastAsia="宋体"/>
                <w:snapToGrid w:val="0"/>
                <w:color w:val="auto"/>
                <w:kern w:val="0"/>
                <w:szCs w:val="21"/>
                <w:highlight w:val="none"/>
                <w:lang w:eastAsia="zh-CN"/>
              </w:rPr>
            </w:pPr>
            <w:r>
              <w:rPr>
                <w:rFonts w:hint="eastAsia" w:eastAsia="宋体"/>
                <w:snapToGrid w:val="0"/>
                <w:color w:val="auto"/>
                <w:kern w:val="0"/>
                <w:szCs w:val="21"/>
                <w:highlight w:val="none"/>
                <w:lang w:val="en-US" w:eastAsia="zh-CN"/>
              </w:rPr>
              <w:t>8</w:t>
            </w:r>
          </w:p>
        </w:tc>
        <w:tc>
          <w:tcPr>
            <w:tcW w:w="1369" w:type="pct"/>
            <w:tcBorders>
              <w:tl2br w:val="nil"/>
              <w:tr2bl w:val="nil"/>
            </w:tcBorders>
            <w:vAlign w:val="center"/>
          </w:tcPr>
          <w:p w14:paraId="6ABCCC55">
            <w:pPr>
              <w:pStyle w:val="738"/>
              <w:widowControl/>
              <w:adjustRightInd w:val="0"/>
              <w:snapToGrid w:val="0"/>
              <w:spacing w:line="240" w:lineRule="auto"/>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271</w:t>
            </w:r>
          </w:p>
        </w:tc>
      </w:tr>
    </w:tbl>
    <w:p w14:paraId="15A6C64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2.5.2.3噪声排放标准</w:t>
      </w:r>
    </w:p>
    <w:p w14:paraId="6A8588C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项目施工期噪声排放执行《建筑施工噪声排放标准》（GB12523-2025），详见表2.</w:t>
      </w:r>
      <w:r>
        <w:rPr>
          <w:rFonts w:hint="eastAsia"/>
          <w:snapToGrid w:val="0"/>
          <w:color w:val="auto"/>
          <w:kern w:val="0"/>
          <w:sz w:val="24"/>
          <w:highlight w:val="none"/>
          <w:lang w:val="en-US" w:eastAsia="zh-CN"/>
        </w:rPr>
        <w:t>5</w:t>
      </w:r>
      <w:r>
        <w:rPr>
          <w:rFonts w:hint="eastAsia"/>
          <w:snapToGrid w:val="0"/>
          <w:color w:val="auto"/>
          <w:kern w:val="0"/>
          <w:sz w:val="24"/>
          <w:highlight w:val="none"/>
        </w:rPr>
        <w:t>-</w:t>
      </w:r>
      <w:r>
        <w:rPr>
          <w:rFonts w:hint="eastAsia"/>
          <w:snapToGrid w:val="0"/>
          <w:color w:val="auto"/>
          <w:kern w:val="0"/>
          <w:sz w:val="24"/>
          <w:highlight w:val="none"/>
          <w:lang w:val="en-US" w:eastAsia="zh-CN"/>
        </w:rPr>
        <w:t>7</w:t>
      </w:r>
      <w:r>
        <w:rPr>
          <w:rFonts w:hint="eastAsia"/>
          <w:snapToGrid w:val="0"/>
          <w:color w:val="auto"/>
          <w:kern w:val="0"/>
          <w:sz w:val="24"/>
          <w:highlight w:val="none"/>
        </w:rPr>
        <w:t>。</w:t>
      </w:r>
    </w:p>
    <w:p w14:paraId="50CE8693">
      <w:pPr>
        <w:adjustRightInd w:val="0"/>
        <w:snapToGrid w:val="0"/>
        <w:ind w:firstLine="422" w:firstLineChars="20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b/>
          <w:bCs/>
          <w:snapToGrid w:val="0"/>
          <w:color w:val="auto"/>
          <w:kern w:val="0"/>
          <w:szCs w:val="21"/>
          <w:highlight w:val="none"/>
        </w:rPr>
        <w:t>.</w:t>
      </w:r>
      <w:r>
        <w:rPr>
          <w:rFonts w:hint="eastAsia"/>
          <w:b/>
          <w:bCs/>
          <w:snapToGrid w:val="0"/>
          <w:color w:val="auto"/>
          <w:kern w:val="0"/>
          <w:szCs w:val="21"/>
          <w:highlight w:val="none"/>
          <w:lang w:val="en-US" w:eastAsia="zh-CN"/>
        </w:rPr>
        <w:t>5</w:t>
      </w:r>
      <w:r>
        <w:rPr>
          <w:b/>
          <w:bCs/>
          <w:snapToGrid w:val="0"/>
          <w:color w:val="auto"/>
          <w:kern w:val="0"/>
          <w:szCs w:val="21"/>
          <w:highlight w:val="none"/>
        </w:rPr>
        <w:t>-</w:t>
      </w:r>
      <w:r>
        <w:rPr>
          <w:rFonts w:hint="eastAsia"/>
          <w:b/>
          <w:bCs/>
          <w:snapToGrid w:val="0"/>
          <w:color w:val="auto"/>
          <w:kern w:val="0"/>
          <w:szCs w:val="21"/>
          <w:highlight w:val="none"/>
          <w:lang w:val="en-US" w:eastAsia="zh-CN"/>
        </w:rPr>
        <w:t>7</w:t>
      </w:r>
      <w:r>
        <w:rPr>
          <w:b/>
          <w:bCs/>
          <w:snapToGrid w:val="0"/>
          <w:color w:val="auto"/>
          <w:kern w:val="0"/>
          <w:szCs w:val="21"/>
          <w:highlight w:val="none"/>
        </w:rPr>
        <w:t xml:space="preserve"> 建筑施工噪声排放标准</w:t>
      </w:r>
    </w:p>
    <w:tbl>
      <w:tblPr>
        <w:tblStyle w:val="56"/>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5"/>
        <w:gridCol w:w="2993"/>
        <w:gridCol w:w="2993"/>
      </w:tblGrid>
      <w:tr w14:paraId="5E01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restart"/>
            <w:tcBorders>
              <w:tl2br w:val="nil"/>
              <w:tr2bl w:val="nil"/>
            </w:tcBorders>
            <w:shd w:val="clear" w:color="auto" w:fill="auto"/>
            <w:vAlign w:val="center"/>
          </w:tcPr>
          <w:p w14:paraId="5DA65E3F">
            <w:pPr>
              <w:adjustRightInd w:val="0"/>
              <w:snapToGrid w:val="0"/>
              <w:jc w:val="center"/>
              <w:rPr>
                <w:b/>
                <w:snapToGrid w:val="0"/>
                <w:color w:val="auto"/>
                <w:kern w:val="0"/>
                <w:szCs w:val="21"/>
                <w:highlight w:val="none"/>
              </w:rPr>
            </w:pPr>
            <w:r>
              <w:rPr>
                <w:rFonts w:hint="eastAsia"/>
                <w:b/>
                <w:snapToGrid w:val="0"/>
                <w:color w:val="auto"/>
                <w:kern w:val="0"/>
                <w:szCs w:val="21"/>
                <w:highlight w:val="none"/>
              </w:rPr>
              <w:t>主要噪声源</w:t>
            </w:r>
          </w:p>
        </w:tc>
        <w:tc>
          <w:tcPr>
            <w:tcW w:w="5986" w:type="dxa"/>
            <w:gridSpan w:val="2"/>
            <w:tcBorders>
              <w:tl2br w:val="nil"/>
              <w:tr2bl w:val="nil"/>
            </w:tcBorders>
            <w:shd w:val="clear" w:color="auto" w:fill="auto"/>
            <w:vAlign w:val="center"/>
          </w:tcPr>
          <w:p w14:paraId="0BE5324F">
            <w:pPr>
              <w:adjustRightInd w:val="0"/>
              <w:snapToGrid w:val="0"/>
              <w:jc w:val="center"/>
              <w:rPr>
                <w:b/>
                <w:snapToGrid w:val="0"/>
                <w:color w:val="auto"/>
                <w:kern w:val="0"/>
                <w:szCs w:val="21"/>
                <w:highlight w:val="none"/>
              </w:rPr>
            </w:pPr>
            <w:r>
              <w:rPr>
                <w:rFonts w:hint="eastAsia"/>
                <w:b/>
                <w:snapToGrid w:val="0"/>
                <w:color w:val="auto"/>
                <w:kern w:val="0"/>
                <w:szCs w:val="21"/>
                <w:highlight w:val="none"/>
              </w:rPr>
              <w:t>噪声限值</w:t>
            </w:r>
          </w:p>
        </w:tc>
      </w:tr>
      <w:tr w14:paraId="0B21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continue"/>
            <w:tcBorders>
              <w:tl2br w:val="nil"/>
              <w:tr2bl w:val="nil"/>
            </w:tcBorders>
            <w:shd w:val="clear" w:color="auto" w:fill="auto"/>
            <w:vAlign w:val="center"/>
          </w:tcPr>
          <w:p w14:paraId="108E02D3">
            <w:pPr>
              <w:adjustRightInd w:val="0"/>
              <w:snapToGrid w:val="0"/>
              <w:jc w:val="center"/>
              <w:rPr>
                <w:b/>
                <w:snapToGrid w:val="0"/>
                <w:color w:val="auto"/>
                <w:kern w:val="0"/>
                <w:szCs w:val="21"/>
                <w:highlight w:val="none"/>
              </w:rPr>
            </w:pPr>
          </w:p>
        </w:tc>
        <w:tc>
          <w:tcPr>
            <w:tcW w:w="0" w:type="auto"/>
            <w:tcBorders>
              <w:tl2br w:val="nil"/>
              <w:tr2bl w:val="nil"/>
            </w:tcBorders>
            <w:shd w:val="clear" w:color="auto" w:fill="auto"/>
            <w:vAlign w:val="center"/>
          </w:tcPr>
          <w:p w14:paraId="6032459E">
            <w:pPr>
              <w:adjustRightInd w:val="0"/>
              <w:snapToGrid w:val="0"/>
              <w:jc w:val="center"/>
              <w:rPr>
                <w:b/>
                <w:snapToGrid w:val="0"/>
                <w:color w:val="auto"/>
                <w:kern w:val="0"/>
                <w:szCs w:val="21"/>
                <w:highlight w:val="none"/>
              </w:rPr>
            </w:pPr>
            <w:r>
              <w:rPr>
                <w:b/>
                <w:snapToGrid w:val="0"/>
                <w:color w:val="auto"/>
                <w:kern w:val="0"/>
                <w:szCs w:val="21"/>
                <w:highlight w:val="none"/>
              </w:rPr>
              <w:t>昼间/dB（A）</w:t>
            </w:r>
          </w:p>
        </w:tc>
        <w:tc>
          <w:tcPr>
            <w:tcW w:w="2993" w:type="dxa"/>
            <w:tcBorders>
              <w:tl2br w:val="nil"/>
              <w:tr2bl w:val="nil"/>
            </w:tcBorders>
            <w:shd w:val="clear" w:color="auto" w:fill="auto"/>
            <w:vAlign w:val="center"/>
          </w:tcPr>
          <w:p w14:paraId="094FE51D">
            <w:pPr>
              <w:adjustRightInd w:val="0"/>
              <w:snapToGrid w:val="0"/>
              <w:jc w:val="center"/>
              <w:rPr>
                <w:b/>
                <w:snapToGrid w:val="0"/>
                <w:color w:val="auto"/>
                <w:kern w:val="0"/>
                <w:szCs w:val="21"/>
                <w:highlight w:val="none"/>
              </w:rPr>
            </w:pPr>
            <w:r>
              <w:rPr>
                <w:b/>
                <w:snapToGrid w:val="0"/>
                <w:color w:val="auto"/>
                <w:kern w:val="0"/>
                <w:szCs w:val="21"/>
                <w:highlight w:val="none"/>
              </w:rPr>
              <w:t>夜间/dB（A）</w:t>
            </w:r>
          </w:p>
        </w:tc>
      </w:tr>
      <w:tr w14:paraId="510B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05" w:type="dxa"/>
            <w:tcBorders>
              <w:tl2br w:val="nil"/>
              <w:tr2bl w:val="nil"/>
            </w:tcBorders>
            <w:shd w:val="clear" w:color="auto" w:fill="auto"/>
            <w:vAlign w:val="center"/>
          </w:tcPr>
          <w:p w14:paraId="6233344A">
            <w:pPr>
              <w:adjustRightInd w:val="0"/>
              <w:snapToGrid w:val="0"/>
              <w:jc w:val="center"/>
              <w:rPr>
                <w:snapToGrid w:val="0"/>
                <w:color w:val="auto"/>
                <w:kern w:val="0"/>
                <w:szCs w:val="21"/>
                <w:highlight w:val="none"/>
              </w:rPr>
            </w:pPr>
            <w:r>
              <w:rPr>
                <w:rFonts w:hint="eastAsia"/>
                <w:snapToGrid w:val="0"/>
                <w:color w:val="auto"/>
                <w:kern w:val="0"/>
                <w:szCs w:val="21"/>
                <w:highlight w:val="none"/>
              </w:rPr>
              <w:t>建筑施工</w:t>
            </w:r>
          </w:p>
        </w:tc>
        <w:tc>
          <w:tcPr>
            <w:tcW w:w="2993" w:type="dxa"/>
            <w:tcBorders>
              <w:tl2br w:val="nil"/>
              <w:tr2bl w:val="nil"/>
            </w:tcBorders>
            <w:shd w:val="clear" w:color="auto" w:fill="auto"/>
            <w:vAlign w:val="center"/>
          </w:tcPr>
          <w:p w14:paraId="5029DDCA">
            <w:pPr>
              <w:adjustRightInd w:val="0"/>
              <w:snapToGrid w:val="0"/>
              <w:jc w:val="center"/>
              <w:rPr>
                <w:snapToGrid w:val="0"/>
                <w:color w:val="auto"/>
                <w:kern w:val="0"/>
                <w:szCs w:val="21"/>
                <w:highlight w:val="none"/>
              </w:rPr>
            </w:pPr>
            <w:r>
              <w:rPr>
                <w:snapToGrid w:val="0"/>
                <w:color w:val="auto"/>
                <w:kern w:val="0"/>
                <w:szCs w:val="21"/>
                <w:highlight w:val="none"/>
              </w:rPr>
              <w:t>70</w:t>
            </w:r>
          </w:p>
        </w:tc>
        <w:tc>
          <w:tcPr>
            <w:tcW w:w="2993" w:type="dxa"/>
            <w:tcBorders>
              <w:tl2br w:val="nil"/>
              <w:tr2bl w:val="nil"/>
            </w:tcBorders>
            <w:shd w:val="clear" w:color="auto" w:fill="auto"/>
            <w:vAlign w:val="center"/>
          </w:tcPr>
          <w:p w14:paraId="2C8750E0">
            <w:pPr>
              <w:adjustRightInd w:val="0"/>
              <w:snapToGrid w:val="0"/>
              <w:jc w:val="center"/>
              <w:rPr>
                <w:snapToGrid w:val="0"/>
                <w:color w:val="auto"/>
                <w:kern w:val="0"/>
                <w:szCs w:val="21"/>
                <w:highlight w:val="none"/>
              </w:rPr>
            </w:pPr>
            <w:r>
              <w:rPr>
                <w:snapToGrid w:val="0"/>
                <w:color w:val="auto"/>
                <w:kern w:val="0"/>
                <w:szCs w:val="21"/>
                <w:highlight w:val="none"/>
              </w:rPr>
              <w:t>55</w:t>
            </w:r>
          </w:p>
        </w:tc>
      </w:tr>
    </w:tbl>
    <w:p w14:paraId="3F88B4FF">
      <w:pPr>
        <w:adjustRightInd w:val="0"/>
        <w:snapToGrid w:val="0"/>
        <w:spacing w:before="120" w:beforeLines="50" w:line="360" w:lineRule="auto"/>
        <w:ind w:firstLine="480" w:firstLineChars="200"/>
        <w:rPr>
          <w:snapToGrid w:val="0"/>
          <w:color w:val="auto"/>
          <w:kern w:val="0"/>
          <w:sz w:val="24"/>
          <w:highlight w:val="none"/>
        </w:rPr>
      </w:pPr>
      <w:r>
        <w:rPr>
          <w:rFonts w:hint="eastAsia"/>
          <w:snapToGrid w:val="0"/>
          <w:color w:val="auto"/>
          <w:kern w:val="0"/>
          <w:sz w:val="24"/>
          <w:highlight w:val="none"/>
        </w:rPr>
        <w:t>本项目运营期厂界噪声排放执行《工业企业厂界环境噪声排放标准》（GB12348-2008）中的3类标准。</w:t>
      </w:r>
    </w:p>
    <w:p w14:paraId="56370DBB">
      <w:pPr>
        <w:adjustRightInd w:val="0"/>
        <w:snapToGrid w:val="0"/>
        <w:ind w:firstLine="422" w:firstLineChars="20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b/>
          <w:bCs/>
          <w:snapToGrid w:val="0"/>
          <w:color w:val="auto"/>
          <w:kern w:val="0"/>
          <w:szCs w:val="21"/>
          <w:highlight w:val="none"/>
        </w:rPr>
        <w:t>.</w:t>
      </w:r>
      <w:r>
        <w:rPr>
          <w:rFonts w:hint="eastAsia"/>
          <w:b/>
          <w:bCs/>
          <w:snapToGrid w:val="0"/>
          <w:color w:val="auto"/>
          <w:kern w:val="0"/>
          <w:szCs w:val="21"/>
          <w:highlight w:val="none"/>
          <w:lang w:val="en-US" w:eastAsia="zh-CN"/>
        </w:rPr>
        <w:t>5</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8</w:t>
      </w:r>
      <w:r>
        <w:rPr>
          <w:b/>
          <w:bCs/>
          <w:snapToGrid w:val="0"/>
          <w:color w:val="auto"/>
          <w:kern w:val="0"/>
          <w:szCs w:val="21"/>
          <w:highlight w:val="none"/>
        </w:rPr>
        <w:t xml:space="preserve"> 厂界噪声排放标准</w:t>
      </w:r>
    </w:p>
    <w:tbl>
      <w:tblPr>
        <w:tblStyle w:val="5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3007"/>
        <w:gridCol w:w="2842"/>
      </w:tblGrid>
      <w:tr w14:paraId="2640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555" w:type="pct"/>
            <w:shd w:val="clear" w:color="auto" w:fill="auto"/>
            <w:vAlign w:val="center"/>
          </w:tcPr>
          <w:p w14:paraId="35C13871">
            <w:pPr>
              <w:adjustRightInd w:val="0"/>
              <w:snapToGrid w:val="0"/>
              <w:jc w:val="center"/>
              <w:rPr>
                <w:snapToGrid w:val="0"/>
                <w:color w:val="auto"/>
                <w:kern w:val="0"/>
                <w:szCs w:val="21"/>
                <w:highlight w:val="none"/>
              </w:rPr>
            </w:pPr>
            <w:r>
              <w:rPr>
                <w:rFonts w:hint="eastAsia"/>
                <w:snapToGrid w:val="0"/>
                <w:color w:val="auto"/>
                <w:kern w:val="0"/>
                <w:szCs w:val="21"/>
                <w:highlight w:val="none"/>
              </w:rPr>
              <w:t>类别</w:t>
            </w:r>
          </w:p>
        </w:tc>
        <w:tc>
          <w:tcPr>
            <w:tcW w:w="1770" w:type="pct"/>
            <w:shd w:val="clear" w:color="auto" w:fill="auto"/>
            <w:vAlign w:val="center"/>
          </w:tcPr>
          <w:p w14:paraId="24156633">
            <w:pPr>
              <w:adjustRightInd w:val="0"/>
              <w:snapToGrid w:val="0"/>
              <w:jc w:val="center"/>
              <w:rPr>
                <w:snapToGrid w:val="0"/>
                <w:color w:val="auto"/>
                <w:kern w:val="0"/>
                <w:szCs w:val="21"/>
                <w:highlight w:val="none"/>
              </w:rPr>
            </w:pPr>
            <w:r>
              <w:rPr>
                <w:rFonts w:hint="eastAsia"/>
                <w:snapToGrid w:val="0"/>
                <w:color w:val="auto"/>
                <w:kern w:val="0"/>
                <w:szCs w:val="21"/>
                <w:highlight w:val="none"/>
              </w:rPr>
              <w:t>昼间/dB（A）</w:t>
            </w:r>
          </w:p>
        </w:tc>
        <w:tc>
          <w:tcPr>
            <w:tcW w:w="1673" w:type="pct"/>
            <w:shd w:val="clear" w:color="auto" w:fill="auto"/>
            <w:vAlign w:val="center"/>
          </w:tcPr>
          <w:p w14:paraId="62ADF75A">
            <w:pPr>
              <w:adjustRightInd w:val="0"/>
              <w:snapToGrid w:val="0"/>
              <w:jc w:val="center"/>
              <w:rPr>
                <w:snapToGrid w:val="0"/>
                <w:color w:val="auto"/>
                <w:kern w:val="0"/>
                <w:szCs w:val="21"/>
                <w:highlight w:val="none"/>
              </w:rPr>
            </w:pPr>
            <w:r>
              <w:rPr>
                <w:rFonts w:hint="eastAsia"/>
                <w:snapToGrid w:val="0"/>
                <w:color w:val="auto"/>
                <w:kern w:val="0"/>
                <w:szCs w:val="21"/>
                <w:highlight w:val="none"/>
              </w:rPr>
              <w:t>夜间/dB（A）</w:t>
            </w:r>
          </w:p>
        </w:tc>
      </w:tr>
      <w:tr w14:paraId="6B02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555" w:type="pct"/>
            <w:shd w:val="clear" w:color="auto" w:fill="auto"/>
            <w:vAlign w:val="center"/>
          </w:tcPr>
          <w:p w14:paraId="5E1F6117">
            <w:pPr>
              <w:adjustRightInd w:val="0"/>
              <w:snapToGrid w:val="0"/>
              <w:jc w:val="center"/>
              <w:rPr>
                <w:snapToGrid w:val="0"/>
                <w:color w:val="auto"/>
                <w:kern w:val="0"/>
                <w:szCs w:val="21"/>
                <w:highlight w:val="none"/>
              </w:rPr>
            </w:pPr>
            <w:r>
              <w:rPr>
                <w:rFonts w:hint="eastAsia"/>
                <w:snapToGrid w:val="0"/>
                <w:color w:val="auto"/>
                <w:kern w:val="0"/>
                <w:szCs w:val="21"/>
                <w:highlight w:val="none"/>
              </w:rPr>
              <w:t>3</w:t>
            </w:r>
          </w:p>
        </w:tc>
        <w:tc>
          <w:tcPr>
            <w:tcW w:w="1770" w:type="pct"/>
            <w:shd w:val="clear" w:color="auto" w:fill="auto"/>
            <w:vAlign w:val="center"/>
          </w:tcPr>
          <w:p w14:paraId="473FEAF1">
            <w:pPr>
              <w:adjustRightInd w:val="0"/>
              <w:snapToGrid w:val="0"/>
              <w:jc w:val="center"/>
              <w:rPr>
                <w:snapToGrid w:val="0"/>
                <w:color w:val="auto"/>
                <w:kern w:val="0"/>
                <w:szCs w:val="21"/>
                <w:highlight w:val="none"/>
              </w:rPr>
            </w:pPr>
            <w:r>
              <w:rPr>
                <w:rFonts w:hint="eastAsia"/>
                <w:snapToGrid w:val="0"/>
                <w:color w:val="auto"/>
                <w:kern w:val="0"/>
                <w:szCs w:val="21"/>
                <w:highlight w:val="none"/>
              </w:rPr>
              <w:t>65</w:t>
            </w:r>
          </w:p>
        </w:tc>
        <w:tc>
          <w:tcPr>
            <w:tcW w:w="1673" w:type="pct"/>
            <w:shd w:val="clear" w:color="auto" w:fill="auto"/>
            <w:vAlign w:val="center"/>
          </w:tcPr>
          <w:p w14:paraId="404C592B">
            <w:pPr>
              <w:adjustRightInd w:val="0"/>
              <w:snapToGrid w:val="0"/>
              <w:jc w:val="center"/>
              <w:rPr>
                <w:snapToGrid w:val="0"/>
                <w:color w:val="auto"/>
                <w:kern w:val="0"/>
                <w:szCs w:val="21"/>
                <w:highlight w:val="none"/>
              </w:rPr>
            </w:pPr>
            <w:r>
              <w:rPr>
                <w:rFonts w:hint="eastAsia"/>
                <w:snapToGrid w:val="0"/>
                <w:color w:val="auto"/>
                <w:kern w:val="0"/>
                <w:szCs w:val="21"/>
                <w:highlight w:val="none"/>
              </w:rPr>
              <w:t>55</w:t>
            </w:r>
          </w:p>
        </w:tc>
      </w:tr>
    </w:tbl>
    <w:p w14:paraId="1CE55D7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2.5.2.4固体废物控制标准</w:t>
      </w:r>
    </w:p>
    <w:p w14:paraId="2E2D660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一般工业固体废物贮存执行《一般工业固体废物贮存和填埋污染控制标准》（GB18599-2020）；厂内危险废物临时贮存执行《危险废物贮存污染控制标准》（GB18597-2023）等。</w:t>
      </w:r>
    </w:p>
    <w:p w14:paraId="22CF85E9">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73" w:name="_Toc437732082"/>
      <w:bookmarkStart w:id="74" w:name="_Toc4800"/>
      <w:bookmarkStart w:id="75" w:name="_Toc430033218"/>
      <w:bookmarkStart w:id="76" w:name="_Toc12063"/>
      <w:r>
        <w:rPr>
          <w:rFonts w:hint="eastAsia" w:ascii="Times New Roman" w:hAnsi="Times New Roman" w:cs="Times New Roman"/>
          <w:b w:val="0"/>
          <w:bCs w:val="0"/>
          <w:snapToGrid w:val="0"/>
          <w:color w:val="auto"/>
          <w:kern w:val="0"/>
          <w:sz w:val="28"/>
          <w:szCs w:val="28"/>
          <w:highlight w:val="none"/>
        </w:rPr>
        <w:t>2.</w:t>
      </w:r>
      <w:r>
        <w:rPr>
          <w:rFonts w:hint="eastAsia" w:ascii="Times New Roman" w:hAnsi="Times New Roman" w:cs="Times New Roman"/>
          <w:b w:val="0"/>
          <w:bCs w:val="0"/>
          <w:snapToGrid w:val="0"/>
          <w:color w:val="auto"/>
          <w:kern w:val="0"/>
          <w:sz w:val="28"/>
          <w:szCs w:val="28"/>
          <w:highlight w:val="none"/>
          <w:lang w:val="en-US" w:eastAsia="zh-CN"/>
        </w:rPr>
        <w:t>6</w:t>
      </w:r>
      <w:r>
        <w:rPr>
          <w:rFonts w:hint="eastAsia" w:ascii="Times New Roman" w:hAnsi="Times New Roman" w:cs="Times New Roman"/>
          <w:b w:val="0"/>
          <w:bCs w:val="0"/>
          <w:snapToGrid w:val="0"/>
          <w:color w:val="auto"/>
          <w:kern w:val="0"/>
          <w:sz w:val="28"/>
          <w:szCs w:val="28"/>
          <w:highlight w:val="none"/>
        </w:rPr>
        <w:t xml:space="preserve"> 评价等级与评价范围</w:t>
      </w:r>
      <w:bookmarkEnd w:id="73"/>
      <w:bookmarkEnd w:id="74"/>
      <w:bookmarkEnd w:id="75"/>
      <w:bookmarkEnd w:id="76"/>
    </w:p>
    <w:p w14:paraId="6AF12674">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6</w:t>
      </w:r>
      <w:r>
        <w:rPr>
          <w:rFonts w:hint="eastAsia" w:ascii="Times New Roman" w:hAnsi="Times New Roman" w:cs="Times New Roman"/>
          <w:snapToGrid w:val="0"/>
          <w:color w:val="auto"/>
          <w:spacing w:val="0"/>
          <w:kern w:val="0"/>
          <w:szCs w:val="24"/>
          <w:highlight w:val="none"/>
        </w:rPr>
        <w:t>.1评价工作等级</w:t>
      </w:r>
    </w:p>
    <w:p w14:paraId="60D98F5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bookmarkStart w:id="77" w:name="_Toc280044941"/>
      <w:bookmarkStart w:id="78" w:name="_Toc297197785"/>
      <w:bookmarkStart w:id="79" w:name="_Toc282470319"/>
      <w:r>
        <w:rPr>
          <w:rFonts w:hint="eastAsia" w:ascii="宋体" w:hAnsi="宋体" w:eastAsia="宋体" w:cs="宋体"/>
          <w:b/>
          <w:bCs w:val="0"/>
          <w:snapToGrid w:val="0"/>
          <w:color w:val="auto"/>
          <w:spacing w:val="0"/>
          <w:w w:val="100"/>
          <w:kern w:val="0"/>
          <w:sz w:val="24"/>
          <w:szCs w:val="24"/>
          <w:highlight w:val="none"/>
          <w:lang w:val="en-US" w:eastAsia="zh-CN"/>
        </w:rPr>
        <w:t>2.6.1.1大气环境评价工作等级</w:t>
      </w:r>
      <w:bookmarkEnd w:id="77"/>
      <w:bookmarkEnd w:id="78"/>
      <w:bookmarkEnd w:id="79"/>
    </w:p>
    <w:p w14:paraId="3B02A86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snapToGrid w:val="0"/>
          <w:color w:val="auto"/>
          <w:kern w:val="0"/>
          <w:sz w:val="24"/>
          <w:highlight w:val="none"/>
        </w:rPr>
        <w:t>1）</w:t>
      </w:r>
      <w:r>
        <w:rPr>
          <w:rFonts w:hint="eastAsia"/>
          <w:snapToGrid w:val="0"/>
          <w:color w:val="auto"/>
          <w:kern w:val="0"/>
          <w:sz w:val="24"/>
          <w:highlight w:val="none"/>
        </w:rPr>
        <w:t>判定依据</w:t>
      </w:r>
    </w:p>
    <w:p w14:paraId="177FE4B7">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根据《环境影响评价技术导则</w:t>
      </w:r>
      <w:r>
        <w:rPr>
          <w:rFonts w:hint="eastAsia"/>
          <w:snapToGrid w:val="0"/>
          <w:color w:val="auto"/>
          <w:kern w:val="0"/>
          <w:sz w:val="24"/>
          <w:highlight w:val="none"/>
        </w:rPr>
        <w:t xml:space="preserve"> </w:t>
      </w:r>
      <w:r>
        <w:rPr>
          <w:snapToGrid w:val="0"/>
          <w:color w:val="auto"/>
          <w:kern w:val="0"/>
          <w:sz w:val="24"/>
          <w:highlight w:val="none"/>
        </w:rPr>
        <w:t>大气环境》（HJ2.2-20</w:t>
      </w:r>
      <w:r>
        <w:rPr>
          <w:rFonts w:hint="eastAsia"/>
          <w:snapToGrid w:val="0"/>
          <w:color w:val="auto"/>
          <w:kern w:val="0"/>
          <w:sz w:val="24"/>
          <w:highlight w:val="none"/>
        </w:rPr>
        <w:t>1</w:t>
      </w:r>
      <w:r>
        <w:rPr>
          <w:snapToGrid w:val="0"/>
          <w:color w:val="auto"/>
          <w:kern w:val="0"/>
          <w:sz w:val="24"/>
          <w:highlight w:val="none"/>
        </w:rPr>
        <w:t>8），确定评价等级时需根据项目的初步工程分析结果，分别计算每一种污染物的最大地面浓度占标率Pi（第i个污染物），及第i个污染物的地面浓度达到标准值的10%时所对应的最远距离D</w:t>
      </w:r>
      <w:r>
        <w:rPr>
          <w:snapToGrid w:val="0"/>
          <w:color w:val="auto"/>
          <w:kern w:val="0"/>
          <w:sz w:val="24"/>
          <w:highlight w:val="none"/>
          <w:vertAlign w:val="subscript"/>
        </w:rPr>
        <w:t>10%</w:t>
      </w:r>
      <w:r>
        <w:rPr>
          <w:snapToGrid w:val="0"/>
          <w:color w:val="auto"/>
          <w:kern w:val="0"/>
          <w:sz w:val="24"/>
          <w:highlight w:val="none"/>
        </w:rPr>
        <w:t>。其中Pi定义为：</w:t>
      </w:r>
    </w:p>
    <w:p w14:paraId="2483BDA1">
      <w:pPr>
        <w:adjustRightInd w:val="0"/>
        <w:snapToGrid w:val="0"/>
        <w:spacing w:line="360" w:lineRule="auto"/>
        <w:ind w:firstLine="480" w:firstLineChars="200"/>
        <w:rPr>
          <w:snapToGrid w:val="0"/>
          <w:color w:val="auto"/>
          <w:kern w:val="0"/>
          <w:sz w:val="24"/>
          <w:highlight w:val="none"/>
        </w:rPr>
      </w:pPr>
      <m:oMathPara>
        <m:oMath>
          <m:sSub>
            <m:sSubPr>
              <m:ctrlPr>
                <w:rPr>
                  <w:rFonts w:ascii="Cambria Math" w:hAnsi="Cambria Math"/>
                  <w:snapToGrid w:val="0"/>
                  <w:color w:val="auto"/>
                  <w:kern w:val="0"/>
                  <w:sz w:val="24"/>
                  <w:highlight w:val="none"/>
                </w:rPr>
              </m:ctrlPr>
            </m:sSubPr>
            <m:e>
              <m:r>
                <m:rPr>
                  <m:sty m:val="p"/>
                </m:rPr>
                <w:rPr>
                  <w:rFonts w:ascii="Cambria Math" w:hAnsi="Cambria Math"/>
                  <w:snapToGrid w:val="0"/>
                  <w:color w:val="auto"/>
                  <w:kern w:val="0"/>
                  <w:sz w:val="24"/>
                  <w:highlight w:val="none"/>
                </w:rPr>
                <m:t>P</m:t>
              </m:r>
              <m:ctrlPr>
                <w:rPr>
                  <w:rFonts w:ascii="Cambria Math" w:hAnsi="Cambria Math"/>
                  <w:snapToGrid w:val="0"/>
                  <w:color w:val="auto"/>
                  <w:kern w:val="0"/>
                  <w:sz w:val="24"/>
                  <w:highlight w:val="none"/>
                </w:rPr>
              </m:ctrlPr>
            </m:e>
            <m:sub>
              <m:r>
                <m:rPr>
                  <m:sty m:val="p"/>
                </m:rPr>
                <w:rPr>
                  <w:rFonts w:ascii="Cambria Math" w:hAnsi="Cambria Math"/>
                  <w:snapToGrid w:val="0"/>
                  <w:color w:val="auto"/>
                  <w:kern w:val="0"/>
                  <w:sz w:val="24"/>
                  <w:highlight w:val="none"/>
                </w:rPr>
                <m:t>i</m:t>
              </m:r>
              <m:ctrlPr>
                <w:rPr>
                  <w:rFonts w:ascii="Cambria Math" w:hAnsi="Cambria Math"/>
                  <w:snapToGrid w:val="0"/>
                  <w:color w:val="auto"/>
                  <w:kern w:val="0"/>
                  <w:sz w:val="24"/>
                  <w:highlight w:val="none"/>
                </w:rPr>
              </m:ctrlPr>
            </m:sub>
          </m:sSub>
          <m:r>
            <m:rPr>
              <m:sty m:val="p"/>
            </m:rPr>
            <w:rPr>
              <w:rFonts w:ascii="Cambria Math" w:hAnsi="Cambria Math"/>
              <w:snapToGrid w:val="0"/>
              <w:color w:val="auto"/>
              <w:kern w:val="0"/>
              <w:sz w:val="24"/>
              <w:highlight w:val="none"/>
            </w:rPr>
            <m:t>=</m:t>
          </m:r>
          <m:f>
            <m:fPr>
              <m:ctrlPr>
                <w:rPr>
                  <w:rFonts w:ascii="Cambria Math" w:hAnsi="Cambria Math"/>
                  <w:snapToGrid w:val="0"/>
                  <w:color w:val="auto"/>
                  <w:kern w:val="0"/>
                  <w:sz w:val="24"/>
                  <w:highlight w:val="none"/>
                </w:rPr>
              </m:ctrlPr>
            </m:fPr>
            <m:num>
              <m:sSub>
                <m:sSubPr>
                  <m:ctrlPr>
                    <w:rPr>
                      <w:rFonts w:ascii="Cambria Math" w:hAnsi="Cambria Math"/>
                      <w:snapToGrid w:val="0"/>
                      <w:color w:val="auto"/>
                      <w:kern w:val="0"/>
                      <w:sz w:val="24"/>
                      <w:highlight w:val="none"/>
                    </w:rPr>
                  </m:ctrlPr>
                </m:sSubPr>
                <m:e>
                  <m:r>
                    <m:rPr>
                      <m:sty m:val="p"/>
                    </m:rPr>
                    <w:rPr>
                      <w:rFonts w:ascii="Cambria Math" w:hAnsi="Cambria Math"/>
                      <w:snapToGrid w:val="0"/>
                      <w:color w:val="auto"/>
                      <w:kern w:val="0"/>
                      <w:sz w:val="24"/>
                      <w:highlight w:val="none"/>
                    </w:rPr>
                    <m:t>C</m:t>
                  </m:r>
                  <m:ctrlPr>
                    <w:rPr>
                      <w:rFonts w:ascii="Cambria Math" w:hAnsi="Cambria Math"/>
                      <w:snapToGrid w:val="0"/>
                      <w:color w:val="auto"/>
                      <w:kern w:val="0"/>
                      <w:sz w:val="24"/>
                      <w:highlight w:val="none"/>
                    </w:rPr>
                  </m:ctrlPr>
                </m:e>
                <m:sub>
                  <m:r>
                    <m:rPr>
                      <m:sty m:val="p"/>
                    </m:rPr>
                    <w:rPr>
                      <w:rFonts w:ascii="Cambria Math" w:hAnsi="Cambria Math"/>
                      <w:snapToGrid w:val="0"/>
                      <w:color w:val="auto"/>
                      <w:kern w:val="0"/>
                      <w:sz w:val="24"/>
                      <w:highlight w:val="none"/>
                    </w:rPr>
                    <m:t>i</m:t>
                  </m:r>
                  <m:ctrlPr>
                    <w:rPr>
                      <w:rFonts w:ascii="Cambria Math" w:hAnsi="Cambria Math"/>
                      <w:snapToGrid w:val="0"/>
                      <w:color w:val="auto"/>
                      <w:kern w:val="0"/>
                      <w:sz w:val="24"/>
                      <w:highlight w:val="none"/>
                    </w:rPr>
                  </m:ctrlPr>
                </m:sub>
              </m:sSub>
              <m:ctrlPr>
                <w:rPr>
                  <w:rFonts w:ascii="Cambria Math" w:hAnsi="Cambria Math"/>
                  <w:snapToGrid w:val="0"/>
                  <w:color w:val="auto"/>
                  <w:kern w:val="0"/>
                  <w:sz w:val="24"/>
                  <w:highlight w:val="none"/>
                </w:rPr>
              </m:ctrlPr>
            </m:num>
            <m:den>
              <m:sSub>
                <m:sSubPr>
                  <m:ctrlPr>
                    <w:rPr>
                      <w:rFonts w:ascii="Cambria Math" w:hAnsi="Cambria Math"/>
                      <w:snapToGrid w:val="0"/>
                      <w:color w:val="auto"/>
                      <w:kern w:val="0"/>
                      <w:sz w:val="24"/>
                      <w:highlight w:val="none"/>
                    </w:rPr>
                  </m:ctrlPr>
                </m:sSubPr>
                <m:e>
                  <m:r>
                    <m:rPr>
                      <m:sty m:val="p"/>
                    </m:rPr>
                    <w:rPr>
                      <w:rFonts w:ascii="Cambria Math" w:hAnsi="Cambria Math"/>
                      <w:snapToGrid w:val="0"/>
                      <w:color w:val="auto"/>
                      <w:kern w:val="0"/>
                      <w:sz w:val="24"/>
                      <w:highlight w:val="none"/>
                    </w:rPr>
                    <m:t>C</m:t>
                  </m:r>
                  <m:ctrlPr>
                    <w:rPr>
                      <w:rFonts w:ascii="Cambria Math" w:hAnsi="Cambria Math"/>
                      <w:snapToGrid w:val="0"/>
                      <w:color w:val="auto"/>
                      <w:kern w:val="0"/>
                      <w:sz w:val="24"/>
                      <w:highlight w:val="none"/>
                    </w:rPr>
                  </m:ctrlPr>
                </m:e>
                <m:sub>
                  <m:r>
                    <m:rPr>
                      <m:sty m:val="p"/>
                    </m:rPr>
                    <w:rPr>
                      <w:rFonts w:ascii="Cambria Math" w:hAnsi="Cambria Math"/>
                      <w:snapToGrid w:val="0"/>
                      <w:color w:val="auto"/>
                      <w:kern w:val="0"/>
                      <w:sz w:val="24"/>
                      <w:highlight w:val="none"/>
                    </w:rPr>
                    <m:t>0i</m:t>
                  </m:r>
                  <m:ctrlPr>
                    <w:rPr>
                      <w:rFonts w:ascii="Cambria Math" w:hAnsi="Cambria Math"/>
                      <w:snapToGrid w:val="0"/>
                      <w:color w:val="auto"/>
                      <w:kern w:val="0"/>
                      <w:sz w:val="24"/>
                      <w:highlight w:val="none"/>
                    </w:rPr>
                  </m:ctrlPr>
                </m:sub>
              </m:sSub>
              <m:ctrlPr>
                <w:rPr>
                  <w:rFonts w:ascii="Cambria Math" w:hAnsi="Cambria Math"/>
                  <w:snapToGrid w:val="0"/>
                  <w:color w:val="auto"/>
                  <w:kern w:val="0"/>
                  <w:sz w:val="24"/>
                  <w:highlight w:val="none"/>
                </w:rPr>
              </m:ctrlPr>
            </m:den>
          </m:f>
          <m:r>
            <m:rPr>
              <m:sty m:val="p"/>
            </m:rPr>
            <w:rPr>
              <w:rFonts w:ascii="Cambria Math" w:hAnsi="Cambria Math"/>
              <w:snapToGrid w:val="0"/>
              <w:color w:val="auto"/>
              <w:kern w:val="0"/>
              <w:sz w:val="24"/>
              <w:highlight w:val="none"/>
            </w:rPr>
            <m:t>×100%</m:t>
          </m:r>
        </m:oMath>
      </m:oMathPara>
    </w:p>
    <w:p w14:paraId="2330B68D">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式中：P</w:t>
      </w:r>
      <w:r>
        <w:rPr>
          <w:snapToGrid w:val="0"/>
          <w:color w:val="auto"/>
          <w:kern w:val="0"/>
          <w:sz w:val="24"/>
          <w:highlight w:val="none"/>
          <w:vertAlign w:val="subscript"/>
        </w:rPr>
        <w:t>i</w:t>
      </w:r>
      <w:r>
        <w:rPr>
          <w:snapToGrid w:val="0"/>
          <w:color w:val="auto"/>
          <w:kern w:val="0"/>
          <w:sz w:val="24"/>
          <w:highlight w:val="none"/>
        </w:rPr>
        <w:t>—第i个污染物的最大地面浓度占标率，%；</w:t>
      </w:r>
    </w:p>
    <w:p w14:paraId="6DB61415">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i</w:t>
      </w:r>
      <w:r>
        <w:rPr>
          <w:snapToGrid w:val="0"/>
          <w:color w:val="auto"/>
          <w:kern w:val="0"/>
          <w:sz w:val="24"/>
          <w:highlight w:val="none"/>
        </w:rPr>
        <w:t>—采用估算模式计算出的第i个污染物的最大地面浓度，mg/m</w:t>
      </w:r>
      <w:r>
        <w:rPr>
          <w:snapToGrid w:val="0"/>
          <w:color w:val="auto"/>
          <w:kern w:val="0"/>
          <w:sz w:val="24"/>
          <w:highlight w:val="none"/>
          <w:vertAlign w:val="superscript"/>
        </w:rPr>
        <w:t>3</w:t>
      </w:r>
      <w:r>
        <w:rPr>
          <w:snapToGrid w:val="0"/>
          <w:color w:val="auto"/>
          <w:kern w:val="0"/>
          <w:sz w:val="24"/>
          <w:highlight w:val="none"/>
        </w:rPr>
        <w:t>；</w:t>
      </w:r>
    </w:p>
    <w:p w14:paraId="29FF5EC6">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oi</w:t>
      </w:r>
      <w:r>
        <w:rPr>
          <w:snapToGrid w:val="0"/>
          <w:color w:val="auto"/>
          <w:kern w:val="0"/>
          <w:sz w:val="24"/>
          <w:highlight w:val="none"/>
        </w:rPr>
        <w:t>—第i个污染物的环境空气质量标准，mg/m</w:t>
      </w:r>
      <w:r>
        <w:rPr>
          <w:snapToGrid w:val="0"/>
          <w:color w:val="auto"/>
          <w:kern w:val="0"/>
          <w:sz w:val="24"/>
          <w:highlight w:val="none"/>
          <w:vertAlign w:val="superscript"/>
        </w:rPr>
        <w:t>3</w:t>
      </w:r>
      <w:r>
        <w:rPr>
          <w:snapToGrid w:val="0"/>
          <w:color w:val="auto"/>
          <w:kern w:val="0"/>
          <w:sz w:val="24"/>
          <w:highlight w:val="none"/>
        </w:rPr>
        <w:t>；一般选用</w:t>
      </w:r>
      <w:r>
        <w:rPr>
          <w:rFonts w:hint="eastAsia"/>
          <w:snapToGrid w:val="0"/>
          <w:color w:val="auto"/>
          <w:kern w:val="0"/>
          <w:sz w:val="24"/>
          <w:highlight w:val="none"/>
        </w:rPr>
        <w:t>GB 3095-2026</w:t>
      </w:r>
      <w:r>
        <w:rPr>
          <w:snapToGrid w:val="0"/>
          <w:color w:val="auto"/>
          <w:kern w:val="0"/>
          <w:sz w:val="24"/>
          <w:highlight w:val="none"/>
        </w:rPr>
        <w:t>中1小时平均取样时间的二级标准浓度限值。</w:t>
      </w:r>
      <w:r>
        <w:rPr>
          <w:rFonts w:hint="eastAsia"/>
          <w:snapToGrid w:val="0"/>
          <w:color w:val="auto"/>
          <w:kern w:val="0"/>
          <w:sz w:val="24"/>
          <w:highlight w:val="none"/>
        </w:rPr>
        <w:t>如项目位于一类环境空气功能区，应选择相应的一级浓度限值；对该标准中未包含的污染物，使用5.2确定的各评价因子1h平均质量浓度限值。对仅有8h平均质量浓度限值、日平均质量浓度限值或年平均质量浓度限值的，可分别按2倍、3倍、6倍折算为1h平均质量浓度限值</w:t>
      </w:r>
      <w:r>
        <w:rPr>
          <w:snapToGrid w:val="0"/>
          <w:color w:val="auto"/>
          <w:kern w:val="0"/>
          <w:sz w:val="24"/>
          <w:highlight w:val="none"/>
        </w:rPr>
        <w:t>。</w:t>
      </w:r>
    </w:p>
    <w:p w14:paraId="2D0F129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w:t>
      </w:r>
      <w:r>
        <w:rPr>
          <w:snapToGrid w:val="0"/>
          <w:color w:val="auto"/>
          <w:kern w:val="0"/>
          <w:sz w:val="24"/>
          <w:highlight w:val="none"/>
        </w:rPr>
        <w:t>《环境影响评价技术导则</w:t>
      </w:r>
      <w:r>
        <w:rPr>
          <w:rFonts w:hint="eastAsia"/>
          <w:snapToGrid w:val="0"/>
          <w:color w:val="auto"/>
          <w:kern w:val="0"/>
          <w:sz w:val="24"/>
          <w:highlight w:val="none"/>
        </w:rPr>
        <w:t xml:space="preserve"> </w:t>
      </w:r>
      <w:r>
        <w:rPr>
          <w:snapToGrid w:val="0"/>
          <w:color w:val="auto"/>
          <w:kern w:val="0"/>
          <w:sz w:val="24"/>
          <w:highlight w:val="none"/>
        </w:rPr>
        <w:t>大气环境》（HJ2.2-20</w:t>
      </w:r>
      <w:r>
        <w:rPr>
          <w:rFonts w:hint="eastAsia"/>
          <w:snapToGrid w:val="0"/>
          <w:color w:val="auto"/>
          <w:kern w:val="0"/>
          <w:sz w:val="24"/>
          <w:highlight w:val="none"/>
        </w:rPr>
        <w:t>1</w:t>
      </w:r>
      <w:r>
        <w:rPr>
          <w:snapToGrid w:val="0"/>
          <w:color w:val="auto"/>
          <w:kern w:val="0"/>
          <w:sz w:val="24"/>
          <w:highlight w:val="none"/>
        </w:rPr>
        <w:t>8）</w:t>
      </w:r>
      <w:r>
        <w:rPr>
          <w:rFonts w:hint="eastAsia"/>
          <w:snapToGrid w:val="0"/>
          <w:color w:val="auto"/>
          <w:kern w:val="0"/>
          <w:sz w:val="24"/>
          <w:highlight w:val="none"/>
        </w:rPr>
        <w:t>，</w:t>
      </w:r>
      <w:r>
        <w:rPr>
          <w:snapToGrid w:val="0"/>
          <w:color w:val="auto"/>
          <w:kern w:val="0"/>
          <w:sz w:val="24"/>
          <w:highlight w:val="none"/>
        </w:rPr>
        <w:t>评价工作等级按表</w:t>
      </w:r>
      <w:r>
        <w:rPr>
          <w:rFonts w:hint="eastAsia"/>
          <w:snapToGrid w:val="0"/>
          <w:color w:val="auto"/>
          <w:kern w:val="0"/>
          <w:sz w:val="24"/>
          <w:highlight w:val="none"/>
        </w:rPr>
        <w:t>2.</w:t>
      </w:r>
      <w:r>
        <w:rPr>
          <w:rFonts w:hint="eastAsia"/>
          <w:snapToGrid w:val="0"/>
          <w:color w:val="auto"/>
          <w:kern w:val="0"/>
          <w:sz w:val="24"/>
          <w:highlight w:val="none"/>
          <w:lang w:val="en-US" w:eastAsia="zh-CN"/>
        </w:rPr>
        <w:t>6</w:t>
      </w:r>
      <w:r>
        <w:rPr>
          <w:rFonts w:hint="eastAsia"/>
          <w:snapToGrid w:val="0"/>
          <w:color w:val="auto"/>
          <w:kern w:val="0"/>
          <w:sz w:val="24"/>
          <w:highlight w:val="none"/>
        </w:rPr>
        <w:t>-1</w:t>
      </w:r>
      <w:r>
        <w:rPr>
          <w:snapToGrid w:val="0"/>
          <w:color w:val="auto"/>
          <w:kern w:val="0"/>
          <w:sz w:val="24"/>
          <w:highlight w:val="none"/>
        </w:rPr>
        <w:t>进行划分，如污染物数i大于1，取P值中最大者（Pmax）。</w:t>
      </w:r>
    </w:p>
    <w:p w14:paraId="6788D624">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-1</w:t>
      </w:r>
      <w:r>
        <w:rPr>
          <w:b/>
          <w:bCs/>
          <w:snapToGrid w:val="0"/>
          <w:color w:val="auto"/>
          <w:kern w:val="0"/>
          <w:szCs w:val="21"/>
          <w:highlight w:val="none"/>
        </w:rPr>
        <w:t xml:space="preserve"> 评价等级判别表</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6"/>
        <w:gridCol w:w="4668"/>
      </w:tblGrid>
      <w:tr w14:paraId="68B1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684" w:type="dxa"/>
            <w:shd w:val="clear" w:color="auto" w:fill="auto"/>
            <w:vAlign w:val="center"/>
          </w:tcPr>
          <w:p w14:paraId="290891FB">
            <w:pPr>
              <w:adjustRightInd w:val="0"/>
              <w:snapToGrid w:val="0"/>
              <w:jc w:val="center"/>
              <w:rPr>
                <w:rFonts w:eastAsia="Times New Roman"/>
                <w:color w:val="auto"/>
                <w:szCs w:val="21"/>
                <w:highlight w:val="none"/>
              </w:rPr>
            </w:pPr>
            <w:r>
              <w:rPr>
                <w:rFonts w:eastAsia="Times New Roman"/>
                <w:color w:val="auto"/>
                <w:szCs w:val="21"/>
                <w:highlight w:val="none"/>
              </w:rPr>
              <w:t>评价工作等级</w:t>
            </w:r>
          </w:p>
        </w:tc>
        <w:tc>
          <w:tcPr>
            <w:tcW w:w="4494" w:type="dxa"/>
            <w:shd w:val="clear" w:color="auto" w:fill="auto"/>
            <w:vAlign w:val="center"/>
          </w:tcPr>
          <w:p w14:paraId="305DA0E3">
            <w:pPr>
              <w:adjustRightInd w:val="0"/>
              <w:snapToGrid w:val="0"/>
              <w:jc w:val="center"/>
              <w:rPr>
                <w:rFonts w:eastAsia="Times New Roman"/>
                <w:color w:val="auto"/>
                <w:szCs w:val="21"/>
                <w:highlight w:val="none"/>
              </w:rPr>
            </w:pPr>
            <w:r>
              <w:rPr>
                <w:rFonts w:eastAsia="Times New Roman"/>
                <w:color w:val="auto"/>
                <w:szCs w:val="21"/>
                <w:highlight w:val="none"/>
              </w:rPr>
              <w:t>评价工作分级判据</w:t>
            </w:r>
          </w:p>
        </w:tc>
      </w:tr>
      <w:tr w14:paraId="45E3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684" w:type="dxa"/>
            <w:shd w:val="clear" w:color="auto" w:fill="auto"/>
            <w:vAlign w:val="center"/>
          </w:tcPr>
          <w:p w14:paraId="1676C5C4">
            <w:pPr>
              <w:adjustRightInd w:val="0"/>
              <w:snapToGrid w:val="0"/>
              <w:jc w:val="center"/>
              <w:rPr>
                <w:rFonts w:eastAsia="Times New Roman"/>
                <w:color w:val="auto"/>
                <w:szCs w:val="21"/>
                <w:highlight w:val="none"/>
              </w:rPr>
            </w:pPr>
            <w:r>
              <w:rPr>
                <w:rFonts w:eastAsia="Times New Roman"/>
                <w:color w:val="auto"/>
                <w:szCs w:val="21"/>
                <w:highlight w:val="none"/>
              </w:rPr>
              <w:t>一级评价</w:t>
            </w:r>
          </w:p>
        </w:tc>
        <w:tc>
          <w:tcPr>
            <w:tcW w:w="4494" w:type="dxa"/>
            <w:shd w:val="clear" w:color="auto" w:fill="auto"/>
            <w:vAlign w:val="center"/>
          </w:tcPr>
          <w:p w14:paraId="1DE45F2E">
            <w:pPr>
              <w:adjustRightInd w:val="0"/>
              <w:snapToGrid w:val="0"/>
              <w:jc w:val="center"/>
              <w:rPr>
                <w:rFonts w:eastAsia="Times New Roman"/>
                <w:color w:val="auto"/>
                <w:szCs w:val="21"/>
                <w:highlight w:val="none"/>
              </w:rPr>
            </w:pPr>
            <w:r>
              <w:rPr>
                <w:rFonts w:eastAsia="Times New Roman"/>
                <w:color w:val="auto"/>
                <w:szCs w:val="21"/>
                <w:highlight w:val="none"/>
              </w:rPr>
              <w:t>Pmax</w:t>
            </w:r>
            <w:r>
              <w:rPr>
                <w:rFonts w:hint="eastAsia" w:ascii="宋体" w:hAnsi="宋体" w:eastAsia="Times New Roman" w:cs="宋体"/>
                <w:color w:val="auto"/>
                <w:szCs w:val="21"/>
                <w:highlight w:val="none"/>
              </w:rPr>
              <w:t>≥</w:t>
            </w:r>
            <w:r>
              <w:rPr>
                <w:rFonts w:eastAsia="Times New Roman"/>
                <w:color w:val="auto"/>
                <w:szCs w:val="21"/>
                <w:highlight w:val="none"/>
              </w:rPr>
              <w:t>10%</w:t>
            </w:r>
          </w:p>
        </w:tc>
      </w:tr>
      <w:tr w14:paraId="7071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684" w:type="dxa"/>
            <w:shd w:val="clear" w:color="auto" w:fill="auto"/>
            <w:vAlign w:val="center"/>
          </w:tcPr>
          <w:p w14:paraId="0923CA18">
            <w:pPr>
              <w:adjustRightInd w:val="0"/>
              <w:snapToGrid w:val="0"/>
              <w:jc w:val="center"/>
              <w:rPr>
                <w:rFonts w:eastAsia="Times New Roman"/>
                <w:color w:val="auto"/>
                <w:szCs w:val="21"/>
                <w:highlight w:val="none"/>
              </w:rPr>
            </w:pPr>
            <w:r>
              <w:rPr>
                <w:rFonts w:eastAsia="Times New Roman"/>
                <w:color w:val="auto"/>
                <w:szCs w:val="21"/>
                <w:highlight w:val="none"/>
              </w:rPr>
              <w:t>二级评价</w:t>
            </w:r>
          </w:p>
        </w:tc>
        <w:tc>
          <w:tcPr>
            <w:tcW w:w="4494" w:type="dxa"/>
            <w:shd w:val="clear" w:color="auto" w:fill="auto"/>
            <w:vAlign w:val="center"/>
          </w:tcPr>
          <w:p w14:paraId="28191204">
            <w:pPr>
              <w:adjustRightInd w:val="0"/>
              <w:snapToGrid w:val="0"/>
              <w:jc w:val="center"/>
              <w:rPr>
                <w:rFonts w:eastAsia="Times New Roman"/>
                <w:color w:val="auto"/>
                <w:szCs w:val="21"/>
                <w:highlight w:val="none"/>
              </w:rPr>
            </w:pPr>
            <w:r>
              <w:rPr>
                <w:rFonts w:eastAsia="Times New Roman"/>
                <w:color w:val="auto"/>
                <w:szCs w:val="21"/>
                <w:highlight w:val="none"/>
              </w:rPr>
              <w:t>1%</w:t>
            </w:r>
            <w:r>
              <w:rPr>
                <w:rFonts w:hint="eastAsia" w:ascii="宋体" w:hAnsi="宋体" w:eastAsia="Times New Roman" w:cs="宋体"/>
                <w:color w:val="auto"/>
                <w:szCs w:val="21"/>
                <w:highlight w:val="none"/>
              </w:rPr>
              <w:t>≤</w:t>
            </w:r>
            <w:r>
              <w:rPr>
                <w:rFonts w:eastAsia="Times New Roman"/>
                <w:color w:val="auto"/>
                <w:szCs w:val="21"/>
                <w:highlight w:val="none"/>
              </w:rPr>
              <w:t>Pmax&lt;10%</w:t>
            </w:r>
          </w:p>
        </w:tc>
      </w:tr>
      <w:tr w14:paraId="434A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684" w:type="dxa"/>
            <w:shd w:val="clear" w:color="auto" w:fill="auto"/>
            <w:vAlign w:val="center"/>
          </w:tcPr>
          <w:p w14:paraId="74AB28F9">
            <w:pPr>
              <w:adjustRightInd w:val="0"/>
              <w:snapToGrid w:val="0"/>
              <w:jc w:val="center"/>
              <w:rPr>
                <w:rFonts w:eastAsia="Times New Roman"/>
                <w:color w:val="auto"/>
                <w:szCs w:val="21"/>
                <w:highlight w:val="none"/>
              </w:rPr>
            </w:pPr>
            <w:r>
              <w:rPr>
                <w:rFonts w:eastAsia="Times New Roman"/>
                <w:color w:val="auto"/>
                <w:szCs w:val="21"/>
                <w:highlight w:val="none"/>
              </w:rPr>
              <w:t>三级评价</w:t>
            </w:r>
          </w:p>
        </w:tc>
        <w:tc>
          <w:tcPr>
            <w:tcW w:w="4494" w:type="dxa"/>
            <w:shd w:val="clear" w:color="auto" w:fill="auto"/>
            <w:vAlign w:val="center"/>
          </w:tcPr>
          <w:p w14:paraId="1D7F35E8">
            <w:pPr>
              <w:adjustRightInd w:val="0"/>
              <w:snapToGrid w:val="0"/>
              <w:jc w:val="center"/>
              <w:rPr>
                <w:rFonts w:eastAsia="Times New Roman"/>
                <w:color w:val="auto"/>
                <w:szCs w:val="21"/>
                <w:highlight w:val="none"/>
              </w:rPr>
            </w:pPr>
            <w:r>
              <w:rPr>
                <w:rFonts w:eastAsia="Times New Roman"/>
                <w:color w:val="auto"/>
                <w:szCs w:val="21"/>
                <w:highlight w:val="none"/>
              </w:rPr>
              <w:t>Pmax&lt;1%</w:t>
            </w:r>
          </w:p>
        </w:tc>
      </w:tr>
    </w:tbl>
    <w:p w14:paraId="2B22C250">
      <w:pPr>
        <w:adjustRightInd w:val="0"/>
        <w:snapToGrid w:val="0"/>
        <w:spacing w:before="120" w:beforeLines="50" w:line="360" w:lineRule="auto"/>
        <w:ind w:firstLine="480" w:firstLineChars="200"/>
        <w:rPr>
          <w:snapToGrid w:val="0"/>
          <w:color w:val="auto"/>
          <w:kern w:val="0"/>
          <w:sz w:val="24"/>
          <w:highlight w:val="none"/>
        </w:rPr>
      </w:pPr>
      <w:r>
        <w:rPr>
          <w:rFonts w:hint="eastAsia"/>
          <w:snapToGrid w:val="0"/>
          <w:color w:val="auto"/>
          <w:kern w:val="0"/>
          <w:sz w:val="24"/>
          <w:highlight w:val="none"/>
        </w:rPr>
        <w:t>（2）判别估算过程</w:t>
      </w:r>
    </w:p>
    <w:p w14:paraId="2DC9B8C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本次评价预测采用《环境影响评价技术导则 大气环境》（HJ2.2-2018）推荐的AERSCREEN估算模式，估算污染物的最大落地浓度和距离，估算模型参数见表2.</w:t>
      </w:r>
      <w:r>
        <w:rPr>
          <w:rFonts w:hint="eastAsia"/>
          <w:snapToGrid w:val="0"/>
          <w:color w:val="auto"/>
          <w:kern w:val="0"/>
          <w:sz w:val="24"/>
          <w:highlight w:val="none"/>
          <w:lang w:val="en-US" w:eastAsia="zh-CN"/>
        </w:rPr>
        <w:t>6</w:t>
      </w:r>
      <w:r>
        <w:rPr>
          <w:rFonts w:hint="eastAsia"/>
          <w:snapToGrid w:val="0"/>
          <w:color w:val="auto"/>
          <w:kern w:val="0"/>
          <w:sz w:val="24"/>
          <w:highlight w:val="none"/>
        </w:rPr>
        <w:t>-2。</w:t>
      </w:r>
    </w:p>
    <w:p w14:paraId="1522CFCB">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-2 估算模型参数表</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97"/>
        <w:gridCol w:w="3076"/>
        <w:gridCol w:w="2915"/>
      </w:tblGrid>
      <w:tr w14:paraId="4332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241" w:type="pct"/>
            <w:gridSpan w:val="2"/>
            <w:shd w:val="clear" w:color="auto" w:fill="auto"/>
            <w:vAlign w:val="center"/>
          </w:tcPr>
          <w:p w14:paraId="3E82F2D7">
            <w:pPr>
              <w:adjustRightInd w:val="0"/>
              <w:snapToGrid w:val="0"/>
              <w:jc w:val="center"/>
              <w:rPr>
                <w:color w:val="auto"/>
                <w:szCs w:val="21"/>
                <w:highlight w:val="none"/>
              </w:rPr>
            </w:pPr>
            <w:r>
              <w:rPr>
                <w:color w:val="auto"/>
                <w:szCs w:val="21"/>
                <w:highlight w:val="none"/>
              </w:rPr>
              <w:t>参数</w:t>
            </w:r>
          </w:p>
        </w:tc>
        <w:tc>
          <w:tcPr>
            <w:tcW w:w="1758" w:type="pct"/>
            <w:shd w:val="clear" w:color="auto" w:fill="auto"/>
            <w:vAlign w:val="center"/>
          </w:tcPr>
          <w:p w14:paraId="152E9884">
            <w:pPr>
              <w:adjustRightInd w:val="0"/>
              <w:snapToGrid w:val="0"/>
              <w:jc w:val="center"/>
              <w:rPr>
                <w:color w:val="auto"/>
                <w:szCs w:val="21"/>
                <w:highlight w:val="none"/>
              </w:rPr>
            </w:pPr>
            <w:r>
              <w:rPr>
                <w:color w:val="auto"/>
                <w:szCs w:val="21"/>
                <w:highlight w:val="none"/>
              </w:rPr>
              <w:t>取值</w:t>
            </w:r>
          </w:p>
        </w:tc>
      </w:tr>
      <w:tr w14:paraId="36CF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restart"/>
            <w:shd w:val="clear" w:color="auto" w:fill="auto"/>
            <w:vAlign w:val="center"/>
          </w:tcPr>
          <w:p w14:paraId="3A31D799">
            <w:pPr>
              <w:adjustRightInd w:val="0"/>
              <w:snapToGrid w:val="0"/>
              <w:jc w:val="center"/>
              <w:rPr>
                <w:color w:val="auto"/>
                <w:szCs w:val="21"/>
                <w:highlight w:val="none"/>
              </w:rPr>
            </w:pPr>
            <w:r>
              <w:rPr>
                <w:color w:val="auto"/>
                <w:szCs w:val="21"/>
                <w:highlight w:val="none"/>
              </w:rPr>
              <w:t>城市/农村选项</w:t>
            </w:r>
          </w:p>
        </w:tc>
        <w:tc>
          <w:tcPr>
            <w:tcW w:w="1855" w:type="pct"/>
            <w:shd w:val="clear" w:color="auto" w:fill="auto"/>
            <w:vAlign w:val="center"/>
          </w:tcPr>
          <w:p w14:paraId="6D13A99E">
            <w:pPr>
              <w:adjustRightInd w:val="0"/>
              <w:snapToGrid w:val="0"/>
              <w:jc w:val="center"/>
              <w:rPr>
                <w:color w:val="auto"/>
                <w:szCs w:val="21"/>
                <w:highlight w:val="none"/>
              </w:rPr>
            </w:pPr>
            <w:r>
              <w:rPr>
                <w:color w:val="auto"/>
                <w:szCs w:val="21"/>
                <w:highlight w:val="none"/>
              </w:rPr>
              <w:t>城市/农村</w:t>
            </w:r>
          </w:p>
        </w:tc>
        <w:tc>
          <w:tcPr>
            <w:tcW w:w="2915" w:type="dxa"/>
            <w:shd w:val="clear" w:color="auto" w:fill="auto"/>
            <w:vAlign w:val="center"/>
          </w:tcPr>
          <w:p w14:paraId="0DFF3C8D">
            <w:pPr>
              <w:adjustRightInd w:val="0"/>
              <w:snapToGrid w:val="0"/>
              <w:jc w:val="center"/>
              <w:rPr>
                <w:color w:val="auto"/>
                <w:szCs w:val="21"/>
                <w:highlight w:val="none"/>
              </w:rPr>
            </w:pPr>
            <w:r>
              <w:rPr>
                <w:color w:val="auto"/>
                <w:szCs w:val="21"/>
                <w:highlight w:val="none"/>
              </w:rPr>
              <w:t>农村</w:t>
            </w:r>
          </w:p>
        </w:tc>
      </w:tr>
      <w:tr w14:paraId="695E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continue"/>
            <w:shd w:val="clear" w:color="auto" w:fill="auto"/>
            <w:vAlign w:val="center"/>
          </w:tcPr>
          <w:p w14:paraId="59FAE45C">
            <w:pPr>
              <w:adjustRightInd w:val="0"/>
              <w:snapToGrid w:val="0"/>
              <w:jc w:val="center"/>
              <w:rPr>
                <w:color w:val="auto"/>
                <w:szCs w:val="21"/>
                <w:highlight w:val="none"/>
              </w:rPr>
            </w:pPr>
          </w:p>
        </w:tc>
        <w:tc>
          <w:tcPr>
            <w:tcW w:w="1855" w:type="pct"/>
            <w:shd w:val="clear" w:color="auto" w:fill="auto"/>
            <w:vAlign w:val="center"/>
          </w:tcPr>
          <w:p w14:paraId="55A06EA0">
            <w:pPr>
              <w:adjustRightInd w:val="0"/>
              <w:snapToGrid w:val="0"/>
              <w:jc w:val="center"/>
              <w:rPr>
                <w:color w:val="auto"/>
                <w:szCs w:val="21"/>
                <w:highlight w:val="none"/>
              </w:rPr>
            </w:pPr>
            <w:r>
              <w:rPr>
                <w:color w:val="auto"/>
                <w:szCs w:val="21"/>
                <w:highlight w:val="none"/>
              </w:rPr>
              <w:t>人口数（城市选项时）</w:t>
            </w:r>
          </w:p>
        </w:tc>
        <w:tc>
          <w:tcPr>
            <w:tcW w:w="2915" w:type="dxa"/>
            <w:shd w:val="clear" w:color="auto" w:fill="auto"/>
            <w:vAlign w:val="center"/>
          </w:tcPr>
          <w:p w14:paraId="31866192">
            <w:pPr>
              <w:adjustRightInd w:val="0"/>
              <w:snapToGrid w:val="0"/>
              <w:jc w:val="center"/>
              <w:rPr>
                <w:color w:val="auto"/>
                <w:szCs w:val="21"/>
                <w:highlight w:val="none"/>
              </w:rPr>
            </w:pPr>
            <w:r>
              <w:rPr>
                <w:color w:val="auto"/>
                <w:szCs w:val="21"/>
                <w:highlight w:val="none"/>
              </w:rPr>
              <w:t>/</w:t>
            </w:r>
          </w:p>
        </w:tc>
      </w:tr>
      <w:tr w14:paraId="1DDB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241" w:type="pct"/>
            <w:gridSpan w:val="2"/>
            <w:shd w:val="clear" w:color="auto" w:fill="auto"/>
            <w:vAlign w:val="center"/>
          </w:tcPr>
          <w:p w14:paraId="00F2A987">
            <w:pPr>
              <w:adjustRightInd w:val="0"/>
              <w:snapToGrid w:val="0"/>
              <w:jc w:val="center"/>
              <w:rPr>
                <w:color w:val="auto"/>
                <w:szCs w:val="21"/>
                <w:highlight w:val="none"/>
              </w:rPr>
            </w:pPr>
            <w:r>
              <w:rPr>
                <w:color w:val="auto"/>
                <w:szCs w:val="21"/>
                <w:highlight w:val="none"/>
              </w:rPr>
              <w:t>最高环境温度/℃</w:t>
            </w:r>
          </w:p>
        </w:tc>
        <w:tc>
          <w:tcPr>
            <w:tcW w:w="2915" w:type="dxa"/>
            <w:shd w:val="clear" w:color="auto" w:fill="auto"/>
            <w:vAlign w:val="center"/>
          </w:tcPr>
          <w:p w14:paraId="0DD8DA2D">
            <w:pPr>
              <w:adjustRightInd w:val="0"/>
              <w:snapToGrid w:val="0"/>
              <w:jc w:val="center"/>
              <w:rPr>
                <w:color w:val="auto"/>
                <w:szCs w:val="21"/>
                <w:highlight w:val="none"/>
              </w:rPr>
            </w:pPr>
            <w:r>
              <w:rPr>
                <w:rFonts w:hint="eastAsia"/>
                <w:color w:val="auto"/>
                <w:szCs w:val="21"/>
                <w:highlight w:val="none"/>
              </w:rPr>
              <w:t>41</w:t>
            </w:r>
          </w:p>
        </w:tc>
      </w:tr>
      <w:tr w14:paraId="09ED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241" w:type="pct"/>
            <w:gridSpan w:val="2"/>
            <w:shd w:val="clear" w:color="auto" w:fill="auto"/>
            <w:vAlign w:val="center"/>
          </w:tcPr>
          <w:p w14:paraId="2007A675">
            <w:pPr>
              <w:adjustRightInd w:val="0"/>
              <w:snapToGrid w:val="0"/>
              <w:jc w:val="center"/>
              <w:rPr>
                <w:color w:val="auto"/>
                <w:szCs w:val="21"/>
                <w:highlight w:val="none"/>
              </w:rPr>
            </w:pPr>
            <w:r>
              <w:rPr>
                <w:color w:val="auto"/>
                <w:szCs w:val="21"/>
                <w:highlight w:val="none"/>
              </w:rPr>
              <w:t>最低环境温度/℃</w:t>
            </w:r>
          </w:p>
        </w:tc>
        <w:tc>
          <w:tcPr>
            <w:tcW w:w="2915" w:type="dxa"/>
            <w:shd w:val="clear" w:color="auto" w:fill="auto"/>
            <w:vAlign w:val="center"/>
          </w:tcPr>
          <w:p w14:paraId="472F90CF">
            <w:pPr>
              <w:adjustRightInd w:val="0"/>
              <w:snapToGrid w:val="0"/>
              <w:jc w:val="center"/>
              <w:rPr>
                <w:color w:val="auto"/>
                <w:szCs w:val="21"/>
                <w:highlight w:val="none"/>
              </w:rPr>
            </w:pPr>
            <w:r>
              <w:rPr>
                <w:rFonts w:hint="eastAsia"/>
                <w:color w:val="auto"/>
                <w:szCs w:val="21"/>
                <w:highlight w:val="none"/>
              </w:rPr>
              <w:t>-31.1</w:t>
            </w:r>
          </w:p>
        </w:tc>
      </w:tr>
      <w:tr w14:paraId="18B1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241" w:type="pct"/>
            <w:gridSpan w:val="2"/>
            <w:shd w:val="clear" w:color="auto" w:fill="auto"/>
            <w:vAlign w:val="center"/>
          </w:tcPr>
          <w:p w14:paraId="24D22E98">
            <w:pPr>
              <w:adjustRightInd w:val="0"/>
              <w:snapToGrid w:val="0"/>
              <w:jc w:val="center"/>
              <w:rPr>
                <w:color w:val="auto"/>
                <w:szCs w:val="21"/>
                <w:highlight w:val="none"/>
              </w:rPr>
            </w:pPr>
            <w:r>
              <w:rPr>
                <w:color w:val="auto"/>
                <w:szCs w:val="21"/>
                <w:highlight w:val="none"/>
              </w:rPr>
              <w:t>土地利用类型</w:t>
            </w:r>
          </w:p>
        </w:tc>
        <w:tc>
          <w:tcPr>
            <w:tcW w:w="1758" w:type="pct"/>
            <w:shd w:val="clear" w:color="auto" w:fill="auto"/>
            <w:vAlign w:val="center"/>
          </w:tcPr>
          <w:p w14:paraId="609D3D83">
            <w:pPr>
              <w:adjustRightInd w:val="0"/>
              <w:snapToGrid w:val="0"/>
              <w:jc w:val="center"/>
              <w:rPr>
                <w:color w:val="auto"/>
                <w:szCs w:val="21"/>
                <w:highlight w:val="none"/>
              </w:rPr>
            </w:pPr>
            <w:r>
              <w:rPr>
                <w:color w:val="auto"/>
                <w:szCs w:val="21"/>
                <w:highlight w:val="none"/>
              </w:rPr>
              <w:t>农村</w:t>
            </w:r>
          </w:p>
        </w:tc>
      </w:tr>
      <w:tr w14:paraId="2652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241" w:type="pct"/>
            <w:gridSpan w:val="2"/>
            <w:shd w:val="clear" w:color="auto" w:fill="auto"/>
            <w:vAlign w:val="center"/>
          </w:tcPr>
          <w:p w14:paraId="0E28A94C">
            <w:pPr>
              <w:adjustRightInd w:val="0"/>
              <w:snapToGrid w:val="0"/>
              <w:jc w:val="center"/>
              <w:rPr>
                <w:color w:val="auto"/>
                <w:szCs w:val="21"/>
                <w:highlight w:val="none"/>
              </w:rPr>
            </w:pPr>
            <w:r>
              <w:rPr>
                <w:color w:val="auto"/>
                <w:szCs w:val="21"/>
                <w:highlight w:val="none"/>
              </w:rPr>
              <w:t>区域湿度条件</w:t>
            </w:r>
          </w:p>
        </w:tc>
        <w:tc>
          <w:tcPr>
            <w:tcW w:w="1758" w:type="pct"/>
            <w:shd w:val="clear" w:color="auto" w:fill="auto"/>
            <w:vAlign w:val="center"/>
          </w:tcPr>
          <w:p w14:paraId="5616D059">
            <w:pPr>
              <w:adjustRightInd w:val="0"/>
              <w:snapToGrid w:val="0"/>
              <w:jc w:val="center"/>
              <w:rPr>
                <w:color w:val="auto"/>
                <w:szCs w:val="21"/>
                <w:highlight w:val="none"/>
              </w:rPr>
            </w:pPr>
            <w:r>
              <w:rPr>
                <w:color w:val="auto"/>
                <w:szCs w:val="21"/>
                <w:highlight w:val="none"/>
              </w:rPr>
              <w:t>干燥气候</w:t>
            </w:r>
          </w:p>
        </w:tc>
      </w:tr>
      <w:tr w14:paraId="02C4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restart"/>
            <w:shd w:val="clear" w:color="auto" w:fill="auto"/>
            <w:vAlign w:val="center"/>
          </w:tcPr>
          <w:p w14:paraId="742B602D">
            <w:pPr>
              <w:adjustRightInd w:val="0"/>
              <w:snapToGrid w:val="0"/>
              <w:jc w:val="center"/>
              <w:rPr>
                <w:color w:val="auto"/>
                <w:szCs w:val="21"/>
                <w:highlight w:val="none"/>
              </w:rPr>
            </w:pPr>
            <w:r>
              <w:rPr>
                <w:color w:val="auto"/>
                <w:szCs w:val="21"/>
                <w:highlight w:val="none"/>
              </w:rPr>
              <w:t>是否考虑地形</w:t>
            </w:r>
          </w:p>
        </w:tc>
        <w:tc>
          <w:tcPr>
            <w:tcW w:w="1855" w:type="pct"/>
            <w:shd w:val="clear" w:color="auto" w:fill="auto"/>
            <w:vAlign w:val="center"/>
          </w:tcPr>
          <w:p w14:paraId="00FDA384">
            <w:pPr>
              <w:adjustRightInd w:val="0"/>
              <w:snapToGrid w:val="0"/>
              <w:jc w:val="center"/>
              <w:rPr>
                <w:color w:val="auto"/>
                <w:szCs w:val="21"/>
                <w:highlight w:val="none"/>
              </w:rPr>
            </w:pPr>
            <w:r>
              <w:rPr>
                <w:color w:val="auto"/>
                <w:szCs w:val="21"/>
                <w:highlight w:val="none"/>
              </w:rPr>
              <w:t>考虑地形</w:t>
            </w:r>
          </w:p>
        </w:tc>
        <w:tc>
          <w:tcPr>
            <w:tcW w:w="1758" w:type="pct"/>
            <w:shd w:val="clear" w:color="auto" w:fill="auto"/>
            <w:vAlign w:val="center"/>
          </w:tcPr>
          <w:p w14:paraId="4796F3AF">
            <w:pPr>
              <w:adjustRightInd w:val="0"/>
              <w:snapToGrid w:val="0"/>
              <w:jc w:val="center"/>
              <w:rPr>
                <w:color w:val="auto"/>
                <w:szCs w:val="21"/>
                <w:highlight w:val="none"/>
              </w:rPr>
            </w:pPr>
            <w:r>
              <w:rPr>
                <w:color w:val="auto"/>
                <w:szCs w:val="21"/>
                <w:highlight w:val="none"/>
              </w:rPr>
              <w:t>是☑否</w:t>
            </w:r>
            <w:r>
              <w:rPr>
                <w:rFonts w:hint="eastAsia"/>
                <w:color w:val="auto"/>
                <w:szCs w:val="21"/>
                <w:highlight w:val="none"/>
              </w:rPr>
              <w:t>□</w:t>
            </w:r>
          </w:p>
        </w:tc>
      </w:tr>
      <w:tr w14:paraId="7B4B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continue"/>
            <w:shd w:val="clear" w:color="auto" w:fill="auto"/>
            <w:vAlign w:val="center"/>
          </w:tcPr>
          <w:p w14:paraId="7F9651F9">
            <w:pPr>
              <w:adjustRightInd w:val="0"/>
              <w:snapToGrid w:val="0"/>
              <w:jc w:val="center"/>
              <w:rPr>
                <w:color w:val="auto"/>
                <w:szCs w:val="21"/>
                <w:highlight w:val="none"/>
              </w:rPr>
            </w:pPr>
          </w:p>
        </w:tc>
        <w:tc>
          <w:tcPr>
            <w:tcW w:w="1855" w:type="pct"/>
            <w:shd w:val="clear" w:color="auto" w:fill="auto"/>
            <w:vAlign w:val="center"/>
          </w:tcPr>
          <w:p w14:paraId="649DE6C5">
            <w:pPr>
              <w:adjustRightInd w:val="0"/>
              <w:snapToGrid w:val="0"/>
              <w:jc w:val="center"/>
              <w:rPr>
                <w:color w:val="auto"/>
                <w:szCs w:val="21"/>
                <w:highlight w:val="none"/>
              </w:rPr>
            </w:pPr>
            <w:r>
              <w:rPr>
                <w:color w:val="auto"/>
                <w:szCs w:val="21"/>
                <w:highlight w:val="none"/>
              </w:rPr>
              <w:t>地形数据分辨率/m</w:t>
            </w:r>
          </w:p>
        </w:tc>
        <w:tc>
          <w:tcPr>
            <w:tcW w:w="1758" w:type="pct"/>
            <w:shd w:val="clear" w:color="auto" w:fill="auto"/>
            <w:vAlign w:val="center"/>
          </w:tcPr>
          <w:p w14:paraId="4C26340B">
            <w:pPr>
              <w:adjustRightInd w:val="0"/>
              <w:snapToGrid w:val="0"/>
              <w:jc w:val="center"/>
              <w:rPr>
                <w:color w:val="auto"/>
                <w:szCs w:val="21"/>
                <w:highlight w:val="none"/>
              </w:rPr>
            </w:pPr>
            <w:r>
              <w:rPr>
                <w:color w:val="auto"/>
                <w:szCs w:val="21"/>
                <w:highlight w:val="none"/>
              </w:rPr>
              <w:t>90</w:t>
            </w:r>
          </w:p>
        </w:tc>
      </w:tr>
      <w:tr w14:paraId="5406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restart"/>
            <w:shd w:val="clear" w:color="auto" w:fill="auto"/>
            <w:vAlign w:val="center"/>
          </w:tcPr>
          <w:p w14:paraId="1D465BBA">
            <w:pPr>
              <w:adjustRightInd w:val="0"/>
              <w:snapToGrid w:val="0"/>
              <w:jc w:val="center"/>
              <w:rPr>
                <w:color w:val="auto"/>
                <w:szCs w:val="21"/>
                <w:highlight w:val="none"/>
              </w:rPr>
            </w:pPr>
            <w:r>
              <w:rPr>
                <w:color w:val="auto"/>
                <w:szCs w:val="21"/>
                <w:highlight w:val="none"/>
              </w:rPr>
              <w:t>是否考虑海岸线熏烟</w:t>
            </w:r>
          </w:p>
        </w:tc>
        <w:tc>
          <w:tcPr>
            <w:tcW w:w="1855" w:type="pct"/>
            <w:shd w:val="clear" w:color="auto" w:fill="auto"/>
            <w:vAlign w:val="center"/>
          </w:tcPr>
          <w:p w14:paraId="6A432497">
            <w:pPr>
              <w:adjustRightInd w:val="0"/>
              <w:snapToGrid w:val="0"/>
              <w:jc w:val="center"/>
              <w:rPr>
                <w:color w:val="auto"/>
                <w:szCs w:val="21"/>
                <w:highlight w:val="none"/>
              </w:rPr>
            </w:pPr>
            <w:r>
              <w:rPr>
                <w:color w:val="auto"/>
                <w:szCs w:val="21"/>
                <w:highlight w:val="none"/>
              </w:rPr>
              <w:t>是/否</w:t>
            </w:r>
          </w:p>
        </w:tc>
        <w:tc>
          <w:tcPr>
            <w:tcW w:w="1758" w:type="pct"/>
            <w:shd w:val="clear" w:color="auto" w:fill="auto"/>
            <w:vAlign w:val="center"/>
          </w:tcPr>
          <w:p w14:paraId="0A141F5A">
            <w:pPr>
              <w:adjustRightInd w:val="0"/>
              <w:snapToGrid w:val="0"/>
              <w:jc w:val="center"/>
              <w:rPr>
                <w:color w:val="auto"/>
                <w:szCs w:val="21"/>
                <w:highlight w:val="none"/>
              </w:rPr>
            </w:pPr>
            <w:r>
              <w:rPr>
                <w:color w:val="auto"/>
                <w:szCs w:val="21"/>
                <w:highlight w:val="none"/>
              </w:rPr>
              <w:t>是</w:t>
            </w:r>
            <w:r>
              <w:rPr>
                <w:rFonts w:hint="eastAsia"/>
                <w:color w:val="auto"/>
                <w:szCs w:val="21"/>
                <w:highlight w:val="none"/>
              </w:rPr>
              <w:t>□</w:t>
            </w:r>
            <w:r>
              <w:rPr>
                <w:color w:val="auto"/>
                <w:szCs w:val="21"/>
                <w:highlight w:val="none"/>
              </w:rPr>
              <w:t>否☑</w:t>
            </w:r>
          </w:p>
        </w:tc>
      </w:tr>
      <w:tr w14:paraId="0975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continue"/>
            <w:shd w:val="clear" w:color="auto" w:fill="auto"/>
            <w:vAlign w:val="center"/>
          </w:tcPr>
          <w:p w14:paraId="77D10683">
            <w:pPr>
              <w:adjustRightInd w:val="0"/>
              <w:snapToGrid w:val="0"/>
              <w:jc w:val="center"/>
              <w:rPr>
                <w:color w:val="auto"/>
                <w:szCs w:val="21"/>
                <w:highlight w:val="none"/>
              </w:rPr>
            </w:pPr>
          </w:p>
        </w:tc>
        <w:tc>
          <w:tcPr>
            <w:tcW w:w="1855" w:type="pct"/>
            <w:shd w:val="clear" w:color="auto" w:fill="auto"/>
            <w:vAlign w:val="center"/>
          </w:tcPr>
          <w:p w14:paraId="08663528">
            <w:pPr>
              <w:adjustRightInd w:val="0"/>
              <w:snapToGrid w:val="0"/>
              <w:jc w:val="center"/>
              <w:rPr>
                <w:color w:val="auto"/>
                <w:szCs w:val="21"/>
                <w:highlight w:val="none"/>
              </w:rPr>
            </w:pPr>
            <w:r>
              <w:rPr>
                <w:color w:val="auto"/>
                <w:szCs w:val="21"/>
                <w:highlight w:val="none"/>
              </w:rPr>
              <w:t>海岸线距离/m</w:t>
            </w:r>
          </w:p>
        </w:tc>
        <w:tc>
          <w:tcPr>
            <w:tcW w:w="1758" w:type="pct"/>
            <w:shd w:val="clear" w:color="auto" w:fill="auto"/>
            <w:vAlign w:val="center"/>
          </w:tcPr>
          <w:p w14:paraId="4685223C">
            <w:pPr>
              <w:adjustRightInd w:val="0"/>
              <w:snapToGrid w:val="0"/>
              <w:jc w:val="center"/>
              <w:rPr>
                <w:color w:val="auto"/>
                <w:szCs w:val="21"/>
                <w:highlight w:val="none"/>
              </w:rPr>
            </w:pPr>
            <w:r>
              <w:rPr>
                <w:color w:val="auto"/>
                <w:szCs w:val="21"/>
                <w:highlight w:val="none"/>
              </w:rPr>
              <w:t>/</w:t>
            </w:r>
          </w:p>
        </w:tc>
      </w:tr>
      <w:tr w14:paraId="338A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86" w:type="pct"/>
            <w:vMerge w:val="continue"/>
            <w:shd w:val="clear" w:color="auto" w:fill="auto"/>
            <w:vAlign w:val="center"/>
          </w:tcPr>
          <w:p w14:paraId="516B1F77">
            <w:pPr>
              <w:adjustRightInd w:val="0"/>
              <w:snapToGrid w:val="0"/>
              <w:jc w:val="center"/>
              <w:rPr>
                <w:color w:val="auto"/>
                <w:szCs w:val="21"/>
                <w:highlight w:val="none"/>
              </w:rPr>
            </w:pPr>
          </w:p>
        </w:tc>
        <w:tc>
          <w:tcPr>
            <w:tcW w:w="1855" w:type="pct"/>
            <w:shd w:val="clear" w:color="auto" w:fill="auto"/>
            <w:vAlign w:val="center"/>
          </w:tcPr>
          <w:p w14:paraId="6CC154B7">
            <w:pPr>
              <w:adjustRightInd w:val="0"/>
              <w:snapToGrid w:val="0"/>
              <w:jc w:val="center"/>
              <w:rPr>
                <w:color w:val="auto"/>
                <w:szCs w:val="21"/>
                <w:highlight w:val="none"/>
              </w:rPr>
            </w:pPr>
            <w:r>
              <w:rPr>
                <w:color w:val="auto"/>
                <w:szCs w:val="21"/>
                <w:highlight w:val="none"/>
              </w:rPr>
              <w:t>海岸线方向/°</w:t>
            </w:r>
          </w:p>
        </w:tc>
        <w:tc>
          <w:tcPr>
            <w:tcW w:w="1758" w:type="pct"/>
            <w:shd w:val="clear" w:color="auto" w:fill="auto"/>
            <w:vAlign w:val="center"/>
          </w:tcPr>
          <w:p w14:paraId="7BD0AA96">
            <w:pPr>
              <w:adjustRightInd w:val="0"/>
              <w:snapToGrid w:val="0"/>
              <w:jc w:val="center"/>
              <w:rPr>
                <w:color w:val="auto"/>
                <w:szCs w:val="21"/>
                <w:highlight w:val="none"/>
              </w:rPr>
            </w:pPr>
            <w:r>
              <w:rPr>
                <w:color w:val="auto"/>
                <w:szCs w:val="21"/>
                <w:highlight w:val="none"/>
              </w:rPr>
              <w:t>/</w:t>
            </w:r>
          </w:p>
        </w:tc>
      </w:tr>
    </w:tbl>
    <w:p w14:paraId="0EE76ABE">
      <w:pPr>
        <w:adjustRightInd w:val="0"/>
        <w:snapToGrid w:val="0"/>
        <w:spacing w:before="120" w:beforeLines="50" w:line="360" w:lineRule="auto"/>
        <w:ind w:firstLine="480" w:firstLineChars="200"/>
        <w:rPr>
          <w:rFonts w:hint="eastAsia"/>
          <w:snapToGrid w:val="0"/>
          <w:color w:val="auto"/>
          <w:kern w:val="0"/>
          <w:sz w:val="24"/>
          <w:highlight w:val="none"/>
        </w:rPr>
        <w:sectPr>
          <w:pgSz w:w="11906" w:h="16838"/>
          <w:pgMar w:top="1440" w:right="1814" w:bottom="1440" w:left="181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snapToGrid w:val="0"/>
          <w:color w:val="auto"/>
          <w:kern w:val="0"/>
          <w:sz w:val="24"/>
          <w:highlight w:val="none"/>
        </w:rPr>
        <w:t>根据工程分析，项目污染源具体见表2.</w:t>
      </w:r>
      <w:r>
        <w:rPr>
          <w:rFonts w:hint="eastAsia"/>
          <w:snapToGrid w:val="0"/>
          <w:color w:val="auto"/>
          <w:kern w:val="0"/>
          <w:sz w:val="24"/>
          <w:highlight w:val="none"/>
          <w:lang w:val="en-US" w:eastAsia="zh-CN"/>
        </w:rPr>
        <w:t>6</w:t>
      </w:r>
      <w:r>
        <w:rPr>
          <w:rFonts w:hint="eastAsia"/>
          <w:snapToGrid w:val="0"/>
          <w:color w:val="auto"/>
          <w:kern w:val="0"/>
          <w:sz w:val="24"/>
          <w:highlight w:val="none"/>
        </w:rPr>
        <w:t>-3</w:t>
      </w:r>
      <w:r>
        <w:rPr>
          <w:rFonts w:hint="eastAsia"/>
          <w:snapToGrid w:val="0"/>
          <w:color w:val="auto"/>
          <w:kern w:val="0"/>
          <w:sz w:val="24"/>
          <w:highlight w:val="none"/>
          <w:lang w:val="en-US" w:eastAsia="zh-CN"/>
        </w:rPr>
        <w:t>和表2.6-4</w:t>
      </w:r>
      <w:r>
        <w:rPr>
          <w:rFonts w:hint="eastAsia"/>
          <w:snapToGrid w:val="0"/>
          <w:color w:val="auto"/>
          <w:kern w:val="0"/>
          <w:sz w:val="24"/>
          <w:highlight w:val="none"/>
        </w:rPr>
        <w:t>。</w:t>
      </w:r>
    </w:p>
    <w:p w14:paraId="31FF6FA0">
      <w:pPr>
        <w:adjustRightInd w:val="0"/>
        <w:snapToGrid w:val="0"/>
        <w:ind w:left="-619" w:leftChars="-295" w:firstLine="0" w:firstLineChars="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-3 项目污染物、排放参数一览表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677"/>
        <w:gridCol w:w="1164"/>
        <w:gridCol w:w="1164"/>
        <w:gridCol w:w="1226"/>
        <w:gridCol w:w="980"/>
        <w:gridCol w:w="1052"/>
        <w:gridCol w:w="1175"/>
        <w:gridCol w:w="990"/>
        <w:gridCol w:w="808"/>
        <w:gridCol w:w="534"/>
        <w:gridCol w:w="656"/>
        <w:gridCol w:w="690"/>
        <w:gridCol w:w="847"/>
        <w:gridCol w:w="588"/>
        <w:gridCol w:w="584"/>
        <w:gridCol w:w="629"/>
        <w:gridCol w:w="584"/>
        <w:gridCol w:w="618"/>
      </w:tblGrid>
      <w:tr w14:paraId="02C9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blHeader/>
          <w:jc w:val="center"/>
        </w:trPr>
        <w:tc>
          <w:tcPr>
            <w:tcW w:w="0" w:type="auto"/>
            <w:vMerge w:val="restart"/>
            <w:shd w:val="clear" w:color="auto" w:fill="auto"/>
            <w:vAlign w:val="center"/>
          </w:tcPr>
          <w:p w14:paraId="110826B3">
            <w:pPr>
              <w:pStyle w:val="42"/>
              <w:keepNext w:val="0"/>
              <w:keepLines w:val="0"/>
              <w:pageBreakBefore w:val="0"/>
              <w:widowControl/>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编号</w:t>
            </w:r>
          </w:p>
        </w:tc>
        <w:tc>
          <w:tcPr>
            <w:tcW w:w="0" w:type="auto"/>
            <w:vMerge w:val="restart"/>
            <w:shd w:val="clear" w:color="auto" w:fill="auto"/>
            <w:vAlign w:val="center"/>
          </w:tcPr>
          <w:p w14:paraId="2B15ABF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名称</w:t>
            </w:r>
          </w:p>
        </w:tc>
        <w:tc>
          <w:tcPr>
            <w:tcW w:w="0" w:type="auto"/>
            <w:gridSpan w:val="2"/>
            <w:shd w:val="clear" w:color="auto" w:fill="auto"/>
            <w:vAlign w:val="center"/>
          </w:tcPr>
          <w:p w14:paraId="54A33E3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排气筒底部中心坐标</w:t>
            </w:r>
            <w:r>
              <w:rPr>
                <w:rFonts w:hint="eastAsia" w:ascii="Times New Roman" w:hAnsi="Times New Roman" w:eastAsia="宋体" w:cs="Times New Roman"/>
                <w:b w:val="0"/>
                <w:bCs w:val="0"/>
                <w:snapToGrid w:val="0"/>
                <w:color w:val="auto"/>
                <w:kern w:val="0"/>
                <w:sz w:val="21"/>
                <w:szCs w:val="21"/>
                <w:highlight w:val="none"/>
              </w:rPr>
              <w:t>/m</w:t>
            </w:r>
          </w:p>
        </w:tc>
        <w:tc>
          <w:tcPr>
            <w:tcW w:w="0" w:type="auto"/>
            <w:vMerge w:val="restart"/>
            <w:shd w:val="clear" w:color="auto" w:fill="auto"/>
            <w:vAlign w:val="center"/>
          </w:tcPr>
          <w:p w14:paraId="7D01348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排气筒底部海拔（m）</w:t>
            </w:r>
          </w:p>
        </w:tc>
        <w:tc>
          <w:tcPr>
            <w:tcW w:w="0" w:type="auto"/>
            <w:vMerge w:val="restart"/>
            <w:shd w:val="clear" w:color="auto" w:fill="auto"/>
            <w:vAlign w:val="center"/>
          </w:tcPr>
          <w:p w14:paraId="408876A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排气筒高度（m）</w:t>
            </w:r>
          </w:p>
        </w:tc>
        <w:tc>
          <w:tcPr>
            <w:tcW w:w="0" w:type="auto"/>
            <w:vMerge w:val="restart"/>
            <w:shd w:val="clear" w:color="auto" w:fill="auto"/>
            <w:vAlign w:val="center"/>
          </w:tcPr>
          <w:p w14:paraId="3106C3C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排气筒出口内径（m）</w:t>
            </w:r>
          </w:p>
        </w:tc>
        <w:tc>
          <w:tcPr>
            <w:tcW w:w="0" w:type="auto"/>
            <w:vMerge w:val="restart"/>
            <w:shd w:val="clear" w:color="auto" w:fill="auto"/>
            <w:vAlign w:val="center"/>
          </w:tcPr>
          <w:p w14:paraId="6C22903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烟气流量（m</w:t>
            </w:r>
            <w:r>
              <w:rPr>
                <w:rFonts w:hint="eastAsia" w:ascii="Times New Roman" w:hAnsi="Times New Roman" w:eastAsia="宋体" w:cs="Times New Roman"/>
                <w:color w:val="auto"/>
                <w:kern w:val="0"/>
                <w:sz w:val="21"/>
                <w:szCs w:val="21"/>
                <w:highlight w:val="none"/>
                <w:vertAlign w:val="superscript"/>
              </w:rPr>
              <w:t>3</w:t>
            </w:r>
            <w:r>
              <w:rPr>
                <w:rFonts w:hint="eastAsia" w:ascii="Times New Roman" w:hAnsi="Times New Roman" w:eastAsia="宋体" w:cs="Times New Roman"/>
                <w:color w:val="auto"/>
                <w:kern w:val="0"/>
                <w:sz w:val="21"/>
                <w:szCs w:val="21"/>
                <w:highlight w:val="none"/>
              </w:rPr>
              <w:t>/h）</w:t>
            </w:r>
          </w:p>
        </w:tc>
        <w:tc>
          <w:tcPr>
            <w:tcW w:w="0" w:type="auto"/>
            <w:vMerge w:val="restart"/>
            <w:shd w:val="clear" w:color="auto" w:fill="auto"/>
            <w:vAlign w:val="center"/>
          </w:tcPr>
          <w:p w14:paraId="7564E08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烟气温度（℃）</w:t>
            </w:r>
          </w:p>
        </w:tc>
        <w:tc>
          <w:tcPr>
            <w:tcW w:w="0" w:type="auto"/>
            <w:vMerge w:val="restart"/>
            <w:shd w:val="clear" w:color="auto" w:fill="auto"/>
            <w:vAlign w:val="center"/>
          </w:tcPr>
          <w:p w14:paraId="27AC0A1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年排放小时数/h</w:t>
            </w:r>
          </w:p>
        </w:tc>
        <w:tc>
          <w:tcPr>
            <w:tcW w:w="0" w:type="auto"/>
            <w:vMerge w:val="restart"/>
            <w:shd w:val="clear" w:color="auto" w:fill="auto"/>
            <w:vAlign w:val="center"/>
          </w:tcPr>
          <w:p w14:paraId="5F335A7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排放工况</w:t>
            </w:r>
          </w:p>
        </w:tc>
        <w:tc>
          <w:tcPr>
            <w:tcW w:w="0" w:type="auto"/>
            <w:gridSpan w:val="8"/>
            <w:shd w:val="clear" w:color="auto" w:fill="auto"/>
            <w:vAlign w:val="center"/>
          </w:tcPr>
          <w:p w14:paraId="177B8E5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污染物排放速率（kg/h）</w:t>
            </w:r>
          </w:p>
        </w:tc>
      </w:tr>
      <w:tr w14:paraId="69E4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0" w:type="auto"/>
            <w:vMerge w:val="continue"/>
            <w:shd w:val="clear" w:color="auto" w:fill="auto"/>
            <w:vAlign w:val="center"/>
          </w:tcPr>
          <w:p w14:paraId="6BE9AF5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35788C7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shd w:val="clear" w:color="auto" w:fill="auto"/>
            <w:vAlign w:val="center"/>
          </w:tcPr>
          <w:p w14:paraId="08C7471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X</w:t>
            </w:r>
          </w:p>
        </w:tc>
        <w:tc>
          <w:tcPr>
            <w:tcW w:w="0" w:type="auto"/>
            <w:shd w:val="clear" w:color="auto" w:fill="auto"/>
            <w:vAlign w:val="center"/>
          </w:tcPr>
          <w:p w14:paraId="38CFEB1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Y</w:t>
            </w:r>
          </w:p>
        </w:tc>
        <w:tc>
          <w:tcPr>
            <w:tcW w:w="0" w:type="auto"/>
            <w:vMerge w:val="continue"/>
            <w:shd w:val="clear" w:color="auto" w:fill="auto"/>
            <w:vAlign w:val="center"/>
          </w:tcPr>
          <w:p w14:paraId="319C3B0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6E83E90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4C50E6D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6779296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651BFF1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4AE0BDA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vMerge w:val="continue"/>
            <w:shd w:val="clear" w:color="auto" w:fill="auto"/>
            <w:vAlign w:val="center"/>
          </w:tcPr>
          <w:p w14:paraId="25338A7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p>
        </w:tc>
        <w:tc>
          <w:tcPr>
            <w:tcW w:w="0" w:type="auto"/>
            <w:shd w:val="clear" w:color="auto" w:fill="auto"/>
            <w:vAlign w:val="center"/>
          </w:tcPr>
          <w:p w14:paraId="29520DC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PM</w:t>
            </w:r>
            <w:r>
              <w:rPr>
                <w:rFonts w:hint="eastAsia" w:ascii="Times New Roman" w:hAnsi="Times New Roman" w:eastAsia="宋体" w:cs="Times New Roman"/>
                <w:snapToGrid w:val="0"/>
                <w:color w:val="auto"/>
                <w:kern w:val="0"/>
                <w:sz w:val="21"/>
                <w:szCs w:val="21"/>
                <w:highlight w:val="none"/>
                <w:vertAlign w:val="subscript"/>
                <w:lang w:val="en-US" w:eastAsia="zh-CN"/>
              </w:rPr>
              <w:t>10</w:t>
            </w:r>
          </w:p>
        </w:tc>
        <w:tc>
          <w:tcPr>
            <w:tcW w:w="0" w:type="auto"/>
            <w:shd w:val="clear" w:color="auto" w:fill="auto"/>
            <w:vAlign w:val="center"/>
          </w:tcPr>
          <w:p w14:paraId="6CFA6B1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PM</w:t>
            </w:r>
            <w:r>
              <w:rPr>
                <w:rFonts w:hint="eastAsia" w:ascii="Times New Roman" w:hAnsi="Times New Roman" w:eastAsia="宋体" w:cs="Times New Roman"/>
                <w:snapToGrid w:val="0"/>
                <w:color w:val="auto"/>
                <w:kern w:val="0"/>
                <w:sz w:val="21"/>
                <w:szCs w:val="21"/>
                <w:highlight w:val="none"/>
                <w:vertAlign w:val="subscript"/>
                <w:lang w:val="en-US" w:eastAsia="zh-CN"/>
              </w:rPr>
              <w:t>2.5</w:t>
            </w:r>
          </w:p>
        </w:tc>
        <w:tc>
          <w:tcPr>
            <w:tcW w:w="0" w:type="auto"/>
            <w:shd w:val="clear" w:color="auto" w:fill="auto"/>
            <w:vAlign w:val="center"/>
          </w:tcPr>
          <w:p w14:paraId="43B9D7E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w:t>
            </w:r>
            <w:r>
              <w:rPr>
                <w:rFonts w:ascii="Times New Roman" w:hAnsi="Times New Roman" w:eastAsia="宋体" w:cs="Times New Roman"/>
                <w:snapToGrid w:val="0"/>
                <w:color w:val="auto"/>
                <w:kern w:val="0"/>
                <w:sz w:val="21"/>
                <w:szCs w:val="21"/>
                <w:highlight w:val="none"/>
              </w:rPr>
              <w:t>MHC</w:t>
            </w:r>
          </w:p>
        </w:tc>
        <w:tc>
          <w:tcPr>
            <w:tcW w:w="0" w:type="auto"/>
            <w:shd w:val="clear" w:color="auto" w:fill="auto"/>
            <w:vAlign w:val="center"/>
          </w:tcPr>
          <w:p w14:paraId="0C8A173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NH</w:t>
            </w:r>
            <w:r>
              <w:rPr>
                <w:rFonts w:hint="eastAsia" w:ascii="Times New Roman" w:hAnsi="Times New Roman" w:eastAsia="宋体" w:cs="Times New Roman"/>
                <w:snapToGrid w:val="0"/>
                <w:color w:val="auto"/>
                <w:kern w:val="0"/>
                <w:sz w:val="21"/>
                <w:szCs w:val="21"/>
                <w:highlight w:val="none"/>
                <w:vertAlign w:val="subscript"/>
              </w:rPr>
              <w:t>3</w:t>
            </w:r>
          </w:p>
        </w:tc>
        <w:tc>
          <w:tcPr>
            <w:tcW w:w="0" w:type="auto"/>
            <w:shd w:val="clear" w:color="auto" w:fill="auto"/>
            <w:vAlign w:val="center"/>
          </w:tcPr>
          <w:p w14:paraId="7F24350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w:t>
            </w:r>
            <w:r>
              <w:rPr>
                <w:rFonts w:hint="eastAsia" w:ascii="Times New Roman" w:hAnsi="Times New Roman" w:eastAsia="宋体" w:cs="Times New Roman"/>
                <w:snapToGrid w:val="0"/>
                <w:color w:val="auto"/>
                <w:kern w:val="0"/>
                <w:sz w:val="21"/>
                <w:szCs w:val="21"/>
                <w:highlight w:val="none"/>
                <w:vertAlign w:val="subscript"/>
              </w:rPr>
              <w:t>2</w:t>
            </w:r>
            <w:r>
              <w:rPr>
                <w:rFonts w:hint="eastAsia" w:ascii="Times New Roman" w:hAnsi="Times New Roman" w:eastAsia="宋体" w:cs="Times New Roman"/>
                <w:snapToGrid w:val="0"/>
                <w:color w:val="auto"/>
                <w:kern w:val="0"/>
                <w:sz w:val="21"/>
                <w:szCs w:val="21"/>
                <w:highlight w:val="none"/>
              </w:rPr>
              <w:t>S</w:t>
            </w:r>
          </w:p>
        </w:tc>
        <w:tc>
          <w:tcPr>
            <w:tcW w:w="0" w:type="auto"/>
            <w:shd w:val="clear" w:color="auto" w:fill="auto"/>
            <w:vAlign w:val="center"/>
          </w:tcPr>
          <w:p w14:paraId="2E56C51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硫酸雾</w:t>
            </w:r>
          </w:p>
        </w:tc>
        <w:tc>
          <w:tcPr>
            <w:tcW w:w="0" w:type="auto"/>
            <w:shd w:val="clear" w:color="auto" w:fill="auto"/>
            <w:vAlign w:val="center"/>
          </w:tcPr>
          <w:p w14:paraId="5955440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SO</w:t>
            </w:r>
            <w:r>
              <w:rPr>
                <w:rFonts w:hint="eastAsia" w:ascii="Times New Roman" w:hAnsi="Times New Roman" w:eastAsia="宋体" w:cs="Times New Roman"/>
                <w:snapToGrid w:val="0"/>
                <w:color w:val="auto"/>
                <w:kern w:val="0"/>
                <w:sz w:val="21"/>
                <w:szCs w:val="21"/>
                <w:highlight w:val="none"/>
                <w:vertAlign w:val="subscript"/>
              </w:rPr>
              <w:t>2</w:t>
            </w:r>
          </w:p>
        </w:tc>
        <w:tc>
          <w:tcPr>
            <w:tcW w:w="0" w:type="auto"/>
            <w:shd w:val="clear" w:color="auto" w:fill="auto"/>
            <w:vAlign w:val="center"/>
          </w:tcPr>
          <w:p w14:paraId="3A23B0A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NO</w:t>
            </w:r>
            <w:r>
              <w:rPr>
                <w:rFonts w:hint="eastAsia" w:ascii="Times New Roman" w:hAnsi="Times New Roman" w:eastAsia="宋体" w:cs="Times New Roman"/>
                <w:snapToGrid w:val="0"/>
                <w:color w:val="auto"/>
                <w:kern w:val="0"/>
                <w:sz w:val="21"/>
                <w:szCs w:val="21"/>
                <w:highlight w:val="none"/>
                <w:vertAlign w:val="subscript"/>
              </w:rPr>
              <w:t>X</w:t>
            </w:r>
          </w:p>
        </w:tc>
      </w:tr>
      <w:tr w14:paraId="178F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shd w:val="clear" w:color="auto" w:fill="auto"/>
            <w:vAlign w:val="center"/>
          </w:tcPr>
          <w:p w14:paraId="5C62258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G1-1</w:t>
            </w:r>
          </w:p>
        </w:tc>
        <w:tc>
          <w:tcPr>
            <w:tcW w:w="0" w:type="auto"/>
            <w:shd w:val="clear" w:color="auto" w:fill="auto"/>
            <w:vAlign w:val="center"/>
          </w:tcPr>
          <w:p w14:paraId="18130FE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发酵废气</w:t>
            </w:r>
          </w:p>
        </w:tc>
        <w:tc>
          <w:tcPr>
            <w:tcW w:w="715" w:type="dxa"/>
            <w:shd w:val="clear" w:color="auto" w:fill="auto"/>
            <w:vAlign w:val="center"/>
          </w:tcPr>
          <w:p w14:paraId="259D20E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-29</w:t>
            </w:r>
          </w:p>
        </w:tc>
        <w:tc>
          <w:tcPr>
            <w:tcW w:w="715" w:type="dxa"/>
            <w:shd w:val="clear" w:color="auto" w:fill="auto"/>
            <w:vAlign w:val="center"/>
          </w:tcPr>
          <w:p w14:paraId="230498F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-96</w:t>
            </w:r>
          </w:p>
        </w:tc>
        <w:tc>
          <w:tcPr>
            <w:tcW w:w="1226" w:type="dxa"/>
            <w:shd w:val="clear" w:color="auto" w:fill="auto"/>
            <w:vAlign w:val="center"/>
          </w:tcPr>
          <w:p w14:paraId="30E8373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611</w:t>
            </w:r>
          </w:p>
        </w:tc>
        <w:tc>
          <w:tcPr>
            <w:tcW w:w="0" w:type="auto"/>
            <w:shd w:val="clear" w:color="auto" w:fill="auto"/>
            <w:vAlign w:val="center"/>
          </w:tcPr>
          <w:p w14:paraId="44AB565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39</w:t>
            </w:r>
          </w:p>
        </w:tc>
        <w:tc>
          <w:tcPr>
            <w:tcW w:w="0" w:type="auto"/>
            <w:shd w:val="clear" w:color="auto" w:fill="auto"/>
            <w:vAlign w:val="center"/>
          </w:tcPr>
          <w:p w14:paraId="4B34EBF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1.4</w:t>
            </w:r>
          </w:p>
        </w:tc>
        <w:tc>
          <w:tcPr>
            <w:tcW w:w="0" w:type="auto"/>
            <w:shd w:val="clear" w:color="auto" w:fill="auto"/>
            <w:vAlign w:val="center"/>
          </w:tcPr>
          <w:p w14:paraId="119C6C2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5</w:t>
            </w:r>
            <w:r>
              <w:rPr>
                <w:rFonts w:ascii="Times New Roman" w:hAnsi="Times New Roman" w:eastAsia="宋体" w:cs="Times New Roman"/>
                <w:snapToGrid w:val="0"/>
                <w:color w:val="auto"/>
                <w:kern w:val="0"/>
                <w:sz w:val="21"/>
                <w:szCs w:val="21"/>
                <w:highlight w:val="none"/>
              </w:rPr>
              <w:t>2500</w:t>
            </w:r>
          </w:p>
        </w:tc>
        <w:tc>
          <w:tcPr>
            <w:tcW w:w="0" w:type="auto"/>
            <w:shd w:val="clear" w:color="auto" w:fill="auto"/>
            <w:vAlign w:val="center"/>
          </w:tcPr>
          <w:p w14:paraId="51C2EAC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snapToGrid w:val="0"/>
                <w:color w:val="auto"/>
                <w:kern w:val="0"/>
                <w:sz w:val="21"/>
                <w:szCs w:val="21"/>
                <w:highlight w:val="none"/>
              </w:rPr>
              <w:t>常温</w:t>
            </w:r>
          </w:p>
        </w:tc>
        <w:tc>
          <w:tcPr>
            <w:tcW w:w="0" w:type="auto"/>
            <w:shd w:val="clear" w:color="auto" w:fill="auto"/>
            <w:vAlign w:val="center"/>
          </w:tcPr>
          <w:p w14:paraId="6561B20E">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8000</w:t>
            </w:r>
          </w:p>
        </w:tc>
        <w:tc>
          <w:tcPr>
            <w:tcW w:w="0" w:type="auto"/>
            <w:shd w:val="clear" w:color="auto" w:fill="auto"/>
            <w:vAlign w:val="center"/>
          </w:tcPr>
          <w:p w14:paraId="6EB67FC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连续</w:t>
            </w:r>
          </w:p>
        </w:tc>
        <w:tc>
          <w:tcPr>
            <w:tcW w:w="0" w:type="auto"/>
            <w:shd w:val="clear" w:color="auto" w:fill="auto"/>
            <w:vAlign w:val="center"/>
          </w:tcPr>
          <w:p w14:paraId="0E874A8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.53</w:t>
            </w:r>
          </w:p>
        </w:tc>
        <w:tc>
          <w:tcPr>
            <w:tcW w:w="0" w:type="auto"/>
            <w:shd w:val="clear" w:color="auto" w:fill="auto"/>
            <w:vAlign w:val="center"/>
          </w:tcPr>
          <w:p w14:paraId="189631F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0.265</w:t>
            </w:r>
          </w:p>
        </w:tc>
        <w:tc>
          <w:tcPr>
            <w:tcW w:w="0" w:type="auto"/>
            <w:shd w:val="clear" w:color="auto" w:fill="auto"/>
            <w:vAlign w:val="center"/>
          </w:tcPr>
          <w:p w14:paraId="46E10CD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.11</w:t>
            </w:r>
          </w:p>
        </w:tc>
        <w:tc>
          <w:tcPr>
            <w:tcW w:w="0" w:type="auto"/>
            <w:shd w:val="clear" w:color="auto" w:fill="auto"/>
            <w:vAlign w:val="center"/>
          </w:tcPr>
          <w:p w14:paraId="79C6D97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0.26</w:t>
            </w:r>
          </w:p>
        </w:tc>
        <w:tc>
          <w:tcPr>
            <w:tcW w:w="0" w:type="auto"/>
            <w:shd w:val="clear" w:color="auto" w:fill="auto"/>
            <w:vAlign w:val="center"/>
          </w:tcPr>
          <w:p w14:paraId="15DFF01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.05</w:t>
            </w:r>
          </w:p>
        </w:tc>
        <w:tc>
          <w:tcPr>
            <w:tcW w:w="0" w:type="auto"/>
            <w:shd w:val="clear" w:color="auto" w:fill="auto"/>
            <w:vAlign w:val="center"/>
          </w:tcPr>
          <w:p w14:paraId="7EF91608">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758C4B4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6FE5DC48">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r>
      <w:tr w14:paraId="48D9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shd w:val="clear" w:color="auto" w:fill="auto"/>
            <w:vAlign w:val="center"/>
          </w:tcPr>
          <w:p w14:paraId="26415C3A">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G1-2</w:t>
            </w:r>
          </w:p>
        </w:tc>
        <w:tc>
          <w:tcPr>
            <w:tcW w:w="0" w:type="auto"/>
            <w:shd w:val="clear" w:color="auto" w:fill="auto"/>
            <w:vAlign w:val="center"/>
          </w:tcPr>
          <w:p w14:paraId="31088C4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发酵废气</w:t>
            </w:r>
          </w:p>
        </w:tc>
        <w:tc>
          <w:tcPr>
            <w:tcW w:w="715" w:type="dxa"/>
            <w:shd w:val="clear" w:color="auto" w:fill="auto"/>
            <w:vAlign w:val="center"/>
          </w:tcPr>
          <w:p w14:paraId="169BAF5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49</w:t>
            </w:r>
          </w:p>
        </w:tc>
        <w:tc>
          <w:tcPr>
            <w:tcW w:w="715" w:type="dxa"/>
            <w:shd w:val="clear" w:color="auto" w:fill="auto"/>
            <w:vAlign w:val="center"/>
          </w:tcPr>
          <w:p w14:paraId="2B9CAC1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-86</w:t>
            </w:r>
          </w:p>
        </w:tc>
        <w:tc>
          <w:tcPr>
            <w:tcW w:w="1226" w:type="dxa"/>
            <w:shd w:val="clear" w:color="auto" w:fill="auto"/>
            <w:vAlign w:val="center"/>
          </w:tcPr>
          <w:p w14:paraId="61D6E18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611</w:t>
            </w:r>
          </w:p>
        </w:tc>
        <w:tc>
          <w:tcPr>
            <w:tcW w:w="0" w:type="auto"/>
            <w:shd w:val="clear" w:color="auto" w:fill="auto"/>
            <w:vAlign w:val="center"/>
          </w:tcPr>
          <w:p w14:paraId="4C131F10">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39</w:t>
            </w:r>
          </w:p>
        </w:tc>
        <w:tc>
          <w:tcPr>
            <w:tcW w:w="0" w:type="auto"/>
            <w:shd w:val="clear" w:color="auto" w:fill="auto"/>
            <w:vAlign w:val="center"/>
          </w:tcPr>
          <w:p w14:paraId="1C9CED31">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1.4</w:t>
            </w:r>
          </w:p>
        </w:tc>
        <w:tc>
          <w:tcPr>
            <w:tcW w:w="0" w:type="auto"/>
            <w:shd w:val="clear" w:color="auto" w:fill="auto"/>
            <w:vAlign w:val="center"/>
          </w:tcPr>
          <w:p w14:paraId="1E98152A">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5</w:t>
            </w:r>
            <w:r>
              <w:rPr>
                <w:rFonts w:ascii="Times New Roman" w:hAnsi="Times New Roman" w:eastAsia="宋体" w:cs="Times New Roman"/>
                <w:snapToGrid w:val="0"/>
                <w:color w:val="auto"/>
                <w:kern w:val="0"/>
                <w:sz w:val="21"/>
                <w:szCs w:val="21"/>
                <w:highlight w:val="none"/>
              </w:rPr>
              <w:t>2500</w:t>
            </w:r>
          </w:p>
        </w:tc>
        <w:tc>
          <w:tcPr>
            <w:tcW w:w="0" w:type="auto"/>
            <w:shd w:val="clear" w:color="auto" w:fill="auto"/>
            <w:vAlign w:val="center"/>
          </w:tcPr>
          <w:p w14:paraId="3FA48B9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rPr>
              <w:t>常温</w:t>
            </w:r>
          </w:p>
        </w:tc>
        <w:tc>
          <w:tcPr>
            <w:tcW w:w="0" w:type="auto"/>
            <w:shd w:val="clear" w:color="auto" w:fill="auto"/>
            <w:vAlign w:val="center"/>
          </w:tcPr>
          <w:p w14:paraId="173EC3D2">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8000</w:t>
            </w:r>
          </w:p>
        </w:tc>
        <w:tc>
          <w:tcPr>
            <w:tcW w:w="0" w:type="auto"/>
            <w:shd w:val="clear" w:color="auto" w:fill="auto"/>
            <w:vAlign w:val="center"/>
          </w:tcPr>
          <w:p w14:paraId="2A4A838E">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连续</w:t>
            </w:r>
          </w:p>
        </w:tc>
        <w:tc>
          <w:tcPr>
            <w:tcW w:w="0" w:type="auto"/>
            <w:shd w:val="clear" w:color="auto" w:fill="auto"/>
            <w:vAlign w:val="center"/>
          </w:tcPr>
          <w:p w14:paraId="7FBBB54D">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.53</w:t>
            </w:r>
          </w:p>
        </w:tc>
        <w:tc>
          <w:tcPr>
            <w:tcW w:w="0" w:type="auto"/>
            <w:shd w:val="clear" w:color="auto" w:fill="auto"/>
            <w:vAlign w:val="center"/>
          </w:tcPr>
          <w:p w14:paraId="75F861B9">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0.265</w:t>
            </w:r>
          </w:p>
        </w:tc>
        <w:tc>
          <w:tcPr>
            <w:tcW w:w="0" w:type="auto"/>
            <w:shd w:val="clear" w:color="auto" w:fill="auto"/>
            <w:vAlign w:val="center"/>
          </w:tcPr>
          <w:p w14:paraId="5F2DA8D3">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.11</w:t>
            </w:r>
          </w:p>
        </w:tc>
        <w:tc>
          <w:tcPr>
            <w:tcW w:w="0" w:type="auto"/>
            <w:shd w:val="clear" w:color="auto" w:fill="auto"/>
            <w:vAlign w:val="center"/>
          </w:tcPr>
          <w:p w14:paraId="23B26F34">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0.26</w:t>
            </w:r>
          </w:p>
        </w:tc>
        <w:tc>
          <w:tcPr>
            <w:tcW w:w="0" w:type="auto"/>
            <w:shd w:val="clear" w:color="auto" w:fill="auto"/>
            <w:vAlign w:val="center"/>
          </w:tcPr>
          <w:p w14:paraId="1A404FC4">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.05</w:t>
            </w:r>
          </w:p>
        </w:tc>
        <w:tc>
          <w:tcPr>
            <w:tcW w:w="0" w:type="auto"/>
            <w:shd w:val="clear" w:color="auto" w:fill="auto"/>
            <w:vAlign w:val="center"/>
          </w:tcPr>
          <w:p w14:paraId="1744720A">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4ACF1381">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7FB1BCAD">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r>
      <w:tr w14:paraId="564B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shd w:val="clear" w:color="auto" w:fill="auto"/>
            <w:vAlign w:val="center"/>
          </w:tcPr>
          <w:p w14:paraId="6EE9933C">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G2</w:t>
            </w:r>
          </w:p>
        </w:tc>
        <w:tc>
          <w:tcPr>
            <w:tcW w:w="0" w:type="auto"/>
            <w:shd w:val="clear" w:color="auto" w:fill="auto"/>
            <w:vAlign w:val="center"/>
          </w:tcPr>
          <w:p w14:paraId="6AB47F2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酸化废气</w:t>
            </w:r>
          </w:p>
        </w:tc>
        <w:tc>
          <w:tcPr>
            <w:tcW w:w="715" w:type="dxa"/>
            <w:shd w:val="clear" w:color="auto" w:fill="auto"/>
            <w:vAlign w:val="center"/>
          </w:tcPr>
          <w:p w14:paraId="559D4E5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-44</w:t>
            </w:r>
          </w:p>
        </w:tc>
        <w:tc>
          <w:tcPr>
            <w:tcW w:w="715" w:type="dxa"/>
            <w:shd w:val="clear" w:color="auto" w:fill="auto"/>
            <w:vAlign w:val="center"/>
          </w:tcPr>
          <w:p w14:paraId="6224792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-34</w:t>
            </w:r>
          </w:p>
        </w:tc>
        <w:tc>
          <w:tcPr>
            <w:tcW w:w="1226" w:type="dxa"/>
            <w:shd w:val="clear" w:color="auto" w:fill="auto"/>
            <w:vAlign w:val="center"/>
          </w:tcPr>
          <w:p w14:paraId="283BEA48">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609</w:t>
            </w:r>
          </w:p>
        </w:tc>
        <w:tc>
          <w:tcPr>
            <w:tcW w:w="0" w:type="auto"/>
            <w:shd w:val="clear" w:color="auto" w:fill="auto"/>
            <w:vAlign w:val="center"/>
          </w:tcPr>
          <w:p w14:paraId="4D91B55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25</w:t>
            </w:r>
          </w:p>
        </w:tc>
        <w:tc>
          <w:tcPr>
            <w:tcW w:w="0" w:type="auto"/>
            <w:shd w:val="clear" w:color="auto" w:fill="auto"/>
            <w:vAlign w:val="center"/>
          </w:tcPr>
          <w:p w14:paraId="53BFE80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cs="Times New Roman"/>
                <w:color w:val="auto"/>
                <w:kern w:val="0"/>
                <w:sz w:val="21"/>
                <w:szCs w:val="21"/>
                <w:highlight w:val="none"/>
                <w:lang w:val="en-US" w:eastAsia="zh-CN"/>
              </w:rPr>
              <w:t>1</w:t>
            </w:r>
          </w:p>
        </w:tc>
        <w:tc>
          <w:tcPr>
            <w:tcW w:w="0" w:type="auto"/>
            <w:shd w:val="clear" w:color="auto" w:fill="auto"/>
            <w:vAlign w:val="center"/>
          </w:tcPr>
          <w:p w14:paraId="0195662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snapToGrid w:val="0"/>
                <w:color w:val="auto"/>
                <w:kern w:val="0"/>
                <w:sz w:val="21"/>
                <w:szCs w:val="21"/>
                <w:highlight w:val="none"/>
              </w:rPr>
              <w:t>31500</w:t>
            </w:r>
          </w:p>
        </w:tc>
        <w:tc>
          <w:tcPr>
            <w:tcW w:w="0" w:type="auto"/>
            <w:shd w:val="clear" w:color="auto" w:fill="auto"/>
            <w:vAlign w:val="center"/>
          </w:tcPr>
          <w:p w14:paraId="17B90FD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snapToGrid w:val="0"/>
                <w:color w:val="auto"/>
                <w:kern w:val="0"/>
                <w:sz w:val="21"/>
                <w:szCs w:val="21"/>
                <w:highlight w:val="none"/>
              </w:rPr>
              <w:t>常温</w:t>
            </w:r>
          </w:p>
        </w:tc>
        <w:tc>
          <w:tcPr>
            <w:tcW w:w="0" w:type="auto"/>
            <w:shd w:val="clear" w:color="auto" w:fill="auto"/>
            <w:vAlign w:val="center"/>
          </w:tcPr>
          <w:p w14:paraId="36C4FAF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8000</w:t>
            </w:r>
          </w:p>
        </w:tc>
        <w:tc>
          <w:tcPr>
            <w:tcW w:w="0" w:type="auto"/>
            <w:shd w:val="clear" w:color="auto" w:fill="auto"/>
            <w:vAlign w:val="center"/>
          </w:tcPr>
          <w:p w14:paraId="7AFB27F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连续</w:t>
            </w:r>
          </w:p>
        </w:tc>
        <w:tc>
          <w:tcPr>
            <w:tcW w:w="0" w:type="auto"/>
            <w:shd w:val="clear" w:color="auto" w:fill="auto"/>
            <w:vAlign w:val="center"/>
          </w:tcPr>
          <w:p w14:paraId="74F4276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21A2A01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3FECC6E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0.08</w:t>
            </w:r>
          </w:p>
        </w:tc>
        <w:tc>
          <w:tcPr>
            <w:tcW w:w="0" w:type="auto"/>
            <w:shd w:val="clear" w:color="auto" w:fill="auto"/>
            <w:vAlign w:val="center"/>
          </w:tcPr>
          <w:p w14:paraId="5582F35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1E5AC3B0">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791C8BD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0.47</w:t>
            </w:r>
          </w:p>
        </w:tc>
        <w:tc>
          <w:tcPr>
            <w:tcW w:w="0" w:type="auto"/>
            <w:shd w:val="clear" w:color="auto" w:fill="auto"/>
            <w:vAlign w:val="center"/>
          </w:tcPr>
          <w:p w14:paraId="0B1A37B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shd w:val="clear" w:color="auto" w:fill="auto"/>
            <w:vAlign w:val="center"/>
          </w:tcPr>
          <w:p w14:paraId="6EBDB36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rPr>
            </w:pPr>
          </w:p>
        </w:tc>
      </w:tr>
      <w:tr w14:paraId="7233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shd w:val="clear" w:color="auto" w:fill="auto"/>
            <w:vAlign w:val="center"/>
          </w:tcPr>
          <w:p w14:paraId="29526708">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G3</w:t>
            </w:r>
          </w:p>
        </w:tc>
        <w:tc>
          <w:tcPr>
            <w:tcW w:w="0" w:type="auto"/>
            <w:shd w:val="clear" w:color="auto" w:fill="auto"/>
            <w:vAlign w:val="center"/>
          </w:tcPr>
          <w:p w14:paraId="08B7FA5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粗品干燥废气</w:t>
            </w:r>
          </w:p>
        </w:tc>
        <w:tc>
          <w:tcPr>
            <w:tcW w:w="715" w:type="dxa"/>
            <w:shd w:val="clear" w:color="auto" w:fill="auto"/>
            <w:vAlign w:val="center"/>
          </w:tcPr>
          <w:p w14:paraId="296983B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-17</w:t>
            </w:r>
          </w:p>
        </w:tc>
        <w:tc>
          <w:tcPr>
            <w:tcW w:w="715" w:type="dxa"/>
            <w:shd w:val="clear" w:color="auto" w:fill="auto"/>
            <w:vAlign w:val="center"/>
          </w:tcPr>
          <w:p w14:paraId="4734EFE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w:t>
            </w:r>
          </w:p>
        </w:tc>
        <w:tc>
          <w:tcPr>
            <w:tcW w:w="1226" w:type="dxa"/>
            <w:shd w:val="clear" w:color="auto" w:fill="auto"/>
            <w:vAlign w:val="center"/>
          </w:tcPr>
          <w:p w14:paraId="6A3EEDE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608</w:t>
            </w:r>
          </w:p>
        </w:tc>
        <w:tc>
          <w:tcPr>
            <w:tcW w:w="0" w:type="auto"/>
            <w:shd w:val="clear" w:color="auto" w:fill="auto"/>
            <w:vAlign w:val="center"/>
          </w:tcPr>
          <w:p w14:paraId="4A9543C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25</w:t>
            </w:r>
          </w:p>
        </w:tc>
        <w:tc>
          <w:tcPr>
            <w:tcW w:w="0" w:type="auto"/>
            <w:shd w:val="clear" w:color="auto" w:fill="auto"/>
            <w:vAlign w:val="center"/>
          </w:tcPr>
          <w:p w14:paraId="2807CC4D">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0.5</w:t>
            </w:r>
          </w:p>
        </w:tc>
        <w:tc>
          <w:tcPr>
            <w:tcW w:w="0" w:type="auto"/>
            <w:shd w:val="clear" w:color="auto" w:fill="auto"/>
            <w:vAlign w:val="center"/>
          </w:tcPr>
          <w:p w14:paraId="34E6F4A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snapToGrid w:val="0"/>
                <w:color w:val="auto"/>
                <w:kern w:val="0"/>
                <w:sz w:val="21"/>
                <w:szCs w:val="21"/>
                <w:highlight w:val="none"/>
              </w:rPr>
              <w:t>8400</w:t>
            </w:r>
          </w:p>
        </w:tc>
        <w:tc>
          <w:tcPr>
            <w:tcW w:w="0" w:type="auto"/>
            <w:shd w:val="clear" w:color="auto" w:fill="auto"/>
            <w:vAlign w:val="center"/>
          </w:tcPr>
          <w:p w14:paraId="2A93AE3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ascii="Times New Roman" w:hAnsi="Times New Roman" w:eastAsia="宋体" w:cs="Times New Roman"/>
                <w:snapToGrid w:val="0"/>
                <w:color w:val="auto"/>
                <w:kern w:val="0"/>
                <w:sz w:val="21"/>
                <w:szCs w:val="21"/>
                <w:highlight w:val="none"/>
              </w:rPr>
              <w:t>常温</w:t>
            </w:r>
          </w:p>
        </w:tc>
        <w:tc>
          <w:tcPr>
            <w:tcW w:w="0" w:type="auto"/>
            <w:shd w:val="clear" w:color="auto" w:fill="auto"/>
            <w:vAlign w:val="center"/>
          </w:tcPr>
          <w:p w14:paraId="1B854B56">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8000</w:t>
            </w:r>
          </w:p>
        </w:tc>
        <w:tc>
          <w:tcPr>
            <w:tcW w:w="0" w:type="auto"/>
            <w:shd w:val="clear" w:color="auto" w:fill="auto"/>
            <w:vAlign w:val="center"/>
          </w:tcPr>
          <w:p w14:paraId="17EFF6A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连续</w:t>
            </w:r>
          </w:p>
        </w:tc>
        <w:tc>
          <w:tcPr>
            <w:tcW w:w="0" w:type="auto"/>
            <w:shd w:val="clear" w:color="auto" w:fill="auto"/>
            <w:vAlign w:val="center"/>
          </w:tcPr>
          <w:p w14:paraId="1837CC8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snapToGrid w:val="0"/>
                <w:color w:val="auto"/>
                <w:kern w:val="0"/>
                <w:sz w:val="21"/>
                <w:szCs w:val="21"/>
                <w:highlight w:val="none"/>
                <w:lang w:val="en-US" w:eastAsia="zh-CN"/>
              </w:rPr>
              <w:t>0.08</w:t>
            </w:r>
          </w:p>
        </w:tc>
        <w:tc>
          <w:tcPr>
            <w:tcW w:w="0" w:type="auto"/>
            <w:shd w:val="clear" w:color="auto" w:fill="auto"/>
            <w:vAlign w:val="center"/>
          </w:tcPr>
          <w:p w14:paraId="3BAA667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0.04</w:t>
            </w:r>
          </w:p>
        </w:tc>
        <w:tc>
          <w:tcPr>
            <w:tcW w:w="0" w:type="auto"/>
            <w:shd w:val="clear" w:color="auto" w:fill="auto"/>
            <w:vAlign w:val="center"/>
          </w:tcPr>
          <w:p w14:paraId="0749F19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rPr>
              <w:t>0.02</w:t>
            </w:r>
          </w:p>
        </w:tc>
        <w:tc>
          <w:tcPr>
            <w:tcW w:w="0" w:type="auto"/>
            <w:shd w:val="clear" w:color="auto" w:fill="auto"/>
            <w:vAlign w:val="center"/>
          </w:tcPr>
          <w:p w14:paraId="0F7186B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1AA31B3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0BF8C7E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46753C3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53DC6B53">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r>
      <w:tr w14:paraId="6907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shd w:val="clear" w:color="auto" w:fill="auto"/>
            <w:vAlign w:val="center"/>
          </w:tcPr>
          <w:p w14:paraId="30E77D34">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rPr>
            </w:pPr>
            <w:r>
              <w:rPr>
                <w:rFonts w:hint="eastAsia" w:cs="Times New Roman"/>
                <w:color w:val="auto"/>
                <w:kern w:val="0"/>
                <w:sz w:val="21"/>
                <w:szCs w:val="21"/>
                <w:highlight w:val="none"/>
                <w:lang w:val="en-US" w:eastAsia="zh-CN"/>
              </w:rPr>
              <w:t>G4</w:t>
            </w:r>
          </w:p>
        </w:tc>
        <w:tc>
          <w:tcPr>
            <w:tcW w:w="0" w:type="auto"/>
            <w:shd w:val="clear" w:color="auto" w:fill="auto"/>
            <w:vAlign w:val="center"/>
          </w:tcPr>
          <w:p w14:paraId="54C70A2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成品干燥废气</w:t>
            </w:r>
          </w:p>
        </w:tc>
        <w:tc>
          <w:tcPr>
            <w:tcW w:w="715" w:type="dxa"/>
            <w:shd w:val="clear" w:color="auto" w:fill="auto"/>
            <w:vAlign w:val="center"/>
          </w:tcPr>
          <w:p w14:paraId="6E99C4A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121</w:t>
            </w:r>
          </w:p>
        </w:tc>
        <w:tc>
          <w:tcPr>
            <w:tcW w:w="715" w:type="dxa"/>
            <w:shd w:val="clear" w:color="auto" w:fill="auto"/>
            <w:vAlign w:val="center"/>
          </w:tcPr>
          <w:p w14:paraId="3358A50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52</w:t>
            </w:r>
          </w:p>
        </w:tc>
        <w:tc>
          <w:tcPr>
            <w:tcW w:w="1226" w:type="dxa"/>
            <w:shd w:val="clear" w:color="auto" w:fill="auto"/>
            <w:vAlign w:val="center"/>
          </w:tcPr>
          <w:p w14:paraId="50E2FB1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609</w:t>
            </w:r>
          </w:p>
        </w:tc>
        <w:tc>
          <w:tcPr>
            <w:tcW w:w="0" w:type="auto"/>
            <w:shd w:val="clear" w:color="auto" w:fill="auto"/>
            <w:vAlign w:val="center"/>
          </w:tcPr>
          <w:p w14:paraId="2A48A3C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25</w:t>
            </w:r>
          </w:p>
        </w:tc>
        <w:tc>
          <w:tcPr>
            <w:tcW w:w="0" w:type="auto"/>
            <w:shd w:val="clear" w:color="auto" w:fill="auto"/>
            <w:vAlign w:val="center"/>
          </w:tcPr>
          <w:p w14:paraId="58C7F77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0.5</w:t>
            </w:r>
          </w:p>
        </w:tc>
        <w:tc>
          <w:tcPr>
            <w:tcW w:w="0" w:type="auto"/>
            <w:shd w:val="clear" w:color="auto" w:fill="auto"/>
            <w:vAlign w:val="center"/>
          </w:tcPr>
          <w:p w14:paraId="7AB901F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5</w:t>
            </w:r>
            <w:r>
              <w:rPr>
                <w:rFonts w:ascii="Times New Roman" w:hAnsi="Times New Roman" w:eastAsia="宋体" w:cs="Times New Roman"/>
                <w:snapToGrid w:val="0"/>
                <w:color w:val="auto"/>
                <w:kern w:val="0"/>
                <w:sz w:val="21"/>
                <w:szCs w:val="21"/>
                <w:highlight w:val="none"/>
              </w:rPr>
              <w:t>250</w:t>
            </w:r>
          </w:p>
        </w:tc>
        <w:tc>
          <w:tcPr>
            <w:tcW w:w="0" w:type="auto"/>
            <w:shd w:val="clear" w:color="auto" w:fill="auto"/>
            <w:vAlign w:val="center"/>
          </w:tcPr>
          <w:p w14:paraId="1674CF6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常温</w:t>
            </w:r>
          </w:p>
        </w:tc>
        <w:tc>
          <w:tcPr>
            <w:tcW w:w="0" w:type="auto"/>
            <w:shd w:val="clear" w:color="auto" w:fill="auto"/>
            <w:vAlign w:val="center"/>
          </w:tcPr>
          <w:p w14:paraId="61D2D9F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8000</w:t>
            </w:r>
          </w:p>
        </w:tc>
        <w:tc>
          <w:tcPr>
            <w:tcW w:w="0" w:type="auto"/>
            <w:shd w:val="clear" w:color="auto" w:fill="auto"/>
            <w:vAlign w:val="center"/>
          </w:tcPr>
          <w:p w14:paraId="6A3D9C0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连续</w:t>
            </w:r>
          </w:p>
        </w:tc>
        <w:tc>
          <w:tcPr>
            <w:tcW w:w="0" w:type="auto"/>
            <w:shd w:val="clear" w:color="auto" w:fill="auto"/>
            <w:vAlign w:val="center"/>
          </w:tcPr>
          <w:p w14:paraId="23E8ED3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11</w:t>
            </w:r>
          </w:p>
        </w:tc>
        <w:tc>
          <w:tcPr>
            <w:tcW w:w="0" w:type="auto"/>
            <w:shd w:val="clear" w:color="auto" w:fill="auto"/>
            <w:vAlign w:val="center"/>
          </w:tcPr>
          <w:p w14:paraId="69BBDC1F">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0.055</w:t>
            </w:r>
          </w:p>
        </w:tc>
        <w:tc>
          <w:tcPr>
            <w:tcW w:w="0" w:type="auto"/>
            <w:shd w:val="clear" w:color="auto" w:fill="auto"/>
            <w:vAlign w:val="center"/>
          </w:tcPr>
          <w:p w14:paraId="16939E9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2B3F281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0C99A48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2AC58D1A">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0D76716C">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13945C9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r>
      <w:tr w14:paraId="6730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shd w:val="clear" w:color="auto" w:fill="auto"/>
            <w:vAlign w:val="center"/>
          </w:tcPr>
          <w:p w14:paraId="7C2ED993">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ascii="Times New Roman" w:hAnsi="Times New Roman" w:eastAsia="宋体" w:cs="Times New Roman"/>
                <w:color w:val="auto"/>
                <w:kern w:val="0"/>
                <w:sz w:val="21"/>
                <w:szCs w:val="21"/>
                <w:highlight w:val="none"/>
              </w:rPr>
            </w:pPr>
            <w:r>
              <w:rPr>
                <w:rFonts w:hint="eastAsia" w:cs="Times New Roman"/>
                <w:color w:val="auto"/>
                <w:kern w:val="0"/>
                <w:sz w:val="21"/>
                <w:szCs w:val="21"/>
                <w:highlight w:val="none"/>
                <w:lang w:val="en-US" w:eastAsia="zh-CN"/>
              </w:rPr>
              <w:t>G5</w:t>
            </w:r>
          </w:p>
        </w:tc>
        <w:tc>
          <w:tcPr>
            <w:tcW w:w="0" w:type="auto"/>
            <w:shd w:val="clear" w:color="auto" w:fill="auto"/>
            <w:vAlign w:val="center"/>
          </w:tcPr>
          <w:p w14:paraId="0ABB686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活性炭再生炉烟气</w:t>
            </w:r>
          </w:p>
        </w:tc>
        <w:tc>
          <w:tcPr>
            <w:tcW w:w="715" w:type="dxa"/>
            <w:shd w:val="clear" w:color="auto" w:fill="auto"/>
            <w:vAlign w:val="center"/>
          </w:tcPr>
          <w:p w14:paraId="6A26C59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w:t>
            </w:r>
          </w:p>
        </w:tc>
        <w:tc>
          <w:tcPr>
            <w:tcW w:w="715" w:type="dxa"/>
            <w:shd w:val="clear" w:color="auto" w:fill="auto"/>
            <w:vAlign w:val="center"/>
          </w:tcPr>
          <w:p w14:paraId="6B7BE3E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39</w:t>
            </w:r>
          </w:p>
        </w:tc>
        <w:tc>
          <w:tcPr>
            <w:tcW w:w="1226" w:type="dxa"/>
            <w:shd w:val="clear" w:color="auto" w:fill="auto"/>
            <w:vAlign w:val="center"/>
          </w:tcPr>
          <w:p w14:paraId="06E88161">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609</w:t>
            </w:r>
          </w:p>
        </w:tc>
        <w:tc>
          <w:tcPr>
            <w:tcW w:w="0" w:type="auto"/>
            <w:shd w:val="clear" w:color="auto" w:fill="auto"/>
            <w:vAlign w:val="center"/>
          </w:tcPr>
          <w:p w14:paraId="1E4287C6">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25</w:t>
            </w:r>
          </w:p>
        </w:tc>
        <w:tc>
          <w:tcPr>
            <w:tcW w:w="0" w:type="auto"/>
            <w:shd w:val="clear" w:color="auto" w:fill="auto"/>
            <w:vAlign w:val="center"/>
          </w:tcPr>
          <w:p w14:paraId="091C4618">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0.5</w:t>
            </w:r>
          </w:p>
        </w:tc>
        <w:tc>
          <w:tcPr>
            <w:tcW w:w="0" w:type="auto"/>
            <w:shd w:val="clear" w:color="auto" w:fill="auto"/>
            <w:vAlign w:val="center"/>
          </w:tcPr>
          <w:p w14:paraId="0FAF5E8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6</w:t>
            </w:r>
            <w:r>
              <w:rPr>
                <w:rFonts w:ascii="Times New Roman" w:hAnsi="Times New Roman" w:eastAsia="宋体" w:cs="Times New Roman"/>
                <w:snapToGrid w:val="0"/>
                <w:color w:val="auto"/>
                <w:kern w:val="0"/>
                <w:sz w:val="21"/>
                <w:szCs w:val="21"/>
                <w:highlight w:val="none"/>
              </w:rPr>
              <w:t>880</w:t>
            </w:r>
          </w:p>
        </w:tc>
        <w:tc>
          <w:tcPr>
            <w:tcW w:w="0" w:type="auto"/>
            <w:shd w:val="clear" w:color="auto" w:fill="auto"/>
            <w:vAlign w:val="center"/>
          </w:tcPr>
          <w:p w14:paraId="3F31E1C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5</w:t>
            </w:r>
            <w:r>
              <w:rPr>
                <w:rFonts w:ascii="Times New Roman" w:hAnsi="Times New Roman" w:eastAsia="宋体" w:cs="Times New Roman"/>
                <w:snapToGrid w:val="0"/>
                <w:color w:val="auto"/>
                <w:kern w:val="0"/>
                <w:sz w:val="21"/>
                <w:szCs w:val="21"/>
                <w:highlight w:val="none"/>
              </w:rPr>
              <w:t>0</w:t>
            </w:r>
          </w:p>
        </w:tc>
        <w:tc>
          <w:tcPr>
            <w:tcW w:w="0" w:type="auto"/>
            <w:shd w:val="clear" w:color="auto" w:fill="auto"/>
            <w:vAlign w:val="center"/>
          </w:tcPr>
          <w:p w14:paraId="3E92FED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8000</w:t>
            </w:r>
          </w:p>
        </w:tc>
        <w:tc>
          <w:tcPr>
            <w:tcW w:w="0" w:type="auto"/>
            <w:shd w:val="clear" w:color="auto" w:fill="auto"/>
            <w:vAlign w:val="center"/>
          </w:tcPr>
          <w:p w14:paraId="1B00F3B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连续</w:t>
            </w:r>
          </w:p>
        </w:tc>
        <w:tc>
          <w:tcPr>
            <w:tcW w:w="0" w:type="auto"/>
            <w:shd w:val="clear" w:color="auto" w:fill="auto"/>
            <w:vAlign w:val="center"/>
          </w:tcPr>
          <w:p w14:paraId="3701DA55">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snapToGrid w:val="0"/>
                <w:color w:val="auto"/>
                <w:kern w:val="0"/>
                <w:sz w:val="21"/>
                <w:szCs w:val="21"/>
                <w:highlight w:val="none"/>
              </w:rPr>
              <w:t>0</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07</w:t>
            </w:r>
          </w:p>
        </w:tc>
        <w:tc>
          <w:tcPr>
            <w:tcW w:w="0" w:type="auto"/>
            <w:shd w:val="clear" w:color="auto" w:fill="auto"/>
            <w:vAlign w:val="center"/>
          </w:tcPr>
          <w:p w14:paraId="0933A2B4">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0.035</w:t>
            </w:r>
          </w:p>
        </w:tc>
        <w:tc>
          <w:tcPr>
            <w:tcW w:w="0" w:type="auto"/>
            <w:shd w:val="clear" w:color="auto" w:fill="auto"/>
            <w:vAlign w:val="center"/>
          </w:tcPr>
          <w:p w14:paraId="44EB5EC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67C72F6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7D0B3897">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1EF13AB9">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shd w:val="clear" w:color="auto" w:fill="auto"/>
            <w:vAlign w:val="center"/>
          </w:tcPr>
          <w:p w14:paraId="71B7264B">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rPr>
              <w:t>0.33</w:t>
            </w:r>
          </w:p>
        </w:tc>
        <w:tc>
          <w:tcPr>
            <w:tcW w:w="0" w:type="auto"/>
            <w:shd w:val="clear" w:color="auto" w:fill="auto"/>
            <w:vAlign w:val="center"/>
          </w:tcPr>
          <w:p w14:paraId="5EB033F2">
            <w:pPr>
              <w:pStyle w:val="42"/>
              <w:keepNext w:val="0"/>
              <w:keepLines w:val="0"/>
              <w:pageBreakBefore w:val="0"/>
              <w:widowControl/>
              <w:tabs>
                <w:tab w:val="left" w:pos="0"/>
              </w:tabs>
              <w:kinsoku/>
              <w:wordWrap/>
              <w:overflowPunct/>
              <w:topLinePunct w:val="0"/>
              <w:autoSpaceDE/>
              <w:autoSpaceDN/>
              <w:bidi w:val="0"/>
              <w:adjustRightInd w:val="0"/>
              <w:snapToGrid w:val="0"/>
              <w:ind w:left="0"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rPr>
              <w:t>0.41</w:t>
            </w:r>
          </w:p>
        </w:tc>
      </w:tr>
    </w:tbl>
    <w:p w14:paraId="3694807D">
      <w:pPr>
        <w:adjustRightInd w:val="0"/>
        <w:snapToGrid w:val="0"/>
        <w:ind w:left="-619" w:leftChars="-295" w:firstLine="0" w:firstLineChars="0"/>
        <w:jc w:val="center"/>
        <w:rPr>
          <w:rFonts w:ascii="Times New Roman" w:hAnsi="Times New Roman" w:eastAsia="宋体" w:cs="Times New Roman"/>
          <w:b/>
          <w:bCs/>
          <w:snapToGrid w:val="0"/>
          <w:color w:val="auto"/>
          <w:kern w:val="0"/>
          <w:szCs w:val="21"/>
          <w:highlight w:val="none"/>
        </w:rPr>
      </w:pPr>
    </w:p>
    <w:p w14:paraId="29E1A979">
      <w:pPr>
        <w:adjustRightInd w:val="0"/>
        <w:snapToGrid w:val="0"/>
        <w:ind w:left="-619" w:leftChars="-295" w:firstLine="0" w:firstLineChars="0"/>
        <w:jc w:val="center"/>
        <w:rPr>
          <w:rFonts w:ascii="Times New Roman" w:hAnsi="Times New Roman" w:eastAsia="宋体" w:cs="Times New Roman"/>
          <w:b/>
          <w:bCs/>
          <w:snapToGrid w:val="0"/>
          <w:color w:val="auto"/>
          <w:kern w:val="0"/>
          <w:szCs w:val="21"/>
          <w:highlight w:val="none"/>
        </w:rPr>
      </w:pPr>
      <w:r>
        <w:rPr>
          <w:rFonts w:ascii="Times New Roman" w:hAnsi="Times New Roman" w:eastAsia="宋体" w:cs="Times New Roman"/>
          <w:b/>
          <w:bCs/>
          <w:snapToGrid w:val="0"/>
          <w:color w:val="auto"/>
          <w:kern w:val="0"/>
          <w:szCs w:val="21"/>
          <w:highlight w:val="none"/>
        </w:rPr>
        <w:t>表</w:t>
      </w:r>
      <w:r>
        <w:rPr>
          <w:rFonts w:hint="eastAsia" w:ascii="Times New Roman" w:hAnsi="Times New Roman" w:eastAsia="宋体" w:cs="Times New Roman"/>
          <w:b/>
          <w:bCs/>
          <w:snapToGrid w:val="0"/>
          <w:color w:val="auto"/>
          <w:kern w:val="0"/>
          <w:szCs w:val="21"/>
          <w:highlight w:val="none"/>
        </w:rPr>
        <w:t>2</w:t>
      </w:r>
      <w:r>
        <w:rPr>
          <w:rFonts w:hint="eastAsia" w:ascii="Times New Roman" w:hAnsi="Times New Roman" w:eastAsia="宋体" w:cs="Times New Roman"/>
          <w:b/>
          <w:bCs/>
          <w:snapToGrid w:val="0"/>
          <w:color w:val="auto"/>
          <w:kern w:val="0"/>
          <w:szCs w:val="21"/>
          <w:highlight w:val="none"/>
          <w:lang w:val="en-US" w:eastAsia="zh-CN"/>
        </w:rPr>
        <w:t>.6</w:t>
      </w:r>
      <w:r>
        <w:rPr>
          <w:rFonts w:hint="eastAsia" w:ascii="Times New Roman" w:hAnsi="Times New Roman" w:eastAsia="宋体" w:cs="Times New Roman"/>
          <w:b/>
          <w:bCs/>
          <w:snapToGrid w:val="0"/>
          <w:color w:val="auto"/>
          <w:kern w:val="0"/>
          <w:szCs w:val="21"/>
          <w:highlight w:val="none"/>
        </w:rPr>
        <w:t>-4</w:t>
      </w:r>
      <w:r>
        <w:rPr>
          <w:rFonts w:hint="eastAsia" w:ascii="Times New Roman" w:hAnsi="Times New Roman" w:eastAsia="宋体" w:cs="Times New Roman"/>
          <w:b/>
          <w:bCs/>
          <w:snapToGrid w:val="0"/>
          <w:color w:val="auto"/>
          <w:kern w:val="0"/>
          <w:szCs w:val="21"/>
          <w:highlight w:val="none"/>
          <w:lang w:val="en-US" w:eastAsia="zh-CN"/>
        </w:rPr>
        <w:t xml:space="preserve"> </w:t>
      </w:r>
      <w:r>
        <w:rPr>
          <w:rFonts w:hint="eastAsia" w:ascii="Times New Roman" w:hAnsi="Times New Roman" w:eastAsia="宋体" w:cs="Times New Roman"/>
          <w:b/>
          <w:bCs/>
          <w:snapToGrid w:val="0"/>
          <w:color w:val="auto"/>
          <w:kern w:val="0"/>
          <w:szCs w:val="21"/>
          <w:highlight w:val="none"/>
        </w:rPr>
        <w:t>项目</w:t>
      </w:r>
      <w:r>
        <w:rPr>
          <w:rFonts w:ascii="Times New Roman" w:hAnsi="Times New Roman" w:eastAsia="宋体" w:cs="Times New Roman"/>
          <w:b/>
          <w:bCs/>
          <w:snapToGrid w:val="0"/>
          <w:color w:val="auto"/>
          <w:kern w:val="0"/>
          <w:szCs w:val="21"/>
          <w:highlight w:val="none"/>
        </w:rPr>
        <w:t>无组织</w:t>
      </w:r>
      <w:r>
        <w:rPr>
          <w:rFonts w:hint="eastAsia" w:ascii="Times New Roman" w:hAnsi="Times New Roman" w:eastAsia="宋体" w:cs="Times New Roman"/>
          <w:b/>
          <w:bCs/>
          <w:snapToGrid w:val="0"/>
          <w:color w:val="auto"/>
          <w:kern w:val="0"/>
          <w:szCs w:val="21"/>
          <w:highlight w:val="none"/>
        </w:rPr>
        <w:t>污染物排放</w:t>
      </w:r>
      <w:r>
        <w:rPr>
          <w:rFonts w:ascii="Times New Roman" w:hAnsi="Times New Roman" w:eastAsia="宋体" w:cs="Times New Roman"/>
          <w:b/>
          <w:bCs/>
          <w:snapToGrid w:val="0"/>
          <w:color w:val="auto"/>
          <w:kern w:val="0"/>
          <w:szCs w:val="21"/>
          <w:highlight w:val="none"/>
        </w:rPr>
        <w:t>参数一览表</w:t>
      </w:r>
    </w:p>
    <w:tbl>
      <w:tblPr>
        <w:tblStyle w:val="5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466"/>
        <w:gridCol w:w="1867"/>
        <w:gridCol w:w="1533"/>
        <w:gridCol w:w="1308"/>
        <w:gridCol w:w="1484"/>
        <w:gridCol w:w="1484"/>
        <w:gridCol w:w="1484"/>
        <w:gridCol w:w="1484"/>
        <w:gridCol w:w="1484"/>
        <w:gridCol w:w="2820"/>
      </w:tblGrid>
      <w:tr w14:paraId="1D84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54" w:hRule="atLeast"/>
        </w:trPr>
        <w:tc>
          <w:tcPr>
            <w:tcW w:w="151" w:type="pct"/>
            <w:vMerge w:val="restart"/>
            <w:tcBorders>
              <w:tl2br w:val="nil"/>
              <w:tr2bl w:val="nil"/>
            </w:tcBorders>
            <w:noWrap w:val="0"/>
            <w:vAlign w:val="center"/>
          </w:tcPr>
          <w:p w14:paraId="6AC9348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编号</w:t>
            </w:r>
          </w:p>
        </w:tc>
        <w:tc>
          <w:tcPr>
            <w:tcW w:w="605" w:type="pct"/>
            <w:vMerge w:val="restart"/>
            <w:tcBorders>
              <w:tl2br w:val="nil"/>
              <w:tr2bl w:val="nil"/>
            </w:tcBorders>
            <w:noWrap w:val="0"/>
            <w:vAlign w:val="center"/>
          </w:tcPr>
          <w:p w14:paraId="150DCD2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名称</w:t>
            </w:r>
          </w:p>
        </w:tc>
        <w:tc>
          <w:tcPr>
            <w:tcW w:w="921" w:type="pct"/>
            <w:gridSpan w:val="2"/>
            <w:tcBorders>
              <w:tl2br w:val="nil"/>
              <w:tr2bl w:val="nil"/>
            </w:tcBorders>
            <w:noWrap w:val="0"/>
            <w:vAlign w:val="center"/>
          </w:tcPr>
          <w:p w14:paraId="3C1A81B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面源起点坐标/m</w:t>
            </w:r>
          </w:p>
        </w:tc>
        <w:tc>
          <w:tcPr>
            <w:tcW w:w="481" w:type="pct"/>
            <w:vMerge w:val="restart"/>
            <w:tcBorders>
              <w:tl2br w:val="nil"/>
              <w:tr2bl w:val="nil"/>
            </w:tcBorders>
            <w:noWrap w:val="0"/>
            <w:vAlign w:val="center"/>
          </w:tcPr>
          <w:p w14:paraId="6BF0F46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面源海拔高度/m</w:t>
            </w:r>
          </w:p>
        </w:tc>
        <w:tc>
          <w:tcPr>
            <w:tcW w:w="481" w:type="pct"/>
            <w:vMerge w:val="restart"/>
            <w:tcBorders>
              <w:tl2br w:val="nil"/>
              <w:tr2bl w:val="nil"/>
            </w:tcBorders>
            <w:noWrap w:val="0"/>
            <w:vAlign w:val="center"/>
          </w:tcPr>
          <w:p w14:paraId="41B8051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面源长度/m</w:t>
            </w:r>
          </w:p>
        </w:tc>
        <w:tc>
          <w:tcPr>
            <w:tcW w:w="481" w:type="pct"/>
            <w:vMerge w:val="restart"/>
            <w:tcBorders>
              <w:tl2br w:val="nil"/>
              <w:tr2bl w:val="nil"/>
            </w:tcBorders>
            <w:noWrap w:val="0"/>
            <w:vAlign w:val="center"/>
          </w:tcPr>
          <w:p w14:paraId="7A43030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面源宽度/m</w:t>
            </w:r>
          </w:p>
        </w:tc>
        <w:tc>
          <w:tcPr>
            <w:tcW w:w="481" w:type="pct"/>
            <w:vMerge w:val="restart"/>
            <w:tcBorders>
              <w:tl2br w:val="nil"/>
              <w:tr2bl w:val="nil"/>
            </w:tcBorders>
            <w:noWrap w:val="0"/>
            <w:vAlign w:val="center"/>
          </w:tcPr>
          <w:p w14:paraId="0E8E190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与正北向夹角/°</w:t>
            </w:r>
          </w:p>
        </w:tc>
        <w:tc>
          <w:tcPr>
            <w:tcW w:w="481" w:type="pct"/>
            <w:vMerge w:val="restart"/>
            <w:tcBorders>
              <w:tl2br w:val="nil"/>
              <w:tr2bl w:val="nil"/>
            </w:tcBorders>
            <w:noWrap w:val="0"/>
            <w:vAlign w:val="center"/>
          </w:tcPr>
          <w:p w14:paraId="4434664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面源有效排放高度/m</w:t>
            </w:r>
          </w:p>
        </w:tc>
        <w:tc>
          <w:tcPr>
            <w:tcW w:w="914" w:type="pct"/>
            <w:tcBorders>
              <w:tl2br w:val="nil"/>
              <w:tr2bl w:val="nil"/>
            </w:tcBorders>
            <w:noWrap w:val="0"/>
            <w:vAlign w:val="center"/>
          </w:tcPr>
          <w:p w14:paraId="1D87F7F3">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污染物排放速率/（kg/h）</w:t>
            </w:r>
          </w:p>
        </w:tc>
      </w:tr>
      <w:tr w14:paraId="3624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54" w:hRule="atLeast"/>
        </w:trPr>
        <w:tc>
          <w:tcPr>
            <w:tcW w:w="151" w:type="pct"/>
            <w:vMerge w:val="continue"/>
            <w:tcBorders>
              <w:tl2br w:val="nil"/>
              <w:tr2bl w:val="nil"/>
            </w:tcBorders>
            <w:noWrap w:val="0"/>
            <w:vAlign w:val="center"/>
          </w:tcPr>
          <w:p w14:paraId="7B2BEB1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605" w:type="pct"/>
            <w:vMerge w:val="continue"/>
            <w:tcBorders>
              <w:tl2br w:val="nil"/>
              <w:tr2bl w:val="nil"/>
            </w:tcBorders>
            <w:noWrap w:val="0"/>
            <w:vAlign w:val="center"/>
          </w:tcPr>
          <w:p w14:paraId="7DB41BAD">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97" w:type="pct"/>
            <w:tcBorders>
              <w:tl2br w:val="nil"/>
              <w:tr2bl w:val="nil"/>
            </w:tcBorders>
            <w:noWrap w:val="0"/>
            <w:vAlign w:val="center"/>
          </w:tcPr>
          <w:p w14:paraId="4B09DA94">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X</w:t>
            </w:r>
          </w:p>
        </w:tc>
        <w:tc>
          <w:tcPr>
            <w:tcW w:w="424" w:type="pct"/>
            <w:tcBorders>
              <w:tl2br w:val="nil"/>
              <w:tr2bl w:val="nil"/>
            </w:tcBorders>
            <w:noWrap w:val="0"/>
            <w:vAlign w:val="center"/>
          </w:tcPr>
          <w:p w14:paraId="7975C62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Y</w:t>
            </w:r>
          </w:p>
        </w:tc>
        <w:tc>
          <w:tcPr>
            <w:tcW w:w="481" w:type="pct"/>
            <w:vMerge w:val="continue"/>
            <w:tcBorders>
              <w:tl2br w:val="nil"/>
              <w:tr2bl w:val="nil"/>
            </w:tcBorders>
            <w:noWrap w:val="0"/>
            <w:vAlign w:val="center"/>
          </w:tcPr>
          <w:p w14:paraId="045D861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81" w:type="pct"/>
            <w:vMerge w:val="continue"/>
            <w:tcBorders>
              <w:tl2br w:val="nil"/>
              <w:tr2bl w:val="nil"/>
            </w:tcBorders>
            <w:noWrap w:val="0"/>
            <w:vAlign w:val="center"/>
          </w:tcPr>
          <w:p w14:paraId="143D1A4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81" w:type="pct"/>
            <w:vMerge w:val="continue"/>
            <w:tcBorders>
              <w:tl2br w:val="nil"/>
              <w:tr2bl w:val="nil"/>
            </w:tcBorders>
            <w:noWrap w:val="0"/>
            <w:vAlign w:val="center"/>
          </w:tcPr>
          <w:p w14:paraId="0672C7B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81" w:type="pct"/>
            <w:vMerge w:val="continue"/>
            <w:tcBorders>
              <w:tl2br w:val="nil"/>
              <w:tr2bl w:val="nil"/>
            </w:tcBorders>
            <w:noWrap w:val="0"/>
            <w:vAlign w:val="center"/>
          </w:tcPr>
          <w:p w14:paraId="3717242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81" w:type="pct"/>
            <w:vMerge w:val="continue"/>
            <w:tcBorders>
              <w:tl2br w:val="nil"/>
              <w:tr2bl w:val="nil"/>
            </w:tcBorders>
            <w:noWrap w:val="0"/>
            <w:vAlign w:val="center"/>
          </w:tcPr>
          <w:p w14:paraId="55944CB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914" w:type="pct"/>
            <w:tcBorders>
              <w:tl2br w:val="nil"/>
              <w:tr2bl w:val="nil"/>
            </w:tcBorders>
            <w:noWrap w:val="0"/>
            <w:vAlign w:val="center"/>
          </w:tcPr>
          <w:p w14:paraId="089E419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w:t>
            </w:r>
            <w:r>
              <w:rPr>
                <w:rFonts w:ascii="Times New Roman" w:hAnsi="Times New Roman" w:eastAsia="宋体" w:cs="Times New Roman"/>
                <w:snapToGrid w:val="0"/>
                <w:color w:val="auto"/>
                <w:kern w:val="0"/>
                <w:sz w:val="21"/>
                <w:szCs w:val="21"/>
                <w:highlight w:val="none"/>
              </w:rPr>
              <w:t>MHC</w:t>
            </w:r>
          </w:p>
        </w:tc>
      </w:tr>
      <w:tr w14:paraId="4D20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54" w:hRule="atLeast"/>
        </w:trPr>
        <w:tc>
          <w:tcPr>
            <w:tcW w:w="151" w:type="pct"/>
            <w:tcBorders>
              <w:tl2br w:val="nil"/>
              <w:tr2bl w:val="nil"/>
            </w:tcBorders>
            <w:noWrap/>
            <w:vAlign w:val="center"/>
          </w:tcPr>
          <w:p w14:paraId="39DD0650">
            <w:pPr>
              <w:pStyle w:val="42"/>
              <w:keepNext w:val="0"/>
              <w:keepLines w:val="0"/>
              <w:pageBreakBefore w:val="0"/>
              <w:widowControl/>
              <w:tabs>
                <w:tab w:val="left" w:pos="0"/>
              </w:tabs>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cs="Times New Roman"/>
                <w:color w:val="auto"/>
                <w:kern w:val="0"/>
                <w:sz w:val="21"/>
                <w:szCs w:val="21"/>
                <w:highlight w:val="none"/>
                <w:lang w:val="en-US" w:eastAsia="zh-CN"/>
              </w:rPr>
              <w:t>GM1</w:t>
            </w:r>
          </w:p>
        </w:tc>
        <w:tc>
          <w:tcPr>
            <w:tcW w:w="605" w:type="pct"/>
            <w:tcBorders>
              <w:tl2br w:val="nil"/>
              <w:tr2bl w:val="nil"/>
            </w:tcBorders>
            <w:noWrap/>
            <w:vAlign w:val="center"/>
          </w:tcPr>
          <w:p w14:paraId="63B8ECC4">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罐区废气</w:t>
            </w:r>
          </w:p>
        </w:tc>
        <w:tc>
          <w:tcPr>
            <w:tcW w:w="1533" w:type="dxa"/>
            <w:tcBorders>
              <w:tl2br w:val="nil"/>
              <w:tr2bl w:val="nil"/>
            </w:tcBorders>
            <w:noWrap/>
            <w:vAlign w:val="center"/>
          </w:tcPr>
          <w:p w14:paraId="60EA3B1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-39</w:t>
            </w:r>
          </w:p>
        </w:tc>
        <w:tc>
          <w:tcPr>
            <w:tcW w:w="1308" w:type="dxa"/>
            <w:tcBorders>
              <w:tl2br w:val="nil"/>
              <w:tr2bl w:val="nil"/>
            </w:tcBorders>
            <w:noWrap/>
            <w:vAlign w:val="center"/>
          </w:tcPr>
          <w:p w14:paraId="75C06F7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130</w:t>
            </w:r>
          </w:p>
        </w:tc>
        <w:tc>
          <w:tcPr>
            <w:tcW w:w="481" w:type="pct"/>
            <w:tcBorders>
              <w:tl2br w:val="nil"/>
              <w:tr2bl w:val="nil"/>
            </w:tcBorders>
            <w:noWrap/>
            <w:vAlign w:val="center"/>
          </w:tcPr>
          <w:p w14:paraId="0014DFA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604</w:t>
            </w:r>
          </w:p>
        </w:tc>
        <w:tc>
          <w:tcPr>
            <w:tcW w:w="481" w:type="pct"/>
            <w:tcBorders>
              <w:tl2br w:val="nil"/>
              <w:tr2bl w:val="nil"/>
            </w:tcBorders>
            <w:noWrap/>
            <w:vAlign w:val="center"/>
          </w:tcPr>
          <w:p w14:paraId="46616453">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50</w:t>
            </w:r>
          </w:p>
        </w:tc>
        <w:tc>
          <w:tcPr>
            <w:tcW w:w="481" w:type="pct"/>
            <w:tcBorders>
              <w:tl2br w:val="nil"/>
              <w:tr2bl w:val="nil"/>
            </w:tcBorders>
            <w:noWrap/>
            <w:vAlign w:val="center"/>
          </w:tcPr>
          <w:p w14:paraId="11DC348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40</w:t>
            </w:r>
          </w:p>
        </w:tc>
        <w:tc>
          <w:tcPr>
            <w:tcW w:w="481" w:type="pct"/>
            <w:tcBorders>
              <w:tl2br w:val="nil"/>
              <w:tr2bl w:val="nil"/>
            </w:tcBorders>
            <w:noWrap/>
            <w:vAlign w:val="center"/>
          </w:tcPr>
          <w:p w14:paraId="3E2F76E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230</w:t>
            </w:r>
          </w:p>
        </w:tc>
        <w:tc>
          <w:tcPr>
            <w:tcW w:w="481" w:type="pct"/>
            <w:tcBorders>
              <w:tl2br w:val="nil"/>
              <w:tr2bl w:val="nil"/>
            </w:tcBorders>
            <w:noWrap/>
            <w:vAlign w:val="center"/>
          </w:tcPr>
          <w:p w14:paraId="5BB30D9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20</w:t>
            </w:r>
          </w:p>
        </w:tc>
        <w:tc>
          <w:tcPr>
            <w:tcW w:w="914" w:type="pct"/>
            <w:tcBorders>
              <w:tl2br w:val="nil"/>
              <w:tr2bl w:val="nil"/>
            </w:tcBorders>
            <w:noWrap w:val="0"/>
            <w:vAlign w:val="center"/>
          </w:tcPr>
          <w:p w14:paraId="0912B83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rPr>
              <w:t>0.03</w:t>
            </w:r>
          </w:p>
        </w:tc>
      </w:tr>
    </w:tbl>
    <w:p w14:paraId="02904838">
      <w:pPr>
        <w:spacing w:line="460" w:lineRule="exact"/>
        <w:ind w:firstLine="480" w:firstLineChars="200"/>
        <w:rPr>
          <w:rFonts w:hint="eastAsia"/>
          <w:color w:val="auto"/>
          <w:sz w:val="24"/>
          <w:highlight w:val="none"/>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linePitch="312" w:charSpace="0"/>
        </w:sectPr>
      </w:pPr>
    </w:p>
    <w:p w14:paraId="64AD8631">
      <w:pPr>
        <w:spacing w:line="460" w:lineRule="exact"/>
        <w:ind w:firstLine="480" w:firstLineChars="200"/>
        <w:rPr>
          <w:color w:val="auto"/>
          <w:sz w:val="24"/>
          <w:highlight w:val="none"/>
        </w:rPr>
      </w:pPr>
      <w:r>
        <w:rPr>
          <w:rFonts w:hint="eastAsia"/>
          <w:color w:val="auto"/>
          <w:sz w:val="24"/>
          <w:highlight w:val="none"/>
        </w:rPr>
        <w:t>本项目主要大气污染源估算模式估算结果见表2.</w:t>
      </w:r>
      <w:r>
        <w:rPr>
          <w:rFonts w:hint="eastAsia"/>
          <w:color w:val="auto"/>
          <w:sz w:val="24"/>
          <w:highlight w:val="none"/>
          <w:lang w:val="en-US" w:eastAsia="zh-CN"/>
        </w:rPr>
        <w:t>6</w:t>
      </w:r>
      <w:r>
        <w:rPr>
          <w:rFonts w:hint="eastAsia"/>
          <w:color w:val="auto"/>
          <w:sz w:val="24"/>
          <w:highlight w:val="none"/>
        </w:rPr>
        <w:t>-</w:t>
      </w:r>
      <w:r>
        <w:rPr>
          <w:rFonts w:hint="eastAsia"/>
          <w:color w:val="auto"/>
          <w:sz w:val="24"/>
          <w:highlight w:val="none"/>
          <w:lang w:val="en-US" w:eastAsia="zh-CN"/>
        </w:rPr>
        <w:t>5</w:t>
      </w:r>
      <w:r>
        <w:rPr>
          <w:rFonts w:hint="eastAsia"/>
          <w:color w:val="auto"/>
          <w:sz w:val="24"/>
          <w:highlight w:val="none"/>
        </w:rPr>
        <w:t>。</w:t>
      </w:r>
    </w:p>
    <w:p w14:paraId="6C706275">
      <w:pPr>
        <w:pStyle w:val="412"/>
        <w:tabs>
          <w:tab w:val="left" w:pos="0"/>
          <w:tab w:val="clear" w:pos="6840"/>
        </w:tabs>
        <w:topLinePunct w:val="0"/>
        <w:autoSpaceDE w:val="0"/>
        <w:autoSpaceDN w:val="0"/>
        <w:adjustRightInd w:val="0"/>
        <w:spacing w:before="120" w:beforeLines="50" w:line="240" w:lineRule="auto"/>
        <w:ind w:left="422" w:hanging="422"/>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2.</w:t>
      </w:r>
      <w:r>
        <w:rPr>
          <w:rFonts w:hint="eastAsia" w:ascii="Times New Roman" w:hAnsi="Times New Roman" w:cs="Times New Roman"/>
          <w:color w:val="auto"/>
          <w:sz w:val="21"/>
          <w:szCs w:val="21"/>
          <w:highlight w:val="none"/>
          <w:lang w:val="en-US" w:eastAsia="zh-CN"/>
        </w:rPr>
        <w:t>6</w:t>
      </w:r>
      <w:r>
        <w:rPr>
          <w:rFonts w:hint="eastAsia"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5</w:t>
      </w:r>
      <w:r>
        <w:rPr>
          <w:rFonts w:hint="eastAsia" w:ascii="Times New Roman" w:hAnsi="Times New Roman" w:cs="Times New Roman"/>
          <w:color w:val="auto"/>
          <w:sz w:val="21"/>
          <w:szCs w:val="21"/>
          <w:highlight w:val="none"/>
        </w:rPr>
        <w:t xml:space="preserve"> 各污染物估算结果一览表</w:t>
      </w:r>
    </w:p>
    <w:tbl>
      <w:tblPr>
        <w:tblStyle w:val="56"/>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09"/>
        <w:gridCol w:w="1516"/>
        <w:gridCol w:w="1566"/>
        <w:gridCol w:w="1616"/>
        <w:gridCol w:w="1426"/>
      </w:tblGrid>
      <w:tr w14:paraId="1079B7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shd w:val="clear" w:color="auto" w:fill="auto"/>
            <w:vAlign w:val="center"/>
          </w:tcPr>
          <w:p w14:paraId="7842DFD4">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污染源名称</w:t>
            </w:r>
          </w:p>
        </w:tc>
        <w:tc>
          <w:tcPr>
            <w:tcW w:w="899" w:type="pct"/>
            <w:shd w:val="clear" w:color="auto" w:fill="auto"/>
            <w:vAlign w:val="center"/>
          </w:tcPr>
          <w:p w14:paraId="5A5B81F0">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评价因子</w:t>
            </w:r>
          </w:p>
        </w:tc>
        <w:tc>
          <w:tcPr>
            <w:tcW w:w="928" w:type="pct"/>
            <w:shd w:val="clear" w:color="auto" w:fill="auto"/>
            <w:vAlign w:val="center"/>
          </w:tcPr>
          <w:p w14:paraId="564F4A94">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eastAsia="zh-CN"/>
              </w:rPr>
            </w:pPr>
            <w:r>
              <w:rPr>
                <w:rFonts w:ascii="Times New Roman" w:hAnsi="Times New Roman" w:cs="Times New Roman"/>
                <w:snapToGrid w:val="0"/>
                <w:color w:val="auto"/>
                <w:kern w:val="0"/>
                <w:highlight w:val="none"/>
              </w:rPr>
              <w:t>P</w:t>
            </w:r>
            <w:r>
              <w:rPr>
                <w:rFonts w:ascii="Times New Roman" w:hAnsi="Times New Roman" w:cs="Times New Roman"/>
                <w:snapToGrid w:val="0"/>
                <w:color w:val="auto"/>
                <w:kern w:val="0"/>
                <w:highlight w:val="none"/>
                <w:vertAlign w:val="subscript"/>
              </w:rPr>
              <w:t>max</w:t>
            </w:r>
            <w:r>
              <w:rPr>
                <w:rFonts w:hint="eastAsia" w:ascii="Times New Roman" w:hAnsi="Times New Roman" w:cs="Times New Roman"/>
                <w:snapToGrid w:val="0"/>
                <w:color w:val="auto"/>
                <w:kern w:val="0"/>
                <w:highlight w:val="none"/>
                <w:lang w:eastAsia="zh-CN"/>
              </w:rPr>
              <w:t>（</w:t>
            </w:r>
            <w:r>
              <w:rPr>
                <w:rFonts w:ascii="Times New Roman" w:hAnsi="Times New Roman" w:cs="Times New Roman"/>
                <w:snapToGrid w:val="0"/>
                <w:color w:val="auto"/>
                <w:kern w:val="0"/>
                <w:highlight w:val="none"/>
              </w:rPr>
              <w:t>%</w:t>
            </w:r>
            <w:r>
              <w:rPr>
                <w:rFonts w:hint="eastAsia" w:ascii="Times New Roman" w:hAnsi="Times New Roman" w:cs="Times New Roman"/>
                <w:snapToGrid w:val="0"/>
                <w:color w:val="auto"/>
                <w:kern w:val="0"/>
                <w:highlight w:val="none"/>
                <w:lang w:eastAsia="zh-CN"/>
              </w:rPr>
              <w:t>）</w:t>
            </w:r>
          </w:p>
        </w:tc>
        <w:tc>
          <w:tcPr>
            <w:tcW w:w="958" w:type="pct"/>
            <w:shd w:val="clear" w:color="auto" w:fill="auto"/>
            <w:vAlign w:val="center"/>
          </w:tcPr>
          <w:p w14:paraId="342093D0">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eastAsia="zh-CN"/>
              </w:rPr>
            </w:pPr>
            <w:r>
              <w:rPr>
                <w:rFonts w:ascii="Times New Roman" w:hAnsi="Times New Roman" w:cs="Times New Roman"/>
                <w:snapToGrid w:val="0"/>
                <w:color w:val="auto"/>
                <w:kern w:val="0"/>
                <w:highlight w:val="none"/>
              </w:rPr>
              <w:t>D</w:t>
            </w:r>
            <w:r>
              <w:rPr>
                <w:rFonts w:ascii="Times New Roman" w:hAnsi="Times New Roman" w:cs="Times New Roman"/>
                <w:snapToGrid w:val="0"/>
                <w:color w:val="auto"/>
                <w:kern w:val="0"/>
                <w:highlight w:val="none"/>
                <w:vertAlign w:val="subscript"/>
              </w:rPr>
              <w:t>10%</w:t>
            </w:r>
            <w:r>
              <w:rPr>
                <w:rFonts w:hint="eastAsia" w:ascii="Times New Roman" w:hAnsi="Times New Roman" w:cs="Times New Roman"/>
                <w:snapToGrid w:val="0"/>
                <w:color w:val="auto"/>
                <w:kern w:val="0"/>
                <w:highlight w:val="none"/>
                <w:lang w:eastAsia="zh-CN"/>
              </w:rPr>
              <w:t>（</w:t>
            </w:r>
            <w:r>
              <w:rPr>
                <w:rFonts w:ascii="Times New Roman" w:hAnsi="Times New Roman" w:cs="Times New Roman"/>
                <w:snapToGrid w:val="0"/>
                <w:color w:val="auto"/>
                <w:kern w:val="0"/>
                <w:highlight w:val="none"/>
              </w:rPr>
              <w:t>m</w:t>
            </w:r>
            <w:r>
              <w:rPr>
                <w:rFonts w:hint="eastAsia" w:ascii="Times New Roman" w:hAnsi="Times New Roman" w:cs="Times New Roman"/>
                <w:snapToGrid w:val="0"/>
                <w:color w:val="auto"/>
                <w:kern w:val="0"/>
                <w:highlight w:val="none"/>
                <w:lang w:eastAsia="zh-CN"/>
              </w:rPr>
              <w:t>）</w:t>
            </w:r>
          </w:p>
        </w:tc>
        <w:tc>
          <w:tcPr>
            <w:tcW w:w="845" w:type="pct"/>
            <w:shd w:val="clear" w:color="auto" w:fill="auto"/>
            <w:vAlign w:val="center"/>
          </w:tcPr>
          <w:p w14:paraId="1906D80C">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评价等级</w:t>
            </w:r>
          </w:p>
        </w:tc>
      </w:tr>
      <w:tr w14:paraId="4AD0C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restart"/>
            <w:shd w:val="clear" w:color="auto" w:fill="auto"/>
            <w:vAlign w:val="center"/>
          </w:tcPr>
          <w:p w14:paraId="06008E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发酵废气</w:t>
            </w:r>
          </w:p>
        </w:tc>
        <w:tc>
          <w:tcPr>
            <w:tcW w:w="899" w:type="pct"/>
            <w:shd w:val="clear" w:color="auto" w:fill="auto"/>
            <w:vAlign w:val="center"/>
          </w:tcPr>
          <w:p w14:paraId="0E113FAB">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p>
        </w:tc>
        <w:tc>
          <w:tcPr>
            <w:tcW w:w="928" w:type="pct"/>
            <w:shd w:val="clear" w:color="auto" w:fill="auto"/>
            <w:vAlign w:val="center"/>
          </w:tcPr>
          <w:p w14:paraId="6299786F">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5.89</w:t>
            </w:r>
          </w:p>
        </w:tc>
        <w:tc>
          <w:tcPr>
            <w:tcW w:w="958" w:type="pct"/>
            <w:shd w:val="clear" w:color="auto" w:fill="auto"/>
            <w:vAlign w:val="center"/>
          </w:tcPr>
          <w:p w14:paraId="04874790">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4CFA0737">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69AE7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3051F783">
            <w:pPr>
              <w:widowControl/>
              <w:adjustRightInd w:val="0"/>
              <w:snapToGrid w:val="0"/>
              <w:jc w:val="center"/>
              <w:rPr>
                <w:rFonts w:hint="eastAsia"/>
                <w:snapToGrid w:val="0"/>
                <w:color w:val="auto"/>
                <w:kern w:val="0"/>
                <w:szCs w:val="21"/>
                <w:highlight w:val="none"/>
              </w:rPr>
            </w:pPr>
          </w:p>
        </w:tc>
        <w:tc>
          <w:tcPr>
            <w:tcW w:w="899" w:type="pct"/>
            <w:shd w:val="clear" w:color="auto" w:fill="auto"/>
            <w:vAlign w:val="center"/>
          </w:tcPr>
          <w:p w14:paraId="06AB302C">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p>
        </w:tc>
        <w:tc>
          <w:tcPr>
            <w:tcW w:w="928" w:type="pct"/>
            <w:shd w:val="clear" w:color="auto" w:fill="auto"/>
            <w:vAlign w:val="center"/>
          </w:tcPr>
          <w:p w14:paraId="40AF7D4F">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5.89</w:t>
            </w:r>
          </w:p>
        </w:tc>
        <w:tc>
          <w:tcPr>
            <w:tcW w:w="958" w:type="pct"/>
            <w:shd w:val="clear" w:color="auto" w:fill="auto"/>
            <w:vAlign w:val="center"/>
          </w:tcPr>
          <w:p w14:paraId="6821791E">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2AC2FB4A">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17679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54F50A8D">
            <w:pPr>
              <w:widowControl/>
              <w:adjustRightInd w:val="0"/>
              <w:snapToGrid w:val="0"/>
              <w:jc w:val="center"/>
              <w:rPr>
                <w:snapToGrid w:val="0"/>
                <w:color w:val="auto"/>
                <w:kern w:val="0"/>
                <w:szCs w:val="21"/>
                <w:highlight w:val="none"/>
              </w:rPr>
            </w:pPr>
          </w:p>
        </w:tc>
        <w:tc>
          <w:tcPr>
            <w:tcW w:w="899" w:type="pct"/>
            <w:shd w:val="clear" w:color="auto" w:fill="auto"/>
            <w:vAlign w:val="center"/>
          </w:tcPr>
          <w:p w14:paraId="2B41AEAA">
            <w:pPr>
              <w:adjustRightInd w:val="0"/>
              <w:snapToGrid w:val="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p>
        </w:tc>
        <w:tc>
          <w:tcPr>
            <w:tcW w:w="928" w:type="pct"/>
            <w:shd w:val="clear" w:color="auto" w:fill="auto"/>
            <w:vAlign w:val="center"/>
          </w:tcPr>
          <w:p w14:paraId="1DE493DF">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0.22</w:t>
            </w:r>
          </w:p>
        </w:tc>
        <w:tc>
          <w:tcPr>
            <w:tcW w:w="958" w:type="pct"/>
            <w:shd w:val="clear" w:color="auto" w:fill="auto"/>
            <w:vAlign w:val="center"/>
          </w:tcPr>
          <w:p w14:paraId="674E7B0A">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502B948E">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三级</w:t>
            </w:r>
          </w:p>
        </w:tc>
      </w:tr>
      <w:tr w14:paraId="6245E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1DF5C0D9">
            <w:pPr>
              <w:widowControl/>
              <w:adjustRightInd w:val="0"/>
              <w:snapToGrid w:val="0"/>
              <w:jc w:val="center"/>
              <w:rPr>
                <w:snapToGrid w:val="0"/>
                <w:color w:val="auto"/>
                <w:kern w:val="0"/>
                <w:szCs w:val="21"/>
                <w:highlight w:val="none"/>
              </w:rPr>
            </w:pPr>
          </w:p>
        </w:tc>
        <w:tc>
          <w:tcPr>
            <w:tcW w:w="899" w:type="pct"/>
            <w:shd w:val="clear" w:color="auto" w:fill="auto"/>
            <w:vAlign w:val="center"/>
          </w:tcPr>
          <w:p w14:paraId="7ADA4339">
            <w:pPr>
              <w:adjustRightInd w:val="0"/>
              <w:snapToGrid w:val="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p>
        </w:tc>
        <w:tc>
          <w:tcPr>
            <w:tcW w:w="928" w:type="pct"/>
            <w:shd w:val="clear" w:color="auto" w:fill="auto"/>
            <w:vAlign w:val="center"/>
          </w:tcPr>
          <w:p w14:paraId="607E1445">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5.20</w:t>
            </w:r>
          </w:p>
        </w:tc>
        <w:tc>
          <w:tcPr>
            <w:tcW w:w="958" w:type="pct"/>
            <w:shd w:val="clear" w:color="auto" w:fill="auto"/>
            <w:vAlign w:val="center"/>
          </w:tcPr>
          <w:p w14:paraId="6F71E776">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0E84CE2B">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二级</w:t>
            </w:r>
          </w:p>
        </w:tc>
      </w:tr>
      <w:tr w14:paraId="5D837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303ABEDF">
            <w:pPr>
              <w:widowControl/>
              <w:adjustRightInd w:val="0"/>
              <w:snapToGrid w:val="0"/>
              <w:jc w:val="center"/>
              <w:rPr>
                <w:snapToGrid w:val="0"/>
                <w:color w:val="auto"/>
                <w:kern w:val="0"/>
                <w:szCs w:val="21"/>
                <w:highlight w:val="none"/>
              </w:rPr>
            </w:pPr>
          </w:p>
        </w:tc>
        <w:tc>
          <w:tcPr>
            <w:tcW w:w="899" w:type="pct"/>
            <w:shd w:val="clear" w:color="auto" w:fill="auto"/>
            <w:vAlign w:val="center"/>
          </w:tcPr>
          <w:p w14:paraId="6AA58380">
            <w:pPr>
              <w:adjustRightInd w:val="0"/>
              <w:snapToGrid w:val="0"/>
              <w:jc w:val="center"/>
              <w:rPr>
                <w:snapToGrid w:val="0"/>
                <w:color w:val="auto"/>
                <w:kern w:val="0"/>
                <w:szCs w:val="21"/>
                <w:highlight w:val="none"/>
              </w:rPr>
            </w:pP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p>
        </w:tc>
        <w:tc>
          <w:tcPr>
            <w:tcW w:w="928" w:type="pct"/>
            <w:shd w:val="clear" w:color="auto" w:fill="auto"/>
            <w:vAlign w:val="center"/>
          </w:tcPr>
          <w:p w14:paraId="079920B0">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20.00</w:t>
            </w:r>
          </w:p>
        </w:tc>
        <w:tc>
          <w:tcPr>
            <w:tcW w:w="958" w:type="pct"/>
            <w:shd w:val="clear" w:color="auto" w:fill="auto"/>
            <w:vAlign w:val="center"/>
          </w:tcPr>
          <w:p w14:paraId="208AE6D7">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2175</w:t>
            </w:r>
          </w:p>
        </w:tc>
        <w:tc>
          <w:tcPr>
            <w:tcW w:w="845" w:type="pct"/>
            <w:shd w:val="clear" w:color="auto" w:fill="auto"/>
            <w:vAlign w:val="center"/>
          </w:tcPr>
          <w:p w14:paraId="61509113">
            <w:pPr>
              <w:pStyle w:val="150"/>
              <w:widowControl/>
              <w:autoSpaceDE w:val="0"/>
              <w:autoSpaceDN w:val="0"/>
              <w:snapToGrid w:val="0"/>
              <w:spacing w:after="0" w:line="240" w:lineRule="auto"/>
              <w:textAlignment w:val="auto"/>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一级</w:t>
            </w:r>
          </w:p>
        </w:tc>
      </w:tr>
      <w:tr w14:paraId="5A8E05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restart"/>
            <w:shd w:val="clear" w:color="auto" w:fill="auto"/>
            <w:vAlign w:val="center"/>
          </w:tcPr>
          <w:p w14:paraId="3A3EE84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酸化废气</w:t>
            </w:r>
          </w:p>
        </w:tc>
        <w:tc>
          <w:tcPr>
            <w:tcW w:w="899" w:type="pct"/>
            <w:shd w:val="clear" w:color="auto" w:fill="auto"/>
            <w:vAlign w:val="center"/>
          </w:tcPr>
          <w:p w14:paraId="0B529D53">
            <w:pPr>
              <w:adjustRightInd w:val="0"/>
              <w:snapToGrid w:val="0"/>
              <w:jc w:val="center"/>
              <w:rPr>
                <w:snapToGrid w:val="0"/>
                <w:color w:val="auto"/>
                <w:kern w:val="0"/>
                <w:szCs w:val="21"/>
                <w:highlight w:val="none"/>
              </w:rPr>
            </w:pPr>
            <w:r>
              <w:rPr>
                <w:snapToGrid w:val="0"/>
                <w:color w:val="auto"/>
                <w:kern w:val="0"/>
                <w:szCs w:val="21"/>
                <w:highlight w:val="none"/>
              </w:rPr>
              <w:t>NMHC</w:t>
            </w:r>
          </w:p>
        </w:tc>
        <w:tc>
          <w:tcPr>
            <w:tcW w:w="928" w:type="pct"/>
            <w:shd w:val="clear" w:color="auto" w:fill="auto"/>
            <w:vAlign w:val="center"/>
          </w:tcPr>
          <w:p w14:paraId="784D1E83">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0.31</w:t>
            </w:r>
          </w:p>
        </w:tc>
        <w:tc>
          <w:tcPr>
            <w:tcW w:w="958" w:type="pct"/>
            <w:shd w:val="clear" w:color="auto" w:fill="auto"/>
            <w:vAlign w:val="center"/>
          </w:tcPr>
          <w:p w14:paraId="1F8EF45C">
            <w:pPr>
              <w:pStyle w:val="150"/>
              <w:widowControl/>
              <w:autoSpaceDE w:val="0"/>
              <w:autoSpaceDN w:val="0"/>
              <w:snapToGrid w:val="0"/>
              <w:spacing w:after="0" w:line="240" w:lineRule="auto"/>
              <w:textAlignment w:val="auto"/>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4245434F">
            <w:pPr>
              <w:widowControl/>
              <w:autoSpaceDE w:val="0"/>
              <w:autoSpaceDN w:val="0"/>
              <w:adjustRightInd w:val="0"/>
              <w:snapToGrid w:val="0"/>
              <w:jc w:val="center"/>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三级</w:t>
            </w:r>
          </w:p>
        </w:tc>
      </w:tr>
      <w:tr w14:paraId="66381C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4E488021">
            <w:pPr>
              <w:widowControl/>
              <w:adjustRightInd w:val="0"/>
              <w:snapToGrid w:val="0"/>
              <w:jc w:val="center"/>
              <w:rPr>
                <w:snapToGrid w:val="0"/>
                <w:color w:val="auto"/>
                <w:kern w:val="0"/>
                <w:szCs w:val="21"/>
                <w:highlight w:val="none"/>
              </w:rPr>
            </w:pPr>
          </w:p>
        </w:tc>
        <w:tc>
          <w:tcPr>
            <w:tcW w:w="899" w:type="pct"/>
            <w:shd w:val="clear" w:color="auto" w:fill="auto"/>
            <w:vAlign w:val="center"/>
          </w:tcPr>
          <w:p w14:paraId="6CCD2E73">
            <w:pPr>
              <w:adjustRightInd w:val="0"/>
              <w:snapToGrid w:val="0"/>
              <w:jc w:val="center"/>
              <w:rPr>
                <w:snapToGrid w:val="0"/>
                <w:color w:val="auto"/>
                <w:kern w:val="0"/>
                <w:szCs w:val="21"/>
                <w:highlight w:val="none"/>
              </w:rPr>
            </w:pPr>
            <w:r>
              <w:rPr>
                <w:rFonts w:hint="eastAsia"/>
                <w:snapToGrid w:val="0"/>
                <w:color w:val="auto"/>
                <w:kern w:val="0"/>
                <w:szCs w:val="21"/>
                <w:highlight w:val="none"/>
              </w:rPr>
              <w:t>硫酸雾</w:t>
            </w:r>
          </w:p>
        </w:tc>
        <w:tc>
          <w:tcPr>
            <w:tcW w:w="928" w:type="pct"/>
            <w:shd w:val="clear" w:color="auto" w:fill="auto"/>
            <w:vAlign w:val="center"/>
          </w:tcPr>
          <w:p w14:paraId="3DF0DFF7">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12.25</w:t>
            </w:r>
          </w:p>
        </w:tc>
        <w:tc>
          <w:tcPr>
            <w:tcW w:w="958" w:type="pct"/>
            <w:shd w:val="clear" w:color="auto" w:fill="auto"/>
            <w:vAlign w:val="center"/>
          </w:tcPr>
          <w:p w14:paraId="5AE54FE9">
            <w:pPr>
              <w:pStyle w:val="150"/>
              <w:widowControl/>
              <w:autoSpaceDE w:val="0"/>
              <w:autoSpaceDN w:val="0"/>
              <w:snapToGrid w:val="0"/>
              <w:spacing w:after="0" w:line="240" w:lineRule="auto"/>
              <w:textAlignment w:val="auto"/>
              <w:rPr>
                <w:rFonts w:hint="default"/>
                <w:snapToGrid w:val="0"/>
                <w:color w:val="auto"/>
                <w:kern w:val="0"/>
                <w:szCs w:val="21"/>
                <w:highlight w:val="none"/>
                <w:lang w:val="en-US"/>
              </w:rPr>
            </w:pPr>
            <w:r>
              <w:rPr>
                <w:rFonts w:hint="eastAsia" w:ascii="Times New Roman" w:hAnsi="Times New Roman" w:cs="Times New Roman"/>
                <w:snapToGrid w:val="0"/>
                <w:color w:val="auto"/>
                <w:kern w:val="0"/>
                <w:highlight w:val="none"/>
                <w:lang w:val="en-US" w:eastAsia="zh-CN"/>
              </w:rPr>
              <w:t>1275</w:t>
            </w:r>
          </w:p>
        </w:tc>
        <w:tc>
          <w:tcPr>
            <w:tcW w:w="845" w:type="pct"/>
            <w:shd w:val="clear" w:color="auto" w:fill="auto"/>
            <w:vAlign w:val="center"/>
          </w:tcPr>
          <w:p w14:paraId="4C984E9F">
            <w:pPr>
              <w:widowControl/>
              <w:autoSpaceDE w:val="0"/>
              <w:autoSpaceDN w:val="0"/>
              <w:adjustRightInd w:val="0"/>
              <w:snapToGrid w:val="0"/>
              <w:jc w:val="center"/>
              <w:rPr>
                <w:snapToGrid w:val="0"/>
                <w:color w:val="auto"/>
                <w:kern w:val="0"/>
                <w:szCs w:val="21"/>
                <w:highlight w:val="none"/>
              </w:rPr>
            </w:pPr>
            <w:r>
              <w:rPr>
                <w:rFonts w:hint="eastAsia" w:cs="Times New Roman"/>
                <w:snapToGrid w:val="0"/>
                <w:color w:val="auto"/>
                <w:kern w:val="0"/>
                <w:highlight w:val="none"/>
                <w:lang w:val="en-US" w:eastAsia="zh-CN"/>
              </w:rPr>
              <w:t>一</w:t>
            </w:r>
            <w:r>
              <w:rPr>
                <w:rFonts w:hint="eastAsia" w:ascii="Times New Roman" w:hAnsi="Times New Roman" w:cs="Times New Roman"/>
                <w:snapToGrid w:val="0"/>
                <w:color w:val="auto"/>
                <w:kern w:val="0"/>
                <w:highlight w:val="none"/>
                <w:lang w:val="en-US" w:eastAsia="zh-CN"/>
              </w:rPr>
              <w:t>级</w:t>
            </w:r>
          </w:p>
        </w:tc>
      </w:tr>
      <w:tr w14:paraId="7027C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restart"/>
            <w:shd w:val="clear" w:color="auto" w:fill="auto"/>
            <w:vAlign w:val="center"/>
          </w:tcPr>
          <w:p w14:paraId="39261F0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粗品干燥废气</w:t>
            </w:r>
          </w:p>
        </w:tc>
        <w:tc>
          <w:tcPr>
            <w:tcW w:w="899" w:type="pct"/>
            <w:shd w:val="clear" w:color="auto" w:fill="auto"/>
            <w:vAlign w:val="center"/>
          </w:tcPr>
          <w:p w14:paraId="10864CC2">
            <w:pPr>
              <w:adjustRightInd w:val="0"/>
              <w:snapToGrid w:val="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HMC</w:t>
            </w:r>
          </w:p>
        </w:tc>
        <w:tc>
          <w:tcPr>
            <w:tcW w:w="928" w:type="pct"/>
            <w:shd w:val="clear" w:color="auto" w:fill="auto"/>
            <w:vAlign w:val="center"/>
          </w:tcPr>
          <w:p w14:paraId="002F039E">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0.08</w:t>
            </w:r>
          </w:p>
        </w:tc>
        <w:tc>
          <w:tcPr>
            <w:tcW w:w="958" w:type="pct"/>
            <w:shd w:val="clear" w:color="auto" w:fill="auto"/>
            <w:vAlign w:val="center"/>
          </w:tcPr>
          <w:p w14:paraId="13E5ED3B">
            <w:pPr>
              <w:pStyle w:val="150"/>
              <w:widowControl/>
              <w:autoSpaceDE w:val="0"/>
              <w:autoSpaceDN w:val="0"/>
              <w:snapToGrid w:val="0"/>
              <w:spacing w:after="0" w:line="240" w:lineRule="auto"/>
              <w:textAlignment w:val="auto"/>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40D419A3">
            <w:pPr>
              <w:widowControl/>
              <w:autoSpaceDE w:val="0"/>
              <w:autoSpaceDN w:val="0"/>
              <w:adjustRightInd w:val="0"/>
              <w:snapToGrid w:val="0"/>
              <w:jc w:val="center"/>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三级</w:t>
            </w:r>
          </w:p>
        </w:tc>
      </w:tr>
      <w:tr w14:paraId="1912C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63CA6A87">
            <w:pPr>
              <w:widowControl/>
              <w:adjustRightInd w:val="0"/>
              <w:snapToGrid w:val="0"/>
              <w:jc w:val="center"/>
              <w:rPr>
                <w:rFonts w:hint="eastAsia"/>
                <w:snapToGrid w:val="0"/>
                <w:color w:val="auto"/>
                <w:kern w:val="0"/>
                <w:szCs w:val="21"/>
                <w:highlight w:val="none"/>
              </w:rPr>
            </w:pPr>
          </w:p>
        </w:tc>
        <w:tc>
          <w:tcPr>
            <w:tcW w:w="899" w:type="pct"/>
            <w:shd w:val="clear" w:color="auto" w:fill="auto"/>
            <w:vAlign w:val="center"/>
          </w:tcPr>
          <w:p w14:paraId="1742E841">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p>
        </w:tc>
        <w:tc>
          <w:tcPr>
            <w:tcW w:w="928" w:type="pct"/>
            <w:shd w:val="clear" w:color="auto" w:fill="auto"/>
            <w:vAlign w:val="center"/>
          </w:tcPr>
          <w:p w14:paraId="65AF57A6">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1.74</w:t>
            </w:r>
          </w:p>
        </w:tc>
        <w:tc>
          <w:tcPr>
            <w:tcW w:w="958" w:type="pct"/>
            <w:shd w:val="clear" w:color="auto" w:fill="auto"/>
            <w:vAlign w:val="center"/>
          </w:tcPr>
          <w:p w14:paraId="3FE3A334">
            <w:pPr>
              <w:pStyle w:val="150"/>
              <w:widowControl/>
              <w:autoSpaceDE w:val="0"/>
              <w:autoSpaceDN w:val="0"/>
              <w:snapToGrid w:val="0"/>
              <w:spacing w:after="0" w:line="240" w:lineRule="auto"/>
              <w:textAlignment w:val="auto"/>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44862B65">
            <w:pPr>
              <w:widowControl/>
              <w:autoSpaceDE w:val="0"/>
              <w:autoSpaceDN w:val="0"/>
              <w:adjustRightInd w:val="0"/>
              <w:snapToGrid w:val="0"/>
              <w:jc w:val="center"/>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二级</w:t>
            </w:r>
          </w:p>
        </w:tc>
      </w:tr>
      <w:tr w14:paraId="2E6FF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46D1CE8F">
            <w:pPr>
              <w:widowControl/>
              <w:adjustRightInd w:val="0"/>
              <w:snapToGrid w:val="0"/>
              <w:jc w:val="center"/>
              <w:rPr>
                <w:snapToGrid w:val="0"/>
                <w:color w:val="auto"/>
                <w:kern w:val="0"/>
                <w:szCs w:val="21"/>
                <w:highlight w:val="none"/>
              </w:rPr>
            </w:pPr>
          </w:p>
        </w:tc>
        <w:tc>
          <w:tcPr>
            <w:tcW w:w="899" w:type="pct"/>
            <w:shd w:val="clear" w:color="auto" w:fill="auto"/>
            <w:vAlign w:val="center"/>
          </w:tcPr>
          <w:p w14:paraId="39AF4D9F">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p>
        </w:tc>
        <w:tc>
          <w:tcPr>
            <w:tcW w:w="928" w:type="pct"/>
            <w:shd w:val="clear" w:color="auto" w:fill="auto"/>
            <w:vAlign w:val="center"/>
          </w:tcPr>
          <w:p w14:paraId="107DB99B">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1.74</w:t>
            </w:r>
          </w:p>
        </w:tc>
        <w:tc>
          <w:tcPr>
            <w:tcW w:w="958" w:type="pct"/>
            <w:shd w:val="clear" w:color="auto" w:fill="auto"/>
            <w:vAlign w:val="center"/>
          </w:tcPr>
          <w:p w14:paraId="0F3C0C9E">
            <w:pPr>
              <w:pStyle w:val="150"/>
              <w:widowControl/>
              <w:autoSpaceDE w:val="0"/>
              <w:autoSpaceDN w:val="0"/>
              <w:snapToGrid w:val="0"/>
              <w:spacing w:after="0" w:line="240" w:lineRule="auto"/>
              <w:textAlignment w:val="auto"/>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6790D32E">
            <w:pPr>
              <w:widowControl/>
              <w:autoSpaceDE w:val="0"/>
              <w:autoSpaceDN w:val="0"/>
              <w:adjustRightInd w:val="0"/>
              <w:snapToGrid w:val="0"/>
              <w:jc w:val="center"/>
              <w:rPr>
                <w:snapToGrid w:val="0"/>
                <w:color w:val="auto"/>
                <w:kern w:val="0"/>
                <w:szCs w:val="21"/>
                <w:highlight w:val="none"/>
              </w:rPr>
            </w:pPr>
            <w:r>
              <w:rPr>
                <w:rFonts w:hint="eastAsia" w:ascii="Times New Roman" w:hAnsi="Times New Roman" w:cs="Times New Roman"/>
                <w:snapToGrid w:val="0"/>
                <w:color w:val="auto"/>
                <w:kern w:val="0"/>
                <w:highlight w:val="none"/>
                <w:lang w:val="en-US" w:eastAsia="zh-CN"/>
              </w:rPr>
              <w:t>二级</w:t>
            </w:r>
          </w:p>
        </w:tc>
      </w:tr>
      <w:tr w14:paraId="388D2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restart"/>
            <w:shd w:val="clear" w:color="auto" w:fill="auto"/>
            <w:vAlign w:val="center"/>
          </w:tcPr>
          <w:p w14:paraId="638C618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成品干燥废气</w:t>
            </w:r>
          </w:p>
        </w:tc>
        <w:tc>
          <w:tcPr>
            <w:tcW w:w="899" w:type="pct"/>
            <w:shd w:val="clear" w:color="auto" w:fill="auto"/>
            <w:vAlign w:val="center"/>
          </w:tcPr>
          <w:p w14:paraId="3925F6FB">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p>
        </w:tc>
        <w:tc>
          <w:tcPr>
            <w:tcW w:w="928" w:type="pct"/>
            <w:shd w:val="clear" w:color="auto" w:fill="auto"/>
            <w:vAlign w:val="center"/>
          </w:tcPr>
          <w:p w14:paraId="54C80687">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2.39</w:t>
            </w:r>
          </w:p>
        </w:tc>
        <w:tc>
          <w:tcPr>
            <w:tcW w:w="958" w:type="pct"/>
            <w:shd w:val="clear" w:color="auto" w:fill="auto"/>
            <w:vAlign w:val="center"/>
          </w:tcPr>
          <w:p w14:paraId="3121D5F3">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146099D2">
            <w:pPr>
              <w:widowControl/>
              <w:autoSpaceDE w:val="0"/>
              <w:autoSpaceDN w:val="0"/>
              <w:snapToGrid w:val="0"/>
              <w:spacing w:after="0" w:line="240" w:lineRule="auto"/>
              <w:jc w:val="center"/>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44BE81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47E34E4C">
            <w:pPr>
              <w:widowControl/>
              <w:adjustRightInd w:val="0"/>
              <w:snapToGrid w:val="0"/>
              <w:jc w:val="center"/>
              <w:rPr>
                <w:rFonts w:hint="eastAsia"/>
                <w:snapToGrid w:val="0"/>
                <w:color w:val="auto"/>
                <w:kern w:val="0"/>
                <w:szCs w:val="21"/>
                <w:highlight w:val="none"/>
              </w:rPr>
            </w:pPr>
          </w:p>
        </w:tc>
        <w:tc>
          <w:tcPr>
            <w:tcW w:w="899" w:type="pct"/>
            <w:shd w:val="clear" w:color="auto" w:fill="auto"/>
            <w:vAlign w:val="center"/>
          </w:tcPr>
          <w:p w14:paraId="294D5C07">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p>
        </w:tc>
        <w:tc>
          <w:tcPr>
            <w:tcW w:w="928" w:type="pct"/>
            <w:shd w:val="clear" w:color="auto" w:fill="auto"/>
            <w:vAlign w:val="center"/>
          </w:tcPr>
          <w:p w14:paraId="325DFA20">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2.39</w:t>
            </w:r>
          </w:p>
        </w:tc>
        <w:tc>
          <w:tcPr>
            <w:tcW w:w="958" w:type="pct"/>
            <w:shd w:val="clear" w:color="auto" w:fill="auto"/>
            <w:vAlign w:val="center"/>
          </w:tcPr>
          <w:p w14:paraId="64D92D67">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2EA99B44">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5A120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restart"/>
            <w:shd w:val="clear" w:color="auto" w:fill="auto"/>
            <w:vAlign w:val="center"/>
          </w:tcPr>
          <w:p w14:paraId="63DD59E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活性炭再生炉烟气</w:t>
            </w:r>
          </w:p>
        </w:tc>
        <w:tc>
          <w:tcPr>
            <w:tcW w:w="899" w:type="pct"/>
            <w:shd w:val="clear" w:color="auto" w:fill="auto"/>
            <w:vAlign w:val="center"/>
          </w:tcPr>
          <w:p w14:paraId="79B98790">
            <w:pPr>
              <w:adjustRightInd w:val="0"/>
              <w:snapToGrid w:val="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O</w:t>
            </w:r>
            <w:r>
              <w:rPr>
                <w:rFonts w:hint="eastAsia"/>
                <w:snapToGrid w:val="0"/>
                <w:color w:val="auto"/>
                <w:kern w:val="0"/>
                <w:szCs w:val="21"/>
                <w:highlight w:val="none"/>
                <w:vertAlign w:val="subscript"/>
              </w:rPr>
              <w:t>X</w:t>
            </w:r>
          </w:p>
        </w:tc>
        <w:tc>
          <w:tcPr>
            <w:tcW w:w="928" w:type="pct"/>
            <w:shd w:val="clear" w:color="auto" w:fill="auto"/>
            <w:vAlign w:val="center"/>
          </w:tcPr>
          <w:p w14:paraId="21B9DD37">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16.03</w:t>
            </w:r>
          </w:p>
        </w:tc>
        <w:tc>
          <w:tcPr>
            <w:tcW w:w="958" w:type="pct"/>
            <w:shd w:val="clear" w:color="auto" w:fill="auto"/>
            <w:vAlign w:val="center"/>
          </w:tcPr>
          <w:p w14:paraId="32953E4D">
            <w:pPr>
              <w:pStyle w:val="150"/>
              <w:widowControl/>
              <w:autoSpaceDE w:val="0"/>
              <w:autoSpaceDN w:val="0"/>
              <w:snapToGrid w:val="0"/>
              <w:spacing w:after="0" w:line="240" w:lineRule="auto"/>
              <w:textAlignment w:val="auto"/>
              <w:rPr>
                <w:rFonts w:hint="default" w:ascii="Times New Roman" w:hAnsi="Times New Roman" w:cs="Times New Roman"/>
                <w:snapToGrid w:val="0"/>
                <w:color w:val="auto"/>
                <w:kern w:val="0"/>
                <w:highlight w:val="none"/>
                <w:lang w:val="en-US"/>
              </w:rPr>
            </w:pPr>
            <w:r>
              <w:rPr>
                <w:rFonts w:hint="eastAsia" w:ascii="Times New Roman" w:hAnsi="Times New Roman" w:cs="Times New Roman"/>
                <w:snapToGrid w:val="0"/>
                <w:color w:val="auto"/>
                <w:kern w:val="0"/>
                <w:highlight w:val="none"/>
                <w:lang w:val="en-US" w:eastAsia="zh-CN"/>
              </w:rPr>
              <w:t>1550</w:t>
            </w:r>
          </w:p>
        </w:tc>
        <w:tc>
          <w:tcPr>
            <w:tcW w:w="845" w:type="pct"/>
            <w:shd w:val="clear" w:color="auto" w:fill="auto"/>
            <w:vAlign w:val="center"/>
          </w:tcPr>
          <w:p w14:paraId="11F7D0BD">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一级</w:t>
            </w:r>
          </w:p>
        </w:tc>
      </w:tr>
      <w:tr w14:paraId="582AD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02B30AB8">
            <w:pPr>
              <w:widowControl/>
              <w:adjustRightInd w:val="0"/>
              <w:snapToGrid w:val="0"/>
              <w:jc w:val="center"/>
              <w:rPr>
                <w:snapToGrid w:val="0"/>
                <w:color w:val="auto"/>
                <w:kern w:val="0"/>
                <w:szCs w:val="21"/>
                <w:highlight w:val="none"/>
              </w:rPr>
            </w:pPr>
          </w:p>
        </w:tc>
        <w:tc>
          <w:tcPr>
            <w:tcW w:w="899" w:type="pct"/>
            <w:shd w:val="clear" w:color="auto" w:fill="auto"/>
            <w:vAlign w:val="center"/>
          </w:tcPr>
          <w:p w14:paraId="69004E86">
            <w:pPr>
              <w:adjustRightInd w:val="0"/>
              <w:snapToGrid w:val="0"/>
              <w:jc w:val="center"/>
              <w:rPr>
                <w:snapToGrid w:val="0"/>
                <w:color w:val="auto"/>
                <w:kern w:val="0"/>
                <w:szCs w:val="21"/>
                <w:highlight w:val="none"/>
              </w:rPr>
            </w:pPr>
            <w:r>
              <w:rPr>
                <w:rFonts w:hint="eastAsia"/>
                <w:snapToGrid w:val="0"/>
                <w:color w:val="auto"/>
                <w:kern w:val="0"/>
                <w:szCs w:val="21"/>
                <w:highlight w:val="none"/>
              </w:rPr>
              <w:t>S</w:t>
            </w:r>
            <w:r>
              <w:rPr>
                <w:snapToGrid w:val="0"/>
                <w:color w:val="auto"/>
                <w:kern w:val="0"/>
                <w:szCs w:val="21"/>
                <w:highlight w:val="none"/>
              </w:rPr>
              <w:t>O</w:t>
            </w:r>
            <w:r>
              <w:rPr>
                <w:snapToGrid w:val="0"/>
                <w:color w:val="auto"/>
                <w:kern w:val="0"/>
                <w:szCs w:val="21"/>
                <w:highlight w:val="none"/>
                <w:vertAlign w:val="subscript"/>
              </w:rPr>
              <w:t>2</w:t>
            </w:r>
          </w:p>
        </w:tc>
        <w:tc>
          <w:tcPr>
            <w:tcW w:w="928" w:type="pct"/>
            <w:shd w:val="clear" w:color="auto" w:fill="auto"/>
            <w:vAlign w:val="center"/>
          </w:tcPr>
          <w:p w14:paraId="2CE9B1E6">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5.16</w:t>
            </w:r>
          </w:p>
        </w:tc>
        <w:tc>
          <w:tcPr>
            <w:tcW w:w="958" w:type="pct"/>
            <w:shd w:val="clear" w:color="auto" w:fill="auto"/>
            <w:vAlign w:val="center"/>
          </w:tcPr>
          <w:p w14:paraId="3E10CB46">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2C3BED61">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1393C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2C173F31">
            <w:pPr>
              <w:widowControl/>
              <w:adjustRightInd w:val="0"/>
              <w:snapToGrid w:val="0"/>
              <w:jc w:val="center"/>
              <w:rPr>
                <w:snapToGrid w:val="0"/>
                <w:color w:val="auto"/>
                <w:kern w:val="0"/>
                <w:szCs w:val="21"/>
                <w:highlight w:val="none"/>
              </w:rPr>
            </w:pPr>
          </w:p>
        </w:tc>
        <w:tc>
          <w:tcPr>
            <w:tcW w:w="899" w:type="pct"/>
            <w:shd w:val="clear" w:color="auto" w:fill="auto"/>
            <w:vAlign w:val="center"/>
          </w:tcPr>
          <w:p w14:paraId="0D0E62EE">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p>
        </w:tc>
        <w:tc>
          <w:tcPr>
            <w:tcW w:w="928" w:type="pct"/>
            <w:shd w:val="clear" w:color="auto" w:fill="auto"/>
            <w:vAlign w:val="center"/>
          </w:tcPr>
          <w:p w14:paraId="69FFD0FE">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1.52</w:t>
            </w:r>
          </w:p>
        </w:tc>
        <w:tc>
          <w:tcPr>
            <w:tcW w:w="958" w:type="pct"/>
            <w:shd w:val="clear" w:color="auto" w:fill="auto"/>
            <w:vAlign w:val="center"/>
          </w:tcPr>
          <w:p w14:paraId="680F425C">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59D952B3">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25CB6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vMerge w:val="continue"/>
            <w:shd w:val="clear" w:color="auto" w:fill="auto"/>
            <w:vAlign w:val="center"/>
          </w:tcPr>
          <w:p w14:paraId="20C96929">
            <w:pPr>
              <w:widowControl/>
              <w:adjustRightInd w:val="0"/>
              <w:snapToGrid w:val="0"/>
              <w:jc w:val="center"/>
              <w:rPr>
                <w:snapToGrid w:val="0"/>
                <w:color w:val="auto"/>
                <w:kern w:val="0"/>
                <w:szCs w:val="21"/>
                <w:highlight w:val="none"/>
              </w:rPr>
            </w:pPr>
          </w:p>
        </w:tc>
        <w:tc>
          <w:tcPr>
            <w:tcW w:w="899" w:type="pct"/>
            <w:shd w:val="clear" w:color="auto" w:fill="auto"/>
            <w:vAlign w:val="center"/>
          </w:tcPr>
          <w:p w14:paraId="53AAA2FF">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p>
        </w:tc>
        <w:tc>
          <w:tcPr>
            <w:tcW w:w="928" w:type="pct"/>
            <w:shd w:val="clear" w:color="auto" w:fill="auto"/>
            <w:vAlign w:val="center"/>
          </w:tcPr>
          <w:p w14:paraId="7BC8CF45">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1.52</w:t>
            </w:r>
          </w:p>
        </w:tc>
        <w:tc>
          <w:tcPr>
            <w:tcW w:w="958" w:type="pct"/>
            <w:shd w:val="clear" w:color="auto" w:fill="auto"/>
            <w:vAlign w:val="center"/>
          </w:tcPr>
          <w:p w14:paraId="503185E4">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68D34037">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二级</w:t>
            </w:r>
          </w:p>
        </w:tc>
      </w:tr>
      <w:tr w14:paraId="43F611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blHeader/>
          <w:jc w:val="center"/>
        </w:trPr>
        <w:tc>
          <w:tcPr>
            <w:tcW w:w="1369" w:type="pct"/>
            <w:shd w:val="clear" w:color="auto" w:fill="auto"/>
            <w:vAlign w:val="center"/>
          </w:tcPr>
          <w:p w14:paraId="2C3B40F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罐区废气</w:t>
            </w:r>
          </w:p>
        </w:tc>
        <w:tc>
          <w:tcPr>
            <w:tcW w:w="899" w:type="pct"/>
            <w:shd w:val="clear" w:color="auto" w:fill="auto"/>
            <w:vAlign w:val="center"/>
          </w:tcPr>
          <w:p w14:paraId="49848FF5">
            <w:pPr>
              <w:adjustRightInd w:val="0"/>
              <w:snapToGrid w:val="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p>
        </w:tc>
        <w:tc>
          <w:tcPr>
            <w:tcW w:w="928" w:type="pct"/>
            <w:shd w:val="clear" w:color="auto" w:fill="auto"/>
            <w:vAlign w:val="center"/>
          </w:tcPr>
          <w:p w14:paraId="4C20D33F">
            <w:pPr>
              <w:pStyle w:val="150"/>
              <w:widowControl/>
              <w:autoSpaceDE w:val="0"/>
              <w:autoSpaceDN w:val="0"/>
              <w:snapToGrid w:val="0"/>
              <w:spacing w:after="0" w:line="240" w:lineRule="auto"/>
              <w:textAlignment w:val="auto"/>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cs="Times New Roman"/>
                <w:snapToGrid w:val="0"/>
                <w:color w:val="auto"/>
                <w:kern w:val="0"/>
                <w:highlight w:val="none"/>
                <w:lang w:val="en-US" w:eastAsia="zh-CN"/>
              </w:rPr>
              <w:t>0.59</w:t>
            </w:r>
          </w:p>
        </w:tc>
        <w:tc>
          <w:tcPr>
            <w:tcW w:w="958" w:type="pct"/>
            <w:shd w:val="clear" w:color="auto" w:fill="auto"/>
            <w:vAlign w:val="center"/>
          </w:tcPr>
          <w:p w14:paraId="222EF1A8">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0</w:t>
            </w:r>
          </w:p>
        </w:tc>
        <w:tc>
          <w:tcPr>
            <w:tcW w:w="845" w:type="pct"/>
            <w:shd w:val="clear" w:color="auto" w:fill="auto"/>
            <w:vAlign w:val="center"/>
          </w:tcPr>
          <w:p w14:paraId="6EDC97C2">
            <w:pPr>
              <w:pStyle w:val="150"/>
              <w:widowControl/>
              <w:autoSpaceDE w:val="0"/>
              <w:autoSpaceDN w:val="0"/>
              <w:snapToGrid w:val="0"/>
              <w:spacing w:after="0" w:line="240" w:lineRule="auto"/>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lang w:val="en-US" w:eastAsia="zh-CN"/>
              </w:rPr>
              <w:t>三级</w:t>
            </w:r>
          </w:p>
        </w:tc>
      </w:tr>
    </w:tbl>
    <w:p w14:paraId="74583DA6">
      <w:pPr>
        <w:adjustRightInd w:val="0"/>
        <w:snapToGrid w:val="0"/>
        <w:spacing w:before="120" w:beforeLines="50" w:line="360" w:lineRule="auto"/>
        <w:ind w:firstLine="480" w:firstLineChars="200"/>
        <w:rPr>
          <w:snapToGrid w:val="0"/>
          <w:color w:val="auto"/>
          <w:kern w:val="0"/>
          <w:sz w:val="24"/>
          <w:highlight w:val="none"/>
        </w:rPr>
      </w:pPr>
      <w:r>
        <w:rPr>
          <w:snapToGrid w:val="0"/>
          <w:color w:val="auto"/>
          <w:kern w:val="0"/>
          <w:sz w:val="24"/>
          <w:highlight w:val="none"/>
        </w:rPr>
        <w:t>根据表</w:t>
      </w:r>
      <w:r>
        <w:rPr>
          <w:rFonts w:hint="eastAsia"/>
          <w:snapToGrid w:val="0"/>
          <w:color w:val="auto"/>
          <w:kern w:val="0"/>
          <w:sz w:val="24"/>
          <w:highlight w:val="none"/>
        </w:rPr>
        <w:t>2</w:t>
      </w:r>
      <w:r>
        <w:rPr>
          <w:snapToGrid w:val="0"/>
          <w:color w:val="auto"/>
          <w:kern w:val="0"/>
          <w:sz w:val="24"/>
          <w:highlight w:val="none"/>
        </w:rPr>
        <w:t>.</w:t>
      </w:r>
      <w:r>
        <w:rPr>
          <w:rFonts w:hint="eastAsia"/>
          <w:snapToGrid w:val="0"/>
          <w:color w:val="auto"/>
          <w:kern w:val="0"/>
          <w:sz w:val="24"/>
          <w:highlight w:val="none"/>
          <w:lang w:val="en-US" w:eastAsia="zh-CN"/>
        </w:rPr>
        <w:t>6</w:t>
      </w:r>
      <w:r>
        <w:rPr>
          <w:snapToGrid w:val="0"/>
          <w:color w:val="auto"/>
          <w:kern w:val="0"/>
          <w:sz w:val="24"/>
          <w:highlight w:val="none"/>
        </w:rPr>
        <w:t>-</w:t>
      </w:r>
      <w:r>
        <w:rPr>
          <w:rFonts w:hint="eastAsia"/>
          <w:snapToGrid w:val="0"/>
          <w:color w:val="auto"/>
          <w:kern w:val="0"/>
          <w:sz w:val="24"/>
          <w:highlight w:val="none"/>
        </w:rPr>
        <w:t>4</w:t>
      </w:r>
      <w:r>
        <w:rPr>
          <w:snapToGrid w:val="0"/>
          <w:color w:val="auto"/>
          <w:kern w:val="0"/>
          <w:sz w:val="24"/>
          <w:highlight w:val="none"/>
        </w:rPr>
        <w:t>估算结果，本项目</w:t>
      </w:r>
      <w:r>
        <w:rPr>
          <w:color w:val="auto"/>
          <w:kern w:val="0"/>
          <w:sz w:val="24"/>
          <w:highlight w:val="none"/>
        </w:rPr>
        <w:t>大气污染物</w:t>
      </w:r>
      <w:r>
        <w:rPr>
          <w:rFonts w:hint="eastAsia"/>
          <w:color w:val="auto"/>
          <w:kern w:val="0"/>
          <w:sz w:val="24"/>
          <w:highlight w:val="none"/>
          <w:lang w:val="en-US" w:eastAsia="zh-CN"/>
        </w:rPr>
        <w:t>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w:t>
      </w:r>
      <w:r>
        <w:rPr>
          <w:color w:val="auto"/>
          <w:kern w:val="0"/>
          <w:sz w:val="24"/>
          <w:highlight w:val="none"/>
        </w:rPr>
        <w:t>最大落地浓度</w:t>
      </w:r>
      <w:r>
        <w:rPr>
          <w:snapToGrid w:val="0"/>
          <w:color w:val="auto"/>
          <w:kern w:val="0"/>
          <w:sz w:val="24"/>
          <w:highlight w:val="none"/>
        </w:rPr>
        <w:t>占标率</w:t>
      </w:r>
      <w:r>
        <w:rPr>
          <w:color w:val="auto"/>
          <w:kern w:val="0"/>
          <w:sz w:val="24"/>
          <w:highlight w:val="none"/>
        </w:rPr>
        <w:t>为</w:t>
      </w:r>
      <w:r>
        <w:rPr>
          <w:rFonts w:hint="eastAsia"/>
          <w:color w:val="auto"/>
          <w:kern w:val="0"/>
          <w:sz w:val="24"/>
          <w:highlight w:val="none"/>
          <w:lang w:val="en-US" w:eastAsia="zh-CN"/>
        </w:rPr>
        <w:t>20.00</w:t>
      </w:r>
      <w:r>
        <w:rPr>
          <w:rFonts w:hint="eastAsia"/>
          <w:color w:val="auto"/>
          <w:kern w:val="0"/>
          <w:sz w:val="24"/>
          <w:highlight w:val="none"/>
        </w:rPr>
        <w:t>%，</w:t>
      </w:r>
      <w:r>
        <w:rPr>
          <w:color w:val="auto"/>
          <w:sz w:val="24"/>
          <w:highlight w:val="none"/>
        </w:rPr>
        <w:t>本项目运营期间排放的主要大气污染物中最大地面质量浓度占标</w:t>
      </w:r>
      <w:r>
        <w:rPr>
          <w:color w:val="auto"/>
          <w:kern w:val="0"/>
          <w:sz w:val="24"/>
          <w:highlight w:val="none"/>
        </w:rPr>
        <w:t>P</w:t>
      </w:r>
      <w:r>
        <w:rPr>
          <w:rFonts w:hint="eastAsia"/>
          <w:color w:val="auto"/>
          <w:szCs w:val="21"/>
          <w:highlight w:val="none"/>
          <w:vertAlign w:val="subscript"/>
          <w:lang w:val="en-US" w:eastAsia="zh-CN"/>
        </w:rPr>
        <w:t>max</w:t>
      </w:r>
      <w:r>
        <w:rPr>
          <w:rFonts w:hint="eastAsia"/>
          <w:snapToGrid w:val="0"/>
          <w:color w:val="auto"/>
          <w:kern w:val="0"/>
          <w:sz w:val="24"/>
          <w:highlight w:val="none"/>
        </w:rPr>
        <w:t>＞10%</w:t>
      </w:r>
      <w:r>
        <w:rPr>
          <w:rFonts w:hint="eastAsia"/>
          <w:color w:val="auto"/>
          <w:sz w:val="24"/>
          <w:highlight w:val="none"/>
        </w:rPr>
        <w:t>，</w:t>
      </w:r>
      <w:r>
        <w:rPr>
          <w:rFonts w:hint="eastAsia"/>
          <w:snapToGrid w:val="0"/>
          <w:color w:val="auto"/>
          <w:kern w:val="0"/>
          <w:sz w:val="24"/>
          <w:highlight w:val="none"/>
        </w:rPr>
        <w:t>根据《环境影响评价导则 大气环境》（HJ2.2-2018），确定大气评价等级为一级。</w:t>
      </w:r>
    </w:p>
    <w:p w14:paraId="20F1192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2.6.1.2地表水环境评价工作等级</w:t>
      </w:r>
    </w:p>
    <w:p w14:paraId="5424D3E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根据《环境影响评价技术导则 地表水环境》（HJ2.3-2018）中地表水环境影响评价工作分级，判断本项目地表水环境评价等级，确定依据如表2.</w:t>
      </w:r>
      <w:r>
        <w:rPr>
          <w:rFonts w:hint="eastAsia"/>
          <w:snapToGrid w:val="0"/>
          <w:color w:val="auto"/>
          <w:kern w:val="0"/>
          <w:sz w:val="24"/>
          <w:highlight w:val="none"/>
          <w:lang w:val="en-US" w:eastAsia="zh-CN"/>
        </w:rPr>
        <w:t>6</w:t>
      </w:r>
      <w:r>
        <w:rPr>
          <w:rFonts w:hint="eastAsia"/>
          <w:snapToGrid w:val="0"/>
          <w:color w:val="auto"/>
          <w:kern w:val="0"/>
          <w:sz w:val="24"/>
          <w:highlight w:val="none"/>
        </w:rPr>
        <w:t>-5所示。</w:t>
      </w:r>
    </w:p>
    <w:p w14:paraId="6D93B5E1">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6</w:t>
      </w:r>
      <w:r>
        <w:rPr>
          <w:b/>
          <w:bCs/>
          <w:snapToGrid w:val="0"/>
          <w:color w:val="auto"/>
          <w:kern w:val="0"/>
          <w:szCs w:val="21"/>
          <w:highlight w:val="none"/>
        </w:rPr>
        <w:t xml:space="preserve"> 地表水环境影响评价等级</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61"/>
        <w:gridCol w:w="1170"/>
        <w:gridCol w:w="5899"/>
      </w:tblGrid>
      <w:tr w14:paraId="6C3C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71" w:type="dxa"/>
            <w:vMerge w:val="restart"/>
            <w:shd w:val="clear" w:color="auto" w:fill="auto"/>
            <w:vAlign w:val="center"/>
          </w:tcPr>
          <w:p w14:paraId="36049CE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评价等级</w:t>
            </w:r>
          </w:p>
        </w:tc>
        <w:tc>
          <w:tcPr>
            <w:tcW w:w="7135" w:type="dxa"/>
            <w:gridSpan w:val="2"/>
            <w:shd w:val="clear" w:color="auto" w:fill="auto"/>
            <w:vAlign w:val="center"/>
          </w:tcPr>
          <w:p w14:paraId="24EA46E5">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判定依据</w:t>
            </w:r>
          </w:p>
        </w:tc>
      </w:tr>
      <w:tr w14:paraId="3A76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71" w:type="dxa"/>
            <w:vMerge w:val="continue"/>
            <w:shd w:val="clear" w:color="auto" w:fill="auto"/>
            <w:vAlign w:val="center"/>
          </w:tcPr>
          <w:p w14:paraId="7284D067">
            <w:pPr>
              <w:adjustRightInd w:val="0"/>
              <w:snapToGrid w:val="0"/>
              <w:jc w:val="center"/>
              <w:rPr>
                <w:rFonts w:eastAsia="Times New Roman"/>
                <w:snapToGrid w:val="0"/>
                <w:color w:val="auto"/>
                <w:kern w:val="0"/>
                <w:szCs w:val="21"/>
                <w:highlight w:val="none"/>
              </w:rPr>
            </w:pPr>
          </w:p>
        </w:tc>
        <w:tc>
          <w:tcPr>
            <w:tcW w:w="1181" w:type="dxa"/>
            <w:shd w:val="clear" w:color="auto" w:fill="auto"/>
            <w:vAlign w:val="center"/>
          </w:tcPr>
          <w:p w14:paraId="603E931C">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排放方式</w:t>
            </w:r>
          </w:p>
        </w:tc>
        <w:tc>
          <w:tcPr>
            <w:tcW w:w="5954" w:type="dxa"/>
            <w:shd w:val="clear" w:color="auto" w:fill="auto"/>
            <w:vAlign w:val="center"/>
          </w:tcPr>
          <w:p w14:paraId="28C7B471">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废水排放量Q/m</w:t>
            </w:r>
            <w:r>
              <w:rPr>
                <w:rFonts w:eastAsia="Times New Roman"/>
                <w:snapToGrid w:val="0"/>
                <w:color w:val="auto"/>
                <w:kern w:val="0"/>
                <w:szCs w:val="21"/>
                <w:highlight w:val="none"/>
                <w:vertAlign w:val="superscript"/>
              </w:rPr>
              <w:t>3</w:t>
            </w:r>
            <w:r>
              <w:rPr>
                <w:rFonts w:eastAsia="Times New Roman"/>
                <w:snapToGrid w:val="0"/>
                <w:color w:val="auto"/>
                <w:kern w:val="0"/>
                <w:szCs w:val="21"/>
                <w:highlight w:val="none"/>
              </w:rPr>
              <w:t>/d</w:t>
            </w:r>
            <w:r>
              <w:rPr>
                <w:rFonts w:hint="eastAsia" w:eastAsia="Times New Roman"/>
                <w:snapToGrid w:val="0"/>
                <w:color w:val="auto"/>
                <w:kern w:val="0"/>
                <w:szCs w:val="21"/>
                <w:highlight w:val="none"/>
              </w:rPr>
              <w:t>；</w:t>
            </w:r>
            <w:r>
              <w:rPr>
                <w:rFonts w:eastAsia="Times New Roman"/>
                <w:snapToGrid w:val="0"/>
                <w:color w:val="auto"/>
                <w:kern w:val="0"/>
                <w:szCs w:val="21"/>
                <w:highlight w:val="none"/>
              </w:rPr>
              <w:t>水污染物当量数W/</w:t>
            </w:r>
            <w:r>
              <w:rPr>
                <w:rFonts w:hint="eastAsia" w:eastAsia="Times New Roman"/>
                <w:snapToGrid w:val="0"/>
                <w:color w:val="auto"/>
                <w:kern w:val="0"/>
                <w:szCs w:val="21"/>
                <w:highlight w:val="none"/>
              </w:rPr>
              <w:t>（无</w:t>
            </w:r>
            <w:r>
              <w:rPr>
                <w:rFonts w:eastAsia="Times New Roman"/>
                <w:snapToGrid w:val="0"/>
                <w:color w:val="auto"/>
                <w:kern w:val="0"/>
                <w:szCs w:val="21"/>
                <w:highlight w:val="none"/>
              </w:rPr>
              <w:t>量纲</w:t>
            </w:r>
            <w:r>
              <w:rPr>
                <w:rFonts w:hint="eastAsia" w:eastAsia="Times New Roman"/>
                <w:snapToGrid w:val="0"/>
                <w:color w:val="auto"/>
                <w:kern w:val="0"/>
                <w:szCs w:val="21"/>
                <w:highlight w:val="none"/>
              </w:rPr>
              <w:t>）</w:t>
            </w:r>
          </w:p>
        </w:tc>
      </w:tr>
      <w:tr w14:paraId="27A9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71" w:type="dxa"/>
            <w:shd w:val="clear" w:color="auto" w:fill="auto"/>
            <w:vAlign w:val="center"/>
          </w:tcPr>
          <w:p w14:paraId="23DA3580">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一级</w:t>
            </w:r>
          </w:p>
        </w:tc>
        <w:tc>
          <w:tcPr>
            <w:tcW w:w="1181" w:type="dxa"/>
            <w:shd w:val="clear" w:color="auto" w:fill="auto"/>
            <w:vAlign w:val="center"/>
          </w:tcPr>
          <w:p w14:paraId="2E301287">
            <w:pPr>
              <w:pStyle w:val="724"/>
              <w:autoSpaceDE/>
              <w:autoSpaceDN/>
              <w:snapToGrid w:val="0"/>
              <w:spacing w:after="0" w:afterLines="0"/>
              <w:rPr>
                <w:rFonts w:eastAsia="Times New Roman"/>
                <w:b w:val="0"/>
                <w:snapToGrid w:val="0"/>
                <w:color w:val="auto"/>
                <w:szCs w:val="21"/>
                <w:highlight w:val="none"/>
              </w:rPr>
            </w:pPr>
            <w:r>
              <w:rPr>
                <w:rFonts w:eastAsia="Times New Roman"/>
                <w:b w:val="0"/>
                <w:snapToGrid w:val="0"/>
                <w:color w:val="auto"/>
                <w:szCs w:val="21"/>
                <w:highlight w:val="none"/>
              </w:rPr>
              <w:t>直接排放</w:t>
            </w:r>
          </w:p>
        </w:tc>
        <w:tc>
          <w:tcPr>
            <w:tcW w:w="5954" w:type="dxa"/>
            <w:shd w:val="clear" w:color="auto" w:fill="auto"/>
            <w:vAlign w:val="center"/>
          </w:tcPr>
          <w:p w14:paraId="418E1569">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Q</w:t>
            </w:r>
            <w:r>
              <w:rPr>
                <w:rFonts w:hint="eastAsia" w:eastAsia="Times New Roman"/>
                <w:snapToGrid w:val="0"/>
                <w:color w:val="auto"/>
                <w:kern w:val="0"/>
                <w:szCs w:val="21"/>
                <w:highlight w:val="none"/>
              </w:rPr>
              <w:t>≥</w:t>
            </w:r>
            <w:r>
              <w:rPr>
                <w:rFonts w:eastAsia="Times New Roman"/>
                <w:snapToGrid w:val="0"/>
                <w:color w:val="auto"/>
                <w:kern w:val="0"/>
                <w:szCs w:val="21"/>
                <w:highlight w:val="none"/>
              </w:rPr>
              <w:t>20000或W</w:t>
            </w:r>
            <w:r>
              <w:rPr>
                <w:rFonts w:hint="eastAsia" w:eastAsia="Times New Roman"/>
                <w:snapToGrid w:val="0"/>
                <w:color w:val="auto"/>
                <w:kern w:val="0"/>
                <w:szCs w:val="21"/>
                <w:highlight w:val="none"/>
              </w:rPr>
              <w:t>≥</w:t>
            </w:r>
            <w:r>
              <w:rPr>
                <w:rFonts w:eastAsia="Times New Roman"/>
                <w:snapToGrid w:val="0"/>
                <w:color w:val="auto"/>
                <w:kern w:val="0"/>
                <w:szCs w:val="21"/>
                <w:highlight w:val="none"/>
              </w:rPr>
              <w:t>600000</w:t>
            </w:r>
          </w:p>
        </w:tc>
      </w:tr>
      <w:tr w14:paraId="328A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71" w:type="dxa"/>
            <w:shd w:val="clear" w:color="auto" w:fill="auto"/>
            <w:vAlign w:val="center"/>
          </w:tcPr>
          <w:p w14:paraId="247A93D2">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1181" w:type="dxa"/>
            <w:shd w:val="clear" w:color="auto" w:fill="auto"/>
            <w:vAlign w:val="center"/>
          </w:tcPr>
          <w:p w14:paraId="1C5CF67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直接排放</w:t>
            </w:r>
          </w:p>
        </w:tc>
        <w:tc>
          <w:tcPr>
            <w:tcW w:w="5954" w:type="dxa"/>
            <w:shd w:val="clear" w:color="auto" w:fill="auto"/>
            <w:vAlign w:val="center"/>
          </w:tcPr>
          <w:p w14:paraId="5FC03B96">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其他</w:t>
            </w:r>
          </w:p>
        </w:tc>
      </w:tr>
      <w:tr w14:paraId="798A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71" w:type="dxa"/>
            <w:shd w:val="clear" w:color="auto" w:fill="auto"/>
            <w:vAlign w:val="center"/>
          </w:tcPr>
          <w:p w14:paraId="59136AF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三级A</w:t>
            </w:r>
          </w:p>
        </w:tc>
        <w:tc>
          <w:tcPr>
            <w:tcW w:w="1181" w:type="dxa"/>
            <w:shd w:val="clear" w:color="auto" w:fill="auto"/>
            <w:vAlign w:val="center"/>
          </w:tcPr>
          <w:p w14:paraId="18F05452">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直接排放</w:t>
            </w:r>
          </w:p>
        </w:tc>
        <w:tc>
          <w:tcPr>
            <w:tcW w:w="5954" w:type="dxa"/>
            <w:shd w:val="clear" w:color="auto" w:fill="auto"/>
            <w:vAlign w:val="center"/>
          </w:tcPr>
          <w:p w14:paraId="4C749CBF">
            <w:pPr>
              <w:pStyle w:val="724"/>
              <w:autoSpaceDE/>
              <w:autoSpaceDN/>
              <w:snapToGrid w:val="0"/>
              <w:spacing w:after="0" w:afterLines="0"/>
              <w:jc w:val="both"/>
              <w:rPr>
                <w:rFonts w:eastAsia="Times New Roman"/>
                <w:b w:val="0"/>
                <w:snapToGrid w:val="0"/>
                <w:color w:val="auto"/>
                <w:szCs w:val="21"/>
                <w:highlight w:val="none"/>
              </w:rPr>
            </w:pPr>
            <w:r>
              <w:rPr>
                <w:rFonts w:eastAsia="Times New Roman"/>
                <w:b w:val="0"/>
                <w:snapToGrid w:val="0"/>
                <w:color w:val="auto"/>
                <w:szCs w:val="21"/>
                <w:highlight w:val="none"/>
              </w:rPr>
              <w:t>Q＜200 且W＜6000</w:t>
            </w:r>
          </w:p>
        </w:tc>
      </w:tr>
      <w:tr w14:paraId="3A47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1171" w:type="dxa"/>
            <w:shd w:val="clear" w:color="auto" w:fill="auto"/>
            <w:vAlign w:val="center"/>
          </w:tcPr>
          <w:p w14:paraId="7D3E6998">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三级B</w:t>
            </w:r>
          </w:p>
        </w:tc>
        <w:tc>
          <w:tcPr>
            <w:tcW w:w="1181" w:type="dxa"/>
            <w:shd w:val="clear" w:color="auto" w:fill="auto"/>
            <w:vAlign w:val="center"/>
          </w:tcPr>
          <w:p w14:paraId="2C95003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间接排放</w:t>
            </w:r>
          </w:p>
        </w:tc>
        <w:tc>
          <w:tcPr>
            <w:tcW w:w="5954" w:type="dxa"/>
            <w:shd w:val="clear" w:color="auto" w:fill="auto"/>
            <w:vAlign w:val="center"/>
          </w:tcPr>
          <w:p w14:paraId="15DD8987">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w:t>
            </w:r>
          </w:p>
        </w:tc>
      </w:tr>
      <w:tr w14:paraId="7D64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8306" w:type="dxa"/>
            <w:gridSpan w:val="3"/>
            <w:shd w:val="clear" w:color="auto" w:fill="auto"/>
            <w:vAlign w:val="center"/>
          </w:tcPr>
          <w:p w14:paraId="6F6EB7A5">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56F2AFD0">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2：废水排放量按行业排放标准中规定的废水种类统计，没有相关行业排放标准要求的通过工程分析合理确定，应统计含热量大的冷却水的排放量，可不统计间接冷却水、循环水及其他含污染物极少的清净下水的排放量。</w:t>
            </w:r>
          </w:p>
          <w:p w14:paraId="000F7292">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注3：库区存在堆积物（露天堆放的原料、燃料、废渣等以及垃圾堆放场）、降尘污染的，应将初期雨污水纳入废水排放量，相应的主要污染物纳入水污染当量计算。</w:t>
            </w:r>
          </w:p>
          <w:p w14:paraId="1DFDAA1B">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注4：建设项目直接排放第一类污染物的，其评价等级为一级；建设项目直接排放的污染物为受纳水体超标因子的，评价等级不低于二级。</w:t>
            </w:r>
          </w:p>
          <w:p w14:paraId="37F09750">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注5：直接排放受纳水体影响范围涉及饮用水水源保护区、饮用水取水口、重点保护与珍稀水生生物的栖息地、重要水生生物的自然产卵场等保护目标时，评价等级不低于二级。</w:t>
            </w:r>
          </w:p>
          <w:p w14:paraId="3CFEC269">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注6：建设项目向河流、湖库排放温排水引起受纳水体水温变化超过水环境质量标准要求，且评价范围有水温敏感目标时，评价等级为一级。</w:t>
            </w:r>
          </w:p>
          <w:p w14:paraId="374A2073">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注7：建设项目利用海水作为调节温度介质，排水量</w:t>
            </w:r>
            <w:r>
              <w:rPr>
                <w:rFonts w:hint="eastAsia" w:eastAsia="Times New Roman"/>
                <w:snapToGrid w:val="0"/>
                <w:color w:val="auto"/>
                <w:kern w:val="0"/>
                <w:szCs w:val="21"/>
                <w:highlight w:val="none"/>
              </w:rPr>
              <w:t>≥</w:t>
            </w:r>
            <w:r>
              <w:rPr>
                <w:rFonts w:eastAsia="Times New Roman"/>
                <w:snapToGrid w:val="0"/>
                <w:color w:val="auto"/>
                <w:kern w:val="0"/>
                <w:szCs w:val="21"/>
                <w:highlight w:val="none"/>
              </w:rPr>
              <w:t>500万m</w:t>
            </w:r>
            <w:r>
              <w:rPr>
                <w:rFonts w:eastAsia="Times New Roman"/>
                <w:snapToGrid w:val="0"/>
                <w:color w:val="auto"/>
                <w:kern w:val="0"/>
                <w:szCs w:val="21"/>
                <w:highlight w:val="none"/>
                <w:vertAlign w:val="superscript"/>
              </w:rPr>
              <w:t>3</w:t>
            </w:r>
            <w:r>
              <w:rPr>
                <w:rFonts w:eastAsia="Times New Roman"/>
                <w:snapToGrid w:val="0"/>
                <w:color w:val="auto"/>
                <w:kern w:val="0"/>
                <w:szCs w:val="21"/>
                <w:highlight w:val="none"/>
              </w:rPr>
              <w:t>/d，评价等级为一级；排水量＜500万m</w:t>
            </w:r>
            <w:r>
              <w:rPr>
                <w:rFonts w:eastAsia="Times New Roman"/>
                <w:snapToGrid w:val="0"/>
                <w:color w:val="auto"/>
                <w:kern w:val="0"/>
                <w:szCs w:val="21"/>
                <w:highlight w:val="none"/>
                <w:vertAlign w:val="superscript"/>
              </w:rPr>
              <w:t>3</w:t>
            </w:r>
            <w:r>
              <w:rPr>
                <w:rFonts w:eastAsia="Times New Roman"/>
                <w:snapToGrid w:val="0"/>
                <w:color w:val="auto"/>
                <w:kern w:val="0"/>
                <w:szCs w:val="21"/>
                <w:highlight w:val="none"/>
              </w:rPr>
              <w:t>/d，评价等级为二级。</w:t>
            </w:r>
          </w:p>
          <w:p w14:paraId="50B4208A">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注8：仅涉及清净下水排放的，如其排放水质满足受纳水体水环境质量标准要求的，评价等级为三级A。</w:t>
            </w:r>
          </w:p>
          <w:p w14:paraId="7A643207">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注9：依托现有排放口，且对外环境未新增排放污染物的直接排放建设项目，评价等级参照间接排放，定为三级B。</w:t>
            </w:r>
          </w:p>
          <w:p w14:paraId="2E8C6C5A">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注10：建设项目生产工艺中有废水产生，但作为回水利用，不排放到外环境的，按三级B评价。</w:t>
            </w:r>
          </w:p>
        </w:tc>
      </w:tr>
    </w:tbl>
    <w:p w14:paraId="530CD4A0">
      <w:pPr>
        <w:adjustRightInd w:val="0"/>
        <w:snapToGrid w:val="0"/>
        <w:spacing w:before="120" w:beforeLines="50" w:line="360" w:lineRule="auto"/>
        <w:ind w:firstLine="480" w:firstLineChars="200"/>
        <w:rPr>
          <w:snapToGrid w:val="0"/>
          <w:color w:val="auto"/>
          <w:kern w:val="0"/>
          <w:sz w:val="24"/>
          <w:highlight w:val="none"/>
        </w:rPr>
      </w:pPr>
      <w:r>
        <w:rPr>
          <w:rFonts w:hint="eastAsia"/>
          <w:snapToGrid w:val="0"/>
          <w:color w:val="auto"/>
          <w:kern w:val="0"/>
          <w:sz w:val="24"/>
          <w:highlight w:val="none"/>
        </w:rPr>
        <w:t>本项目</w:t>
      </w:r>
      <w:r>
        <w:rPr>
          <w:rFonts w:hint="eastAsia" w:ascii="Times New Roman" w:hAnsi="Times New Roman" w:eastAsia="宋体" w:cs="Times New Roman"/>
          <w:snapToGrid w:val="0"/>
          <w:color w:val="auto"/>
          <w:kern w:val="0"/>
          <w:sz w:val="24"/>
          <w:szCs w:val="24"/>
          <w:highlight w:val="none"/>
        </w:rPr>
        <w:t>发酵清洗废水</w:t>
      </w:r>
      <w:r>
        <w:rPr>
          <w:rFonts w:hint="eastAsia" w:ascii="Times New Roman" w:hAnsi="Times New Roman" w:eastAsia="宋体" w:cs="Times New Roman"/>
          <w:color w:val="auto"/>
          <w:kern w:val="0"/>
          <w:sz w:val="24"/>
          <w:szCs w:val="24"/>
          <w:highlight w:val="none"/>
        </w:rPr>
        <w:t>、分离废水经调节池调节</w:t>
      </w:r>
      <w:r>
        <w:rPr>
          <w:rFonts w:hint="eastAsia" w:ascii="Times New Roman" w:hAnsi="Times New Roman" w:eastAsia="宋体" w:cs="Times New Roman"/>
          <w:color w:val="auto"/>
          <w:kern w:val="0"/>
          <w:sz w:val="24"/>
          <w:szCs w:val="24"/>
          <w:highlight w:val="none"/>
          <w:lang w:val="en-US" w:eastAsia="zh-CN"/>
        </w:rPr>
        <w:t>后排入</w:t>
      </w:r>
      <w:r>
        <w:rPr>
          <w:rFonts w:hint="eastAsia" w:ascii="Times New Roman" w:hAnsi="Times New Roman" w:eastAsia="宋体" w:cs="Times New Roman"/>
          <w:color w:val="auto"/>
          <w:kern w:val="0"/>
          <w:sz w:val="24"/>
          <w:szCs w:val="24"/>
          <w:highlight w:val="none"/>
        </w:rPr>
        <w:t>西区污水处理厂</w:t>
      </w:r>
      <w:r>
        <w:rPr>
          <w:rFonts w:hint="eastAsia" w:ascii="Times New Roman" w:hAnsi="Times New Roman" w:eastAsia="宋体" w:cs="Times New Roman"/>
          <w:color w:val="auto"/>
          <w:kern w:val="0"/>
          <w:sz w:val="24"/>
          <w:szCs w:val="24"/>
          <w:highlight w:val="none"/>
          <w:lang w:val="en-US" w:eastAsia="zh-CN"/>
        </w:rPr>
        <w:t>二</w:t>
      </w:r>
      <w:r>
        <w:rPr>
          <w:rFonts w:hint="eastAsia" w:ascii="Times New Roman" w:hAnsi="Times New Roman" w:eastAsia="宋体" w:cs="Times New Roman"/>
          <w:color w:val="auto"/>
          <w:kern w:val="0"/>
          <w:sz w:val="24"/>
          <w:szCs w:val="24"/>
          <w:highlight w:val="none"/>
        </w:rPr>
        <w:t>期工程</w:t>
      </w:r>
      <w:r>
        <w:rPr>
          <w:rFonts w:hint="eastAsia" w:cs="Times New Roman"/>
          <w:color w:val="auto"/>
          <w:kern w:val="0"/>
          <w:sz w:val="24"/>
          <w:szCs w:val="24"/>
          <w:highlight w:val="none"/>
          <w:lang w:val="en-US" w:eastAsia="zh-CN"/>
        </w:rPr>
        <w:t>处理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循环水排污依托</w:t>
      </w:r>
      <w:r>
        <w:rPr>
          <w:rFonts w:hint="eastAsia" w:ascii="Times New Roman" w:hAnsi="Times New Roman" w:eastAsia="宋体" w:cs="Times New Roman"/>
          <w:snapToGrid w:val="0"/>
          <w:color w:val="auto"/>
          <w:kern w:val="0"/>
          <w:sz w:val="24"/>
          <w:szCs w:val="24"/>
          <w:highlight w:val="none"/>
        </w:rPr>
        <w:t>现有污水处理站中水段</w:t>
      </w:r>
      <w:r>
        <w:rPr>
          <w:rFonts w:hint="eastAsia" w:ascii="Times New Roman" w:hAnsi="Times New Roman" w:eastAsia="宋体" w:cs="Times New Roman"/>
          <w:snapToGrid w:val="0"/>
          <w:color w:val="auto"/>
          <w:kern w:val="0"/>
          <w:sz w:val="24"/>
          <w:szCs w:val="24"/>
          <w:highlight w:val="none"/>
          <w:lang w:val="en-US" w:eastAsia="zh-CN"/>
        </w:rPr>
        <w:t>处理；</w:t>
      </w:r>
      <w:r>
        <w:rPr>
          <w:rFonts w:hint="eastAsia" w:ascii="Times New Roman" w:hAnsi="Times New Roman" w:eastAsia="宋体" w:cs="Times New Roman"/>
          <w:color w:val="auto"/>
          <w:kern w:val="0"/>
          <w:sz w:val="24"/>
          <w:szCs w:val="24"/>
          <w:highlight w:val="none"/>
        </w:rPr>
        <w:t>生活污水</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水洗塔定排和碱洗塔定排</w:t>
      </w:r>
      <w:r>
        <w:rPr>
          <w:rFonts w:hint="eastAsia" w:ascii="Times New Roman" w:hAnsi="Times New Roman" w:eastAsia="宋体" w:cs="Times New Roman"/>
          <w:color w:val="auto"/>
          <w:kern w:val="0"/>
          <w:sz w:val="24"/>
          <w:szCs w:val="24"/>
          <w:highlight w:val="none"/>
          <w:lang w:val="en-US" w:eastAsia="zh-CN"/>
        </w:rPr>
        <w:t>依托现有污水处理站生化段处理后</w:t>
      </w:r>
      <w:r>
        <w:rPr>
          <w:rFonts w:hint="eastAsia" w:ascii="Times New Roman" w:hAnsi="Times New Roman" w:eastAsia="宋体" w:cs="Times New Roman"/>
          <w:color w:val="auto"/>
          <w:kern w:val="0"/>
          <w:sz w:val="24"/>
          <w:szCs w:val="24"/>
          <w:highlight w:val="none"/>
        </w:rPr>
        <w:t>排入西区</w:t>
      </w:r>
      <w:r>
        <w:rPr>
          <w:rFonts w:hint="eastAsia" w:ascii="Times New Roman" w:hAnsi="Times New Roman" w:eastAsia="宋体" w:cs="Times New Roman"/>
          <w:snapToGrid w:val="0"/>
          <w:color w:val="auto"/>
          <w:kern w:val="0"/>
          <w:sz w:val="24"/>
          <w:szCs w:val="24"/>
          <w:highlight w:val="none"/>
        </w:rPr>
        <w:t>污水处理厂</w:t>
      </w:r>
      <w:r>
        <w:rPr>
          <w:rFonts w:hint="eastAsia" w:ascii="Times New Roman" w:hAnsi="Times New Roman" w:eastAsia="宋体" w:cs="Times New Roman"/>
          <w:snapToGrid w:val="0"/>
          <w:color w:val="auto"/>
          <w:kern w:val="0"/>
          <w:sz w:val="24"/>
          <w:szCs w:val="24"/>
          <w:highlight w:val="none"/>
          <w:lang w:val="en-US" w:eastAsia="zh-CN"/>
        </w:rPr>
        <w:t>一</w:t>
      </w:r>
      <w:r>
        <w:rPr>
          <w:rFonts w:hint="eastAsia" w:ascii="Times New Roman" w:hAnsi="Times New Roman" w:eastAsia="宋体" w:cs="Times New Roman"/>
          <w:snapToGrid w:val="0"/>
          <w:color w:val="auto"/>
          <w:kern w:val="0"/>
          <w:sz w:val="24"/>
          <w:szCs w:val="24"/>
          <w:highlight w:val="none"/>
        </w:rPr>
        <w:t>期</w:t>
      </w:r>
      <w:r>
        <w:rPr>
          <w:rFonts w:hint="eastAsia" w:cs="Times New Roman"/>
          <w:snapToGrid w:val="0"/>
          <w:color w:val="auto"/>
          <w:kern w:val="0"/>
          <w:sz w:val="24"/>
          <w:szCs w:val="24"/>
          <w:highlight w:val="none"/>
          <w:lang w:val="en-US" w:eastAsia="zh-CN"/>
        </w:rPr>
        <w:t>工程处理</w:t>
      </w:r>
      <w:r>
        <w:rPr>
          <w:rFonts w:hint="eastAsia"/>
          <w:snapToGrid w:val="0"/>
          <w:color w:val="auto"/>
          <w:kern w:val="0"/>
          <w:sz w:val="24"/>
          <w:highlight w:val="none"/>
        </w:rPr>
        <w:t>，不与周边地表水体发生水力联系，属于间接排放，根据上述判据可知，本项目地表水评价等级为三级B。根据《环境影响评价技术导则 地表水环境》（HJ2.3-2018）要求，主要评价水污染控制和水环境影响减缓措施有效性，依托污水处理设施的环境可行性。</w:t>
      </w:r>
    </w:p>
    <w:p w14:paraId="429FB8F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2.6.1.3地下水环境评价工作等级</w:t>
      </w:r>
    </w:p>
    <w:p w14:paraId="7AB97661">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根据《环境影响评价技术导则</w:t>
      </w:r>
      <w:r>
        <w:rPr>
          <w:rFonts w:hint="eastAsia"/>
          <w:snapToGrid w:val="0"/>
          <w:color w:val="auto"/>
          <w:kern w:val="0"/>
          <w:sz w:val="24"/>
          <w:highlight w:val="none"/>
        </w:rPr>
        <w:t xml:space="preserve"> </w:t>
      </w:r>
      <w:r>
        <w:rPr>
          <w:snapToGrid w:val="0"/>
          <w:color w:val="auto"/>
          <w:kern w:val="0"/>
          <w:sz w:val="24"/>
          <w:highlight w:val="none"/>
        </w:rPr>
        <w:t>地下水环境》（HJ 610-2016）中对项目地下水等级进行判定。</w:t>
      </w:r>
    </w:p>
    <w:p w14:paraId="0D7F7F8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snapToGrid w:val="0"/>
          <w:color w:val="auto"/>
          <w:kern w:val="0"/>
          <w:sz w:val="24"/>
          <w:highlight w:val="none"/>
        </w:rPr>
        <w:t>）项目地下水敏感程度判定</w:t>
      </w:r>
    </w:p>
    <w:p w14:paraId="6911E8E6">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本项目位于</w:t>
      </w:r>
      <w:r>
        <w:rPr>
          <w:rFonts w:hint="eastAsia"/>
          <w:snapToGrid w:val="0"/>
          <w:color w:val="auto"/>
          <w:kern w:val="0"/>
          <w:sz w:val="24"/>
          <w:highlight w:val="none"/>
          <w:lang w:val="fr-FR"/>
        </w:rPr>
        <w:t>乌苏市</w:t>
      </w:r>
      <w:r>
        <w:rPr>
          <w:rFonts w:hint="eastAsia"/>
          <w:snapToGrid w:val="0"/>
          <w:color w:val="auto"/>
          <w:kern w:val="0"/>
          <w:sz w:val="24"/>
          <w:highlight w:val="none"/>
        </w:rPr>
        <w:t>化工产业集中区凯赛（乌苏）生物材料</w:t>
      </w:r>
      <w:r>
        <w:rPr>
          <w:snapToGrid w:val="0"/>
          <w:color w:val="auto"/>
          <w:kern w:val="0"/>
          <w:sz w:val="24"/>
          <w:highlight w:val="none"/>
        </w:rPr>
        <w:t>有限公司厂区内，根据现场勘察可知，项目占地为园区规划的工业用地，不在集中式饮用水水源（包括已建成的在用、备用、应急水源，在建和规划的饮用水水源）准保护区；除集中式饮用水水源以外的国家或地方政府设定的与地下水环境</w:t>
      </w:r>
      <w:r>
        <w:rPr>
          <w:rFonts w:hint="eastAsia"/>
          <w:snapToGrid w:val="0"/>
          <w:color w:val="auto"/>
          <w:kern w:val="0"/>
          <w:sz w:val="24"/>
          <w:highlight w:val="none"/>
        </w:rPr>
        <w:t>相关的其他</w:t>
      </w:r>
      <w:r>
        <w:rPr>
          <w:snapToGrid w:val="0"/>
          <w:color w:val="auto"/>
          <w:kern w:val="0"/>
          <w:sz w:val="24"/>
          <w:highlight w:val="none"/>
        </w:rPr>
        <w:t>保护区，如热水、矿泉水、温泉等特殊地下水资源保护区。不在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故本项目地下水环境</w:t>
      </w:r>
      <w:r>
        <w:rPr>
          <w:rFonts w:hint="eastAsia"/>
          <w:snapToGrid w:val="0"/>
          <w:color w:val="auto"/>
          <w:kern w:val="0"/>
          <w:sz w:val="24"/>
          <w:highlight w:val="none"/>
        </w:rPr>
        <w:t>为</w:t>
      </w:r>
      <w:r>
        <w:rPr>
          <w:snapToGrid w:val="0"/>
          <w:color w:val="auto"/>
          <w:kern w:val="0"/>
          <w:sz w:val="24"/>
          <w:highlight w:val="none"/>
        </w:rPr>
        <w:t>不敏感</w:t>
      </w:r>
      <w:r>
        <w:rPr>
          <w:rFonts w:hint="eastAsia"/>
          <w:snapToGrid w:val="0"/>
          <w:color w:val="auto"/>
          <w:kern w:val="0"/>
          <w:sz w:val="24"/>
          <w:highlight w:val="none"/>
        </w:rPr>
        <w:t>。</w:t>
      </w:r>
    </w:p>
    <w:p w14:paraId="7554DDE2">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b/>
          <w:bCs/>
          <w:snapToGrid w:val="0"/>
          <w:color w:val="auto"/>
          <w:kern w:val="0"/>
          <w:szCs w:val="21"/>
          <w:highlight w:val="none"/>
        </w:rPr>
        <w:t>-</w:t>
      </w:r>
      <w:r>
        <w:rPr>
          <w:rFonts w:hint="eastAsia"/>
          <w:b/>
          <w:bCs/>
          <w:snapToGrid w:val="0"/>
          <w:color w:val="auto"/>
          <w:kern w:val="0"/>
          <w:szCs w:val="21"/>
          <w:highlight w:val="none"/>
          <w:lang w:val="en-US" w:eastAsia="zh-CN"/>
        </w:rPr>
        <w:t>7</w:t>
      </w:r>
      <w:r>
        <w:rPr>
          <w:b/>
          <w:bCs/>
          <w:snapToGrid w:val="0"/>
          <w:color w:val="auto"/>
          <w:kern w:val="0"/>
          <w:szCs w:val="21"/>
          <w:highlight w:val="none"/>
        </w:rPr>
        <w:t xml:space="preserve"> 地下水环境敏感程度分级</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7429"/>
      </w:tblGrid>
      <w:tr w14:paraId="0B65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14" w:type="dxa"/>
            <w:shd w:val="clear" w:color="auto" w:fill="auto"/>
            <w:vAlign w:val="center"/>
          </w:tcPr>
          <w:p w14:paraId="025194A6">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分级</w:t>
            </w:r>
          </w:p>
        </w:tc>
        <w:tc>
          <w:tcPr>
            <w:tcW w:w="7480" w:type="dxa"/>
            <w:shd w:val="clear" w:color="auto" w:fill="auto"/>
            <w:vAlign w:val="center"/>
          </w:tcPr>
          <w:p w14:paraId="046B502F">
            <w:pPr>
              <w:pStyle w:val="724"/>
              <w:keepNext w:val="0"/>
              <w:keepLines w:val="0"/>
              <w:pageBreakBefore w:val="0"/>
              <w:widowControl w:val="0"/>
              <w:kinsoku/>
              <w:wordWrap/>
              <w:overflowPunct/>
              <w:topLinePunct w:val="0"/>
              <w:autoSpaceDE/>
              <w:autoSpaceDN/>
              <w:bidi w:val="0"/>
              <w:adjustRightInd w:val="0"/>
              <w:snapToGrid w:val="0"/>
              <w:spacing w:after="0" w:afterLines="0"/>
              <w:jc w:val="center"/>
              <w:textAlignment w:val="auto"/>
              <w:rPr>
                <w:rFonts w:ascii="Times New Roman" w:hAnsi="Times New Roman" w:eastAsia="宋体" w:cs="Times New Roman"/>
                <w:b w:val="0"/>
                <w:snapToGrid w:val="0"/>
                <w:color w:val="auto"/>
                <w:sz w:val="21"/>
                <w:szCs w:val="21"/>
                <w:highlight w:val="none"/>
              </w:rPr>
            </w:pPr>
            <w:r>
              <w:rPr>
                <w:rFonts w:ascii="Times New Roman" w:hAnsi="Times New Roman" w:eastAsia="宋体" w:cs="Times New Roman"/>
                <w:b w:val="0"/>
                <w:snapToGrid w:val="0"/>
                <w:color w:val="auto"/>
                <w:sz w:val="21"/>
                <w:szCs w:val="21"/>
                <w:highlight w:val="none"/>
              </w:rPr>
              <w:t>项目场地的地下水环境敏感特征</w:t>
            </w:r>
          </w:p>
        </w:tc>
      </w:tr>
      <w:tr w14:paraId="005E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14" w:type="dxa"/>
            <w:shd w:val="clear" w:color="auto" w:fill="auto"/>
            <w:vAlign w:val="center"/>
          </w:tcPr>
          <w:p w14:paraId="42668A5D">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敏感</w:t>
            </w:r>
          </w:p>
        </w:tc>
        <w:tc>
          <w:tcPr>
            <w:tcW w:w="7480" w:type="dxa"/>
            <w:shd w:val="clear" w:color="auto" w:fill="auto"/>
            <w:vAlign w:val="center"/>
          </w:tcPr>
          <w:p w14:paraId="3A949A28">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集中式饮用水源地（包括已建成的在用、备用、应急水源地，在建和规划的水源地）准保护区；除集中式饮用水源地以外的国家或地方政府设定的与地下水环境</w:t>
            </w:r>
            <w:r>
              <w:rPr>
                <w:rFonts w:hint="eastAsia" w:ascii="Times New Roman" w:hAnsi="Times New Roman" w:eastAsia="宋体" w:cs="Times New Roman"/>
                <w:snapToGrid w:val="0"/>
                <w:color w:val="auto"/>
                <w:kern w:val="0"/>
                <w:sz w:val="21"/>
                <w:szCs w:val="21"/>
                <w:highlight w:val="none"/>
              </w:rPr>
              <w:t>相关的其他</w:t>
            </w:r>
            <w:r>
              <w:rPr>
                <w:rFonts w:ascii="Times New Roman" w:hAnsi="Times New Roman" w:eastAsia="宋体" w:cs="Times New Roman"/>
                <w:snapToGrid w:val="0"/>
                <w:color w:val="auto"/>
                <w:kern w:val="0"/>
                <w:sz w:val="21"/>
                <w:szCs w:val="21"/>
                <w:highlight w:val="none"/>
              </w:rPr>
              <w:t>保护区，如热水、矿泉水、温泉等特殊地下水资源保护区。</w:t>
            </w:r>
          </w:p>
        </w:tc>
      </w:tr>
      <w:tr w14:paraId="698B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14" w:type="dxa"/>
            <w:shd w:val="clear" w:color="auto" w:fill="auto"/>
            <w:vAlign w:val="center"/>
          </w:tcPr>
          <w:p w14:paraId="117EA219">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较敏感</w:t>
            </w:r>
          </w:p>
        </w:tc>
        <w:tc>
          <w:tcPr>
            <w:tcW w:w="7480" w:type="dxa"/>
            <w:shd w:val="clear" w:color="auto" w:fill="auto"/>
            <w:vAlign w:val="center"/>
          </w:tcPr>
          <w:p w14:paraId="398AEFE2">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集中式饮用水水源</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包括已建成的在用、备用、应急水源</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在建和规划的饮用水水源</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准保护区以外的补给径流区；未划定准保护区的集中式饮用水水源</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其保护区以外的补给径流区；分散式饮用水水源地；特殊地下水资源</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如热水、矿泉水、温泉等</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保护区以外的分布区等其他未列入上述敏感分级的环境敏感区。</w:t>
            </w:r>
          </w:p>
        </w:tc>
      </w:tr>
      <w:tr w14:paraId="2060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14" w:type="dxa"/>
            <w:shd w:val="clear" w:color="auto" w:fill="auto"/>
            <w:vAlign w:val="center"/>
          </w:tcPr>
          <w:p w14:paraId="63058545">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不敏感</w:t>
            </w:r>
          </w:p>
        </w:tc>
        <w:tc>
          <w:tcPr>
            <w:tcW w:w="7480" w:type="dxa"/>
            <w:shd w:val="clear" w:color="auto" w:fill="auto"/>
            <w:vAlign w:val="center"/>
          </w:tcPr>
          <w:p w14:paraId="7DC39943">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上述地区之外</w:t>
            </w:r>
            <w:r>
              <w:rPr>
                <w:rFonts w:hint="eastAsia" w:ascii="Times New Roman" w:hAnsi="Times New Roman" w:eastAsia="宋体" w:cs="Times New Roman"/>
                <w:snapToGrid w:val="0"/>
                <w:color w:val="auto"/>
                <w:kern w:val="0"/>
                <w:sz w:val="21"/>
                <w:szCs w:val="21"/>
                <w:highlight w:val="none"/>
              </w:rPr>
              <w:t>的其他</w:t>
            </w:r>
            <w:r>
              <w:rPr>
                <w:rFonts w:ascii="Times New Roman" w:hAnsi="Times New Roman" w:eastAsia="宋体" w:cs="Times New Roman"/>
                <w:snapToGrid w:val="0"/>
                <w:color w:val="auto"/>
                <w:kern w:val="0"/>
                <w:sz w:val="21"/>
                <w:szCs w:val="21"/>
                <w:highlight w:val="none"/>
              </w:rPr>
              <w:t>地区</w:t>
            </w:r>
          </w:p>
        </w:tc>
      </w:tr>
    </w:tbl>
    <w:p w14:paraId="40C4621E">
      <w:pPr>
        <w:adjustRightInd w:val="0"/>
        <w:snapToGrid w:val="0"/>
        <w:spacing w:before="120" w:beforeLines="50" w:line="360" w:lineRule="auto"/>
        <w:ind w:firstLine="480" w:firstLineChars="200"/>
        <w:rPr>
          <w:snapToGrid w:val="0"/>
          <w:color w:val="auto"/>
          <w:kern w:val="0"/>
          <w:sz w:val="24"/>
          <w:highlight w:val="none"/>
        </w:rPr>
      </w:pPr>
      <w:r>
        <w:rPr>
          <w:rFonts w:hint="eastAsia"/>
          <w:snapToGrid w:val="0"/>
          <w:color w:val="auto"/>
          <w:kern w:val="0"/>
          <w:sz w:val="24"/>
          <w:highlight w:val="none"/>
        </w:rPr>
        <w:t>（2</w:t>
      </w:r>
      <w:r>
        <w:rPr>
          <w:snapToGrid w:val="0"/>
          <w:color w:val="auto"/>
          <w:kern w:val="0"/>
          <w:sz w:val="24"/>
          <w:highlight w:val="none"/>
        </w:rPr>
        <w:t>）地下水环境影响评价行业分类</w:t>
      </w:r>
    </w:p>
    <w:p w14:paraId="713E2E20">
      <w:pPr>
        <w:adjustRightInd w:val="0"/>
        <w:snapToGrid w:val="0"/>
        <w:spacing w:line="360" w:lineRule="auto"/>
        <w:ind w:firstLine="480" w:firstLineChars="200"/>
        <w:rPr>
          <w:rFonts w:eastAsia="宋体"/>
          <w:snapToGrid w:val="0"/>
          <w:color w:val="auto"/>
          <w:kern w:val="0"/>
          <w:sz w:val="24"/>
          <w:highlight w:val="none"/>
        </w:rPr>
      </w:pPr>
      <w:r>
        <w:rPr>
          <w:rFonts w:hint="eastAsia" w:eastAsia="宋体"/>
          <w:snapToGrid w:val="0"/>
          <w:color w:val="auto"/>
          <w:kern w:val="0"/>
          <w:sz w:val="24"/>
          <w:highlight w:val="none"/>
        </w:rPr>
        <w:t>《环境影响评价技术导则 地下水环境》（HJ610-2016）附录A</w:t>
      </w:r>
      <w:r>
        <w:rPr>
          <w:rFonts w:hint="eastAsia" w:eastAsia="宋体"/>
          <w:snapToGrid w:val="0"/>
          <w:color w:val="auto"/>
          <w:kern w:val="0"/>
          <w:sz w:val="24"/>
          <w:highlight w:val="none"/>
          <w:lang w:eastAsia="zh-CN"/>
        </w:rPr>
        <w:t>，</w:t>
      </w:r>
      <w:r>
        <w:rPr>
          <w:rFonts w:hint="eastAsia" w:eastAsia="宋体"/>
          <w:snapToGrid w:val="0"/>
          <w:color w:val="auto"/>
          <w:kern w:val="0"/>
          <w:sz w:val="24"/>
          <w:highlight w:val="none"/>
          <w:lang w:val="en-US" w:eastAsia="zh-CN"/>
        </w:rPr>
        <w:t>本项目</w:t>
      </w:r>
      <w:r>
        <w:rPr>
          <w:rFonts w:eastAsia="宋体"/>
          <w:snapToGrid w:val="0"/>
          <w:color w:val="auto"/>
          <w:kern w:val="0"/>
          <w:sz w:val="24"/>
          <w:highlight w:val="none"/>
        </w:rPr>
        <w:t>地下水环境影响评价行业分类见表2.</w:t>
      </w:r>
      <w:r>
        <w:rPr>
          <w:rFonts w:hint="eastAsia"/>
          <w:snapToGrid w:val="0"/>
          <w:color w:val="auto"/>
          <w:kern w:val="0"/>
          <w:sz w:val="24"/>
          <w:highlight w:val="none"/>
          <w:lang w:val="en-US" w:eastAsia="zh-CN"/>
        </w:rPr>
        <w:t>6-8</w:t>
      </w:r>
      <w:r>
        <w:rPr>
          <w:rFonts w:eastAsia="宋体"/>
          <w:snapToGrid w:val="0"/>
          <w:color w:val="auto"/>
          <w:kern w:val="0"/>
          <w:sz w:val="24"/>
          <w:highlight w:val="none"/>
        </w:rPr>
        <w:t>。</w:t>
      </w:r>
    </w:p>
    <w:p w14:paraId="699566AE">
      <w:pPr>
        <w:adjustRightInd w:val="0"/>
        <w:snapToGrid w:val="0"/>
        <w:jc w:val="center"/>
        <w:rPr>
          <w:rFonts w:eastAsia="宋体"/>
          <w:b/>
          <w:bCs/>
          <w:snapToGrid w:val="0"/>
          <w:color w:val="auto"/>
          <w:kern w:val="0"/>
          <w:szCs w:val="21"/>
          <w:highlight w:val="none"/>
        </w:rPr>
      </w:pPr>
      <w:r>
        <w:rPr>
          <w:rFonts w:eastAsia="宋体"/>
          <w:b/>
          <w:bCs/>
          <w:snapToGrid w:val="0"/>
          <w:color w:val="auto"/>
          <w:kern w:val="0"/>
          <w:szCs w:val="21"/>
          <w:highlight w:val="none"/>
        </w:rPr>
        <w:t>表2.</w:t>
      </w:r>
      <w:r>
        <w:rPr>
          <w:rFonts w:hint="eastAsia"/>
          <w:b/>
          <w:bCs/>
          <w:snapToGrid w:val="0"/>
          <w:color w:val="auto"/>
          <w:kern w:val="0"/>
          <w:szCs w:val="21"/>
          <w:highlight w:val="none"/>
          <w:lang w:val="en-US" w:eastAsia="zh-CN"/>
        </w:rPr>
        <w:t>6</w:t>
      </w:r>
      <w:r>
        <w:rPr>
          <w:rFonts w:eastAsia="宋体"/>
          <w:b/>
          <w:bCs/>
          <w:snapToGrid w:val="0"/>
          <w:color w:val="auto"/>
          <w:kern w:val="0"/>
          <w:szCs w:val="21"/>
          <w:highlight w:val="none"/>
        </w:rPr>
        <w:t>-</w:t>
      </w:r>
      <w:r>
        <w:rPr>
          <w:rFonts w:hint="eastAsia"/>
          <w:b/>
          <w:bCs/>
          <w:snapToGrid w:val="0"/>
          <w:color w:val="auto"/>
          <w:kern w:val="0"/>
          <w:szCs w:val="21"/>
          <w:highlight w:val="none"/>
          <w:lang w:val="en-US" w:eastAsia="zh-CN"/>
        </w:rPr>
        <w:t>8</w:t>
      </w:r>
      <w:r>
        <w:rPr>
          <w:rFonts w:eastAsia="宋体"/>
          <w:b/>
          <w:bCs/>
          <w:snapToGrid w:val="0"/>
          <w:color w:val="auto"/>
          <w:kern w:val="0"/>
          <w:szCs w:val="21"/>
          <w:highlight w:val="none"/>
        </w:rPr>
        <w:t xml:space="preserve"> 地下水环境影响评价行业分类表</w:t>
      </w:r>
    </w:p>
    <w:tbl>
      <w:tblPr>
        <w:tblStyle w:val="56"/>
        <w:tblW w:w="50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415"/>
        <w:gridCol w:w="1064"/>
        <w:gridCol w:w="903"/>
        <w:gridCol w:w="1443"/>
        <w:gridCol w:w="1430"/>
      </w:tblGrid>
      <w:tr w14:paraId="5D60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68" w:type="pct"/>
            <w:vMerge w:val="restart"/>
            <w:tcBorders>
              <w:tl2br w:val="single" w:color="auto" w:sz="4" w:space="0"/>
            </w:tcBorders>
            <w:vAlign w:val="center"/>
          </w:tcPr>
          <w:p w14:paraId="7B8EC7FB">
            <w:pPr>
              <w:adjustRightInd w:val="0"/>
              <w:snapToGrid w:val="0"/>
              <w:jc w:val="right"/>
              <w:rPr>
                <w:rFonts w:eastAsia="Times New Roman"/>
                <w:snapToGrid w:val="0"/>
                <w:color w:val="auto"/>
                <w:kern w:val="0"/>
                <w:szCs w:val="21"/>
                <w:highlight w:val="none"/>
              </w:rPr>
            </w:pPr>
            <w:r>
              <w:rPr>
                <w:rFonts w:eastAsia="Times New Roman"/>
                <w:snapToGrid w:val="0"/>
                <w:color w:val="auto"/>
                <w:kern w:val="0"/>
                <w:szCs w:val="21"/>
                <w:highlight w:val="none"/>
              </w:rPr>
              <w:t>环评类别</w:t>
            </w:r>
          </w:p>
          <w:p w14:paraId="3E2C3EB1">
            <w:pPr>
              <w:adjustRightInd w:val="0"/>
              <w:snapToGrid w:val="0"/>
              <w:jc w:val="left"/>
              <w:rPr>
                <w:rFonts w:eastAsia="Times New Roman"/>
                <w:snapToGrid w:val="0"/>
                <w:color w:val="auto"/>
                <w:kern w:val="0"/>
                <w:szCs w:val="21"/>
                <w:highlight w:val="none"/>
              </w:rPr>
            </w:pPr>
            <w:r>
              <w:rPr>
                <w:rFonts w:eastAsia="Times New Roman"/>
                <w:snapToGrid w:val="0"/>
                <w:color w:val="auto"/>
                <w:kern w:val="0"/>
                <w:szCs w:val="21"/>
                <w:highlight w:val="none"/>
              </w:rPr>
              <w:t>行业类别</w:t>
            </w:r>
          </w:p>
        </w:tc>
        <w:tc>
          <w:tcPr>
            <w:tcW w:w="644" w:type="pct"/>
            <w:vMerge w:val="restart"/>
            <w:vAlign w:val="center"/>
          </w:tcPr>
          <w:p w14:paraId="7AFFB7E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报告书</w:t>
            </w:r>
          </w:p>
        </w:tc>
        <w:tc>
          <w:tcPr>
            <w:tcW w:w="547" w:type="pct"/>
            <w:vMerge w:val="restart"/>
            <w:vAlign w:val="center"/>
          </w:tcPr>
          <w:p w14:paraId="5541E766">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报告表</w:t>
            </w:r>
          </w:p>
        </w:tc>
        <w:tc>
          <w:tcPr>
            <w:tcW w:w="1739" w:type="pct"/>
            <w:gridSpan w:val="2"/>
            <w:vAlign w:val="center"/>
          </w:tcPr>
          <w:p w14:paraId="62A2687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地下水环境影响评价项目类别</w:t>
            </w:r>
          </w:p>
        </w:tc>
      </w:tr>
      <w:tr w14:paraId="5153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68" w:type="pct"/>
            <w:vMerge w:val="continue"/>
            <w:vAlign w:val="center"/>
          </w:tcPr>
          <w:p w14:paraId="7E7C9979">
            <w:pPr>
              <w:adjustRightInd w:val="0"/>
              <w:snapToGrid w:val="0"/>
              <w:jc w:val="center"/>
              <w:rPr>
                <w:rFonts w:eastAsia="Times New Roman"/>
                <w:snapToGrid w:val="0"/>
                <w:color w:val="auto"/>
                <w:kern w:val="0"/>
                <w:szCs w:val="21"/>
                <w:highlight w:val="none"/>
              </w:rPr>
            </w:pPr>
          </w:p>
        </w:tc>
        <w:tc>
          <w:tcPr>
            <w:tcW w:w="644" w:type="pct"/>
            <w:vMerge w:val="continue"/>
            <w:vAlign w:val="center"/>
          </w:tcPr>
          <w:p w14:paraId="2CCB9BA5">
            <w:pPr>
              <w:adjustRightInd w:val="0"/>
              <w:snapToGrid w:val="0"/>
              <w:jc w:val="center"/>
              <w:rPr>
                <w:rFonts w:eastAsia="Times New Roman"/>
                <w:snapToGrid w:val="0"/>
                <w:color w:val="auto"/>
                <w:kern w:val="0"/>
                <w:szCs w:val="21"/>
                <w:highlight w:val="none"/>
              </w:rPr>
            </w:pPr>
          </w:p>
        </w:tc>
        <w:tc>
          <w:tcPr>
            <w:tcW w:w="547" w:type="pct"/>
            <w:vMerge w:val="continue"/>
            <w:vAlign w:val="center"/>
          </w:tcPr>
          <w:p w14:paraId="5B848858">
            <w:pPr>
              <w:adjustRightInd w:val="0"/>
              <w:snapToGrid w:val="0"/>
              <w:jc w:val="center"/>
              <w:rPr>
                <w:rFonts w:eastAsia="Times New Roman"/>
                <w:snapToGrid w:val="0"/>
                <w:color w:val="auto"/>
                <w:kern w:val="0"/>
                <w:szCs w:val="21"/>
                <w:highlight w:val="none"/>
              </w:rPr>
            </w:pPr>
          </w:p>
        </w:tc>
        <w:tc>
          <w:tcPr>
            <w:tcW w:w="874" w:type="pct"/>
            <w:vAlign w:val="center"/>
          </w:tcPr>
          <w:p w14:paraId="694E6D8C">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报告书</w:t>
            </w:r>
          </w:p>
        </w:tc>
        <w:tc>
          <w:tcPr>
            <w:tcW w:w="865" w:type="pct"/>
            <w:vAlign w:val="center"/>
          </w:tcPr>
          <w:p w14:paraId="77B1A15F">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报告表</w:t>
            </w:r>
          </w:p>
        </w:tc>
      </w:tr>
      <w:tr w14:paraId="7218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68" w:type="pct"/>
            <w:vAlign w:val="center"/>
          </w:tcPr>
          <w:p w14:paraId="4699602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O纺织化纤</w:t>
            </w:r>
          </w:p>
        </w:tc>
        <w:tc>
          <w:tcPr>
            <w:tcW w:w="2931" w:type="pct"/>
            <w:gridSpan w:val="4"/>
            <w:vAlign w:val="center"/>
          </w:tcPr>
          <w:p w14:paraId="50404739">
            <w:pPr>
              <w:adjustRightInd w:val="0"/>
              <w:snapToGrid w:val="0"/>
              <w:jc w:val="center"/>
              <w:rPr>
                <w:rFonts w:eastAsia="Times New Roman"/>
                <w:snapToGrid w:val="0"/>
                <w:color w:val="auto"/>
                <w:kern w:val="0"/>
                <w:szCs w:val="21"/>
                <w:highlight w:val="none"/>
              </w:rPr>
            </w:pPr>
          </w:p>
        </w:tc>
      </w:tr>
      <w:tr w14:paraId="1EAA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68" w:type="pct"/>
            <w:vAlign w:val="center"/>
          </w:tcPr>
          <w:p w14:paraId="725F1FF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119、化学纤维制造</w:t>
            </w:r>
          </w:p>
        </w:tc>
        <w:tc>
          <w:tcPr>
            <w:tcW w:w="644" w:type="pct"/>
            <w:vAlign w:val="center"/>
          </w:tcPr>
          <w:p w14:paraId="01C73A00">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除单纯纺丝外的</w:t>
            </w:r>
          </w:p>
        </w:tc>
        <w:tc>
          <w:tcPr>
            <w:tcW w:w="547" w:type="pct"/>
            <w:vAlign w:val="center"/>
          </w:tcPr>
          <w:p w14:paraId="132D0DEF">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单纯纺丝</w:t>
            </w:r>
          </w:p>
        </w:tc>
        <w:tc>
          <w:tcPr>
            <w:tcW w:w="874" w:type="pct"/>
            <w:vAlign w:val="center"/>
          </w:tcPr>
          <w:p w14:paraId="09F817B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Ⅱ类</w:t>
            </w:r>
          </w:p>
        </w:tc>
        <w:tc>
          <w:tcPr>
            <w:tcW w:w="865" w:type="pct"/>
            <w:vAlign w:val="center"/>
          </w:tcPr>
          <w:p w14:paraId="54B9B705">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w:t>
            </w:r>
          </w:p>
        </w:tc>
      </w:tr>
      <w:tr w14:paraId="142D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68" w:type="pct"/>
            <w:vAlign w:val="center"/>
          </w:tcPr>
          <w:p w14:paraId="7599C5F4">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L石化、化工</w:t>
            </w:r>
          </w:p>
        </w:tc>
        <w:tc>
          <w:tcPr>
            <w:tcW w:w="2931" w:type="pct"/>
            <w:gridSpan w:val="4"/>
            <w:vAlign w:val="center"/>
          </w:tcPr>
          <w:p w14:paraId="2B17F29E">
            <w:pPr>
              <w:adjustRightInd w:val="0"/>
              <w:snapToGrid w:val="0"/>
              <w:jc w:val="center"/>
              <w:rPr>
                <w:rFonts w:hint="eastAsia" w:eastAsia="Times New Roman"/>
                <w:snapToGrid w:val="0"/>
                <w:color w:val="auto"/>
                <w:kern w:val="0"/>
                <w:szCs w:val="21"/>
                <w:highlight w:val="none"/>
              </w:rPr>
            </w:pPr>
          </w:p>
        </w:tc>
      </w:tr>
      <w:tr w14:paraId="1C25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68" w:type="pct"/>
            <w:vAlign w:val="center"/>
          </w:tcPr>
          <w:p w14:paraId="270CEF80">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85、基本化学原料制造；化学肥料制造；农药制造；涂料、染料、颜料、油墨及其类似产品制造；合成材料制造；专用化学品制造</w:t>
            </w:r>
            <w:r>
              <w:rPr>
                <w:rFonts w:hint="eastAsia" w:eastAsia="Times New Roman"/>
                <w:snapToGrid w:val="0"/>
                <w:color w:val="auto"/>
                <w:kern w:val="0"/>
                <w:szCs w:val="21"/>
                <w:highlight w:val="none"/>
                <w:lang w:eastAsia="zh-CN"/>
              </w:rPr>
              <w:t>；</w:t>
            </w:r>
            <w:r>
              <w:rPr>
                <w:rFonts w:hint="eastAsia" w:eastAsia="Times New Roman"/>
                <w:snapToGrid w:val="0"/>
                <w:color w:val="auto"/>
                <w:kern w:val="0"/>
                <w:szCs w:val="21"/>
                <w:highlight w:val="none"/>
              </w:rPr>
              <w:t>炸药、火工及焰火产品制造；饲料添加剂、食品添加剂及水处理剂等制造</w:t>
            </w:r>
          </w:p>
        </w:tc>
        <w:tc>
          <w:tcPr>
            <w:tcW w:w="644" w:type="pct"/>
            <w:vAlign w:val="center"/>
          </w:tcPr>
          <w:p w14:paraId="3B1220BC">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除单纯混合和分装外的</w:t>
            </w:r>
          </w:p>
        </w:tc>
        <w:tc>
          <w:tcPr>
            <w:tcW w:w="547" w:type="pct"/>
            <w:vAlign w:val="center"/>
          </w:tcPr>
          <w:p w14:paraId="01207DC3">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单纯混合或分装的</w:t>
            </w:r>
          </w:p>
        </w:tc>
        <w:tc>
          <w:tcPr>
            <w:tcW w:w="874" w:type="pct"/>
            <w:vAlign w:val="center"/>
          </w:tcPr>
          <w:p w14:paraId="77452CD4">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I类</w:t>
            </w:r>
          </w:p>
        </w:tc>
        <w:tc>
          <w:tcPr>
            <w:tcW w:w="865" w:type="pct"/>
            <w:vAlign w:val="center"/>
          </w:tcPr>
          <w:p w14:paraId="7ACA60F6">
            <w:pPr>
              <w:adjustRightInd w:val="0"/>
              <w:snapToGrid w:val="0"/>
              <w:jc w:val="center"/>
              <w:rPr>
                <w:rFonts w:hint="eastAsia" w:eastAsia="Times New Roman"/>
                <w:snapToGrid w:val="0"/>
                <w:color w:val="auto"/>
                <w:kern w:val="0"/>
                <w:szCs w:val="21"/>
                <w:highlight w:val="none"/>
              </w:rPr>
            </w:pPr>
            <w:r>
              <w:rPr>
                <w:rFonts w:hint="eastAsia" w:eastAsia="Times New Roman"/>
                <w:snapToGrid w:val="0"/>
                <w:color w:val="auto"/>
                <w:kern w:val="0"/>
                <w:szCs w:val="21"/>
                <w:highlight w:val="none"/>
              </w:rPr>
              <w:t>Ⅲ类</w:t>
            </w:r>
          </w:p>
        </w:tc>
      </w:tr>
    </w:tbl>
    <w:p w14:paraId="6BFCB07D">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本项目属于《环境影响评价技术导则 地下水环境》（HJ610-2016）附录A中行业分类中的</w:t>
      </w:r>
      <w:r>
        <w:rPr>
          <w:rFonts w:hint="eastAsia" w:ascii="Times New Roman"/>
          <w:snapToGrid w:val="0"/>
          <w:color w:val="auto"/>
          <w:kern w:val="0"/>
          <w:sz w:val="24"/>
          <w:szCs w:val="24"/>
          <w:highlight w:val="none"/>
          <w:lang w:val="en-US" w:eastAsia="zh-CN"/>
        </w:rPr>
        <w:t>O类“纺织化纤”中“119化学纤维制造”和</w:t>
      </w:r>
      <w:r>
        <w:rPr>
          <w:rFonts w:hint="eastAsia" w:ascii="Times New Roman"/>
          <w:snapToGrid w:val="0"/>
          <w:color w:val="auto"/>
          <w:kern w:val="0"/>
          <w:sz w:val="24"/>
          <w:szCs w:val="24"/>
          <w:highlight w:val="none"/>
        </w:rPr>
        <w:t>L类“石化、化工”中“85基本化学原料制造”，</w:t>
      </w:r>
      <w:r>
        <w:rPr>
          <w:rFonts w:hint="eastAsia" w:ascii="Times New Roman"/>
          <w:snapToGrid w:val="0"/>
          <w:color w:val="auto"/>
          <w:kern w:val="0"/>
          <w:sz w:val="24"/>
          <w:szCs w:val="24"/>
          <w:highlight w:val="none"/>
          <w:lang w:val="en-US" w:eastAsia="zh-CN"/>
        </w:rPr>
        <w:t>本次按照较高等级判定，地下水环境影响评价项目类别为I类</w:t>
      </w:r>
      <w:r>
        <w:rPr>
          <w:rFonts w:ascii="Times New Roman"/>
          <w:snapToGrid w:val="0"/>
          <w:color w:val="auto"/>
          <w:kern w:val="0"/>
          <w:sz w:val="24"/>
          <w:szCs w:val="24"/>
          <w:highlight w:val="none"/>
        </w:rPr>
        <w:t>。</w:t>
      </w:r>
    </w:p>
    <w:p w14:paraId="2917A527">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（3</w:t>
      </w:r>
      <w:r>
        <w:rPr>
          <w:rFonts w:ascii="Times New Roman"/>
          <w:snapToGrid w:val="0"/>
          <w:color w:val="auto"/>
          <w:kern w:val="0"/>
          <w:sz w:val="24"/>
          <w:szCs w:val="24"/>
          <w:highlight w:val="none"/>
        </w:rPr>
        <w:t>）评价工作等级判定</w:t>
      </w:r>
    </w:p>
    <w:p w14:paraId="230C268E">
      <w:pPr>
        <w:pStyle w:val="593"/>
        <w:adjustRightInd w:val="0"/>
        <w:snapToGrid w:val="0"/>
        <w:jc w:val="both"/>
        <w:rPr>
          <w:rFonts w:ascii="Times New Roman"/>
          <w:snapToGrid w:val="0"/>
          <w:color w:val="auto"/>
          <w:kern w:val="0"/>
          <w:sz w:val="24"/>
          <w:szCs w:val="24"/>
          <w:highlight w:val="none"/>
        </w:rPr>
      </w:pPr>
      <w:r>
        <w:rPr>
          <w:rFonts w:ascii="Times New Roman"/>
          <w:snapToGrid w:val="0"/>
          <w:color w:val="auto"/>
          <w:kern w:val="0"/>
          <w:sz w:val="24"/>
          <w:szCs w:val="24"/>
          <w:highlight w:val="none"/>
        </w:rPr>
        <w:t>按照《环境影响评价技术导则 地下水环境》（HJ610-2016）中评价工作等级分级表等级划分的方法进行确定，其判据详见表</w:t>
      </w:r>
      <w:r>
        <w:rPr>
          <w:rFonts w:hint="eastAsia" w:ascii="Times New Roman"/>
          <w:snapToGrid w:val="0"/>
          <w:color w:val="auto"/>
          <w:kern w:val="0"/>
          <w:sz w:val="24"/>
          <w:szCs w:val="24"/>
          <w:highlight w:val="none"/>
        </w:rPr>
        <w:t>2</w:t>
      </w:r>
      <w:r>
        <w:rPr>
          <w:rFonts w:ascii="Times New Roman"/>
          <w:snapToGrid w:val="0"/>
          <w:color w:val="auto"/>
          <w:kern w:val="0"/>
          <w:sz w:val="24"/>
          <w:szCs w:val="24"/>
          <w:highlight w:val="none"/>
        </w:rPr>
        <w:t>.</w:t>
      </w:r>
      <w:r>
        <w:rPr>
          <w:rFonts w:hint="eastAsia" w:ascii="Times New Roman"/>
          <w:snapToGrid w:val="0"/>
          <w:color w:val="auto"/>
          <w:kern w:val="0"/>
          <w:sz w:val="24"/>
          <w:szCs w:val="24"/>
          <w:highlight w:val="none"/>
          <w:lang w:val="en-US" w:eastAsia="zh-CN"/>
        </w:rPr>
        <w:t>6</w:t>
      </w:r>
      <w:r>
        <w:rPr>
          <w:rFonts w:ascii="Times New Roman"/>
          <w:snapToGrid w:val="0"/>
          <w:color w:val="auto"/>
          <w:kern w:val="0"/>
          <w:sz w:val="24"/>
          <w:szCs w:val="24"/>
          <w:highlight w:val="none"/>
        </w:rPr>
        <w:t>-</w:t>
      </w:r>
      <w:r>
        <w:rPr>
          <w:rFonts w:hint="eastAsia" w:ascii="Times New Roman"/>
          <w:snapToGrid w:val="0"/>
          <w:color w:val="auto"/>
          <w:kern w:val="0"/>
          <w:sz w:val="24"/>
          <w:szCs w:val="24"/>
          <w:highlight w:val="none"/>
          <w:lang w:val="en-US" w:eastAsia="zh-CN"/>
        </w:rPr>
        <w:t>8</w:t>
      </w:r>
      <w:r>
        <w:rPr>
          <w:rFonts w:ascii="Times New Roman"/>
          <w:snapToGrid w:val="0"/>
          <w:color w:val="auto"/>
          <w:kern w:val="0"/>
          <w:sz w:val="24"/>
          <w:szCs w:val="24"/>
          <w:highlight w:val="none"/>
        </w:rPr>
        <w:t>。</w:t>
      </w:r>
    </w:p>
    <w:p w14:paraId="5CBC80A1">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b/>
          <w:bCs/>
          <w:snapToGrid w:val="0"/>
          <w:color w:val="auto"/>
          <w:kern w:val="0"/>
          <w:szCs w:val="21"/>
          <w:highlight w:val="none"/>
        </w:rPr>
        <w:t>-</w:t>
      </w:r>
      <w:r>
        <w:rPr>
          <w:rFonts w:hint="eastAsia"/>
          <w:b/>
          <w:bCs/>
          <w:snapToGrid w:val="0"/>
          <w:color w:val="auto"/>
          <w:kern w:val="0"/>
          <w:szCs w:val="21"/>
          <w:highlight w:val="none"/>
          <w:lang w:val="en-US" w:eastAsia="zh-CN"/>
        </w:rPr>
        <w:t>9</w:t>
      </w:r>
      <w:r>
        <w:rPr>
          <w:b/>
          <w:bCs/>
          <w:snapToGrid w:val="0"/>
          <w:color w:val="auto"/>
          <w:kern w:val="0"/>
          <w:szCs w:val="21"/>
          <w:highlight w:val="none"/>
        </w:rPr>
        <w:t xml:space="preserve"> 建设项目评价工作等级分级表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9"/>
        <w:gridCol w:w="2109"/>
        <w:gridCol w:w="2109"/>
        <w:gridCol w:w="2109"/>
      </w:tblGrid>
      <w:tr w14:paraId="1EA6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74" w:type="dxa"/>
            <w:shd w:val="clear" w:color="auto" w:fill="auto"/>
            <w:vAlign w:val="center"/>
          </w:tcPr>
          <w:p w14:paraId="101018B2">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环境敏感程度</w:t>
            </w:r>
          </w:p>
        </w:tc>
        <w:tc>
          <w:tcPr>
            <w:tcW w:w="2074" w:type="dxa"/>
            <w:shd w:val="clear" w:color="auto" w:fill="auto"/>
            <w:vAlign w:val="center"/>
          </w:tcPr>
          <w:p w14:paraId="131D24F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Ⅰ类项目</w:t>
            </w:r>
          </w:p>
        </w:tc>
        <w:tc>
          <w:tcPr>
            <w:tcW w:w="2074" w:type="dxa"/>
            <w:shd w:val="clear" w:color="auto" w:fill="auto"/>
            <w:vAlign w:val="center"/>
          </w:tcPr>
          <w:p w14:paraId="097230F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Ⅱ类项目</w:t>
            </w:r>
          </w:p>
        </w:tc>
        <w:tc>
          <w:tcPr>
            <w:tcW w:w="2074" w:type="dxa"/>
            <w:shd w:val="clear" w:color="auto" w:fill="auto"/>
            <w:vAlign w:val="center"/>
          </w:tcPr>
          <w:p w14:paraId="2C0D6BB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Ⅲ类项目</w:t>
            </w:r>
          </w:p>
        </w:tc>
      </w:tr>
      <w:tr w14:paraId="7D47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74" w:type="dxa"/>
            <w:shd w:val="clear" w:color="auto" w:fill="auto"/>
            <w:vAlign w:val="center"/>
          </w:tcPr>
          <w:p w14:paraId="0C67390F">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敏感</w:t>
            </w:r>
          </w:p>
        </w:tc>
        <w:tc>
          <w:tcPr>
            <w:tcW w:w="2074" w:type="dxa"/>
            <w:shd w:val="clear" w:color="auto" w:fill="auto"/>
            <w:vAlign w:val="center"/>
          </w:tcPr>
          <w:p w14:paraId="549355CA">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一</w:t>
            </w:r>
          </w:p>
        </w:tc>
        <w:tc>
          <w:tcPr>
            <w:tcW w:w="2074" w:type="dxa"/>
            <w:shd w:val="clear" w:color="auto" w:fill="auto"/>
            <w:vAlign w:val="center"/>
          </w:tcPr>
          <w:p w14:paraId="4C44BB75">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一</w:t>
            </w:r>
          </w:p>
        </w:tc>
        <w:tc>
          <w:tcPr>
            <w:tcW w:w="2074" w:type="dxa"/>
            <w:shd w:val="clear" w:color="auto" w:fill="auto"/>
            <w:vAlign w:val="center"/>
          </w:tcPr>
          <w:p w14:paraId="6407D90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w:t>
            </w:r>
          </w:p>
        </w:tc>
      </w:tr>
      <w:tr w14:paraId="51F3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74" w:type="dxa"/>
            <w:shd w:val="clear" w:color="auto" w:fill="auto"/>
            <w:vAlign w:val="center"/>
          </w:tcPr>
          <w:p w14:paraId="11691E2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较敏感</w:t>
            </w:r>
          </w:p>
        </w:tc>
        <w:tc>
          <w:tcPr>
            <w:tcW w:w="2074" w:type="dxa"/>
            <w:shd w:val="clear" w:color="auto" w:fill="auto"/>
            <w:vAlign w:val="center"/>
          </w:tcPr>
          <w:p w14:paraId="25DEC08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一</w:t>
            </w:r>
          </w:p>
        </w:tc>
        <w:tc>
          <w:tcPr>
            <w:tcW w:w="2074" w:type="dxa"/>
            <w:shd w:val="clear" w:color="auto" w:fill="auto"/>
            <w:vAlign w:val="center"/>
          </w:tcPr>
          <w:p w14:paraId="5AB113E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w:t>
            </w:r>
          </w:p>
        </w:tc>
        <w:tc>
          <w:tcPr>
            <w:tcW w:w="2074" w:type="dxa"/>
            <w:shd w:val="clear" w:color="auto" w:fill="auto"/>
            <w:vAlign w:val="center"/>
          </w:tcPr>
          <w:p w14:paraId="0BE25EAF">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w:t>
            </w:r>
          </w:p>
        </w:tc>
      </w:tr>
      <w:tr w14:paraId="00B1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74" w:type="dxa"/>
            <w:shd w:val="clear" w:color="auto" w:fill="auto"/>
            <w:vAlign w:val="center"/>
          </w:tcPr>
          <w:p w14:paraId="086BE28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不敏感</w:t>
            </w:r>
          </w:p>
        </w:tc>
        <w:tc>
          <w:tcPr>
            <w:tcW w:w="2074" w:type="dxa"/>
            <w:shd w:val="clear" w:color="auto" w:fill="auto"/>
            <w:vAlign w:val="center"/>
          </w:tcPr>
          <w:p w14:paraId="1DDF59A5">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w:t>
            </w:r>
          </w:p>
        </w:tc>
        <w:tc>
          <w:tcPr>
            <w:tcW w:w="2074" w:type="dxa"/>
            <w:shd w:val="clear" w:color="auto" w:fill="auto"/>
            <w:vAlign w:val="center"/>
          </w:tcPr>
          <w:p w14:paraId="16B88F3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w:t>
            </w:r>
          </w:p>
        </w:tc>
        <w:tc>
          <w:tcPr>
            <w:tcW w:w="2074" w:type="dxa"/>
            <w:shd w:val="clear" w:color="auto" w:fill="auto"/>
            <w:vAlign w:val="center"/>
          </w:tcPr>
          <w:p w14:paraId="336CA99A">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w:t>
            </w:r>
          </w:p>
        </w:tc>
      </w:tr>
    </w:tbl>
    <w:p w14:paraId="076727FD">
      <w:pPr>
        <w:pStyle w:val="593"/>
        <w:adjustRightInd w:val="0"/>
        <w:snapToGrid w:val="0"/>
        <w:spacing w:before="120" w:beforeLines="50"/>
        <w:jc w:val="both"/>
        <w:rPr>
          <w:rFonts w:hint="eastAsia" w:ascii="Times New Roman" w:eastAsia="宋体"/>
          <w:snapToGrid w:val="0"/>
          <w:color w:val="auto"/>
          <w:kern w:val="0"/>
          <w:sz w:val="24"/>
          <w:szCs w:val="24"/>
          <w:highlight w:val="none"/>
          <w:lang w:val="en-US" w:eastAsia="zh-CN"/>
        </w:rPr>
      </w:pPr>
      <w:r>
        <w:rPr>
          <w:rFonts w:hint="eastAsia" w:ascii="Times New Roman"/>
          <w:snapToGrid w:val="0"/>
          <w:color w:val="auto"/>
          <w:kern w:val="0"/>
          <w:sz w:val="24"/>
          <w:szCs w:val="24"/>
          <w:highlight w:val="none"/>
        </w:rPr>
        <w:t>根据《环境影响评价技术导则 地下水环境》（HJ610-2016），本项目属于I类项目，地下水环境敏感程度为“不敏感”，本项目地下水环境影响评价工作等级判定为“二级”。</w:t>
      </w:r>
    </w:p>
    <w:p w14:paraId="2CD0FD4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2.6.1.4土壤环境评价工作等级</w:t>
      </w:r>
    </w:p>
    <w:p w14:paraId="4B4DA573">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根据《环境影响评价技术导则 土壤环境（试行）》（HJ964-2018）中土壤环境影响评价类别、占地规模与敏感程度划分评价工作等级。</w:t>
      </w:r>
    </w:p>
    <w:p w14:paraId="2FCC557D">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（1）项目类别</w:t>
      </w:r>
    </w:p>
    <w:p w14:paraId="7E15B87A">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本项目主要产品为</w:t>
      </w:r>
      <w:r>
        <w:rPr>
          <w:rFonts w:hint="eastAsia" w:ascii="Times New Roman"/>
          <w:snapToGrid w:val="0"/>
          <w:color w:val="auto"/>
          <w:kern w:val="0"/>
          <w:sz w:val="24"/>
          <w:szCs w:val="24"/>
          <w:highlight w:val="none"/>
          <w:lang w:eastAsia="zh-CN"/>
        </w:rPr>
        <w:t>二元酸</w:t>
      </w:r>
      <w:r>
        <w:rPr>
          <w:rFonts w:hint="eastAsia" w:ascii="Times New Roman"/>
          <w:snapToGrid w:val="0"/>
          <w:color w:val="auto"/>
          <w:kern w:val="0"/>
          <w:sz w:val="24"/>
          <w:szCs w:val="24"/>
          <w:highlight w:val="none"/>
        </w:rPr>
        <w:t>，根据附录A中表A.1“土壤环境影响评价项目类别”中</w:t>
      </w:r>
      <w:r>
        <w:rPr>
          <w:rFonts w:hint="eastAsia" w:ascii="Times New Roman"/>
          <w:snapToGrid w:val="0"/>
          <w:color w:val="auto"/>
          <w:kern w:val="0"/>
          <w:sz w:val="24"/>
          <w:szCs w:val="24"/>
          <w:highlight w:val="none"/>
          <w:lang w:eastAsia="zh-CN"/>
        </w:rPr>
        <w:t>“</w:t>
      </w:r>
      <w:r>
        <w:rPr>
          <w:rFonts w:hint="eastAsia" w:ascii="Times New Roman"/>
          <w:snapToGrid w:val="0"/>
          <w:color w:val="auto"/>
          <w:kern w:val="0"/>
          <w:sz w:val="24"/>
          <w:szCs w:val="24"/>
          <w:highlight w:val="none"/>
          <w:lang w:val="en-US" w:eastAsia="zh-CN"/>
        </w:rPr>
        <w:t>纺织、化纤、皮革等及服装、鞋制造-化学纤维制造</w:t>
      </w:r>
      <w:r>
        <w:rPr>
          <w:rFonts w:hint="eastAsia" w:ascii="Times New Roman"/>
          <w:snapToGrid w:val="0"/>
          <w:color w:val="auto"/>
          <w:kern w:val="0"/>
          <w:sz w:val="24"/>
          <w:szCs w:val="24"/>
          <w:highlight w:val="none"/>
          <w:lang w:eastAsia="zh-CN"/>
        </w:rPr>
        <w:t>”</w:t>
      </w:r>
      <w:r>
        <w:rPr>
          <w:rFonts w:hint="eastAsia" w:ascii="Times New Roman"/>
          <w:snapToGrid w:val="0"/>
          <w:color w:val="auto"/>
          <w:kern w:val="0"/>
          <w:sz w:val="24"/>
          <w:szCs w:val="24"/>
          <w:highlight w:val="none"/>
          <w:lang w:val="en-US" w:eastAsia="zh-CN"/>
        </w:rPr>
        <w:t>和</w:t>
      </w:r>
      <w:r>
        <w:rPr>
          <w:rFonts w:hint="eastAsia" w:ascii="Times New Roman"/>
          <w:snapToGrid w:val="0"/>
          <w:color w:val="auto"/>
          <w:kern w:val="0"/>
          <w:sz w:val="24"/>
          <w:szCs w:val="24"/>
          <w:highlight w:val="none"/>
        </w:rPr>
        <w:t>“石油、化工</w:t>
      </w:r>
      <w:r>
        <w:rPr>
          <w:rFonts w:hint="eastAsia" w:ascii="Times New Roman"/>
          <w:snapToGrid w:val="0"/>
          <w:color w:val="auto"/>
          <w:kern w:val="0"/>
          <w:sz w:val="24"/>
          <w:szCs w:val="24"/>
          <w:highlight w:val="none"/>
          <w:lang w:val="en-US" w:eastAsia="zh-CN"/>
        </w:rPr>
        <w:t>-生物、生化制品制造</w:t>
      </w:r>
      <w:r>
        <w:rPr>
          <w:rFonts w:hint="eastAsia" w:ascii="Times New Roman"/>
          <w:snapToGrid w:val="0"/>
          <w:color w:val="auto"/>
          <w:kern w:val="0"/>
          <w:sz w:val="24"/>
          <w:szCs w:val="24"/>
          <w:highlight w:val="none"/>
        </w:rPr>
        <w:t>”，</w:t>
      </w:r>
      <w:r>
        <w:rPr>
          <w:rFonts w:hint="eastAsia" w:ascii="Times New Roman"/>
          <w:snapToGrid w:val="0"/>
          <w:color w:val="auto"/>
          <w:kern w:val="0"/>
          <w:sz w:val="24"/>
          <w:szCs w:val="24"/>
          <w:highlight w:val="none"/>
          <w:lang w:val="en-US" w:eastAsia="zh-CN"/>
        </w:rPr>
        <w:t>本次按照较高等级判定，土壤环境影响评价项目类别为</w:t>
      </w:r>
      <w:r>
        <w:rPr>
          <w:rFonts w:hint="eastAsia" w:ascii="Times New Roman"/>
          <w:snapToGrid w:val="0"/>
          <w:color w:val="auto"/>
          <w:kern w:val="0"/>
          <w:sz w:val="24"/>
          <w:szCs w:val="24"/>
          <w:highlight w:val="none"/>
        </w:rPr>
        <w:t>Ⅰ类。</w:t>
      </w:r>
    </w:p>
    <w:p w14:paraId="023A849F">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（2）占地规模</w:t>
      </w:r>
    </w:p>
    <w:p w14:paraId="0B3F3D72">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土壤导则中将建设项目占地规模分为大型（≥50hm</w:t>
      </w:r>
      <w:r>
        <w:rPr>
          <w:rFonts w:hint="eastAsia" w:ascii="Times New Roman"/>
          <w:snapToGrid w:val="0"/>
          <w:color w:val="auto"/>
          <w:kern w:val="0"/>
          <w:sz w:val="24"/>
          <w:szCs w:val="24"/>
          <w:highlight w:val="none"/>
          <w:vertAlign w:val="superscript"/>
        </w:rPr>
        <w:t>2</w:t>
      </w:r>
      <w:r>
        <w:rPr>
          <w:rFonts w:hint="eastAsia" w:ascii="Times New Roman"/>
          <w:snapToGrid w:val="0"/>
          <w:color w:val="auto"/>
          <w:kern w:val="0"/>
          <w:sz w:val="24"/>
          <w:szCs w:val="24"/>
          <w:highlight w:val="none"/>
        </w:rPr>
        <w:t>），中型（5~50hm</w:t>
      </w:r>
      <w:r>
        <w:rPr>
          <w:rFonts w:hint="eastAsia" w:ascii="Times New Roman"/>
          <w:snapToGrid w:val="0"/>
          <w:color w:val="auto"/>
          <w:kern w:val="0"/>
          <w:sz w:val="24"/>
          <w:szCs w:val="24"/>
          <w:highlight w:val="none"/>
          <w:vertAlign w:val="superscript"/>
        </w:rPr>
        <w:t>2</w:t>
      </w:r>
      <w:r>
        <w:rPr>
          <w:rFonts w:hint="eastAsia" w:ascii="Times New Roman"/>
          <w:snapToGrid w:val="0"/>
          <w:color w:val="auto"/>
          <w:kern w:val="0"/>
          <w:sz w:val="24"/>
          <w:szCs w:val="24"/>
          <w:highlight w:val="none"/>
        </w:rPr>
        <w:t>），小型（≤5hm</w:t>
      </w:r>
      <w:r>
        <w:rPr>
          <w:rFonts w:hint="eastAsia" w:ascii="Times New Roman"/>
          <w:snapToGrid w:val="0"/>
          <w:color w:val="auto"/>
          <w:kern w:val="0"/>
          <w:sz w:val="24"/>
          <w:szCs w:val="24"/>
          <w:highlight w:val="none"/>
          <w:vertAlign w:val="superscript"/>
        </w:rPr>
        <w:t>2</w:t>
      </w:r>
      <w:r>
        <w:rPr>
          <w:rFonts w:hint="eastAsia" w:ascii="Times New Roman"/>
          <w:snapToGrid w:val="0"/>
          <w:color w:val="auto"/>
          <w:kern w:val="0"/>
          <w:sz w:val="24"/>
          <w:szCs w:val="24"/>
          <w:highlight w:val="none"/>
        </w:rPr>
        <w:t>）。本项目占地规模约13hm</w:t>
      </w:r>
      <w:r>
        <w:rPr>
          <w:rFonts w:hint="eastAsia" w:ascii="Times New Roman"/>
          <w:snapToGrid w:val="0"/>
          <w:color w:val="auto"/>
          <w:kern w:val="0"/>
          <w:sz w:val="24"/>
          <w:szCs w:val="24"/>
          <w:highlight w:val="none"/>
          <w:vertAlign w:val="superscript"/>
        </w:rPr>
        <w:t>2</w:t>
      </w:r>
      <w:r>
        <w:rPr>
          <w:rFonts w:hint="eastAsia" w:ascii="Times New Roman"/>
          <w:snapToGrid w:val="0"/>
          <w:color w:val="auto"/>
          <w:kern w:val="0"/>
          <w:sz w:val="24"/>
          <w:szCs w:val="24"/>
          <w:highlight w:val="none"/>
        </w:rPr>
        <w:t>，占地规模为中型。</w:t>
      </w:r>
    </w:p>
    <w:p w14:paraId="23A60241">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（3）敏感程度</w:t>
      </w:r>
    </w:p>
    <w:p w14:paraId="771CB4C7">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本项目为污染影响型项目，根据《环境影响评价技术导则 土壤环境（试行）》（HJ964-2018），建设项目所在地周边的土壤环境敏感程度分为敏感、较敏感、不敏感三级，分级原则见表2.</w:t>
      </w:r>
      <w:r>
        <w:rPr>
          <w:rFonts w:hint="eastAsia" w:ascii="Times New Roman"/>
          <w:snapToGrid w:val="0"/>
          <w:color w:val="auto"/>
          <w:kern w:val="0"/>
          <w:sz w:val="24"/>
          <w:szCs w:val="24"/>
          <w:highlight w:val="none"/>
          <w:lang w:val="en-US" w:eastAsia="zh-CN"/>
        </w:rPr>
        <w:t>6</w:t>
      </w:r>
      <w:r>
        <w:rPr>
          <w:rFonts w:hint="eastAsia" w:ascii="Times New Roman"/>
          <w:snapToGrid w:val="0"/>
          <w:color w:val="auto"/>
          <w:kern w:val="0"/>
          <w:sz w:val="24"/>
          <w:szCs w:val="24"/>
          <w:highlight w:val="none"/>
        </w:rPr>
        <w:t>-</w:t>
      </w:r>
      <w:r>
        <w:rPr>
          <w:rFonts w:hint="eastAsia" w:ascii="Times New Roman"/>
          <w:snapToGrid w:val="0"/>
          <w:color w:val="auto"/>
          <w:kern w:val="0"/>
          <w:sz w:val="24"/>
          <w:szCs w:val="24"/>
          <w:highlight w:val="none"/>
          <w:lang w:val="en-US" w:eastAsia="zh-CN"/>
        </w:rPr>
        <w:t>10</w:t>
      </w:r>
      <w:r>
        <w:rPr>
          <w:rFonts w:hint="eastAsia" w:ascii="Times New Roman"/>
          <w:snapToGrid w:val="0"/>
          <w:color w:val="auto"/>
          <w:kern w:val="0"/>
          <w:sz w:val="24"/>
          <w:szCs w:val="24"/>
          <w:highlight w:val="none"/>
        </w:rPr>
        <w:t>。</w:t>
      </w:r>
    </w:p>
    <w:p w14:paraId="2CB56D78">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10</w:t>
      </w:r>
      <w:r>
        <w:rPr>
          <w:b/>
          <w:bCs/>
          <w:snapToGrid w:val="0"/>
          <w:color w:val="auto"/>
          <w:kern w:val="0"/>
          <w:szCs w:val="21"/>
          <w:highlight w:val="none"/>
        </w:rPr>
        <w:t xml:space="preserve"> 污染影响型敏感程度分级表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768"/>
      </w:tblGrid>
      <w:tr w14:paraId="2FCB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79" w:type="dxa"/>
            <w:shd w:val="clear" w:color="auto" w:fill="auto"/>
            <w:vAlign w:val="center"/>
          </w:tcPr>
          <w:p w14:paraId="1C90FFC2">
            <w:pPr>
              <w:adjustRightInd w:val="0"/>
              <w:snapToGrid w:val="0"/>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敏感程度</w:t>
            </w:r>
          </w:p>
        </w:tc>
        <w:tc>
          <w:tcPr>
            <w:tcW w:w="6815" w:type="dxa"/>
            <w:shd w:val="clear" w:color="auto" w:fill="auto"/>
            <w:vAlign w:val="center"/>
          </w:tcPr>
          <w:p w14:paraId="65660800">
            <w:pPr>
              <w:adjustRightInd w:val="0"/>
              <w:snapToGrid w:val="0"/>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判别依据</w:t>
            </w:r>
          </w:p>
        </w:tc>
      </w:tr>
      <w:tr w14:paraId="227C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79" w:type="dxa"/>
            <w:shd w:val="clear" w:color="auto" w:fill="auto"/>
            <w:vAlign w:val="center"/>
          </w:tcPr>
          <w:p w14:paraId="1D4FCD61">
            <w:pPr>
              <w:adjustRightInd w:val="0"/>
              <w:snapToGrid w:val="0"/>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敏感</w:t>
            </w:r>
          </w:p>
        </w:tc>
        <w:tc>
          <w:tcPr>
            <w:tcW w:w="6815" w:type="dxa"/>
            <w:shd w:val="clear" w:color="auto" w:fill="auto"/>
            <w:vAlign w:val="center"/>
          </w:tcPr>
          <w:p w14:paraId="2C3ABC8B">
            <w:pPr>
              <w:adjustRightInd w:val="0"/>
              <w:snapToGrid w:val="0"/>
              <w:spacing w:line="276" w:lineRule="auto"/>
              <w:rPr>
                <w:rFonts w:eastAsia="Times New Roman"/>
                <w:snapToGrid w:val="0"/>
                <w:color w:val="auto"/>
                <w:kern w:val="0"/>
                <w:szCs w:val="21"/>
                <w:highlight w:val="none"/>
              </w:rPr>
            </w:pPr>
            <w:r>
              <w:rPr>
                <w:rFonts w:eastAsia="Times New Roman"/>
                <w:snapToGrid w:val="0"/>
                <w:color w:val="auto"/>
                <w:kern w:val="0"/>
                <w:szCs w:val="21"/>
                <w:highlight w:val="none"/>
              </w:rPr>
              <w:t>建设项目周边存在耕地、园地、牧草地、饮用水水源地或居民区、学校、医院、疗养院、养老院等土壤环境敏感目标的</w:t>
            </w:r>
          </w:p>
        </w:tc>
      </w:tr>
      <w:tr w14:paraId="0EC8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79" w:type="dxa"/>
            <w:shd w:val="clear" w:color="auto" w:fill="auto"/>
            <w:vAlign w:val="center"/>
          </w:tcPr>
          <w:p w14:paraId="30E48209">
            <w:pPr>
              <w:adjustRightInd w:val="0"/>
              <w:snapToGrid w:val="0"/>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较敏感</w:t>
            </w:r>
          </w:p>
        </w:tc>
        <w:tc>
          <w:tcPr>
            <w:tcW w:w="6815" w:type="dxa"/>
            <w:shd w:val="clear" w:color="auto" w:fill="auto"/>
            <w:vAlign w:val="center"/>
          </w:tcPr>
          <w:p w14:paraId="3D2F61CA">
            <w:pPr>
              <w:adjustRightInd w:val="0"/>
              <w:snapToGrid w:val="0"/>
              <w:spacing w:line="276" w:lineRule="auto"/>
              <w:rPr>
                <w:rFonts w:eastAsia="Times New Roman"/>
                <w:snapToGrid w:val="0"/>
                <w:color w:val="auto"/>
                <w:kern w:val="0"/>
                <w:szCs w:val="21"/>
                <w:highlight w:val="none"/>
              </w:rPr>
            </w:pPr>
            <w:r>
              <w:rPr>
                <w:rFonts w:eastAsia="Times New Roman"/>
                <w:snapToGrid w:val="0"/>
                <w:color w:val="auto"/>
                <w:kern w:val="0"/>
                <w:szCs w:val="21"/>
                <w:highlight w:val="none"/>
              </w:rPr>
              <w:t>建设项目周边存在其他土壤环境敏感目标的</w:t>
            </w:r>
          </w:p>
        </w:tc>
      </w:tr>
      <w:tr w14:paraId="631A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79" w:type="dxa"/>
            <w:shd w:val="clear" w:color="auto" w:fill="auto"/>
            <w:vAlign w:val="center"/>
          </w:tcPr>
          <w:p w14:paraId="46B55861">
            <w:pPr>
              <w:adjustRightInd w:val="0"/>
              <w:snapToGrid w:val="0"/>
              <w:spacing w:line="276" w:lineRule="auto"/>
              <w:jc w:val="center"/>
              <w:rPr>
                <w:rFonts w:eastAsia="Times New Roman"/>
                <w:snapToGrid w:val="0"/>
                <w:color w:val="auto"/>
                <w:kern w:val="0"/>
                <w:szCs w:val="21"/>
                <w:highlight w:val="none"/>
              </w:rPr>
            </w:pPr>
            <w:r>
              <w:rPr>
                <w:rFonts w:eastAsia="Times New Roman"/>
                <w:snapToGrid w:val="0"/>
                <w:color w:val="auto"/>
                <w:kern w:val="0"/>
                <w:szCs w:val="21"/>
                <w:highlight w:val="none"/>
              </w:rPr>
              <w:t>不敏感</w:t>
            </w:r>
          </w:p>
        </w:tc>
        <w:tc>
          <w:tcPr>
            <w:tcW w:w="6815" w:type="dxa"/>
            <w:shd w:val="clear" w:color="auto" w:fill="auto"/>
            <w:vAlign w:val="center"/>
          </w:tcPr>
          <w:p w14:paraId="643CD14A">
            <w:pPr>
              <w:adjustRightInd w:val="0"/>
              <w:snapToGrid w:val="0"/>
              <w:spacing w:line="276" w:lineRule="auto"/>
              <w:rPr>
                <w:rFonts w:eastAsia="Times New Roman"/>
                <w:snapToGrid w:val="0"/>
                <w:color w:val="auto"/>
                <w:kern w:val="0"/>
                <w:szCs w:val="21"/>
                <w:highlight w:val="none"/>
              </w:rPr>
            </w:pPr>
            <w:r>
              <w:rPr>
                <w:rFonts w:eastAsia="Times New Roman"/>
                <w:snapToGrid w:val="0"/>
                <w:color w:val="auto"/>
                <w:kern w:val="0"/>
                <w:szCs w:val="21"/>
                <w:highlight w:val="none"/>
              </w:rPr>
              <w:t>其他情况</w:t>
            </w:r>
          </w:p>
        </w:tc>
      </w:tr>
    </w:tbl>
    <w:p w14:paraId="50CD3C9D">
      <w:pPr>
        <w:pStyle w:val="593"/>
        <w:keepNext w:val="0"/>
        <w:keepLines w:val="0"/>
        <w:pageBreakBefore w:val="0"/>
        <w:widowControl w:val="0"/>
        <w:kinsoku/>
        <w:wordWrap/>
        <w:overflowPunct/>
        <w:topLinePunct w:val="0"/>
        <w:autoSpaceDE/>
        <w:autoSpaceDN/>
        <w:bidi w:val="0"/>
        <w:adjustRightInd w:val="0"/>
        <w:snapToGrid w:val="0"/>
        <w:jc w:val="both"/>
        <w:textAlignment w:val="auto"/>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本项目位于</w:t>
      </w:r>
      <w:r>
        <w:rPr>
          <w:rFonts w:hint="eastAsia" w:ascii="Times New Roman"/>
          <w:snapToGrid w:val="0"/>
          <w:color w:val="auto"/>
          <w:kern w:val="0"/>
          <w:sz w:val="24"/>
          <w:szCs w:val="24"/>
          <w:highlight w:val="none"/>
          <w:lang w:val="fr-FR"/>
        </w:rPr>
        <w:t>乌苏市</w:t>
      </w:r>
      <w:r>
        <w:rPr>
          <w:rFonts w:hint="eastAsia" w:ascii="Times New Roman"/>
          <w:snapToGrid w:val="0"/>
          <w:color w:val="auto"/>
          <w:kern w:val="0"/>
          <w:sz w:val="24"/>
          <w:szCs w:val="24"/>
          <w:highlight w:val="none"/>
        </w:rPr>
        <w:t>化工产业集中区凯赛（乌苏）生物材料有限公司厂区内，占地为园区规划的工业用地，项目周边无耕地、园地、牧草地、饮用水水源地等土壤环境敏感目标，项目区环境敏感程度为不敏感。</w:t>
      </w:r>
    </w:p>
    <w:p w14:paraId="78D55D2D">
      <w:pPr>
        <w:pStyle w:val="593"/>
        <w:keepNext w:val="0"/>
        <w:keepLines w:val="0"/>
        <w:pageBreakBefore w:val="0"/>
        <w:widowControl w:val="0"/>
        <w:kinsoku/>
        <w:wordWrap/>
        <w:overflowPunct/>
        <w:topLinePunct w:val="0"/>
        <w:autoSpaceDE/>
        <w:autoSpaceDN/>
        <w:bidi w:val="0"/>
        <w:adjustRightInd w:val="0"/>
        <w:snapToGrid w:val="0"/>
        <w:jc w:val="both"/>
        <w:textAlignment w:val="auto"/>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（4）评价等级确定</w:t>
      </w:r>
    </w:p>
    <w:p w14:paraId="2265C697">
      <w:pPr>
        <w:pStyle w:val="593"/>
        <w:keepNext w:val="0"/>
        <w:keepLines w:val="0"/>
        <w:pageBreakBefore w:val="0"/>
        <w:widowControl w:val="0"/>
        <w:kinsoku/>
        <w:wordWrap/>
        <w:overflowPunct/>
        <w:topLinePunct w:val="0"/>
        <w:autoSpaceDE/>
        <w:autoSpaceDN/>
        <w:bidi w:val="0"/>
        <w:adjustRightInd w:val="0"/>
        <w:snapToGrid w:val="0"/>
        <w:jc w:val="both"/>
        <w:textAlignment w:val="auto"/>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根据《环境影响评价技术导则 土壤环境（试行）》（HJ964-2018），通过土壤环境影响评价类别、占地规模与敏感程度划分评价工作等级，见表2.</w:t>
      </w:r>
      <w:r>
        <w:rPr>
          <w:rFonts w:hint="eastAsia" w:ascii="Times New Roman"/>
          <w:snapToGrid w:val="0"/>
          <w:color w:val="auto"/>
          <w:kern w:val="0"/>
          <w:sz w:val="24"/>
          <w:szCs w:val="24"/>
          <w:highlight w:val="none"/>
          <w:lang w:val="en-US" w:eastAsia="zh-CN"/>
        </w:rPr>
        <w:t>6</w:t>
      </w:r>
      <w:r>
        <w:rPr>
          <w:rFonts w:hint="eastAsia" w:ascii="Times New Roman"/>
          <w:snapToGrid w:val="0"/>
          <w:color w:val="auto"/>
          <w:kern w:val="0"/>
          <w:sz w:val="24"/>
          <w:szCs w:val="24"/>
          <w:highlight w:val="none"/>
        </w:rPr>
        <w:t>-</w:t>
      </w:r>
      <w:r>
        <w:rPr>
          <w:rFonts w:hint="eastAsia" w:ascii="Times New Roman"/>
          <w:snapToGrid w:val="0"/>
          <w:color w:val="auto"/>
          <w:kern w:val="0"/>
          <w:sz w:val="24"/>
          <w:szCs w:val="24"/>
          <w:highlight w:val="none"/>
          <w:lang w:val="en-US" w:eastAsia="zh-CN"/>
        </w:rPr>
        <w:t>11</w:t>
      </w:r>
      <w:r>
        <w:rPr>
          <w:rFonts w:hint="eastAsia" w:ascii="Times New Roman"/>
          <w:snapToGrid w:val="0"/>
          <w:color w:val="auto"/>
          <w:kern w:val="0"/>
          <w:sz w:val="24"/>
          <w:szCs w:val="24"/>
          <w:highlight w:val="none"/>
        </w:rPr>
        <w:t>。</w:t>
      </w:r>
    </w:p>
    <w:p w14:paraId="757434C3">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w:t>
      </w:r>
      <w:r>
        <w:rPr>
          <w:rFonts w:hint="eastAsia"/>
          <w:b/>
          <w:bCs/>
          <w:snapToGrid w:val="0"/>
          <w:color w:val="auto"/>
          <w:kern w:val="0"/>
          <w:szCs w:val="21"/>
          <w:highlight w:val="none"/>
          <w:lang w:val="en-US" w:eastAsia="zh-CN"/>
        </w:rPr>
        <w:t>11</w:t>
      </w:r>
      <w:r>
        <w:rPr>
          <w:b/>
          <w:bCs/>
          <w:snapToGrid w:val="0"/>
          <w:color w:val="auto"/>
          <w:kern w:val="0"/>
          <w:szCs w:val="21"/>
          <w:highlight w:val="none"/>
        </w:rPr>
        <w:t xml:space="preserve"> 污染</w:t>
      </w:r>
      <w:r>
        <w:rPr>
          <w:rFonts w:hint="eastAsia"/>
          <w:b/>
          <w:bCs/>
          <w:snapToGrid w:val="0"/>
          <w:color w:val="auto"/>
          <w:kern w:val="0"/>
          <w:szCs w:val="21"/>
          <w:highlight w:val="none"/>
        </w:rPr>
        <w:t>影响型</w:t>
      </w:r>
      <w:r>
        <w:rPr>
          <w:b/>
          <w:bCs/>
          <w:snapToGrid w:val="0"/>
          <w:color w:val="auto"/>
          <w:kern w:val="0"/>
          <w:szCs w:val="21"/>
          <w:highlight w:val="none"/>
        </w:rPr>
        <w:t>评价工作等级划分表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844"/>
        <w:gridCol w:w="664"/>
        <w:gridCol w:w="729"/>
        <w:gridCol w:w="726"/>
        <w:gridCol w:w="979"/>
        <w:gridCol w:w="703"/>
        <w:gridCol w:w="703"/>
        <w:gridCol w:w="703"/>
        <w:gridCol w:w="703"/>
      </w:tblGrid>
      <w:tr w14:paraId="37E2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96" w:type="dxa"/>
            <w:vMerge w:val="restart"/>
            <w:tcBorders>
              <w:tl2br w:val="single" w:color="auto" w:sz="4" w:space="0"/>
            </w:tcBorders>
            <w:shd w:val="clear" w:color="auto" w:fill="auto"/>
            <w:vAlign w:val="center"/>
          </w:tcPr>
          <w:p w14:paraId="40C94F32">
            <w:pPr>
              <w:adjustRightInd w:val="0"/>
              <w:snapToGrid w:val="0"/>
              <w:ind w:firstLine="630" w:firstLineChars="300"/>
              <w:rPr>
                <w:rFonts w:eastAsia="Times New Roman"/>
                <w:snapToGrid w:val="0"/>
                <w:color w:val="auto"/>
                <w:kern w:val="0"/>
                <w:szCs w:val="21"/>
                <w:highlight w:val="none"/>
              </w:rPr>
            </w:pPr>
            <w:r>
              <w:rPr>
                <w:rFonts w:eastAsia="Times New Roman"/>
                <w:snapToGrid w:val="0"/>
                <w:color w:val="auto"/>
                <w:kern w:val="0"/>
                <w:szCs w:val="21"/>
                <w:highlight w:val="none"/>
              </w:rPr>
              <w:t>项目规模敏感程度</w:t>
            </w:r>
          </w:p>
        </w:tc>
        <w:tc>
          <w:tcPr>
            <w:tcW w:w="2256" w:type="dxa"/>
            <w:gridSpan w:val="3"/>
            <w:shd w:val="clear" w:color="auto" w:fill="auto"/>
            <w:vAlign w:val="center"/>
          </w:tcPr>
          <w:p w14:paraId="3416A73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Ⅰ类</w:t>
            </w:r>
          </w:p>
        </w:tc>
        <w:tc>
          <w:tcPr>
            <w:tcW w:w="2427" w:type="dxa"/>
            <w:gridSpan w:val="3"/>
            <w:shd w:val="clear" w:color="auto" w:fill="auto"/>
            <w:vAlign w:val="center"/>
          </w:tcPr>
          <w:p w14:paraId="282CFCC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Ⅱ类</w:t>
            </w:r>
          </w:p>
        </w:tc>
        <w:tc>
          <w:tcPr>
            <w:tcW w:w="2126" w:type="dxa"/>
            <w:gridSpan w:val="3"/>
            <w:shd w:val="clear" w:color="auto" w:fill="auto"/>
            <w:vAlign w:val="center"/>
          </w:tcPr>
          <w:p w14:paraId="0F7B160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Ⅲ类</w:t>
            </w:r>
          </w:p>
        </w:tc>
      </w:tr>
      <w:tr w14:paraId="2E0C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96" w:type="dxa"/>
            <w:vMerge w:val="continue"/>
            <w:shd w:val="clear" w:color="auto" w:fill="auto"/>
            <w:vAlign w:val="center"/>
          </w:tcPr>
          <w:p w14:paraId="62DCB70D">
            <w:pPr>
              <w:adjustRightInd w:val="0"/>
              <w:snapToGrid w:val="0"/>
              <w:rPr>
                <w:rFonts w:eastAsia="Times New Roman"/>
                <w:snapToGrid w:val="0"/>
                <w:color w:val="auto"/>
                <w:kern w:val="0"/>
                <w:szCs w:val="21"/>
                <w:highlight w:val="none"/>
              </w:rPr>
            </w:pPr>
          </w:p>
        </w:tc>
        <w:tc>
          <w:tcPr>
            <w:tcW w:w="851" w:type="dxa"/>
            <w:shd w:val="clear" w:color="auto" w:fill="auto"/>
            <w:vAlign w:val="center"/>
          </w:tcPr>
          <w:p w14:paraId="6D65C122">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大</w:t>
            </w:r>
          </w:p>
        </w:tc>
        <w:tc>
          <w:tcPr>
            <w:tcW w:w="670" w:type="dxa"/>
            <w:shd w:val="clear" w:color="auto" w:fill="auto"/>
            <w:vAlign w:val="center"/>
          </w:tcPr>
          <w:p w14:paraId="4191A2B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中</w:t>
            </w:r>
          </w:p>
        </w:tc>
        <w:tc>
          <w:tcPr>
            <w:tcW w:w="735" w:type="dxa"/>
            <w:shd w:val="clear" w:color="auto" w:fill="auto"/>
            <w:vAlign w:val="center"/>
          </w:tcPr>
          <w:p w14:paraId="401E17C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小</w:t>
            </w:r>
          </w:p>
        </w:tc>
        <w:tc>
          <w:tcPr>
            <w:tcW w:w="732" w:type="dxa"/>
            <w:shd w:val="clear" w:color="auto" w:fill="auto"/>
            <w:vAlign w:val="center"/>
          </w:tcPr>
          <w:p w14:paraId="3912167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大</w:t>
            </w:r>
          </w:p>
        </w:tc>
        <w:tc>
          <w:tcPr>
            <w:tcW w:w="986" w:type="dxa"/>
            <w:shd w:val="clear" w:color="auto" w:fill="auto"/>
            <w:vAlign w:val="center"/>
          </w:tcPr>
          <w:p w14:paraId="4C957571">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中</w:t>
            </w:r>
          </w:p>
        </w:tc>
        <w:tc>
          <w:tcPr>
            <w:tcW w:w="709" w:type="dxa"/>
            <w:shd w:val="clear" w:color="auto" w:fill="auto"/>
            <w:vAlign w:val="center"/>
          </w:tcPr>
          <w:p w14:paraId="2234E54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小</w:t>
            </w:r>
          </w:p>
        </w:tc>
        <w:tc>
          <w:tcPr>
            <w:tcW w:w="709" w:type="dxa"/>
            <w:shd w:val="clear" w:color="auto" w:fill="auto"/>
            <w:vAlign w:val="center"/>
          </w:tcPr>
          <w:p w14:paraId="6FEBBEF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大</w:t>
            </w:r>
          </w:p>
        </w:tc>
        <w:tc>
          <w:tcPr>
            <w:tcW w:w="709" w:type="dxa"/>
            <w:shd w:val="clear" w:color="auto" w:fill="auto"/>
            <w:vAlign w:val="center"/>
          </w:tcPr>
          <w:p w14:paraId="5D359216">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中</w:t>
            </w:r>
          </w:p>
        </w:tc>
        <w:tc>
          <w:tcPr>
            <w:tcW w:w="708" w:type="dxa"/>
            <w:shd w:val="clear" w:color="auto" w:fill="auto"/>
            <w:vAlign w:val="center"/>
          </w:tcPr>
          <w:p w14:paraId="164ED52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小</w:t>
            </w:r>
          </w:p>
        </w:tc>
      </w:tr>
      <w:tr w14:paraId="5DAD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96" w:type="dxa"/>
            <w:shd w:val="clear" w:color="auto" w:fill="auto"/>
            <w:vAlign w:val="center"/>
          </w:tcPr>
          <w:p w14:paraId="7971A63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敏感</w:t>
            </w:r>
          </w:p>
        </w:tc>
        <w:tc>
          <w:tcPr>
            <w:tcW w:w="851" w:type="dxa"/>
            <w:shd w:val="clear" w:color="auto" w:fill="auto"/>
            <w:vAlign w:val="center"/>
          </w:tcPr>
          <w:p w14:paraId="7F8BB16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一级</w:t>
            </w:r>
          </w:p>
        </w:tc>
        <w:tc>
          <w:tcPr>
            <w:tcW w:w="670" w:type="dxa"/>
            <w:shd w:val="clear" w:color="auto" w:fill="auto"/>
            <w:vAlign w:val="center"/>
          </w:tcPr>
          <w:p w14:paraId="6FD02310">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35" w:type="dxa"/>
            <w:shd w:val="clear" w:color="auto" w:fill="auto"/>
            <w:vAlign w:val="center"/>
          </w:tcPr>
          <w:p w14:paraId="7748CBB2">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32" w:type="dxa"/>
            <w:shd w:val="clear" w:color="auto" w:fill="auto"/>
            <w:vAlign w:val="center"/>
          </w:tcPr>
          <w:p w14:paraId="13D89F5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986" w:type="dxa"/>
            <w:shd w:val="clear" w:color="auto" w:fill="auto"/>
            <w:vAlign w:val="center"/>
          </w:tcPr>
          <w:p w14:paraId="06D53D71">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09" w:type="dxa"/>
            <w:shd w:val="clear" w:color="auto" w:fill="auto"/>
            <w:vAlign w:val="center"/>
          </w:tcPr>
          <w:p w14:paraId="0649001C">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09" w:type="dxa"/>
            <w:shd w:val="clear" w:color="auto" w:fill="auto"/>
            <w:vAlign w:val="center"/>
          </w:tcPr>
          <w:p w14:paraId="39A83287">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9" w:type="dxa"/>
            <w:shd w:val="clear" w:color="auto" w:fill="auto"/>
            <w:vAlign w:val="center"/>
          </w:tcPr>
          <w:p w14:paraId="129B60D6">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8" w:type="dxa"/>
            <w:shd w:val="clear" w:color="auto" w:fill="auto"/>
            <w:vAlign w:val="center"/>
          </w:tcPr>
          <w:p w14:paraId="0D8636AF">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r>
      <w:tr w14:paraId="3C95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96" w:type="dxa"/>
            <w:shd w:val="clear" w:color="auto" w:fill="auto"/>
            <w:vAlign w:val="center"/>
          </w:tcPr>
          <w:p w14:paraId="32E2C08A">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较敏感</w:t>
            </w:r>
          </w:p>
        </w:tc>
        <w:tc>
          <w:tcPr>
            <w:tcW w:w="851" w:type="dxa"/>
            <w:shd w:val="clear" w:color="auto" w:fill="auto"/>
            <w:vAlign w:val="center"/>
          </w:tcPr>
          <w:p w14:paraId="5A989F3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670" w:type="dxa"/>
            <w:shd w:val="clear" w:color="auto" w:fill="auto"/>
            <w:vAlign w:val="center"/>
          </w:tcPr>
          <w:p w14:paraId="493E6BF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35" w:type="dxa"/>
            <w:shd w:val="clear" w:color="auto" w:fill="auto"/>
            <w:vAlign w:val="center"/>
          </w:tcPr>
          <w:p w14:paraId="40408649">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32" w:type="dxa"/>
            <w:shd w:val="clear" w:color="auto" w:fill="auto"/>
            <w:vAlign w:val="center"/>
          </w:tcPr>
          <w:p w14:paraId="7DD6C19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986" w:type="dxa"/>
            <w:shd w:val="clear" w:color="auto" w:fill="auto"/>
            <w:vAlign w:val="center"/>
          </w:tcPr>
          <w:p w14:paraId="531BC379">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09" w:type="dxa"/>
            <w:shd w:val="clear" w:color="auto" w:fill="auto"/>
            <w:vAlign w:val="center"/>
          </w:tcPr>
          <w:p w14:paraId="45111C4A">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9" w:type="dxa"/>
            <w:shd w:val="clear" w:color="auto" w:fill="auto"/>
            <w:vAlign w:val="center"/>
          </w:tcPr>
          <w:p w14:paraId="0F694761">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9" w:type="dxa"/>
            <w:shd w:val="clear" w:color="auto" w:fill="auto"/>
            <w:vAlign w:val="center"/>
          </w:tcPr>
          <w:p w14:paraId="03DB0E8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8" w:type="dxa"/>
            <w:shd w:val="clear" w:color="auto" w:fill="auto"/>
            <w:vAlign w:val="center"/>
          </w:tcPr>
          <w:p w14:paraId="6890A73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w:t>
            </w:r>
          </w:p>
        </w:tc>
      </w:tr>
      <w:tr w14:paraId="6456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696" w:type="dxa"/>
            <w:shd w:val="clear" w:color="auto" w:fill="auto"/>
            <w:vAlign w:val="center"/>
          </w:tcPr>
          <w:p w14:paraId="382E585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不敏感</w:t>
            </w:r>
          </w:p>
        </w:tc>
        <w:tc>
          <w:tcPr>
            <w:tcW w:w="851" w:type="dxa"/>
            <w:shd w:val="clear" w:color="auto" w:fill="auto"/>
            <w:vAlign w:val="center"/>
          </w:tcPr>
          <w:p w14:paraId="6374CBE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670" w:type="dxa"/>
            <w:shd w:val="clear" w:color="auto" w:fill="auto"/>
            <w:vAlign w:val="center"/>
          </w:tcPr>
          <w:p w14:paraId="26D7C57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35" w:type="dxa"/>
            <w:shd w:val="clear" w:color="auto" w:fill="auto"/>
            <w:vAlign w:val="center"/>
          </w:tcPr>
          <w:p w14:paraId="406C786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732" w:type="dxa"/>
            <w:shd w:val="clear" w:color="auto" w:fill="auto"/>
            <w:vAlign w:val="center"/>
          </w:tcPr>
          <w:p w14:paraId="6FCA46C0">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986" w:type="dxa"/>
            <w:shd w:val="clear" w:color="auto" w:fill="auto"/>
            <w:vAlign w:val="center"/>
          </w:tcPr>
          <w:p w14:paraId="180762B1">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三级</w:t>
            </w:r>
          </w:p>
        </w:tc>
        <w:tc>
          <w:tcPr>
            <w:tcW w:w="709" w:type="dxa"/>
            <w:shd w:val="clear" w:color="auto" w:fill="auto"/>
            <w:vAlign w:val="center"/>
          </w:tcPr>
          <w:p w14:paraId="18569CC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9" w:type="dxa"/>
            <w:shd w:val="clear" w:color="auto" w:fill="auto"/>
            <w:vAlign w:val="center"/>
          </w:tcPr>
          <w:p w14:paraId="460E05A5">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w:t>
            </w:r>
          </w:p>
        </w:tc>
        <w:tc>
          <w:tcPr>
            <w:tcW w:w="709" w:type="dxa"/>
            <w:shd w:val="clear" w:color="auto" w:fill="auto"/>
            <w:vAlign w:val="center"/>
          </w:tcPr>
          <w:p w14:paraId="6220829F">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w:t>
            </w:r>
          </w:p>
        </w:tc>
        <w:tc>
          <w:tcPr>
            <w:tcW w:w="708" w:type="dxa"/>
            <w:shd w:val="clear" w:color="auto" w:fill="auto"/>
            <w:vAlign w:val="center"/>
          </w:tcPr>
          <w:p w14:paraId="7814BD3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w:t>
            </w:r>
          </w:p>
        </w:tc>
      </w:tr>
      <w:tr w14:paraId="3624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8505" w:type="dxa"/>
            <w:gridSpan w:val="10"/>
            <w:shd w:val="clear" w:color="auto" w:fill="auto"/>
            <w:vAlign w:val="center"/>
          </w:tcPr>
          <w:p w14:paraId="328EC578">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注：“</w:t>
            </w:r>
            <w:r>
              <w:rPr>
                <w:rFonts w:hint="eastAsia" w:eastAsia="Times New Roman"/>
                <w:snapToGrid w:val="0"/>
                <w:color w:val="auto"/>
                <w:kern w:val="0"/>
                <w:szCs w:val="21"/>
                <w:highlight w:val="none"/>
              </w:rPr>
              <w:t>－</w:t>
            </w:r>
            <w:r>
              <w:rPr>
                <w:rFonts w:eastAsia="Times New Roman"/>
                <w:snapToGrid w:val="0"/>
                <w:color w:val="auto"/>
                <w:kern w:val="0"/>
                <w:szCs w:val="21"/>
                <w:highlight w:val="none"/>
              </w:rPr>
              <w:t>”表示可不开展土壤环境影响评价工作。</w:t>
            </w:r>
          </w:p>
        </w:tc>
      </w:tr>
      <w:tr w14:paraId="23EF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8505" w:type="dxa"/>
            <w:gridSpan w:val="10"/>
            <w:shd w:val="clear" w:color="auto" w:fill="auto"/>
            <w:vAlign w:val="center"/>
          </w:tcPr>
          <w:p w14:paraId="6C2B589F">
            <w:pPr>
              <w:adjustRightInd w:val="0"/>
              <w:snapToGrid w:val="0"/>
              <w:rPr>
                <w:rFonts w:eastAsia="Times New Roman"/>
                <w:snapToGrid w:val="0"/>
                <w:color w:val="auto"/>
                <w:kern w:val="0"/>
                <w:szCs w:val="21"/>
                <w:highlight w:val="none"/>
              </w:rPr>
            </w:pPr>
            <w:r>
              <w:rPr>
                <w:rFonts w:eastAsia="Times New Roman"/>
                <w:snapToGrid w:val="0"/>
                <w:color w:val="auto"/>
                <w:kern w:val="0"/>
                <w:szCs w:val="21"/>
                <w:highlight w:val="none"/>
              </w:rPr>
              <w:t>将建设项目占地规模分为大型（</w:t>
            </w:r>
            <w:r>
              <w:rPr>
                <w:rFonts w:hint="eastAsia" w:eastAsia="Times New Roman"/>
                <w:snapToGrid w:val="0"/>
                <w:color w:val="auto"/>
                <w:kern w:val="0"/>
                <w:szCs w:val="21"/>
                <w:highlight w:val="none"/>
              </w:rPr>
              <w:t>≥</w:t>
            </w:r>
            <w:r>
              <w:rPr>
                <w:rFonts w:eastAsia="Times New Roman"/>
                <w:snapToGrid w:val="0"/>
                <w:color w:val="auto"/>
                <w:kern w:val="0"/>
                <w:szCs w:val="21"/>
                <w:highlight w:val="none"/>
              </w:rPr>
              <w:t>50 hm</w:t>
            </w:r>
            <w:r>
              <w:rPr>
                <w:rFonts w:eastAsia="Times New Roman"/>
                <w:snapToGrid w:val="0"/>
                <w:color w:val="auto"/>
                <w:kern w:val="0"/>
                <w:szCs w:val="21"/>
                <w:highlight w:val="none"/>
                <w:vertAlign w:val="superscript"/>
              </w:rPr>
              <w:t>2</w:t>
            </w:r>
            <w:r>
              <w:rPr>
                <w:rFonts w:eastAsia="Times New Roman"/>
                <w:snapToGrid w:val="0"/>
                <w:color w:val="auto"/>
                <w:kern w:val="0"/>
                <w:szCs w:val="21"/>
                <w:highlight w:val="none"/>
              </w:rPr>
              <w:t>）、中型（5~50 hm</w:t>
            </w:r>
            <w:r>
              <w:rPr>
                <w:rFonts w:eastAsia="Times New Roman"/>
                <w:snapToGrid w:val="0"/>
                <w:color w:val="auto"/>
                <w:kern w:val="0"/>
                <w:szCs w:val="21"/>
                <w:highlight w:val="none"/>
                <w:vertAlign w:val="superscript"/>
              </w:rPr>
              <w:t>2</w:t>
            </w:r>
            <w:r>
              <w:rPr>
                <w:rFonts w:eastAsia="Times New Roman"/>
                <w:snapToGrid w:val="0"/>
                <w:color w:val="auto"/>
                <w:kern w:val="0"/>
                <w:szCs w:val="21"/>
                <w:highlight w:val="none"/>
              </w:rPr>
              <w:t>）、小型（≤5 hm</w:t>
            </w:r>
            <w:r>
              <w:rPr>
                <w:rFonts w:eastAsia="Times New Roman"/>
                <w:snapToGrid w:val="0"/>
                <w:color w:val="auto"/>
                <w:kern w:val="0"/>
                <w:szCs w:val="21"/>
                <w:highlight w:val="none"/>
                <w:vertAlign w:val="superscript"/>
              </w:rPr>
              <w:t>2</w:t>
            </w:r>
            <w:r>
              <w:rPr>
                <w:rFonts w:eastAsia="Times New Roman"/>
                <w:snapToGrid w:val="0"/>
                <w:color w:val="auto"/>
                <w:kern w:val="0"/>
                <w:szCs w:val="21"/>
                <w:highlight w:val="none"/>
              </w:rPr>
              <w:t>），建设项目占地主要为永久占地。</w:t>
            </w:r>
          </w:p>
        </w:tc>
      </w:tr>
    </w:tbl>
    <w:p w14:paraId="09271C60">
      <w:pPr>
        <w:pStyle w:val="593"/>
        <w:adjustRightInd w:val="0"/>
        <w:snapToGrid w:val="0"/>
        <w:spacing w:before="120" w:beforeLines="5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根据上述内容，判定本项目土壤环境评价等级为“二级”。</w:t>
      </w:r>
    </w:p>
    <w:p w14:paraId="5024C47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2.6.1.5声环境评价工作等级</w:t>
      </w:r>
    </w:p>
    <w:p w14:paraId="2D7D460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根据当地环境功能区划，本项目所在地噪声类别执行《声环境质量标准》（GB3096-2008）中3类功能区标准，并且项目建成后噪声级增高量在3dB（A）以下，且受影响人口数量变化不大，按照《环境影响评价技术导则 声环境》（HJ2.4-2021）规定，确定本项目声环境影响评价等级为三级。</w:t>
      </w:r>
    </w:p>
    <w:p w14:paraId="3B01747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2.6.1.6生态影响评价工作等级及评价范围</w:t>
      </w:r>
    </w:p>
    <w:p w14:paraId="4067CCB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根据《环境影响评价技术导则 生态影响》（HJ19-2022）评价等级判定6.1.8中的判定原则：“位于已批准规划环评的产业园区内且符合规划环评要求、不涉及生态敏感区的污染影响类建设项目，可不确定评价等级，直接进行生态影响简单分析。”</w:t>
      </w:r>
    </w:p>
    <w:p w14:paraId="0DCC225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本项目位于已批准规划环评的</w:t>
      </w:r>
      <w:r>
        <w:rPr>
          <w:rFonts w:hint="eastAsia"/>
          <w:snapToGrid w:val="0"/>
          <w:color w:val="auto"/>
          <w:kern w:val="0"/>
          <w:sz w:val="24"/>
          <w:highlight w:val="none"/>
          <w:lang w:val="fr-FR"/>
        </w:rPr>
        <w:t>乌苏市</w:t>
      </w:r>
      <w:r>
        <w:rPr>
          <w:rFonts w:hint="eastAsia"/>
          <w:snapToGrid w:val="0"/>
          <w:color w:val="auto"/>
          <w:kern w:val="0"/>
          <w:sz w:val="24"/>
          <w:highlight w:val="none"/>
        </w:rPr>
        <w:t>化工产业集中区内且符合规划环评要求、不涉及生态敏感区的污染影响类建设项目，因此，可不确定评价等级，直接进行生态影响简单分析。</w:t>
      </w:r>
    </w:p>
    <w:p w14:paraId="64AAAC5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2.6.1.7生态环境风险评价等级</w:t>
      </w:r>
    </w:p>
    <w:p w14:paraId="4A738B71">
      <w:pPr>
        <w:pStyle w:val="593"/>
        <w:pageBreakBefore w:val="0"/>
        <w:widowControl w:val="0"/>
        <w:kinsoku/>
        <w:wordWrap/>
        <w:overflowPunct/>
        <w:topLinePunct w:val="0"/>
        <w:autoSpaceDE/>
        <w:autoSpaceDN/>
        <w:bidi w:val="0"/>
        <w:adjustRightInd w:val="0"/>
        <w:snapToGrid w:val="0"/>
        <w:jc w:val="both"/>
        <w:textAlignment w:val="auto"/>
        <w:rPr>
          <w:rFonts w:ascii="Times New Roman"/>
          <w:bCs/>
          <w:snapToGrid w:val="0"/>
          <w:color w:val="auto"/>
          <w:kern w:val="0"/>
          <w:sz w:val="24"/>
          <w:szCs w:val="24"/>
          <w:highlight w:val="none"/>
        </w:rPr>
      </w:pPr>
      <w:r>
        <w:rPr>
          <w:rFonts w:ascii="Times New Roman"/>
          <w:bCs/>
          <w:snapToGrid w:val="0"/>
          <w:color w:val="auto"/>
          <w:kern w:val="0"/>
          <w:sz w:val="24"/>
          <w:szCs w:val="24"/>
          <w:highlight w:val="none"/>
        </w:rPr>
        <w:t>根据《建设项目环境风险评价技术导则》（HJ169-2018），根据</w:t>
      </w:r>
      <w:r>
        <w:rPr>
          <w:rFonts w:hint="eastAsia" w:ascii="Times New Roman"/>
          <w:bCs/>
          <w:snapToGrid w:val="0"/>
          <w:color w:val="auto"/>
          <w:kern w:val="0"/>
          <w:sz w:val="24"/>
          <w:szCs w:val="24"/>
          <w:highlight w:val="none"/>
          <w:lang w:val="en-US" w:eastAsia="zh-CN"/>
        </w:rPr>
        <w:t>生态</w:t>
      </w:r>
      <w:r>
        <w:rPr>
          <w:rFonts w:ascii="Times New Roman"/>
          <w:bCs/>
          <w:snapToGrid w:val="0"/>
          <w:color w:val="auto"/>
          <w:kern w:val="0"/>
          <w:sz w:val="24"/>
          <w:szCs w:val="24"/>
          <w:highlight w:val="none"/>
        </w:rPr>
        <w:t>环境风险评价工作等级划分为一级、二级、三级，根据建设项目涉及的物质及工艺系统危险性和所在地的环境敏感性确定</w:t>
      </w:r>
      <w:r>
        <w:rPr>
          <w:rFonts w:hint="eastAsia" w:ascii="Times New Roman"/>
          <w:bCs/>
          <w:snapToGrid w:val="0"/>
          <w:color w:val="auto"/>
          <w:kern w:val="0"/>
          <w:sz w:val="24"/>
          <w:szCs w:val="24"/>
          <w:highlight w:val="none"/>
          <w:lang w:val="en-US" w:eastAsia="zh-CN"/>
        </w:rPr>
        <w:t>生态</w:t>
      </w:r>
      <w:r>
        <w:rPr>
          <w:rFonts w:ascii="Times New Roman"/>
          <w:bCs/>
          <w:snapToGrid w:val="0"/>
          <w:color w:val="auto"/>
          <w:kern w:val="0"/>
          <w:sz w:val="24"/>
          <w:szCs w:val="24"/>
          <w:highlight w:val="none"/>
        </w:rPr>
        <w:t>环境风险潜势，确定</w:t>
      </w:r>
      <w:r>
        <w:rPr>
          <w:rFonts w:hint="eastAsia" w:ascii="Times New Roman"/>
          <w:bCs/>
          <w:snapToGrid w:val="0"/>
          <w:color w:val="auto"/>
          <w:kern w:val="0"/>
          <w:sz w:val="24"/>
          <w:szCs w:val="24"/>
          <w:highlight w:val="none"/>
          <w:lang w:val="en-US" w:eastAsia="zh-CN"/>
        </w:rPr>
        <w:t>生态</w:t>
      </w:r>
      <w:r>
        <w:rPr>
          <w:rFonts w:ascii="Times New Roman"/>
          <w:bCs/>
          <w:snapToGrid w:val="0"/>
          <w:color w:val="auto"/>
          <w:kern w:val="0"/>
          <w:sz w:val="24"/>
          <w:szCs w:val="24"/>
          <w:highlight w:val="none"/>
        </w:rPr>
        <w:t>环境风险评价工作等级，风险潜势为Ⅳ及以上，进行一级评价；风险潜势为Ⅲ，进行二级评价；风险潜势为Ⅱ，进行三级评价；风险潜势为Ⅰ，可开展简单分析。</w:t>
      </w:r>
    </w:p>
    <w:p w14:paraId="6B6709E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kern w:val="0"/>
          <w:sz w:val="24"/>
          <w:highlight w:val="none"/>
        </w:rPr>
      </w:pPr>
      <w:r>
        <w:rPr>
          <w:snapToGrid w:val="0"/>
          <w:color w:val="auto"/>
          <w:kern w:val="0"/>
          <w:sz w:val="24"/>
          <w:highlight w:val="none"/>
        </w:rPr>
        <w:t>通过对本项目</w:t>
      </w:r>
      <w:r>
        <w:rPr>
          <w:rFonts w:hint="eastAsia"/>
          <w:snapToGrid w:val="0"/>
          <w:color w:val="auto"/>
          <w:kern w:val="0"/>
          <w:sz w:val="24"/>
          <w:highlight w:val="none"/>
          <w:lang w:val="en-US" w:eastAsia="zh-CN"/>
        </w:rPr>
        <w:t>生态</w:t>
      </w:r>
      <w:r>
        <w:rPr>
          <w:snapToGrid w:val="0"/>
          <w:color w:val="auto"/>
          <w:kern w:val="0"/>
          <w:sz w:val="24"/>
          <w:highlight w:val="none"/>
        </w:rPr>
        <w:t>环境风险潜势分析（见报告</w:t>
      </w:r>
      <w:r>
        <w:rPr>
          <w:rFonts w:hint="eastAsia"/>
          <w:snapToGrid w:val="0"/>
          <w:color w:val="auto"/>
          <w:kern w:val="0"/>
          <w:sz w:val="24"/>
          <w:highlight w:val="none"/>
        </w:rPr>
        <w:t>6</w:t>
      </w:r>
      <w:r>
        <w:rPr>
          <w:snapToGrid w:val="0"/>
          <w:color w:val="auto"/>
          <w:kern w:val="0"/>
          <w:sz w:val="24"/>
          <w:highlight w:val="none"/>
        </w:rPr>
        <w:t>.3</w:t>
      </w:r>
      <w:r>
        <w:rPr>
          <w:rFonts w:hint="eastAsia"/>
          <w:snapToGrid w:val="0"/>
          <w:color w:val="auto"/>
          <w:kern w:val="0"/>
          <w:sz w:val="24"/>
          <w:highlight w:val="none"/>
          <w:lang w:val="en-US" w:eastAsia="zh-CN"/>
        </w:rPr>
        <w:t>生态</w:t>
      </w:r>
      <w:r>
        <w:rPr>
          <w:snapToGrid w:val="0"/>
          <w:color w:val="auto"/>
          <w:kern w:val="0"/>
          <w:sz w:val="24"/>
          <w:highlight w:val="none"/>
        </w:rPr>
        <w:t>环境风险</w:t>
      </w:r>
      <w:r>
        <w:rPr>
          <w:rFonts w:hint="eastAsia"/>
          <w:snapToGrid w:val="0"/>
          <w:color w:val="auto"/>
          <w:kern w:val="0"/>
          <w:sz w:val="24"/>
          <w:highlight w:val="none"/>
        </w:rPr>
        <w:t>分析</w:t>
      </w:r>
      <w:r>
        <w:rPr>
          <w:snapToGrid w:val="0"/>
          <w:color w:val="auto"/>
          <w:kern w:val="0"/>
          <w:sz w:val="24"/>
          <w:highlight w:val="none"/>
        </w:rPr>
        <w:t>章节），判定</w:t>
      </w:r>
      <w:r>
        <w:rPr>
          <w:rFonts w:hint="eastAsia"/>
          <w:color w:val="auto"/>
          <w:kern w:val="0"/>
          <w:sz w:val="24"/>
          <w:highlight w:val="none"/>
        </w:rPr>
        <w:t>本项目</w:t>
      </w:r>
      <w:r>
        <w:rPr>
          <w:color w:val="auto"/>
          <w:kern w:val="0"/>
          <w:sz w:val="24"/>
          <w:highlight w:val="none"/>
        </w:rPr>
        <w:t>大气环境风险评价等级为</w:t>
      </w:r>
      <w:r>
        <w:rPr>
          <w:rFonts w:hint="eastAsia"/>
          <w:color w:val="auto"/>
          <w:kern w:val="0"/>
          <w:sz w:val="24"/>
          <w:highlight w:val="none"/>
          <w:lang w:val="en-US" w:eastAsia="zh-CN"/>
        </w:rPr>
        <w:t>二级</w:t>
      </w:r>
      <w:r>
        <w:rPr>
          <w:rFonts w:hint="eastAsia"/>
          <w:color w:val="auto"/>
          <w:kern w:val="0"/>
          <w:sz w:val="24"/>
          <w:highlight w:val="none"/>
          <w:lang w:eastAsia="zh-CN"/>
        </w:rPr>
        <w:t>，</w:t>
      </w:r>
      <w:r>
        <w:rPr>
          <w:color w:val="auto"/>
          <w:kern w:val="0"/>
          <w:sz w:val="24"/>
          <w:highlight w:val="none"/>
        </w:rPr>
        <w:t>地下水环境风险评价等级为</w:t>
      </w:r>
      <w:r>
        <w:rPr>
          <w:rFonts w:hint="eastAsia"/>
          <w:color w:val="auto"/>
          <w:kern w:val="0"/>
          <w:sz w:val="24"/>
          <w:highlight w:val="none"/>
        </w:rPr>
        <w:t>二级</w:t>
      </w:r>
      <w:r>
        <w:rPr>
          <w:rFonts w:hint="eastAsia"/>
          <w:color w:val="auto"/>
          <w:highlight w:val="none"/>
          <w:lang w:eastAsia="zh-CN"/>
        </w:rPr>
        <w:t>，</w:t>
      </w:r>
      <w:r>
        <w:rPr>
          <w:rFonts w:hint="eastAsia" w:ascii="Times New Roman" w:hAnsi="Times New Roman" w:eastAsia="宋体" w:cs="Times New Roman"/>
          <w:color w:val="auto"/>
          <w:kern w:val="0"/>
          <w:sz w:val="24"/>
          <w:highlight w:val="none"/>
          <w:lang w:val="en-US" w:eastAsia="zh-CN"/>
        </w:rPr>
        <w:t>综合评价等级取最高等级，生态环境风险评价等级为二级。</w:t>
      </w:r>
    </w:p>
    <w:p w14:paraId="5E31B19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.6</w:t>
      </w:r>
      <w:r>
        <w:rPr>
          <w:rFonts w:hint="eastAsia" w:ascii="Times New Roman" w:hAnsi="Times New Roman" w:cs="Times New Roman"/>
          <w:snapToGrid w:val="0"/>
          <w:color w:val="auto"/>
          <w:spacing w:val="0"/>
          <w:kern w:val="0"/>
          <w:szCs w:val="24"/>
          <w:highlight w:val="none"/>
        </w:rPr>
        <w:t>.2评价范围</w:t>
      </w:r>
    </w:p>
    <w:p w14:paraId="703FA50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2.6.2.1大气环境评价范围</w:t>
      </w:r>
    </w:p>
    <w:p w14:paraId="1C2FA907">
      <w:pPr>
        <w:keepLines w:val="0"/>
        <w:pageBreakBefore w:val="0"/>
        <w:widowControl w:val="0"/>
        <w:kinsoku/>
        <w:wordWrap/>
        <w:overflowPunct/>
        <w:topLinePunct w:val="0"/>
        <w:autoSpaceDE/>
        <w:autoSpaceDN/>
        <w:bidi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根据《环境影响评价技术导则 大气环境》（HJ2.2-2018）中“5.4.1一级评价项目根据建设项目排放污染物的最远影响距离（D</w:t>
      </w:r>
      <w:r>
        <w:rPr>
          <w:rFonts w:hint="eastAsia"/>
          <w:snapToGrid w:val="0"/>
          <w:color w:val="auto"/>
          <w:kern w:val="0"/>
          <w:sz w:val="24"/>
          <w:highlight w:val="none"/>
          <w:vertAlign w:val="subscript"/>
        </w:rPr>
        <w:t>10%</w:t>
      </w:r>
      <w:r>
        <w:rPr>
          <w:rFonts w:hint="eastAsia"/>
          <w:snapToGrid w:val="0"/>
          <w:color w:val="auto"/>
          <w:kern w:val="0"/>
          <w:sz w:val="24"/>
          <w:highlight w:val="none"/>
        </w:rPr>
        <w:t>）确定大气环境影响评价范围。即以项目厂址为中心区域，自厂界外延D</w:t>
      </w:r>
      <w:r>
        <w:rPr>
          <w:rFonts w:hint="eastAsia"/>
          <w:snapToGrid w:val="0"/>
          <w:color w:val="auto"/>
          <w:kern w:val="0"/>
          <w:sz w:val="24"/>
          <w:highlight w:val="none"/>
          <w:vertAlign w:val="subscript"/>
        </w:rPr>
        <w:t>10%</w:t>
      </w:r>
      <w:r>
        <w:rPr>
          <w:rFonts w:hint="eastAsia"/>
          <w:snapToGrid w:val="0"/>
          <w:color w:val="auto"/>
          <w:kern w:val="0"/>
          <w:sz w:val="24"/>
          <w:highlight w:val="none"/>
        </w:rPr>
        <w:t>的矩形区域作为大气环境影响评价范围。当D</w:t>
      </w:r>
      <w:r>
        <w:rPr>
          <w:rFonts w:hint="eastAsia"/>
          <w:snapToGrid w:val="0"/>
          <w:color w:val="auto"/>
          <w:kern w:val="0"/>
          <w:sz w:val="24"/>
          <w:highlight w:val="none"/>
          <w:vertAlign w:val="subscript"/>
        </w:rPr>
        <w:t>10%</w:t>
      </w:r>
      <w:r>
        <w:rPr>
          <w:rFonts w:hint="eastAsia"/>
          <w:snapToGrid w:val="0"/>
          <w:color w:val="auto"/>
          <w:kern w:val="0"/>
          <w:sz w:val="24"/>
          <w:highlight w:val="none"/>
        </w:rPr>
        <w:t>超过25km时，确定评价范围为边长50km的矩形区域；当D</w:t>
      </w:r>
      <w:r>
        <w:rPr>
          <w:rFonts w:hint="eastAsia"/>
          <w:snapToGrid w:val="0"/>
          <w:color w:val="auto"/>
          <w:kern w:val="0"/>
          <w:sz w:val="24"/>
          <w:highlight w:val="none"/>
          <w:vertAlign w:val="subscript"/>
          <w:lang w:val="en-US" w:eastAsia="zh-CN"/>
        </w:rPr>
        <w:t>10</w:t>
      </w:r>
      <w:r>
        <w:rPr>
          <w:rFonts w:hint="eastAsia"/>
          <w:snapToGrid w:val="0"/>
          <w:color w:val="auto"/>
          <w:kern w:val="0"/>
          <w:sz w:val="24"/>
          <w:highlight w:val="none"/>
          <w:vertAlign w:val="subscript"/>
        </w:rPr>
        <w:t>%</w:t>
      </w:r>
      <w:r>
        <w:rPr>
          <w:rFonts w:hint="eastAsia"/>
          <w:snapToGrid w:val="0"/>
          <w:color w:val="auto"/>
          <w:kern w:val="0"/>
          <w:sz w:val="24"/>
          <w:highlight w:val="none"/>
        </w:rPr>
        <w:t>小于2.5km时，评价范围边长取5km”要求，</w:t>
      </w:r>
      <w:r>
        <w:rPr>
          <w:rFonts w:hint="eastAsia"/>
          <w:color w:val="auto"/>
          <w:sz w:val="24"/>
          <w:highlight w:val="none"/>
        </w:rPr>
        <w:t>本项目大气环境</w:t>
      </w:r>
      <w:r>
        <w:rPr>
          <w:color w:val="auto"/>
          <w:sz w:val="24"/>
          <w:highlight w:val="none"/>
        </w:rPr>
        <w:t>评价范围为</w:t>
      </w:r>
      <w:r>
        <w:rPr>
          <w:rFonts w:hint="eastAsia"/>
          <w:color w:val="auto"/>
          <w:sz w:val="24"/>
          <w:highlight w:val="none"/>
        </w:rPr>
        <w:t>以项目厂址为中心区域，自厂界外延</w:t>
      </w:r>
      <w:r>
        <w:rPr>
          <w:color w:val="auto"/>
          <w:sz w:val="24"/>
          <w:highlight w:val="none"/>
        </w:rPr>
        <w:t>5km×5km的区域</w:t>
      </w:r>
      <w:r>
        <w:rPr>
          <w:rFonts w:hint="eastAsia"/>
          <w:snapToGrid w:val="0"/>
          <w:color w:val="auto"/>
          <w:kern w:val="0"/>
          <w:sz w:val="24"/>
          <w:highlight w:val="none"/>
        </w:rPr>
        <w:t>。</w:t>
      </w:r>
    </w:p>
    <w:p w14:paraId="3DA1FE5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2.6.2.2地表水环境评价范围</w:t>
      </w:r>
    </w:p>
    <w:p w14:paraId="466A00EF">
      <w:pPr>
        <w:pStyle w:val="593"/>
        <w:keepLines w:val="0"/>
        <w:pageBreakBefore w:val="0"/>
        <w:widowControl w:val="0"/>
        <w:kinsoku/>
        <w:wordWrap/>
        <w:overflowPunct/>
        <w:topLinePunct w:val="0"/>
        <w:autoSpaceDE/>
        <w:autoSpaceDN/>
        <w:bidi w:val="0"/>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highlight w:val="none"/>
        </w:rPr>
        <w:t>本项目地表水评价等级为三级B，根据导则要求，主要评价水污染控制和水环境影响减缓措施有效性，依托污水处理设施的环境可行性，不设置评价范围。</w:t>
      </w:r>
    </w:p>
    <w:p w14:paraId="27C0AE9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2.6.2.3地下水环境评价范围</w:t>
      </w:r>
    </w:p>
    <w:p w14:paraId="0CA4C946">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bidi="ar-SA"/>
        </w:rPr>
        <w:t>根据</w:t>
      </w:r>
      <w:r>
        <w:rPr>
          <w:rFonts w:hint="default" w:ascii="Times New Roman" w:hAnsi="Times New Roman" w:eastAsia="宋体" w:cs="Times New Roman"/>
          <w:color w:val="auto"/>
          <w:kern w:val="2"/>
          <w:sz w:val="24"/>
          <w:szCs w:val="24"/>
          <w:highlight w:val="none"/>
          <w:lang w:val="en-US" w:eastAsia="zh-CN" w:bidi="ar-SA"/>
        </w:rPr>
        <w:t>《环境影响评价技术导则</w:t>
      </w:r>
      <w:r>
        <w:rPr>
          <w:rFonts w:hint="eastAsia" w:ascii="Times New Roman" w:hAnsi="Times New Roman" w:eastAsia="宋体" w:cs="Times New Roman"/>
          <w:color w:val="auto"/>
          <w:kern w:val="2"/>
          <w:sz w:val="24"/>
          <w:szCs w:val="24"/>
          <w:highlight w:val="none"/>
          <w:lang w:val="en-US" w:eastAsia="zh-CN" w:bidi="ar-SA"/>
        </w:rPr>
        <w:t xml:space="preserve"> </w:t>
      </w:r>
      <w:r>
        <w:rPr>
          <w:rFonts w:hint="default" w:ascii="Times New Roman" w:hAnsi="Times New Roman" w:eastAsia="宋体" w:cs="Times New Roman"/>
          <w:color w:val="auto"/>
          <w:kern w:val="2"/>
          <w:sz w:val="24"/>
          <w:szCs w:val="24"/>
          <w:highlight w:val="none"/>
          <w:lang w:val="en-US" w:eastAsia="zh-CN" w:bidi="ar-SA"/>
        </w:rPr>
        <w:t>地下水环境》（HJ610-2016）</w:t>
      </w:r>
      <w:r>
        <w:rPr>
          <w:rFonts w:hint="eastAsia" w:ascii="Times New Roman" w:hAnsi="Times New Roman" w:eastAsia="宋体" w:cs="Times New Roman"/>
          <w:color w:val="auto"/>
          <w:kern w:val="2"/>
          <w:sz w:val="24"/>
          <w:szCs w:val="24"/>
          <w:highlight w:val="none"/>
          <w:lang w:val="en-US" w:eastAsia="zh-CN" w:bidi="ar-SA"/>
        </w:rPr>
        <w:t>，“当建设项目所在地水文地质条件相对简单，且所掌握的资料能够满足公式计算法的要求时，应采用公式计算法确定。”</w:t>
      </w:r>
    </w:p>
    <w:p w14:paraId="00DF690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因项目场地周边水文地质条件相对简单，因此采用公式计算法确定地下水调查评价范围：</w:t>
      </w:r>
    </w:p>
    <w:p w14:paraId="61940420">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计算公式：L=α×K×I×T/ne</w:t>
      </w:r>
    </w:p>
    <w:p w14:paraId="615F4B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式中：L—下游迁移距离，m；</w:t>
      </w:r>
    </w:p>
    <w:p w14:paraId="20C648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α—变化系数，一般取2；</w:t>
      </w:r>
    </w:p>
    <w:p w14:paraId="22FD78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K—渗透系数，</w:t>
      </w:r>
      <w:r>
        <w:rPr>
          <w:rFonts w:hint="eastAsia" w:ascii="Times New Roman" w:hAnsi="Times New Roman" w:eastAsia="宋体" w:cs="Times New Roman"/>
          <w:color w:val="auto"/>
          <w:sz w:val="24"/>
          <w:szCs w:val="24"/>
          <w:highlight w:val="none"/>
          <w:lang w:val="en-US" w:eastAsia="zh-CN" w:bidi="ar-SA"/>
        </w:rPr>
        <w:t>《乌苏市西区污水厂建设工程地下水环境影响评价专项水文地质勘察报告》相关调查成果，</w:t>
      </w:r>
      <w:r>
        <w:rPr>
          <w:rFonts w:hint="default" w:ascii="Times New Roman" w:hAnsi="Times New Roman" w:eastAsia="宋体" w:cs="Times New Roman"/>
          <w:color w:val="auto"/>
          <w:sz w:val="24"/>
          <w:szCs w:val="24"/>
          <w:highlight w:val="none"/>
          <w:lang w:val="en-US" w:eastAsia="zh-CN" w:bidi="ar-SA"/>
        </w:rPr>
        <w:t>取值</w:t>
      </w:r>
      <w:r>
        <w:rPr>
          <w:rFonts w:hint="eastAsia" w:ascii="Times New Roman" w:hAnsi="Times New Roman" w:eastAsia="宋体" w:cs="Times New Roman"/>
          <w:color w:val="auto"/>
          <w:sz w:val="24"/>
          <w:szCs w:val="24"/>
          <w:highlight w:val="none"/>
          <w:lang w:val="en-US" w:eastAsia="zh-CN" w:bidi="ar-SA"/>
        </w:rPr>
        <w:t>30</w:t>
      </w:r>
      <w:r>
        <w:rPr>
          <w:rFonts w:hint="default" w:ascii="Times New Roman" w:hAnsi="Times New Roman" w:eastAsia="宋体" w:cs="Times New Roman"/>
          <w:color w:val="auto"/>
          <w:sz w:val="24"/>
          <w:szCs w:val="24"/>
          <w:highlight w:val="none"/>
          <w:lang w:val="en-US" w:eastAsia="zh-CN" w:bidi="ar-SA"/>
        </w:rPr>
        <w:t>m/d；</w:t>
      </w:r>
    </w:p>
    <w:p w14:paraId="21D1D9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I--水力梯度，取值</w:t>
      </w:r>
      <w:r>
        <w:rPr>
          <w:rFonts w:hint="eastAsia" w:ascii="Times New Roman" w:hAnsi="Times New Roman" w:eastAsia="宋体" w:cs="Times New Roman"/>
          <w:color w:val="auto"/>
          <w:sz w:val="24"/>
          <w:szCs w:val="24"/>
          <w:highlight w:val="none"/>
          <w:lang w:val="en-US" w:eastAsia="zh-CN" w:bidi="ar-SA"/>
        </w:rPr>
        <w:t>3</w:t>
      </w:r>
      <w:r>
        <w:rPr>
          <w:rFonts w:hint="default" w:ascii="Times New Roman" w:hAnsi="Times New Roman" w:eastAsia="宋体" w:cs="Times New Roman"/>
          <w:color w:val="auto"/>
          <w:sz w:val="24"/>
          <w:szCs w:val="24"/>
          <w:highlight w:val="none"/>
          <w:lang w:val="en-US" w:eastAsia="zh-CN" w:bidi="ar-SA"/>
        </w:rPr>
        <w:t>‰；</w:t>
      </w:r>
    </w:p>
    <w:p w14:paraId="431A25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T—质点迁移天数，取值不小于5000d；</w:t>
      </w:r>
    </w:p>
    <w:p w14:paraId="3F13C0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ne—有效孔隙度，取值</w:t>
      </w:r>
      <w:r>
        <w:rPr>
          <w:rFonts w:hint="eastAsia" w:ascii="Times New Roman" w:hAnsi="Times New Roman" w:eastAsia="宋体" w:cs="Times New Roman"/>
          <w:color w:val="auto"/>
          <w:sz w:val="24"/>
          <w:szCs w:val="24"/>
          <w:highlight w:val="none"/>
          <w:lang w:val="en-US" w:eastAsia="zh-CN" w:bidi="ar-SA"/>
        </w:rPr>
        <w:t>0.27</w:t>
      </w:r>
      <w:r>
        <w:rPr>
          <w:rFonts w:hint="default" w:ascii="Times New Roman" w:hAnsi="Times New Roman" w:eastAsia="宋体" w:cs="Times New Roman"/>
          <w:color w:val="auto"/>
          <w:sz w:val="24"/>
          <w:szCs w:val="24"/>
          <w:highlight w:val="none"/>
          <w:lang w:val="en-US" w:eastAsia="zh-CN" w:bidi="ar-SA"/>
        </w:rPr>
        <w:t>。</w:t>
      </w:r>
    </w:p>
    <w:p w14:paraId="61125F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通过上式计算，则L等于</w:t>
      </w:r>
      <w:r>
        <w:rPr>
          <w:rFonts w:hint="eastAsia" w:ascii="Times New Roman" w:hAnsi="Times New Roman" w:eastAsia="宋体" w:cs="Times New Roman"/>
          <w:color w:val="auto"/>
          <w:sz w:val="24"/>
          <w:szCs w:val="24"/>
          <w:highlight w:val="none"/>
          <w:lang w:val="en-US" w:eastAsia="zh-CN" w:bidi="ar-SA"/>
        </w:rPr>
        <w:t>3333</w:t>
      </w:r>
      <w:r>
        <w:rPr>
          <w:rFonts w:hint="default" w:ascii="Times New Roman" w:hAnsi="Times New Roman" w:eastAsia="宋体" w:cs="Times New Roman"/>
          <w:color w:val="auto"/>
          <w:sz w:val="24"/>
          <w:szCs w:val="24"/>
          <w:highlight w:val="none"/>
          <w:lang w:val="en-US" w:eastAsia="zh-CN" w:bidi="ar-SA"/>
        </w:rPr>
        <w:t>m。</w:t>
      </w:r>
    </w:p>
    <w:p w14:paraId="417CF9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eastAsia="zh-CN"/>
        </w:rPr>
      </w:pPr>
      <w:r>
        <w:rPr>
          <w:rFonts w:hint="eastAsia" w:ascii="Times New Roman" w:hAnsi="Times New Roman" w:eastAsia="宋体" w:cs="Times New Roman"/>
          <w:color w:val="auto"/>
          <w:sz w:val="24"/>
          <w:szCs w:val="24"/>
          <w:highlight w:val="none"/>
          <w:lang w:val="en-US" w:eastAsia="zh-CN" w:bidi="ar-SA"/>
        </w:rPr>
        <w:t>根据</w:t>
      </w:r>
      <w:r>
        <w:rPr>
          <w:rFonts w:hint="default" w:ascii="Times New Roman" w:hAnsi="Times New Roman" w:eastAsia="宋体" w:cs="Times New Roman"/>
          <w:color w:val="auto"/>
          <w:kern w:val="2"/>
          <w:sz w:val="24"/>
          <w:szCs w:val="24"/>
          <w:highlight w:val="none"/>
          <w:lang w:val="en-US" w:eastAsia="zh-CN" w:bidi="ar-SA"/>
        </w:rPr>
        <w:t>《环境影响评价技术导则</w:t>
      </w:r>
      <w:r>
        <w:rPr>
          <w:rFonts w:hint="eastAsia" w:ascii="Times New Roman" w:hAnsi="Times New Roman" w:eastAsia="宋体" w:cs="Times New Roman"/>
          <w:color w:val="auto"/>
          <w:kern w:val="2"/>
          <w:sz w:val="24"/>
          <w:szCs w:val="24"/>
          <w:highlight w:val="none"/>
          <w:lang w:val="en-US" w:eastAsia="zh-CN" w:bidi="ar-SA"/>
        </w:rPr>
        <w:t xml:space="preserve"> </w:t>
      </w:r>
      <w:r>
        <w:rPr>
          <w:rFonts w:hint="default" w:ascii="Times New Roman" w:hAnsi="Times New Roman" w:eastAsia="宋体" w:cs="Times New Roman"/>
          <w:color w:val="auto"/>
          <w:kern w:val="2"/>
          <w:sz w:val="24"/>
          <w:szCs w:val="24"/>
          <w:highlight w:val="none"/>
          <w:lang w:val="en-US" w:eastAsia="zh-CN" w:bidi="ar-SA"/>
        </w:rPr>
        <w:t>地下水环境》（HJ610-2016）</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“场地上游距离根据评价需求确定，场地两侧不小于L/2。”</w:t>
      </w:r>
    </w:p>
    <w:p w14:paraId="45331C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rPr>
      </w:pPr>
      <w:r>
        <w:rPr>
          <w:rFonts w:ascii="Times New Roman" w:hAnsi="Times New Roman" w:eastAsia="宋体" w:cs="Times New Roman"/>
          <w:color w:val="auto"/>
          <w:kern w:val="2"/>
          <w:sz w:val="24"/>
          <w:szCs w:val="24"/>
          <w:highlight w:val="none"/>
        </w:rPr>
        <w:t>根据地下水流向为由</w:t>
      </w:r>
      <w:r>
        <w:rPr>
          <w:rFonts w:hint="eastAsia" w:ascii="Times New Roman" w:hAnsi="Times New Roman" w:eastAsia="宋体" w:cs="Times New Roman"/>
          <w:color w:val="auto"/>
          <w:kern w:val="2"/>
          <w:sz w:val="24"/>
          <w:szCs w:val="24"/>
          <w:highlight w:val="none"/>
          <w:lang w:val="en-US" w:eastAsia="zh-CN"/>
        </w:rPr>
        <w:t>东</w:t>
      </w:r>
      <w:r>
        <w:rPr>
          <w:rFonts w:ascii="Times New Roman" w:hAnsi="Times New Roman" w:eastAsia="宋体" w:cs="Times New Roman"/>
          <w:color w:val="auto"/>
          <w:kern w:val="2"/>
          <w:sz w:val="24"/>
          <w:szCs w:val="24"/>
          <w:highlight w:val="none"/>
        </w:rPr>
        <w:t>南向</w:t>
      </w:r>
      <w:r>
        <w:rPr>
          <w:rFonts w:hint="eastAsia" w:ascii="Times New Roman" w:hAnsi="Times New Roman" w:eastAsia="宋体" w:cs="Times New Roman"/>
          <w:color w:val="auto"/>
          <w:kern w:val="2"/>
          <w:sz w:val="24"/>
          <w:szCs w:val="24"/>
          <w:highlight w:val="none"/>
          <w:lang w:val="en-US" w:eastAsia="zh-CN"/>
        </w:rPr>
        <w:t>西</w:t>
      </w:r>
      <w:r>
        <w:rPr>
          <w:rFonts w:ascii="Times New Roman" w:hAnsi="Times New Roman" w:eastAsia="宋体" w:cs="Times New Roman"/>
          <w:color w:val="auto"/>
          <w:kern w:val="2"/>
          <w:sz w:val="24"/>
          <w:szCs w:val="24"/>
          <w:highlight w:val="none"/>
        </w:rPr>
        <w:t>北，确定</w:t>
      </w:r>
      <w:r>
        <w:rPr>
          <w:rFonts w:hint="default" w:ascii="Times New Roman" w:hAnsi="Times New Roman" w:eastAsia="宋体" w:cs="Times New Roman"/>
          <w:color w:val="auto"/>
          <w:sz w:val="24"/>
          <w:szCs w:val="24"/>
          <w:highlight w:val="none"/>
          <w:lang w:val="zh-CN" w:eastAsia="zh-CN" w:bidi="ar-SA"/>
        </w:rPr>
        <w:t>地下水评价范围为厂界东南侧上游</w:t>
      </w:r>
      <w:r>
        <w:rPr>
          <w:rFonts w:hint="eastAsia" w:ascii="Times New Roman" w:hAnsi="Times New Roman" w:eastAsia="宋体" w:cs="Times New Roman"/>
          <w:color w:val="auto"/>
          <w:sz w:val="24"/>
          <w:szCs w:val="24"/>
          <w:highlight w:val="none"/>
          <w:lang w:val="en-US" w:eastAsia="zh-CN" w:bidi="ar-SA"/>
        </w:rPr>
        <w:t>1.75</w:t>
      </w:r>
      <w:r>
        <w:rPr>
          <w:rFonts w:hint="default" w:ascii="Times New Roman" w:hAnsi="Times New Roman" w:eastAsia="宋体" w:cs="Times New Roman"/>
          <w:color w:val="auto"/>
          <w:sz w:val="24"/>
          <w:szCs w:val="24"/>
          <w:highlight w:val="none"/>
          <w:lang w:val="zh-CN" w:eastAsia="zh-CN" w:bidi="ar-SA"/>
        </w:rPr>
        <w:t>km，厂界西北侧下游</w:t>
      </w:r>
      <w:r>
        <w:rPr>
          <w:rFonts w:hint="eastAsia" w:ascii="Times New Roman" w:hAnsi="Times New Roman" w:cs="Times New Roman"/>
          <w:color w:val="auto"/>
          <w:sz w:val="24"/>
          <w:szCs w:val="24"/>
          <w:highlight w:val="none"/>
          <w:lang w:val="en-US" w:eastAsia="zh-CN" w:bidi="ar-SA"/>
        </w:rPr>
        <w:t>3.5</w:t>
      </w:r>
      <w:r>
        <w:rPr>
          <w:rFonts w:hint="default" w:ascii="Times New Roman" w:hAnsi="Times New Roman" w:eastAsia="宋体" w:cs="Times New Roman"/>
          <w:color w:val="auto"/>
          <w:sz w:val="24"/>
          <w:szCs w:val="24"/>
          <w:highlight w:val="none"/>
          <w:lang w:val="zh-CN" w:eastAsia="zh-CN" w:bidi="ar-SA"/>
        </w:rPr>
        <w:t>km，侧向西南</w:t>
      </w:r>
      <w:r>
        <w:rPr>
          <w:rFonts w:hint="eastAsia" w:ascii="Times New Roman" w:hAnsi="Times New Roman" w:cs="Times New Roman"/>
          <w:color w:val="auto"/>
          <w:sz w:val="24"/>
          <w:szCs w:val="24"/>
          <w:highlight w:val="none"/>
          <w:lang w:val="en-US" w:eastAsia="zh-CN" w:bidi="ar-SA"/>
        </w:rPr>
        <w:t>侧1.75km</w:t>
      </w:r>
      <w:r>
        <w:rPr>
          <w:rFonts w:hint="default" w:ascii="Times New Roman" w:hAnsi="Times New Roman" w:eastAsia="宋体" w:cs="Times New Roman"/>
          <w:color w:val="auto"/>
          <w:sz w:val="24"/>
          <w:szCs w:val="24"/>
          <w:highlight w:val="none"/>
          <w:lang w:val="zh-CN" w:eastAsia="zh-CN" w:bidi="ar-SA"/>
        </w:rPr>
        <w:t>、东北侧</w:t>
      </w:r>
      <w:r>
        <w:rPr>
          <w:rFonts w:hint="eastAsia" w:ascii="Times New Roman" w:hAnsi="Times New Roman" w:cs="Times New Roman"/>
          <w:color w:val="auto"/>
          <w:sz w:val="24"/>
          <w:szCs w:val="24"/>
          <w:highlight w:val="none"/>
          <w:lang w:val="en-US" w:eastAsia="zh-CN" w:bidi="ar-SA"/>
        </w:rPr>
        <w:t>1.75</w:t>
      </w:r>
      <w:r>
        <w:rPr>
          <w:rFonts w:hint="default" w:ascii="Times New Roman" w:hAnsi="Times New Roman" w:eastAsia="宋体" w:cs="Times New Roman"/>
          <w:color w:val="auto"/>
          <w:sz w:val="24"/>
          <w:szCs w:val="24"/>
          <w:highlight w:val="none"/>
          <w:lang w:val="zh-CN" w:eastAsia="zh-CN" w:bidi="ar-SA"/>
        </w:rPr>
        <w:t>km，面积约</w:t>
      </w:r>
      <w:r>
        <w:rPr>
          <w:rFonts w:hint="eastAsia" w:cs="Times New Roman"/>
          <w:color w:val="auto"/>
          <w:sz w:val="24"/>
          <w:szCs w:val="24"/>
          <w:highlight w:val="none"/>
          <w:lang w:val="en-US" w:eastAsia="zh-CN" w:bidi="ar-SA"/>
        </w:rPr>
        <w:t>29.4</w:t>
      </w:r>
      <w:r>
        <w:rPr>
          <w:rFonts w:hint="default" w:ascii="Times New Roman" w:hAnsi="Times New Roman" w:eastAsia="宋体" w:cs="Times New Roman"/>
          <w:color w:val="auto"/>
          <w:sz w:val="24"/>
          <w:szCs w:val="24"/>
          <w:highlight w:val="none"/>
          <w:lang w:val="zh-CN" w:eastAsia="zh-CN" w:bidi="ar-SA"/>
        </w:rPr>
        <w:t>km</w:t>
      </w:r>
      <w:r>
        <w:rPr>
          <w:rFonts w:hint="default" w:ascii="Times New Roman" w:hAnsi="Times New Roman" w:eastAsia="宋体" w:cs="Times New Roman"/>
          <w:color w:val="auto"/>
          <w:sz w:val="24"/>
          <w:szCs w:val="24"/>
          <w:highlight w:val="none"/>
          <w:vertAlign w:val="superscript"/>
          <w:lang w:val="zh-CN" w:eastAsia="zh-CN" w:bidi="ar-SA"/>
        </w:rPr>
        <w:t>2</w:t>
      </w:r>
      <w:r>
        <w:rPr>
          <w:rFonts w:hint="default" w:ascii="Times New Roman" w:hAnsi="Times New Roman" w:eastAsia="宋体" w:cs="Times New Roman"/>
          <w:color w:val="auto"/>
          <w:sz w:val="24"/>
          <w:szCs w:val="24"/>
          <w:highlight w:val="none"/>
          <w:lang w:val="zh-CN" w:eastAsia="zh-CN" w:bidi="ar-SA"/>
        </w:rPr>
        <w:t>的矩形区域。</w:t>
      </w:r>
    </w:p>
    <w:p w14:paraId="0100CCB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2.6.2.4土壤环境评价范围</w:t>
      </w:r>
    </w:p>
    <w:p w14:paraId="4C1DCD55">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本项目土壤环境影响评价等级为二级</w:t>
      </w:r>
      <w:r>
        <w:rPr>
          <w:rFonts w:hint="eastAsia" w:ascii="Times New Roman"/>
          <w:snapToGrid w:val="0"/>
          <w:color w:val="auto"/>
          <w:kern w:val="0"/>
          <w:sz w:val="24"/>
          <w:szCs w:val="24"/>
          <w:highlight w:val="none"/>
          <w:lang w:eastAsia="zh-CN"/>
        </w:rPr>
        <w:t>，</w:t>
      </w:r>
      <w:r>
        <w:rPr>
          <w:rFonts w:hint="eastAsia" w:ascii="Times New Roman"/>
          <w:snapToGrid w:val="0"/>
          <w:color w:val="auto"/>
          <w:kern w:val="0"/>
          <w:sz w:val="24"/>
          <w:szCs w:val="24"/>
          <w:highlight w:val="none"/>
          <w:lang w:val="en-US" w:eastAsia="zh-CN"/>
        </w:rPr>
        <w:t>属于</w:t>
      </w:r>
      <w:r>
        <w:rPr>
          <w:rFonts w:hint="eastAsia" w:ascii="Times New Roman"/>
          <w:snapToGrid w:val="0"/>
          <w:color w:val="auto"/>
          <w:kern w:val="0"/>
          <w:sz w:val="24"/>
          <w:szCs w:val="24"/>
          <w:highlight w:val="none"/>
        </w:rPr>
        <w:t>污染影响型，根据《环境影响评价技术导则 土壤环境（试行）》（HJ964-2018）规定，其土壤环境影响评价范围为厂区占地范围及占地范围外200m范围内。</w:t>
      </w:r>
    </w:p>
    <w:p w14:paraId="386F029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2.6.2.5声环境评价范围</w:t>
      </w:r>
    </w:p>
    <w:p w14:paraId="1AD7932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本项目声环境影响评价等级为三级，根据《环境影响评价技术导则 声环境》（HJ2.4-2021），项目噪声评价范围为厂界外200m范围以内区域。</w:t>
      </w:r>
    </w:p>
    <w:p w14:paraId="74EB375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2.6.2.6生态环境评价范围</w:t>
      </w:r>
    </w:p>
    <w:p w14:paraId="310122A8">
      <w:pPr>
        <w:adjustRightInd w:val="0"/>
        <w:snapToGrid w:val="0"/>
        <w:spacing w:line="360" w:lineRule="auto"/>
        <w:ind w:firstLine="456" w:firstLineChars="200"/>
        <w:rPr>
          <w:snapToGrid w:val="0"/>
          <w:color w:val="auto"/>
          <w:spacing w:val="-6"/>
          <w:kern w:val="0"/>
          <w:sz w:val="24"/>
          <w:highlight w:val="none"/>
        </w:rPr>
      </w:pPr>
      <w:r>
        <w:rPr>
          <w:rFonts w:hint="eastAsia"/>
          <w:snapToGrid w:val="0"/>
          <w:color w:val="auto"/>
          <w:spacing w:val="-6"/>
          <w:kern w:val="0"/>
          <w:sz w:val="24"/>
          <w:highlight w:val="none"/>
        </w:rPr>
        <w:t>本项目生态环境影响评价等级为简单分析，根据本项目的特点、生态影响区域及周边生态环境现状，确定评价范围为项目占地直接影响区域及附近影响区域。</w:t>
      </w:r>
    </w:p>
    <w:p w14:paraId="416BBDD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2.6.2.7环境风险评价范围</w:t>
      </w:r>
    </w:p>
    <w:p w14:paraId="6B8CFCCA">
      <w:pPr>
        <w:pStyle w:val="593"/>
        <w:adjustRightInd w:val="0"/>
        <w:snapToGrid w:val="0"/>
        <w:jc w:val="both"/>
        <w:rPr>
          <w:rFonts w:ascii="Times New Roman"/>
          <w:snapToGrid w:val="0"/>
          <w:color w:val="auto"/>
          <w:kern w:val="0"/>
          <w:sz w:val="24"/>
          <w:szCs w:val="24"/>
          <w:highlight w:val="none"/>
        </w:rPr>
      </w:pPr>
      <w:r>
        <w:rPr>
          <w:rFonts w:hint="eastAsia" w:ascii="Times New Roman"/>
          <w:snapToGrid w:val="0"/>
          <w:color w:val="auto"/>
          <w:kern w:val="0"/>
          <w:sz w:val="24"/>
          <w:szCs w:val="24"/>
          <w:highlight w:val="none"/>
        </w:rPr>
        <w:t>按照《建设项目环境风险评价技术导则》（HJ169-2018）中的相关规定，</w:t>
      </w:r>
      <w:r>
        <w:rPr>
          <w:rFonts w:ascii="Times New Roman"/>
          <w:snapToGrid w:val="0"/>
          <w:color w:val="auto"/>
          <w:kern w:val="0"/>
          <w:sz w:val="24"/>
          <w:highlight w:val="none"/>
        </w:rPr>
        <w:t>项</w:t>
      </w:r>
      <w:r>
        <w:rPr>
          <w:rFonts w:ascii="Times New Roman"/>
          <w:snapToGrid w:val="0"/>
          <w:color w:val="auto"/>
          <w:kern w:val="0"/>
          <w:sz w:val="24"/>
          <w:szCs w:val="24"/>
          <w:highlight w:val="none"/>
        </w:rPr>
        <w:t>目</w:t>
      </w:r>
      <w:r>
        <w:rPr>
          <w:rFonts w:hint="eastAsia" w:ascii="Times New Roman"/>
          <w:snapToGrid w:val="0"/>
          <w:color w:val="auto"/>
          <w:kern w:val="0"/>
          <w:sz w:val="24"/>
          <w:szCs w:val="24"/>
          <w:highlight w:val="none"/>
          <w:lang w:val="en-US" w:eastAsia="zh-CN"/>
        </w:rPr>
        <w:t>大气</w:t>
      </w:r>
      <w:r>
        <w:rPr>
          <w:rFonts w:ascii="Times New Roman"/>
          <w:snapToGrid w:val="0"/>
          <w:color w:val="auto"/>
          <w:kern w:val="0"/>
          <w:sz w:val="24"/>
          <w:szCs w:val="24"/>
          <w:highlight w:val="none"/>
        </w:rPr>
        <w:t>环境风险评价等级为</w:t>
      </w:r>
      <w:r>
        <w:rPr>
          <w:rFonts w:hint="eastAsia" w:ascii="Times New Roman"/>
          <w:snapToGrid w:val="0"/>
          <w:color w:val="auto"/>
          <w:kern w:val="0"/>
          <w:sz w:val="24"/>
          <w:szCs w:val="24"/>
          <w:highlight w:val="none"/>
          <w:lang w:val="en-US" w:eastAsia="zh-CN"/>
        </w:rPr>
        <w:t>二</w:t>
      </w:r>
      <w:r>
        <w:rPr>
          <w:rFonts w:hint="eastAsia" w:ascii="Times New Roman"/>
          <w:snapToGrid w:val="0"/>
          <w:color w:val="auto"/>
          <w:kern w:val="0"/>
          <w:sz w:val="24"/>
          <w:szCs w:val="24"/>
          <w:highlight w:val="none"/>
        </w:rPr>
        <w:t>级</w:t>
      </w:r>
      <w:r>
        <w:rPr>
          <w:rFonts w:ascii="Times New Roman"/>
          <w:snapToGrid w:val="0"/>
          <w:color w:val="auto"/>
          <w:kern w:val="0"/>
          <w:sz w:val="24"/>
          <w:szCs w:val="24"/>
          <w:highlight w:val="none"/>
        </w:rPr>
        <w:t>，评价范围</w:t>
      </w:r>
      <w:r>
        <w:rPr>
          <w:rFonts w:hint="eastAsia" w:ascii="Times New Roman"/>
          <w:snapToGrid w:val="0"/>
          <w:color w:val="auto"/>
          <w:kern w:val="0"/>
          <w:sz w:val="24"/>
          <w:szCs w:val="24"/>
          <w:highlight w:val="none"/>
        </w:rPr>
        <w:t>为项目边界</w:t>
      </w:r>
      <w:r>
        <w:rPr>
          <w:rFonts w:hint="eastAsia" w:ascii="Times New Roman"/>
          <w:snapToGrid w:val="0"/>
          <w:color w:val="auto"/>
          <w:kern w:val="0"/>
          <w:sz w:val="24"/>
          <w:szCs w:val="24"/>
          <w:highlight w:val="none"/>
          <w:lang w:val="en-US" w:eastAsia="zh-CN"/>
        </w:rPr>
        <w:t>5</w:t>
      </w:r>
      <w:r>
        <w:rPr>
          <w:rFonts w:hint="eastAsia" w:ascii="Times New Roman"/>
          <w:snapToGrid w:val="0"/>
          <w:color w:val="auto"/>
          <w:kern w:val="0"/>
          <w:sz w:val="24"/>
          <w:szCs w:val="24"/>
          <w:highlight w:val="none"/>
        </w:rPr>
        <w:t>km范围内</w:t>
      </w:r>
      <w:r>
        <w:rPr>
          <w:rFonts w:hint="eastAsia" w:ascii="Times New Roman"/>
          <w:snapToGrid w:val="0"/>
          <w:color w:val="auto"/>
          <w:kern w:val="0"/>
          <w:sz w:val="24"/>
          <w:szCs w:val="24"/>
          <w:highlight w:val="none"/>
          <w:lang w:eastAsia="zh-CN"/>
        </w:rPr>
        <w:t>，</w:t>
      </w:r>
      <w:r>
        <w:rPr>
          <w:rFonts w:hint="eastAsia" w:ascii="Times New Roman"/>
          <w:snapToGrid w:val="0"/>
          <w:color w:val="auto"/>
          <w:kern w:val="0"/>
          <w:sz w:val="24"/>
          <w:szCs w:val="24"/>
          <w:highlight w:val="none"/>
          <w:lang w:val="en-US" w:eastAsia="zh-CN"/>
        </w:rPr>
        <w:t>地下水环境风险评价范围与地下水环境评价范围一致</w:t>
      </w:r>
      <w:r>
        <w:rPr>
          <w:rFonts w:hint="eastAsia" w:ascii="Times New Roman"/>
          <w:snapToGrid w:val="0"/>
          <w:color w:val="auto"/>
          <w:kern w:val="0"/>
          <w:sz w:val="24"/>
          <w:szCs w:val="24"/>
          <w:highlight w:val="none"/>
        </w:rPr>
        <w:t>。</w:t>
      </w:r>
    </w:p>
    <w:p w14:paraId="1D8EB5D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w:t>
      </w:r>
      <w:r>
        <w:rPr>
          <w:rFonts w:hint="eastAsia"/>
          <w:snapToGrid w:val="0"/>
          <w:color w:val="auto"/>
          <w:kern w:val="0"/>
          <w:sz w:val="24"/>
          <w:highlight w:val="none"/>
          <w:lang w:val="en-US" w:eastAsia="zh-CN"/>
        </w:rPr>
        <w:t>项目各评价要素</w:t>
      </w:r>
      <w:r>
        <w:rPr>
          <w:rFonts w:hint="eastAsia"/>
          <w:snapToGrid w:val="0"/>
          <w:color w:val="auto"/>
          <w:kern w:val="0"/>
          <w:sz w:val="24"/>
          <w:highlight w:val="none"/>
        </w:rPr>
        <w:t>评价范围见表2.</w:t>
      </w:r>
      <w:r>
        <w:rPr>
          <w:rFonts w:hint="eastAsia"/>
          <w:snapToGrid w:val="0"/>
          <w:color w:val="auto"/>
          <w:kern w:val="0"/>
          <w:sz w:val="24"/>
          <w:highlight w:val="none"/>
          <w:lang w:val="en-US" w:eastAsia="zh-CN"/>
        </w:rPr>
        <w:t>6</w:t>
      </w:r>
      <w:r>
        <w:rPr>
          <w:rFonts w:hint="eastAsia"/>
          <w:snapToGrid w:val="0"/>
          <w:color w:val="auto"/>
          <w:kern w:val="0"/>
          <w:sz w:val="24"/>
          <w:highlight w:val="none"/>
        </w:rPr>
        <w:t>-1</w:t>
      </w:r>
      <w:r>
        <w:rPr>
          <w:rFonts w:hint="eastAsia"/>
          <w:snapToGrid w:val="0"/>
          <w:color w:val="auto"/>
          <w:kern w:val="0"/>
          <w:sz w:val="24"/>
          <w:highlight w:val="none"/>
          <w:lang w:val="en-US" w:eastAsia="zh-CN"/>
        </w:rPr>
        <w:t>2</w:t>
      </w:r>
      <w:r>
        <w:rPr>
          <w:rFonts w:hint="eastAsia"/>
          <w:snapToGrid w:val="0"/>
          <w:color w:val="auto"/>
          <w:kern w:val="0"/>
          <w:sz w:val="24"/>
          <w:highlight w:val="none"/>
        </w:rPr>
        <w:t>。</w:t>
      </w:r>
    </w:p>
    <w:p w14:paraId="06AD8AAA">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6</w:t>
      </w:r>
      <w:r>
        <w:rPr>
          <w:rFonts w:hint="eastAsia"/>
          <w:b/>
          <w:bCs/>
          <w:snapToGrid w:val="0"/>
          <w:color w:val="auto"/>
          <w:kern w:val="0"/>
          <w:szCs w:val="21"/>
          <w:highlight w:val="none"/>
        </w:rPr>
        <w:t>-1</w:t>
      </w:r>
      <w:r>
        <w:rPr>
          <w:rFonts w:hint="eastAsia"/>
          <w:b/>
          <w:bCs/>
          <w:snapToGrid w:val="0"/>
          <w:color w:val="auto"/>
          <w:kern w:val="0"/>
          <w:szCs w:val="21"/>
          <w:highlight w:val="none"/>
          <w:lang w:val="en-US" w:eastAsia="zh-CN"/>
        </w:rPr>
        <w:t>2</w:t>
      </w:r>
      <w:r>
        <w:rPr>
          <w:b/>
          <w:bCs/>
          <w:snapToGrid w:val="0"/>
          <w:color w:val="auto"/>
          <w:kern w:val="0"/>
          <w:szCs w:val="21"/>
          <w:highlight w:val="none"/>
        </w:rPr>
        <w:t xml:space="preserve"> 项目各评价要素评价范围一览表</w:t>
      </w:r>
    </w:p>
    <w:tbl>
      <w:tblPr>
        <w:tblStyle w:val="57"/>
        <w:tblpPr w:leftFromText="180" w:rightFromText="180" w:vertAnchor="tex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056"/>
        <w:gridCol w:w="5674"/>
      </w:tblGrid>
      <w:tr w14:paraId="5BDF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12150E34">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评价要素</w:t>
            </w:r>
          </w:p>
        </w:tc>
        <w:tc>
          <w:tcPr>
            <w:tcW w:w="1063" w:type="dxa"/>
            <w:shd w:val="clear" w:color="auto" w:fill="auto"/>
            <w:vAlign w:val="center"/>
          </w:tcPr>
          <w:p w14:paraId="6C703ABD">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评价等级</w:t>
            </w:r>
          </w:p>
        </w:tc>
        <w:tc>
          <w:tcPr>
            <w:tcW w:w="5714" w:type="dxa"/>
            <w:shd w:val="clear" w:color="auto" w:fill="auto"/>
            <w:vAlign w:val="center"/>
          </w:tcPr>
          <w:p w14:paraId="2231B806">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评价范围</w:t>
            </w:r>
          </w:p>
        </w:tc>
      </w:tr>
      <w:tr w14:paraId="2B80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5E73EEE6">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大气环境</w:t>
            </w:r>
          </w:p>
        </w:tc>
        <w:tc>
          <w:tcPr>
            <w:tcW w:w="1063" w:type="dxa"/>
            <w:shd w:val="clear" w:color="auto" w:fill="auto"/>
            <w:vAlign w:val="center"/>
          </w:tcPr>
          <w:p w14:paraId="722C6A5C">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一级</w:t>
            </w:r>
          </w:p>
        </w:tc>
        <w:tc>
          <w:tcPr>
            <w:tcW w:w="5714" w:type="dxa"/>
            <w:shd w:val="clear" w:color="auto" w:fill="auto"/>
            <w:vAlign w:val="center"/>
          </w:tcPr>
          <w:p w14:paraId="51585509">
            <w:pPr>
              <w:adjustRightInd w:val="0"/>
              <w:snapToGrid w:val="0"/>
              <w:jc w:val="center"/>
              <w:rPr>
                <w:rFonts w:eastAsia="Times New Roman"/>
                <w:snapToGrid w:val="0"/>
                <w:color w:val="auto"/>
                <w:kern w:val="0"/>
                <w:szCs w:val="21"/>
                <w:highlight w:val="none"/>
              </w:rPr>
            </w:pPr>
            <w:r>
              <w:rPr>
                <w:rFonts w:hint="eastAsia" w:eastAsia="Times New Roman"/>
                <w:color w:val="auto"/>
                <w:highlight w:val="none"/>
              </w:rPr>
              <w:t>以项目厂址为中心区域，自厂界外延</w:t>
            </w:r>
            <w:r>
              <w:rPr>
                <w:rFonts w:hint="eastAsia" w:eastAsia="Times New Roman"/>
                <w:snapToGrid w:val="0"/>
                <w:color w:val="auto"/>
                <w:kern w:val="0"/>
                <w:szCs w:val="21"/>
                <w:highlight w:val="none"/>
              </w:rPr>
              <w:t>5km×5km的区域内</w:t>
            </w:r>
          </w:p>
        </w:tc>
      </w:tr>
      <w:tr w14:paraId="7B64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4ED879FB">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地表水环境</w:t>
            </w:r>
          </w:p>
        </w:tc>
        <w:tc>
          <w:tcPr>
            <w:tcW w:w="1063" w:type="dxa"/>
            <w:shd w:val="clear" w:color="auto" w:fill="auto"/>
            <w:vAlign w:val="center"/>
          </w:tcPr>
          <w:p w14:paraId="2D192521">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三级B</w:t>
            </w:r>
          </w:p>
        </w:tc>
        <w:tc>
          <w:tcPr>
            <w:tcW w:w="5714" w:type="dxa"/>
            <w:shd w:val="clear" w:color="auto" w:fill="auto"/>
            <w:vAlign w:val="center"/>
          </w:tcPr>
          <w:p w14:paraId="51EA2380">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w:t>
            </w:r>
          </w:p>
        </w:tc>
      </w:tr>
      <w:tr w14:paraId="0C7E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5E330FB3">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地下水环境</w:t>
            </w:r>
          </w:p>
        </w:tc>
        <w:tc>
          <w:tcPr>
            <w:tcW w:w="1063" w:type="dxa"/>
            <w:shd w:val="clear" w:color="auto" w:fill="auto"/>
            <w:vAlign w:val="center"/>
          </w:tcPr>
          <w:p w14:paraId="68004C35">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5714" w:type="dxa"/>
            <w:shd w:val="clear" w:color="auto" w:fill="auto"/>
            <w:vAlign w:val="center"/>
          </w:tcPr>
          <w:p w14:paraId="072C5125">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厂界向外延伸</w:t>
            </w:r>
            <w:r>
              <w:rPr>
                <w:rFonts w:hint="eastAsia" w:eastAsia="宋体"/>
                <w:snapToGrid w:val="0"/>
                <w:color w:val="auto"/>
                <w:kern w:val="0"/>
                <w:szCs w:val="21"/>
                <w:highlight w:val="none"/>
                <w:lang w:val="en-US" w:eastAsia="zh-CN"/>
              </w:rPr>
              <w:t>5.25</w:t>
            </w:r>
            <w:r>
              <w:rPr>
                <w:rFonts w:hint="eastAsia" w:eastAsia="Times New Roman"/>
                <w:snapToGrid w:val="0"/>
                <w:color w:val="auto"/>
                <w:kern w:val="0"/>
                <w:szCs w:val="21"/>
                <w:highlight w:val="none"/>
              </w:rPr>
              <w:t>km×</w:t>
            </w:r>
            <w:r>
              <w:rPr>
                <w:rFonts w:hint="eastAsia" w:eastAsia="宋体"/>
                <w:snapToGrid w:val="0"/>
                <w:color w:val="auto"/>
                <w:kern w:val="0"/>
                <w:szCs w:val="21"/>
                <w:highlight w:val="none"/>
                <w:lang w:val="en-US" w:eastAsia="zh-CN"/>
              </w:rPr>
              <w:t>3.5</w:t>
            </w:r>
            <w:r>
              <w:rPr>
                <w:rFonts w:hint="eastAsia" w:eastAsia="Times New Roman"/>
                <w:snapToGrid w:val="0"/>
                <w:color w:val="auto"/>
                <w:kern w:val="0"/>
                <w:szCs w:val="21"/>
                <w:highlight w:val="none"/>
              </w:rPr>
              <w:t>km的</w:t>
            </w:r>
            <w:r>
              <w:rPr>
                <w:rFonts w:hint="eastAsia" w:eastAsia="宋体"/>
                <w:snapToGrid w:val="0"/>
                <w:color w:val="auto"/>
                <w:kern w:val="0"/>
                <w:szCs w:val="21"/>
                <w:highlight w:val="none"/>
                <w:lang w:val="en-US" w:eastAsia="zh-CN"/>
              </w:rPr>
              <w:t>区域</w:t>
            </w:r>
            <w:r>
              <w:rPr>
                <w:rFonts w:hint="eastAsia" w:eastAsia="Times New Roman"/>
                <w:color w:val="auto"/>
                <w:highlight w:val="none"/>
              </w:rPr>
              <w:t>内</w:t>
            </w:r>
          </w:p>
        </w:tc>
      </w:tr>
      <w:tr w14:paraId="44A5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10351A0C">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声环境</w:t>
            </w:r>
          </w:p>
        </w:tc>
        <w:tc>
          <w:tcPr>
            <w:tcW w:w="1063" w:type="dxa"/>
            <w:shd w:val="clear" w:color="auto" w:fill="auto"/>
            <w:vAlign w:val="center"/>
          </w:tcPr>
          <w:p w14:paraId="0806621C">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三</w:t>
            </w:r>
            <w:r>
              <w:rPr>
                <w:rFonts w:eastAsia="Times New Roman"/>
                <w:snapToGrid w:val="0"/>
                <w:color w:val="auto"/>
                <w:kern w:val="0"/>
                <w:szCs w:val="21"/>
                <w:highlight w:val="none"/>
              </w:rPr>
              <w:t>级</w:t>
            </w:r>
          </w:p>
        </w:tc>
        <w:tc>
          <w:tcPr>
            <w:tcW w:w="5714" w:type="dxa"/>
            <w:shd w:val="clear" w:color="auto" w:fill="auto"/>
            <w:vAlign w:val="center"/>
          </w:tcPr>
          <w:p w14:paraId="1DC00525">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项目边界</w:t>
            </w:r>
            <w:r>
              <w:rPr>
                <w:rFonts w:hint="eastAsia" w:eastAsia="Times New Roman"/>
                <w:snapToGrid w:val="0"/>
                <w:color w:val="auto"/>
                <w:kern w:val="0"/>
                <w:szCs w:val="21"/>
                <w:highlight w:val="none"/>
              </w:rPr>
              <w:t>向外200m范围</w:t>
            </w:r>
            <w:r>
              <w:rPr>
                <w:rFonts w:hint="eastAsia" w:eastAsia="Times New Roman"/>
                <w:color w:val="auto"/>
                <w:highlight w:val="none"/>
              </w:rPr>
              <w:t>内</w:t>
            </w:r>
          </w:p>
        </w:tc>
      </w:tr>
      <w:tr w14:paraId="6AD4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7079FCB6">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生态环境</w:t>
            </w:r>
          </w:p>
        </w:tc>
        <w:tc>
          <w:tcPr>
            <w:tcW w:w="1063" w:type="dxa"/>
            <w:shd w:val="clear" w:color="auto" w:fill="auto"/>
            <w:vAlign w:val="center"/>
          </w:tcPr>
          <w:p w14:paraId="437B8FC1">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简单分析</w:t>
            </w:r>
          </w:p>
        </w:tc>
        <w:tc>
          <w:tcPr>
            <w:tcW w:w="5714" w:type="dxa"/>
            <w:shd w:val="clear" w:color="auto" w:fill="auto"/>
            <w:vAlign w:val="center"/>
          </w:tcPr>
          <w:p w14:paraId="790C2F61">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厂区项目占地直接影响区域及附近影响区域</w:t>
            </w:r>
          </w:p>
        </w:tc>
      </w:tr>
      <w:tr w14:paraId="7700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1833A558">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土壤环境</w:t>
            </w:r>
          </w:p>
        </w:tc>
        <w:tc>
          <w:tcPr>
            <w:tcW w:w="1063" w:type="dxa"/>
            <w:shd w:val="clear" w:color="auto" w:fill="auto"/>
            <w:vAlign w:val="center"/>
          </w:tcPr>
          <w:p w14:paraId="3670E6DE">
            <w:pPr>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二级</w:t>
            </w:r>
          </w:p>
        </w:tc>
        <w:tc>
          <w:tcPr>
            <w:tcW w:w="5714" w:type="dxa"/>
            <w:shd w:val="clear" w:color="auto" w:fill="auto"/>
            <w:vAlign w:val="center"/>
          </w:tcPr>
          <w:p w14:paraId="34334C35">
            <w:pPr>
              <w:adjustRightInd w:val="0"/>
              <w:snapToGrid w:val="0"/>
              <w:jc w:val="center"/>
              <w:rPr>
                <w:rFonts w:hint="eastAsia" w:eastAsia="宋体"/>
                <w:snapToGrid w:val="0"/>
                <w:color w:val="auto"/>
                <w:kern w:val="0"/>
                <w:szCs w:val="21"/>
                <w:highlight w:val="none"/>
                <w:lang w:val="en-US" w:eastAsia="zh-CN"/>
              </w:rPr>
            </w:pPr>
            <w:r>
              <w:rPr>
                <w:rFonts w:hint="eastAsia" w:eastAsia="Times New Roman"/>
                <w:snapToGrid w:val="0"/>
                <w:color w:val="auto"/>
                <w:kern w:val="0"/>
                <w:szCs w:val="21"/>
                <w:highlight w:val="none"/>
              </w:rPr>
              <w:t>项目占地范围内及项目区外0.2km范围</w:t>
            </w:r>
            <w:r>
              <w:rPr>
                <w:rFonts w:hint="eastAsia" w:eastAsia="宋体"/>
                <w:snapToGrid w:val="0"/>
                <w:color w:val="auto"/>
                <w:kern w:val="0"/>
                <w:szCs w:val="21"/>
                <w:highlight w:val="none"/>
                <w:lang w:val="en-US" w:eastAsia="zh-CN"/>
              </w:rPr>
              <w:t>内</w:t>
            </w:r>
          </w:p>
        </w:tc>
      </w:tr>
      <w:tr w14:paraId="790F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37D1F498">
            <w:pPr>
              <w:adjustRightInd w:val="0"/>
              <w:snapToGrid w:val="0"/>
              <w:jc w:val="center"/>
              <w:rPr>
                <w:rFonts w:eastAsia="Times New Roman"/>
                <w:snapToGrid w:val="0"/>
                <w:color w:val="auto"/>
                <w:kern w:val="0"/>
                <w:szCs w:val="21"/>
                <w:highlight w:val="none"/>
              </w:rPr>
            </w:pPr>
            <w:r>
              <w:rPr>
                <w:rFonts w:hint="eastAsia" w:eastAsia="宋体"/>
                <w:snapToGrid w:val="0"/>
                <w:color w:val="auto"/>
                <w:kern w:val="0"/>
                <w:szCs w:val="21"/>
                <w:highlight w:val="none"/>
                <w:lang w:val="en-US" w:eastAsia="zh-CN"/>
              </w:rPr>
              <w:t>大气</w:t>
            </w:r>
            <w:r>
              <w:rPr>
                <w:rFonts w:eastAsia="Times New Roman"/>
                <w:snapToGrid w:val="0"/>
                <w:color w:val="auto"/>
                <w:kern w:val="0"/>
                <w:szCs w:val="21"/>
                <w:highlight w:val="none"/>
              </w:rPr>
              <w:t>环境风险</w:t>
            </w:r>
          </w:p>
        </w:tc>
        <w:tc>
          <w:tcPr>
            <w:tcW w:w="1063" w:type="dxa"/>
            <w:shd w:val="clear" w:color="auto" w:fill="auto"/>
            <w:vAlign w:val="center"/>
          </w:tcPr>
          <w:p w14:paraId="13AA1E2A">
            <w:pPr>
              <w:adjustRightInd w:val="0"/>
              <w:snapToGrid w:val="0"/>
              <w:jc w:val="center"/>
              <w:rPr>
                <w:rFonts w:eastAsia="Times New Roman"/>
                <w:snapToGrid w:val="0"/>
                <w:color w:val="auto"/>
                <w:kern w:val="0"/>
                <w:szCs w:val="21"/>
                <w:highlight w:val="none"/>
              </w:rPr>
            </w:pPr>
            <w:r>
              <w:rPr>
                <w:rFonts w:hint="eastAsia"/>
                <w:snapToGrid w:val="0"/>
                <w:color w:val="auto"/>
                <w:kern w:val="0"/>
                <w:szCs w:val="21"/>
                <w:highlight w:val="none"/>
                <w:lang w:val="en-US" w:eastAsia="zh-CN"/>
              </w:rPr>
              <w:t>二</w:t>
            </w:r>
            <w:r>
              <w:rPr>
                <w:rFonts w:hint="eastAsia" w:eastAsia="Times New Roman"/>
                <w:snapToGrid w:val="0"/>
                <w:color w:val="auto"/>
                <w:kern w:val="0"/>
                <w:szCs w:val="21"/>
                <w:highlight w:val="none"/>
              </w:rPr>
              <w:t>级</w:t>
            </w:r>
          </w:p>
        </w:tc>
        <w:tc>
          <w:tcPr>
            <w:tcW w:w="5714" w:type="dxa"/>
            <w:shd w:val="clear" w:color="auto" w:fill="auto"/>
            <w:vAlign w:val="center"/>
          </w:tcPr>
          <w:p w14:paraId="2A18F44B">
            <w:pPr>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项目边界</w:t>
            </w:r>
            <w:r>
              <w:rPr>
                <w:rFonts w:hint="eastAsia"/>
                <w:snapToGrid w:val="0"/>
                <w:color w:val="auto"/>
                <w:kern w:val="0"/>
                <w:szCs w:val="21"/>
                <w:highlight w:val="none"/>
                <w:lang w:val="en-US" w:eastAsia="zh-CN"/>
              </w:rPr>
              <w:t>5</w:t>
            </w:r>
            <w:r>
              <w:rPr>
                <w:rFonts w:hint="eastAsia" w:eastAsia="Times New Roman"/>
                <w:snapToGrid w:val="0"/>
                <w:color w:val="auto"/>
                <w:kern w:val="0"/>
                <w:szCs w:val="21"/>
                <w:highlight w:val="none"/>
              </w:rPr>
              <w:t>km范围内</w:t>
            </w:r>
          </w:p>
        </w:tc>
      </w:tr>
      <w:tr w14:paraId="3245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17" w:type="dxa"/>
            <w:shd w:val="clear" w:color="auto" w:fill="auto"/>
            <w:vAlign w:val="center"/>
          </w:tcPr>
          <w:p w14:paraId="52A3AECC">
            <w:pPr>
              <w:adjustRightInd w:val="0"/>
              <w:snapToGrid w:val="0"/>
              <w:jc w:val="center"/>
              <w:rPr>
                <w:rFonts w:hint="default" w:eastAsia="宋体"/>
                <w:snapToGrid w:val="0"/>
                <w:color w:val="auto"/>
                <w:kern w:val="0"/>
                <w:szCs w:val="21"/>
                <w:highlight w:val="none"/>
                <w:lang w:val="en-US" w:eastAsia="zh-CN"/>
              </w:rPr>
            </w:pPr>
            <w:bookmarkStart w:id="80" w:name="_Toc15997"/>
            <w:r>
              <w:rPr>
                <w:rFonts w:hint="eastAsia" w:eastAsia="宋体"/>
                <w:snapToGrid w:val="0"/>
                <w:color w:val="auto"/>
                <w:kern w:val="0"/>
                <w:szCs w:val="21"/>
                <w:highlight w:val="none"/>
                <w:lang w:val="en-US" w:eastAsia="zh-CN"/>
              </w:rPr>
              <w:t>地下水环境风险</w:t>
            </w:r>
          </w:p>
        </w:tc>
        <w:tc>
          <w:tcPr>
            <w:tcW w:w="1063" w:type="dxa"/>
            <w:shd w:val="clear" w:color="auto" w:fill="auto"/>
            <w:vAlign w:val="center"/>
          </w:tcPr>
          <w:p w14:paraId="0A8DF689">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二级</w:t>
            </w:r>
          </w:p>
        </w:tc>
        <w:tc>
          <w:tcPr>
            <w:tcW w:w="5714" w:type="dxa"/>
            <w:shd w:val="clear" w:color="auto" w:fill="auto"/>
            <w:vAlign w:val="center"/>
          </w:tcPr>
          <w:p w14:paraId="0FF3F51C">
            <w:pPr>
              <w:adjustRightInd w:val="0"/>
              <w:snapToGrid w:val="0"/>
              <w:jc w:val="center"/>
              <w:rPr>
                <w:rFonts w:hint="eastAsia" w:eastAsia="Times New Roman"/>
                <w:snapToGrid w:val="0"/>
                <w:color w:val="auto"/>
                <w:kern w:val="0"/>
                <w:szCs w:val="21"/>
                <w:highlight w:val="none"/>
              </w:rPr>
            </w:pPr>
            <w:r>
              <w:rPr>
                <w:rFonts w:hint="eastAsia" w:eastAsia="Times New Roman"/>
                <w:snapToGrid w:val="0"/>
                <w:color w:val="auto"/>
                <w:kern w:val="0"/>
                <w:szCs w:val="21"/>
                <w:highlight w:val="none"/>
              </w:rPr>
              <w:t>厂界向外延伸</w:t>
            </w:r>
            <w:r>
              <w:rPr>
                <w:rFonts w:hint="eastAsia" w:eastAsia="宋体"/>
                <w:snapToGrid w:val="0"/>
                <w:color w:val="auto"/>
                <w:kern w:val="0"/>
                <w:szCs w:val="21"/>
                <w:highlight w:val="none"/>
                <w:lang w:val="en-US" w:eastAsia="zh-CN"/>
              </w:rPr>
              <w:t>5.25</w:t>
            </w:r>
            <w:r>
              <w:rPr>
                <w:rFonts w:hint="eastAsia" w:eastAsia="Times New Roman"/>
                <w:snapToGrid w:val="0"/>
                <w:color w:val="auto"/>
                <w:kern w:val="0"/>
                <w:szCs w:val="21"/>
                <w:highlight w:val="none"/>
              </w:rPr>
              <w:t>km×</w:t>
            </w:r>
            <w:r>
              <w:rPr>
                <w:rFonts w:hint="eastAsia" w:eastAsia="宋体"/>
                <w:snapToGrid w:val="0"/>
                <w:color w:val="auto"/>
                <w:kern w:val="0"/>
                <w:szCs w:val="21"/>
                <w:highlight w:val="none"/>
                <w:lang w:val="en-US" w:eastAsia="zh-CN"/>
              </w:rPr>
              <w:t>3.5</w:t>
            </w:r>
            <w:r>
              <w:rPr>
                <w:rFonts w:hint="eastAsia" w:eastAsia="Times New Roman"/>
                <w:snapToGrid w:val="0"/>
                <w:color w:val="auto"/>
                <w:kern w:val="0"/>
                <w:szCs w:val="21"/>
                <w:highlight w:val="none"/>
              </w:rPr>
              <w:t>km的</w:t>
            </w:r>
            <w:r>
              <w:rPr>
                <w:rFonts w:hint="eastAsia" w:eastAsia="宋体"/>
                <w:snapToGrid w:val="0"/>
                <w:color w:val="auto"/>
                <w:kern w:val="0"/>
                <w:szCs w:val="21"/>
                <w:highlight w:val="none"/>
                <w:lang w:val="en-US" w:eastAsia="zh-CN"/>
              </w:rPr>
              <w:t>区域</w:t>
            </w:r>
            <w:r>
              <w:rPr>
                <w:rFonts w:hint="eastAsia" w:eastAsia="Times New Roman"/>
                <w:color w:val="auto"/>
                <w:highlight w:val="none"/>
              </w:rPr>
              <w:t>内</w:t>
            </w:r>
          </w:p>
        </w:tc>
      </w:tr>
    </w:tbl>
    <w:p w14:paraId="21E10F3C">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rPr>
      </w:pPr>
      <w:bookmarkStart w:id="81" w:name="_Toc25502"/>
      <w:r>
        <w:rPr>
          <w:rFonts w:hint="eastAsia" w:ascii="Times New Roman" w:hAnsi="Times New Roman" w:cs="Times New Roman"/>
          <w:b w:val="0"/>
          <w:bCs w:val="0"/>
          <w:snapToGrid w:val="0"/>
          <w:color w:val="auto"/>
          <w:kern w:val="0"/>
          <w:sz w:val="28"/>
          <w:szCs w:val="28"/>
          <w:highlight w:val="none"/>
        </w:rPr>
        <w:t>2.</w:t>
      </w:r>
      <w:r>
        <w:rPr>
          <w:rFonts w:hint="eastAsia" w:ascii="Times New Roman" w:hAnsi="Times New Roman" w:cs="Times New Roman"/>
          <w:b w:val="0"/>
          <w:bCs w:val="0"/>
          <w:snapToGrid w:val="0"/>
          <w:color w:val="auto"/>
          <w:kern w:val="0"/>
          <w:sz w:val="28"/>
          <w:szCs w:val="28"/>
          <w:highlight w:val="none"/>
          <w:lang w:val="en-US" w:eastAsia="zh-CN"/>
        </w:rPr>
        <w:t>7</w:t>
      </w:r>
      <w:r>
        <w:rPr>
          <w:rFonts w:hint="eastAsia" w:ascii="Times New Roman" w:hAnsi="Times New Roman" w:cs="Times New Roman"/>
          <w:b w:val="0"/>
          <w:bCs w:val="0"/>
          <w:snapToGrid w:val="0"/>
          <w:color w:val="auto"/>
          <w:kern w:val="0"/>
          <w:sz w:val="28"/>
          <w:szCs w:val="28"/>
          <w:highlight w:val="none"/>
        </w:rPr>
        <w:t xml:space="preserve"> 污染控制目标和环境保护目标</w:t>
      </w:r>
      <w:bookmarkEnd w:id="80"/>
      <w:bookmarkEnd w:id="81"/>
    </w:p>
    <w:p w14:paraId="41189AA9">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7</w:t>
      </w:r>
      <w:r>
        <w:rPr>
          <w:rFonts w:hint="eastAsia" w:ascii="Times New Roman" w:hAnsi="Times New Roman" w:cs="Times New Roman"/>
          <w:snapToGrid w:val="0"/>
          <w:color w:val="auto"/>
          <w:spacing w:val="0"/>
          <w:kern w:val="0"/>
          <w:szCs w:val="24"/>
          <w:highlight w:val="none"/>
        </w:rPr>
        <w:t>.1污染控制目标</w:t>
      </w:r>
    </w:p>
    <w:p w14:paraId="34C6BC8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基于本项目污染物产生情况及</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环境影响问题，根据评价区</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环境功能区的要求，确定本项目污染控制的目标。即：做到全过程最大限度地减少污染物排放，确保项目实施后污染物浓度达标排放和污染物总量控制指标“双达标”；采取有效</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环境风险防范及应急措施，使本项目的</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环境风险降低至最小。具体目标如下：</w:t>
      </w:r>
    </w:p>
    <w:p w14:paraId="288D549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2.7.1.1废气控制目标</w:t>
      </w:r>
    </w:p>
    <w:p w14:paraId="46BAB16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对于本项目排放的废气，要充分做好治理措施论证，力争采用技术先进、运行可靠且经济合理的治理措施，最大限度减少</w:t>
      </w:r>
      <w:r>
        <w:rPr>
          <w:rFonts w:hint="eastAsia"/>
          <w:snapToGrid w:val="0"/>
          <w:color w:val="auto"/>
          <w:kern w:val="0"/>
          <w:sz w:val="24"/>
          <w:highlight w:val="none"/>
          <w:lang w:val="en-US" w:eastAsia="zh-CN"/>
        </w:rPr>
        <w:t>废气污染物</w:t>
      </w:r>
      <w:r>
        <w:rPr>
          <w:rFonts w:hint="eastAsia"/>
          <w:snapToGrid w:val="0"/>
          <w:color w:val="auto"/>
          <w:kern w:val="0"/>
          <w:sz w:val="24"/>
          <w:highlight w:val="none"/>
        </w:rPr>
        <w:t>排放量，确保废气中各类污染物达标排放。</w:t>
      </w:r>
    </w:p>
    <w:p w14:paraId="76F9043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2.7.1.2废水控制目标</w:t>
      </w:r>
    </w:p>
    <w:p w14:paraId="69501E5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snapToGrid w:val="0"/>
          <w:color w:val="auto"/>
          <w:kern w:val="0"/>
          <w:sz w:val="24"/>
          <w:highlight w:val="none"/>
          <w:lang w:val="en-US" w:eastAsia="zh-CN"/>
        </w:rPr>
        <w:t>排入</w:t>
      </w:r>
      <w:r>
        <w:rPr>
          <w:rFonts w:hint="eastAsia"/>
          <w:snapToGrid w:val="0"/>
          <w:color w:val="auto"/>
          <w:kern w:val="0"/>
          <w:sz w:val="24"/>
          <w:highlight w:val="none"/>
        </w:rPr>
        <w:t>西区污水处理厂</w:t>
      </w:r>
      <w:r>
        <w:rPr>
          <w:rFonts w:hint="eastAsia"/>
          <w:snapToGrid w:val="0"/>
          <w:color w:val="auto"/>
          <w:kern w:val="0"/>
          <w:sz w:val="24"/>
          <w:highlight w:val="none"/>
          <w:lang w:val="en-US" w:eastAsia="zh-CN"/>
        </w:rPr>
        <w:t>二</w:t>
      </w:r>
      <w:r>
        <w:rPr>
          <w:rFonts w:hint="eastAsia"/>
          <w:snapToGrid w:val="0"/>
          <w:color w:val="auto"/>
          <w:kern w:val="0"/>
          <w:sz w:val="24"/>
          <w:highlight w:val="none"/>
        </w:rPr>
        <w:t>期工程</w:t>
      </w:r>
      <w:r>
        <w:rPr>
          <w:rFonts w:hint="eastAsia"/>
          <w:snapToGrid w:val="0"/>
          <w:color w:val="auto"/>
          <w:kern w:val="0"/>
          <w:sz w:val="24"/>
          <w:highlight w:val="none"/>
          <w:lang w:eastAsia="zh-CN"/>
        </w:rPr>
        <w:t>；</w:t>
      </w:r>
      <w:r>
        <w:rPr>
          <w:rFonts w:hint="eastAsia"/>
          <w:snapToGrid w:val="0"/>
          <w:color w:val="auto"/>
          <w:kern w:val="0"/>
          <w:sz w:val="24"/>
          <w:highlight w:val="none"/>
        </w:rPr>
        <w:t>循环水排污依托现有污水处理站中水段</w:t>
      </w:r>
      <w:r>
        <w:rPr>
          <w:rFonts w:hint="eastAsia"/>
          <w:snapToGrid w:val="0"/>
          <w:color w:val="auto"/>
          <w:kern w:val="0"/>
          <w:sz w:val="24"/>
          <w:highlight w:val="none"/>
          <w:lang w:val="en-US" w:eastAsia="zh-CN"/>
        </w:rPr>
        <w:t>处理；</w:t>
      </w:r>
      <w:r>
        <w:rPr>
          <w:rFonts w:hint="eastAsia"/>
          <w:snapToGrid w:val="0"/>
          <w:color w:val="auto"/>
          <w:kern w:val="0"/>
          <w:sz w:val="24"/>
          <w:highlight w:val="none"/>
        </w:rPr>
        <w:t>生活污水</w:t>
      </w:r>
      <w:r>
        <w:rPr>
          <w:rFonts w:hint="eastAsia"/>
          <w:snapToGrid w:val="0"/>
          <w:color w:val="auto"/>
          <w:kern w:val="0"/>
          <w:sz w:val="24"/>
          <w:highlight w:val="none"/>
          <w:lang w:eastAsia="zh-CN"/>
        </w:rPr>
        <w:t>、</w:t>
      </w:r>
      <w:r>
        <w:rPr>
          <w:rFonts w:hint="eastAsia"/>
          <w:snapToGrid w:val="0"/>
          <w:color w:val="auto"/>
          <w:kern w:val="0"/>
          <w:sz w:val="24"/>
          <w:highlight w:val="none"/>
        </w:rPr>
        <w:t>水洗塔定排和碱洗塔定排</w:t>
      </w:r>
      <w:r>
        <w:rPr>
          <w:rFonts w:hint="eastAsia"/>
          <w:snapToGrid w:val="0"/>
          <w:color w:val="auto"/>
          <w:kern w:val="0"/>
          <w:sz w:val="24"/>
          <w:highlight w:val="none"/>
          <w:lang w:val="en-US" w:eastAsia="zh-CN"/>
        </w:rPr>
        <w:t>依托现有污水处理站生化段处理后</w:t>
      </w:r>
      <w:r>
        <w:rPr>
          <w:rFonts w:hint="eastAsia"/>
          <w:snapToGrid w:val="0"/>
          <w:color w:val="auto"/>
          <w:kern w:val="0"/>
          <w:sz w:val="24"/>
          <w:highlight w:val="none"/>
        </w:rPr>
        <w:t>排入西区污水处理厂</w:t>
      </w:r>
      <w:r>
        <w:rPr>
          <w:rFonts w:hint="eastAsia"/>
          <w:snapToGrid w:val="0"/>
          <w:color w:val="auto"/>
          <w:kern w:val="0"/>
          <w:sz w:val="24"/>
          <w:highlight w:val="none"/>
          <w:lang w:val="en-US" w:eastAsia="zh-CN"/>
        </w:rPr>
        <w:t>一</w:t>
      </w:r>
      <w:r>
        <w:rPr>
          <w:rFonts w:hint="eastAsia"/>
          <w:snapToGrid w:val="0"/>
          <w:color w:val="auto"/>
          <w:kern w:val="0"/>
          <w:sz w:val="24"/>
          <w:highlight w:val="none"/>
        </w:rPr>
        <w:t>期，企业</w:t>
      </w:r>
      <w:r>
        <w:rPr>
          <w:rFonts w:hint="eastAsia"/>
          <w:snapToGrid w:val="0"/>
          <w:color w:val="auto"/>
          <w:kern w:val="0"/>
          <w:sz w:val="24"/>
          <w:highlight w:val="none"/>
          <w:lang w:val="en-US" w:eastAsia="zh-CN"/>
        </w:rPr>
        <w:t>需</w:t>
      </w:r>
      <w:r>
        <w:rPr>
          <w:rFonts w:hint="eastAsia"/>
          <w:snapToGrid w:val="0"/>
          <w:color w:val="auto"/>
          <w:kern w:val="0"/>
          <w:sz w:val="24"/>
          <w:highlight w:val="none"/>
        </w:rPr>
        <w:t>做好防渗措施，确保地下水环境质量不受本项目的影响。</w:t>
      </w:r>
    </w:p>
    <w:p w14:paraId="7879722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2.7.1.3噪声控制目标</w:t>
      </w:r>
    </w:p>
    <w:p w14:paraId="3C4F856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本项目设备选用低噪声低能耗设备，运营期采取有效的减噪措施，确保厂区边界噪声满足《工业企业厂界环境噪声排放标准》（GB12348-2008）中3类标准要求。</w:t>
      </w:r>
    </w:p>
    <w:p w14:paraId="67B1A54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2.7.1.4固体废物控制目标</w:t>
      </w:r>
    </w:p>
    <w:p w14:paraId="1D0CFA2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固体废物实现分类处置，不对周围环境产生危害和二次污染；危险废物交有资质单位处理，危险废物临时贮存场所符合《危险废物贮存污染控制标准》（GB18597-2023）。</w:t>
      </w:r>
    </w:p>
    <w:p w14:paraId="4040D48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2.7.1.5生态环境风险污染控制目标</w:t>
      </w:r>
    </w:p>
    <w:p w14:paraId="4C1165C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采取有效的事故预防及应急措施，力争将事故风险降低至最小，降低风险事故排放的废水和废气等事故发生</w:t>
      </w:r>
      <w:r>
        <w:rPr>
          <w:rFonts w:hint="eastAsia"/>
          <w:snapToGrid w:val="0"/>
          <w:color w:val="auto"/>
          <w:kern w:val="0"/>
          <w:sz w:val="24"/>
          <w:highlight w:val="none"/>
          <w:lang w:val="en-US" w:eastAsia="zh-CN"/>
        </w:rPr>
        <w:t>概率</w:t>
      </w:r>
      <w:r>
        <w:rPr>
          <w:rFonts w:hint="eastAsia"/>
          <w:snapToGrid w:val="0"/>
          <w:color w:val="auto"/>
          <w:kern w:val="0"/>
          <w:sz w:val="24"/>
          <w:highlight w:val="none"/>
        </w:rPr>
        <w:t>。</w:t>
      </w:r>
    </w:p>
    <w:p w14:paraId="0A4374A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2.7.1.6污染物排放总量控制目标</w:t>
      </w:r>
    </w:p>
    <w:p w14:paraId="126CBFB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在污染物达标排放的基础上，通过加强污染物治理措施，减少污染物排放总量，以满足总量控制指标的要求。</w:t>
      </w:r>
    </w:p>
    <w:p w14:paraId="5B203A9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7</w:t>
      </w:r>
      <w:r>
        <w:rPr>
          <w:rFonts w:hint="eastAsia" w:ascii="Times New Roman" w:hAnsi="Times New Roman" w:cs="Times New Roman"/>
          <w:snapToGrid w:val="0"/>
          <w:color w:val="auto"/>
          <w:spacing w:val="0"/>
          <w:kern w:val="0"/>
          <w:szCs w:val="24"/>
          <w:highlight w:val="none"/>
        </w:rPr>
        <w:t>.2</w:t>
      </w:r>
      <w:r>
        <w:rPr>
          <w:rFonts w:hint="eastAsia" w:ascii="Times New Roman" w:hAns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rPr>
        <w:t>环境保护目标</w:t>
      </w:r>
    </w:p>
    <w:p w14:paraId="70D82289">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本项目位于</w:t>
      </w:r>
      <w:r>
        <w:rPr>
          <w:rFonts w:hint="eastAsia"/>
          <w:snapToGrid w:val="0"/>
          <w:color w:val="auto"/>
          <w:kern w:val="0"/>
          <w:sz w:val="24"/>
          <w:highlight w:val="none"/>
          <w:lang w:val="fr-FR"/>
        </w:rPr>
        <w:t>乌苏市</w:t>
      </w:r>
      <w:r>
        <w:rPr>
          <w:rFonts w:hint="eastAsia"/>
          <w:snapToGrid w:val="0"/>
          <w:color w:val="auto"/>
          <w:kern w:val="0"/>
          <w:sz w:val="24"/>
          <w:highlight w:val="none"/>
        </w:rPr>
        <w:t>化工产业集中区凯赛（乌苏）生物材料有限公司厂区内，经现场踏勘可知，项目所在区域及周边无自然保护区、风景名胜区、饮用水</w:t>
      </w:r>
      <w:r>
        <w:rPr>
          <w:rFonts w:hint="eastAsia"/>
          <w:snapToGrid w:val="0"/>
          <w:color w:val="auto"/>
          <w:kern w:val="0"/>
          <w:sz w:val="24"/>
          <w:highlight w:val="none"/>
          <w:lang w:val="en-US" w:eastAsia="zh-CN"/>
        </w:rPr>
        <w:t>水源保护地</w:t>
      </w:r>
      <w:r>
        <w:rPr>
          <w:rFonts w:hint="eastAsia"/>
          <w:snapToGrid w:val="0"/>
          <w:color w:val="auto"/>
          <w:kern w:val="0"/>
          <w:sz w:val="24"/>
          <w:highlight w:val="none"/>
        </w:rPr>
        <w:t>等需特殊保护区域。评价范围内主要</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环境敏感保护目标包括：厂址附近的零散居民、地表水、地下水等。项目</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环境保护目标详见表2.</w:t>
      </w:r>
      <w:r>
        <w:rPr>
          <w:rFonts w:hint="eastAsia"/>
          <w:snapToGrid w:val="0"/>
          <w:color w:val="auto"/>
          <w:kern w:val="0"/>
          <w:sz w:val="24"/>
          <w:highlight w:val="none"/>
          <w:lang w:val="en-US" w:eastAsia="zh-CN"/>
        </w:rPr>
        <w:t>7</w:t>
      </w:r>
      <w:r>
        <w:rPr>
          <w:rFonts w:hint="eastAsia"/>
          <w:snapToGrid w:val="0"/>
          <w:color w:val="auto"/>
          <w:kern w:val="0"/>
          <w:sz w:val="24"/>
          <w:highlight w:val="none"/>
        </w:rPr>
        <w:t>-1，评价范围及</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环境保护目标分布图见图2.</w:t>
      </w:r>
      <w:r>
        <w:rPr>
          <w:rFonts w:hint="eastAsia"/>
          <w:snapToGrid w:val="0"/>
          <w:color w:val="auto"/>
          <w:kern w:val="0"/>
          <w:sz w:val="24"/>
          <w:highlight w:val="none"/>
          <w:lang w:val="en-US" w:eastAsia="zh-CN"/>
        </w:rPr>
        <w:t>7</w:t>
      </w:r>
      <w:r>
        <w:rPr>
          <w:rFonts w:hint="eastAsia"/>
          <w:snapToGrid w:val="0"/>
          <w:color w:val="auto"/>
          <w:kern w:val="0"/>
          <w:sz w:val="24"/>
          <w:highlight w:val="none"/>
        </w:rPr>
        <w:t>-1。</w:t>
      </w:r>
    </w:p>
    <w:bookmarkEnd w:id="11"/>
    <w:bookmarkEnd w:id="12"/>
    <w:bookmarkEnd w:id="13"/>
    <w:bookmarkEnd w:id="64"/>
    <w:bookmarkEnd w:id="65"/>
    <w:bookmarkEnd w:id="66"/>
    <w:bookmarkEnd w:id="67"/>
    <w:bookmarkEnd w:id="68"/>
    <w:p w14:paraId="1FB27636">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bookmarkStart w:id="82" w:name="_Toc309715334"/>
      <w:r>
        <w:rPr>
          <w:rFonts w:hint="eastAsia" w:ascii="Times New Roman" w:hAnsi="Times New Roman" w:cs="Times New Roman"/>
          <w:snapToGrid w:val="0"/>
          <w:color w:val="auto"/>
          <w:spacing w:val="0"/>
          <w:kern w:val="0"/>
          <w:szCs w:val="24"/>
          <w:highlight w:val="none"/>
        </w:rPr>
        <w:t>5.1.2地形地貌</w:t>
      </w:r>
      <w:bookmarkEnd w:id="82"/>
    </w:p>
    <w:p w14:paraId="273A593A">
      <w:pPr>
        <w:widowControl/>
        <w:adjustRightInd w:val="0"/>
        <w:snapToGrid w:val="0"/>
        <w:spacing w:line="360" w:lineRule="auto"/>
        <w:ind w:firstLine="480" w:firstLineChars="200"/>
        <w:rPr>
          <w:color w:val="auto"/>
          <w:kern w:val="0"/>
          <w:sz w:val="24"/>
          <w:highlight w:val="none"/>
        </w:rPr>
      </w:pPr>
      <w:bookmarkStart w:id="83" w:name="_Toc430635910"/>
      <w:bookmarkStart w:id="84" w:name="_Toc433021092"/>
      <w:bookmarkStart w:id="85" w:name="_Toc430636085"/>
      <w:bookmarkStart w:id="86" w:name="_Toc433020916"/>
      <w:bookmarkStart w:id="87" w:name="_Toc309715335"/>
      <w:r>
        <w:rPr>
          <w:color w:val="auto"/>
          <w:kern w:val="0"/>
          <w:sz w:val="24"/>
          <w:highlight w:val="none"/>
        </w:rPr>
        <w:t>乌苏市地处准噶尔盆地西南缘、天山支脉婆罗科努山和依连哈比尔尕山北麓，大地构造属于天山-兴安地槽区-天山褶皱系的一部分。地质构造分属艾比湖－乌苏凹陷带、依连哈比尔尕复向斜、婆罗科努复背斜及乌鲁木齐山前凹陷，跨准噶尔盆地和北天山山地两大地貌单元，干燥地貌特别发育，盆地内部出现半沙漠。乌苏北部的准噶尔盆地主要由冲积平原构成，中部为盆地到山地的过渡带由冲积洪积倾斜平原和干燥剥蚀低山构成，南部为北天山山地。近期构造运动造成境内南高北低，东部略高于西部的大趋势，依次分为高山、中低山、丘陵、平原和沙漠5个地带。地貌构造复杂，自然条件差异显著。</w:t>
      </w:r>
    </w:p>
    <w:p w14:paraId="2B81F06F">
      <w:pPr>
        <w:widowControl/>
        <w:adjustRightInd w:val="0"/>
        <w:snapToGrid w:val="0"/>
        <w:spacing w:line="360" w:lineRule="auto"/>
        <w:ind w:firstLine="480" w:firstLineChars="200"/>
        <w:rPr>
          <w:color w:val="auto"/>
          <w:kern w:val="0"/>
          <w:sz w:val="24"/>
          <w:highlight w:val="none"/>
        </w:rPr>
      </w:pPr>
      <w:r>
        <w:rPr>
          <w:color w:val="auto"/>
          <w:kern w:val="0"/>
          <w:sz w:val="24"/>
          <w:highlight w:val="none"/>
        </w:rPr>
        <w:t>乌苏市辖区范围南北长约218km，东西宽约183km，面积为20752.46k</w:t>
      </w:r>
      <w:r>
        <w:rPr>
          <w:rFonts w:hint="eastAsia"/>
          <w:color w:val="auto"/>
          <w:kern w:val="0"/>
          <w:sz w:val="24"/>
          <w:highlight w:val="none"/>
        </w:rPr>
        <w:t>m</w:t>
      </w:r>
      <w:r>
        <w:rPr>
          <w:rFonts w:hint="eastAsia"/>
          <w:color w:val="auto"/>
          <w:kern w:val="0"/>
          <w:sz w:val="24"/>
          <w:highlight w:val="none"/>
          <w:vertAlign w:val="superscript"/>
        </w:rPr>
        <w:t>2</w:t>
      </w:r>
      <w:r>
        <w:rPr>
          <w:color w:val="auto"/>
          <w:kern w:val="0"/>
          <w:sz w:val="24"/>
          <w:highlight w:val="none"/>
        </w:rPr>
        <w:t>。区域内最高峰为东南缘的婆罗科努山，</w:t>
      </w:r>
      <w:r>
        <w:rPr>
          <w:rFonts w:hint="eastAsia"/>
          <w:color w:val="auto"/>
          <w:kern w:val="0"/>
          <w:sz w:val="24"/>
          <w:highlight w:val="none"/>
          <w:lang w:eastAsia="zh-CN"/>
        </w:rPr>
        <w:t>海拔</w:t>
      </w:r>
      <w:r>
        <w:rPr>
          <w:color w:val="auto"/>
          <w:kern w:val="0"/>
          <w:sz w:val="24"/>
          <w:highlight w:val="none"/>
        </w:rPr>
        <w:t>约5041米，最低处为西北缘四棵树河与奎屯河的交汇处，</w:t>
      </w:r>
      <w:r>
        <w:rPr>
          <w:rFonts w:hint="eastAsia"/>
          <w:color w:val="auto"/>
          <w:kern w:val="0"/>
          <w:sz w:val="24"/>
          <w:highlight w:val="none"/>
          <w:lang w:eastAsia="zh-CN"/>
        </w:rPr>
        <w:t>海拔</w:t>
      </w:r>
      <w:r>
        <w:rPr>
          <w:color w:val="auto"/>
          <w:kern w:val="0"/>
          <w:sz w:val="24"/>
          <w:highlight w:val="none"/>
        </w:rPr>
        <w:t>约226米；区域地势为南高北低，自南向北呈扇形坡面，南部为山区，中部、北部为平原。区域地形地貌受大地地质构造环境控制，规律性比较明显，由南向北大致可分为两大地貌单元，即北天山北坡山区与准噶尔盆地平原，局部发育有小片沙丘地形。</w:t>
      </w:r>
    </w:p>
    <w:p w14:paraId="4C0FEA08">
      <w:pPr>
        <w:widowControl/>
        <w:adjustRightInd w:val="0"/>
        <w:snapToGrid w:val="0"/>
        <w:spacing w:line="360" w:lineRule="auto"/>
        <w:ind w:firstLine="480" w:firstLineChars="200"/>
        <w:rPr>
          <w:color w:val="auto"/>
          <w:kern w:val="0"/>
          <w:sz w:val="24"/>
          <w:highlight w:val="none"/>
        </w:rPr>
      </w:pPr>
      <w:r>
        <w:rPr>
          <w:color w:val="auto"/>
          <w:kern w:val="0"/>
          <w:sz w:val="24"/>
          <w:highlight w:val="none"/>
        </w:rPr>
        <w:t>①山区</w:t>
      </w:r>
    </w:p>
    <w:p w14:paraId="03F0E68C">
      <w:pPr>
        <w:widowControl/>
        <w:adjustRightInd w:val="0"/>
        <w:snapToGrid w:val="0"/>
        <w:spacing w:line="360" w:lineRule="auto"/>
        <w:ind w:firstLine="480" w:firstLineChars="200"/>
        <w:rPr>
          <w:color w:val="auto"/>
          <w:kern w:val="0"/>
          <w:sz w:val="24"/>
          <w:highlight w:val="none"/>
        </w:rPr>
      </w:pPr>
      <w:r>
        <w:rPr>
          <w:color w:val="auto"/>
          <w:kern w:val="0"/>
          <w:sz w:val="24"/>
          <w:highlight w:val="none"/>
        </w:rPr>
        <w:t>南部山区东西横亘着依连哈比尔尕山北坡和婆罗科努山北坡及它的支脉。境内山体宽40～60km，长140km，海拔1000～4200米，山区总面积占全市总面积的43.57%，是乌苏市的主要牧业区。</w:t>
      </w:r>
    </w:p>
    <w:p w14:paraId="395271F0">
      <w:pPr>
        <w:widowControl/>
        <w:adjustRightInd w:val="0"/>
        <w:snapToGrid w:val="0"/>
        <w:spacing w:line="360" w:lineRule="auto"/>
        <w:ind w:firstLine="480" w:firstLineChars="200"/>
        <w:rPr>
          <w:color w:val="auto"/>
          <w:kern w:val="0"/>
          <w:sz w:val="24"/>
          <w:highlight w:val="none"/>
        </w:rPr>
      </w:pPr>
      <w:r>
        <w:rPr>
          <w:color w:val="auto"/>
          <w:kern w:val="0"/>
          <w:sz w:val="24"/>
          <w:highlight w:val="none"/>
        </w:rPr>
        <w:t>②盆地</w:t>
      </w:r>
    </w:p>
    <w:p w14:paraId="7CC368F4">
      <w:pPr>
        <w:widowControl/>
        <w:adjustRightInd w:val="0"/>
        <w:snapToGrid w:val="0"/>
        <w:spacing w:line="360" w:lineRule="auto"/>
        <w:ind w:firstLine="480" w:firstLineChars="200"/>
        <w:rPr>
          <w:color w:val="auto"/>
          <w:kern w:val="0"/>
          <w:sz w:val="24"/>
          <w:highlight w:val="none"/>
        </w:rPr>
      </w:pPr>
      <w:r>
        <w:rPr>
          <w:color w:val="auto"/>
          <w:kern w:val="0"/>
          <w:sz w:val="24"/>
          <w:highlight w:val="none"/>
        </w:rPr>
        <w:t>境内中部，北天山山麓地带以北至国道312线以南的15～20km宽的地带为山前冲、洪积倾斜平原，海拔450～1000米，地形由南向北倾斜，平坦开阔，多为荒漠戈壁景观。</w:t>
      </w:r>
    </w:p>
    <w:p w14:paraId="12C2298A">
      <w:pPr>
        <w:widowControl/>
        <w:adjustRightInd w:val="0"/>
        <w:snapToGrid w:val="0"/>
        <w:spacing w:line="360" w:lineRule="auto"/>
        <w:ind w:firstLine="480" w:firstLineChars="200"/>
        <w:rPr>
          <w:color w:val="auto"/>
          <w:kern w:val="0"/>
          <w:sz w:val="24"/>
          <w:highlight w:val="none"/>
        </w:rPr>
      </w:pPr>
      <w:r>
        <w:rPr>
          <w:color w:val="auto"/>
          <w:kern w:val="0"/>
          <w:sz w:val="24"/>
          <w:highlight w:val="none"/>
        </w:rPr>
        <w:t>以国道312线为界的北部地区，多为冲、淤积平原，海拔250～500m，地形平坦开阔，地下水埋藏浅，多为盐碱沼泽地带，芦苇草木</w:t>
      </w:r>
      <w:r>
        <w:rPr>
          <w:rFonts w:hint="eastAsia"/>
          <w:color w:val="auto"/>
          <w:kern w:val="0"/>
          <w:sz w:val="24"/>
          <w:highlight w:val="none"/>
          <w:lang w:eastAsia="zh-CN"/>
        </w:rPr>
        <w:t>丛生</w:t>
      </w:r>
      <w:r>
        <w:rPr>
          <w:color w:val="auto"/>
          <w:kern w:val="0"/>
          <w:sz w:val="24"/>
          <w:highlight w:val="none"/>
        </w:rPr>
        <w:t>，局部有沙丘发育，是乌苏市的主要农业区。</w:t>
      </w:r>
    </w:p>
    <w:p w14:paraId="40DDE89A">
      <w:pPr>
        <w:widowControl/>
        <w:adjustRightInd w:val="0"/>
        <w:snapToGrid w:val="0"/>
        <w:spacing w:line="360" w:lineRule="auto"/>
        <w:ind w:firstLine="480" w:firstLineChars="200"/>
        <w:rPr>
          <w:snapToGrid w:val="0"/>
          <w:color w:val="auto"/>
          <w:kern w:val="0"/>
          <w:sz w:val="24"/>
          <w:highlight w:val="none"/>
        </w:rPr>
      </w:pPr>
      <w:r>
        <w:rPr>
          <w:color w:val="auto"/>
          <w:kern w:val="0"/>
          <w:sz w:val="24"/>
          <w:highlight w:val="none"/>
        </w:rPr>
        <w:t>本项目位于北天山北坡山区的冲洪积倾斜平原上，呈2°～5°的坡度向北倾斜，主要由古洪积扇和现代洪积扇叠加而成，因气候干旱，地表植物稀疏，覆盖率约20％，呈现戈壁荒滩景观。工业区占地为戈壁荒漠草场，地势平坦开阔，由南向北渐低，东部高于西部，地面高程为520m（1956年黄海高程系），地形坡度平均为0.6%～0.8%。</w:t>
      </w:r>
    </w:p>
    <w:p w14:paraId="64D9184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5.1.3工程地质</w:t>
      </w:r>
    </w:p>
    <w:p w14:paraId="025B068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5.1.3.1区域地层</w:t>
      </w:r>
    </w:p>
    <w:p w14:paraId="2CA80FC7">
      <w:pPr>
        <w:widowControl/>
        <w:adjustRightInd w:val="0"/>
        <w:snapToGrid w:val="0"/>
        <w:spacing w:line="360" w:lineRule="auto"/>
        <w:ind w:firstLine="480" w:firstLineChars="200"/>
        <w:rPr>
          <w:color w:val="auto"/>
          <w:kern w:val="0"/>
          <w:sz w:val="24"/>
          <w:highlight w:val="none"/>
        </w:rPr>
      </w:pPr>
      <w:r>
        <w:rPr>
          <w:color w:val="auto"/>
          <w:kern w:val="0"/>
          <w:sz w:val="24"/>
          <w:highlight w:val="none"/>
        </w:rPr>
        <w:t>乌苏市境内地层发育的特点是：新生代及其以前的地层主要分布在国道312线以南的高山和丘陵地带。主要有古生界（Pz）的志留系、泥盆系、石炭系、二叠系及中生界的三叠系、侏罗系、白垩系和新生界的第三系的基岩出露，从山前至国道312线以北的广大地区为第四系覆盖，无基岩出露。南部山区为古生代地层，中生代和新生代第三纪地层沿山前陆续分布，第四纪广泛分布于平原地区。在地层分区上，乌苏市境内所出露的地层属于北天山地层区依连哈比尔尕小区和玛纳斯小区。占全市面积三分之二的平原地区均为第四纪覆盖，无基岩出露。</w:t>
      </w:r>
    </w:p>
    <w:p w14:paraId="1E71030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5.1.3.2区域地质构造及地震</w:t>
      </w:r>
    </w:p>
    <w:p w14:paraId="28A106D8">
      <w:pPr>
        <w:widowControl/>
        <w:adjustRightInd w:val="0"/>
        <w:snapToGrid w:val="0"/>
        <w:spacing w:line="360" w:lineRule="auto"/>
        <w:ind w:firstLine="480" w:firstLineChars="200"/>
        <w:rPr>
          <w:color w:val="auto"/>
          <w:kern w:val="0"/>
          <w:sz w:val="24"/>
          <w:highlight w:val="none"/>
        </w:rPr>
      </w:pPr>
      <w:r>
        <w:rPr>
          <w:color w:val="auto"/>
          <w:kern w:val="0"/>
          <w:sz w:val="24"/>
          <w:highlight w:val="none"/>
        </w:rPr>
        <w:t>乌苏位于准噶尔盆地西南缘、天山支脉婆罗科努山和依连哈比尔尕山北麓大地构造属于天山—兴安地槽区准噶尔—天山褶皱系的一部分，包括两个二级构造单元：平原区北部属于准噶尔坳陷中的车排子隆起，平原区的南部及北天山地区属北天山地槽褶皱带中的乌鲁木齐山前坳陷、依连哈比尔尕复向斜和婆罗克努复背斜。</w:t>
      </w:r>
    </w:p>
    <w:p w14:paraId="739A7502">
      <w:pPr>
        <w:widowControl/>
        <w:adjustRightInd w:val="0"/>
        <w:snapToGrid w:val="0"/>
        <w:spacing w:line="360" w:lineRule="auto"/>
        <w:ind w:firstLine="480" w:firstLineChars="200"/>
        <w:rPr>
          <w:color w:val="auto"/>
          <w:kern w:val="0"/>
          <w:sz w:val="24"/>
          <w:highlight w:val="none"/>
        </w:rPr>
      </w:pPr>
      <w:r>
        <w:rPr>
          <w:color w:val="auto"/>
          <w:kern w:val="0"/>
          <w:sz w:val="24"/>
          <w:highlight w:val="none"/>
        </w:rPr>
        <w:t>从大地构造运动上看，乌苏区域及其外围，包括天山北坡、西准噶尔界山东南坡以及它们之间的准噶尔盆地，自古生代以来的漫长历史时期，经受了多次构造运动，形成了天山东西向构造体系、北山多字型构造体系和北西向构造体系。在三大构造体系的控制下，发育而成为现代的地貌景观，它在一定程度上又反应了挽近期构造运动的性质、强度及其景观，中生代时，南、西、北三面断续相对上升为山地，其间相对下降为盆地，同时，在天山山前形成明显的坳陷带，并接受来自山地的巨厚陆相沉积。第三纪时，在强烈的喜马拉雅运动的影响下，山地与盆地间块断式的升降运动强烈，使中生代地层产生断裂和褶皱，山前坳陷也随着北迁西移，到新第三纪时形成以乌苏—奎屯为中</w:t>
      </w:r>
      <w:r>
        <w:rPr>
          <w:rFonts w:hint="eastAsia"/>
          <w:color w:val="auto"/>
          <w:kern w:val="0"/>
          <w:sz w:val="24"/>
          <w:highlight w:val="none"/>
          <w:lang w:eastAsia="zh-CN"/>
        </w:rPr>
        <w:t>心的</w:t>
      </w:r>
      <w:r>
        <w:rPr>
          <w:color w:val="auto"/>
          <w:kern w:val="0"/>
          <w:sz w:val="24"/>
          <w:highlight w:val="none"/>
        </w:rPr>
        <w:t>沉积区，再次接受新的堆积。进入第四纪，本区构造运动仍很强烈，地壳的变化以垂直升降运动为主，水平运动次之。</w:t>
      </w:r>
    </w:p>
    <w:p w14:paraId="59C703A9">
      <w:pPr>
        <w:widowControl/>
        <w:adjustRightInd w:val="0"/>
        <w:snapToGrid w:val="0"/>
        <w:spacing w:line="360" w:lineRule="auto"/>
        <w:ind w:firstLine="480" w:firstLineChars="200"/>
        <w:rPr>
          <w:color w:val="auto"/>
          <w:kern w:val="0"/>
          <w:sz w:val="24"/>
          <w:highlight w:val="none"/>
        </w:rPr>
      </w:pPr>
      <w:r>
        <w:rPr>
          <w:color w:val="auto"/>
          <w:kern w:val="0"/>
          <w:sz w:val="24"/>
          <w:highlight w:val="none"/>
        </w:rPr>
        <w:t>从地震活动历史上看，乌苏地区位于北天山地震带西段的中部，历史上曾遭受多次大地震的劫难，据不完全统计，20世纪以来，乌苏及邻区共发生4.7级以上地震30余次，其中6级以上地震5次。影响乌苏区域的地震烈度在Ⅶ～Ⅷ度</w:t>
      </w:r>
      <w:r>
        <w:rPr>
          <w:rFonts w:hint="eastAsia"/>
          <w:color w:val="auto"/>
          <w:kern w:val="0"/>
          <w:sz w:val="24"/>
          <w:highlight w:val="none"/>
          <w:lang w:eastAsia="zh-CN"/>
        </w:rPr>
        <w:t>（</w:t>
      </w:r>
      <w:r>
        <w:rPr>
          <w:color w:val="auto"/>
          <w:kern w:val="0"/>
          <w:sz w:val="24"/>
          <w:highlight w:val="none"/>
        </w:rPr>
        <w:t>7～8度</w:t>
      </w:r>
      <w:r>
        <w:rPr>
          <w:rFonts w:hint="eastAsia"/>
          <w:color w:val="auto"/>
          <w:kern w:val="0"/>
          <w:sz w:val="24"/>
          <w:highlight w:val="none"/>
          <w:lang w:eastAsia="zh-CN"/>
        </w:rPr>
        <w:t>）</w:t>
      </w:r>
      <w:r>
        <w:rPr>
          <w:color w:val="auto"/>
          <w:kern w:val="0"/>
          <w:sz w:val="24"/>
          <w:highlight w:val="none"/>
        </w:rPr>
        <w:t>，个别区域（如南部山区）达Ⅸ度</w:t>
      </w:r>
      <w:r>
        <w:rPr>
          <w:rFonts w:hint="eastAsia"/>
          <w:color w:val="auto"/>
          <w:kern w:val="0"/>
          <w:sz w:val="24"/>
          <w:highlight w:val="none"/>
          <w:lang w:eastAsia="zh-CN"/>
        </w:rPr>
        <w:t>（</w:t>
      </w:r>
      <w:r>
        <w:rPr>
          <w:color w:val="auto"/>
          <w:kern w:val="0"/>
          <w:sz w:val="24"/>
          <w:highlight w:val="none"/>
        </w:rPr>
        <w:t>9度</w:t>
      </w:r>
      <w:r>
        <w:rPr>
          <w:rFonts w:hint="eastAsia"/>
          <w:color w:val="auto"/>
          <w:kern w:val="0"/>
          <w:sz w:val="24"/>
          <w:highlight w:val="none"/>
          <w:lang w:eastAsia="zh-CN"/>
        </w:rPr>
        <w:t>）</w:t>
      </w:r>
      <w:r>
        <w:rPr>
          <w:color w:val="auto"/>
          <w:kern w:val="0"/>
          <w:sz w:val="24"/>
          <w:highlight w:val="none"/>
        </w:rPr>
        <w:t>。</w:t>
      </w:r>
    </w:p>
    <w:p w14:paraId="2620BED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5.1.3.3岩性</w:t>
      </w:r>
    </w:p>
    <w:p w14:paraId="1D49190F">
      <w:pPr>
        <w:widowControl/>
        <w:adjustRightInd w:val="0"/>
        <w:snapToGrid w:val="0"/>
        <w:spacing w:line="360" w:lineRule="auto"/>
        <w:ind w:firstLine="480" w:firstLineChars="200"/>
        <w:rPr>
          <w:color w:val="auto"/>
          <w:kern w:val="0"/>
          <w:sz w:val="24"/>
          <w:highlight w:val="none"/>
        </w:rPr>
      </w:pPr>
      <w:r>
        <w:rPr>
          <w:color w:val="auto"/>
          <w:kern w:val="0"/>
          <w:sz w:val="24"/>
          <w:highlight w:val="none"/>
        </w:rPr>
        <w:t>境内岩石除各纪地层中大量沉积岩夹火山碎屑岩和少量浅变质岩外，其余为岩浆岩。岩浆岩在空间上严格受不同性质结构面控制，随深度不同，粒度亦不同。散见于山区各处的岩脉有：石英闪长岩脉、角闪辉长岩脉、辉绿岩脉、长英岩脉等。</w:t>
      </w:r>
    </w:p>
    <w:p w14:paraId="27EED3F7">
      <w:pPr>
        <w:widowControl/>
        <w:adjustRightInd w:val="0"/>
        <w:snapToGrid w:val="0"/>
        <w:spacing w:line="360" w:lineRule="auto"/>
        <w:ind w:firstLine="480" w:firstLineChars="200"/>
        <w:rPr>
          <w:color w:val="auto"/>
          <w:kern w:val="0"/>
          <w:sz w:val="24"/>
          <w:highlight w:val="none"/>
        </w:rPr>
      </w:pPr>
      <w:r>
        <w:rPr>
          <w:color w:val="auto"/>
          <w:kern w:val="0"/>
          <w:sz w:val="24"/>
          <w:highlight w:val="none"/>
        </w:rPr>
        <w:t>厂区地层主要为卵砾石层，上覆第四系沉积，厂址工程地质条件较好。根据《中国地震动参数区划图》（GB18306-2001）划分，厂址所在区域地震基本烈度Ⅷ度。</w:t>
      </w:r>
    </w:p>
    <w:p w14:paraId="7F091F0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5.1.3.4厂区工程地质</w:t>
      </w:r>
    </w:p>
    <w:p w14:paraId="3C869E06">
      <w:pPr>
        <w:pStyle w:val="669"/>
        <w:widowControl/>
        <w:adjustRightInd w:val="0"/>
        <w:snapToGrid w:val="0"/>
        <w:ind w:firstLine="480"/>
        <w:jc w:val="both"/>
        <w:rPr>
          <w:snapToGrid w:val="0"/>
          <w:color w:val="auto"/>
          <w:szCs w:val="24"/>
          <w:highlight w:val="none"/>
        </w:rPr>
      </w:pPr>
      <w:r>
        <w:rPr>
          <w:color w:val="auto"/>
          <w:szCs w:val="24"/>
          <w:highlight w:val="none"/>
        </w:rPr>
        <w:t>乌苏工业园区选址位于山前地带附近，处于奎屯河和四棵树河冲洪积倾斜平原的中上部，受构造和地形因素的共同控制，奎屯河和四棵树河的洪水携带着大量的碎屑颗粒物形成厚度达数百米的第四系松散沉积层。园区主要地层为卵砾石，灰褐色，稍密—中密，无明显层理，地层结构简单，性质均匀。为中粗砂充填，混有漂石，粘粒含量少，颗粒</w:t>
      </w:r>
      <w:r>
        <w:rPr>
          <w:rFonts w:hint="eastAsia"/>
          <w:color w:val="auto"/>
          <w:szCs w:val="24"/>
          <w:highlight w:val="none"/>
          <w:lang w:eastAsia="zh-CN"/>
        </w:rPr>
        <w:t>主要成分为</w:t>
      </w:r>
      <w:r>
        <w:rPr>
          <w:color w:val="auto"/>
          <w:szCs w:val="24"/>
          <w:highlight w:val="none"/>
        </w:rPr>
        <w:t>砂岩和花岗岩。分选性一般，</w:t>
      </w:r>
      <w:r>
        <w:rPr>
          <w:rFonts w:hint="eastAsia"/>
          <w:color w:val="auto"/>
          <w:szCs w:val="24"/>
          <w:highlight w:val="none"/>
          <w:lang w:val="en-US" w:eastAsia="zh-CN"/>
        </w:rPr>
        <w:t>磨圆</w:t>
      </w:r>
      <w:r>
        <w:rPr>
          <w:color w:val="auto"/>
          <w:szCs w:val="24"/>
          <w:highlight w:val="none"/>
        </w:rPr>
        <w:t>度较好，级配较好，是典型的河相冲洪积物。园区场地相对稳定；受干旱气候的影响，地表普遍发育有中～弱盐渍土现象；地下水埋深大于80m。</w:t>
      </w:r>
    </w:p>
    <w:bookmarkEnd w:id="83"/>
    <w:bookmarkEnd w:id="84"/>
    <w:bookmarkEnd w:id="85"/>
    <w:bookmarkEnd w:id="86"/>
    <w:p w14:paraId="763951D8">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5.1.</w:t>
      </w:r>
      <w:bookmarkEnd w:id="87"/>
      <w:r>
        <w:rPr>
          <w:rFonts w:hint="eastAsia" w:ascii="Times New Roman" w:hAnsi="Times New Roman" w:cs="Times New Roman"/>
          <w:snapToGrid w:val="0"/>
          <w:color w:val="auto"/>
          <w:spacing w:val="0"/>
          <w:kern w:val="0"/>
          <w:szCs w:val="24"/>
          <w:highlight w:val="none"/>
        </w:rPr>
        <w:t>4水文及水文地质</w:t>
      </w:r>
    </w:p>
    <w:p w14:paraId="567FAAD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5.1.4.1地表水</w:t>
      </w:r>
    </w:p>
    <w:p w14:paraId="1C4B8861">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乌苏范围内发育有大小河流14条，均发源于天山北坡的高山及中低山区，河流流向由南向北，地表水资源的地区分布很不均匀，地表径流量主要集中于四大河流即奎屯河、四棵树河、古尔图河和八音沟河。四条河流实测多年平均径流量15.23×10</w:t>
      </w:r>
      <w:r>
        <w:rPr>
          <w:snapToGrid w:val="0"/>
          <w:color w:val="auto"/>
          <w:kern w:val="0"/>
          <w:sz w:val="24"/>
          <w:highlight w:val="none"/>
          <w:vertAlign w:val="superscript"/>
        </w:rPr>
        <w:t>8</w:t>
      </w:r>
      <w:r>
        <w:rPr>
          <w:snapToGrid w:val="0"/>
          <w:color w:val="auto"/>
          <w:kern w:val="0"/>
          <w:sz w:val="24"/>
          <w:highlight w:val="none"/>
        </w:rPr>
        <w:t>m</w:t>
      </w:r>
      <w:r>
        <w:rPr>
          <w:rFonts w:hint="eastAsia"/>
          <w:snapToGrid w:val="0"/>
          <w:color w:val="auto"/>
          <w:kern w:val="0"/>
          <w:sz w:val="24"/>
          <w:highlight w:val="none"/>
          <w:vertAlign w:val="superscript"/>
        </w:rPr>
        <w:t>3</w:t>
      </w:r>
      <w:r>
        <w:rPr>
          <w:snapToGrid w:val="0"/>
          <w:color w:val="auto"/>
          <w:kern w:val="0"/>
          <w:sz w:val="24"/>
          <w:highlight w:val="none"/>
        </w:rPr>
        <w:t>。</w:t>
      </w:r>
    </w:p>
    <w:p w14:paraId="68220B49">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snapToGrid w:val="0"/>
          <w:color w:val="auto"/>
          <w:kern w:val="0"/>
          <w:sz w:val="24"/>
          <w:highlight w:val="none"/>
        </w:rPr>
        <w:t>奎屯河</w:t>
      </w:r>
    </w:p>
    <w:p w14:paraId="1BA9B46B">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奎屯河位于天山以北，准噶尔盆地西南边缘，发源于天山支脉的依连哈比尔尕山，流经独山子、乌苏、奎屯、精河入艾比湖，河流全长220km，流域面积1945km</w:t>
      </w:r>
      <w:r>
        <w:rPr>
          <w:rFonts w:hint="eastAsia"/>
          <w:snapToGrid w:val="0"/>
          <w:color w:val="auto"/>
          <w:kern w:val="0"/>
          <w:sz w:val="24"/>
          <w:highlight w:val="none"/>
          <w:vertAlign w:val="superscript"/>
        </w:rPr>
        <w:t>2</w:t>
      </w:r>
      <w:r>
        <w:rPr>
          <w:snapToGrid w:val="0"/>
          <w:color w:val="auto"/>
          <w:kern w:val="0"/>
          <w:sz w:val="24"/>
          <w:highlight w:val="none"/>
        </w:rPr>
        <w:t>。</w:t>
      </w:r>
      <w:r>
        <w:rPr>
          <w:rFonts w:hint="eastAsia"/>
          <w:snapToGrid w:val="0"/>
          <w:color w:val="auto"/>
          <w:kern w:val="0"/>
          <w:sz w:val="24"/>
          <w:highlight w:val="none"/>
          <w:lang w:eastAsia="zh-CN"/>
        </w:rPr>
        <w:t>70年代</w:t>
      </w:r>
      <w:r>
        <w:rPr>
          <w:snapToGrid w:val="0"/>
          <w:color w:val="auto"/>
          <w:kern w:val="0"/>
          <w:sz w:val="24"/>
          <w:highlight w:val="none"/>
        </w:rPr>
        <w:t>后期因兵团农七师在该河上建成多个水库，下游水量剧减，现已无水注入艾比河，形成独立水系。上游主要有18条支流汇合而成，根据加勒果拉测站资料，年径流量为6.4亿m</w:t>
      </w:r>
      <w:r>
        <w:rPr>
          <w:rFonts w:hint="eastAsia"/>
          <w:snapToGrid w:val="0"/>
          <w:color w:val="auto"/>
          <w:kern w:val="0"/>
          <w:sz w:val="24"/>
          <w:highlight w:val="none"/>
          <w:vertAlign w:val="superscript"/>
        </w:rPr>
        <w:t>3</w:t>
      </w:r>
      <w:r>
        <w:rPr>
          <w:snapToGrid w:val="0"/>
          <w:color w:val="auto"/>
          <w:kern w:val="0"/>
          <w:sz w:val="24"/>
          <w:highlight w:val="none"/>
        </w:rPr>
        <w:t>，历年平均流量20.lm</w:t>
      </w:r>
      <w:r>
        <w:rPr>
          <w:rFonts w:hint="eastAsia"/>
          <w:snapToGrid w:val="0"/>
          <w:color w:val="auto"/>
          <w:kern w:val="0"/>
          <w:sz w:val="24"/>
          <w:highlight w:val="none"/>
          <w:vertAlign w:val="superscript"/>
        </w:rPr>
        <w:t>3</w:t>
      </w:r>
      <w:r>
        <w:rPr>
          <w:snapToGrid w:val="0"/>
          <w:color w:val="auto"/>
          <w:kern w:val="0"/>
          <w:sz w:val="24"/>
          <w:highlight w:val="none"/>
        </w:rPr>
        <w:t>/s。每年6月初至9月底为洪水期，10月至次年5月为枯水期，冬夏河水流量悬殊较大，是典型的干旱区内流河，主要供给奎屯市、乌苏市和农七师城市用水和农业灌溉。</w:t>
      </w:r>
    </w:p>
    <w:p w14:paraId="00E19D25">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w:t>
      </w:r>
      <w:r>
        <w:rPr>
          <w:snapToGrid w:val="0"/>
          <w:color w:val="auto"/>
          <w:kern w:val="0"/>
          <w:sz w:val="24"/>
          <w:highlight w:val="none"/>
        </w:rPr>
        <w:t>四棵树河</w:t>
      </w:r>
    </w:p>
    <w:p w14:paraId="6B776BDD">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四棵树河为乌苏市水量较丰富的河流，河流发源于婆罗科努山，受地质构造影响，河流走向自西东向折成南北向。呈羽状水系，集水面积921km</w:t>
      </w:r>
      <w:r>
        <w:rPr>
          <w:snapToGrid w:val="0"/>
          <w:color w:val="auto"/>
          <w:kern w:val="0"/>
          <w:sz w:val="24"/>
          <w:highlight w:val="none"/>
          <w:vertAlign w:val="superscript"/>
        </w:rPr>
        <w:t>2</w:t>
      </w:r>
      <w:r>
        <w:rPr>
          <w:snapToGrid w:val="0"/>
          <w:color w:val="auto"/>
          <w:kern w:val="0"/>
          <w:sz w:val="24"/>
          <w:highlight w:val="none"/>
        </w:rPr>
        <w:t>，河长61km。山区流域平均高程较高，为2976m，河源主干哈夏造廷果勒冰川面积分布广大，最大一条冰川面积达22.96km</w:t>
      </w:r>
      <w:r>
        <w:rPr>
          <w:snapToGrid w:val="0"/>
          <w:color w:val="auto"/>
          <w:kern w:val="0"/>
          <w:sz w:val="24"/>
          <w:highlight w:val="none"/>
          <w:vertAlign w:val="superscript"/>
        </w:rPr>
        <w:t>2</w:t>
      </w:r>
      <w:r>
        <w:rPr>
          <w:snapToGrid w:val="0"/>
          <w:color w:val="auto"/>
          <w:kern w:val="0"/>
          <w:sz w:val="24"/>
          <w:highlight w:val="none"/>
        </w:rPr>
        <w:t>，冰储量2.87km</w:t>
      </w:r>
      <w:r>
        <w:rPr>
          <w:snapToGrid w:val="0"/>
          <w:color w:val="auto"/>
          <w:kern w:val="0"/>
          <w:sz w:val="24"/>
          <w:highlight w:val="none"/>
          <w:vertAlign w:val="superscript"/>
        </w:rPr>
        <w:t>3</w:t>
      </w:r>
      <w:r>
        <w:rPr>
          <w:snapToGrid w:val="0"/>
          <w:color w:val="auto"/>
          <w:kern w:val="0"/>
          <w:sz w:val="24"/>
          <w:highlight w:val="none"/>
        </w:rPr>
        <w:t>，河流干流两侧河网不对称，右岸较左岸发育，有较大支流东都果勒以及木呼尔吉尔嘎特勒，冰川资源十分丰富。该河因受地质构造作用，河谷狭长并多次弯折，河流比降变化十分突出，河流弯曲，具有良好的封闭性，该河多年平均径流量2.908×10</w:t>
      </w:r>
      <w:r>
        <w:rPr>
          <w:snapToGrid w:val="0"/>
          <w:color w:val="auto"/>
          <w:kern w:val="0"/>
          <w:sz w:val="24"/>
          <w:highlight w:val="none"/>
          <w:vertAlign w:val="superscript"/>
        </w:rPr>
        <w:t>8</w:t>
      </w:r>
      <w:r>
        <w:rPr>
          <w:snapToGrid w:val="0"/>
          <w:color w:val="auto"/>
          <w:kern w:val="0"/>
          <w:sz w:val="24"/>
          <w:highlight w:val="none"/>
        </w:rPr>
        <w:t>m</w:t>
      </w:r>
      <w:r>
        <w:rPr>
          <w:snapToGrid w:val="0"/>
          <w:color w:val="auto"/>
          <w:kern w:val="0"/>
          <w:sz w:val="24"/>
          <w:highlight w:val="none"/>
          <w:vertAlign w:val="superscript"/>
        </w:rPr>
        <w:t>3</w:t>
      </w:r>
      <w:r>
        <w:rPr>
          <w:snapToGrid w:val="0"/>
          <w:color w:val="auto"/>
          <w:kern w:val="0"/>
          <w:sz w:val="24"/>
          <w:highlight w:val="none"/>
        </w:rPr>
        <w:t>，高山区以冰雪融水补给河流为主，中低山区河流以降雨补给为主，此河是乌苏市农业开发重要的地表水资源。</w:t>
      </w:r>
    </w:p>
    <w:p w14:paraId="0EA152F8">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项目所在区域地表水为四棵树河，厂址位于四棵树河西侧约2450m。</w:t>
      </w:r>
    </w:p>
    <w:p w14:paraId="6D8C30D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w:t>
      </w:r>
      <w:r>
        <w:rPr>
          <w:snapToGrid w:val="0"/>
          <w:color w:val="auto"/>
          <w:kern w:val="0"/>
          <w:sz w:val="24"/>
          <w:highlight w:val="none"/>
        </w:rPr>
        <w:t>古尔图河</w:t>
      </w:r>
    </w:p>
    <w:p w14:paraId="0C520382">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古尔图河是乌苏市域较大的一条河流。河流发源于婆罗科努山主要山脉，河网呈多分支</w:t>
      </w:r>
      <w:r>
        <w:rPr>
          <w:rFonts w:hint="eastAsia"/>
          <w:snapToGrid w:val="0"/>
          <w:color w:val="auto"/>
          <w:kern w:val="0"/>
          <w:sz w:val="24"/>
          <w:highlight w:val="none"/>
          <w:lang w:eastAsia="zh-CN"/>
        </w:rPr>
        <w:t>树杈</w:t>
      </w:r>
      <w:r>
        <w:rPr>
          <w:snapToGrid w:val="0"/>
          <w:color w:val="auto"/>
          <w:kern w:val="0"/>
          <w:sz w:val="24"/>
          <w:highlight w:val="none"/>
        </w:rPr>
        <w:t>状，水网发育，有充足的冰川融水补给。古尔图河有两大支流汇入，</w:t>
      </w:r>
      <w:r>
        <w:rPr>
          <w:rFonts w:hint="eastAsia"/>
          <w:snapToGrid w:val="0"/>
          <w:color w:val="auto"/>
          <w:kern w:val="0"/>
          <w:sz w:val="24"/>
          <w:highlight w:val="none"/>
          <w:lang w:eastAsia="zh-CN"/>
        </w:rPr>
        <w:t>一支</w:t>
      </w:r>
      <w:r>
        <w:rPr>
          <w:snapToGrid w:val="0"/>
          <w:color w:val="auto"/>
          <w:kern w:val="0"/>
          <w:sz w:val="24"/>
          <w:highlight w:val="none"/>
        </w:rPr>
        <w:t>为阿秀果勒，另一支为东都果勒。阿秀果勒又由阿苏河和西伯担两大支流组成，高山区冰川面积达176.8km</w:t>
      </w:r>
      <w:r>
        <w:rPr>
          <w:snapToGrid w:val="0"/>
          <w:color w:val="auto"/>
          <w:kern w:val="0"/>
          <w:sz w:val="24"/>
          <w:highlight w:val="none"/>
          <w:vertAlign w:val="superscript"/>
        </w:rPr>
        <w:t>2</w:t>
      </w:r>
      <w:r>
        <w:rPr>
          <w:snapToGrid w:val="0"/>
          <w:color w:val="auto"/>
          <w:kern w:val="0"/>
          <w:sz w:val="24"/>
          <w:highlight w:val="none"/>
        </w:rPr>
        <w:t>，冰储量12.0258km</w:t>
      </w:r>
      <w:r>
        <w:rPr>
          <w:snapToGrid w:val="0"/>
          <w:color w:val="auto"/>
          <w:kern w:val="0"/>
          <w:sz w:val="24"/>
          <w:highlight w:val="none"/>
          <w:vertAlign w:val="superscript"/>
        </w:rPr>
        <w:t>3</w:t>
      </w:r>
      <w:r>
        <w:rPr>
          <w:snapToGrid w:val="0"/>
          <w:color w:val="auto"/>
          <w:kern w:val="0"/>
          <w:sz w:val="24"/>
          <w:highlight w:val="none"/>
        </w:rPr>
        <w:t>，虽然山区流域面积并非乌苏市最大，但冰储量是该市最丰富的。其突出特</w:t>
      </w:r>
      <w:r>
        <w:rPr>
          <w:rFonts w:hint="eastAsia"/>
          <w:snapToGrid w:val="0"/>
          <w:color w:val="auto"/>
          <w:kern w:val="0"/>
          <w:sz w:val="24"/>
          <w:highlight w:val="none"/>
          <w:lang w:eastAsia="zh-CN"/>
        </w:rPr>
        <w:t>点是</w:t>
      </w:r>
      <w:r>
        <w:rPr>
          <w:snapToGrid w:val="0"/>
          <w:color w:val="auto"/>
          <w:kern w:val="0"/>
          <w:sz w:val="24"/>
          <w:highlight w:val="none"/>
        </w:rPr>
        <w:t>因强劲的西来水汽沿伊犁河谷上行所导致的</w:t>
      </w:r>
      <w:r>
        <w:rPr>
          <w:rFonts w:hint="eastAsia"/>
          <w:snapToGrid w:val="0"/>
          <w:color w:val="auto"/>
          <w:kern w:val="0"/>
          <w:sz w:val="24"/>
          <w:highlight w:val="none"/>
          <w:lang w:eastAsia="zh-CN"/>
        </w:rPr>
        <w:t>溯源侵蚀</w:t>
      </w:r>
      <w:r>
        <w:rPr>
          <w:snapToGrid w:val="0"/>
          <w:color w:val="auto"/>
          <w:kern w:val="0"/>
          <w:sz w:val="24"/>
          <w:highlight w:val="none"/>
        </w:rPr>
        <w:t>以及地质构造作用，山区最高点4691m位于古尔图河流域东侧，为古尔图河河源丰富的降水提供了有利的地形条件。该河集水面积1034km</w:t>
      </w:r>
      <w:r>
        <w:rPr>
          <w:snapToGrid w:val="0"/>
          <w:color w:val="auto"/>
          <w:kern w:val="0"/>
          <w:sz w:val="24"/>
          <w:highlight w:val="none"/>
          <w:vertAlign w:val="superscript"/>
        </w:rPr>
        <w:t>2</w:t>
      </w:r>
      <w:r>
        <w:rPr>
          <w:snapToGrid w:val="0"/>
          <w:color w:val="auto"/>
          <w:kern w:val="0"/>
          <w:sz w:val="24"/>
          <w:highlight w:val="none"/>
        </w:rPr>
        <w:t>，河长约50km，年径流量3.375×10</w:t>
      </w:r>
      <w:r>
        <w:rPr>
          <w:snapToGrid w:val="0"/>
          <w:color w:val="auto"/>
          <w:kern w:val="0"/>
          <w:sz w:val="24"/>
          <w:highlight w:val="none"/>
          <w:vertAlign w:val="superscript"/>
        </w:rPr>
        <w:t>8</w:t>
      </w:r>
      <w:r>
        <w:rPr>
          <w:snapToGrid w:val="0"/>
          <w:color w:val="auto"/>
          <w:kern w:val="0"/>
          <w:sz w:val="24"/>
          <w:highlight w:val="none"/>
        </w:rPr>
        <w:t>m</w:t>
      </w:r>
      <w:r>
        <w:rPr>
          <w:snapToGrid w:val="0"/>
          <w:color w:val="auto"/>
          <w:kern w:val="0"/>
          <w:sz w:val="24"/>
          <w:highlight w:val="none"/>
          <w:vertAlign w:val="superscript"/>
        </w:rPr>
        <w:t>3</w:t>
      </w:r>
      <w:r>
        <w:rPr>
          <w:snapToGrid w:val="0"/>
          <w:color w:val="auto"/>
          <w:kern w:val="0"/>
          <w:sz w:val="24"/>
          <w:highlight w:val="none"/>
        </w:rPr>
        <w:t>。</w:t>
      </w:r>
    </w:p>
    <w:p w14:paraId="16F8046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w:t>
      </w:r>
      <w:r>
        <w:rPr>
          <w:snapToGrid w:val="0"/>
          <w:color w:val="auto"/>
          <w:kern w:val="0"/>
          <w:sz w:val="24"/>
          <w:highlight w:val="none"/>
        </w:rPr>
        <w:t>巴音沟河</w:t>
      </w:r>
    </w:p>
    <w:p w14:paraId="43D4B6F8">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巴音沟河是乌苏市与沙湾县的界河。河流呈南北走向，以干流哈尔阿特分界，源头海拔较高，降水量丰沛，冰川比较发育，冰储量达11.206km</w:t>
      </w:r>
      <w:r>
        <w:rPr>
          <w:snapToGrid w:val="0"/>
          <w:color w:val="auto"/>
          <w:kern w:val="0"/>
          <w:sz w:val="24"/>
          <w:highlight w:val="none"/>
          <w:vertAlign w:val="superscript"/>
        </w:rPr>
        <w:t>3</w:t>
      </w:r>
      <w:r>
        <w:rPr>
          <w:snapToGrid w:val="0"/>
          <w:color w:val="auto"/>
          <w:kern w:val="0"/>
          <w:sz w:val="24"/>
          <w:highlight w:val="none"/>
        </w:rPr>
        <w:t>，左侧支流阿冬萨拉因背风坡缘故降水较少，小支流呈羽状水系排列，流程短小。该河出山口以上流域面积1092km</w:t>
      </w:r>
      <w:r>
        <w:rPr>
          <w:snapToGrid w:val="0"/>
          <w:color w:val="auto"/>
          <w:kern w:val="0"/>
          <w:sz w:val="24"/>
          <w:highlight w:val="none"/>
          <w:vertAlign w:val="superscript"/>
        </w:rPr>
        <w:t>2</w:t>
      </w:r>
      <w:r>
        <w:rPr>
          <w:snapToGrid w:val="0"/>
          <w:color w:val="auto"/>
          <w:kern w:val="0"/>
          <w:sz w:val="24"/>
          <w:highlight w:val="none"/>
        </w:rPr>
        <w:t>，在乌苏境内流域面积855km</w:t>
      </w:r>
      <w:r>
        <w:rPr>
          <w:snapToGrid w:val="0"/>
          <w:color w:val="auto"/>
          <w:kern w:val="0"/>
          <w:sz w:val="24"/>
          <w:highlight w:val="none"/>
          <w:vertAlign w:val="superscript"/>
        </w:rPr>
        <w:t>2</w:t>
      </w:r>
      <w:r>
        <w:rPr>
          <w:snapToGrid w:val="0"/>
          <w:color w:val="auto"/>
          <w:kern w:val="0"/>
          <w:sz w:val="24"/>
          <w:highlight w:val="none"/>
        </w:rPr>
        <w:t>。河流在巴音沟牧场一带折向东北，流入沙湾县境内。八音沟河水量归沙湾县使用，乌苏市不参加分水。区域水系分布</w:t>
      </w:r>
      <w:r>
        <w:rPr>
          <w:rFonts w:hint="eastAsia"/>
          <w:snapToGrid w:val="0"/>
          <w:color w:val="auto"/>
          <w:kern w:val="0"/>
          <w:sz w:val="24"/>
          <w:highlight w:val="none"/>
        </w:rPr>
        <w:t>情况</w:t>
      </w:r>
      <w:r>
        <w:rPr>
          <w:snapToGrid w:val="0"/>
          <w:color w:val="auto"/>
          <w:kern w:val="0"/>
          <w:sz w:val="24"/>
          <w:highlight w:val="none"/>
        </w:rPr>
        <w:t>见图5.1-</w:t>
      </w:r>
      <w:r>
        <w:rPr>
          <w:rFonts w:hint="eastAsia"/>
          <w:snapToGrid w:val="0"/>
          <w:color w:val="auto"/>
          <w:kern w:val="0"/>
          <w:sz w:val="24"/>
          <w:highlight w:val="none"/>
        </w:rPr>
        <w:t>2</w:t>
      </w:r>
      <w:r>
        <w:rPr>
          <w:snapToGrid w:val="0"/>
          <w:color w:val="auto"/>
          <w:kern w:val="0"/>
          <w:sz w:val="24"/>
          <w:highlight w:val="none"/>
        </w:rPr>
        <w:t>。</w:t>
      </w:r>
    </w:p>
    <w:p w14:paraId="32587D8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5.1.4.2地下水</w:t>
      </w:r>
    </w:p>
    <w:p w14:paraId="5B06F7EF">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（1）</w:t>
      </w:r>
      <w:r>
        <w:rPr>
          <w:color w:val="auto"/>
          <w:kern w:val="0"/>
          <w:sz w:val="24"/>
          <w:highlight w:val="none"/>
        </w:rPr>
        <w:t>地下水贮存条件和分布</w:t>
      </w:r>
    </w:p>
    <w:p w14:paraId="78CE784A">
      <w:pPr>
        <w:widowControl/>
        <w:adjustRightInd w:val="0"/>
        <w:snapToGrid w:val="0"/>
        <w:spacing w:line="360" w:lineRule="auto"/>
        <w:ind w:firstLine="480" w:firstLineChars="200"/>
        <w:rPr>
          <w:color w:val="auto"/>
          <w:kern w:val="0"/>
          <w:sz w:val="24"/>
          <w:highlight w:val="none"/>
        </w:rPr>
      </w:pPr>
      <w:r>
        <w:rPr>
          <w:color w:val="auto"/>
          <w:kern w:val="0"/>
          <w:sz w:val="24"/>
          <w:highlight w:val="none"/>
        </w:rPr>
        <w:t>由于山前强烈坳陷，堆积了巨厚的第四系松散堆积物，为地下水的赋存提供了巨大的空间，沉积分异作用使得山前沉积</w:t>
      </w:r>
      <w:r>
        <w:rPr>
          <w:rFonts w:hint="eastAsia"/>
          <w:color w:val="auto"/>
          <w:kern w:val="0"/>
          <w:sz w:val="24"/>
          <w:highlight w:val="none"/>
          <w:lang w:eastAsia="zh-CN"/>
        </w:rPr>
        <w:t>了以</w:t>
      </w:r>
      <w:r>
        <w:rPr>
          <w:color w:val="auto"/>
          <w:kern w:val="0"/>
          <w:sz w:val="24"/>
          <w:highlight w:val="none"/>
        </w:rPr>
        <w:t>卵砾石为主的冰水及冲洪积物，构成山前带单一潜水分布区，向下游至312国道以北一带，因第四系厚度变薄，含水层颗粒变细，出现了多层结构的潜水和承压水。</w:t>
      </w:r>
    </w:p>
    <w:p w14:paraId="064C0EC9">
      <w:pPr>
        <w:widowControl/>
        <w:adjustRightInd w:val="0"/>
        <w:snapToGrid w:val="0"/>
        <w:spacing w:line="360" w:lineRule="auto"/>
        <w:ind w:firstLine="480" w:firstLineChars="200"/>
        <w:rPr>
          <w:color w:val="auto"/>
          <w:kern w:val="0"/>
          <w:sz w:val="24"/>
          <w:highlight w:val="none"/>
        </w:rPr>
      </w:pPr>
      <w:r>
        <w:rPr>
          <w:color w:val="auto"/>
          <w:kern w:val="0"/>
          <w:sz w:val="24"/>
          <w:highlight w:val="none"/>
        </w:rPr>
        <w:t>喜山运动使奎屯河-四棵树河一带第三系及下更新统地层褶皱隆起，形成了南山与独山子背隆-西湖隆起之间的山前坳陷，构成了地下水赋存场所，聚集了丰富的来自山区的地下水潜流和奎屯河、四棵树河水的渗入补给，然后通过河床及西大沟以暗流的形成潜入北部平原，四棵树-托托一带南山山体直接与山前平原相接触，山前为断块沉降带，无构造隆起阻隔，山区基岩裂隙水与河水入渗补给北部平原区地下水。</w:t>
      </w:r>
    </w:p>
    <w:p w14:paraId="7A533D01">
      <w:pPr>
        <w:widowControl/>
        <w:adjustRightInd w:val="0"/>
        <w:snapToGrid w:val="0"/>
        <w:spacing w:line="360" w:lineRule="auto"/>
        <w:ind w:firstLine="480" w:firstLineChars="200"/>
        <w:rPr>
          <w:color w:val="auto"/>
          <w:kern w:val="0"/>
          <w:sz w:val="24"/>
          <w:highlight w:val="none"/>
        </w:rPr>
      </w:pPr>
      <w:r>
        <w:rPr>
          <w:color w:val="auto"/>
          <w:kern w:val="0"/>
          <w:sz w:val="24"/>
          <w:highlight w:val="none"/>
        </w:rPr>
        <w:t>自南向北地下水赋存条件由好变差，富水性由强变弱，地下水位由深变浅。地下水位埋深在312国道以南地区为90-240m；312国道以北至地下水溢出带一带为4-90m，地下水溢出带以北地区，含水层结构由单一的潜水层转变为多层结构潜水-承压水（自流水）。</w:t>
      </w:r>
    </w:p>
    <w:p w14:paraId="109C415E">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（2）</w:t>
      </w:r>
      <w:r>
        <w:rPr>
          <w:color w:val="auto"/>
          <w:kern w:val="0"/>
          <w:sz w:val="24"/>
          <w:highlight w:val="none"/>
        </w:rPr>
        <w:t>地下水的补给、径流、排泄</w:t>
      </w:r>
    </w:p>
    <w:p w14:paraId="3169B344">
      <w:pPr>
        <w:widowControl/>
        <w:adjustRightInd w:val="0"/>
        <w:snapToGrid w:val="0"/>
        <w:spacing w:line="360" w:lineRule="auto"/>
        <w:ind w:firstLine="480" w:firstLineChars="200"/>
        <w:rPr>
          <w:color w:val="auto"/>
          <w:kern w:val="0"/>
          <w:sz w:val="24"/>
          <w:highlight w:val="none"/>
        </w:rPr>
      </w:pPr>
      <w:r>
        <w:rPr>
          <w:color w:val="auto"/>
          <w:kern w:val="0"/>
          <w:sz w:val="24"/>
          <w:highlight w:val="none"/>
        </w:rPr>
        <w:t>地下水主要依赖奎屯河、四棵树河和古尔图河地表水的入渗补给，另外还 有山前侧渗、暴雨洪流、渠系入渗、田间入渗和水库入渗补给地下水。地表水、地下水联系密切相互转化，从而构成</w:t>
      </w:r>
      <w:r>
        <w:rPr>
          <w:rFonts w:hint="eastAsia"/>
          <w:color w:val="auto"/>
          <w:kern w:val="0"/>
          <w:sz w:val="24"/>
          <w:highlight w:val="none"/>
          <w:lang w:val="en-US" w:eastAsia="zh-CN"/>
        </w:rPr>
        <w:t>一个</w:t>
      </w:r>
      <w:r>
        <w:rPr>
          <w:color w:val="auto"/>
          <w:kern w:val="0"/>
          <w:sz w:val="24"/>
          <w:highlight w:val="none"/>
        </w:rPr>
        <w:t>地表水-地下水复合系统。</w:t>
      </w:r>
    </w:p>
    <w:p w14:paraId="718BD21D">
      <w:pPr>
        <w:widowControl/>
        <w:adjustRightInd w:val="0"/>
        <w:snapToGrid w:val="0"/>
        <w:spacing w:line="360" w:lineRule="auto"/>
        <w:ind w:firstLine="480" w:firstLineChars="200"/>
        <w:rPr>
          <w:color w:val="auto"/>
          <w:kern w:val="0"/>
          <w:sz w:val="24"/>
          <w:highlight w:val="none"/>
        </w:rPr>
      </w:pPr>
      <w:r>
        <w:rPr>
          <w:color w:val="auto"/>
          <w:kern w:val="0"/>
          <w:sz w:val="24"/>
          <w:highlight w:val="none"/>
        </w:rPr>
        <w:t>奎屯河、四棵树河、古尔图河等大小河共14条，多年平均径流量为17.623亿m</w:t>
      </w:r>
      <w:r>
        <w:rPr>
          <w:color w:val="auto"/>
          <w:kern w:val="0"/>
          <w:sz w:val="24"/>
          <w:highlight w:val="none"/>
          <w:vertAlign w:val="superscript"/>
        </w:rPr>
        <w:t>3</w:t>
      </w:r>
      <w:r>
        <w:rPr>
          <w:color w:val="auto"/>
          <w:kern w:val="0"/>
          <w:sz w:val="24"/>
          <w:highlight w:val="none"/>
        </w:rPr>
        <w:t>/a，多年平均引水量9.6363亿m</w:t>
      </w:r>
      <w:r>
        <w:rPr>
          <w:color w:val="auto"/>
          <w:kern w:val="0"/>
          <w:sz w:val="24"/>
          <w:highlight w:val="none"/>
          <w:vertAlign w:val="superscript"/>
        </w:rPr>
        <w:t>3</w:t>
      </w:r>
      <w:r>
        <w:rPr>
          <w:color w:val="auto"/>
          <w:kern w:val="0"/>
          <w:sz w:val="24"/>
          <w:highlight w:val="none"/>
        </w:rPr>
        <w:t>/a，未被引走的约8亿m</w:t>
      </w:r>
      <w:r>
        <w:rPr>
          <w:color w:val="auto"/>
          <w:kern w:val="0"/>
          <w:sz w:val="24"/>
          <w:highlight w:val="none"/>
          <w:vertAlign w:val="superscript"/>
        </w:rPr>
        <w:t>3</w:t>
      </w:r>
      <w:r>
        <w:rPr>
          <w:color w:val="auto"/>
          <w:kern w:val="0"/>
          <w:sz w:val="24"/>
          <w:highlight w:val="none"/>
        </w:rPr>
        <w:t>河水通过河床渗漏补给地下水，调查区内有水库13座，总库容2.1996亿m</w:t>
      </w:r>
      <w:r>
        <w:rPr>
          <w:color w:val="auto"/>
          <w:kern w:val="0"/>
          <w:sz w:val="24"/>
          <w:highlight w:val="none"/>
          <w:vertAlign w:val="superscript"/>
        </w:rPr>
        <w:t>3</w:t>
      </w:r>
      <w:r>
        <w:rPr>
          <w:color w:val="auto"/>
          <w:kern w:val="0"/>
          <w:sz w:val="24"/>
          <w:highlight w:val="none"/>
        </w:rPr>
        <w:t>/a，库水通过坝基和库底渗漏补给地下水。</w:t>
      </w:r>
    </w:p>
    <w:p w14:paraId="2C12D286">
      <w:pPr>
        <w:widowControl/>
        <w:adjustRightInd w:val="0"/>
        <w:snapToGrid w:val="0"/>
        <w:spacing w:line="360" w:lineRule="auto"/>
        <w:ind w:firstLine="480" w:firstLineChars="200"/>
        <w:rPr>
          <w:color w:val="auto"/>
          <w:kern w:val="0"/>
          <w:sz w:val="24"/>
          <w:highlight w:val="none"/>
        </w:rPr>
      </w:pPr>
      <w:r>
        <w:rPr>
          <w:color w:val="auto"/>
          <w:kern w:val="0"/>
          <w:sz w:val="24"/>
          <w:highlight w:val="none"/>
        </w:rPr>
        <w:t>南部卵砾石带含水层厚度大，粒径也大，渗透性强，导水系数为12000m</w:t>
      </w:r>
      <w:r>
        <w:rPr>
          <w:color w:val="auto"/>
          <w:kern w:val="0"/>
          <w:sz w:val="24"/>
          <w:highlight w:val="none"/>
          <w:vertAlign w:val="superscript"/>
        </w:rPr>
        <w:t>2</w:t>
      </w:r>
      <w:r>
        <w:rPr>
          <w:color w:val="auto"/>
          <w:kern w:val="0"/>
          <w:sz w:val="24"/>
          <w:highlight w:val="none"/>
        </w:rPr>
        <w:t>/d，水力坡度0.8～1.0水，是地下水径流的良好场所，地下水在山前得到补给后，向北部下游径流，随着地势降低，地层颗粒逐渐变细，其透水性逐渐减弱，水力坡度1-3下，地形坡度远大于水力坡度，使得在山前埋深达240m的地下水，经约40余公里径流后变浅，往北受细颗粒地层的阻挡，一部分地下水在北部溢出地表，一部分受蒸发排泄，大部分以潜水和承压水形式继续向北径流。流向由北转为北西。深层地下水受构造的影响比较大，东部地下水在径流到六十户隆起和柳沟隆起附近，流向由北转向北西，在东西隆起附近，地下水径流方向由西转向北后又转向北西，南部地下水流经西湖隆起时受阻，地下水流向由北转为西。</w:t>
      </w:r>
    </w:p>
    <w:p w14:paraId="6A1859DF">
      <w:pPr>
        <w:widowControl/>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地下水的排泄主要是向北向西径流排泄和城市及郊区、农场大量开采地下水，成为地下水主要排泄途径</w:t>
      </w:r>
      <w:r>
        <w:rPr>
          <w:rFonts w:hint="eastAsia" w:ascii="Times New Roman" w:hAnsi="Times New Roman" w:eastAsia="宋体" w:cs="Times New Roman"/>
          <w:color w:val="auto"/>
          <w:kern w:val="0"/>
          <w:sz w:val="24"/>
          <w:highlight w:val="none"/>
          <w:lang w:eastAsia="zh-CN"/>
        </w:rPr>
        <w:t>，其</w:t>
      </w:r>
      <w:r>
        <w:rPr>
          <w:rFonts w:ascii="Times New Roman" w:hAnsi="Times New Roman" w:eastAsia="宋体" w:cs="Times New Roman"/>
          <w:color w:val="auto"/>
          <w:kern w:val="0"/>
          <w:sz w:val="24"/>
          <w:highlight w:val="none"/>
        </w:rPr>
        <w:t>次为潜水蒸发和泉水溢出排泄。</w:t>
      </w:r>
    </w:p>
    <w:p w14:paraId="5698EB93">
      <w:pPr>
        <w:widowControl/>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本项目所在区域</w:t>
      </w:r>
      <w:r>
        <w:rPr>
          <w:rFonts w:hint="default" w:ascii="Times New Roman" w:hAnsi="Times New Roman" w:eastAsia="宋体" w:cs="Times New Roman"/>
          <w:color w:val="auto"/>
          <w:kern w:val="0"/>
          <w:sz w:val="24"/>
          <w:highlight w:val="none"/>
          <w:lang w:val="en-US" w:eastAsia="zh-CN"/>
        </w:rPr>
        <w:t>地下水总体由东南向西北方向径流（约为北偏西27°），水力坡度一般为</w:t>
      </w:r>
      <w:r>
        <w:rPr>
          <w:rFonts w:hint="eastAsia" w:ascii="Times New Roman" w:hAnsi="Times New Roman" w:eastAsia="宋体"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左右。</w:t>
      </w:r>
    </w:p>
    <w:p w14:paraId="0E750EE4">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（3）</w:t>
      </w:r>
      <w:r>
        <w:rPr>
          <w:color w:val="auto"/>
          <w:kern w:val="0"/>
          <w:sz w:val="24"/>
          <w:highlight w:val="none"/>
        </w:rPr>
        <w:t>地下水类型及分布规律</w:t>
      </w:r>
    </w:p>
    <w:p w14:paraId="3E34FAB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snapToGrid w:val="0"/>
          <w:color w:val="auto"/>
          <w:spacing w:val="0"/>
          <w:kern w:val="0"/>
          <w:sz w:val="24"/>
          <w:highlight w:val="none"/>
        </w:rPr>
      </w:pPr>
      <w:r>
        <w:rPr>
          <w:snapToGrid w:val="0"/>
          <w:color w:val="auto"/>
          <w:spacing w:val="0"/>
          <w:kern w:val="0"/>
          <w:sz w:val="24"/>
          <w:highlight w:val="none"/>
        </w:rPr>
        <w:t>依据《奎屯河流域规划报告》，冲洪积、冲积平原地势平缓，地层颗粒细，潜水径流条件较差，潜水埋藏浅以垂向交替循环为主，蒸发浓缩作用强，以脱碳酸作用为主，使水中的SO</w:t>
      </w:r>
      <w:r>
        <w:rPr>
          <w:snapToGrid w:val="0"/>
          <w:color w:val="auto"/>
          <w:spacing w:val="0"/>
          <w:kern w:val="0"/>
          <w:sz w:val="24"/>
          <w:highlight w:val="none"/>
          <w:vertAlign w:val="subscript"/>
        </w:rPr>
        <w:t>4</w:t>
      </w:r>
      <w:r>
        <w:rPr>
          <w:snapToGrid w:val="0"/>
          <w:color w:val="auto"/>
          <w:spacing w:val="0"/>
          <w:kern w:val="0"/>
          <w:sz w:val="24"/>
          <w:highlight w:val="none"/>
          <w:vertAlign w:val="superscript"/>
        </w:rPr>
        <w:t>2-</w:t>
      </w:r>
      <w:r>
        <w:rPr>
          <w:snapToGrid w:val="0"/>
          <w:color w:val="auto"/>
          <w:spacing w:val="0"/>
          <w:kern w:val="0"/>
          <w:sz w:val="24"/>
          <w:highlight w:val="none"/>
        </w:rPr>
        <w:t>相应增加，主要为SO</w:t>
      </w:r>
      <w:r>
        <w:rPr>
          <w:snapToGrid w:val="0"/>
          <w:color w:val="auto"/>
          <w:spacing w:val="0"/>
          <w:kern w:val="0"/>
          <w:sz w:val="24"/>
          <w:highlight w:val="none"/>
          <w:vertAlign w:val="subscript"/>
        </w:rPr>
        <w:t>4</w:t>
      </w:r>
      <w:r>
        <w:rPr>
          <w:snapToGrid w:val="0"/>
          <w:color w:val="auto"/>
          <w:spacing w:val="0"/>
          <w:kern w:val="0"/>
          <w:sz w:val="24"/>
          <w:highlight w:val="none"/>
        </w:rPr>
        <w:t>·Cl</w:t>
      </w:r>
      <w:r>
        <w:rPr>
          <w:rFonts w:hint="eastAsia"/>
          <w:snapToGrid w:val="0"/>
          <w:color w:val="auto"/>
          <w:spacing w:val="0"/>
          <w:kern w:val="0"/>
          <w:sz w:val="24"/>
          <w:highlight w:val="none"/>
          <w:lang w:val="en-US" w:eastAsia="zh-CN"/>
        </w:rPr>
        <w:t>-</w:t>
      </w:r>
      <w:r>
        <w:rPr>
          <w:snapToGrid w:val="0"/>
          <w:color w:val="auto"/>
          <w:spacing w:val="0"/>
          <w:kern w:val="0"/>
          <w:sz w:val="24"/>
          <w:highlight w:val="none"/>
        </w:rPr>
        <w:t>Na·Ca型，最终向Cl·SO</w:t>
      </w:r>
      <w:r>
        <w:rPr>
          <w:snapToGrid w:val="0"/>
          <w:color w:val="auto"/>
          <w:spacing w:val="0"/>
          <w:kern w:val="0"/>
          <w:sz w:val="24"/>
          <w:highlight w:val="none"/>
          <w:vertAlign w:val="subscript"/>
        </w:rPr>
        <w:t>4</w:t>
      </w:r>
      <w:r>
        <w:rPr>
          <w:rFonts w:hint="eastAsia"/>
          <w:snapToGrid w:val="0"/>
          <w:color w:val="auto"/>
          <w:spacing w:val="0"/>
          <w:kern w:val="0"/>
          <w:sz w:val="24"/>
          <w:highlight w:val="none"/>
          <w:lang w:val="en-US" w:eastAsia="zh-CN"/>
        </w:rPr>
        <w:t>-</w:t>
      </w:r>
      <w:r>
        <w:rPr>
          <w:snapToGrid w:val="0"/>
          <w:color w:val="auto"/>
          <w:spacing w:val="0"/>
          <w:kern w:val="0"/>
          <w:sz w:val="24"/>
          <w:highlight w:val="none"/>
        </w:rPr>
        <w:t>Na和Cl</w:t>
      </w:r>
      <w:r>
        <w:rPr>
          <w:rFonts w:hint="eastAsia"/>
          <w:snapToGrid w:val="0"/>
          <w:color w:val="auto"/>
          <w:spacing w:val="0"/>
          <w:kern w:val="0"/>
          <w:sz w:val="24"/>
          <w:highlight w:val="none"/>
          <w:lang w:val="en-US" w:eastAsia="zh-CN"/>
        </w:rPr>
        <w:t>-</w:t>
      </w:r>
      <w:r>
        <w:rPr>
          <w:snapToGrid w:val="0"/>
          <w:color w:val="auto"/>
          <w:spacing w:val="0"/>
          <w:kern w:val="0"/>
          <w:sz w:val="24"/>
          <w:highlight w:val="none"/>
        </w:rPr>
        <w:t>Na型水发展，潜水矿化度在上游地区一般小于1g/L，向下游地区逐渐增高。在灌区由于受渠系、田间灌溉水入渗的影响，使局部地区潜水淡化，出现了SO</w:t>
      </w:r>
      <w:r>
        <w:rPr>
          <w:snapToGrid w:val="0"/>
          <w:color w:val="auto"/>
          <w:spacing w:val="0"/>
          <w:kern w:val="0"/>
          <w:sz w:val="24"/>
          <w:highlight w:val="none"/>
          <w:vertAlign w:val="subscript"/>
        </w:rPr>
        <w:t>4</w:t>
      </w:r>
      <w:r>
        <w:rPr>
          <w:snapToGrid w:val="0"/>
          <w:color w:val="auto"/>
          <w:spacing w:val="0"/>
          <w:kern w:val="0"/>
          <w:sz w:val="24"/>
          <w:highlight w:val="none"/>
        </w:rPr>
        <w:t>·HCO</w:t>
      </w:r>
      <w:r>
        <w:rPr>
          <w:snapToGrid w:val="0"/>
          <w:color w:val="auto"/>
          <w:spacing w:val="0"/>
          <w:kern w:val="0"/>
          <w:sz w:val="24"/>
          <w:highlight w:val="none"/>
          <w:vertAlign w:val="subscript"/>
        </w:rPr>
        <w:t>3</w:t>
      </w:r>
      <w:r>
        <w:rPr>
          <w:rFonts w:hint="eastAsia"/>
          <w:snapToGrid w:val="0"/>
          <w:color w:val="auto"/>
          <w:spacing w:val="0"/>
          <w:kern w:val="0"/>
          <w:sz w:val="24"/>
          <w:highlight w:val="none"/>
          <w:lang w:val="en-US" w:eastAsia="zh-CN"/>
        </w:rPr>
        <w:t>-</w:t>
      </w:r>
      <w:r>
        <w:rPr>
          <w:snapToGrid w:val="0"/>
          <w:color w:val="auto"/>
          <w:spacing w:val="0"/>
          <w:kern w:val="0"/>
          <w:sz w:val="24"/>
          <w:highlight w:val="none"/>
        </w:rPr>
        <w:t>Na·Ca和SO</w:t>
      </w:r>
      <w:r>
        <w:rPr>
          <w:snapToGrid w:val="0"/>
          <w:color w:val="auto"/>
          <w:spacing w:val="0"/>
          <w:kern w:val="0"/>
          <w:sz w:val="24"/>
          <w:highlight w:val="none"/>
          <w:vertAlign w:val="subscript"/>
        </w:rPr>
        <w:t>4</w:t>
      </w:r>
      <w:r>
        <w:rPr>
          <w:rFonts w:hint="eastAsia"/>
          <w:snapToGrid w:val="0"/>
          <w:color w:val="auto"/>
          <w:spacing w:val="0"/>
          <w:kern w:val="0"/>
          <w:sz w:val="24"/>
          <w:highlight w:val="none"/>
          <w:lang w:val="en-US" w:eastAsia="zh-CN"/>
        </w:rPr>
        <w:t>-</w:t>
      </w:r>
      <w:r>
        <w:rPr>
          <w:snapToGrid w:val="0"/>
          <w:color w:val="auto"/>
          <w:spacing w:val="0"/>
          <w:kern w:val="0"/>
          <w:sz w:val="24"/>
          <w:highlight w:val="none"/>
        </w:rPr>
        <w:t>Ca·Na型水。在现代河道两侧的地区，潜水矿化度一般小于1g/L，水化学类型为HCO</w:t>
      </w:r>
      <w:r>
        <w:rPr>
          <w:snapToGrid w:val="0"/>
          <w:color w:val="auto"/>
          <w:spacing w:val="0"/>
          <w:kern w:val="0"/>
          <w:sz w:val="24"/>
          <w:highlight w:val="none"/>
          <w:vertAlign w:val="subscript"/>
        </w:rPr>
        <w:t>3</w:t>
      </w:r>
      <w:r>
        <w:rPr>
          <w:snapToGrid w:val="0"/>
          <w:color w:val="auto"/>
          <w:spacing w:val="0"/>
          <w:kern w:val="0"/>
          <w:sz w:val="24"/>
          <w:highlight w:val="none"/>
        </w:rPr>
        <w:t>·SO</w:t>
      </w:r>
      <w:r>
        <w:rPr>
          <w:snapToGrid w:val="0"/>
          <w:color w:val="auto"/>
          <w:spacing w:val="0"/>
          <w:kern w:val="0"/>
          <w:sz w:val="24"/>
          <w:highlight w:val="none"/>
          <w:vertAlign w:val="subscript"/>
        </w:rPr>
        <w:t>4</w:t>
      </w:r>
      <w:r>
        <w:rPr>
          <w:rFonts w:hint="eastAsia"/>
          <w:snapToGrid w:val="0"/>
          <w:color w:val="auto"/>
          <w:spacing w:val="0"/>
          <w:kern w:val="0"/>
          <w:sz w:val="24"/>
          <w:highlight w:val="none"/>
          <w:lang w:val="en-US" w:eastAsia="zh-CN"/>
        </w:rPr>
        <w:t>-</w:t>
      </w:r>
      <w:r>
        <w:rPr>
          <w:snapToGrid w:val="0"/>
          <w:color w:val="auto"/>
          <w:spacing w:val="0"/>
          <w:kern w:val="0"/>
          <w:sz w:val="24"/>
          <w:highlight w:val="none"/>
        </w:rPr>
        <w:t>Ca或HCO</w:t>
      </w:r>
      <w:r>
        <w:rPr>
          <w:snapToGrid w:val="0"/>
          <w:color w:val="auto"/>
          <w:spacing w:val="0"/>
          <w:kern w:val="0"/>
          <w:sz w:val="24"/>
          <w:highlight w:val="none"/>
          <w:vertAlign w:val="subscript"/>
        </w:rPr>
        <w:t>3</w:t>
      </w:r>
      <w:r>
        <w:rPr>
          <w:snapToGrid w:val="0"/>
          <w:color w:val="auto"/>
          <w:spacing w:val="0"/>
          <w:kern w:val="0"/>
          <w:sz w:val="24"/>
          <w:highlight w:val="none"/>
        </w:rPr>
        <w:t>·SO</w:t>
      </w:r>
      <w:r>
        <w:rPr>
          <w:snapToGrid w:val="0"/>
          <w:color w:val="auto"/>
          <w:spacing w:val="0"/>
          <w:kern w:val="0"/>
          <w:sz w:val="24"/>
          <w:highlight w:val="none"/>
          <w:vertAlign w:val="subscript"/>
        </w:rPr>
        <w:t>4</w:t>
      </w:r>
      <w:r>
        <w:rPr>
          <w:rFonts w:hint="eastAsia"/>
          <w:snapToGrid w:val="0"/>
          <w:color w:val="auto"/>
          <w:spacing w:val="0"/>
          <w:kern w:val="0"/>
          <w:sz w:val="24"/>
          <w:highlight w:val="none"/>
          <w:lang w:val="en-US" w:eastAsia="zh-CN"/>
        </w:rPr>
        <w:t>-</w:t>
      </w:r>
      <w:r>
        <w:rPr>
          <w:snapToGrid w:val="0"/>
          <w:color w:val="auto"/>
          <w:spacing w:val="0"/>
          <w:kern w:val="0"/>
          <w:sz w:val="24"/>
          <w:highlight w:val="none"/>
        </w:rPr>
        <w:t>Ca·Na。</w:t>
      </w:r>
    </w:p>
    <w:p w14:paraId="3846ECDA">
      <w:pPr>
        <w:widowControl/>
        <w:adjustRightInd w:val="0"/>
        <w:snapToGrid w:val="0"/>
        <w:spacing w:line="360" w:lineRule="auto"/>
        <w:ind w:firstLine="480" w:firstLineChars="200"/>
        <w:rPr>
          <w:rFonts w:hint="default"/>
          <w:color w:val="auto"/>
          <w:kern w:val="0"/>
          <w:sz w:val="24"/>
          <w:highlight w:val="none"/>
          <w:lang w:val="en-US" w:eastAsia="zh-CN"/>
        </w:rPr>
      </w:pPr>
      <w:r>
        <w:rPr>
          <w:rFonts w:hint="eastAsia"/>
          <w:color w:val="auto"/>
          <w:kern w:val="0"/>
          <w:sz w:val="24"/>
          <w:highlight w:val="none"/>
          <w:lang w:val="en-US" w:eastAsia="zh-CN"/>
        </w:rPr>
        <w:t>本项目所在区域</w:t>
      </w:r>
      <w:r>
        <w:rPr>
          <w:rFonts w:hint="default"/>
          <w:color w:val="auto"/>
          <w:kern w:val="0"/>
          <w:sz w:val="24"/>
          <w:highlight w:val="none"/>
          <w:lang w:val="en-US" w:eastAsia="zh-CN"/>
        </w:rPr>
        <w:t>位于山前洪积砾质平原前缘地带，地下水类型为第四系松散岩类孔隙水。按照含水层结构和埋藏条件的差异，可进一步划分为单层结构潜水和多层结构潜水-承压水</w:t>
      </w:r>
      <w:r>
        <w:rPr>
          <w:rFonts w:hint="eastAsia"/>
          <w:color w:val="auto"/>
          <w:kern w:val="0"/>
          <w:sz w:val="24"/>
          <w:highlight w:val="none"/>
          <w:lang w:val="en-US" w:eastAsia="zh-CN"/>
        </w:rPr>
        <w:t>。</w:t>
      </w:r>
    </w:p>
    <w:p w14:paraId="33F4CDF6">
      <w:pPr>
        <w:widowControl/>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①单层结构潜水</w:t>
      </w:r>
    </w:p>
    <w:p w14:paraId="3254CB86">
      <w:pPr>
        <w:widowControl/>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单层结构潜水主要分布在区域南部的山前洪积砾质平原，含水层岩性为第四系上更新统洪积卵砾石层，由南向北含水层岩性颗粒逐渐变细，至G312国道沿线一带，含水层岩性以砂砾石为主，局部地段有粉土夹层。根据325mm井径、5m降深统一标准下的换算单井涌水量，可将单层结构潜水的富水性划分为水量丰富区。</w:t>
      </w:r>
    </w:p>
    <w:p w14:paraId="56760F75">
      <w:pPr>
        <w:widowControl/>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水量丰富区分布在区域G312国道以南的区域，根据施工钻孔及机井抽水试验成果可知，换算涌水量为1451.03-3720.93m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/d，渗透系数为9.53-26.55m/d，水量丰富。其中，换算涌水量和渗透系数均呈现出由南向北逐渐减小的变化趋势，区域南部换算单井涌水量一般大于3000-4000m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/d，渗透系数为20-30m/d；而向北至G312国道沿线一带，换算单井涌水量减小至1500m3/d以下，渗透系数也减小至10m/d以下，但富水性级别未发生改变，仍为水量丰富区。</w:t>
      </w:r>
    </w:p>
    <w:p w14:paraId="2CAD595E">
      <w:pPr>
        <w:widowControl/>
        <w:adjustRightInd w:val="0"/>
        <w:snapToGrid w:val="0"/>
        <w:spacing w:line="360" w:lineRule="auto"/>
        <w:ind w:firstLine="480" w:firstLineChars="200"/>
        <w:rPr>
          <w:rFonts w:hint="default"/>
          <w:color w:val="auto"/>
          <w:kern w:val="0"/>
          <w:sz w:val="24"/>
          <w:highlight w:val="none"/>
          <w:lang w:val="en-US" w:eastAsia="zh-CN"/>
        </w:rPr>
      </w:pPr>
      <w:r>
        <w:rPr>
          <w:rFonts w:hint="eastAsia"/>
          <w:color w:val="auto"/>
          <w:kern w:val="0"/>
          <w:sz w:val="24"/>
          <w:highlight w:val="none"/>
          <w:lang w:val="en-US" w:eastAsia="zh-CN"/>
        </w:rPr>
        <w:t>本项目所在区域位于G312国道南部，单井涌水量一般大于3000-4000m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/d，渗透系数为20-30m/d。</w:t>
      </w:r>
    </w:p>
    <w:p w14:paraId="7AB5880F">
      <w:pPr>
        <w:widowControl/>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②多层结构潜水-承压水</w:t>
      </w:r>
    </w:p>
    <w:p w14:paraId="3DBB35B2">
      <w:pPr>
        <w:widowControl/>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多层结构潜水-承压水主要分布在区域G312国道以北的区域，富水性级别为潜水水量中等-承压水水量丰富区。</w:t>
      </w:r>
    </w:p>
    <w:p w14:paraId="34273E65">
      <w:pPr>
        <w:widowControl/>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该区域上部潜水含水层由于厚度较小，一般小于20m，因此富水性比南部稍差，换算涌水量一般为100-1000m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/d，水量中等。上部潜水换算单井涌水量为113.52m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/d，渗透系数为1.51m/d。</w:t>
      </w:r>
    </w:p>
    <w:p w14:paraId="2B5205BC">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lang w:val="en-US" w:eastAsia="zh-CN"/>
        </w:rPr>
        <w:t>下部承压含水层岩性为砂砾石，根据《新疆乌苏地区区域水文地质普查报告》可知，该自流区下部承压水换算单井涌水量一般为1000-5000m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/d，水量丰富。</w:t>
      </w:r>
    </w:p>
    <w:p w14:paraId="28926047">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lang w:eastAsia="zh-CN"/>
        </w:rPr>
        <w:t>（</w:t>
      </w:r>
      <w:r>
        <w:rPr>
          <w:rFonts w:hint="eastAsia"/>
          <w:color w:val="auto"/>
          <w:kern w:val="0"/>
          <w:sz w:val="24"/>
          <w:highlight w:val="none"/>
          <w:lang w:val="en-US" w:eastAsia="zh-CN"/>
        </w:rPr>
        <w:t>4</w:t>
      </w:r>
      <w:r>
        <w:rPr>
          <w:rFonts w:hint="eastAsia"/>
          <w:color w:val="auto"/>
          <w:kern w:val="0"/>
          <w:sz w:val="24"/>
          <w:highlight w:val="none"/>
          <w:lang w:eastAsia="zh-CN"/>
        </w:rPr>
        <w:t>）</w:t>
      </w:r>
      <w:r>
        <w:rPr>
          <w:color w:val="auto"/>
          <w:kern w:val="0"/>
          <w:sz w:val="24"/>
          <w:highlight w:val="none"/>
        </w:rPr>
        <w:t>地下水动态</w:t>
      </w:r>
    </w:p>
    <w:p w14:paraId="04549860">
      <w:pPr>
        <w:widowControl/>
        <w:adjustRightInd w:val="0"/>
        <w:snapToGrid w:val="0"/>
        <w:spacing w:line="360" w:lineRule="auto"/>
        <w:ind w:firstLine="480" w:firstLineChars="200"/>
        <w:rPr>
          <w:color w:val="auto"/>
          <w:kern w:val="0"/>
          <w:sz w:val="24"/>
          <w:highlight w:val="none"/>
        </w:rPr>
      </w:pPr>
      <w:r>
        <w:rPr>
          <w:color w:val="auto"/>
          <w:kern w:val="0"/>
          <w:sz w:val="24"/>
          <w:highlight w:val="none"/>
        </w:rPr>
        <w:t>依据《奎屯河流域规划报告》，由于奎屯河流域四棵树河水引水率的下降以及外流域地表水的调入，势必引起本流域地下水补给量及资源量的增大，相应地使地下水水位上升。地下水位在外流域调入水之前，本流域水资源利用情况不会有大的变化，地下水资源量不会有太大的变化，地下水水位维持现状。随着外流域地表水的调入、本流域河水引水率的降低等因素的变化，地下水资源量较现状年增加，相应地灌区地下水资源量增大，地下水水位将回升。</w:t>
      </w:r>
    </w:p>
    <w:p w14:paraId="7D8A2264">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lang w:eastAsia="zh-CN"/>
        </w:rPr>
        <w:t>（</w:t>
      </w:r>
      <w:r>
        <w:rPr>
          <w:rFonts w:hint="eastAsia"/>
          <w:color w:val="auto"/>
          <w:kern w:val="0"/>
          <w:sz w:val="24"/>
          <w:highlight w:val="none"/>
          <w:lang w:val="en-US" w:eastAsia="zh-CN"/>
        </w:rPr>
        <w:t>5</w:t>
      </w:r>
      <w:r>
        <w:rPr>
          <w:rFonts w:hint="eastAsia"/>
          <w:color w:val="auto"/>
          <w:kern w:val="0"/>
          <w:sz w:val="24"/>
          <w:highlight w:val="none"/>
          <w:lang w:eastAsia="zh-CN"/>
        </w:rPr>
        <w:t>）</w:t>
      </w:r>
      <w:r>
        <w:rPr>
          <w:color w:val="auto"/>
          <w:kern w:val="0"/>
          <w:sz w:val="24"/>
          <w:highlight w:val="none"/>
        </w:rPr>
        <w:t>地下水资源量</w:t>
      </w:r>
    </w:p>
    <w:p w14:paraId="72F40B7D">
      <w:pPr>
        <w:widowControl/>
        <w:adjustRightInd w:val="0"/>
        <w:snapToGrid w:val="0"/>
        <w:spacing w:line="360" w:lineRule="auto"/>
        <w:ind w:firstLine="480" w:firstLineChars="200"/>
        <w:rPr>
          <w:snapToGrid w:val="0"/>
          <w:color w:val="auto"/>
          <w:kern w:val="0"/>
          <w:sz w:val="24"/>
          <w:highlight w:val="none"/>
        </w:rPr>
      </w:pPr>
      <w:r>
        <w:rPr>
          <w:color w:val="auto"/>
          <w:kern w:val="0"/>
          <w:sz w:val="24"/>
          <w:highlight w:val="none"/>
        </w:rPr>
        <w:t>乌苏市是新疆地下水开发利用较早的地区之一，全市现有机电井676眼，年提取地下水量约1.8亿m</w:t>
      </w:r>
      <w:r>
        <w:rPr>
          <w:color w:val="auto"/>
          <w:kern w:val="0"/>
          <w:sz w:val="24"/>
          <w:highlight w:val="none"/>
          <w:vertAlign w:val="superscript"/>
        </w:rPr>
        <w:t>3</w:t>
      </w:r>
      <w:r>
        <w:rPr>
          <w:color w:val="auto"/>
          <w:kern w:val="0"/>
          <w:sz w:val="24"/>
          <w:highlight w:val="none"/>
        </w:rPr>
        <w:t>，地下水的开采主要采用分散开采的形式，在八十四户乡、甘河子乡、甘家湖牧场开采较集中，开采量大，成为超采区，从2002年开始市水利局对地下水超采区采取控制措施，限量开采地下水资源。乌苏市平原区地下水总补给量为5.8847×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/a，其中天然补给量0.9317×10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/a，转化补给量4.9530×10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/a，地下水可开采资源量为3.53×10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/a。乌苏市区（老城区、新城区、东区）地下水总补给量为0.6589×10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/a，其中天然补给量0.2295×10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/a，转化补给量0.4292×10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/a，地下水可开采资源量为0.2941×10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/a，现状开采量为0.3292×10</w:t>
      </w:r>
      <w:r>
        <w:rPr>
          <w:color w:val="auto"/>
          <w:kern w:val="0"/>
          <w:sz w:val="24"/>
          <w:highlight w:val="none"/>
          <w:vertAlign w:val="superscript"/>
        </w:rPr>
        <w:t>8</w:t>
      </w:r>
      <w:r>
        <w:rPr>
          <w:color w:val="auto"/>
          <w:kern w:val="0"/>
          <w:sz w:val="24"/>
          <w:highlight w:val="none"/>
        </w:rPr>
        <w:t>m</w:t>
      </w:r>
      <w:r>
        <w:rPr>
          <w:color w:val="auto"/>
          <w:kern w:val="0"/>
          <w:sz w:val="24"/>
          <w:highlight w:val="none"/>
          <w:vertAlign w:val="superscript"/>
        </w:rPr>
        <w:t>3</w:t>
      </w:r>
      <w:r>
        <w:rPr>
          <w:color w:val="auto"/>
          <w:kern w:val="0"/>
          <w:sz w:val="24"/>
          <w:highlight w:val="none"/>
        </w:rPr>
        <w:t>/a。</w:t>
      </w:r>
    </w:p>
    <w:p w14:paraId="1D9FE1C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5.1.5气候气象</w:t>
      </w:r>
    </w:p>
    <w:p w14:paraId="40C3766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乌苏市地处天山北麓平原地区，准噶尔盆地的南缘，为典型的温带大陆性干旱气候。其主要特点是：冬冷夏热，气温年较差、日较差大，春、秋温度变化剧烈。降水较少，年际变化不大。春、夏多大风，冬季多阴雾，低碎云天气，冻土深厚。乌苏气象站距离本项目3</w:t>
      </w:r>
      <w:r>
        <w:rPr>
          <w:rFonts w:hint="eastAsia"/>
          <w:snapToGrid w:val="0"/>
          <w:color w:val="auto"/>
          <w:kern w:val="0"/>
          <w:sz w:val="24"/>
          <w:highlight w:val="none"/>
          <w:lang w:val="en-US" w:eastAsia="zh-CN"/>
        </w:rPr>
        <w:t>4</w:t>
      </w:r>
      <w:r>
        <w:rPr>
          <w:rFonts w:hint="eastAsia"/>
          <w:snapToGrid w:val="0"/>
          <w:color w:val="auto"/>
          <w:kern w:val="0"/>
          <w:sz w:val="24"/>
          <w:highlight w:val="none"/>
        </w:rPr>
        <w:t>km，是本项目周围最近的气象站，等级为</w:t>
      </w:r>
      <w:r>
        <w:rPr>
          <w:rFonts w:hint="eastAsia"/>
          <w:snapToGrid w:val="0"/>
          <w:color w:val="auto"/>
          <w:kern w:val="0"/>
          <w:sz w:val="24"/>
          <w:highlight w:val="none"/>
          <w:lang w:val="en-US" w:eastAsia="zh-CN"/>
        </w:rPr>
        <w:t>市级</w:t>
      </w:r>
      <w:r>
        <w:rPr>
          <w:rFonts w:hint="eastAsia"/>
          <w:snapToGrid w:val="0"/>
          <w:color w:val="auto"/>
          <w:kern w:val="0"/>
          <w:sz w:val="24"/>
          <w:highlight w:val="none"/>
        </w:rPr>
        <w:t>站，地理位置坐标为</w:t>
      </w:r>
      <w:r>
        <w:rPr>
          <w:snapToGrid w:val="0"/>
          <w:color w:val="auto"/>
          <w:kern w:val="0"/>
          <w:sz w:val="24"/>
          <w:highlight w:val="none"/>
        </w:rPr>
        <w:t>84.69E</w:t>
      </w:r>
      <w:r>
        <w:rPr>
          <w:rFonts w:hint="eastAsia"/>
          <w:snapToGrid w:val="0"/>
          <w:color w:val="auto"/>
          <w:kern w:val="0"/>
          <w:sz w:val="24"/>
          <w:highlight w:val="none"/>
        </w:rPr>
        <w:t>，</w:t>
      </w:r>
      <w:r>
        <w:rPr>
          <w:snapToGrid w:val="0"/>
          <w:color w:val="auto"/>
          <w:kern w:val="0"/>
          <w:sz w:val="24"/>
          <w:highlight w:val="none"/>
        </w:rPr>
        <w:t>44.43N</w:t>
      </w:r>
      <w:r>
        <w:rPr>
          <w:rFonts w:hint="eastAsia"/>
          <w:snapToGrid w:val="0"/>
          <w:color w:val="auto"/>
          <w:kern w:val="0"/>
          <w:sz w:val="24"/>
          <w:highlight w:val="none"/>
        </w:rPr>
        <w:t>，</w:t>
      </w:r>
      <w:r>
        <w:rPr>
          <w:rFonts w:hint="eastAsia"/>
          <w:snapToGrid w:val="0"/>
          <w:color w:val="auto"/>
          <w:kern w:val="0"/>
          <w:sz w:val="24"/>
          <w:highlight w:val="none"/>
          <w:lang w:eastAsia="zh-CN"/>
        </w:rPr>
        <w:t>海拔</w:t>
      </w:r>
      <w:r>
        <w:rPr>
          <w:rFonts w:hint="eastAsia"/>
          <w:snapToGrid w:val="0"/>
          <w:color w:val="auto"/>
          <w:kern w:val="0"/>
          <w:sz w:val="24"/>
          <w:highlight w:val="none"/>
        </w:rPr>
        <w:t>47</w:t>
      </w:r>
      <w:r>
        <w:rPr>
          <w:rFonts w:hint="eastAsia"/>
          <w:snapToGrid w:val="0"/>
          <w:color w:val="auto"/>
          <w:kern w:val="0"/>
          <w:sz w:val="24"/>
          <w:highlight w:val="none"/>
          <w:lang w:val="en-US" w:eastAsia="zh-CN"/>
        </w:rPr>
        <w:t>1</w:t>
      </w:r>
      <w:r>
        <w:rPr>
          <w:rFonts w:hint="eastAsia"/>
          <w:snapToGrid w:val="0"/>
          <w:color w:val="auto"/>
          <w:kern w:val="0"/>
          <w:sz w:val="24"/>
          <w:highlight w:val="none"/>
        </w:rPr>
        <w:t>m，观测项目包括气温、气压、相对湿度、风速和风向、降水、日照、蒸发量等，符合导则关于地面气象观测资料调查的要求</w:t>
      </w:r>
      <w:r>
        <w:rPr>
          <w:snapToGrid w:val="0"/>
          <w:color w:val="auto"/>
          <w:kern w:val="0"/>
          <w:sz w:val="24"/>
          <w:highlight w:val="none"/>
        </w:rPr>
        <w:t>。根据乌苏气象站气象资料统计分析，提供累年下列特征值。</w:t>
      </w:r>
      <w:r>
        <w:rPr>
          <w:rFonts w:hint="eastAsia"/>
          <w:snapToGrid w:val="0"/>
          <w:color w:val="auto"/>
          <w:kern w:val="0"/>
          <w:sz w:val="24"/>
          <w:highlight w:val="none"/>
        </w:rPr>
        <w:t>历史气象资料统计见表5.1-1。</w:t>
      </w:r>
    </w:p>
    <w:p w14:paraId="15A58FF3">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5.1-1 主要</w:t>
      </w:r>
      <w:r>
        <w:rPr>
          <w:rFonts w:ascii="Times New Roman" w:hAnsi="Times New Roman" w:cs="Times New Roman"/>
          <w:snapToGrid w:val="0"/>
          <w:color w:val="auto"/>
          <w:kern w:val="0"/>
          <w:sz w:val="21"/>
          <w:szCs w:val="21"/>
          <w:highlight w:val="none"/>
        </w:rPr>
        <w:t>气象统计一览表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177"/>
        <w:gridCol w:w="2113"/>
        <w:gridCol w:w="2146"/>
      </w:tblGrid>
      <w:tr w14:paraId="55C0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blHeader/>
        </w:trPr>
        <w:tc>
          <w:tcPr>
            <w:tcW w:w="4227" w:type="dxa"/>
            <w:noWrap w:val="0"/>
            <w:vAlign w:val="center"/>
          </w:tcPr>
          <w:p w14:paraId="5C0FB6D7">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统计项目</w:t>
            </w:r>
          </w:p>
        </w:tc>
        <w:tc>
          <w:tcPr>
            <w:tcW w:w="2133" w:type="dxa"/>
            <w:noWrap w:val="0"/>
            <w:vAlign w:val="center"/>
          </w:tcPr>
          <w:p w14:paraId="624F7E7E">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统计值</w:t>
            </w:r>
          </w:p>
        </w:tc>
        <w:tc>
          <w:tcPr>
            <w:tcW w:w="2169" w:type="dxa"/>
            <w:noWrap w:val="0"/>
            <w:vAlign w:val="center"/>
          </w:tcPr>
          <w:p w14:paraId="6566342D">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极值</w:t>
            </w:r>
          </w:p>
        </w:tc>
      </w:tr>
      <w:tr w14:paraId="2B71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42BCEA07">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多年平均气温（℃）</w:t>
            </w:r>
          </w:p>
        </w:tc>
        <w:tc>
          <w:tcPr>
            <w:tcW w:w="2133" w:type="dxa"/>
            <w:noWrap w:val="0"/>
            <w:vAlign w:val="center"/>
          </w:tcPr>
          <w:p w14:paraId="0BCFF455">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8.85</w:t>
            </w:r>
          </w:p>
        </w:tc>
        <w:tc>
          <w:tcPr>
            <w:tcW w:w="2169" w:type="dxa"/>
            <w:noWrap w:val="0"/>
            <w:vAlign w:val="center"/>
          </w:tcPr>
          <w:p w14:paraId="2273199C">
            <w:pPr>
              <w:widowControl/>
              <w:adjustRightInd w:val="0"/>
              <w:snapToGrid w:val="0"/>
              <w:jc w:val="center"/>
              <w:rPr>
                <w:rFonts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6F5B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5EE2A1C3">
            <w:pPr>
              <w:widowControl/>
              <w:adjustRightInd w:val="0"/>
              <w:snapToGrid w:val="0"/>
              <w:jc w:val="center"/>
              <w:rPr>
                <w:rFonts w:eastAsia="宋体"/>
                <w:snapToGrid w:val="0"/>
                <w:color w:val="auto"/>
                <w:kern w:val="0"/>
                <w:szCs w:val="21"/>
                <w:highlight w:val="none"/>
              </w:rPr>
            </w:pPr>
            <w:r>
              <w:rPr>
                <w:rFonts w:hint="eastAsia" w:eastAsia="宋体"/>
                <w:snapToGrid w:val="0"/>
                <w:color w:val="auto"/>
                <w:kern w:val="0"/>
                <w:szCs w:val="21"/>
                <w:highlight w:val="none"/>
              </w:rPr>
              <w:t>多</w:t>
            </w:r>
            <w:r>
              <w:rPr>
                <w:rFonts w:eastAsia="宋体"/>
                <w:snapToGrid w:val="0"/>
                <w:color w:val="auto"/>
                <w:kern w:val="0"/>
                <w:szCs w:val="21"/>
                <w:highlight w:val="none"/>
              </w:rPr>
              <w:t>年</w:t>
            </w:r>
            <w:r>
              <w:rPr>
                <w:rFonts w:hint="eastAsia" w:eastAsia="宋体"/>
                <w:snapToGrid w:val="0"/>
                <w:color w:val="auto"/>
                <w:kern w:val="0"/>
                <w:szCs w:val="21"/>
                <w:highlight w:val="none"/>
              </w:rPr>
              <w:t>平均</w:t>
            </w:r>
            <w:r>
              <w:rPr>
                <w:rFonts w:eastAsia="宋体"/>
                <w:snapToGrid w:val="0"/>
                <w:color w:val="auto"/>
                <w:kern w:val="0"/>
                <w:szCs w:val="21"/>
                <w:highlight w:val="none"/>
              </w:rPr>
              <w:t>最高气温（℃）</w:t>
            </w:r>
          </w:p>
        </w:tc>
        <w:tc>
          <w:tcPr>
            <w:tcW w:w="2133" w:type="dxa"/>
            <w:noWrap w:val="0"/>
            <w:vAlign w:val="center"/>
          </w:tcPr>
          <w:p w14:paraId="267D7C9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39.22</w:t>
            </w:r>
          </w:p>
        </w:tc>
        <w:tc>
          <w:tcPr>
            <w:tcW w:w="2169" w:type="dxa"/>
            <w:noWrap w:val="0"/>
            <w:vAlign w:val="center"/>
          </w:tcPr>
          <w:p w14:paraId="18D51B66">
            <w:pPr>
              <w:widowControl/>
              <w:adjustRightInd w:val="0"/>
              <w:snapToGrid w:val="0"/>
              <w:jc w:val="center"/>
              <w:rPr>
                <w:rFonts w:hint="eastAsia" w:eastAsia="宋体"/>
                <w:snapToGrid w:val="0"/>
                <w:color w:val="auto"/>
                <w:kern w:val="0"/>
                <w:szCs w:val="21"/>
                <w:highlight w:val="none"/>
                <w:lang w:val="en-US" w:eastAsia="zh-CN"/>
              </w:rPr>
            </w:pPr>
            <w:r>
              <w:rPr>
                <w:rFonts w:hint="eastAsia" w:eastAsia="宋体"/>
                <w:snapToGrid w:val="0"/>
                <w:color w:val="auto"/>
                <w:kern w:val="0"/>
                <w:szCs w:val="21"/>
                <w:highlight w:val="none"/>
              </w:rPr>
              <w:t>41.</w:t>
            </w:r>
            <w:r>
              <w:rPr>
                <w:rFonts w:hint="eastAsia" w:eastAsia="宋体"/>
                <w:snapToGrid w:val="0"/>
                <w:color w:val="auto"/>
                <w:kern w:val="0"/>
                <w:szCs w:val="21"/>
                <w:highlight w:val="none"/>
                <w:lang w:val="en-US" w:eastAsia="zh-CN"/>
              </w:rPr>
              <w:t>1</w:t>
            </w:r>
          </w:p>
        </w:tc>
      </w:tr>
      <w:tr w14:paraId="0312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05E59908">
            <w:pPr>
              <w:widowControl/>
              <w:adjustRightInd w:val="0"/>
              <w:snapToGrid w:val="0"/>
              <w:jc w:val="center"/>
              <w:rPr>
                <w:rFonts w:eastAsia="宋体"/>
                <w:snapToGrid w:val="0"/>
                <w:color w:val="auto"/>
                <w:kern w:val="0"/>
                <w:szCs w:val="21"/>
                <w:highlight w:val="none"/>
              </w:rPr>
            </w:pPr>
            <w:r>
              <w:rPr>
                <w:rFonts w:hint="eastAsia" w:eastAsia="宋体"/>
                <w:snapToGrid w:val="0"/>
                <w:color w:val="auto"/>
                <w:kern w:val="0"/>
                <w:szCs w:val="21"/>
                <w:highlight w:val="none"/>
              </w:rPr>
              <w:t>多</w:t>
            </w:r>
            <w:r>
              <w:rPr>
                <w:rFonts w:eastAsia="宋体"/>
                <w:snapToGrid w:val="0"/>
                <w:color w:val="auto"/>
                <w:kern w:val="0"/>
                <w:szCs w:val="21"/>
                <w:highlight w:val="none"/>
              </w:rPr>
              <w:t>年</w:t>
            </w:r>
            <w:r>
              <w:rPr>
                <w:rFonts w:hint="eastAsia" w:eastAsia="宋体"/>
                <w:snapToGrid w:val="0"/>
                <w:color w:val="auto"/>
                <w:kern w:val="0"/>
                <w:szCs w:val="21"/>
                <w:highlight w:val="none"/>
              </w:rPr>
              <w:t>平均</w:t>
            </w:r>
            <w:r>
              <w:rPr>
                <w:rFonts w:eastAsia="宋体"/>
                <w:snapToGrid w:val="0"/>
                <w:color w:val="auto"/>
                <w:kern w:val="0"/>
                <w:szCs w:val="21"/>
                <w:highlight w:val="none"/>
              </w:rPr>
              <w:t>最低气温（℃）</w:t>
            </w:r>
          </w:p>
        </w:tc>
        <w:tc>
          <w:tcPr>
            <w:tcW w:w="2133" w:type="dxa"/>
            <w:noWrap w:val="0"/>
            <w:vAlign w:val="center"/>
          </w:tcPr>
          <w:p w14:paraId="7B4209D1">
            <w:pPr>
              <w:widowControl/>
              <w:adjustRightInd w:val="0"/>
              <w:snapToGrid w:val="0"/>
              <w:jc w:val="center"/>
              <w:rPr>
                <w:rFonts w:hint="default" w:eastAsia="宋体"/>
                <w:snapToGrid w:val="0"/>
                <w:color w:val="auto"/>
                <w:kern w:val="0"/>
                <w:szCs w:val="21"/>
                <w:highlight w:val="none"/>
                <w:lang w:val="en-US" w:eastAsia="zh-CN"/>
              </w:rPr>
            </w:pPr>
            <w:r>
              <w:rPr>
                <w:rFonts w:eastAsia="宋体"/>
                <w:snapToGrid w:val="0"/>
                <w:color w:val="auto"/>
                <w:kern w:val="0"/>
                <w:szCs w:val="21"/>
                <w:highlight w:val="none"/>
              </w:rPr>
              <w:t>-</w:t>
            </w:r>
            <w:r>
              <w:rPr>
                <w:rFonts w:hint="eastAsia" w:eastAsia="宋体"/>
                <w:snapToGrid w:val="0"/>
                <w:color w:val="auto"/>
                <w:kern w:val="0"/>
                <w:szCs w:val="21"/>
                <w:highlight w:val="none"/>
                <w:lang w:val="en-US" w:eastAsia="zh-CN"/>
              </w:rPr>
              <w:t>27.03</w:t>
            </w:r>
          </w:p>
        </w:tc>
        <w:tc>
          <w:tcPr>
            <w:tcW w:w="2169" w:type="dxa"/>
            <w:noWrap w:val="0"/>
            <w:vAlign w:val="center"/>
          </w:tcPr>
          <w:p w14:paraId="3FA28275">
            <w:pPr>
              <w:widowControl/>
              <w:adjustRightInd w:val="0"/>
              <w:snapToGrid w:val="0"/>
              <w:jc w:val="center"/>
              <w:rPr>
                <w:rFonts w:hint="default" w:eastAsia="宋体"/>
                <w:snapToGrid w:val="0"/>
                <w:color w:val="auto"/>
                <w:kern w:val="0"/>
                <w:szCs w:val="21"/>
                <w:highlight w:val="none"/>
                <w:lang w:val="en-US" w:eastAsia="zh-CN"/>
              </w:rPr>
            </w:pPr>
            <w:r>
              <w:rPr>
                <w:rFonts w:eastAsia="宋体"/>
                <w:snapToGrid w:val="0"/>
                <w:color w:val="auto"/>
                <w:kern w:val="0"/>
                <w:szCs w:val="21"/>
                <w:highlight w:val="none"/>
              </w:rPr>
              <w:t>-</w:t>
            </w:r>
            <w:r>
              <w:rPr>
                <w:rFonts w:hint="eastAsia" w:eastAsia="宋体"/>
                <w:snapToGrid w:val="0"/>
                <w:color w:val="auto"/>
                <w:kern w:val="0"/>
                <w:szCs w:val="21"/>
                <w:highlight w:val="none"/>
                <w:lang w:val="en-US" w:eastAsia="zh-CN"/>
              </w:rPr>
              <w:t>31.1</w:t>
            </w:r>
          </w:p>
        </w:tc>
      </w:tr>
      <w:tr w14:paraId="2ADD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013E3051">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多年平均气压（hPa）</w:t>
            </w:r>
          </w:p>
        </w:tc>
        <w:tc>
          <w:tcPr>
            <w:tcW w:w="2133" w:type="dxa"/>
            <w:noWrap w:val="0"/>
            <w:vAlign w:val="center"/>
          </w:tcPr>
          <w:p w14:paraId="0AAA6075">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963.69</w:t>
            </w:r>
          </w:p>
        </w:tc>
        <w:tc>
          <w:tcPr>
            <w:tcW w:w="2169" w:type="dxa"/>
            <w:noWrap w:val="0"/>
            <w:vAlign w:val="center"/>
          </w:tcPr>
          <w:p w14:paraId="61D20864">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w:t>
            </w:r>
          </w:p>
        </w:tc>
      </w:tr>
      <w:tr w14:paraId="4C98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7D832CD4">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多年平均水汽压（hPa）</w:t>
            </w:r>
          </w:p>
        </w:tc>
        <w:tc>
          <w:tcPr>
            <w:tcW w:w="2133" w:type="dxa"/>
            <w:noWrap w:val="0"/>
            <w:vAlign w:val="center"/>
          </w:tcPr>
          <w:p w14:paraId="3288A130">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7.16</w:t>
            </w:r>
          </w:p>
        </w:tc>
        <w:tc>
          <w:tcPr>
            <w:tcW w:w="2169" w:type="dxa"/>
            <w:noWrap w:val="0"/>
            <w:vAlign w:val="center"/>
          </w:tcPr>
          <w:p w14:paraId="68A504D6">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541E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3D0973B5">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多年平均相对湿度</w:t>
            </w:r>
            <w:r>
              <w:rPr>
                <w:rFonts w:hint="eastAsia"/>
                <w:snapToGrid w:val="0"/>
                <w:color w:val="auto"/>
                <w:kern w:val="0"/>
                <w:szCs w:val="21"/>
                <w:highlight w:val="none"/>
                <w:lang w:eastAsia="zh-CN"/>
              </w:rPr>
              <w:t>（</w:t>
            </w:r>
            <w:r>
              <w:rPr>
                <w:rFonts w:eastAsia="宋体"/>
                <w:snapToGrid w:val="0"/>
                <w:color w:val="auto"/>
                <w:kern w:val="0"/>
                <w:szCs w:val="21"/>
                <w:highlight w:val="none"/>
              </w:rPr>
              <w:t>%</w:t>
            </w:r>
            <w:r>
              <w:rPr>
                <w:rFonts w:hint="eastAsia"/>
                <w:snapToGrid w:val="0"/>
                <w:color w:val="auto"/>
                <w:kern w:val="0"/>
                <w:szCs w:val="21"/>
                <w:highlight w:val="none"/>
                <w:lang w:eastAsia="zh-CN"/>
              </w:rPr>
              <w:t>）</w:t>
            </w:r>
          </w:p>
        </w:tc>
        <w:tc>
          <w:tcPr>
            <w:tcW w:w="2133" w:type="dxa"/>
            <w:noWrap w:val="0"/>
            <w:vAlign w:val="center"/>
          </w:tcPr>
          <w:p w14:paraId="2C107F9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57.39</w:t>
            </w:r>
          </w:p>
        </w:tc>
        <w:tc>
          <w:tcPr>
            <w:tcW w:w="2169" w:type="dxa"/>
            <w:noWrap w:val="0"/>
            <w:vAlign w:val="center"/>
          </w:tcPr>
          <w:p w14:paraId="3A3E967B">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294D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7BAA8827">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多年平均降雨量</w:t>
            </w:r>
            <w:r>
              <w:rPr>
                <w:rFonts w:hint="eastAsia"/>
                <w:snapToGrid w:val="0"/>
                <w:color w:val="auto"/>
                <w:kern w:val="0"/>
                <w:szCs w:val="21"/>
                <w:highlight w:val="none"/>
                <w:lang w:eastAsia="zh-CN"/>
              </w:rPr>
              <w:t>（</w:t>
            </w:r>
            <w:r>
              <w:rPr>
                <w:rFonts w:eastAsia="宋体"/>
                <w:snapToGrid w:val="0"/>
                <w:color w:val="auto"/>
                <w:kern w:val="0"/>
                <w:szCs w:val="21"/>
                <w:highlight w:val="none"/>
              </w:rPr>
              <w:t>mm</w:t>
            </w:r>
            <w:r>
              <w:rPr>
                <w:rFonts w:hint="eastAsia"/>
                <w:snapToGrid w:val="0"/>
                <w:color w:val="auto"/>
                <w:kern w:val="0"/>
                <w:szCs w:val="21"/>
                <w:highlight w:val="none"/>
                <w:lang w:eastAsia="zh-CN"/>
              </w:rPr>
              <w:t>）</w:t>
            </w:r>
          </w:p>
        </w:tc>
        <w:tc>
          <w:tcPr>
            <w:tcW w:w="2133" w:type="dxa"/>
            <w:noWrap w:val="0"/>
            <w:vAlign w:val="center"/>
          </w:tcPr>
          <w:p w14:paraId="611406B0">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190.9</w:t>
            </w:r>
          </w:p>
        </w:tc>
        <w:tc>
          <w:tcPr>
            <w:tcW w:w="2169" w:type="dxa"/>
            <w:noWrap w:val="0"/>
            <w:vAlign w:val="center"/>
          </w:tcPr>
          <w:p w14:paraId="60301787">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2A60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3735F28C">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多年平均最大日降水量</w:t>
            </w:r>
            <w:r>
              <w:rPr>
                <w:rFonts w:hint="eastAsia"/>
                <w:snapToGrid w:val="0"/>
                <w:color w:val="auto"/>
                <w:kern w:val="0"/>
                <w:szCs w:val="21"/>
                <w:highlight w:val="none"/>
                <w:lang w:eastAsia="zh-CN"/>
              </w:rPr>
              <w:t>（</w:t>
            </w:r>
            <w:r>
              <w:rPr>
                <w:rFonts w:eastAsia="宋体"/>
                <w:snapToGrid w:val="0"/>
                <w:color w:val="auto"/>
                <w:kern w:val="0"/>
                <w:szCs w:val="21"/>
                <w:highlight w:val="none"/>
              </w:rPr>
              <w:t>mm</w:t>
            </w:r>
            <w:r>
              <w:rPr>
                <w:rFonts w:hint="eastAsia"/>
                <w:snapToGrid w:val="0"/>
                <w:color w:val="auto"/>
                <w:kern w:val="0"/>
                <w:szCs w:val="21"/>
                <w:highlight w:val="none"/>
                <w:lang w:eastAsia="zh-CN"/>
              </w:rPr>
              <w:t>）</w:t>
            </w:r>
          </w:p>
        </w:tc>
        <w:tc>
          <w:tcPr>
            <w:tcW w:w="2133" w:type="dxa"/>
            <w:noWrap w:val="0"/>
            <w:vAlign w:val="center"/>
          </w:tcPr>
          <w:p w14:paraId="2788C5DA">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21.33</w:t>
            </w:r>
          </w:p>
        </w:tc>
        <w:tc>
          <w:tcPr>
            <w:tcW w:w="2169" w:type="dxa"/>
            <w:noWrap w:val="0"/>
            <w:vAlign w:val="center"/>
          </w:tcPr>
          <w:p w14:paraId="1BCDEEFE">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41.9</w:t>
            </w:r>
          </w:p>
        </w:tc>
      </w:tr>
      <w:tr w14:paraId="368A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71" w:hRule="atLeast"/>
        </w:trPr>
        <w:tc>
          <w:tcPr>
            <w:tcW w:w="4227" w:type="dxa"/>
            <w:noWrap w:val="0"/>
            <w:vAlign w:val="center"/>
          </w:tcPr>
          <w:p w14:paraId="2CA2B028">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多年实测极大风速（m/s）</w:t>
            </w:r>
          </w:p>
        </w:tc>
        <w:tc>
          <w:tcPr>
            <w:tcW w:w="2133" w:type="dxa"/>
            <w:noWrap w:val="0"/>
            <w:vAlign w:val="center"/>
          </w:tcPr>
          <w:p w14:paraId="118DD661">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17.49</w:t>
            </w:r>
          </w:p>
        </w:tc>
        <w:tc>
          <w:tcPr>
            <w:tcW w:w="2169" w:type="dxa"/>
            <w:noWrap w:val="0"/>
            <w:vAlign w:val="center"/>
          </w:tcPr>
          <w:p w14:paraId="6AA61D22">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21.6</w:t>
            </w:r>
          </w:p>
        </w:tc>
      </w:tr>
      <w:tr w14:paraId="6E8C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0A216B56">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多年平均风速（m/s）</w:t>
            </w:r>
          </w:p>
        </w:tc>
        <w:tc>
          <w:tcPr>
            <w:tcW w:w="2133" w:type="dxa"/>
            <w:noWrap w:val="0"/>
            <w:vAlign w:val="center"/>
          </w:tcPr>
          <w:p w14:paraId="51819D2F">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1.58</w:t>
            </w:r>
          </w:p>
        </w:tc>
        <w:tc>
          <w:tcPr>
            <w:tcW w:w="2169" w:type="dxa"/>
            <w:noWrap w:val="0"/>
            <w:vAlign w:val="center"/>
          </w:tcPr>
          <w:p w14:paraId="594613CE">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7F8F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66E3A861">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多年主导风向、风向频率</w:t>
            </w:r>
            <w:r>
              <w:rPr>
                <w:rFonts w:hint="eastAsia"/>
                <w:snapToGrid w:val="0"/>
                <w:color w:val="auto"/>
                <w:kern w:val="0"/>
                <w:szCs w:val="21"/>
                <w:highlight w:val="none"/>
                <w:lang w:eastAsia="zh-CN"/>
              </w:rPr>
              <w:t>（</w:t>
            </w:r>
            <w:r>
              <w:rPr>
                <w:rFonts w:eastAsia="宋体"/>
                <w:snapToGrid w:val="0"/>
                <w:color w:val="auto"/>
                <w:kern w:val="0"/>
                <w:szCs w:val="21"/>
                <w:highlight w:val="none"/>
              </w:rPr>
              <w:t>%</w:t>
            </w:r>
            <w:r>
              <w:rPr>
                <w:rFonts w:hint="eastAsia"/>
                <w:snapToGrid w:val="0"/>
                <w:color w:val="auto"/>
                <w:kern w:val="0"/>
                <w:szCs w:val="21"/>
                <w:highlight w:val="none"/>
                <w:lang w:eastAsia="zh-CN"/>
              </w:rPr>
              <w:t>）</w:t>
            </w:r>
          </w:p>
        </w:tc>
        <w:tc>
          <w:tcPr>
            <w:tcW w:w="2133" w:type="dxa"/>
            <w:noWrap w:val="0"/>
            <w:vAlign w:val="center"/>
          </w:tcPr>
          <w:p w14:paraId="55F6B40A">
            <w:pPr>
              <w:widowControl/>
              <w:adjustRightInd w:val="0"/>
              <w:snapToGrid w:val="0"/>
              <w:jc w:val="center"/>
              <w:rPr>
                <w:rFonts w:hint="default" w:eastAsia="宋体"/>
                <w:snapToGrid w:val="0"/>
                <w:color w:val="auto"/>
                <w:kern w:val="0"/>
                <w:szCs w:val="21"/>
                <w:highlight w:val="none"/>
                <w:lang w:val="en-US" w:eastAsia="zh-CN"/>
              </w:rPr>
            </w:pPr>
            <w:r>
              <w:rPr>
                <w:rFonts w:eastAsia="宋体"/>
                <w:snapToGrid w:val="0"/>
                <w:color w:val="auto"/>
                <w:kern w:val="0"/>
                <w:szCs w:val="21"/>
                <w:highlight w:val="none"/>
              </w:rPr>
              <w:t>S，</w:t>
            </w:r>
            <w:r>
              <w:rPr>
                <w:rFonts w:hint="eastAsia" w:eastAsia="宋体"/>
                <w:snapToGrid w:val="0"/>
                <w:color w:val="auto"/>
                <w:kern w:val="0"/>
                <w:szCs w:val="21"/>
                <w:highlight w:val="none"/>
              </w:rPr>
              <w:t>1</w:t>
            </w:r>
            <w:r>
              <w:rPr>
                <w:rFonts w:hint="eastAsia" w:eastAsia="宋体"/>
                <w:snapToGrid w:val="0"/>
                <w:color w:val="auto"/>
                <w:kern w:val="0"/>
                <w:szCs w:val="21"/>
                <w:highlight w:val="none"/>
                <w:lang w:val="en-US" w:eastAsia="zh-CN"/>
              </w:rPr>
              <w:t>1.27</w:t>
            </w:r>
          </w:p>
        </w:tc>
        <w:tc>
          <w:tcPr>
            <w:tcW w:w="2169" w:type="dxa"/>
            <w:noWrap w:val="0"/>
            <w:vAlign w:val="center"/>
          </w:tcPr>
          <w:p w14:paraId="0FF201BC">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5E4E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69A4A59E">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多年静风频率（风速</w:t>
            </w:r>
            <w:r>
              <w:rPr>
                <w:rFonts w:hint="eastAsia"/>
                <w:snapToGrid w:val="0"/>
                <w:color w:val="auto"/>
                <w:kern w:val="0"/>
                <w:szCs w:val="21"/>
                <w:highlight w:val="none"/>
                <w:lang w:val="en-US" w:eastAsia="zh-CN"/>
              </w:rPr>
              <w:t>≤</w:t>
            </w:r>
            <w:r>
              <w:rPr>
                <w:rFonts w:eastAsia="宋体"/>
                <w:snapToGrid w:val="0"/>
                <w:color w:val="auto"/>
                <w:kern w:val="0"/>
                <w:szCs w:val="21"/>
                <w:highlight w:val="none"/>
              </w:rPr>
              <w:t>0.2m/s）（%）</w:t>
            </w:r>
          </w:p>
        </w:tc>
        <w:tc>
          <w:tcPr>
            <w:tcW w:w="2133" w:type="dxa"/>
            <w:noWrap w:val="0"/>
            <w:vAlign w:val="center"/>
          </w:tcPr>
          <w:p w14:paraId="708CB1D5">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3.17</w:t>
            </w:r>
          </w:p>
        </w:tc>
        <w:tc>
          <w:tcPr>
            <w:tcW w:w="2169" w:type="dxa"/>
            <w:noWrap w:val="0"/>
            <w:vAlign w:val="center"/>
          </w:tcPr>
          <w:p w14:paraId="48967DC3">
            <w:pPr>
              <w:widowControl/>
              <w:adjustRightInd w:val="0"/>
              <w:snapToGrid w:val="0"/>
              <w:jc w:val="center"/>
              <w:rPr>
                <w:rFonts w:hint="eastAsia" w:eastAsia="宋体"/>
                <w:snapToGrid w:val="0"/>
                <w:color w:val="auto"/>
                <w:kern w:val="0"/>
                <w:szCs w:val="21"/>
                <w:highlight w:val="none"/>
                <w:lang w:val="en-US" w:eastAsia="zh-CN"/>
              </w:rPr>
            </w:pPr>
            <w:r>
              <w:rPr>
                <w:rFonts w:hint="eastAsia" w:eastAsia="宋体"/>
                <w:snapToGrid w:val="0"/>
                <w:color w:val="auto"/>
                <w:kern w:val="0"/>
                <w:szCs w:val="21"/>
                <w:highlight w:val="none"/>
              </w:rPr>
              <w:t>-</w:t>
            </w:r>
          </w:p>
        </w:tc>
      </w:tr>
    </w:tbl>
    <w:p w14:paraId="0A469D4B">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5.1.6生态环境</w:t>
      </w:r>
    </w:p>
    <w:p w14:paraId="638E3C5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5.1.6.1土壤</w:t>
      </w:r>
    </w:p>
    <w:p w14:paraId="3B22EE2E">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乌苏市主要是第四纪沉积物形成的荒漠灰钙土和砾</w:t>
      </w:r>
      <w:r>
        <w:rPr>
          <w:rFonts w:hint="eastAsia"/>
          <w:snapToGrid w:val="0"/>
          <w:color w:val="auto"/>
          <w:kern w:val="0"/>
          <w:sz w:val="24"/>
          <w:highlight w:val="none"/>
          <w:lang w:eastAsia="zh-CN"/>
        </w:rPr>
        <w:t>质</w:t>
      </w:r>
      <w:r>
        <w:rPr>
          <w:rFonts w:hint="eastAsia"/>
          <w:snapToGrid w:val="0"/>
          <w:color w:val="auto"/>
          <w:kern w:val="0"/>
          <w:sz w:val="24"/>
          <w:highlight w:val="none"/>
        </w:rPr>
        <w:t>灰棕色荒漠土，地表为灰黑色砾幕，表层发育良好的灰色或浅灰色多孔状结皮，其下为褐棕色或浅紧实层，多呈块状或团块状结构，再下为石膏与盐分聚集层。腐殖质积累不明显，土壤呈碱性或强碱性反应。</w:t>
      </w:r>
    </w:p>
    <w:p w14:paraId="1B4759D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5.1.6.2动物及植被</w:t>
      </w:r>
    </w:p>
    <w:p w14:paraId="5D4A0AFB">
      <w:pPr>
        <w:widowControl/>
        <w:adjustRightInd w:val="0"/>
        <w:snapToGrid w:val="0"/>
        <w:spacing w:line="360" w:lineRule="auto"/>
        <w:ind w:firstLine="456" w:firstLineChars="200"/>
        <w:rPr>
          <w:snapToGrid w:val="0"/>
          <w:color w:val="auto"/>
          <w:spacing w:val="-6"/>
          <w:kern w:val="0"/>
          <w:sz w:val="24"/>
          <w:highlight w:val="none"/>
        </w:rPr>
      </w:pPr>
      <w:r>
        <w:rPr>
          <w:rFonts w:hint="eastAsia"/>
          <w:snapToGrid w:val="0"/>
          <w:color w:val="auto"/>
          <w:spacing w:val="-6"/>
          <w:kern w:val="0"/>
          <w:sz w:val="24"/>
          <w:highlight w:val="none"/>
        </w:rPr>
        <w:t>乌苏市的林地覆盖率为9.1%，林地面积按全市人口平均为0.73hm</w:t>
      </w:r>
      <w:r>
        <w:rPr>
          <w:rFonts w:hint="eastAsia"/>
          <w:snapToGrid w:val="0"/>
          <w:color w:val="auto"/>
          <w:spacing w:val="-6"/>
          <w:kern w:val="0"/>
          <w:sz w:val="24"/>
          <w:highlight w:val="none"/>
          <w:vertAlign w:val="superscript"/>
        </w:rPr>
        <w:t>2</w:t>
      </w:r>
      <w:r>
        <w:rPr>
          <w:rFonts w:hint="eastAsia"/>
          <w:snapToGrid w:val="0"/>
          <w:color w:val="auto"/>
          <w:spacing w:val="-6"/>
          <w:kern w:val="0"/>
          <w:sz w:val="24"/>
          <w:highlight w:val="none"/>
        </w:rPr>
        <w:t>。乌苏市的牧草地占全市面积的47.24%，其中山区草地占全市面积的20%，低山丘陵草地占29.2%，沙丘</w:t>
      </w:r>
      <w:r>
        <w:rPr>
          <w:rFonts w:hint="eastAsia"/>
          <w:snapToGrid w:val="0"/>
          <w:color w:val="auto"/>
          <w:spacing w:val="-6"/>
          <w:kern w:val="0"/>
          <w:sz w:val="24"/>
          <w:highlight w:val="none"/>
          <w:lang w:eastAsia="zh-CN"/>
        </w:rPr>
        <w:t>草地</w:t>
      </w:r>
      <w:r>
        <w:rPr>
          <w:rFonts w:hint="eastAsia"/>
          <w:snapToGrid w:val="0"/>
          <w:color w:val="auto"/>
          <w:spacing w:val="-6"/>
          <w:kern w:val="0"/>
          <w:sz w:val="24"/>
          <w:highlight w:val="none"/>
        </w:rPr>
        <w:t>占9.5%。乌苏市所在区域平原区天然林有杨树、榆树、沙枣树和其它灌木，人工林主要树种以杨树、柳树、榆树、沙枣树等乡土树种为主。山区森林</w:t>
      </w:r>
      <w:r>
        <w:rPr>
          <w:rFonts w:hint="eastAsia"/>
          <w:snapToGrid w:val="0"/>
          <w:color w:val="auto"/>
          <w:spacing w:val="-6"/>
          <w:kern w:val="0"/>
          <w:sz w:val="24"/>
          <w:highlight w:val="none"/>
          <w:lang w:eastAsia="zh-CN"/>
        </w:rPr>
        <w:t>以雪岭云杉为主</w:t>
      </w:r>
      <w:r>
        <w:rPr>
          <w:rFonts w:hint="eastAsia"/>
          <w:snapToGrid w:val="0"/>
          <w:color w:val="auto"/>
          <w:spacing w:val="-6"/>
          <w:kern w:val="0"/>
          <w:sz w:val="24"/>
          <w:highlight w:val="none"/>
        </w:rPr>
        <w:t>，约占80%以上。山前倾斜平原的上部为蒿类荒漠，北部的冲积平原地带为盐柴类灌木和半灌木荒漠，局部地区为沙生植被，在牧业生产上被作为春秋场放牧利用。四棵树以北还保留有大面积的低地草甸植被。</w:t>
      </w:r>
    </w:p>
    <w:p w14:paraId="16482109">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乌苏工业园区区域林草覆盖率约为5%左右，主要为荒漠草原植被，以藜科植物为主，有角果藜、蒿类、丛生禾草类，夹杂着梭梭、琵琶柴等。</w:t>
      </w:r>
    </w:p>
    <w:p w14:paraId="405ECA42">
      <w:pPr>
        <w:widowControl/>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本项目位于规划工业园区的现有厂区内，不新占用园区用地，也不取用地下水，项目占地范围及周边没有国家及自治区保护动植物分布。</w:t>
      </w:r>
      <w:bookmarkStart w:id="88" w:name="_Toc13766"/>
    </w:p>
    <w:p w14:paraId="57E7FAC5">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89" w:name="_Toc21094"/>
      <w:r>
        <w:rPr>
          <w:rFonts w:hint="eastAsia" w:ascii="Times New Roman" w:hAnsi="Times New Roman" w:cs="Times New Roman"/>
          <w:b w:val="0"/>
          <w:bCs w:val="0"/>
          <w:snapToGrid w:val="0"/>
          <w:color w:val="auto"/>
          <w:kern w:val="0"/>
          <w:sz w:val="28"/>
          <w:szCs w:val="28"/>
          <w:highlight w:val="none"/>
          <w:lang w:val="en-US" w:eastAsia="zh-CN"/>
        </w:rPr>
        <w:t>5.2 乌苏市化工产业集中区概况</w:t>
      </w:r>
      <w:bookmarkEnd w:id="88"/>
      <w:bookmarkEnd w:id="89"/>
    </w:p>
    <w:p w14:paraId="7A8E6BC0">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乌苏化工园区于2005年5月由自治区人民政府《关于同意克拉玛依石油化工工业园区为自治区重点石油化工工业园区的批复》新政函〔20</w:t>
      </w:r>
      <w:r>
        <w:rPr>
          <w:rFonts w:hint="eastAsia"/>
          <w:snapToGrid w:val="0"/>
          <w:color w:val="auto"/>
          <w:kern w:val="0"/>
          <w:sz w:val="24"/>
          <w:highlight w:val="none"/>
        </w:rPr>
        <w:t>05</w:t>
      </w:r>
      <w:r>
        <w:rPr>
          <w:snapToGrid w:val="0"/>
          <w:color w:val="auto"/>
          <w:kern w:val="0"/>
          <w:sz w:val="24"/>
          <w:highlight w:val="none"/>
        </w:rPr>
        <w:t>〕50号批准设立，克拉玛依石化工业园区包括独山子、奎屯、乌苏、兵团农七师天北新区化工园。其冠名分别为新疆克拉玛依石油化工工业园区独山子化工园、新疆克拉玛依石油化工工业园区奎屯化工园、新疆克拉玛依石油化工工业园区乌苏化工园、新疆克拉玛依石油化工工业园区兵团农七师天北新区化工园。是自治区级重点工业园区，规划面积991.37hm</w:t>
      </w:r>
      <w:r>
        <w:rPr>
          <w:snapToGrid w:val="0"/>
          <w:color w:val="auto"/>
          <w:kern w:val="0"/>
          <w:sz w:val="24"/>
          <w:highlight w:val="none"/>
          <w:vertAlign w:val="superscript"/>
        </w:rPr>
        <w:t>2</w:t>
      </w:r>
      <w:r>
        <w:rPr>
          <w:snapToGrid w:val="0"/>
          <w:color w:val="auto"/>
          <w:kern w:val="0"/>
          <w:sz w:val="24"/>
          <w:highlight w:val="none"/>
        </w:rPr>
        <w:t>，主导产业为石油化工、机械制造、农副产品加工、新型建材和纺织服装。</w:t>
      </w:r>
    </w:p>
    <w:p w14:paraId="34A3D599">
      <w:pPr>
        <w:widowControl/>
        <w:adjustRightInd w:val="0"/>
        <w:snapToGrid w:val="0"/>
        <w:spacing w:line="360" w:lineRule="auto"/>
        <w:ind w:firstLine="456" w:firstLineChars="200"/>
        <w:rPr>
          <w:rFonts w:hint="eastAsia" w:ascii="Times New Roman" w:hAnsi="Times New Roman" w:eastAsia="宋体" w:cs="Times New Roman"/>
          <w:snapToGrid w:val="0"/>
          <w:color w:val="auto"/>
          <w:spacing w:val="-6"/>
          <w:kern w:val="0"/>
          <w:sz w:val="24"/>
          <w:highlight w:val="none"/>
        </w:rPr>
      </w:pPr>
      <w:r>
        <w:rPr>
          <w:rFonts w:hint="eastAsia" w:ascii="Times New Roman" w:hAnsi="Times New Roman" w:eastAsia="宋体" w:cs="Times New Roman"/>
          <w:snapToGrid w:val="0"/>
          <w:color w:val="auto"/>
          <w:spacing w:val="-6"/>
          <w:kern w:val="0"/>
          <w:sz w:val="24"/>
          <w:highlight w:val="none"/>
        </w:rPr>
        <w:t>2016年6月，自治区人民政府以《关于同意乌苏化工园更名为乌苏工业园区的批复》（新政函〔2016〕147号），同意乌苏化工园更名为乌苏工业园区。2017年4月，自治区国土资源厅出具了《关于对乌苏工业园区域位置调整意见的函》，“支持乌苏工业园区按照扩区办理相关手续，申报范围符合乌苏市土地利用总体规划面积636.7901公顷”，进一步明确西区规划用地，承接东区转移的化工、冶金类产业，重点发展装备制造、纺织服装、新型建材和战略新兴产业。</w:t>
      </w:r>
    </w:p>
    <w:p w14:paraId="5C8397ED">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在国家能源与化学工业总体发展战略和产业政策的指导下，立足于国内、国外两大市场。充分利用地区生物质等资源优势，以凯赛生物化工新材料项目为契机，以生物化工产业为基础，按照</w:t>
      </w:r>
      <w:r>
        <w:rPr>
          <w:rFonts w:hint="eastAsia"/>
          <w:snapToGrid w:val="0"/>
          <w:color w:val="auto"/>
          <w:kern w:val="0"/>
          <w:sz w:val="24"/>
          <w:highlight w:val="none"/>
        </w:rPr>
        <w:t>“</w:t>
      </w:r>
      <w:r>
        <w:rPr>
          <w:snapToGrid w:val="0"/>
          <w:color w:val="auto"/>
          <w:kern w:val="0"/>
          <w:sz w:val="24"/>
          <w:highlight w:val="none"/>
        </w:rPr>
        <w:t>着力推进产业结构优化升级，实现产品向绿色化、差异化、高端化和高附加值方向发展</w:t>
      </w:r>
      <w:r>
        <w:rPr>
          <w:rFonts w:hint="eastAsia"/>
          <w:snapToGrid w:val="0"/>
          <w:color w:val="auto"/>
          <w:kern w:val="0"/>
          <w:sz w:val="24"/>
          <w:highlight w:val="none"/>
        </w:rPr>
        <w:t>”</w:t>
      </w:r>
      <w:r>
        <w:rPr>
          <w:snapToGrid w:val="0"/>
          <w:color w:val="auto"/>
          <w:kern w:val="0"/>
          <w:sz w:val="24"/>
          <w:highlight w:val="none"/>
        </w:rPr>
        <w:t>的战略规划，布局生物基化工新材料，推动园区产业向高端转型方向发展。</w:t>
      </w:r>
    </w:p>
    <w:p w14:paraId="3E3F4097">
      <w:pPr>
        <w:widowControl/>
        <w:adjustRightInd w:val="0"/>
        <w:snapToGrid w:val="0"/>
        <w:spacing w:line="360" w:lineRule="auto"/>
        <w:ind w:firstLine="456" w:firstLineChars="200"/>
        <w:rPr>
          <w:rFonts w:hint="eastAsia" w:ascii="Times New Roman" w:hAnsi="Times New Roman" w:eastAsia="宋体" w:cs="Times New Roman"/>
          <w:snapToGrid w:val="0"/>
          <w:color w:val="auto"/>
          <w:spacing w:val="-6"/>
          <w:kern w:val="0"/>
          <w:sz w:val="24"/>
          <w:highlight w:val="none"/>
        </w:rPr>
      </w:pPr>
      <w:r>
        <w:rPr>
          <w:rFonts w:hint="eastAsia" w:ascii="Times New Roman" w:hAnsi="Times New Roman" w:eastAsia="宋体" w:cs="Times New Roman"/>
          <w:snapToGrid w:val="0"/>
          <w:color w:val="auto"/>
          <w:spacing w:val="-6"/>
          <w:kern w:val="0"/>
          <w:sz w:val="24"/>
          <w:highlight w:val="none"/>
        </w:rPr>
        <w:t>基于以上背景，乌苏市人民政府于2024年4月批复设立乌苏市化工产业集中区（乌政办函〔2024〕77号），乌苏市化工产业集中区为市级化工产业集中区。2024年6月19日，取得乌苏市生态环境局《关于乌苏市化工产业集中区总体规划</w:t>
      </w:r>
      <w:r>
        <w:rPr>
          <w:rFonts w:hint="eastAsia" w:ascii="Times New Roman" w:hAnsi="Times New Roman" w:eastAsia="宋体" w:cs="Times New Roman"/>
          <w:snapToGrid w:val="0"/>
          <w:color w:val="auto"/>
          <w:spacing w:val="-6"/>
          <w:kern w:val="0"/>
          <w:sz w:val="24"/>
          <w:highlight w:val="none"/>
          <w:lang w:eastAsia="zh-CN"/>
        </w:rPr>
        <w:t>（</w:t>
      </w:r>
      <w:r>
        <w:rPr>
          <w:rFonts w:hint="eastAsia" w:ascii="Times New Roman" w:hAnsi="Times New Roman" w:eastAsia="宋体" w:cs="Times New Roman"/>
          <w:snapToGrid w:val="0"/>
          <w:color w:val="auto"/>
          <w:spacing w:val="-6"/>
          <w:kern w:val="0"/>
          <w:sz w:val="24"/>
          <w:highlight w:val="none"/>
        </w:rPr>
        <w:t>2024-2035年</w:t>
      </w:r>
      <w:r>
        <w:rPr>
          <w:rFonts w:hint="eastAsia" w:ascii="Times New Roman" w:hAnsi="Times New Roman" w:eastAsia="宋体" w:cs="Times New Roman"/>
          <w:snapToGrid w:val="0"/>
          <w:color w:val="auto"/>
          <w:spacing w:val="-6"/>
          <w:kern w:val="0"/>
          <w:sz w:val="24"/>
          <w:highlight w:val="none"/>
          <w:lang w:eastAsia="zh-CN"/>
        </w:rPr>
        <w:t>）</w:t>
      </w:r>
      <w:r>
        <w:rPr>
          <w:rFonts w:hint="eastAsia" w:ascii="Times New Roman" w:hAnsi="Times New Roman" w:eastAsia="宋体" w:cs="Times New Roman"/>
          <w:snapToGrid w:val="0"/>
          <w:color w:val="auto"/>
          <w:spacing w:val="-6"/>
          <w:kern w:val="0"/>
          <w:sz w:val="24"/>
          <w:highlight w:val="none"/>
        </w:rPr>
        <w:t>环境影响报告书的审查意见》（塔地环审〔2024〕89号）。</w:t>
      </w:r>
    </w:p>
    <w:p w14:paraId="22C49FE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5.2.1规划范围</w:t>
      </w:r>
    </w:p>
    <w:p w14:paraId="6601895B">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乌苏市化工产业集中区规划用地面积为1.25</w:t>
      </w:r>
      <w:r>
        <w:rPr>
          <w:rFonts w:hint="eastAsia"/>
          <w:snapToGrid w:val="0"/>
          <w:color w:val="auto"/>
          <w:kern w:val="0"/>
          <w:sz w:val="24"/>
          <w:highlight w:val="none"/>
        </w:rPr>
        <w:t>9</w:t>
      </w:r>
      <w:r>
        <w:rPr>
          <w:snapToGrid w:val="0"/>
          <w:color w:val="auto"/>
          <w:kern w:val="0"/>
          <w:sz w:val="24"/>
          <w:highlight w:val="none"/>
        </w:rPr>
        <w:t>km</w:t>
      </w:r>
      <w:r>
        <w:rPr>
          <w:rFonts w:hint="eastAsia"/>
          <w:snapToGrid w:val="0"/>
          <w:color w:val="auto"/>
          <w:kern w:val="0"/>
          <w:sz w:val="24"/>
          <w:highlight w:val="none"/>
          <w:vertAlign w:val="superscript"/>
        </w:rPr>
        <w:t>2</w:t>
      </w:r>
      <w:r>
        <w:rPr>
          <w:snapToGrid w:val="0"/>
          <w:color w:val="auto"/>
          <w:kern w:val="0"/>
          <w:sz w:val="24"/>
          <w:highlight w:val="none"/>
        </w:rPr>
        <w:t>。</w:t>
      </w:r>
    </w:p>
    <w:p w14:paraId="0BFF241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5.2.2规划时间</w:t>
      </w:r>
    </w:p>
    <w:p w14:paraId="715810D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化工产业集中区</w:t>
      </w:r>
      <w:r>
        <w:rPr>
          <w:snapToGrid w:val="0"/>
          <w:color w:val="auto"/>
          <w:kern w:val="0"/>
          <w:sz w:val="24"/>
          <w:highlight w:val="none"/>
        </w:rPr>
        <w:t>规划期限为2024-2035年，</w:t>
      </w:r>
      <w:r>
        <w:rPr>
          <w:rFonts w:hint="eastAsia"/>
          <w:snapToGrid w:val="0"/>
          <w:color w:val="auto"/>
          <w:kern w:val="0"/>
          <w:sz w:val="24"/>
          <w:highlight w:val="none"/>
        </w:rPr>
        <w:t>其中</w:t>
      </w:r>
      <w:r>
        <w:rPr>
          <w:snapToGrid w:val="0"/>
          <w:color w:val="auto"/>
          <w:kern w:val="0"/>
          <w:sz w:val="24"/>
          <w:highlight w:val="none"/>
        </w:rPr>
        <w:t>近期</w:t>
      </w:r>
      <w:r>
        <w:rPr>
          <w:rFonts w:hint="eastAsia"/>
          <w:snapToGrid w:val="0"/>
          <w:color w:val="auto"/>
          <w:kern w:val="0"/>
          <w:sz w:val="24"/>
          <w:highlight w:val="none"/>
        </w:rPr>
        <w:t>为</w:t>
      </w:r>
      <w:r>
        <w:rPr>
          <w:snapToGrid w:val="0"/>
          <w:color w:val="auto"/>
          <w:kern w:val="0"/>
          <w:sz w:val="24"/>
          <w:highlight w:val="none"/>
        </w:rPr>
        <w:t>2024-2030年</w:t>
      </w:r>
      <w:r>
        <w:rPr>
          <w:rFonts w:hint="eastAsia"/>
          <w:snapToGrid w:val="0"/>
          <w:color w:val="auto"/>
          <w:kern w:val="0"/>
          <w:sz w:val="24"/>
          <w:highlight w:val="none"/>
        </w:rPr>
        <w:t>，</w:t>
      </w:r>
      <w:r>
        <w:rPr>
          <w:snapToGrid w:val="0"/>
          <w:color w:val="auto"/>
          <w:kern w:val="0"/>
          <w:sz w:val="24"/>
          <w:highlight w:val="none"/>
        </w:rPr>
        <w:t>远期</w:t>
      </w:r>
      <w:r>
        <w:rPr>
          <w:rFonts w:hint="eastAsia"/>
          <w:snapToGrid w:val="0"/>
          <w:color w:val="auto"/>
          <w:kern w:val="0"/>
          <w:sz w:val="24"/>
          <w:highlight w:val="none"/>
        </w:rPr>
        <w:t>为</w:t>
      </w:r>
      <w:r>
        <w:rPr>
          <w:snapToGrid w:val="0"/>
          <w:color w:val="auto"/>
          <w:kern w:val="0"/>
          <w:sz w:val="24"/>
          <w:highlight w:val="none"/>
        </w:rPr>
        <w:t>2031-2035年。</w:t>
      </w:r>
    </w:p>
    <w:p w14:paraId="31DE3409">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5.2.3产业发展定位</w:t>
      </w:r>
    </w:p>
    <w:p w14:paraId="0AA5019A">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乌苏市化工产业集中区产业发展定位：以凯赛生物化工新材料项目为契机，以生物化工产业为基础，按照</w:t>
      </w:r>
      <w:r>
        <w:rPr>
          <w:rFonts w:hint="eastAsia"/>
          <w:snapToGrid w:val="0"/>
          <w:color w:val="auto"/>
          <w:kern w:val="0"/>
          <w:sz w:val="24"/>
          <w:highlight w:val="none"/>
        </w:rPr>
        <w:t>“</w:t>
      </w:r>
      <w:r>
        <w:rPr>
          <w:snapToGrid w:val="0"/>
          <w:color w:val="auto"/>
          <w:kern w:val="0"/>
          <w:sz w:val="24"/>
          <w:highlight w:val="none"/>
        </w:rPr>
        <w:t>着力推进产业结构优化升级，实现产品向绿色化、差异化、高端化和高附加值方向发展</w:t>
      </w:r>
      <w:r>
        <w:rPr>
          <w:rFonts w:hint="eastAsia"/>
          <w:snapToGrid w:val="0"/>
          <w:color w:val="auto"/>
          <w:kern w:val="0"/>
          <w:sz w:val="24"/>
          <w:highlight w:val="none"/>
        </w:rPr>
        <w:t>”</w:t>
      </w:r>
      <w:r>
        <w:rPr>
          <w:snapToGrid w:val="0"/>
          <w:color w:val="auto"/>
          <w:kern w:val="0"/>
          <w:sz w:val="24"/>
          <w:highlight w:val="none"/>
        </w:rPr>
        <w:t>的战略规划，布局生物基化工新材料，推动园区产业向高端转型方向发展，强化地区产业特色，集聚链群效应，建设绿色低碳、特色鲜明和竞争力一流的化工园区。</w:t>
      </w:r>
    </w:p>
    <w:p w14:paraId="6E22386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5.2.4产业发展方向</w:t>
      </w:r>
    </w:p>
    <w:p w14:paraId="7A042951">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产品链设计遵循上下游一体化理念，充分利用当地及周边自然资源和市场资源，力争实现上、中游产品规模化、内涵优质化和生产工艺清洁化，下游产品精细化、系列化和高附加值化。</w:t>
      </w:r>
    </w:p>
    <w:p w14:paraId="6A3004AC">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乌苏市化工产业集中区以落实</w:t>
      </w:r>
      <w:r>
        <w:rPr>
          <w:rFonts w:hint="eastAsia"/>
          <w:snapToGrid w:val="0"/>
          <w:color w:val="auto"/>
          <w:kern w:val="0"/>
          <w:sz w:val="24"/>
          <w:highlight w:val="none"/>
        </w:rPr>
        <w:t>“</w:t>
      </w:r>
      <w:r>
        <w:rPr>
          <w:snapToGrid w:val="0"/>
          <w:color w:val="auto"/>
          <w:kern w:val="0"/>
          <w:sz w:val="24"/>
          <w:highlight w:val="none"/>
        </w:rPr>
        <w:t>碳达峰、碳中和</w:t>
      </w:r>
      <w:r>
        <w:rPr>
          <w:rFonts w:hint="eastAsia"/>
          <w:snapToGrid w:val="0"/>
          <w:color w:val="auto"/>
          <w:kern w:val="0"/>
          <w:sz w:val="24"/>
          <w:highlight w:val="none"/>
        </w:rPr>
        <w:t>”</w:t>
      </w:r>
      <w:r>
        <w:rPr>
          <w:snapToGrid w:val="0"/>
          <w:color w:val="auto"/>
          <w:kern w:val="0"/>
          <w:sz w:val="24"/>
          <w:highlight w:val="none"/>
        </w:rPr>
        <w:t>为目标，立足当地资源禀赋，依托现有产业基础，规划发展生物化工产业，建设可降解化工新材料、其他新型材料等高技术含量、高附加价值化工产品的化工产业基地，将</w:t>
      </w:r>
      <w:r>
        <w:rPr>
          <w:rFonts w:hint="eastAsia"/>
          <w:snapToGrid w:val="0"/>
          <w:color w:val="auto"/>
          <w:kern w:val="0"/>
          <w:sz w:val="24"/>
          <w:highlight w:val="none"/>
          <w:lang w:eastAsia="zh-CN"/>
        </w:rPr>
        <w:t>乌苏</w:t>
      </w:r>
      <w:r>
        <w:rPr>
          <w:snapToGrid w:val="0"/>
          <w:color w:val="auto"/>
          <w:kern w:val="0"/>
          <w:sz w:val="24"/>
          <w:highlight w:val="none"/>
        </w:rPr>
        <w:t>市化工产业集中区打造成新疆重点生物化工生产基地之一。依托产业发展，以经济、社会和环境可持续发展为目标，采用新技术、新工艺和新设备，建立工业区内部物质与能量的循环关联系统，形成</w:t>
      </w:r>
      <w:r>
        <w:rPr>
          <w:rFonts w:hint="eastAsia"/>
          <w:snapToGrid w:val="0"/>
          <w:color w:val="auto"/>
          <w:kern w:val="0"/>
          <w:sz w:val="24"/>
          <w:highlight w:val="none"/>
        </w:rPr>
        <w:t>“</w:t>
      </w:r>
      <w:r>
        <w:rPr>
          <w:snapToGrid w:val="0"/>
          <w:color w:val="auto"/>
          <w:kern w:val="0"/>
          <w:sz w:val="24"/>
          <w:highlight w:val="none"/>
        </w:rPr>
        <w:t>资源</w:t>
      </w:r>
      <w:r>
        <w:rPr>
          <w:rFonts w:hint="eastAsia"/>
          <w:snapToGrid w:val="0"/>
          <w:color w:val="auto"/>
          <w:kern w:val="0"/>
          <w:sz w:val="24"/>
          <w:highlight w:val="none"/>
        </w:rPr>
        <w:t>-</w:t>
      </w:r>
      <w:r>
        <w:rPr>
          <w:snapToGrid w:val="0"/>
          <w:color w:val="auto"/>
          <w:kern w:val="0"/>
          <w:sz w:val="24"/>
          <w:highlight w:val="none"/>
        </w:rPr>
        <w:t>产品</w:t>
      </w:r>
      <w:r>
        <w:rPr>
          <w:rFonts w:hint="eastAsia"/>
          <w:snapToGrid w:val="0"/>
          <w:color w:val="auto"/>
          <w:kern w:val="0"/>
          <w:sz w:val="24"/>
          <w:highlight w:val="none"/>
        </w:rPr>
        <w:t>-</w:t>
      </w:r>
      <w:r>
        <w:rPr>
          <w:snapToGrid w:val="0"/>
          <w:color w:val="auto"/>
          <w:kern w:val="0"/>
          <w:sz w:val="24"/>
          <w:highlight w:val="none"/>
        </w:rPr>
        <w:t>再生资源</w:t>
      </w:r>
      <w:r>
        <w:rPr>
          <w:rFonts w:hint="eastAsia"/>
          <w:snapToGrid w:val="0"/>
          <w:color w:val="auto"/>
          <w:kern w:val="0"/>
          <w:sz w:val="24"/>
          <w:highlight w:val="none"/>
        </w:rPr>
        <w:t>”</w:t>
      </w:r>
      <w:r>
        <w:rPr>
          <w:snapToGrid w:val="0"/>
          <w:color w:val="auto"/>
          <w:kern w:val="0"/>
          <w:sz w:val="24"/>
          <w:highlight w:val="none"/>
        </w:rPr>
        <w:t>的绿色低碳的循环经济模式，最大限度地实现资源和能源的高效循环利用，建设省级循环经济示范基地。</w:t>
      </w:r>
    </w:p>
    <w:p w14:paraId="0AD76EE7">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5.2.5产业总体框架结构</w:t>
      </w:r>
    </w:p>
    <w:p w14:paraId="39E80818">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规划产业链选择的基本模式是：根据生态系统循环、共生的原理，通过各个组团之间的交通网络衔接、环境保护协调、地区资源共享和功能互补等，使不同企业（产业）之间形成资源共享和互换副产品的共生结合，使上游生产过程中产生的废料成为下游生产过程中的原料，实现资源的综合利用，达到相互间资源的最优配置，从而使经济发展和环境保护走向良性循环的轨道。建立</w:t>
      </w:r>
      <w:r>
        <w:rPr>
          <w:rFonts w:hint="eastAsia"/>
          <w:snapToGrid w:val="0"/>
          <w:color w:val="auto"/>
          <w:kern w:val="0"/>
          <w:sz w:val="24"/>
          <w:highlight w:val="none"/>
        </w:rPr>
        <w:t>“</w:t>
      </w:r>
      <w:r>
        <w:rPr>
          <w:snapToGrid w:val="0"/>
          <w:color w:val="auto"/>
          <w:kern w:val="0"/>
          <w:sz w:val="24"/>
          <w:highlight w:val="none"/>
        </w:rPr>
        <w:t>工业食物链</w:t>
      </w:r>
      <w:r>
        <w:rPr>
          <w:rFonts w:hint="eastAsia"/>
          <w:snapToGrid w:val="0"/>
          <w:color w:val="auto"/>
          <w:kern w:val="0"/>
          <w:sz w:val="24"/>
          <w:highlight w:val="none"/>
        </w:rPr>
        <w:t>”</w:t>
      </w:r>
      <w:r>
        <w:rPr>
          <w:snapToGrid w:val="0"/>
          <w:color w:val="auto"/>
          <w:kern w:val="0"/>
          <w:sz w:val="24"/>
          <w:highlight w:val="none"/>
        </w:rPr>
        <w:t>和</w:t>
      </w:r>
      <w:r>
        <w:rPr>
          <w:rFonts w:hint="eastAsia"/>
          <w:snapToGrid w:val="0"/>
          <w:color w:val="auto"/>
          <w:kern w:val="0"/>
          <w:sz w:val="24"/>
          <w:highlight w:val="none"/>
        </w:rPr>
        <w:t>“</w:t>
      </w:r>
      <w:r>
        <w:rPr>
          <w:snapToGrid w:val="0"/>
          <w:color w:val="auto"/>
          <w:kern w:val="0"/>
          <w:sz w:val="24"/>
          <w:highlight w:val="none"/>
        </w:rPr>
        <w:t>工业食物网</w:t>
      </w:r>
      <w:r>
        <w:rPr>
          <w:rFonts w:hint="eastAsia"/>
          <w:snapToGrid w:val="0"/>
          <w:color w:val="auto"/>
          <w:kern w:val="0"/>
          <w:sz w:val="24"/>
          <w:highlight w:val="none"/>
        </w:rPr>
        <w:t>”</w:t>
      </w:r>
      <w:r>
        <w:rPr>
          <w:snapToGrid w:val="0"/>
          <w:color w:val="auto"/>
          <w:kern w:val="0"/>
          <w:sz w:val="24"/>
          <w:highlight w:val="none"/>
        </w:rPr>
        <w:t>，形成互惠互利的共生网络，实现物质的闭路循环，达到物质能量最大利用的目的。</w:t>
      </w:r>
    </w:p>
    <w:p w14:paraId="577CD1CE">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主导产业：生物化工产业。按照园区发展规划的要求，本产业园选择园区内已形成一定规模的生物化工为主导产业。主导产业实施后既满足上位规划要求、助力实现园区发展规划目标，又与周边现有产业形成差异化发展、避免过度竞争。</w:t>
      </w:r>
    </w:p>
    <w:p w14:paraId="405065D4">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5.2.6空间规划结构</w:t>
      </w:r>
    </w:p>
    <w:p w14:paraId="78E41305">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结合园区规划，空间规划结构形成“一心、两轴、两片区”的布局结构。</w:t>
      </w:r>
    </w:p>
    <w:p w14:paraId="40FDA90D">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一心：即结合园区政务中心构成的综合服务中心，为整个园区提供行政管理、总部办公等服务。</w:t>
      </w:r>
    </w:p>
    <w:p w14:paraId="7D581BF7">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两轴：即依托经十一路和纬九路三条主干路形成的</w:t>
      </w:r>
      <w:r>
        <w:rPr>
          <w:rFonts w:hint="eastAsia"/>
          <w:snapToGrid w:val="0"/>
          <w:color w:val="auto"/>
          <w:kern w:val="0"/>
          <w:sz w:val="24"/>
          <w:highlight w:val="none"/>
        </w:rPr>
        <w:t>“</w:t>
      </w:r>
      <w:r>
        <w:rPr>
          <w:snapToGrid w:val="0"/>
          <w:color w:val="auto"/>
          <w:kern w:val="0"/>
          <w:sz w:val="24"/>
          <w:highlight w:val="none"/>
        </w:rPr>
        <w:t>十</w:t>
      </w:r>
      <w:r>
        <w:rPr>
          <w:rFonts w:hint="eastAsia"/>
          <w:snapToGrid w:val="0"/>
          <w:color w:val="auto"/>
          <w:kern w:val="0"/>
          <w:sz w:val="24"/>
          <w:highlight w:val="none"/>
        </w:rPr>
        <w:t>”</w:t>
      </w:r>
      <w:r>
        <w:rPr>
          <w:snapToGrid w:val="0"/>
          <w:color w:val="auto"/>
          <w:kern w:val="0"/>
          <w:sz w:val="24"/>
          <w:highlight w:val="none"/>
        </w:rPr>
        <w:t>字型园区发展轴。</w:t>
      </w:r>
    </w:p>
    <w:p w14:paraId="11A4D168">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两片区：即综合管理服务区和工业生产区，形成功能有别、特色鲜明的空间格局。</w:t>
      </w:r>
    </w:p>
    <w:p w14:paraId="78E02D47">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乌苏市化工产业集中区总体规划布局见图5.2-1。</w:t>
      </w:r>
    </w:p>
    <w:p w14:paraId="59BD9311">
      <w:pPr>
        <w:pStyle w:val="68"/>
        <w:rPr>
          <w:color w:val="auto"/>
          <w:kern w:val="0"/>
          <w:sz w:val="24"/>
          <w:szCs w:val="24"/>
          <w:highlight w:val="none"/>
        </w:rPr>
      </w:pPr>
      <w:r>
        <w:rPr>
          <w:color w:val="auto"/>
          <w:highlight w:val="none"/>
        </w:rPr>
        <w:drawing>
          <wp:anchor distT="0" distB="0" distL="114300" distR="114300" simplePos="0" relativeHeight="251686912" behindDoc="0" locked="0" layoutInCell="1" allowOverlap="1">
            <wp:simplePos x="0" y="0"/>
            <wp:positionH relativeFrom="column">
              <wp:posOffset>4650105</wp:posOffset>
            </wp:positionH>
            <wp:positionV relativeFrom="paragraph">
              <wp:posOffset>621665</wp:posOffset>
            </wp:positionV>
            <wp:extent cx="495300" cy="621665"/>
            <wp:effectExtent l="0" t="0" r="0" b="6985"/>
            <wp:wrapNone/>
            <wp:docPr id="3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22"/>
                    <pic:cNvPicPr>
                      <a:picLocks noChangeAspect="1"/>
                    </pic:cNvPicPr>
                  </pic:nvPicPr>
                  <pic:blipFill>
                    <a:blip r:embed="rId19"/>
                    <a:stretch>
                      <a:fillRect/>
                    </a:stretch>
                  </pic:blipFill>
                  <pic:spPr>
                    <a:xfrm>
                      <a:off x="0" y="0"/>
                      <a:ext cx="495300" cy="621665"/>
                    </a:xfrm>
                    <a:prstGeom prst="rect">
                      <a:avLst/>
                    </a:prstGeom>
                    <a:noFill/>
                    <a:ln>
                      <a:noFill/>
                    </a:ln>
                  </pic:spPr>
                </pic:pic>
              </a:graphicData>
            </a:graphic>
          </wp:anchor>
        </w:drawing>
      </w:r>
      <w:r>
        <w:rPr>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2971165</wp:posOffset>
                </wp:positionH>
                <wp:positionV relativeFrom="paragraph">
                  <wp:posOffset>2823845</wp:posOffset>
                </wp:positionV>
                <wp:extent cx="666115" cy="429895"/>
                <wp:effectExtent l="667385" t="6350" r="19050" b="554355"/>
                <wp:wrapNone/>
                <wp:docPr id="4" name="矩形标注 4"/>
                <wp:cNvGraphicFramePr/>
                <a:graphic xmlns:a="http://schemas.openxmlformats.org/drawingml/2006/main">
                  <a:graphicData uri="http://schemas.microsoft.com/office/word/2010/wordprocessingShape">
                    <wps:wsp>
                      <wps:cNvSpPr/>
                      <wps:spPr>
                        <a:xfrm>
                          <a:off x="4388485" y="3559175"/>
                          <a:ext cx="666115" cy="429895"/>
                        </a:xfrm>
                        <a:prstGeom prst="wedgeRectCallout">
                          <a:avLst>
                            <a:gd name="adj1" fmla="val -149237"/>
                            <a:gd name="adj2" fmla="val 176888"/>
                          </a:avLst>
                        </a:prstGeom>
                        <a:noFill/>
                        <a:ln w="12700" cmpd="sng">
                          <a:solidFill>
                            <a:srgbClr val="7030A0"/>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F920A16">
                            <w:pPr>
                              <w:jc w:val="center"/>
                              <w:rPr>
                                <w:b/>
                                <w:bCs/>
                                <w:color w:val="FF0000"/>
                              </w:rPr>
                            </w:pPr>
                            <w:r>
                              <w:rPr>
                                <w:rFonts w:hint="eastAsia"/>
                                <w:b/>
                                <w:bCs/>
                                <w:color w:val="FF0000"/>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33.95pt;margin-top:222.35pt;height:33.85pt;width:52.45pt;z-index:251672576;v-text-anchor:middle;mso-width-relative:page;mso-height-relative:page;" filled="f" stroked="t" coordsize="21600,21600" o:gfxdata="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LLYuftoAAAALAQAADwAAAAAAAAABACAAAAAiAAAAZHJz&#10;L2Rvd25yZXYueG1sUEsBAhQAFAAAAAgAh07iQGHLY6ytAgAAMAUAAA4AAAAAAAAAAQAgAAAAKQEA&#10;AGRycy9lMm9Eb2MueG1sUEsFBgAAAAAGAAYAWQEAAEgGAAAAAA==&#10;" adj="-21435,49008">
                <v:fill on="f" focussize="0,0"/>
                <v:stroke weight="1pt" color="#7030A0 [2404]" joinstyle="round"/>
                <v:imagedata o:title=""/>
                <o:lock v:ext="edit" aspectratio="f"/>
                <v:textbox>
                  <w:txbxContent>
                    <w:p w14:paraId="0F920A16">
                      <w:pPr>
                        <w:jc w:val="center"/>
                        <w:rPr>
                          <w:b/>
                          <w:bCs/>
                          <w:color w:val="FF0000"/>
                        </w:rPr>
                      </w:pPr>
                      <w:r>
                        <w:rPr>
                          <w:rFonts w:hint="eastAsia"/>
                          <w:b/>
                          <w:bCs/>
                          <w:color w:val="FF0000"/>
                        </w:rPr>
                        <w:t>本项目位置</w:t>
                      </w:r>
                    </w:p>
                  </w:txbxContent>
                </v:textbox>
              </v:shape>
            </w:pict>
          </mc:Fallback>
        </mc:AlternateContent>
      </w:r>
      <w:r>
        <w:rPr>
          <w:color w:val="auto"/>
          <w:sz w:val="24"/>
          <w:highlight w:val="none"/>
        </w:rPr>
        <mc:AlternateContent>
          <mc:Choice Requires="wpg">
            <w:drawing>
              <wp:anchor distT="0" distB="0" distL="114300" distR="114300" simplePos="0" relativeHeight="251674624" behindDoc="0" locked="0" layoutInCell="1" allowOverlap="1">
                <wp:simplePos x="0" y="0"/>
                <wp:positionH relativeFrom="column">
                  <wp:posOffset>2251710</wp:posOffset>
                </wp:positionH>
                <wp:positionV relativeFrom="paragraph">
                  <wp:posOffset>3729990</wp:posOffset>
                </wp:positionV>
                <wp:extent cx="97790" cy="97155"/>
                <wp:effectExtent l="5715" t="5715" r="10795" b="11430"/>
                <wp:wrapNone/>
                <wp:docPr id="79" name="组合 79"/>
                <wp:cNvGraphicFramePr/>
                <a:graphic xmlns:a="http://schemas.openxmlformats.org/drawingml/2006/main">
                  <a:graphicData uri="http://schemas.microsoft.com/office/word/2010/wordprocessingGroup">
                    <wpg:wgp>
                      <wpg:cNvGrpSpPr/>
                      <wpg:grpSpPr>
                        <a:xfrm>
                          <a:off x="0" y="0"/>
                          <a:ext cx="97790" cy="97155"/>
                          <a:chOff x="7532" y="54248"/>
                          <a:chExt cx="3819" cy="3789"/>
                        </a:xfrm>
                      </wpg:grpSpPr>
                      <wps:wsp>
                        <wps:cNvPr id="58" name="直接连接符 58"/>
                        <wps:cNvCnPr/>
                        <wps:spPr>
                          <a:xfrm flipH="1">
                            <a:off x="7532" y="54248"/>
                            <a:ext cx="1159" cy="460"/>
                          </a:xfrm>
                          <a:prstGeom prst="line">
                            <a:avLst/>
                          </a:prstGeom>
                          <a:ln w="12700" cap="flat" cmpd="sng">
                            <a:solidFill>
                              <a:srgbClr val="7030A0"/>
                            </a:solidFill>
                            <a:prstDash val="solid"/>
                            <a:headEnd type="none" w="med" len="med"/>
                            <a:tailEnd type="none" w="med" len="med"/>
                          </a:ln>
                        </wps:spPr>
                        <wps:bodyPr/>
                      </wps:wsp>
                      <wps:wsp>
                        <wps:cNvPr id="60" name="直接连接符 60"/>
                        <wps:cNvCnPr/>
                        <wps:spPr>
                          <a:xfrm flipH="1" flipV="1">
                            <a:off x="7542" y="54728"/>
                            <a:ext cx="1279" cy="3069"/>
                          </a:xfrm>
                          <a:prstGeom prst="line">
                            <a:avLst/>
                          </a:prstGeom>
                          <a:ln w="12700" cap="flat" cmpd="sng">
                            <a:solidFill>
                              <a:srgbClr val="7030A0"/>
                            </a:solidFill>
                            <a:prstDash val="solid"/>
                            <a:headEnd type="none" w="med" len="med"/>
                            <a:tailEnd type="none" w="med" len="med"/>
                          </a:ln>
                        </wps:spPr>
                        <wps:bodyPr/>
                      </wps:wsp>
                      <wps:wsp>
                        <wps:cNvPr id="61" name="直接连接符 61"/>
                        <wps:cNvCnPr/>
                        <wps:spPr>
                          <a:xfrm flipH="1" flipV="1">
                            <a:off x="8699" y="54259"/>
                            <a:ext cx="582" cy="1347"/>
                          </a:xfrm>
                          <a:prstGeom prst="line">
                            <a:avLst/>
                          </a:prstGeom>
                          <a:ln w="12700" cap="flat" cmpd="sng">
                            <a:solidFill>
                              <a:srgbClr val="7030A0"/>
                            </a:solidFill>
                            <a:prstDash val="solid"/>
                            <a:headEnd type="none" w="med" len="med"/>
                            <a:tailEnd type="none" w="med" len="med"/>
                          </a:ln>
                        </wps:spPr>
                        <wps:bodyPr/>
                      </wps:wsp>
                      <wps:wsp>
                        <wps:cNvPr id="62" name="直接连接符 62"/>
                        <wps:cNvCnPr/>
                        <wps:spPr>
                          <a:xfrm flipH="1">
                            <a:off x="9281" y="55118"/>
                            <a:ext cx="1120" cy="480"/>
                          </a:xfrm>
                          <a:prstGeom prst="line">
                            <a:avLst/>
                          </a:prstGeom>
                          <a:ln w="12700" cap="flat" cmpd="sng">
                            <a:solidFill>
                              <a:srgbClr val="7030A0"/>
                            </a:solidFill>
                            <a:prstDash val="solid"/>
                            <a:headEnd type="none" w="med" len="med"/>
                            <a:tailEnd type="none" w="med" len="med"/>
                          </a:ln>
                        </wps:spPr>
                        <wps:bodyPr/>
                      </wps:wsp>
                      <wps:wsp>
                        <wps:cNvPr id="63" name="直接连接符 63"/>
                        <wps:cNvCnPr/>
                        <wps:spPr>
                          <a:xfrm flipH="1" flipV="1">
                            <a:off x="10410" y="55129"/>
                            <a:ext cx="470" cy="1168"/>
                          </a:xfrm>
                          <a:prstGeom prst="line">
                            <a:avLst/>
                          </a:prstGeom>
                          <a:ln w="12700" cap="flat" cmpd="sng">
                            <a:solidFill>
                              <a:srgbClr val="7030A0"/>
                            </a:solidFill>
                            <a:prstDash val="solid"/>
                            <a:headEnd type="none" w="med" len="med"/>
                            <a:tailEnd type="none" w="med" len="med"/>
                          </a:ln>
                        </wps:spPr>
                        <wps:bodyPr/>
                      </wps:wsp>
                      <wps:wsp>
                        <wps:cNvPr id="64" name="直接连接符 64"/>
                        <wps:cNvCnPr/>
                        <wps:spPr>
                          <a:xfrm flipH="1">
                            <a:off x="10421" y="56298"/>
                            <a:ext cx="470" cy="240"/>
                          </a:xfrm>
                          <a:prstGeom prst="line">
                            <a:avLst/>
                          </a:prstGeom>
                          <a:ln w="12700" cap="flat" cmpd="sng">
                            <a:solidFill>
                              <a:srgbClr val="7030A0"/>
                            </a:solidFill>
                            <a:prstDash val="solid"/>
                            <a:headEnd type="none" w="med" len="med"/>
                            <a:tailEnd type="none" w="med" len="med"/>
                          </a:ln>
                        </wps:spPr>
                        <wps:bodyPr/>
                      </wps:wsp>
                      <wps:wsp>
                        <wps:cNvPr id="65" name="直接连接符 65"/>
                        <wps:cNvCnPr/>
                        <wps:spPr>
                          <a:xfrm flipH="1">
                            <a:off x="10630" y="56758"/>
                            <a:ext cx="492" cy="219"/>
                          </a:xfrm>
                          <a:prstGeom prst="line">
                            <a:avLst/>
                          </a:prstGeom>
                          <a:ln w="12700" cap="flat" cmpd="sng">
                            <a:solidFill>
                              <a:srgbClr val="7030A0"/>
                            </a:solidFill>
                            <a:prstDash val="solid"/>
                            <a:headEnd type="none" w="med" len="med"/>
                            <a:tailEnd type="none" w="med" len="med"/>
                          </a:ln>
                        </wps:spPr>
                        <wps:bodyPr/>
                      </wps:wsp>
                      <wps:wsp>
                        <wps:cNvPr id="67" name="直接连接符 67"/>
                        <wps:cNvCnPr/>
                        <wps:spPr>
                          <a:xfrm flipH="1" flipV="1">
                            <a:off x="10420" y="56509"/>
                            <a:ext cx="221" cy="478"/>
                          </a:xfrm>
                          <a:prstGeom prst="line">
                            <a:avLst/>
                          </a:prstGeom>
                          <a:ln w="12700" cap="flat" cmpd="sng">
                            <a:solidFill>
                              <a:srgbClr val="7030A0"/>
                            </a:solidFill>
                            <a:prstDash val="solid"/>
                            <a:headEnd type="none" w="med" len="med"/>
                            <a:tailEnd type="none" w="med" len="med"/>
                          </a:ln>
                        </wps:spPr>
                        <wps:bodyPr/>
                      </wps:wsp>
                      <wps:wsp>
                        <wps:cNvPr id="68" name="直接连接符 68"/>
                        <wps:cNvCnPr/>
                        <wps:spPr>
                          <a:xfrm flipH="1" flipV="1">
                            <a:off x="11110" y="56749"/>
                            <a:ext cx="221" cy="517"/>
                          </a:xfrm>
                          <a:prstGeom prst="line">
                            <a:avLst/>
                          </a:prstGeom>
                          <a:ln w="12700" cap="flat" cmpd="sng">
                            <a:solidFill>
                              <a:srgbClr val="7030A0"/>
                            </a:solidFill>
                            <a:prstDash val="solid"/>
                            <a:headEnd type="none" w="med" len="med"/>
                            <a:tailEnd type="none" w="med" len="med"/>
                          </a:ln>
                        </wps:spPr>
                        <wps:bodyPr/>
                      </wps:wsp>
                      <wps:wsp>
                        <wps:cNvPr id="75" name="直接连接符 75"/>
                        <wps:cNvCnPr/>
                        <wps:spPr>
                          <a:xfrm flipH="1">
                            <a:off x="9681" y="57278"/>
                            <a:ext cx="1670" cy="750"/>
                          </a:xfrm>
                          <a:prstGeom prst="line">
                            <a:avLst/>
                          </a:prstGeom>
                          <a:ln w="12700" cap="flat" cmpd="sng">
                            <a:solidFill>
                              <a:srgbClr val="7030A0"/>
                            </a:solidFill>
                            <a:prstDash val="solid"/>
                            <a:headEnd type="none" w="med" len="med"/>
                            <a:tailEnd type="none" w="med" len="med"/>
                          </a:ln>
                        </wps:spPr>
                        <wps:bodyPr/>
                      </wps:wsp>
                      <wps:wsp>
                        <wps:cNvPr id="76" name="直接连接符 76"/>
                        <wps:cNvCnPr/>
                        <wps:spPr>
                          <a:xfrm flipH="1" flipV="1">
                            <a:off x="9490" y="57489"/>
                            <a:ext cx="191" cy="548"/>
                          </a:xfrm>
                          <a:prstGeom prst="line">
                            <a:avLst/>
                          </a:prstGeom>
                          <a:ln w="12700" cap="flat" cmpd="sng">
                            <a:solidFill>
                              <a:srgbClr val="7030A0"/>
                            </a:solidFill>
                            <a:prstDash val="solid"/>
                            <a:headEnd type="none" w="med" len="med"/>
                            <a:tailEnd type="none" w="med" len="med"/>
                          </a:ln>
                        </wps:spPr>
                        <wps:bodyPr/>
                      </wps:wsp>
                      <wps:wsp>
                        <wps:cNvPr id="77" name="直接连接符 77"/>
                        <wps:cNvCnPr/>
                        <wps:spPr>
                          <a:xfrm flipH="1">
                            <a:off x="8801" y="57488"/>
                            <a:ext cx="690" cy="310"/>
                          </a:xfrm>
                          <a:prstGeom prst="line">
                            <a:avLst/>
                          </a:prstGeom>
                          <a:ln w="12700" cap="flat" cmpd="sng">
                            <a:solidFill>
                              <a:srgbClr val="7030A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177.3pt;margin-top:293.7pt;height:7.65pt;width:7.7pt;z-index:251674624;mso-width-relative:page;mso-height-relative:page;" coordorigin="7532,54248" coordsize="3819,3789" o:gfxdata="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">
                <o:lock v:ext="edit" aspectratio="f"/>
                <v:line id="_x0000_s1026" o:spid="_x0000_s1026" o:spt="20" style="position:absolute;left:7532;top:54248;flip:x;height:460;width:1159;" filled="f" stroked="t" coordsize="21600,21600" o:gfxdata="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a0SeLsAAADb&#10;AAAADwAAAAAAAAABACAAAAAiAAAAZHJzL2Rvd25yZXYueG1sUEsBAhQAFAAAAAgAh07iQDMvBZ47&#10;AAAAOQAAABAAAAAAAAAAAQAgAAAACgEAAGRycy9zaGFwZXhtbC54bWxQSwUGAAAAAAYABgBbAQAA&#10;tAMAAAAA&#10;">
                  <v:fill on="f" focussize="0,0"/>
                  <v:stroke weight="1pt" color="#7030A0" joinstyle="round"/>
                  <v:imagedata o:title=""/>
                  <o:lock v:ext="edit" aspectratio="f"/>
                </v:line>
                <v:line id="_x0000_s1026" o:spid="_x0000_s1026" o:spt="20" style="position:absolute;left:7542;top:54728;flip:x y;height:3069;width:1279;" filled="f" stroked="t" coordsize="21600,21600" o:gfxdata="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3BXtrgAAADbAAAA&#10;DwAAAAAAAAABACAAAAAiAAAAZHJzL2Rvd25yZXYueG1sUEsBAhQAFAAAAAgAh07iQDMvBZ47AAAA&#10;OQAAABAAAAAAAAAAAQAgAAAABwEAAGRycy9zaGFwZXhtbC54bWxQSwUGAAAAAAYABgBbAQAAsQMA&#10;AAAA&#10;">
                  <v:fill on="f" focussize="0,0"/>
                  <v:stroke weight="1pt" color="#7030A0" joinstyle="round"/>
                  <v:imagedata o:title=""/>
                  <o:lock v:ext="edit" aspectratio="f"/>
                </v:line>
                <v:line id="_x0000_s1026" o:spid="_x0000_s1026" o:spt="20" style="position:absolute;left:8699;top:54259;flip:x y;height:1347;width:582;" filled="f" stroked="t" coordsize="21600,21600" o:gfxdata="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zyLbsAAADb&#10;AAAADwAAAAAAAAABACAAAAAiAAAAZHJzL2Rvd25yZXYueG1sUEsBAhQAFAAAAAgAh07iQDMvBZ47&#10;AAAAOQAAABAAAAAAAAAAAQAgAAAACgEAAGRycy9zaGFwZXhtbC54bWxQSwUGAAAAAAYABgBbAQAA&#10;tAMAAAAA&#10;">
                  <v:fill on="f" focussize="0,0"/>
                  <v:stroke weight="1pt" color="#7030A0" joinstyle="round"/>
                  <v:imagedata o:title=""/>
                  <o:lock v:ext="edit" aspectratio="f"/>
                </v:line>
                <v:line id="_x0000_s1026" o:spid="_x0000_s1026" o:spt="20" style="position:absolute;left:9281;top:55118;flip:x;height:480;width:1120;" filled="f" stroked="t" coordsize="21600,21600" o:gfxdata="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p7y+/&#10;AAAA2wAAAA8AAAAAAAAAAQAgAAAAIgAAAGRycy9kb3ducmV2LnhtbFBLAQIUABQAAAAIAIdO4kAz&#10;LwWeOwAAADkAAAAQAAAAAAAAAAEAIAAAAA4BAABkcnMvc2hhcGV4bWwueG1sUEsFBgAAAAAGAAYA&#10;WwEAALgDAAAAAA==&#10;">
                  <v:fill on="f" focussize="0,0"/>
                  <v:stroke weight="1pt" color="#7030A0" joinstyle="round"/>
                  <v:imagedata o:title=""/>
                  <o:lock v:ext="edit" aspectratio="f"/>
                </v:line>
                <v:line id="_x0000_s1026" o:spid="_x0000_s1026" o:spt="20" style="position:absolute;left:10410;top:55129;flip:x y;height:1168;width:470;" filled="f" stroked="t" coordsize="21600,21600" o:gfxdata="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eiycG8AAAA&#10;2wAAAA8AAAAAAAAAAQAgAAAAIgAAAGRycy9kb3ducmV2LnhtbFBLAQIUABQAAAAIAIdO4kAzLwWe&#10;OwAAADkAAAAQAAAAAAAAAAEAIAAAAAsBAABkcnMvc2hhcGV4bWwueG1sUEsFBgAAAAAGAAYAWwEA&#10;ALUDAAAAAA==&#10;">
                  <v:fill on="f" focussize="0,0"/>
                  <v:stroke weight="1pt" color="#7030A0" joinstyle="round"/>
                  <v:imagedata o:title=""/>
                  <o:lock v:ext="edit" aspectratio="f"/>
                </v:line>
                <v:line id="_x0000_s1026" o:spid="_x0000_s1026" o:spt="20" style="position:absolute;left:10421;top:56298;flip:x;height:240;width:470;" filled="f" stroked="t" coordsize="21600,21600" o:gfxdata="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M0sC/&#10;AAAA2wAAAA8AAAAAAAAAAQAgAAAAIgAAAGRycy9kb3ducmV2LnhtbFBLAQIUABQAAAAIAIdO4kAz&#10;LwWeOwAAADkAAAAQAAAAAAAAAAEAIAAAAA4BAABkcnMvc2hhcGV4bWwueG1sUEsFBgAAAAAGAAYA&#10;WwEAALgDAAAAAA==&#10;">
                  <v:fill on="f" focussize="0,0"/>
                  <v:stroke weight="1pt" color="#7030A0" joinstyle="round"/>
                  <v:imagedata o:title=""/>
                  <o:lock v:ext="edit" aspectratio="f"/>
                </v:line>
                <v:line id="_x0000_s1026" o:spid="_x0000_s1026" o:spt="20" style="position:absolute;left:10630;top:56758;flip:x;height:219;width:492;" filled="f" stroked="t" coordsize="21600,21600" o:gfxdata="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Ad1u/&#10;AAAA2wAAAA8AAAAAAAAAAQAgAAAAIgAAAGRycy9kb3ducmV2LnhtbFBLAQIUABQAAAAIAIdO4kAz&#10;LwWeOwAAADkAAAAQAAAAAAAAAAEAIAAAAA4BAABkcnMvc2hhcGV4bWwueG1sUEsFBgAAAAAGAAYA&#10;WwEAALgDAAAAAA==&#10;">
                  <v:fill on="f" focussize="0,0"/>
                  <v:stroke weight="1pt" color="#7030A0" joinstyle="round"/>
                  <v:imagedata o:title=""/>
                  <o:lock v:ext="edit" aspectratio="f"/>
                </v:line>
                <v:line id="_x0000_s1026" o:spid="_x0000_s1026" o:spt="20" style="position:absolute;left:10420;top:56509;flip:x y;height:478;width:221;" filled="f" stroked="t" coordsize="21600,21600" o:gfxdata="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Zz8K8AAAA&#10;2wAAAA8AAAAAAAAAAQAgAAAAIgAAAGRycy9kb3ducmV2LnhtbFBLAQIUABQAAAAIAIdO4kAzLwWe&#10;OwAAADkAAAAQAAAAAAAAAAEAIAAAAAsBAABkcnMvc2hhcGV4bWwueG1sUEsFBgAAAAAGAAYAWwEA&#10;ALUDAAAAAA==&#10;">
                  <v:fill on="f" focussize="0,0"/>
                  <v:stroke weight="1pt" color="#7030A0" joinstyle="round"/>
                  <v:imagedata o:title=""/>
                  <o:lock v:ext="edit" aspectratio="f"/>
                </v:line>
                <v:line id="_x0000_s1026" o:spid="_x0000_s1026" o:spt="20" style="position:absolute;left:11110;top:56749;flip:x y;height:517;width:221;" filled="f" stroked="t" coordsize="21600,21600" o:gfxdata="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QZbsLgAAADbAAAA&#10;DwAAAAAAAAABACAAAAAiAAAAZHJzL2Rvd25yZXYueG1sUEsBAhQAFAAAAAgAh07iQDMvBZ47AAAA&#10;OQAAABAAAAAAAAAAAQAgAAAABwEAAGRycy9zaGFwZXhtbC54bWxQSwUGAAAAAAYABgBbAQAAsQMA&#10;AAAA&#10;">
                  <v:fill on="f" focussize="0,0"/>
                  <v:stroke weight="1pt" color="#7030A0" joinstyle="round"/>
                  <v:imagedata o:title=""/>
                  <o:lock v:ext="edit" aspectratio="f"/>
                </v:line>
                <v:line id="_x0000_s1026" o:spid="_x0000_s1026" o:spt="20" style="position:absolute;left:9681;top:57278;flip:x;height:750;width:1670;" filled="f" stroked="t" coordsize="21600,21600" o:gfxdata="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Z4Ya/&#10;AAAA2wAAAA8AAAAAAAAAAQAgAAAAIgAAAGRycy9kb3ducmV2LnhtbFBLAQIUABQAAAAIAIdO4kAz&#10;LwWeOwAAADkAAAAQAAAAAAAAAAEAIAAAAA4BAABkcnMvc2hhcGV4bWwueG1sUEsFBgAAAAAGAAYA&#10;WwEAALgDAAAAAA==&#10;">
                  <v:fill on="f" focussize="0,0"/>
                  <v:stroke weight="1pt" color="#7030A0" joinstyle="round"/>
                  <v:imagedata o:title=""/>
                  <o:lock v:ext="edit" aspectratio="f"/>
                </v:line>
                <v:line id="_x0000_s1026" o:spid="_x0000_s1026" o:spt="20" style="position:absolute;left:9490;top:57489;flip:x y;height:548;width:191;" filled="f" stroked="t" coordsize="21600,21600" o:gfxdata="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M/IS8AAAA&#10;2wAAAA8AAAAAAAAAAQAgAAAAIgAAAGRycy9kb3ducmV2LnhtbFBLAQIUABQAAAAIAIdO4kAzLwWe&#10;OwAAADkAAAAQAAAAAAAAAAEAIAAAAAsBAABkcnMvc2hhcGV4bWwueG1sUEsFBgAAAAAGAAYAWwEA&#10;ALUDAAAAAA==&#10;">
                  <v:fill on="f" focussize="0,0"/>
                  <v:stroke weight="1pt" color="#7030A0" joinstyle="round"/>
                  <v:imagedata o:title=""/>
                  <o:lock v:ext="edit" aspectratio="f"/>
                </v:line>
                <v:line id="_x0000_s1026" o:spid="_x0000_s1026" o:spt="20" style="position:absolute;left:8801;top:57488;flip:x;height:310;width:690;" filled="f" stroked="t" coordsize="21600,21600" o:gfxdata="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2mq/&#10;AAAA2wAAAA8AAAAAAAAAAQAgAAAAIgAAAGRycy9kb3ducmV2LnhtbFBLAQIUABQAAAAIAIdO4kAz&#10;LwWeOwAAADkAAAAQAAAAAAAAAAEAIAAAAA4BAABkcnMvc2hhcGV4bWwueG1sUEsFBgAAAAAGAAYA&#10;WwEAALgDAAAAAA==&#10;">
                  <v:fill on="f" focussize="0,0"/>
                  <v:stroke weight="1pt" color="#7030A0" joinstyle="round"/>
                  <v:imagedata o:title=""/>
                  <o:lock v:ext="edit" aspectratio="f"/>
                </v:line>
              </v:group>
            </w:pict>
          </mc:Fallback>
        </mc:AlternateContent>
      </w:r>
      <w:r>
        <w:rPr>
          <w:rFonts w:hint="eastAsia" w:eastAsia="黑体"/>
          <w:color w:val="auto"/>
          <w:kern w:val="0"/>
          <w:highlight w:val="none"/>
        </w:rPr>
        <w:t>图5.2-1 乌苏市化工产业集中区总体规划布局图</w:t>
      </w:r>
    </w:p>
    <w:p w14:paraId="582C8710">
      <w:pPr>
        <w:pStyle w:val="5"/>
        <w:keepNext w:val="0"/>
        <w:keepLines w:val="0"/>
        <w:adjustRightInd w:val="0"/>
        <w:snapToGrid w:val="0"/>
        <w:spacing w:before="0" w:line="360" w:lineRule="auto"/>
        <w:ind w:left="0" w:firstLine="0"/>
        <w:textAlignment w:val="baseline"/>
        <w:rPr>
          <w:color w:val="auto"/>
          <w:highlight w:val="none"/>
        </w:rPr>
        <w:sectPr>
          <w:footerReference r:id="rId9" w:type="default"/>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1FACE04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5.2.7土地利用规划</w:t>
      </w:r>
    </w:p>
    <w:p w14:paraId="0C8B0537">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规划工业用地1259062.8平方米，占规划区建设用地的100%，为三类工业用地。</w:t>
      </w:r>
      <w:r>
        <w:rPr>
          <w:rFonts w:hint="eastAsia"/>
          <w:snapToGrid w:val="0"/>
          <w:color w:val="auto"/>
          <w:kern w:val="0"/>
          <w:sz w:val="24"/>
          <w:highlight w:val="none"/>
        </w:rPr>
        <w:t>园区土地利用规划图见图5.2-2。</w:t>
      </w:r>
    </w:p>
    <w:p w14:paraId="5198C375">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5.2.8基础设施建设现状</w:t>
      </w:r>
    </w:p>
    <w:p w14:paraId="45BFF49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5.2.8.1供排水</w:t>
      </w:r>
    </w:p>
    <w:p w14:paraId="55A68736">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（1）供水</w:t>
      </w:r>
    </w:p>
    <w:p w14:paraId="27CDBF6E">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供水水源采用特吾勒河水库及吉尔格勒德水库水源。特吾勒水库是建设在特吾勒河上的山区拦蓄性水库，特吾勒河多年平均径流量3428万m</w:t>
      </w:r>
      <w:r>
        <w:rPr>
          <w:rFonts w:hint="eastAsia"/>
          <w:snapToGrid w:val="0"/>
          <w:color w:val="auto"/>
          <w:kern w:val="0"/>
          <w:sz w:val="24"/>
          <w:highlight w:val="none"/>
          <w:vertAlign w:val="superscript"/>
        </w:rPr>
        <w:t>3</w:t>
      </w:r>
      <w:r>
        <w:rPr>
          <w:snapToGrid w:val="0"/>
          <w:color w:val="auto"/>
          <w:kern w:val="0"/>
          <w:sz w:val="24"/>
          <w:highlight w:val="none"/>
        </w:rPr>
        <w:t>。吉尔格勒特水库位于四棵树河上游出山口，距四棵树河一级水电站约5km，此水库总库容6106×10</w:t>
      </w:r>
      <w:r>
        <w:rPr>
          <w:snapToGrid w:val="0"/>
          <w:color w:val="auto"/>
          <w:kern w:val="0"/>
          <w:sz w:val="24"/>
          <w:highlight w:val="none"/>
          <w:vertAlign w:val="superscript"/>
        </w:rPr>
        <w:t>4</w:t>
      </w:r>
      <w:r>
        <w:rPr>
          <w:snapToGrid w:val="0"/>
          <w:color w:val="auto"/>
          <w:kern w:val="0"/>
          <w:sz w:val="24"/>
          <w:highlight w:val="none"/>
        </w:rPr>
        <w:t>m</w:t>
      </w:r>
      <w:r>
        <w:rPr>
          <w:snapToGrid w:val="0"/>
          <w:color w:val="auto"/>
          <w:kern w:val="0"/>
          <w:sz w:val="24"/>
          <w:highlight w:val="none"/>
          <w:vertAlign w:val="superscript"/>
        </w:rPr>
        <w:t>3</w:t>
      </w:r>
      <w:r>
        <w:rPr>
          <w:snapToGrid w:val="0"/>
          <w:color w:val="auto"/>
          <w:kern w:val="0"/>
          <w:sz w:val="24"/>
          <w:highlight w:val="none"/>
        </w:rPr>
        <w:t>。2015年10月吉尔格勒德水利枢纽工程已建设完成，水库每年将向下游园区提供3300万m</w:t>
      </w:r>
      <w:r>
        <w:rPr>
          <w:rFonts w:hint="eastAsia"/>
          <w:snapToGrid w:val="0"/>
          <w:color w:val="auto"/>
          <w:kern w:val="0"/>
          <w:sz w:val="24"/>
          <w:highlight w:val="none"/>
          <w:vertAlign w:val="superscript"/>
        </w:rPr>
        <w:t>3</w:t>
      </w:r>
      <w:r>
        <w:rPr>
          <w:snapToGrid w:val="0"/>
          <w:color w:val="auto"/>
          <w:kern w:val="0"/>
          <w:sz w:val="24"/>
          <w:highlight w:val="none"/>
        </w:rPr>
        <w:t>的工业用水。</w:t>
      </w:r>
    </w:p>
    <w:p w14:paraId="523AF717">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充分考虑水源的可靠性和对环境影响因素，水质情况和远期发展管理的需要，优先使用地表水、严禁开采地下水，加强污水处理和回用，实现水资源供需平衡目标。园区实现水厂统一供水体系，以满足乌苏市化工产业集中区用水的需要。</w:t>
      </w:r>
    </w:p>
    <w:p w14:paraId="15AD89C4">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在塔布勒合特蒙古族</w:t>
      </w:r>
      <w:r>
        <w:rPr>
          <w:rFonts w:hint="eastAsia"/>
          <w:snapToGrid w:val="0"/>
          <w:color w:val="auto"/>
          <w:kern w:val="0"/>
          <w:sz w:val="24"/>
          <w:highlight w:val="none"/>
          <w:lang w:eastAsia="zh-CN"/>
        </w:rPr>
        <w:t>民族乡</w:t>
      </w:r>
      <w:r>
        <w:rPr>
          <w:snapToGrid w:val="0"/>
          <w:color w:val="auto"/>
          <w:kern w:val="0"/>
          <w:sz w:val="24"/>
          <w:highlight w:val="none"/>
        </w:rPr>
        <w:t>西南方向约3km处地势较高点选址已建1座净水厂，取水口位于特吾勒水电站退水暗渠分水口处。该水厂设计供水能力15万m</w:t>
      </w:r>
      <w:r>
        <w:rPr>
          <w:rFonts w:hint="eastAsia"/>
          <w:snapToGrid w:val="0"/>
          <w:color w:val="auto"/>
          <w:kern w:val="0"/>
          <w:sz w:val="24"/>
          <w:highlight w:val="none"/>
          <w:vertAlign w:val="superscript"/>
        </w:rPr>
        <w:t>3</w:t>
      </w:r>
      <w:r>
        <w:rPr>
          <w:snapToGrid w:val="0"/>
          <w:color w:val="auto"/>
          <w:kern w:val="0"/>
          <w:sz w:val="24"/>
          <w:highlight w:val="none"/>
        </w:rPr>
        <w:t>/d，现状供水能力3万m</w:t>
      </w:r>
      <w:r>
        <w:rPr>
          <w:rFonts w:hint="eastAsia"/>
          <w:snapToGrid w:val="0"/>
          <w:color w:val="auto"/>
          <w:kern w:val="0"/>
          <w:sz w:val="24"/>
          <w:highlight w:val="none"/>
          <w:vertAlign w:val="superscript"/>
        </w:rPr>
        <w:t>3</w:t>
      </w:r>
      <w:r>
        <w:rPr>
          <w:snapToGrid w:val="0"/>
          <w:color w:val="auto"/>
          <w:kern w:val="0"/>
          <w:sz w:val="24"/>
          <w:highlight w:val="none"/>
        </w:rPr>
        <w:t>/d，依靠重力输水至乌苏市化工产业集中区。目前建设完成，正常供水，工程已竣工验收</w:t>
      </w:r>
      <w:r>
        <w:rPr>
          <w:rFonts w:hint="eastAsia"/>
          <w:snapToGrid w:val="0"/>
          <w:color w:val="auto"/>
          <w:kern w:val="0"/>
          <w:sz w:val="24"/>
          <w:highlight w:val="none"/>
        </w:rPr>
        <w:t>。</w:t>
      </w:r>
    </w:p>
    <w:p w14:paraId="43244688">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（2）排水</w:t>
      </w:r>
    </w:p>
    <w:p w14:paraId="1772BCAE">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乌苏市西区污水处理厂于2019年8月完成一期工程自主竣工环境保护验收工作，目前正常运行。</w:t>
      </w:r>
      <w:bookmarkStart w:id="90" w:name="_Hlk167983093"/>
      <w:r>
        <w:rPr>
          <w:snapToGrid w:val="0"/>
          <w:color w:val="auto"/>
          <w:kern w:val="0"/>
          <w:sz w:val="24"/>
          <w:highlight w:val="none"/>
        </w:rPr>
        <w:t>污水处理厂建设规模2.0万m</w:t>
      </w:r>
      <w:r>
        <w:rPr>
          <w:rFonts w:hint="eastAsia"/>
          <w:snapToGrid w:val="0"/>
          <w:color w:val="auto"/>
          <w:kern w:val="0"/>
          <w:sz w:val="24"/>
          <w:highlight w:val="none"/>
          <w:vertAlign w:val="superscript"/>
        </w:rPr>
        <w:t>3</w:t>
      </w:r>
      <w:r>
        <w:rPr>
          <w:snapToGrid w:val="0"/>
          <w:color w:val="auto"/>
          <w:kern w:val="0"/>
          <w:sz w:val="24"/>
          <w:highlight w:val="none"/>
        </w:rPr>
        <w:t>/d，</w:t>
      </w:r>
      <w:bookmarkEnd w:id="90"/>
      <w:r>
        <w:rPr>
          <w:snapToGrid w:val="0"/>
          <w:color w:val="auto"/>
          <w:kern w:val="0"/>
          <w:sz w:val="24"/>
          <w:highlight w:val="none"/>
        </w:rPr>
        <w:t>接收园区企业排污水及园区生活污水。污水处理厂采用</w:t>
      </w:r>
      <w:r>
        <w:rPr>
          <w:rFonts w:hint="eastAsia"/>
          <w:snapToGrid w:val="0"/>
          <w:color w:val="auto"/>
          <w:kern w:val="0"/>
          <w:sz w:val="24"/>
          <w:highlight w:val="none"/>
        </w:rPr>
        <w:t>“</w:t>
      </w:r>
      <w:r>
        <w:rPr>
          <w:snapToGrid w:val="0"/>
          <w:color w:val="auto"/>
          <w:kern w:val="0"/>
          <w:sz w:val="24"/>
          <w:highlight w:val="none"/>
        </w:rPr>
        <w:t>水解酸化池+A2O氧化沟+反硝化深床滤池+臭氧消毒</w:t>
      </w:r>
      <w:r>
        <w:rPr>
          <w:rFonts w:hint="eastAsia"/>
          <w:snapToGrid w:val="0"/>
          <w:color w:val="auto"/>
          <w:kern w:val="0"/>
          <w:sz w:val="24"/>
          <w:highlight w:val="none"/>
        </w:rPr>
        <w:t>”</w:t>
      </w:r>
      <w:r>
        <w:rPr>
          <w:snapToGrid w:val="0"/>
          <w:color w:val="auto"/>
          <w:kern w:val="0"/>
          <w:sz w:val="24"/>
          <w:highlight w:val="none"/>
        </w:rPr>
        <w:t>工艺，废水经处理后可以满足《城镇污水处理厂污染物排放标准》（GB18918-2002）中一级A标准。尾水经输水管线输送至位于园区北侧乌苏北部沙漠的尾水库，用于荒漠植被的恢复和灌溉用水。</w:t>
      </w:r>
      <w:bookmarkStart w:id="91" w:name="_Hlk167888735"/>
      <w:r>
        <w:rPr>
          <w:snapToGrid w:val="0"/>
          <w:color w:val="auto"/>
          <w:kern w:val="0"/>
          <w:sz w:val="24"/>
          <w:highlight w:val="none"/>
        </w:rPr>
        <w:t>尾水库</w:t>
      </w:r>
      <w:bookmarkEnd w:id="91"/>
      <w:r>
        <w:rPr>
          <w:snapToGrid w:val="0"/>
          <w:color w:val="auto"/>
          <w:kern w:val="0"/>
          <w:sz w:val="24"/>
          <w:highlight w:val="none"/>
        </w:rPr>
        <w:t>规模为170万m</w:t>
      </w:r>
      <w:r>
        <w:rPr>
          <w:snapToGrid w:val="0"/>
          <w:color w:val="auto"/>
          <w:kern w:val="0"/>
          <w:sz w:val="24"/>
          <w:highlight w:val="none"/>
          <w:vertAlign w:val="superscript"/>
        </w:rPr>
        <w:t>3</w:t>
      </w:r>
      <w:r>
        <w:rPr>
          <w:snapToGrid w:val="0"/>
          <w:color w:val="auto"/>
          <w:kern w:val="0"/>
          <w:sz w:val="24"/>
          <w:highlight w:val="none"/>
        </w:rPr>
        <w:t>（用于冬季非灌溉季尾水的储存）。</w:t>
      </w:r>
    </w:p>
    <w:p w14:paraId="2461909F">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2026年1月，塔城地区生态环境局以“塔地环审〔2026〕1号”对《塔城地区乌苏市西区污水处理厂建设项目二期工程环境影响报告书》进行了批复。二期工程污水处理设计规模为近期0.7万</w:t>
      </w:r>
      <w:r>
        <w:rPr>
          <w:snapToGrid w:val="0"/>
          <w:color w:val="auto"/>
          <w:kern w:val="0"/>
          <w:sz w:val="24"/>
          <w:highlight w:val="none"/>
        </w:rPr>
        <w:t>m</w:t>
      </w:r>
      <w:r>
        <w:rPr>
          <w:snapToGrid w:val="0"/>
          <w:color w:val="auto"/>
          <w:kern w:val="0"/>
          <w:sz w:val="24"/>
          <w:highlight w:val="none"/>
          <w:vertAlign w:val="superscript"/>
        </w:rPr>
        <w:t>3</w:t>
      </w:r>
      <w:r>
        <w:rPr>
          <w:rFonts w:hint="eastAsia"/>
          <w:snapToGrid w:val="0"/>
          <w:color w:val="auto"/>
          <w:kern w:val="0"/>
          <w:sz w:val="24"/>
          <w:highlight w:val="none"/>
        </w:rPr>
        <w:t>/d，远期2万</w:t>
      </w:r>
      <w:r>
        <w:rPr>
          <w:snapToGrid w:val="0"/>
          <w:color w:val="auto"/>
          <w:kern w:val="0"/>
          <w:sz w:val="24"/>
          <w:highlight w:val="none"/>
        </w:rPr>
        <w:t>m</w:t>
      </w:r>
      <w:r>
        <w:rPr>
          <w:snapToGrid w:val="0"/>
          <w:color w:val="auto"/>
          <w:kern w:val="0"/>
          <w:sz w:val="24"/>
          <w:highlight w:val="none"/>
          <w:vertAlign w:val="superscript"/>
        </w:rPr>
        <w:t>3</w:t>
      </w:r>
      <w:r>
        <w:rPr>
          <w:rFonts w:hint="eastAsia"/>
          <w:snapToGrid w:val="0"/>
          <w:color w:val="auto"/>
          <w:kern w:val="0"/>
          <w:sz w:val="24"/>
          <w:highlight w:val="none"/>
        </w:rPr>
        <w:t>/d。污水处理工艺路线：调节池→一级除硬混凝沉淀池→pH调节池→水解酸化→一级AAO生化→二沉池→二级AAO生化→软化除硬高密池→臭氧氧化→曝气生物滤池→一级多介质过滤→一级超滤→一级RO→软化除硬→二级多介质过滤→二级超滤→螯合树脂→脱碳塔→二级RO→浓水→MVR，废水处理达到《城镇污水处理厂污染物排放标准》（GB18918-2002）中一级A标准后进入西区污水处理厂的末端管网，与其他达标废水一并输送至尾水库</w:t>
      </w:r>
      <w:r>
        <w:rPr>
          <w:rFonts w:hint="eastAsia"/>
          <w:snapToGrid w:val="0"/>
          <w:color w:val="auto"/>
          <w:kern w:val="0"/>
          <w:sz w:val="24"/>
          <w:highlight w:val="none"/>
          <w:lang w:eastAsia="zh-CN"/>
        </w:rPr>
        <w:t>。</w:t>
      </w:r>
      <w:r>
        <w:rPr>
          <w:rFonts w:hint="eastAsia"/>
          <w:snapToGrid w:val="0"/>
          <w:color w:val="auto"/>
          <w:kern w:val="0"/>
          <w:sz w:val="24"/>
          <w:highlight w:val="none"/>
        </w:rPr>
        <w:t>目前乌苏市西区污水处理厂建设项目二期工程</w:t>
      </w:r>
      <w:r>
        <w:rPr>
          <w:rFonts w:hint="eastAsia"/>
          <w:snapToGrid w:val="0"/>
          <w:color w:val="auto"/>
          <w:kern w:val="0"/>
          <w:sz w:val="24"/>
          <w:highlight w:val="none"/>
          <w:lang w:val="en-US" w:eastAsia="zh-CN"/>
        </w:rPr>
        <w:t>除MVR设备正在安装中，其他设施均已建设完成，预计2026年10月底完成建设</w:t>
      </w:r>
      <w:r>
        <w:rPr>
          <w:rFonts w:hint="eastAsia"/>
          <w:snapToGrid w:val="0"/>
          <w:color w:val="auto"/>
          <w:kern w:val="0"/>
          <w:sz w:val="24"/>
          <w:highlight w:val="none"/>
        </w:rPr>
        <w:t>。</w:t>
      </w:r>
    </w:p>
    <w:p w14:paraId="658C1AB8">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化工产业集中区已有污水处理厂能满足化工产业集中区排水需求。</w:t>
      </w:r>
    </w:p>
    <w:p w14:paraId="0CEB7CB4">
      <w:pPr>
        <w:pStyle w:val="6"/>
        <w:keepNext/>
        <w:keepLines/>
        <w:tabs>
          <w:tab w:val="left" w:pos="0"/>
          <w:tab w:val="left" w:pos="420"/>
        </w:tabs>
        <w:wordWrap/>
        <w:topLinePunct w:val="0"/>
        <w:autoSpaceDN/>
        <w:adjustRightInd w:val="0"/>
        <w:snapToGrid w:val="0"/>
        <w:spacing w:line="360" w:lineRule="auto"/>
        <w:ind w:firstLine="482"/>
        <w:rPr>
          <w:rFonts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5.8.2.2供电</w:t>
      </w:r>
    </w:p>
    <w:p w14:paraId="2955848F">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（1）用电量</w:t>
      </w:r>
    </w:p>
    <w:p w14:paraId="72D9C364">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园区用电负荷为50.36MW。</w:t>
      </w:r>
    </w:p>
    <w:p w14:paraId="1781FFAB">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（2）电源</w:t>
      </w:r>
    </w:p>
    <w:p w14:paraId="5662AE5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化工产业集中区外西侧现有1座红旗110kV变电站，内设有2台110/10kV主变，主变容量为50MVA+63MVA。红旗110kV变电站外部2路电源由乌苏220kV炮台梁变电站及乌苏向阳110kV变电站提供110kV电源。</w:t>
      </w:r>
    </w:p>
    <w:p w14:paraId="7A712B23">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园区发展和负荷分布情况，在园区内布局若干10kV开关站/变电站，10kV电源由现有红旗110kV变电站2段10kV母线同时提供。由于规划区用电负荷较大，考虑今后产业发展的不确定性，根据工艺负荷大小，利用现有供电系统，建设若干10kV开关站。</w:t>
      </w:r>
    </w:p>
    <w:p w14:paraId="68FBA5D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5.8.2.3供热</w:t>
      </w:r>
    </w:p>
    <w:p w14:paraId="2ACC33E0">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化工产业集中区现状热源为凯赛生物5×75t/h燃煤蒸汽锅炉</w:t>
      </w:r>
      <w:r>
        <w:rPr>
          <w:snapToGrid w:val="0"/>
          <w:color w:val="auto"/>
          <w:kern w:val="0"/>
          <w:sz w:val="24"/>
          <w:highlight w:val="none"/>
          <w:lang w:val="de-DE"/>
        </w:rPr>
        <w:t>，</w:t>
      </w:r>
      <w:r>
        <w:rPr>
          <w:snapToGrid w:val="0"/>
          <w:color w:val="auto"/>
          <w:kern w:val="0"/>
          <w:sz w:val="24"/>
          <w:highlight w:val="none"/>
        </w:rPr>
        <w:t>锅炉房位于纬七路与经五路交叉口凯赛（乌苏）生物材料有限公司废水预处理站南侧。目前根据生产供热需求正常运行2台锅炉，根据凯赛生物提供用汽量表，现状日最大用汽量108.65t/h。剩余3台锅炉为远期备用锅炉。规划用汽277.7t/h，可供蒸汽为375t/h，现状热源供热能力完全能够满足规划区域内用热需求。</w:t>
      </w:r>
    </w:p>
    <w:p w14:paraId="7F3A8ED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5.8.2.4环卫设施</w:t>
      </w:r>
    </w:p>
    <w:p w14:paraId="4AF2BAD3">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园区固体废物主要由生活垃圾、一般工业固体废物和危险废物构成。</w:t>
      </w:r>
    </w:p>
    <w:p w14:paraId="665AE9FC">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（1）生活垃圾</w:t>
      </w:r>
    </w:p>
    <w:p w14:paraId="75CEAC53">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化工产业集中区内产生的生活垃圾，由化工产业集中区环卫部门收集清运至乌苏市生活垃圾填埋场处理。</w:t>
      </w:r>
    </w:p>
    <w:p w14:paraId="2BD47F45">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（2）一般工业固体废物</w:t>
      </w:r>
    </w:p>
    <w:p w14:paraId="0D0FECAF">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乌苏工业园区一般工业固废填埋场位于乌苏市吉尔格勒特蒙古民族乡毛墩塔拉村南侧约2.5km处，主要负责处理乌苏工业园区企业产生的一般工业固体废物。处理规模150t/d，服务年限20年。新疆维吾尔自治区环境保护局出具了《关于乌苏工业园区一般工业固废填埋场项目环境影响报告书的批复》，新环函〔2018〕1116号。2019年6月完成竣工环境保护验收，目前该固废填埋场正常运行。</w:t>
      </w:r>
    </w:p>
    <w:p w14:paraId="7FC6595E">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（3）危险废物</w:t>
      </w:r>
    </w:p>
    <w:p w14:paraId="22097AD2">
      <w:pPr>
        <w:widowControl/>
        <w:adjustRightInd w:val="0"/>
        <w:snapToGrid w:val="0"/>
        <w:spacing w:line="360" w:lineRule="auto"/>
        <w:ind w:firstLine="480" w:firstLineChars="200"/>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园区企业根据危险废物的性质、产生量和产生周期，将危险废物</w:t>
      </w:r>
      <w:r>
        <w:rPr>
          <w:rFonts w:hint="eastAsia" w:ascii="Times New Roman" w:hAnsi="Times New Roman" w:eastAsia="宋体" w:cs="Times New Roman"/>
          <w:snapToGrid w:val="0"/>
          <w:color w:val="auto"/>
          <w:kern w:val="0"/>
          <w:sz w:val="24"/>
          <w:highlight w:val="none"/>
          <w:lang w:val="en-US" w:eastAsia="zh-CN"/>
        </w:rPr>
        <w:t>委托</w:t>
      </w:r>
      <w:r>
        <w:rPr>
          <w:rFonts w:hint="eastAsia" w:ascii="Times New Roman" w:hAnsi="Times New Roman" w:eastAsia="宋体" w:cs="Times New Roman"/>
          <w:snapToGrid w:val="0"/>
          <w:color w:val="auto"/>
          <w:kern w:val="0"/>
          <w:sz w:val="24"/>
          <w:highlight w:val="none"/>
        </w:rPr>
        <w:t>有资质的单位处置。</w:t>
      </w:r>
    </w:p>
    <w:p w14:paraId="08CE3D3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default"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5.8.2.5燃气工程</w:t>
      </w:r>
    </w:p>
    <w:p w14:paraId="718D45FD">
      <w:pPr>
        <w:widowControl/>
        <w:adjustRightInd w:val="0"/>
        <w:snapToGrid w:val="0"/>
        <w:spacing w:line="360" w:lineRule="auto"/>
        <w:ind w:firstLine="480" w:firstLineChars="200"/>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西二线在乌苏工业园区西区预留分输阀室，目前乌苏宏江燃气</w:t>
      </w:r>
      <w:r>
        <w:rPr>
          <w:rFonts w:hint="eastAsia" w:cs="Times New Roman"/>
          <w:snapToGrid w:val="0"/>
          <w:color w:val="auto"/>
          <w:kern w:val="0"/>
          <w:sz w:val="24"/>
          <w:highlight w:val="none"/>
          <w:lang w:val="en-US" w:eastAsia="zh-CN"/>
        </w:rPr>
        <w:t>已</w:t>
      </w:r>
      <w:r>
        <w:rPr>
          <w:rFonts w:hint="eastAsia" w:ascii="Times New Roman" w:hAnsi="Times New Roman" w:eastAsia="宋体" w:cs="Times New Roman"/>
          <w:snapToGrid w:val="0"/>
          <w:color w:val="auto"/>
          <w:kern w:val="0"/>
          <w:sz w:val="24"/>
          <w:highlight w:val="none"/>
          <w:lang w:val="en-US" w:eastAsia="zh-CN"/>
        </w:rPr>
        <w:t>在该分输站建设高压管道引至乌苏宏江燃气首站，在首站建设门站、加气站供乌苏工业园区西区工业用户及周边CNG汽车用户。</w:t>
      </w:r>
    </w:p>
    <w:p w14:paraId="3E1F90F1">
      <w:pPr>
        <w:widowControl/>
        <w:adjustRightInd w:val="0"/>
        <w:snapToGrid w:val="0"/>
        <w:spacing w:line="360" w:lineRule="auto"/>
        <w:ind w:firstLine="480" w:firstLineChars="200"/>
        <w:rPr>
          <w:rFonts w:hint="default"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本项目依托园区基础设施情况详见表5.2-1。</w:t>
      </w:r>
    </w:p>
    <w:p w14:paraId="3B7F19CE">
      <w:pPr>
        <w:adjustRightInd w:val="0"/>
        <w:snapToGrid w:val="0"/>
        <w:ind w:firstLine="422" w:firstLineChars="200"/>
        <w:jc w:val="center"/>
        <w:rPr>
          <w:rFonts w:hint="eastAsia" w:ascii="Times New Roman" w:hAnsi="Times New Roman" w:eastAsia="宋体" w:cs="Times New Roman"/>
          <w:b/>
          <w:bCs/>
          <w:snapToGrid w:val="0"/>
          <w:color w:val="auto"/>
          <w:kern w:val="0"/>
          <w:szCs w:val="21"/>
          <w:highlight w:val="none"/>
          <w:lang w:val="en-US" w:eastAsia="zh-CN"/>
        </w:rPr>
      </w:pPr>
      <w:r>
        <w:rPr>
          <w:rFonts w:hint="eastAsia" w:ascii="Times New Roman" w:hAnsi="Times New Roman" w:eastAsia="宋体" w:cs="Times New Roman"/>
          <w:b/>
          <w:bCs/>
          <w:snapToGrid w:val="0"/>
          <w:color w:val="auto"/>
          <w:kern w:val="0"/>
          <w:szCs w:val="21"/>
          <w:highlight w:val="none"/>
          <w:lang w:val="en-US" w:eastAsia="zh-CN"/>
        </w:rPr>
        <w:t>表5.2-1 本项目依托园区基础设施情况一览表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5310"/>
        <w:gridCol w:w="1201"/>
        <w:gridCol w:w="962"/>
      </w:tblGrid>
      <w:tr w14:paraId="2BE2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9" w:type="pct"/>
            <w:vAlign w:val="center"/>
          </w:tcPr>
          <w:p w14:paraId="160DD9E4">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基础设施</w:t>
            </w:r>
          </w:p>
        </w:tc>
        <w:tc>
          <w:tcPr>
            <w:tcW w:w="3147" w:type="pct"/>
            <w:vAlign w:val="center"/>
          </w:tcPr>
          <w:p w14:paraId="2C6CC271">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规划情况</w:t>
            </w:r>
          </w:p>
        </w:tc>
        <w:tc>
          <w:tcPr>
            <w:tcW w:w="712" w:type="pct"/>
            <w:vAlign w:val="center"/>
          </w:tcPr>
          <w:p w14:paraId="636C2EE2">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运行情况</w:t>
            </w:r>
          </w:p>
        </w:tc>
        <w:tc>
          <w:tcPr>
            <w:tcW w:w="570" w:type="pct"/>
            <w:vAlign w:val="center"/>
          </w:tcPr>
          <w:p w14:paraId="484F7908">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依托关系</w:t>
            </w:r>
          </w:p>
        </w:tc>
      </w:tr>
      <w:tr w14:paraId="08E9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9" w:type="pct"/>
            <w:vAlign w:val="center"/>
          </w:tcPr>
          <w:p w14:paraId="41F189CB">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给水</w:t>
            </w:r>
          </w:p>
        </w:tc>
        <w:tc>
          <w:tcPr>
            <w:tcW w:w="3147" w:type="pct"/>
            <w:vAlign w:val="center"/>
          </w:tcPr>
          <w:p w14:paraId="6A401B11">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lang w:val="de-DE"/>
              </w:rPr>
              <w:t>由园区净水厂供水，</w:t>
            </w:r>
            <w:r>
              <w:rPr>
                <w:rFonts w:hint="default" w:ascii="Times New Roman" w:hAnsi="Times New Roman" w:eastAsia="宋体" w:cs="Times New Roman"/>
                <w:snapToGrid w:val="0"/>
                <w:color w:val="auto"/>
                <w:kern w:val="0"/>
                <w:szCs w:val="21"/>
                <w:highlight w:val="none"/>
              </w:rPr>
              <w:t>供水管网覆盖项目区</w:t>
            </w:r>
          </w:p>
        </w:tc>
        <w:tc>
          <w:tcPr>
            <w:tcW w:w="712" w:type="pct"/>
            <w:vAlign w:val="center"/>
          </w:tcPr>
          <w:p w14:paraId="385B51B7">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已投运多年</w:t>
            </w:r>
          </w:p>
        </w:tc>
        <w:tc>
          <w:tcPr>
            <w:tcW w:w="570" w:type="pct"/>
            <w:vAlign w:val="center"/>
          </w:tcPr>
          <w:p w14:paraId="225A9A98">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可依托</w:t>
            </w:r>
          </w:p>
        </w:tc>
      </w:tr>
      <w:tr w14:paraId="14AD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9" w:type="pct"/>
            <w:vAlign w:val="center"/>
          </w:tcPr>
          <w:p w14:paraId="02D86258">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排水</w:t>
            </w:r>
          </w:p>
        </w:tc>
        <w:tc>
          <w:tcPr>
            <w:tcW w:w="3147" w:type="pct"/>
            <w:tcMar>
              <w:left w:w="0" w:type="dxa"/>
              <w:right w:w="0" w:type="dxa"/>
            </w:tcMar>
            <w:vAlign w:val="center"/>
          </w:tcPr>
          <w:p w14:paraId="4241694A">
            <w:pPr>
              <w:pStyle w:val="768"/>
              <w:keepNext w:val="0"/>
              <w:keepLines w:val="0"/>
              <w:pageBreakBefore w:val="0"/>
              <w:widowControl/>
              <w:kinsoku/>
              <w:wordWrap/>
              <w:overflowPunct/>
              <w:topLinePunct w:val="0"/>
              <w:autoSpaceDE/>
              <w:autoSpaceDN/>
              <w:bidi w:val="0"/>
              <w:adjustRightInd w:val="0"/>
              <w:snapToGrid w:val="0"/>
              <w:ind w:left="0" w:leftChars="0" w:right="0" w:rightChars="0"/>
              <w:textAlignment w:val="auto"/>
              <w:rPr>
                <w:rFonts w:hint="default" w:ascii="Times New Roman" w:hAnsi="Times New Roman" w:eastAsia="宋体" w:cs="Times New Roman"/>
                <w:snapToGrid w:val="0"/>
                <w:color w:val="auto"/>
                <w:kern w:val="0"/>
                <w:szCs w:val="21"/>
                <w:highlight w:val="none"/>
                <w:lang w:val="de-DE"/>
              </w:rPr>
            </w:pPr>
            <w:r>
              <w:rPr>
                <w:rFonts w:hint="default" w:ascii="Times New Roman" w:hAnsi="Times New Roman" w:eastAsia="宋体" w:cs="Times New Roman"/>
                <w:snapToGrid w:val="0"/>
                <w:color w:val="auto"/>
                <w:kern w:val="0"/>
                <w:szCs w:val="21"/>
                <w:highlight w:val="none"/>
              </w:rPr>
              <w:t>排水管网覆盖园区，污水处理厂处理规模2万m</w:t>
            </w:r>
            <w:r>
              <w:rPr>
                <w:rFonts w:hint="default" w:ascii="Times New Roman" w:hAnsi="Times New Roman" w:eastAsia="宋体" w:cs="Times New Roman"/>
                <w:snapToGrid w:val="0"/>
                <w:color w:val="auto"/>
                <w:kern w:val="0"/>
                <w:szCs w:val="21"/>
                <w:highlight w:val="none"/>
                <w:vertAlign w:val="superscript"/>
              </w:rPr>
              <w:t>3</w:t>
            </w:r>
            <w:r>
              <w:rPr>
                <w:rFonts w:hint="default" w:ascii="Times New Roman" w:hAnsi="Times New Roman" w:eastAsia="宋体" w:cs="Times New Roman"/>
                <w:snapToGrid w:val="0"/>
                <w:color w:val="auto"/>
                <w:kern w:val="0"/>
                <w:szCs w:val="21"/>
                <w:highlight w:val="none"/>
              </w:rPr>
              <w:t>/d</w:t>
            </w:r>
          </w:p>
        </w:tc>
        <w:tc>
          <w:tcPr>
            <w:tcW w:w="712" w:type="pct"/>
            <w:vAlign w:val="center"/>
          </w:tcPr>
          <w:p w14:paraId="627112E0">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已投运多年</w:t>
            </w:r>
          </w:p>
        </w:tc>
        <w:tc>
          <w:tcPr>
            <w:tcW w:w="570" w:type="pct"/>
            <w:vAlign w:val="center"/>
          </w:tcPr>
          <w:p w14:paraId="26EE07CC">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可依托</w:t>
            </w:r>
          </w:p>
        </w:tc>
      </w:tr>
      <w:tr w14:paraId="45F9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9" w:type="pct"/>
            <w:vAlign w:val="center"/>
          </w:tcPr>
          <w:p w14:paraId="6FF344F0">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供气</w:t>
            </w:r>
          </w:p>
        </w:tc>
        <w:tc>
          <w:tcPr>
            <w:tcW w:w="3147" w:type="pct"/>
            <w:tcMar>
              <w:left w:w="0" w:type="dxa"/>
              <w:right w:w="0" w:type="dxa"/>
            </w:tcMar>
            <w:vAlign w:val="center"/>
          </w:tcPr>
          <w:p w14:paraId="62A8AFF5">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园区天然气门站已建成</w:t>
            </w:r>
          </w:p>
        </w:tc>
        <w:tc>
          <w:tcPr>
            <w:tcW w:w="712" w:type="pct"/>
            <w:vAlign w:val="center"/>
          </w:tcPr>
          <w:p w14:paraId="7C73451C">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已投运多年</w:t>
            </w:r>
          </w:p>
        </w:tc>
        <w:tc>
          <w:tcPr>
            <w:tcW w:w="570" w:type="pct"/>
            <w:vAlign w:val="center"/>
          </w:tcPr>
          <w:p w14:paraId="6D2F2DB8">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可依托</w:t>
            </w:r>
          </w:p>
        </w:tc>
      </w:tr>
      <w:tr w14:paraId="3289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9" w:type="pct"/>
            <w:vAlign w:val="center"/>
          </w:tcPr>
          <w:p w14:paraId="05A16415">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供电</w:t>
            </w:r>
          </w:p>
        </w:tc>
        <w:tc>
          <w:tcPr>
            <w:tcW w:w="3147" w:type="pct"/>
            <w:vAlign w:val="center"/>
          </w:tcPr>
          <w:p w14:paraId="1B89259D">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园区电网</w:t>
            </w:r>
          </w:p>
        </w:tc>
        <w:tc>
          <w:tcPr>
            <w:tcW w:w="712" w:type="pct"/>
            <w:vAlign w:val="center"/>
          </w:tcPr>
          <w:p w14:paraId="7774C369">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已投运多年</w:t>
            </w:r>
          </w:p>
        </w:tc>
        <w:tc>
          <w:tcPr>
            <w:tcW w:w="570" w:type="pct"/>
            <w:vAlign w:val="center"/>
          </w:tcPr>
          <w:p w14:paraId="55798901">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可依托</w:t>
            </w:r>
          </w:p>
        </w:tc>
      </w:tr>
      <w:tr w14:paraId="2324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9" w:type="pct"/>
            <w:vAlign w:val="center"/>
          </w:tcPr>
          <w:p w14:paraId="6E86BDB6">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蒸汽</w:t>
            </w:r>
          </w:p>
        </w:tc>
        <w:tc>
          <w:tcPr>
            <w:tcW w:w="3147" w:type="pct"/>
            <w:vAlign w:val="center"/>
          </w:tcPr>
          <w:p w14:paraId="4228D23F">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eastAsia" w:ascii="Times New Roman" w:hAnsi="Times New Roman" w:eastAsia="宋体" w:cs="Times New Roman"/>
                <w:snapToGrid w:val="0"/>
                <w:color w:val="auto"/>
                <w:kern w:val="0"/>
                <w:szCs w:val="21"/>
                <w:highlight w:val="none"/>
                <w:lang w:val="en-US" w:eastAsia="zh-CN"/>
              </w:rPr>
            </w:pPr>
            <w:r>
              <w:rPr>
                <w:rFonts w:hint="eastAsia" w:ascii="Times New Roman" w:hAnsi="Times New Roman" w:eastAsia="宋体" w:cs="Times New Roman"/>
                <w:snapToGrid w:val="0"/>
                <w:color w:val="auto"/>
                <w:kern w:val="0"/>
                <w:szCs w:val="21"/>
                <w:highlight w:val="none"/>
                <w:lang w:val="en-US" w:eastAsia="zh-CN"/>
              </w:rPr>
              <w:t>利用</w:t>
            </w:r>
            <w:r>
              <w:rPr>
                <w:rFonts w:hint="default" w:ascii="Times New Roman" w:hAnsi="Times New Roman" w:eastAsia="宋体" w:cs="Times New Roman"/>
                <w:snapToGrid w:val="0"/>
                <w:color w:val="auto"/>
                <w:kern w:val="0"/>
                <w:szCs w:val="21"/>
                <w:highlight w:val="none"/>
              </w:rPr>
              <w:t>凯赛生物5×75t/h燃煤蒸汽锅炉</w:t>
            </w:r>
            <w:r>
              <w:rPr>
                <w:rFonts w:hint="eastAsia" w:ascii="Times New Roman" w:hAnsi="Times New Roman" w:eastAsia="宋体" w:cs="Times New Roman"/>
                <w:snapToGrid w:val="0"/>
                <w:color w:val="auto"/>
                <w:kern w:val="0"/>
                <w:szCs w:val="21"/>
                <w:highlight w:val="none"/>
                <w:lang w:val="en-US" w:eastAsia="zh-CN"/>
              </w:rPr>
              <w:t>供热</w:t>
            </w:r>
          </w:p>
        </w:tc>
        <w:tc>
          <w:tcPr>
            <w:tcW w:w="712" w:type="pct"/>
            <w:vAlign w:val="center"/>
          </w:tcPr>
          <w:p w14:paraId="3316A0B7">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已投运多年</w:t>
            </w:r>
          </w:p>
        </w:tc>
        <w:tc>
          <w:tcPr>
            <w:tcW w:w="570" w:type="pct"/>
            <w:vAlign w:val="center"/>
          </w:tcPr>
          <w:p w14:paraId="0620608E">
            <w:pPr>
              <w:pStyle w:val="768"/>
              <w:keepNext w:val="0"/>
              <w:keepLines w:val="0"/>
              <w:pageBreakBefore w:val="0"/>
              <w:widowControl/>
              <w:kinsoku/>
              <w:wordWrap/>
              <w:overflowPunct/>
              <w:topLinePunct w:val="0"/>
              <w:autoSpaceDE/>
              <w:autoSpaceDN/>
              <w:bidi w:val="0"/>
              <w:adjustRightInd w:val="0"/>
              <w:snapToGrid w:val="0"/>
              <w:ind w:left="-105" w:leftChars="-50" w:right="-105" w:rightChars="-50"/>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可依托</w:t>
            </w:r>
          </w:p>
        </w:tc>
      </w:tr>
    </w:tbl>
    <w:p w14:paraId="1B9EED62">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5.2.9区域污染源调查</w:t>
      </w:r>
    </w:p>
    <w:p w14:paraId="28D12F4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5.2.9.1区域现有企业污染源调查情况</w:t>
      </w:r>
    </w:p>
    <w:p w14:paraId="4414C87A">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val="en-US" w:eastAsia="zh-CN"/>
        </w:rPr>
        <w:t>根据企业环评、排污许可等数据，</w:t>
      </w:r>
      <w:r>
        <w:rPr>
          <w:rFonts w:hint="eastAsia"/>
          <w:snapToGrid w:val="0"/>
          <w:color w:val="auto"/>
          <w:kern w:val="0"/>
          <w:sz w:val="24"/>
          <w:highlight w:val="none"/>
        </w:rPr>
        <w:t>工业园区内已建企业的三废排放基本情况见表5.2-</w:t>
      </w:r>
      <w:r>
        <w:rPr>
          <w:rFonts w:hint="eastAsia"/>
          <w:snapToGrid w:val="0"/>
          <w:color w:val="auto"/>
          <w:kern w:val="0"/>
          <w:sz w:val="24"/>
          <w:highlight w:val="none"/>
          <w:lang w:val="en-US" w:eastAsia="zh-CN"/>
        </w:rPr>
        <w:t>2</w:t>
      </w:r>
      <w:r>
        <w:rPr>
          <w:rFonts w:hint="eastAsia"/>
          <w:snapToGrid w:val="0"/>
          <w:color w:val="auto"/>
          <w:kern w:val="0"/>
          <w:sz w:val="24"/>
          <w:highlight w:val="none"/>
        </w:rPr>
        <w:t>、表5.2-</w:t>
      </w:r>
      <w:r>
        <w:rPr>
          <w:rFonts w:hint="eastAsia"/>
          <w:snapToGrid w:val="0"/>
          <w:color w:val="auto"/>
          <w:kern w:val="0"/>
          <w:sz w:val="24"/>
          <w:highlight w:val="none"/>
          <w:lang w:val="en-US" w:eastAsia="zh-CN"/>
        </w:rPr>
        <w:t>3</w:t>
      </w:r>
      <w:r>
        <w:rPr>
          <w:rFonts w:hint="eastAsia"/>
          <w:snapToGrid w:val="0"/>
          <w:color w:val="auto"/>
          <w:kern w:val="0"/>
          <w:sz w:val="24"/>
          <w:highlight w:val="none"/>
        </w:rPr>
        <w:t>、表5.2-</w:t>
      </w:r>
      <w:r>
        <w:rPr>
          <w:rFonts w:hint="eastAsia"/>
          <w:snapToGrid w:val="0"/>
          <w:color w:val="auto"/>
          <w:kern w:val="0"/>
          <w:sz w:val="24"/>
          <w:highlight w:val="none"/>
          <w:lang w:val="en-US" w:eastAsia="zh-CN"/>
        </w:rPr>
        <w:t>4</w:t>
      </w:r>
      <w:r>
        <w:rPr>
          <w:rFonts w:hint="eastAsia"/>
          <w:snapToGrid w:val="0"/>
          <w:color w:val="auto"/>
          <w:kern w:val="0"/>
          <w:sz w:val="24"/>
          <w:highlight w:val="none"/>
        </w:rPr>
        <w:t>。</w:t>
      </w:r>
    </w:p>
    <w:p w14:paraId="6C4FD0D2">
      <w:pPr>
        <w:adjustRightInd w:val="0"/>
        <w:snapToGrid w:val="0"/>
        <w:ind w:firstLine="422" w:firstLineChars="200"/>
        <w:jc w:val="center"/>
        <w:rPr>
          <w:b/>
          <w:bCs/>
          <w:snapToGrid w:val="0"/>
          <w:color w:val="auto"/>
          <w:kern w:val="0"/>
          <w:szCs w:val="21"/>
          <w:highlight w:val="none"/>
        </w:rPr>
      </w:pPr>
      <w:r>
        <w:rPr>
          <w:rFonts w:hint="eastAsia"/>
          <w:b/>
          <w:bCs/>
          <w:snapToGrid w:val="0"/>
          <w:color w:val="auto"/>
          <w:kern w:val="0"/>
          <w:szCs w:val="21"/>
          <w:highlight w:val="none"/>
        </w:rPr>
        <w:t>表5</w:t>
      </w:r>
      <w:r>
        <w:rPr>
          <w:b/>
          <w:bCs/>
          <w:snapToGrid w:val="0"/>
          <w:color w:val="auto"/>
          <w:kern w:val="0"/>
          <w:szCs w:val="21"/>
          <w:highlight w:val="none"/>
        </w:rPr>
        <w:t>.</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2</w:t>
      </w:r>
      <w:r>
        <w:rPr>
          <w:b/>
          <w:bCs/>
          <w:snapToGrid w:val="0"/>
          <w:color w:val="auto"/>
          <w:kern w:val="0"/>
          <w:szCs w:val="21"/>
          <w:highlight w:val="none"/>
        </w:rPr>
        <w:t xml:space="preserve"> 园区内现有企业废气排放情况</w:t>
      </w:r>
    </w:p>
    <w:tbl>
      <w:tblPr>
        <w:tblStyle w:val="5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3" w:type="dxa"/>
          <w:bottom w:w="28" w:type="dxa"/>
          <w:right w:w="23" w:type="dxa"/>
        </w:tblCellMar>
      </w:tblPr>
      <w:tblGrid>
        <w:gridCol w:w="586"/>
        <w:gridCol w:w="2519"/>
        <w:gridCol w:w="2016"/>
        <w:gridCol w:w="3140"/>
      </w:tblGrid>
      <w:tr w14:paraId="4CB6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451" w:hRule="atLeast"/>
          <w:jc w:val="center"/>
        </w:trPr>
        <w:tc>
          <w:tcPr>
            <w:tcW w:w="355" w:type="pct"/>
            <w:vAlign w:val="center"/>
          </w:tcPr>
          <w:p w14:paraId="6B78C74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524" w:type="pct"/>
            <w:vAlign w:val="center"/>
          </w:tcPr>
          <w:p w14:paraId="6E01B0F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1220" w:type="pct"/>
            <w:vAlign w:val="center"/>
          </w:tcPr>
          <w:p w14:paraId="51EF8FB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废气排放情况（t/a）</w:t>
            </w:r>
          </w:p>
        </w:tc>
        <w:tc>
          <w:tcPr>
            <w:tcW w:w="1900" w:type="pct"/>
            <w:vAlign w:val="center"/>
          </w:tcPr>
          <w:p w14:paraId="6E68FCC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治理措施</w:t>
            </w:r>
          </w:p>
        </w:tc>
      </w:tr>
      <w:tr w14:paraId="5394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802" w:hRule="atLeast"/>
          <w:jc w:val="center"/>
        </w:trPr>
        <w:tc>
          <w:tcPr>
            <w:tcW w:w="355" w:type="pct"/>
            <w:vAlign w:val="center"/>
          </w:tcPr>
          <w:p w14:paraId="05B3E0C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524" w:type="pct"/>
            <w:vAlign w:val="center"/>
          </w:tcPr>
          <w:p w14:paraId="0E712A48">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乌苏宏江燃气有限公司</w:t>
            </w:r>
          </w:p>
        </w:tc>
        <w:tc>
          <w:tcPr>
            <w:tcW w:w="1220" w:type="pct"/>
            <w:vAlign w:val="center"/>
          </w:tcPr>
          <w:p w14:paraId="266FB1E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：5.2、NO</w:t>
            </w:r>
            <w:r>
              <w:rPr>
                <w:rFonts w:hint="default" w:ascii="Times New Roman" w:hAnsi="Times New Roman" w:cs="Times New Roman"/>
                <w:color w:val="auto"/>
                <w:sz w:val="21"/>
                <w:szCs w:val="21"/>
                <w:highlight w:val="none"/>
                <w:vertAlign w:val="subscript"/>
              </w:rPr>
              <w:t>X</w:t>
            </w:r>
            <w:r>
              <w:rPr>
                <w:rFonts w:hint="default" w:ascii="Times New Roman" w:hAnsi="Times New Roman" w:cs="Times New Roman"/>
                <w:color w:val="auto"/>
                <w:sz w:val="21"/>
                <w:szCs w:val="21"/>
                <w:highlight w:val="none"/>
              </w:rPr>
              <w:t>：0.19、颗粒物：7.88、VOCs：0.074</w:t>
            </w:r>
          </w:p>
        </w:tc>
        <w:tc>
          <w:tcPr>
            <w:tcW w:w="1900" w:type="pct"/>
            <w:vAlign w:val="center"/>
          </w:tcPr>
          <w:p w14:paraId="2609733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厨房油烟机</w:t>
            </w:r>
          </w:p>
        </w:tc>
      </w:tr>
      <w:tr w14:paraId="36EC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538" w:hRule="atLeast"/>
          <w:jc w:val="center"/>
        </w:trPr>
        <w:tc>
          <w:tcPr>
            <w:tcW w:w="355" w:type="pct"/>
            <w:vAlign w:val="center"/>
          </w:tcPr>
          <w:p w14:paraId="130B34A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524" w:type="pct"/>
            <w:vAlign w:val="center"/>
          </w:tcPr>
          <w:p w14:paraId="248D821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乌苏恒帆棉纺织有限公司</w:t>
            </w:r>
          </w:p>
        </w:tc>
        <w:tc>
          <w:tcPr>
            <w:tcW w:w="1220" w:type="pct"/>
            <w:vAlign w:val="center"/>
          </w:tcPr>
          <w:p w14:paraId="63C502C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颗粒物：9.27</w:t>
            </w:r>
          </w:p>
        </w:tc>
        <w:tc>
          <w:tcPr>
            <w:tcW w:w="1900" w:type="pct"/>
            <w:vAlign w:val="center"/>
          </w:tcPr>
          <w:p w14:paraId="180946C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袋式除尘和筒式一体化除尘器+15m排气筒处理</w:t>
            </w:r>
          </w:p>
        </w:tc>
      </w:tr>
      <w:tr w14:paraId="76B8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538" w:hRule="atLeast"/>
          <w:jc w:val="center"/>
        </w:trPr>
        <w:tc>
          <w:tcPr>
            <w:tcW w:w="355" w:type="pct"/>
            <w:vAlign w:val="center"/>
          </w:tcPr>
          <w:p w14:paraId="31CDEBC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524" w:type="pct"/>
            <w:vAlign w:val="center"/>
          </w:tcPr>
          <w:p w14:paraId="45218AB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乌苏市锐泰毛纺织有限公司</w:t>
            </w:r>
          </w:p>
        </w:tc>
        <w:tc>
          <w:tcPr>
            <w:tcW w:w="1220" w:type="pct"/>
            <w:vAlign w:val="center"/>
          </w:tcPr>
          <w:p w14:paraId="32D303F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颗粒物：1.8</w:t>
            </w:r>
          </w:p>
        </w:tc>
        <w:tc>
          <w:tcPr>
            <w:tcW w:w="1900" w:type="pct"/>
            <w:vAlign w:val="center"/>
          </w:tcPr>
          <w:p w14:paraId="644CF0A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污水站设吸收塔，分拣毛尘采用集气罩+螺旋除尘器+15m排气筒处理</w:t>
            </w:r>
          </w:p>
        </w:tc>
      </w:tr>
      <w:tr w14:paraId="1041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538" w:hRule="atLeast"/>
          <w:jc w:val="center"/>
        </w:trPr>
        <w:tc>
          <w:tcPr>
            <w:tcW w:w="355" w:type="pct"/>
            <w:vAlign w:val="center"/>
          </w:tcPr>
          <w:p w14:paraId="113CD5B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524" w:type="pct"/>
            <w:vAlign w:val="center"/>
          </w:tcPr>
          <w:p w14:paraId="368EAD1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新疆聚鑫隆纸业有限公司</w:t>
            </w:r>
          </w:p>
        </w:tc>
        <w:tc>
          <w:tcPr>
            <w:tcW w:w="1220" w:type="pct"/>
            <w:vAlign w:val="center"/>
          </w:tcPr>
          <w:p w14:paraId="1A92335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：22.7、NO</w:t>
            </w:r>
            <w:r>
              <w:rPr>
                <w:rFonts w:hint="default" w:ascii="Times New Roman" w:hAnsi="Times New Roman" w:cs="Times New Roman"/>
                <w:color w:val="auto"/>
                <w:sz w:val="21"/>
                <w:szCs w:val="21"/>
                <w:highlight w:val="none"/>
                <w:vertAlign w:val="subscript"/>
              </w:rPr>
              <w:t>X</w:t>
            </w:r>
            <w:r>
              <w:rPr>
                <w:rFonts w:hint="default" w:ascii="Times New Roman" w:hAnsi="Times New Roman" w:cs="Times New Roman"/>
                <w:color w:val="auto"/>
                <w:sz w:val="21"/>
                <w:szCs w:val="21"/>
                <w:highlight w:val="none"/>
              </w:rPr>
              <w:t>：64.7、颗粒物：7.14</w:t>
            </w:r>
          </w:p>
        </w:tc>
        <w:tc>
          <w:tcPr>
            <w:tcW w:w="1900" w:type="pct"/>
            <w:vAlign w:val="center"/>
          </w:tcPr>
          <w:p w14:paraId="75C7E24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锅炉烟气采用袋式除尘+钠法双碱法脱硫+45m烟囱排放，污水站恶臭采用活性炭吸附法</w:t>
            </w:r>
          </w:p>
        </w:tc>
      </w:tr>
      <w:tr w14:paraId="4393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538" w:hRule="atLeast"/>
          <w:jc w:val="center"/>
        </w:trPr>
        <w:tc>
          <w:tcPr>
            <w:tcW w:w="355" w:type="pct"/>
            <w:shd w:val="clear" w:color="auto" w:fill="auto"/>
            <w:vAlign w:val="center"/>
          </w:tcPr>
          <w:p w14:paraId="3DF2E74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w:t>
            </w:r>
          </w:p>
        </w:tc>
        <w:tc>
          <w:tcPr>
            <w:tcW w:w="1524" w:type="pct"/>
            <w:vAlign w:val="center"/>
          </w:tcPr>
          <w:p w14:paraId="40F1EA6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凯赛（乌苏）生物技术有限公司</w:t>
            </w:r>
          </w:p>
        </w:tc>
        <w:tc>
          <w:tcPr>
            <w:tcW w:w="1220" w:type="pct"/>
            <w:vAlign w:val="center"/>
          </w:tcPr>
          <w:p w14:paraId="750C1AD8">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2.40</w:t>
            </w: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X</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2.80</w:t>
            </w:r>
            <w:r>
              <w:rPr>
                <w:rFonts w:hint="default" w:ascii="Times New Roman" w:hAnsi="Times New Roman" w:cs="Times New Roman"/>
                <w:color w:val="auto"/>
                <w:sz w:val="21"/>
                <w:szCs w:val="21"/>
                <w:highlight w:val="none"/>
              </w:rPr>
              <w:t>、颗粒物：</w:t>
            </w:r>
            <w:r>
              <w:rPr>
                <w:rFonts w:hint="eastAsia" w:ascii="Times New Roman" w:hAnsi="Times New Roman" w:cs="Times New Roman"/>
                <w:color w:val="auto"/>
                <w:sz w:val="21"/>
                <w:szCs w:val="21"/>
                <w:highlight w:val="none"/>
                <w:lang w:val="en-US" w:eastAsia="zh-CN"/>
              </w:rPr>
              <w:t>0.57、VOCs33.16</w:t>
            </w:r>
          </w:p>
        </w:tc>
        <w:tc>
          <w:tcPr>
            <w:tcW w:w="1900" w:type="pct"/>
            <w:vAlign w:val="center"/>
          </w:tcPr>
          <w:p w14:paraId="4E1F82B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烷烃罐区废气采用活性炭吸附；成品干燥废气采用袋式除尘器预处理，处理后废气与其他废气均采用</w:t>
            </w:r>
            <w:r>
              <w:rPr>
                <w:rFonts w:hint="eastAsia" w:ascii="Times New Roman" w:hAnsi="Times New Roman" w:eastAsia="宋体" w:cs="Times New Roman"/>
                <w:b w:val="0"/>
                <w:bCs w:val="0"/>
                <w:color w:val="auto"/>
                <w:spacing w:val="-6"/>
                <w:sz w:val="21"/>
                <w:szCs w:val="21"/>
                <w:highlight w:val="none"/>
                <w:lang w:val="en-US" w:eastAsia="zh-CN"/>
              </w:rPr>
              <w:t>水吸收/酸吸收/碱吸收工艺</w:t>
            </w:r>
          </w:p>
        </w:tc>
      </w:tr>
      <w:tr w14:paraId="03DC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538" w:hRule="atLeast"/>
          <w:jc w:val="center"/>
        </w:trPr>
        <w:tc>
          <w:tcPr>
            <w:tcW w:w="355" w:type="pct"/>
            <w:vAlign w:val="center"/>
          </w:tcPr>
          <w:p w14:paraId="2B42E1C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1524" w:type="pct"/>
            <w:vAlign w:val="center"/>
          </w:tcPr>
          <w:p w14:paraId="21EA70B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凯赛（乌苏）生物材料有限公司</w:t>
            </w:r>
          </w:p>
        </w:tc>
        <w:tc>
          <w:tcPr>
            <w:tcW w:w="1220" w:type="pct"/>
            <w:vAlign w:val="center"/>
          </w:tcPr>
          <w:p w14:paraId="53E663C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40.2215</w:t>
            </w: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X</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27.3258</w:t>
            </w:r>
            <w:r>
              <w:rPr>
                <w:rFonts w:hint="default" w:ascii="Times New Roman" w:hAnsi="Times New Roman" w:cs="Times New Roman"/>
                <w:color w:val="auto"/>
                <w:sz w:val="21"/>
                <w:szCs w:val="21"/>
                <w:highlight w:val="none"/>
              </w:rPr>
              <w:t>、颗粒物：</w:t>
            </w:r>
            <w:r>
              <w:rPr>
                <w:rFonts w:hint="eastAsia" w:ascii="Times New Roman" w:hAnsi="Times New Roman" w:cs="Times New Roman"/>
                <w:color w:val="auto"/>
                <w:sz w:val="21"/>
                <w:szCs w:val="21"/>
                <w:highlight w:val="none"/>
                <w:lang w:val="en-US" w:eastAsia="zh-CN"/>
              </w:rPr>
              <w:t>31.9121、VOCs7.636</w:t>
            </w:r>
          </w:p>
        </w:tc>
        <w:tc>
          <w:tcPr>
            <w:tcW w:w="1900" w:type="pct"/>
            <w:vAlign w:val="center"/>
          </w:tcPr>
          <w:p w14:paraId="1E6E3E2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锅炉废气采用</w:t>
            </w:r>
            <w:r>
              <w:rPr>
                <w:rFonts w:hint="default" w:ascii="Times New Roman" w:hAnsi="Times New Roman" w:eastAsia="宋体" w:cs="Times New Roman"/>
                <w:b w:val="0"/>
                <w:bCs w:val="0"/>
                <w:color w:val="auto"/>
                <w:spacing w:val="-4"/>
                <w:sz w:val="21"/>
                <w:szCs w:val="21"/>
                <w:highlight w:val="none"/>
              </w:rPr>
              <w:t>SNCR+SCR</w:t>
            </w:r>
            <w:r>
              <w:rPr>
                <w:rFonts w:hint="default" w:ascii="Times New Roman" w:hAnsi="Times New Roman" w:eastAsia="宋体" w:cs="Times New Roman"/>
                <w:b w:val="0"/>
                <w:bCs w:val="0"/>
                <w:color w:val="auto"/>
                <w:spacing w:val="-38"/>
                <w:sz w:val="21"/>
                <w:szCs w:val="21"/>
                <w:highlight w:val="none"/>
              </w:rPr>
              <w:t xml:space="preserve"> </w:t>
            </w:r>
            <w:r>
              <w:rPr>
                <w:rFonts w:hint="default" w:ascii="Times New Roman" w:hAnsi="Times New Roman" w:eastAsia="宋体" w:cs="Times New Roman"/>
                <w:b w:val="0"/>
                <w:bCs w:val="0"/>
                <w:color w:val="auto"/>
                <w:spacing w:val="-4"/>
                <w:sz w:val="21"/>
                <w:szCs w:val="21"/>
                <w:highlight w:val="none"/>
              </w:rPr>
              <w:t>脱硝+电</w:t>
            </w:r>
            <w:r>
              <w:rPr>
                <w:rFonts w:hint="default" w:ascii="Times New Roman" w:hAnsi="Times New Roman" w:eastAsia="宋体" w:cs="Times New Roman"/>
                <w:b w:val="0"/>
                <w:bCs w:val="0"/>
                <w:color w:val="auto"/>
                <w:spacing w:val="-3"/>
                <w:sz w:val="21"/>
                <w:szCs w:val="21"/>
                <w:highlight w:val="none"/>
              </w:rPr>
              <w:t>袋复合除尘+氨法</w:t>
            </w:r>
            <w:r>
              <w:rPr>
                <w:rFonts w:hint="default" w:ascii="Times New Roman" w:hAnsi="Times New Roman" w:eastAsia="宋体" w:cs="Times New Roman"/>
                <w:b w:val="0"/>
                <w:bCs w:val="0"/>
                <w:color w:val="auto"/>
                <w:spacing w:val="-6"/>
                <w:sz w:val="21"/>
                <w:szCs w:val="21"/>
                <w:highlight w:val="none"/>
              </w:rPr>
              <w:t>脱硫</w:t>
            </w:r>
            <w:r>
              <w:rPr>
                <w:rFonts w:hint="eastAsia" w:ascii="Times New Roman" w:hAnsi="Times New Roman" w:eastAsia="宋体" w:cs="Times New Roman"/>
                <w:b w:val="0"/>
                <w:bCs w:val="0"/>
                <w:color w:val="auto"/>
                <w:spacing w:val="-6"/>
                <w:sz w:val="21"/>
                <w:szCs w:val="21"/>
                <w:highlight w:val="none"/>
                <w:lang w:eastAsia="zh-CN"/>
              </w:rPr>
              <w:t>；</w:t>
            </w:r>
            <w:r>
              <w:rPr>
                <w:rFonts w:hint="eastAsia" w:ascii="Times New Roman" w:hAnsi="Times New Roman" w:eastAsia="宋体" w:cs="Times New Roman"/>
                <w:b w:val="0"/>
                <w:bCs w:val="0"/>
                <w:color w:val="auto"/>
                <w:spacing w:val="-6"/>
                <w:sz w:val="21"/>
                <w:szCs w:val="21"/>
                <w:highlight w:val="none"/>
                <w:lang w:val="en-US" w:eastAsia="zh-CN"/>
              </w:rPr>
              <w:t>污水处理站废气采用生物除臭；含尘废气采用袋式除尘器；危废库废气及酸碱罐区废气采用活性炭吸附；其他废气采用水吸收/酸吸收/碱吸收工艺</w:t>
            </w:r>
          </w:p>
        </w:tc>
      </w:tr>
    </w:tbl>
    <w:p w14:paraId="57645E3B">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5</w:t>
      </w:r>
      <w:r>
        <w:rPr>
          <w:b/>
          <w:bCs/>
          <w:snapToGrid w:val="0"/>
          <w:color w:val="auto"/>
          <w:kern w:val="0"/>
          <w:szCs w:val="21"/>
          <w:highlight w:val="none"/>
        </w:rPr>
        <w:t>.</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3</w:t>
      </w:r>
      <w:r>
        <w:rPr>
          <w:b/>
          <w:bCs/>
          <w:snapToGrid w:val="0"/>
          <w:color w:val="auto"/>
          <w:kern w:val="0"/>
          <w:szCs w:val="21"/>
          <w:highlight w:val="none"/>
        </w:rPr>
        <w:t xml:space="preserve"> 园区内现有企业废水排放情况</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3" w:type="dxa"/>
          <w:bottom w:w="28" w:type="dxa"/>
          <w:right w:w="23" w:type="dxa"/>
        </w:tblCellMar>
      </w:tblPr>
      <w:tblGrid>
        <w:gridCol w:w="577"/>
        <w:gridCol w:w="1313"/>
        <w:gridCol w:w="3903"/>
        <w:gridCol w:w="2470"/>
      </w:tblGrid>
      <w:tr w14:paraId="00E1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449" w:hRule="atLeast"/>
          <w:jc w:val="center"/>
        </w:trPr>
        <w:tc>
          <w:tcPr>
            <w:tcW w:w="349" w:type="pct"/>
            <w:vAlign w:val="center"/>
          </w:tcPr>
          <w:p w14:paraId="1A604B5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794" w:type="pct"/>
            <w:vAlign w:val="center"/>
          </w:tcPr>
          <w:p w14:paraId="34354F5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2361" w:type="pct"/>
            <w:vAlign w:val="center"/>
          </w:tcPr>
          <w:p w14:paraId="036C7E2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治理措施</w:t>
            </w:r>
          </w:p>
        </w:tc>
        <w:tc>
          <w:tcPr>
            <w:tcW w:w="1494" w:type="pct"/>
            <w:vAlign w:val="center"/>
          </w:tcPr>
          <w:p w14:paraId="2DADD7F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排放去向</w:t>
            </w:r>
          </w:p>
        </w:tc>
      </w:tr>
      <w:tr w14:paraId="0BC5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49" w:type="pct"/>
            <w:vAlign w:val="center"/>
          </w:tcPr>
          <w:p w14:paraId="090A6EE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794" w:type="pct"/>
            <w:vAlign w:val="center"/>
          </w:tcPr>
          <w:p w14:paraId="42FE7F7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乌苏宏江燃气有限公司</w:t>
            </w:r>
          </w:p>
        </w:tc>
        <w:tc>
          <w:tcPr>
            <w:tcW w:w="2361" w:type="pct"/>
            <w:vAlign w:val="center"/>
          </w:tcPr>
          <w:p w14:paraId="55C35AB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压缩机冷却循环过程产生的废水为清净下水，用于项目区绿化与泼洒抑尘；生活污水、脱水过程产生的废水经无害化处理后排入化粪池内进行处理</w:t>
            </w:r>
          </w:p>
        </w:tc>
        <w:tc>
          <w:tcPr>
            <w:tcW w:w="1494" w:type="pct"/>
            <w:vAlign w:val="center"/>
          </w:tcPr>
          <w:p w14:paraId="30DDF43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排入下水管网</w:t>
            </w:r>
          </w:p>
        </w:tc>
      </w:tr>
      <w:tr w14:paraId="3BEF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854" w:hRule="atLeast"/>
          <w:jc w:val="center"/>
        </w:trPr>
        <w:tc>
          <w:tcPr>
            <w:tcW w:w="349" w:type="pct"/>
            <w:vAlign w:val="center"/>
          </w:tcPr>
          <w:p w14:paraId="5FB54E1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794" w:type="pct"/>
            <w:vAlign w:val="center"/>
          </w:tcPr>
          <w:p w14:paraId="6C8C2A2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乌苏恒帆棉纺织有限公司</w:t>
            </w:r>
          </w:p>
        </w:tc>
        <w:tc>
          <w:tcPr>
            <w:tcW w:w="2361" w:type="pct"/>
            <w:vAlign w:val="center"/>
          </w:tcPr>
          <w:p w14:paraId="30D49D48">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一体化污水处理装置，要求生活污水在经过处理后达到《污水综合排放标准》（GB8978-1996）的二级标准</w:t>
            </w:r>
          </w:p>
        </w:tc>
        <w:tc>
          <w:tcPr>
            <w:tcW w:w="1494" w:type="pct"/>
            <w:vAlign w:val="center"/>
          </w:tcPr>
          <w:p w14:paraId="5281976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生活污水排入下水管网</w:t>
            </w:r>
          </w:p>
        </w:tc>
      </w:tr>
      <w:tr w14:paraId="1157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49" w:type="pct"/>
            <w:vAlign w:val="center"/>
          </w:tcPr>
          <w:p w14:paraId="1887819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794" w:type="pct"/>
            <w:vAlign w:val="center"/>
          </w:tcPr>
          <w:p w14:paraId="1B8B861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乌苏市疆宇毛纺织有限公司</w:t>
            </w:r>
          </w:p>
        </w:tc>
        <w:tc>
          <w:tcPr>
            <w:tcW w:w="2361" w:type="pct"/>
            <w:vAlign w:val="center"/>
          </w:tcPr>
          <w:p w14:paraId="0254C88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物化处理+生化处理+深度处理</w:t>
            </w:r>
          </w:p>
        </w:tc>
        <w:tc>
          <w:tcPr>
            <w:tcW w:w="1494" w:type="pct"/>
            <w:vAlign w:val="center"/>
          </w:tcPr>
          <w:p w14:paraId="60664D2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部分回用，其余处理达标后排下水管网</w:t>
            </w:r>
          </w:p>
        </w:tc>
      </w:tr>
      <w:tr w14:paraId="5E69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49" w:type="pct"/>
            <w:vAlign w:val="center"/>
          </w:tcPr>
          <w:p w14:paraId="0C442A4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794" w:type="pct"/>
            <w:vAlign w:val="center"/>
          </w:tcPr>
          <w:p w14:paraId="5B12C94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新疆聚鑫隆纸业有限公司</w:t>
            </w:r>
          </w:p>
        </w:tc>
        <w:tc>
          <w:tcPr>
            <w:tcW w:w="2361" w:type="pct"/>
            <w:vAlign w:val="center"/>
          </w:tcPr>
          <w:p w14:paraId="144C7B4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斜筛+高效浅层气浮处理生产废水；集成式生物化粪池收集生活污水</w:t>
            </w:r>
          </w:p>
        </w:tc>
        <w:tc>
          <w:tcPr>
            <w:tcW w:w="1494" w:type="pct"/>
            <w:vAlign w:val="center"/>
          </w:tcPr>
          <w:p w14:paraId="1AB23C6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生产废水回用，生活污水经处理后绿化</w:t>
            </w:r>
          </w:p>
        </w:tc>
      </w:tr>
      <w:tr w14:paraId="01E9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49" w:type="pct"/>
            <w:shd w:val="clear" w:color="auto" w:fill="auto"/>
            <w:vAlign w:val="center"/>
          </w:tcPr>
          <w:p w14:paraId="4F597C0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w:t>
            </w:r>
          </w:p>
        </w:tc>
        <w:tc>
          <w:tcPr>
            <w:tcW w:w="794" w:type="pct"/>
            <w:vAlign w:val="center"/>
          </w:tcPr>
          <w:p w14:paraId="44C2B22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塔城地区乌苏市西区污水处理厂</w:t>
            </w:r>
            <w:r>
              <w:rPr>
                <w:rFonts w:hint="eastAsia" w:cs="Times New Roman"/>
                <w:color w:val="auto"/>
                <w:sz w:val="21"/>
                <w:szCs w:val="21"/>
                <w:highlight w:val="none"/>
                <w:lang w:val="en-US" w:eastAsia="zh-CN"/>
              </w:rPr>
              <w:t>一</w:t>
            </w:r>
            <w:r>
              <w:rPr>
                <w:rFonts w:hint="default" w:ascii="Times New Roman" w:hAnsi="Times New Roman" w:eastAsia="宋体" w:cs="Times New Roman"/>
                <w:color w:val="auto"/>
                <w:sz w:val="21"/>
                <w:szCs w:val="21"/>
                <w:highlight w:val="none"/>
                <w:lang w:eastAsia="zh-CN"/>
              </w:rPr>
              <w:t>期工程</w:t>
            </w:r>
          </w:p>
        </w:tc>
        <w:tc>
          <w:tcPr>
            <w:tcW w:w="2361" w:type="pct"/>
            <w:vAlign w:val="center"/>
          </w:tcPr>
          <w:p w14:paraId="3079646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项目自身为污水处理项目，采用“中和沉淀+水解酸化+A2O”处理工艺，同时另设置MBR+RO+MVR废水处理设施</w:t>
            </w:r>
          </w:p>
        </w:tc>
        <w:tc>
          <w:tcPr>
            <w:tcW w:w="1494" w:type="pct"/>
            <w:vAlign w:val="center"/>
          </w:tcPr>
          <w:p w14:paraId="25562C8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处理后尾水排入尾水库，</w:t>
            </w:r>
            <w:r>
              <w:rPr>
                <w:rFonts w:hint="eastAsia" w:cs="Times New Roman"/>
                <w:color w:val="auto"/>
                <w:sz w:val="21"/>
                <w:szCs w:val="21"/>
                <w:highlight w:val="none"/>
                <w:lang w:val="en-US" w:eastAsia="zh-CN"/>
              </w:rPr>
              <w:t>用于</w:t>
            </w:r>
            <w:r>
              <w:rPr>
                <w:rFonts w:hint="default" w:ascii="Times New Roman" w:hAnsi="Times New Roman" w:cs="Times New Roman"/>
                <w:color w:val="auto"/>
                <w:sz w:val="21"/>
                <w:szCs w:val="21"/>
                <w:highlight w:val="none"/>
                <w:lang w:val="en-US" w:eastAsia="zh-CN"/>
              </w:rPr>
              <w:t>荒漠植被的恢复和灌溉用水</w:t>
            </w:r>
          </w:p>
        </w:tc>
      </w:tr>
      <w:tr w14:paraId="69E1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49" w:type="pct"/>
            <w:shd w:val="clear" w:color="auto" w:fill="auto"/>
            <w:vAlign w:val="center"/>
          </w:tcPr>
          <w:p w14:paraId="5291534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w:t>
            </w:r>
          </w:p>
        </w:tc>
        <w:tc>
          <w:tcPr>
            <w:tcW w:w="794" w:type="pct"/>
            <w:shd w:val="clear" w:color="auto" w:fill="auto"/>
            <w:vAlign w:val="center"/>
          </w:tcPr>
          <w:p w14:paraId="62E92F0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凯赛（乌苏）生物技术有限公司</w:t>
            </w:r>
          </w:p>
        </w:tc>
        <w:tc>
          <w:tcPr>
            <w:tcW w:w="2361" w:type="pct"/>
            <w:vAlign w:val="center"/>
          </w:tcPr>
          <w:p w14:paraId="7A85AF8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/废水依托凯赛（乌苏）生物材料有限公司厂区污水处理站处理</w:t>
            </w:r>
          </w:p>
        </w:tc>
        <w:tc>
          <w:tcPr>
            <w:tcW w:w="1494" w:type="pct"/>
            <w:vAlign w:val="center"/>
          </w:tcPr>
          <w:p w14:paraId="6B26A5D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进入乌苏市西区污水处理厂处理</w:t>
            </w:r>
          </w:p>
        </w:tc>
      </w:tr>
      <w:tr w14:paraId="3597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49" w:type="pct"/>
            <w:vAlign w:val="center"/>
          </w:tcPr>
          <w:p w14:paraId="0F4E8A2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w:t>
            </w:r>
          </w:p>
        </w:tc>
        <w:tc>
          <w:tcPr>
            <w:tcW w:w="794" w:type="pct"/>
            <w:shd w:val="clear" w:color="auto" w:fill="auto"/>
            <w:vAlign w:val="center"/>
          </w:tcPr>
          <w:p w14:paraId="5498286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凯赛（乌苏）生物材料有限公司</w:t>
            </w:r>
          </w:p>
        </w:tc>
        <w:tc>
          <w:tcPr>
            <w:tcW w:w="2361" w:type="pct"/>
            <w:vAlign w:val="center"/>
          </w:tcPr>
          <w:p w14:paraId="3E30B6F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污水处理站采用</w:t>
            </w:r>
            <w:r>
              <w:rPr>
                <w:rFonts w:hint="eastAsia" w:ascii="Times New Roman" w:hAnsi="Times New Roman" w:cs="Times New Roman"/>
                <w:color w:val="auto"/>
                <w:sz w:val="21"/>
                <w:szCs w:val="21"/>
                <w:highlight w:val="none"/>
                <w:vertAlign w:val="baseline"/>
                <w:lang w:val="en-US" w:eastAsia="zh-CN" w:bidi="ar-SA"/>
              </w:rPr>
              <w:t>中和沉淀+</w:t>
            </w:r>
            <w:r>
              <w:rPr>
                <w:rFonts w:hint="eastAsia" w:ascii="Times New Roman" w:hAnsi="Times New Roman" w:eastAsia="宋体" w:cs="Times New Roman"/>
                <w:color w:val="auto"/>
                <w:sz w:val="21"/>
                <w:szCs w:val="21"/>
                <w:highlight w:val="none"/>
                <w:vertAlign w:val="baseline"/>
                <w:lang w:val="en-US" w:eastAsia="zh-CN" w:bidi="ar-SA"/>
              </w:rPr>
              <w:t>水解酸化+A2O工艺进行处理，污水处理站后半段设置有MBR+RO+MVR装置用于应急备用</w:t>
            </w:r>
          </w:p>
        </w:tc>
        <w:tc>
          <w:tcPr>
            <w:tcW w:w="1494" w:type="pct"/>
            <w:vAlign w:val="center"/>
          </w:tcPr>
          <w:p w14:paraId="1F4BF67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进入乌苏市西区污水处理厂处理</w:t>
            </w:r>
          </w:p>
        </w:tc>
      </w:tr>
    </w:tbl>
    <w:p w14:paraId="06496073">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5</w:t>
      </w:r>
      <w:r>
        <w:rPr>
          <w:b/>
          <w:bCs/>
          <w:snapToGrid w:val="0"/>
          <w:color w:val="auto"/>
          <w:kern w:val="0"/>
          <w:szCs w:val="21"/>
          <w:highlight w:val="none"/>
        </w:rPr>
        <w:t>.</w:t>
      </w:r>
      <w:r>
        <w:rPr>
          <w:rFonts w:hint="eastAsia"/>
          <w:b/>
          <w:bCs/>
          <w:snapToGrid w:val="0"/>
          <w:color w:val="auto"/>
          <w:kern w:val="0"/>
          <w:szCs w:val="21"/>
          <w:highlight w:val="none"/>
        </w:rPr>
        <w:t>2-</w:t>
      </w:r>
      <w:r>
        <w:rPr>
          <w:rFonts w:hint="eastAsia"/>
          <w:b/>
          <w:bCs/>
          <w:snapToGrid w:val="0"/>
          <w:color w:val="auto"/>
          <w:kern w:val="0"/>
          <w:szCs w:val="21"/>
          <w:highlight w:val="none"/>
          <w:lang w:val="en-US" w:eastAsia="zh-CN"/>
        </w:rPr>
        <w:t>4</w:t>
      </w:r>
      <w:r>
        <w:rPr>
          <w:b/>
          <w:bCs/>
          <w:snapToGrid w:val="0"/>
          <w:color w:val="auto"/>
          <w:kern w:val="0"/>
          <w:szCs w:val="21"/>
          <w:highlight w:val="none"/>
        </w:rPr>
        <w:t xml:space="preserve"> 园区内企业固废排放表</w:t>
      </w:r>
    </w:p>
    <w:tbl>
      <w:tblPr>
        <w:tblStyle w:val="5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3" w:type="dxa"/>
          <w:bottom w:w="28" w:type="dxa"/>
          <w:right w:w="23" w:type="dxa"/>
        </w:tblCellMar>
      </w:tblPr>
      <w:tblGrid>
        <w:gridCol w:w="553"/>
        <w:gridCol w:w="2596"/>
        <w:gridCol w:w="990"/>
        <w:gridCol w:w="991"/>
        <w:gridCol w:w="3128"/>
      </w:tblGrid>
      <w:tr w14:paraId="581F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93" w:hRule="atLeast"/>
          <w:jc w:val="center"/>
        </w:trPr>
        <w:tc>
          <w:tcPr>
            <w:tcW w:w="335" w:type="pct"/>
            <w:vMerge w:val="restart"/>
            <w:vAlign w:val="center"/>
          </w:tcPr>
          <w:p w14:paraId="5E8D69D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571" w:type="pct"/>
            <w:vMerge w:val="restart"/>
            <w:vAlign w:val="center"/>
          </w:tcPr>
          <w:p w14:paraId="73AC385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1199" w:type="pct"/>
            <w:gridSpan w:val="2"/>
            <w:vAlign w:val="center"/>
          </w:tcPr>
          <w:p w14:paraId="42417CE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固废产生情况</w:t>
            </w:r>
          </w:p>
        </w:tc>
        <w:tc>
          <w:tcPr>
            <w:tcW w:w="1893" w:type="pct"/>
            <w:vMerge w:val="restart"/>
            <w:vAlign w:val="center"/>
          </w:tcPr>
          <w:p w14:paraId="2B2C480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r>
      <w:tr w14:paraId="44CA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93" w:hRule="atLeast"/>
          <w:jc w:val="center"/>
        </w:trPr>
        <w:tc>
          <w:tcPr>
            <w:tcW w:w="335" w:type="pct"/>
            <w:vMerge w:val="continue"/>
            <w:vAlign w:val="center"/>
          </w:tcPr>
          <w:p w14:paraId="2CFD943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p>
        </w:tc>
        <w:tc>
          <w:tcPr>
            <w:tcW w:w="1571" w:type="pct"/>
            <w:vMerge w:val="continue"/>
            <w:vAlign w:val="center"/>
          </w:tcPr>
          <w:p w14:paraId="3C9CF2C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p>
        </w:tc>
        <w:tc>
          <w:tcPr>
            <w:tcW w:w="599" w:type="pct"/>
            <w:vAlign w:val="center"/>
          </w:tcPr>
          <w:p w14:paraId="0CE5DF1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一般固废</w:t>
            </w:r>
          </w:p>
        </w:tc>
        <w:tc>
          <w:tcPr>
            <w:tcW w:w="600" w:type="pct"/>
            <w:vAlign w:val="center"/>
          </w:tcPr>
          <w:p w14:paraId="2ABDF9A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w:t>
            </w:r>
          </w:p>
        </w:tc>
        <w:tc>
          <w:tcPr>
            <w:tcW w:w="1893" w:type="pct"/>
            <w:vMerge w:val="continue"/>
            <w:vAlign w:val="center"/>
          </w:tcPr>
          <w:p w14:paraId="6A6DFF8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p>
        </w:tc>
      </w:tr>
      <w:tr w14:paraId="49DC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35" w:type="pct"/>
            <w:vAlign w:val="center"/>
          </w:tcPr>
          <w:p w14:paraId="64540F2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571" w:type="pct"/>
            <w:vAlign w:val="center"/>
          </w:tcPr>
          <w:p w14:paraId="2E8C132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乌苏宏江燃气有限公司</w:t>
            </w:r>
          </w:p>
        </w:tc>
        <w:tc>
          <w:tcPr>
            <w:tcW w:w="599" w:type="pct"/>
            <w:vAlign w:val="center"/>
          </w:tcPr>
          <w:p w14:paraId="6E7E328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600" w:type="pct"/>
            <w:vAlign w:val="center"/>
          </w:tcPr>
          <w:p w14:paraId="7310B06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893" w:type="pct"/>
            <w:vAlign w:val="center"/>
          </w:tcPr>
          <w:p w14:paraId="1D16238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压缩机含油废水</w:t>
            </w:r>
          </w:p>
        </w:tc>
      </w:tr>
      <w:tr w14:paraId="6341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35" w:type="pct"/>
            <w:vAlign w:val="center"/>
          </w:tcPr>
          <w:p w14:paraId="5A78AEF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571" w:type="pct"/>
            <w:vAlign w:val="center"/>
          </w:tcPr>
          <w:p w14:paraId="35A6D95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乌苏恒帆棉纺织有限公司</w:t>
            </w:r>
          </w:p>
        </w:tc>
        <w:tc>
          <w:tcPr>
            <w:tcW w:w="599" w:type="pct"/>
            <w:vAlign w:val="center"/>
          </w:tcPr>
          <w:p w14:paraId="5F91E47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83.16</w:t>
            </w:r>
          </w:p>
        </w:tc>
        <w:tc>
          <w:tcPr>
            <w:tcW w:w="600" w:type="pct"/>
            <w:vAlign w:val="center"/>
          </w:tcPr>
          <w:p w14:paraId="15E1714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893" w:type="pct"/>
            <w:vAlign w:val="center"/>
          </w:tcPr>
          <w:p w14:paraId="066DF9A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棉絮和棉尘</w:t>
            </w:r>
          </w:p>
        </w:tc>
      </w:tr>
      <w:tr w14:paraId="1C5D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35" w:type="pct"/>
            <w:vAlign w:val="center"/>
          </w:tcPr>
          <w:p w14:paraId="3EA0CAC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571" w:type="pct"/>
            <w:vAlign w:val="center"/>
          </w:tcPr>
          <w:p w14:paraId="59B22F0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乌苏市疆宇毛纺织有限公司</w:t>
            </w:r>
          </w:p>
        </w:tc>
        <w:tc>
          <w:tcPr>
            <w:tcW w:w="599" w:type="pct"/>
            <w:vAlign w:val="center"/>
          </w:tcPr>
          <w:p w14:paraId="226D634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10801</w:t>
            </w:r>
          </w:p>
        </w:tc>
        <w:tc>
          <w:tcPr>
            <w:tcW w:w="600" w:type="pct"/>
            <w:vAlign w:val="center"/>
          </w:tcPr>
          <w:p w14:paraId="7A34229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893" w:type="pct"/>
            <w:vAlign w:val="center"/>
          </w:tcPr>
          <w:p w14:paraId="64600C5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羊毛杂质、羊毛絮、污水站污泥浮渣、废离子交换树脂</w:t>
            </w:r>
          </w:p>
        </w:tc>
      </w:tr>
      <w:tr w14:paraId="5825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35" w:type="pct"/>
            <w:vAlign w:val="center"/>
          </w:tcPr>
          <w:p w14:paraId="474E834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571" w:type="pct"/>
            <w:shd w:val="clear" w:color="auto" w:fill="auto"/>
            <w:vAlign w:val="center"/>
          </w:tcPr>
          <w:p w14:paraId="6A8089C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新疆聚鑫隆纸业有限公司</w:t>
            </w:r>
          </w:p>
        </w:tc>
        <w:tc>
          <w:tcPr>
            <w:tcW w:w="599" w:type="pct"/>
            <w:shd w:val="clear" w:color="auto" w:fill="auto"/>
            <w:vAlign w:val="center"/>
          </w:tcPr>
          <w:p w14:paraId="644C04C8">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22542</w:t>
            </w:r>
          </w:p>
        </w:tc>
        <w:tc>
          <w:tcPr>
            <w:tcW w:w="600" w:type="pct"/>
            <w:shd w:val="clear" w:color="auto" w:fill="auto"/>
            <w:vAlign w:val="center"/>
          </w:tcPr>
          <w:p w14:paraId="01A376B0">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1893" w:type="pct"/>
            <w:shd w:val="clear" w:color="auto" w:fill="auto"/>
            <w:vAlign w:val="center"/>
          </w:tcPr>
          <w:p w14:paraId="34C1B6D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锅炉灰渣、分拣废物、制浆泥渣、污水处理污泥、脱硫石膏</w:t>
            </w:r>
          </w:p>
        </w:tc>
      </w:tr>
      <w:tr w14:paraId="0176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35" w:type="pct"/>
            <w:shd w:val="clear" w:color="auto" w:fill="auto"/>
            <w:vAlign w:val="center"/>
          </w:tcPr>
          <w:p w14:paraId="185A49C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w:t>
            </w:r>
          </w:p>
        </w:tc>
        <w:tc>
          <w:tcPr>
            <w:tcW w:w="1571" w:type="pct"/>
            <w:shd w:val="clear" w:color="auto" w:fill="auto"/>
            <w:vAlign w:val="center"/>
          </w:tcPr>
          <w:p w14:paraId="175C9EE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凯赛（乌苏）生物技术有限公司</w:t>
            </w:r>
          </w:p>
        </w:tc>
        <w:tc>
          <w:tcPr>
            <w:tcW w:w="599" w:type="pct"/>
            <w:vAlign w:val="center"/>
          </w:tcPr>
          <w:p w14:paraId="6D87FF3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21017.18</w:t>
            </w:r>
          </w:p>
        </w:tc>
        <w:tc>
          <w:tcPr>
            <w:tcW w:w="600" w:type="pct"/>
            <w:vAlign w:val="center"/>
          </w:tcPr>
          <w:p w14:paraId="734B273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w:t>
            </w:r>
          </w:p>
        </w:tc>
        <w:tc>
          <w:tcPr>
            <w:tcW w:w="1893" w:type="pct"/>
            <w:vAlign w:val="center"/>
          </w:tcPr>
          <w:p w14:paraId="57AC6DE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菌体污泥、废活性炭、</w:t>
            </w:r>
            <w:r>
              <w:rPr>
                <w:rFonts w:hint="eastAsia" w:cs="Times New Roman"/>
                <w:color w:val="auto"/>
                <w:sz w:val="21"/>
                <w:szCs w:val="21"/>
                <w:highlight w:val="none"/>
                <w:lang w:val="en-US" w:eastAsia="zh-CN"/>
              </w:rPr>
              <w:t>废矿物油</w:t>
            </w:r>
            <w:r>
              <w:rPr>
                <w:rFonts w:hint="eastAsia" w:ascii="Times New Roman" w:hAnsi="Times New Roman" w:cs="Times New Roman"/>
                <w:color w:val="auto"/>
                <w:sz w:val="21"/>
                <w:szCs w:val="21"/>
                <w:highlight w:val="none"/>
                <w:lang w:val="en-US" w:eastAsia="zh-CN"/>
              </w:rPr>
              <w:t>等</w:t>
            </w:r>
          </w:p>
        </w:tc>
      </w:tr>
      <w:tr w14:paraId="07E7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35" w:type="pct"/>
            <w:vAlign w:val="center"/>
          </w:tcPr>
          <w:p w14:paraId="34E6AE4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1571" w:type="pct"/>
            <w:shd w:val="clear" w:color="auto" w:fill="auto"/>
            <w:vAlign w:val="center"/>
          </w:tcPr>
          <w:p w14:paraId="7B4083C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凯赛（乌苏）生物材料有限公司</w:t>
            </w:r>
          </w:p>
        </w:tc>
        <w:tc>
          <w:tcPr>
            <w:tcW w:w="599" w:type="pct"/>
            <w:vAlign w:val="center"/>
          </w:tcPr>
          <w:p w14:paraId="3300B1B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86441.99</w:t>
            </w:r>
          </w:p>
        </w:tc>
        <w:tc>
          <w:tcPr>
            <w:tcW w:w="600" w:type="pct"/>
            <w:vAlign w:val="center"/>
          </w:tcPr>
          <w:p w14:paraId="6A3B6DB6">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54.2995</w:t>
            </w:r>
          </w:p>
        </w:tc>
        <w:tc>
          <w:tcPr>
            <w:tcW w:w="1893" w:type="pct"/>
            <w:vAlign w:val="center"/>
          </w:tcPr>
          <w:p w14:paraId="17B6DDF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污水处理站污泥、锅炉灰渣、菌体污泥、脱硫石膏、废絮凝剂、玉米原料杂质、废树脂、废包装物、废催化剂等</w:t>
            </w:r>
          </w:p>
        </w:tc>
      </w:tr>
    </w:tbl>
    <w:p w14:paraId="658433B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bookmarkStart w:id="92" w:name="_Toc454899361"/>
      <w:r>
        <w:rPr>
          <w:rFonts w:hint="eastAsia" w:ascii="宋体" w:hAnsi="宋体" w:eastAsia="宋体" w:cs="宋体"/>
          <w:b/>
          <w:bCs w:val="0"/>
          <w:snapToGrid w:val="0"/>
          <w:color w:val="auto"/>
          <w:spacing w:val="0"/>
          <w:w w:val="100"/>
          <w:kern w:val="0"/>
          <w:sz w:val="24"/>
          <w:szCs w:val="24"/>
          <w:highlight w:val="none"/>
          <w:lang w:val="en-US" w:eastAsia="zh-CN"/>
        </w:rPr>
        <w:t>5.2.9.2区域在建及拟建企业污染源调查情况</w:t>
      </w:r>
    </w:p>
    <w:p w14:paraId="63FCCC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color w:val="auto"/>
          <w:sz w:val="24"/>
          <w:highlight w:val="none"/>
          <w:lang w:val="en-US" w:eastAsia="zh-CN"/>
        </w:rPr>
      </w:pPr>
      <w:r>
        <w:rPr>
          <w:rFonts w:hint="eastAsia" w:ascii="Times New Roman" w:hAnsi="Times New Roman" w:eastAsia="宋体" w:cs="Times New Roman"/>
          <w:b w:val="0"/>
          <w:bCs w:val="0"/>
          <w:snapToGrid w:val="0"/>
          <w:color w:val="auto"/>
          <w:spacing w:val="0"/>
          <w:w w:val="100"/>
          <w:kern w:val="0"/>
          <w:sz w:val="24"/>
          <w:szCs w:val="24"/>
          <w:highlight w:val="none"/>
          <w:lang w:val="en-US" w:eastAsia="zh-CN"/>
        </w:rPr>
        <w:t>本项目在建项目为位于项目区东北侧约500m处的技术公司长链二元酸扩产项目、位于项目区东北侧2.5km处的乌苏市西区污水处理厂二期工程和位于项目区西南侧临近项目区的材料公司年产20000吨LCDN项目。</w:t>
      </w:r>
    </w:p>
    <w:p w14:paraId="5C6FE200">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rFonts w:hint="eastAsia" w:eastAsia="宋体"/>
          <w:b/>
          <w:bCs/>
          <w:snapToGrid w:val="0"/>
          <w:color w:val="auto"/>
          <w:kern w:val="0"/>
          <w:szCs w:val="21"/>
          <w:highlight w:val="none"/>
          <w:lang w:val="en-US" w:eastAsia="zh-CN"/>
        </w:rPr>
      </w:pPr>
      <w:r>
        <w:rPr>
          <w:rFonts w:hint="eastAsia" w:eastAsia="宋体"/>
          <w:b/>
          <w:bCs/>
          <w:snapToGrid w:val="0"/>
          <w:color w:val="auto"/>
          <w:kern w:val="0"/>
          <w:szCs w:val="21"/>
          <w:highlight w:val="none"/>
          <w:lang w:val="en-US" w:eastAsia="zh-CN"/>
        </w:rPr>
        <w:t>表5.2-5 区域在建及拟建企业废气污染源调查情况一览表</w:t>
      </w:r>
    </w:p>
    <w:tbl>
      <w:tblPr>
        <w:tblStyle w:val="56"/>
        <w:tblW w:w="8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1"/>
        <w:gridCol w:w="1227"/>
        <w:gridCol w:w="764"/>
        <w:gridCol w:w="140"/>
        <w:gridCol w:w="474"/>
        <w:gridCol w:w="430"/>
        <w:gridCol w:w="238"/>
        <w:gridCol w:w="668"/>
        <w:gridCol w:w="464"/>
        <w:gridCol w:w="464"/>
        <w:gridCol w:w="311"/>
        <w:gridCol w:w="153"/>
        <w:gridCol w:w="585"/>
        <w:gridCol w:w="464"/>
        <w:gridCol w:w="37"/>
        <w:gridCol w:w="399"/>
        <w:gridCol w:w="464"/>
        <w:gridCol w:w="377"/>
      </w:tblGrid>
      <w:tr w14:paraId="245A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798" w:type="dxa"/>
            <w:gridSpan w:val="2"/>
            <w:vMerge w:val="restart"/>
            <w:tcBorders>
              <w:tl2br w:val="nil"/>
              <w:tr2bl w:val="nil"/>
            </w:tcBorders>
            <w:noWrap/>
            <w:vAlign w:val="center"/>
          </w:tcPr>
          <w:p w14:paraId="0CBFD6C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点源名称</w:t>
            </w:r>
          </w:p>
        </w:tc>
        <w:tc>
          <w:tcPr>
            <w:tcW w:w="764" w:type="dxa"/>
            <w:tcBorders>
              <w:tl2br w:val="nil"/>
              <w:tr2bl w:val="nil"/>
            </w:tcBorders>
            <w:noWrap/>
            <w:vAlign w:val="center"/>
          </w:tcPr>
          <w:p w14:paraId="197F76E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排气筒高度</w:t>
            </w:r>
          </w:p>
        </w:tc>
        <w:tc>
          <w:tcPr>
            <w:tcW w:w="614" w:type="dxa"/>
            <w:gridSpan w:val="2"/>
            <w:tcBorders>
              <w:tl2br w:val="nil"/>
              <w:tr2bl w:val="nil"/>
            </w:tcBorders>
            <w:noWrap/>
            <w:vAlign w:val="center"/>
          </w:tcPr>
          <w:p w14:paraId="2F147A7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排气筒内径</w:t>
            </w:r>
          </w:p>
        </w:tc>
        <w:tc>
          <w:tcPr>
            <w:tcW w:w="668" w:type="dxa"/>
            <w:gridSpan w:val="2"/>
            <w:tcBorders>
              <w:tl2br w:val="nil"/>
              <w:tr2bl w:val="nil"/>
            </w:tcBorders>
            <w:noWrap/>
            <w:vAlign w:val="center"/>
          </w:tcPr>
          <w:p w14:paraId="53079C7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烟气出口温度</w:t>
            </w:r>
          </w:p>
        </w:tc>
        <w:tc>
          <w:tcPr>
            <w:tcW w:w="668" w:type="dxa"/>
            <w:tcBorders>
              <w:tl2br w:val="nil"/>
              <w:tr2bl w:val="nil"/>
            </w:tcBorders>
            <w:vAlign w:val="center"/>
          </w:tcPr>
          <w:p w14:paraId="307476F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烟气流量</w:t>
            </w:r>
          </w:p>
        </w:tc>
        <w:tc>
          <w:tcPr>
            <w:tcW w:w="3718" w:type="dxa"/>
            <w:gridSpan w:val="10"/>
            <w:tcBorders>
              <w:tl2br w:val="nil"/>
              <w:tr2bl w:val="nil"/>
            </w:tcBorders>
            <w:vAlign w:val="center"/>
          </w:tcPr>
          <w:p w14:paraId="7B42EB0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评价因子源强</w:t>
            </w:r>
            <w:r>
              <w:rPr>
                <w:rFonts w:hint="eastAsia" w:cs="Times New Roman"/>
                <w:bCs w:val="0"/>
                <w:snapToGrid w:val="0"/>
                <w:color w:val="auto"/>
                <w:kern w:val="0"/>
                <w:sz w:val="21"/>
                <w:szCs w:val="21"/>
                <w:highlight w:val="none"/>
                <w:lang w:val="en-US" w:eastAsia="zh-CN"/>
              </w:rPr>
              <w:t>（</w:t>
            </w:r>
            <w:r>
              <w:rPr>
                <w:rFonts w:hint="eastAsia" w:ascii="Times New Roman" w:hAnsi="Times New Roman" w:eastAsia="宋体" w:cs="Times New Roman"/>
                <w:bCs w:val="0"/>
                <w:snapToGrid w:val="0"/>
                <w:color w:val="auto"/>
                <w:kern w:val="0"/>
                <w:sz w:val="21"/>
                <w:szCs w:val="21"/>
                <w:highlight w:val="none"/>
                <w:lang w:val="en-US" w:eastAsia="zh-CN"/>
              </w:rPr>
              <w:t>kg/h</w:t>
            </w:r>
            <w:r>
              <w:rPr>
                <w:rFonts w:hint="eastAsia" w:cs="Times New Roman"/>
                <w:bCs w:val="0"/>
                <w:snapToGrid w:val="0"/>
                <w:color w:val="auto"/>
                <w:kern w:val="0"/>
                <w:sz w:val="21"/>
                <w:szCs w:val="21"/>
                <w:highlight w:val="none"/>
                <w:lang w:val="en-US" w:eastAsia="zh-CN"/>
              </w:rPr>
              <w:t>）</w:t>
            </w:r>
          </w:p>
        </w:tc>
      </w:tr>
      <w:tr w14:paraId="004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798" w:type="dxa"/>
            <w:gridSpan w:val="2"/>
            <w:vMerge w:val="continue"/>
            <w:tcBorders>
              <w:tl2br w:val="nil"/>
              <w:tr2bl w:val="nil"/>
            </w:tcBorders>
            <w:noWrap/>
            <w:vAlign w:val="center"/>
          </w:tcPr>
          <w:p w14:paraId="0BC3FE7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764" w:type="dxa"/>
            <w:tcBorders>
              <w:tl2br w:val="nil"/>
              <w:tr2bl w:val="nil"/>
            </w:tcBorders>
            <w:noWrap/>
            <w:vAlign w:val="center"/>
          </w:tcPr>
          <w:p w14:paraId="3A10E1A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H</w:t>
            </w: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614" w:type="dxa"/>
            <w:gridSpan w:val="2"/>
            <w:tcBorders>
              <w:tl2br w:val="nil"/>
              <w:tr2bl w:val="nil"/>
            </w:tcBorders>
            <w:noWrap/>
            <w:vAlign w:val="center"/>
          </w:tcPr>
          <w:p w14:paraId="3CD867D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D</w:t>
            </w: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668" w:type="dxa"/>
            <w:gridSpan w:val="2"/>
            <w:tcBorders>
              <w:tl2br w:val="nil"/>
              <w:tr2bl w:val="nil"/>
            </w:tcBorders>
            <w:noWrap/>
            <w:vAlign w:val="center"/>
          </w:tcPr>
          <w:p w14:paraId="1784E09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T</w:t>
            </w: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w:t>
            </w:r>
            <w:r>
              <w:rPr>
                <w:rFonts w:hint="eastAsia" w:cs="Times New Roman"/>
                <w:bCs w:val="0"/>
                <w:snapToGrid w:val="0"/>
                <w:color w:val="auto"/>
                <w:kern w:val="0"/>
                <w:sz w:val="21"/>
                <w:szCs w:val="21"/>
                <w:highlight w:val="none"/>
                <w:lang w:val="en-US" w:eastAsia="zh-CN"/>
              </w:rPr>
              <w:t>）</w:t>
            </w:r>
          </w:p>
        </w:tc>
        <w:tc>
          <w:tcPr>
            <w:tcW w:w="668" w:type="dxa"/>
            <w:tcBorders>
              <w:tl2br w:val="nil"/>
              <w:tr2bl w:val="nil"/>
            </w:tcBorders>
            <w:vAlign w:val="center"/>
          </w:tcPr>
          <w:p w14:paraId="1A058E6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Nm</w:t>
            </w:r>
            <w:r>
              <w:rPr>
                <w:rFonts w:hint="default" w:ascii="Times New Roman" w:hAnsi="Times New Roman" w:eastAsia="宋体" w:cs="Times New Roman"/>
                <w:bCs w:val="0"/>
                <w:snapToGrid w:val="0"/>
                <w:color w:val="auto"/>
                <w:kern w:val="0"/>
                <w:sz w:val="21"/>
                <w:szCs w:val="21"/>
                <w:highlight w:val="none"/>
                <w:vertAlign w:val="superscript"/>
                <w:lang w:val="en-US" w:eastAsia="zh-CN"/>
              </w:rPr>
              <w:t>3</w:t>
            </w:r>
            <w:r>
              <w:rPr>
                <w:rFonts w:hint="default" w:ascii="Times New Roman" w:hAnsi="Times New Roman" w:eastAsia="宋体" w:cs="Times New Roman"/>
                <w:bCs w:val="0"/>
                <w:snapToGrid w:val="0"/>
                <w:color w:val="auto"/>
                <w:kern w:val="0"/>
                <w:sz w:val="21"/>
                <w:szCs w:val="21"/>
                <w:highlight w:val="none"/>
                <w:lang w:val="en-US" w:eastAsia="zh-CN"/>
              </w:rPr>
              <w:t>/h</w:t>
            </w:r>
          </w:p>
        </w:tc>
        <w:tc>
          <w:tcPr>
            <w:tcW w:w="464" w:type="dxa"/>
            <w:tcBorders>
              <w:tl2br w:val="nil"/>
              <w:tr2bl w:val="nil"/>
            </w:tcBorders>
            <w:noWrap/>
            <w:vAlign w:val="center"/>
          </w:tcPr>
          <w:p w14:paraId="5495081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SO</w:t>
            </w:r>
            <w:r>
              <w:rPr>
                <w:rFonts w:hint="eastAsia" w:ascii="Times New Roman" w:hAnsi="Times New Roman" w:eastAsia="宋体" w:cs="Times New Roman"/>
                <w:bCs w:val="0"/>
                <w:snapToGrid w:val="0"/>
                <w:color w:val="auto"/>
                <w:kern w:val="0"/>
                <w:sz w:val="21"/>
                <w:szCs w:val="21"/>
                <w:highlight w:val="none"/>
                <w:vertAlign w:val="subscript"/>
                <w:lang w:val="en-US" w:eastAsia="zh-CN"/>
              </w:rPr>
              <w:t>2</w:t>
            </w:r>
          </w:p>
        </w:tc>
        <w:tc>
          <w:tcPr>
            <w:tcW w:w="464" w:type="dxa"/>
            <w:tcBorders>
              <w:tl2br w:val="nil"/>
              <w:tr2bl w:val="nil"/>
            </w:tcBorders>
            <w:noWrap/>
            <w:vAlign w:val="center"/>
          </w:tcPr>
          <w:p w14:paraId="51A7B1C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NO</w:t>
            </w:r>
            <w:r>
              <w:rPr>
                <w:rFonts w:hint="eastAsia" w:ascii="Times New Roman" w:hAnsi="Times New Roman" w:eastAsia="宋体" w:cs="Times New Roman"/>
                <w:bCs w:val="0"/>
                <w:snapToGrid w:val="0"/>
                <w:color w:val="auto"/>
                <w:kern w:val="0"/>
                <w:sz w:val="21"/>
                <w:szCs w:val="21"/>
                <w:highlight w:val="none"/>
                <w:vertAlign w:val="subscript"/>
                <w:lang w:val="en-US" w:eastAsia="zh-CN"/>
              </w:rPr>
              <w:t>2</w:t>
            </w:r>
          </w:p>
        </w:tc>
        <w:tc>
          <w:tcPr>
            <w:tcW w:w="464" w:type="dxa"/>
            <w:gridSpan w:val="2"/>
            <w:tcBorders>
              <w:tl2br w:val="nil"/>
              <w:tr2bl w:val="nil"/>
            </w:tcBorders>
            <w:noWrap/>
            <w:vAlign w:val="center"/>
          </w:tcPr>
          <w:p w14:paraId="04E247C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PM</w:t>
            </w:r>
            <w:r>
              <w:rPr>
                <w:rFonts w:hint="eastAsia" w:ascii="Times New Roman" w:hAnsi="Times New Roman" w:eastAsia="宋体" w:cs="Times New Roman"/>
                <w:bCs w:val="0"/>
                <w:snapToGrid w:val="0"/>
                <w:color w:val="auto"/>
                <w:kern w:val="0"/>
                <w:sz w:val="21"/>
                <w:szCs w:val="21"/>
                <w:highlight w:val="none"/>
                <w:vertAlign w:val="subscript"/>
                <w:lang w:val="en-US" w:eastAsia="zh-CN"/>
              </w:rPr>
              <w:t>10</w:t>
            </w:r>
          </w:p>
        </w:tc>
        <w:tc>
          <w:tcPr>
            <w:tcW w:w="585" w:type="dxa"/>
            <w:tcBorders>
              <w:tl2br w:val="nil"/>
              <w:tr2bl w:val="nil"/>
            </w:tcBorders>
            <w:noWrap/>
            <w:vAlign w:val="center"/>
          </w:tcPr>
          <w:p w14:paraId="44D5E38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vertAlign w:val="baseline"/>
                <w:lang w:val="en-US" w:eastAsia="zh-CN"/>
              </w:rPr>
              <w:t>PM</w:t>
            </w:r>
            <w:r>
              <w:rPr>
                <w:rFonts w:hint="eastAsia" w:ascii="Times New Roman" w:hAnsi="Times New Roman" w:eastAsia="宋体" w:cs="Times New Roman"/>
                <w:bCs w:val="0"/>
                <w:snapToGrid w:val="0"/>
                <w:color w:val="auto"/>
                <w:kern w:val="0"/>
                <w:sz w:val="21"/>
                <w:szCs w:val="21"/>
                <w:highlight w:val="none"/>
                <w:vertAlign w:val="subscript"/>
                <w:lang w:val="en-US" w:eastAsia="zh-CN"/>
              </w:rPr>
              <w:t>2.5</w:t>
            </w:r>
          </w:p>
        </w:tc>
        <w:tc>
          <w:tcPr>
            <w:tcW w:w="464" w:type="dxa"/>
            <w:tcBorders>
              <w:tl2br w:val="nil"/>
              <w:tr2bl w:val="nil"/>
            </w:tcBorders>
            <w:noWrap/>
            <w:vAlign w:val="center"/>
          </w:tcPr>
          <w:p w14:paraId="1895036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vertAlign w:val="baseline"/>
                <w:lang w:val="en-US" w:eastAsia="zh-CN"/>
              </w:rPr>
            </w:pPr>
            <w:r>
              <w:rPr>
                <w:rFonts w:hint="eastAsia" w:ascii="Times New Roman" w:hAnsi="Times New Roman" w:eastAsia="宋体" w:cs="Times New Roman"/>
                <w:bCs w:val="0"/>
                <w:snapToGrid w:val="0"/>
                <w:color w:val="auto"/>
                <w:kern w:val="0"/>
                <w:sz w:val="21"/>
                <w:szCs w:val="21"/>
                <w:highlight w:val="none"/>
                <w:vertAlign w:val="baseline"/>
                <w:lang w:val="en-US" w:eastAsia="zh-CN"/>
              </w:rPr>
              <w:t>H</w:t>
            </w:r>
            <w:r>
              <w:rPr>
                <w:rFonts w:hint="eastAsia" w:ascii="Times New Roman" w:hAnsi="Times New Roman" w:eastAsia="宋体" w:cs="Times New Roman"/>
                <w:bCs w:val="0"/>
                <w:snapToGrid w:val="0"/>
                <w:color w:val="auto"/>
                <w:kern w:val="0"/>
                <w:sz w:val="21"/>
                <w:szCs w:val="21"/>
                <w:highlight w:val="none"/>
                <w:vertAlign w:val="subscript"/>
                <w:lang w:val="en-US" w:eastAsia="zh-CN"/>
              </w:rPr>
              <w:t>2</w:t>
            </w:r>
            <w:r>
              <w:rPr>
                <w:rFonts w:hint="eastAsia" w:ascii="Times New Roman" w:hAnsi="Times New Roman" w:eastAsia="宋体" w:cs="Times New Roman"/>
                <w:bCs w:val="0"/>
                <w:snapToGrid w:val="0"/>
                <w:color w:val="auto"/>
                <w:kern w:val="0"/>
                <w:sz w:val="21"/>
                <w:szCs w:val="21"/>
                <w:highlight w:val="none"/>
                <w:vertAlign w:val="baseline"/>
                <w:lang w:val="en-US" w:eastAsia="zh-CN"/>
              </w:rPr>
              <w:t>SO</w:t>
            </w:r>
            <w:r>
              <w:rPr>
                <w:rFonts w:hint="eastAsia" w:ascii="Times New Roman" w:hAnsi="Times New Roman" w:eastAsia="宋体" w:cs="Times New Roman"/>
                <w:bCs w:val="0"/>
                <w:snapToGrid w:val="0"/>
                <w:color w:val="auto"/>
                <w:kern w:val="0"/>
                <w:sz w:val="21"/>
                <w:szCs w:val="21"/>
                <w:highlight w:val="none"/>
                <w:vertAlign w:val="subscript"/>
                <w:lang w:val="en-US" w:eastAsia="zh-CN"/>
              </w:rPr>
              <w:t>4</w:t>
            </w:r>
          </w:p>
        </w:tc>
        <w:tc>
          <w:tcPr>
            <w:tcW w:w="436" w:type="dxa"/>
            <w:gridSpan w:val="2"/>
            <w:tcBorders>
              <w:tl2br w:val="nil"/>
              <w:tr2bl w:val="nil"/>
            </w:tcBorders>
            <w:noWrap/>
            <w:vAlign w:val="center"/>
          </w:tcPr>
          <w:p w14:paraId="58A3B82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NMHC</w:t>
            </w:r>
          </w:p>
        </w:tc>
        <w:tc>
          <w:tcPr>
            <w:tcW w:w="464" w:type="dxa"/>
            <w:tcBorders>
              <w:tl2br w:val="nil"/>
              <w:tr2bl w:val="nil"/>
            </w:tcBorders>
            <w:noWrap/>
            <w:vAlign w:val="center"/>
          </w:tcPr>
          <w:p w14:paraId="4AC561A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H</w:t>
            </w:r>
            <w:r>
              <w:rPr>
                <w:rFonts w:hint="eastAsia" w:cs="Times New Roman"/>
                <w:bCs w:val="0"/>
                <w:snapToGrid w:val="0"/>
                <w:color w:val="auto"/>
                <w:kern w:val="0"/>
                <w:sz w:val="21"/>
                <w:szCs w:val="21"/>
                <w:highlight w:val="none"/>
                <w:vertAlign w:val="subscript"/>
                <w:lang w:val="en-US" w:eastAsia="zh-CN"/>
              </w:rPr>
              <w:t>2</w:t>
            </w:r>
            <w:r>
              <w:rPr>
                <w:rFonts w:hint="eastAsia" w:cs="Times New Roman"/>
                <w:bCs w:val="0"/>
                <w:snapToGrid w:val="0"/>
                <w:color w:val="auto"/>
                <w:kern w:val="0"/>
                <w:sz w:val="21"/>
                <w:szCs w:val="21"/>
                <w:highlight w:val="none"/>
                <w:lang w:val="en-US" w:eastAsia="zh-CN"/>
              </w:rPr>
              <w:t>S</w:t>
            </w:r>
          </w:p>
        </w:tc>
        <w:tc>
          <w:tcPr>
            <w:tcW w:w="377" w:type="dxa"/>
            <w:tcBorders>
              <w:tl2br w:val="nil"/>
              <w:tr2bl w:val="nil"/>
            </w:tcBorders>
            <w:noWrap/>
            <w:vAlign w:val="center"/>
          </w:tcPr>
          <w:p w14:paraId="129E91B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氨</w:t>
            </w:r>
          </w:p>
        </w:tc>
      </w:tr>
      <w:tr w14:paraId="4634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restart"/>
            <w:tcBorders>
              <w:tl2br w:val="nil"/>
              <w:tr2bl w:val="nil"/>
            </w:tcBorders>
            <w:noWrap/>
            <w:vAlign w:val="center"/>
          </w:tcPr>
          <w:p w14:paraId="5C13031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olor w:val="auto"/>
                <w:highlight w:val="none"/>
                <w:lang w:val="en-US" w:eastAsia="zh-CN"/>
              </w:rPr>
              <w:t>技术公司</w:t>
            </w:r>
            <w:r>
              <w:rPr>
                <w:rFonts w:hint="eastAsia" w:ascii="Times New Roman" w:hAnsi="Times New Roman" w:eastAsia="宋体" w:cs="Times New Roman"/>
                <w:bCs w:val="0"/>
                <w:snapToGrid w:val="0"/>
                <w:color w:val="auto"/>
                <w:kern w:val="0"/>
                <w:sz w:val="21"/>
                <w:szCs w:val="21"/>
                <w:highlight w:val="none"/>
                <w:lang w:val="en-US" w:eastAsia="zh-CN"/>
              </w:rPr>
              <w:t>长链二元酸扩产项目</w:t>
            </w:r>
          </w:p>
        </w:tc>
        <w:tc>
          <w:tcPr>
            <w:tcW w:w="1227" w:type="dxa"/>
            <w:tcBorders>
              <w:tl2br w:val="nil"/>
              <w:tr2bl w:val="nil"/>
            </w:tcBorders>
            <w:noWrap/>
            <w:vAlign w:val="center"/>
          </w:tcPr>
          <w:p w14:paraId="379EFABD">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酸化及干燥废气排气口</w:t>
            </w:r>
          </w:p>
        </w:tc>
        <w:tc>
          <w:tcPr>
            <w:tcW w:w="764" w:type="dxa"/>
            <w:tcBorders>
              <w:tl2br w:val="nil"/>
              <w:tr2bl w:val="nil"/>
            </w:tcBorders>
            <w:noWrap/>
            <w:vAlign w:val="center"/>
          </w:tcPr>
          <w:p w14:paraId="6556E13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en-US"/>
              </w:rPr>
            </w:pPr>
            <w:r>
              <w:rPr>
                <w:rFonts w:hint="eastAsia" w:ascii="Times New Roman" w:hAnsi="Times New Roman" w:eastAsia="宋体" w:cs="Times New Roman"/>
                <w:b w:val="0"/>
                <w:bCs w:val="0"/>
                <w:snapToGrid w:val="0"/>
                <w:color w:val="auto"/>
                <w:kern w:val="0"/>
                <w:sz w:val="21"/>
                <w:szCs w:val="21"/>
                <w:highlight w:val="none"/>
              </w:rPr>
              <w:t>35.5</w:t>
            </w:r>
          </w:p>
        </w:tc>
        <w:tc>
          <w:tcPr>
            <w:tcW w:w="614" w:type="dxa"/>
            <w:gridSpan w:val="2"/>
            <w:tcBorders>
              <w:tl2br w:val="nil"/>
              <w:tr2bl w:val="nil"/>
            </w:tcBorders>
            <w:noWrap/>
            <w:vAlign w:val="center"/>
          </w:tcPr>
          <w:p w14:paraId="7E771AEB">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0.6</w:t>
            </w:r>
          </w:p>
        </w:tc>
        <w:tc>
          <w:tcPr>
            <w:tcW w:w="668" w:type="dxa"/>
            <w:gridSpan w:val="2"/>
            <w:tcBorders>
              <w:tl2br w:val="nil"/>
              <w:tr2bl w:val="nil"/>
            </w:tcBorders>
            <w:noWrap/>
            <w:vAlign w:val="center"/>
          </w:tcPr>
          <w:p w14:paraId="76BC43C3">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668" w:type="dxa"/>
            <w:tcBorders>
              <w:tl2br w:val="nil"/>
              <w:tr2bl w:val="nil"/>
            </w:tcBorders>
            <w:vAlign w:val="center"/>
          </w:tcPr>
          <w:p w14:paraId="3DFBC015">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15000</w:t>
            </w:r>
          </w:p>
        </w:tc>
        <w:tc>
          <w:tcPr>
            <w:tcW w:w="464" w:type="dxa"/>
            <w:tcBorders>
              <w:tl2br w:val="nil"/>
              <w:tr2bl w:val="nil"/>
            </w:tcBorders>
            <w:noWrap/>
            <w:vAlign w:val="center"/>
          </w:tcPr>
          <w:p w14:paraId="4E1929F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5AB6523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66E9643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0.195</w:t>
            </w:r>
          </w:p>
        </w:tc>
        <w:tc>
          <w:tcPr>
            <w:tcW w:w="585" w:type="dxa"/>
            <w:tcBorders>
              <w:tl2br w:val="nil"/>
              <w:tr2bl w:val="nil"/>
            </w:tcBorders>
            <w:noWrap/>
            <w:vAlign w:val="center"/>
          </w:tcPr>
          <w:p w14:paraId="3E62E80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0.0975</w:t>
            </w:r>
          </w:p>
        </w:tc>
        <w:tc>
          <w:tcPr>
            <w:tcW w:w="464" w:type="dxa"/>
            <w:tcBorders>
              <w:tl2br w:val="nil"/>
              <w:tr2bl w:val="nil"/>
            </w:tcBorders>
            <w:noWrap/>
            <w:vAlign w:val="center"/>
          </w:tcPr>
          <w:p w14:paraId="375EDD8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0.056</w:t>
            </w:r>
          </w:p>
        </w:tc>
        <w:tc>
          <w:tcPr>
            <w:tcW w:w="436" w:type="dxa"/>
            <w:gridSpan w:val="2"/>
            <w:tcBorders>
              <w:tl2br w:val="nil"/>
              <w:tr2bl w:val="nil"/>
            </w:tcBorders>
            <w:noWrap/>
            <w:vAlign w:val="center"/>
          </w:tcPr>
          <w:p w14:paraId="6274BFE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0.1388</w:t>
            </w:r>
          </w:p>
        </w:tc>
        <w:tc>
          <w:tcPr>
            <w:tcW w:w="464" w:type="dxa"/>
            <w:tcBorders>
              <w:tl2br w:val="nil"/>
              <w:tr2bl w:val="nil"/>
            </w:tcBorders>
            <w:noWrap/>
            <w:vAlign w:val="center"/>
          </w:tcPr>
          <w:p w14:paraId="451D6878">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7624A7D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3803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30BF652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227" w:type="dxa"/>
            <w:tcBorders>
              <w:tl2br w:val="nil"/>
              <w:tr2bl w:val="nil"/>
            </w:tcBorders>
            <w:noWrap/>
            <w:vAlign w:val="center"/>
          </w:tcPr>
          <w:p w14:paraId="73A6D0EB">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脱色及离心废气排口</w:t>
            </w:r>
          </w:p>
        </w:tc>
        <w:tc>
          <w:tcPr>
            <w:tcW w:w="764" w:type="dxa"/>
            <w:tcBorders>
              <w:tl2br w:val="nil"/>
              <w:tr2bl w:val="nil"/>
            </w:tcBorders>
            <w:noWrap/>
            <w:vAlign w:val="center"/>
          </w:tcPr>
          <w:p w14:paraId="0C7AECFA">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35.5</w:t>
            </w:r>
          </w:p>
        </w:tc>
        <w:tc>
          <w:tcPr>
            <w:tcW w:w="614" w:type="dxa"/>
            <w:gridSpan w:val="2"/>
            <w:tcBorders>
              <w:tl2br w:val="nil"/>
              <w:tr2bl w:val="nil"/>
            </w:tcBorders>
            <w:noWrap/>
            <w:vAlign w:val="center"/>
          </w:tcPr>
          <w:p w14:paraId="09412051">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0.6</w:t>
            </w:r>
          </w:p>
        </w:tc>
        <w:tc>
          <w:tcPr>
            <w:tcW w:w="668" w:type="dxa"/>
            <w:gridSpan w:val="2"/>
            <w:tcBorders>
              <w:tl2br w:val="nil"/>
              <w:tr2bl w:val="nil"/>
            </w:tcBorders>
            <w:noWrap/>
            <w:vAlign w:val="center"/>
          </w:tcPr>
          <w:p w14:paraId="7301A14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668" w:type="dxa"/>
            <w:tcBorders>
              <w:tl2br w:val="nil"/>
              <w:tr2bl w:val="nil"/>
            </w:tcBorders>
            <w:vAlign w:val="center"/>
          </w:tcPr>
          <w:p w14:paraId="435446B6">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15000</w:t>
            </w:r>
          </w:p>
        </w:tc>
        <w:tc>
          <w:tcPr>
            <w:tcW w:w="464" w:type="dxa"/>
            <w:tcBorders>
              <w:tl2br w:val="nil"/>
              <w:tr2bl w:val="nil"/>
            </w:tcBorders>
            <w:noWrap/>
            <w:vAlign w:val="center"/>
          </w:tcPr>
          <w:p w14:paraId="231D826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4165BC9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18D372B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5" w:type="dxa"/>
            <w:tcBorders>
              <w:tl2br w:val="nil"/>
              <w:tr2bl w:val="nil"/>
            </w:tcBorders>
            <w:noWrap/>
            <w:vAlign w:val="center"/>
          </w:tcPr>
          <w:p w14:paraId="7E9964B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4CAF26F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3318D25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0.248</w:t>
            </w:r>
          </w:p>
        </w:tc>
        <w:tc>
          <w:tcPr>
            <w:tcW w:w="464" w:type="dxa"/>
            <w:tcBorders>
              <w:tl2br w:val="nil"/>
              <w:tr2bl w:val="nil"/>
            </w:tcBorders>
            <w:noWrap/>
            <w:vAlign w:val="center"/>
          </w:tcPr>
          <w:p w14:paraId="349C2B1D">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244D479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74E7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69FEA60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227" w:type="dxa"/>
            <w:tcBorders>
              <w:tl2br w:val="nil"/>
              <w:tr2bl w:val="nil"/>
            </w:tcBorders>
            <w:noWrap/>
            <w:vAlign w:val="center"/>
          </w:tcPr>
          <w:p w14:paraId="2322AC2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精制过滤间环境废气</w:t>
            </w:r>
          </w:p>
        </w:tc>
        <w:tc>
          <w:tcPr>
            <w:tcW w:w="764" w:type="dxa"/>
            <w:tcBorders>
              <w:tl2br w:val="nil"/>
              <w:tr2bl w:val="nil"/>
            </w:tcBorders>
            <w:noWrap/>
            <w:vAlign w:val="center"/>
          </w:tcPr>
          <w:p w14:paraId="65E6F279">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35.5</w:t>
            </w:r>
          </w:p>
        </w:tc>
        <w:tc>
          <w:tcPr>
            <w:tcW w:w="614" w:type="dxa"/>
            <w:gridSpan w:val="2"/>
            <w:tcBorders>
              <w:tl2br w:val="nil"/>
              <w:tr2bl w:val="nil"/>
            </w:tcBorders>
            <w:noWrap/>
            <w:vAlign w:val="center"/>
          </w:tcPr>
          <w:p w14:paraId="08FD3919">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1.2</w:t>
            </w:r>
          </w:p>
        </w:tc>
        <w:tc>
          <w:tcPr>
            <w:tcW w:w="668" w:type="dxa"/>
            <w:gridSpan w:val="2"/>
            <w:tcBorders>
              <w:tl2br w:val="nil"/>
              <w:tr2bl w:val="nil"/>
            </w:tcBorders>
            <w:noWrap/>
            <w:vAlign w:val="center"/>
          </w:tcPr>
          <w:p w14:paraId="7425AA53">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668" w:type="dxa"/>
            <w:tcBorders>
              <w:tl2br w:val="nil"/>
              <w:tr2bl w:val="nil"/>
            </w:tcBorders>
            <w:vAlign w:val="center"/>
          </w:tcPr>
          <w:p w14:paraId="53AA4E3A">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36000</w:t>
            </w:r>
          </w:p>
        </w:tc>
        <w:tc>
          <w:tcPr>
            <w:tcW w:w="464" w:type="dxa"/>
            <w:tcBorders>
              <w:tl2br w:val="nil"/>
              <w:tr2bl w:val="nil"/>
            </w:tcBorders>
            <w:noWrap/>
            <w:vAlign w:val="center"/>
          </w:tcPr>
          <w:p w14:paraId="7790DF9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277B7F5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3E43118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5" w:type="dxa"/>
            <w:tcBorders>
              <w:tl2br w:val="nil"/>
              <w:tr2bl w:val="nil"/>
            </w:tcBorders>
            <w:noWrap/>
            <w:vAlign w:val="center"/>
          </w:tcPr>
          <w:p w14:paraId="2E4A2C1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68F98BE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5072D1E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0.097</w:t>
            </w:r>
          </w:p>
        </w:tc>
        <w:tc>
          <w:tcPr>
            <w:tcW w:w="464" w:type="dxa"/>
            <w:tcBorders>
              <w:tl2br w:val="nil"/>
              <w:tr2bl w:val="nil"/>
            </w:tcBorders>
            <w:noWrap/>
            <w:vAlign w:val="center"/>
          </w:tcPr>
          <w:p w14:paraId="1C8068DB">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50C10A7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2F0C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0B2BB12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227" w:type="dxa"/>
            <w:tcBorders>
              <w:tl2br w:val="nil"/>
              <w:tr2bl w:val="nil"/>
            </w:tcBorders>
            <w:noWrap/>
            <w:vAlign w:val="center"/>
          </w:tcPr>
          <w:p w14:paraId="566FB187">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切片包装废气</w:t>
            </w:r>
          </w:p>
        </w:tc>
        <w:tc>
          <w:tcPr>
            <w:tcW w:w="764" w:type="dxa"/>
            <w:tcBorders>
              <w:tl2br w:val="nil"/>
              <w:tr2bl w:val="nil"/>
            </w:tcBorders>
            <w:noWrap/>
            <w:vAlign w:val="center"/>
          </w:tcPr>
          <w:p w14:paraId="7CDBD31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35.5</w:t>
            </w:r>
          </w:p>
        </w:tc>
        <w:tc>
          <w:tcPr>
            <w:tcW w:w="614" w:type="dxa"/>
            <w:gridSpan w:val="2"/>
            <w:tcBorders>
              <w:tl2br w:val="nil"/>
              <w:tr2bl w:val="nil"/>
            </w:tcBorders>
            <w:noWrap/>
            <w:vAlign w:val="center"/>
          </w:tcPr>
          <w:p w14:paraId="05B8F51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1.2</w:t>
            </w:r>
          </w:p>
        </w:tc>
        <w:tc>
          <w:tcPr>
            <w:tcW w:w="668" w:type="dxa"/>
            <w:gridSpan w:val="2"/>
            <w:tcBorders>
              <w:tl2br w:val="nil"/>
              <w:tr2bl w:val="nil"/>
            </w:tcBorders>
            <w:noWrap/>
            <w:vAlign w:val="center"/>
          </w:tcPr>
          <w:p w14:paraId="55813968">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668" w:type="dxa"/>
            <w:tcBorders>
              <w:tl2br w:val="nil"/>
              <w:tr2bl w:val="nil"/>
            </w:tcBorders>
            <w:vAlign w:val="center"/>
          </w:tcPr>
          <w:p w14:paraId="1A2A540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36000</w:t>
            </w:r>
          </w:p>
        </w:tc>
        <w:tc>
          <w:tcPr>
            <w:tcW w:w="464" w:type="dxa"/>
            <w:tcBorders>
              <w:tl2br w:val="nil"/>
              <w:tr2bl w:val="nil"/>
            </w:tcBorders>
            <w:noWrap/>
            <w:vAlign w:val="center"/>
          </w:tcPr>
          <w:p w14:paraId="1FD0C87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3B5DE38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039C7D6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0.17</w:t>
            </w:r>
          </w:p>
        </w:tc>
        <w:tc>
          <w:tcPr>
            <w:tcW w:w="585" w:type="dxa"/>
            <w:tcBorders>
              <w:tl2br w:val="nil"/>
              <w:tr2bl w:val="nil"/>
            </w:tcBorders>
            <w:noWrap/>
            <w:vAlign w:val="center"/>
          </w:tcPr>
          <w:p w14:paraId="653BA55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0.085</w:t>
            </w:r>
          </w:p>
        </w:tc>
        <w:tc>
          <w:tcPr>
            <w:tcW w:w="464" w:type="dxa"/>
            <w:tcBorders>
              <w:tl2br w:val="nil"/>
              <w:tr2bl w:val="nil"/>
            </w:tcBorders>
            <w:noWrap/>
            <w:vAlign w:val="center"/>
          </w:tcPr>
          <w:p w14:paraId="60E20FB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664F56C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254737EE">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0BB392A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09B6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1DA3AC9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227" w:type="dxa"/>
            <w:tcBorders>
              <w:tl2br w:val="nil"/>
              <w:tr2bl w:val="nil"/>
            </w:tcBorders>
            <w:noWrap/>
            <w:vAlign w:val="center"/>
          </w:tcPr>
          <w:p w14:paraId="703F9625">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溶剂回收废气</w:t>
            </w:r>
          </w:p>
        </w:tc>
        <w:tc>
          <w:tcPr>
            <w:tcW w:w="764" w:type="dxa"/>
            <w:tcBorders>
              <w:tl2br w:val="nil"/>
              <w:tr2bl w:val="nil"/>
            </w:tcBorders>
            <w:noWrap/>
            <w:vAlign w:val="center"/>
          </w:tcPr>
          <w:p w14:paraId="7D584969">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28</w:t>
            </w:r>
          </w:p>
        </w:tc>
        <w:tc>
          <w:tcPr>
            <w:tcW w:w="614" w:type="dxa"/>
            <w:gridSpan w:val="2"/>
            <w:tcBorders>
              <w:tl2br w:val="nil"/>
              <w:tr2bl w:val="nil"/>
            </w:tcBorders>
            <w:noWrap/>
            <w:vAlign w:val="center"/>
          </w:tcPr>
          <w:p w14:paraId="24A2E8B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0.3</w:t>
            </w:r>
          </w:p>
        </w:tc>
        <w:tc>
          <w:tcPr>
            <w:tcW w:w="668" w:type="dxa"/>
            <w:gridSpan w:val="2"/>
            <w:tcBorders>
              <w:tl2br w:val="nil"/>
              <w:tr2bl w:val="nil"/>
            </w:tcBorders>
            <w:noWrap/>
            <w:vAlign w:val="center"/>
          </w:tcPr>
          <w:p w14:paraId="1745CFC7">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668" w:type="dxa"/>
            <w:tcBorders>
              <w:tl2br w:val="nil"/>
              <w:tr2bl w:val="nil"/>
            </w:tcBorders>
            <w:vAlign w:val="center"/>
          </w:tcPr>
          <w:p w14:paraId="0483D0D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8650</w:t>
            </w:r>
          </w:p>
        </w:tc>
        <w:tc>
          <w:tcPr>
            <w:tcW w:w="464" w:type="dxa"/>
            <w:tcBorders>
              <w:tl2br w:val="nil"/>
              <w:tr2bl w:val="nil"/>
            </w:tcBorders>
            <w:noWrap/>
            <w:vAlign w:val="center"/>
          </w:tcPr>
          <w:p w14:paraId="4EA92F6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60B73FD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099DBEB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5" w:type="dxa"/>
            <w:tcBorders>
              <w:tl2br w:val="nil"/>
              <w:tr2bl w:val="nil"/>
            </w:tcBorders>
            <w:noWrap/>
            <w:vAlign w:val="center"/>
          </w:tcPr>
          <w:p w14:paraId="2948F2E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416FAC9C">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6913989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0.139</w:t>
            </w:r>
          </w:p>
        </w:tc>
        <w:tc>
          <w:tcPr>
            <w:tcW w:w="464" w:type="dxa"/>
            <w:tcBorders>
              <w:tl2br w:val="nil"/>
              <w:tr2bl w:val="nil"/>
            </w:tcBorders>
            <w:noWrap/>
            <w:vAlign w:val="center"/>
          </w:tcPr>
          <w:p w14:paraId="3FFB7A9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423FA84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3038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401768E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227" w:type="dxa"/>
            <w:tcBorders>
              <w:tl2br w:val="nil"/>
              <w:tr2bl w:val="nil"/>
            </w:tcBorders>
            <w:shd w:val="clear" w:color="auto" w:fill="auto"/>
            <w:noWrap/>
            <w:vAlign w:val="center"/>
          </w:tcPr>
          <w:p w14:paraId="483FEAD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活性炭再生废气</w:t>
            </w:r>
          </w:p>
        </w:tc>
        <w:tc>
          <w:tcPr>
            <w:tcW w:w="764" w:type="dxa"/>
            <w:tcBorders>
              <w:tl2br w:val="nil"/>
              <w:tr2bl w:val="nil"/>
            </w:tcBorders>
            <w:shd w:val="clear" w:color="auto" w:fill="auto"/>
            <w:noWrap/>
            <w:vAlign w:val="center"/>
          </w:tcPr>
          <w:p w14:paraId="3BBCBAA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28</w:t>
            </w:r>
          </w:p>
        </w:tc>
        <w:tc>
          <w:tcPr>
            <w:tcW w:w="614" w:type="dxa"/>
            <w:gridSpan w:val="2"/>
            <w:tcBorders>
              <w:tl2br w:val="nil"/>
              <w:tr2bl w:val="nil"/>
            </w:tcBorders>
            <w:shd w:val="clear" w:color="auto" w:fill="auto"/>
            <w:noWrap/>
            <w:vAlign w:val="center"/>
          </w:tcPr>
          <w:p w14:paraId="40A586E8">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0.5</w:t>
            </w:r>
          </w:p>
        </w:tc>
        <w:tc>
          <w:tcPr>
            <w:tcW w:w="668" w:type="dxa"/>
            <w:gridSpan w:val="2"/>
            <w:tcBorders>
              <w:tl2br w:val="nil"/>
              <w:tr2bl w:val="nil"/>
            </w:tcBorders>
            <w:noWrap/>
            <w:vAlign w:val="center"/>
          </w:tcPr>
          <w:p w14:paraId="7E41A4DE">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105</w:t>
            </w:r>
          </w:p>
        </w:tc>
        <w:tc>
          <w:tcPr>
            <w:tcW w:w="668" w:type="dxa"/>
            <w:tcBorders>
              <w:tl2br w:val="nil"/>
              <w:tr2bl w:val="nil"/>
            </w:tcBorders>
            <w:vAlign w:val="center"/>
          </w:tcPr>
          <w:p w14:paraId="7A34FE3C">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18028</w:t>
            </w:r>
          </w:p>
        </w:tc>
        <w:tc>
          <w:tcPr>
            <w:tcW w:w="464" w:type="dxa"/>
            <w:tcBorders>
              <w:tl2br w:val="nil"/>
              <w:tr2bl w:val="nil"/>
            </w:tcBorders>
            <w:noWrap/>
            <w:vAlign w:val="center"/>
          </w:tcPr>
          <w:p w14:paraId="16988F1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0.165</w:t>
            </w:r>
          </w:p>
        </w:tc>
        <w:tc>
          <w:tcPr>
            <w:tcW w:w="464" w:type="dxa"/>
            <w:tcBorders>
              <w:tl2br w:val="nil"/>
              <w:tr2bl w:val="nil"/>
            </w:tcBorders>
            <w:noWrap/>
            <w:vAlign w:val="center"/>
          </w:tcPr>
          <w:p w14:paraId="6E9527F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0.235</w:t>
            </w:r>
          </w:p>
        </w:tc>
        <w:tc>
          <w:tcPr>
            <w:tcW w:w="464" w:type="dxa"/>
            <w:gridSpan w:val="2"/>
            <w:tcBorders>
              <w:tl2br w:val="nil"/>
              <w:tr2bl w:val="nil"/>
            </w:tcBorders>
            <w:noWrap/>
            <w:vAlign w:val="center"/>
          </w:tcPr>
          <w:p w14:paraId="0FF6BC7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0.294</w:t>
            </w:r>
          </w:p>
        </w:tc>
        <w:tc>
          <w:tcPr>
            <w:tcW w:w="585" w:type="dxa"/>
            <w:tcBorders>
              <w:tl2br w:val="nil"/>
              <w:tr2bl w:val="nil"/>
            </w:tcBorders>
            <w:noWrap/>
            <w:vAlign w:val="center"/>
          </w:tcPr>
          <w:p w14:paraId="43F8B61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0.147</w:t>
            </w:r>
          </w:p>
        </w:tc>
        <w:tc>
          <w:tcPr>
            <w:tcW w:w="464" w:type="dxa"/>
            <w:tcBorders>
              <w:tl2br w:val="nil"/>
              <w:tr2bl w:val="nil"/>
            </w:tcBorders>
            <w:noWrap/>
            <w:vAlign w:val="center"/>
          </w:tcPr>
          <w:p w14:paraId="64A119A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3EC53E7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13F2A44C">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76689C3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3B19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720BF58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227" w:type="dxa"/>
            <w:tcBorders>
              <w:tl2br w:val="nil"/>
              <w:tr2bl w:val="nil"/>
            </w:tcBorders>
            <w:shd w:val="clear" w:color="auto" w:fill="auto"/>
            <w:noWrap/>
            <w:vAlign w:val="center"/>
          </w:tcPr>
          <w:p w14:paraId="1A18CE11">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烷烃罐区废气</w:t>
            </w:r>
          </w:p>
        </w:tc>
        <w:tc>
          <w:tcPr>
            <w:tcW w:w="764" w:type="dxa"/>
            <w:tcBorders>
              <w:tl2br w:val="nil"/>
              <w:tr2bl w:val="nil"/>
            </w:tcBorders>
            <w:shd w:val="clear" w:color="auto" w:fill="auto"/>
            <w:noWrap/>
            <w:vAlign w:val="center"/>
          </w:tcPr>
          <w:p w14:paraId="4A1A76C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15</w:t>
            </w:r>
          </w:p>
        </w:tc>
        <w:tc>
          <w:tcPr>
            <w:tcW w:w="614" w:type="dxa"/>
            <w:gridSpan w:val="2"/>
            <w:tcBorders>
              <w:tl2br w:val="nil"/>
              <w:tr2bl w:val="nil"/>
            </w:tcBorders>
            <w:shd w:val="clear" w:color="auto" w:fill="auto"/>
            <w:noWrap/>
            <w:vAlign w:val="center"/>
          </w:tcPr>
          <w:p w14:paraId="5A1BF4EB">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0.5</w:t>
            </w:r>
          </w:p>
        </w:tc>
        <w:tc>
          <w:tcPr>
            <w:tcW w:w="668" w:type="dxa"/>
            <w:gridSpan w:val="2"/>
            <w:tcBorders>
              <w:tl2br w:val="nil"/>
              <w:tr2bl w:val="nil"/>
            </w:tcBorders>
            <w:noWrap/>
            <w:vAlign w:val="center"/>
          </w:tcPr>
          <w:p w14:paraId="1801CAA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25</w:t>
            </w:r>
          </w:p>
        </w:tc>
        <w:tc>
          <w:tcPr>
            <w:tcW w:w="668" w:type="dxa"/>
            <w:tcBorders>
              <w:tl2br w:val="nil"/>
              <w:tr2bl w:val="nil"/>
            </w:tcBorders>
            <w:vAlign w:val="center"/>
          </w:tcPr>
          <w:p w14:paraId="6527368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5000</w:t>
            </w:r>
          </w:p>
        </w:tc>
        <w:tc>
          <w:tcPr>
            <w:tcW w:w="464" w:type="dxa"/>
            <w:tcBorders>
              <w:tl2br w:val="nil"/>
              <w:tr2bl w:val="nil"/>
            </w:tcBorders>
            <w:noWrap/>
            <w:vAlign w:val="center"/>
          </w:tcPr>
          <w:p w14:paraId="6ACE333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79C55FA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122BBE9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5" w:type="dxa"/>
            <w:tcBorders>
              <w:tl2br w:val="nil"/>
              <w:tr2bl w:val="nil"/>
            </w:tcBorders>
            <w:noWrap/>
            <w:vAlign w:val="center"/>
          </w:tcPr>
          <w:p w14:paraId="7549352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743109A9">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7151BBA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0.237</w:t>
            </w:r>
          </w:p>
        </w:tc>
        <w:tc>
          <w:tcPr>
            <w:tcW w:w="464" w:type="dxa"/>
            <w:tcBorders>
              <w:tl2br w:val="nil"/>
              <w:tr2bl w:val="nil"/>
            </w:tcBorders>
            <w:noWrap/>
            <w:vAlign w:val="center"/>
          </w:tcPr>
          <w:p w14:paraId="6AC34DF6">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3D51FFB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2C58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restart"/>
            <w:tcBorders>
              <w:tl2br w:val="nil"/>
              <w:tr2bl w:val="nil"/>
            </w:tcBorders>
            <w:noWrap/>
            <w:vAlign w:val="center"/>
          </w:tcPr>
          <w:p w14:paraId="62E7920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材料公司年产20000吨LCDN项目</w:t>
            </w:r>
          </w:p>
        </w:tc>
        <w:tc>
          <w:tcPr>
            <w:tcW w:w="1227" w:type="dxa"/>
            <w:tcBorders>
              <w:tl2br w:val="nil"/>
              <w:tr2bl w:val="nil"/>
            </w:tcBorders>
            <w:shd w:val="clear" w:color="auto" w:fill="auto"/>
            <w:noWrap/>
            <w:vAlign w:val="center"/>
          </w:tcPr>
          <w:p w14:paraId="3518B389">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导热油炉废气排气筒</w:t>
            </w:r>
          </w:p>
        </w:tc>
        <w:tc>
          <w:tcPr>
            <w:tcW w:w="764" w:type="dxa"/>
            <w:tcBorders>
              <w:tl2br w:val="nil"/>
              <w:tr2bl w:val="nil"/>
            </w:tcBorders>
            <w:shd w:val="clear" w:color="auto" w:fill="auto"/>
            <w:noWrap/>
            <w:vAlign w:val="center"/>
          </w:tcPr>
          <w:p w14:paraId="46D2DDB5">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w:t>
            </w:r>
            <w:r>
              <w:rPr>
                <w:rFonts w:hint="eastAsia" w:ascii="Times New Roman" w:hAnsi="Times New Roman" w:cs="Times New Roman"/>
                <w:b w:val="0"/>
                <w:bCs/>
                <w:color w:val="auto"/>
                <w:sz w:val="21"/>
                <w:szCs w:val="21"/>
                <w:highlight w:val="none"/>
                <w:lang w:val="en-US" w:eastAsia="zh-CN"/>
              </w:rPr>
              <w:t>7</w:t>
            </w:r>
          </w:p>
        </w:tc>
        <w:tc>
          <w:tcPr>
            <w:tcW w:w="614" w:type="dxa"/>
            <w:gridSpan w:val="2"/>
            <w:tcBorders>
              <w:tl2br w:val="nil"/>
              <w:tr2bl w:val="nil"/>
            </w:tcBorders>
            <w:shd w:val="clear" w:color="auto" w:fill="auto"/>
            <w:noWrap/>
            <w:vAlign w:val="center"/>
          </w:tcPr>
          <w:p w14:paraId="15E52B04">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0.5</w:t>
            </w:r>
          </w:p>
        </w:tc>
        <w:tc>
          <w:tcPr>
            <w:tcW w:w="668" w:type="dxa"/>
            <w:gridSpan w:val="2"/>
            <w:tcBorders>
              <w:tl2br w:val="nil"/>
              <w:tr2bl w:val="nil"/>
            </w:tcBorders>
            <w:noWrap/>
            <w:vAlign w:val="center"/>
          </w:tcPr>
          <w:p w14:paraId="4673821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100</w:t>
            </w:r>
          </w:p>
        </w:tc>
        <w:tc>
          <w:tcPr>
            <w:tcW w:w="668" w:type="dxa"/>
            <w:tcBorders>
              <w:tl2br w:val="nil"/>
              <w:tr2bl w:val="nil"/>
            </w:tcBorders>
            <w:vAlign w:val="center"/>
          </w:tcPr>
          <w:p w14:paraId="7413B6A8">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9764</w:t>
            </w:r>
          </w:p>
        </w:tc>
        <w:tc>
          <w:tcPr>
            <w:tcW w:w="464" w:type="dxa"/>
            <w:tcBorders>
              <w:tl2br w:val="nil"/>
              <w:tr2bl w:val="nil"/>
            </w:tcBorders>
            <w:noWrap/>
            <w:vAlign w:val="center"/>
          </w:tcPr>
          <w:p w14:paraId="0D86769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028</w:t>
            </w:r>
          </w:p>
        </w:tc>
        <w:tc>
          <w:tcPr>
            <w:tcW w:w="464" w:type="dxa"/>
            <w:tcBorders>
              <w:tl2br w:val="nil"/>
              <w:tr2bl w:val="nil"/>
            </w:tcBorders>
            <w:noWrap/>
            <w:vAlign w:val="center"/>
          </w:tcPr>
          <w:p w14:paraId="05D84EF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0.488</w:t>
            </w:r>
          </w:p>
        </w:tc>
        <w:tc>
          <w:tcPr>
            <w:tcW w:w="464" w:type="dxa"/>
            <w:gridSpan w:val="2"/>
            <w:tcBorders>
              <w:tl2br w:val="nil"/>
              <w:tr2bl w:val="nil"/>
            </w:tcBorders>
            <w:noWrap/>
            <w:vAlign w:val="center"/>
          </w:tcPr>
          <w:p w14:paraId="7769ECD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0.049</w:t>
            </w:r>
          </w:p>
        </w:tc>
        <w:tc>
          <w:tcPr>
            <w:tcW w:w="585" w:type="dxa"/>
            <w:tcBorders>
              <w:tl2br w:val="nil"/>
              <w:tr2bl w:val="nil"/>
            </w:tcBorders>
            <w:noWrap/>
            <w:vAlign w:val="center"/>
          </w:tcPr>
          <w:p w14:paraId="4E826CF1">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0.025</w:t>
            </w:r>
          </w:p>
        </w:tc>
        <w:tc>
          <w:tcPr>
            <w:tcW w:w="464" w:type="dxa"/>
            <w:tcBorders>
              <w:tl2br w:val="nil"/>
              <w:tr2bl w:val="nil"/>
            </w:tcBorders>
            <w:noWrap/>
            <w:vAlign w:val="center"/>
          </w:tcPr>
          <w:p w14:paraId="202FEB16">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74AF7FF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w:t>
            </w:r>
            <w:r>
              <w:rPr>
                <w:rFonts w:hint="eastAsia" w:ascii="Times New Roman" w:hAnsi="Times New Roman" w:cs="Times New Roman"/>
                <w:b w:val="0"/>
                <w:bCs/>
                <w:color w:val="auto"/>
                <w:sz w:val="21"/>
                <w:szCs w:val="21"/>
                <w:highlight w:val="none"/>
                <w:lang w:val="en-US" w:eastAsia="zh-CN"/>
              </w:rPr>
              <w:t>2</w:t>
            </w:r>
          </w:p>
        </w:tc>
        <w:tc>
          <w:tcPr>
            <w:tcW w:w="464" w:type="dxa"/>
            <w:tcBorders>
              <w:tl2br w:val="nil"/>
              <w:tr2bl w:val="nil"/>
            </w:tcBorders>
            <w:noWrap/>
            <w:vAlign w:val="center"/>
          </w:tcPr>
          <w:p w14:paraId="7205C8A3">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26280115">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057F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767871E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p>
        </w:tc>
        <w:tc>
          <w:tcPr>
            <w:tcW w:w="1227" w:type="dxa"/>
            <w:tcBorders>
              <w:tl2br w:val="nil"/>
              <w:tr2bl w:val="nil"/>
            </w:tcBorders>
            <w:shd w:val="clear" w:color="auto" w:fill="auto"/>
            <w:noWrap/>
            <w:vAlign w:val="center"/>
          </w:tcPr>
          <w:p w14:paraId="17660423">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1#尾气处理装置排气筒</w:t>
            </w:r>
          </w:p>
        </w:tc>
        <w:tc>
          <w:tcPr>
            <w:tcW w:w="764" w:type="dxa"/>
            <w:tcBorders>
              <w:tl2br w:val="nil"/>
              <w:tr2bl w:val="nil"/>
            </w:tcBorders>
            <w:shd w:val="clear" w:color="auto" w:fill="auto"/>
            <w:noWrap/>
            <w:vAlign w:val="center"/>
          </w:tcPr>
          <w:p w14:paraId="569B8CB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27</w:t>
            </w:r>
          </w:p>
        </w:tc>
        <w:tc>
          <w:tcPr>
            <w:tcW w:w="614" w:type="dxa"/>
            <w:gridSpan w:val="2"/>
            <w:tcBorders>
              <w:tl2br w:val="nil"/>
              <w:tr2bl w:val="nil"/>
            </w:tcBorders>
            <w:shd w:val="clear" w:color="auto" w:fill="auto"/>
            <w:noWrap/>
            <w:vAlign w:val="center"/>
          </w:tcPr>
          <w:p w14:paraId="20F19C02">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0.35</w:t>
            </w:r>
          </w:p>
        </w:tc>
        <w:tc>
          <w:tcPr>
            <w:tcW w:w="668" w:type="dxa"/>
            <w:gridSpan w:val="2"/>
            <w:tcBorders>
              <w:tl2br w:val="nil"/>
              <w:tr2bl w:val="nil"/>
            </w:tcBorders>
            <w:noWrap/>
            <w:vAlign w:val="center"/>
          </w:tcPr>
          <w:p w14:paraId="124DD20D">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color w:val="auto"/>
                <w:sz w:val="21"/>
                <w:szCs w:val="21"/>
                <w:highlight w:val="none"/>
              </w:rPr>
              <w:t>25</w:t>
            </w:r>
          </w:p>
        </w:tc>
        <w:tc>
          <w:tcPr>
            <w:tcW w:w="668" w:type="dxa"/>
            <w:tcBorders>
              <w:tl2br w:val="nil"/>
              <w:tr2bl w:val="nil"/>
            </w:tcBorders>
            <w:vAlign w:val="center"/>
          </w:tcPr>
          <w:p w14:paraId="69135EF3">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5000</w:t>
            </w:r>
          </w:p>
        </w:tc>
        <w:tc>
          <w:tcPr>
            <w:tcW w:w="464" w:type="dxa"/>
            <w:tcBorders>
              <w:tl2br w:val="nil"/>
              <w:tr2bl w:val="nil"/>
            </w:tcBorders>
            <w:noWrap/>
            <w:vAlign w:val="center"/>
          </w:tcPr>
          <w:p w14:paraId="658530A1">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0BF5CDBE">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7C6668C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w:t>
            </w:r>
            <w:r>
              <w:rPr>
                <w:rFonts w:hint="eastAsia" w:ascii="Times New Roman" w:hAnsi="Times New Roman" w:cs="Times New Roman"/>
                <w:b w:val="0"/>
                <w:bCs/>
                <w:color w:val="auto"/>
                <w:sz w:val="21"/>
                <w:szCs w:val="21"/>
                <w:highlight w:val="none"/>
                <w:lang w:val="en-US" w:eastAsia="zh-CN"/>
              </w:rPr>
              <w:t>7</w:t>
            </w:r>
          </w:p>
        </w:tc>
        <w:tc>
          <w:tcPr>
            <w:tcW w:w="585" w:type="dxa"/>
            <w:tcBorders>
              <w:tl2br w:val="nil"/>
              <w:tr2bl w:val="nil"/>
            </w:tcBorders>
            <w:noWrap/>
            <w:vAlign w:val="center"/>
          </w:tcPr>
          <w:p w14:paraId="7DF3998A">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w:t>
            </w:r>
            <w:r>
              <w:rPr>
                <w:rFonts w:hint="eastAsia" w:ascii="Times New Roman" w:hAnsi="Times New Roman" w:cs="Times New Roman"/>
                <w:b w:val="0"/>
                <w:bCs/>
                <w:color w:val="auto"/>
                <w:sz w:val="21"/>
                <w:szCs w:val="21"/>
                <w:highlight w:val="none"/>
                <w:lang w:val="en-US" w:eastAsia="zh-CN"/>
              </w:rPr>
              <w:t>35</w:t>
            </w:r>
          </w:p>
        </w:tc>
        <w:tc>
          <w:tcPr>
            <w:tcW w:w="464" w:type="dxa"/>
            <w:tcBorders>
              <w:tl2br w:val="nil"/>
              <w:tr2bl w:val="nil"/>
            </w:tcBorders>
            <w:noWrap/>
            <w:vAlign w:val="center"/>
          </w:tcPr>
          <w:p w14:paraId="57CDAE1F">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5B0239F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c>
          <w:tcPr>
            <w:tcW w:w="464" w:type="dxa"/>
            <w:tcBorders>
              <w:tl2br w:val="nil"/>
              <w:tr2bl w:val="nil"/>
            </w:tcBorders>
            <w:noWrap/>
            <w:vAlign w:val="center"/>
          </w:tcPr>
          <w:p w14:paraId="089CE107">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17936A89">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2C31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0113B8B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p>
        </w:tc>
        <w:tc>
          <w:tcPr>
            <w:tcW w:w="1227" w:type="dxa"/>
            <w:tcBorders>
              <w:tl2br w:val="nil"/>
              <w:tr2bl w:val="nil"/>
            </w:tcBorders>
            <w:shd w:val="clear" w:color="auto" w:fill="auto"/>
            <w:noWrap/>
            <w:vAlign w:val="center"/>
          </w:tcPr>
          <w:p w14:paraId="5EC102B3">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default" w:ascii="Times New Roman" w:hAnsi="Times New Roman"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#尾气处理装置排气筒</w:t>
            </w:r>
          </w:p>
        </w:tc>
        <w:tc>
          <w:tcPr>
            <w:tcW w:w="764" w:type="dxa"/>
            <w:tcBorders>
              <w:tl2br w:val="nil"/>
              <w:tr2bl w:val="nil"/>
            </w:tcBorders>
            <w:shd w:val="clear" w:color="auto" w:fill="auto"/>
            <w:noWrap/>
            <w:vAlign w:val="center"/>
          </w:tcPr>
          <w:p w14:paraId="63FD3FB2">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27</w:t>
            </w:r>
          </w:p>
        </w:tc>
        <w:tc>
          <w:tcPr>
            <w:tcW w:w="614" w:type="dxa"/>
            <w:gridSpan w:val="2"/>
            <w:tcBorders>
              <w:tl2br w:val="nil"/>
              <w:tr2bl w:val="nil"/>
            </w:tcBorders>
            <w:shd w:val="clear" w:color="auto" w:fill="auto"/>
            <w:noWrap/>
            <w:vAlign w:val="center"/>
          </w:tcPr>
          <w:p w14:paraId="79D6900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0.35</w:t>
            </w:r>
          </w:p>
        </w:tc>
        <w:tc>
          <w:tcPr>
            <w:tcW w:w="668" w:type="dxa"/>
            <w:gridSpan w:val="2"/>
            <w:tcBorders>
              <w:tl2br w:val="nil"/>
              <w:tr2bl w:val="nil"/>
            </w:tcBorders>
            <w:noWrap/>
            <w:vAlign w:val="center"/>
          </w:tcPr>
          <w:p w14:paraId="1D0D45F6">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color w:val="auto"/>
                <w:sz w:val="21"/>
                <w:szCs w:val="21"/>
                <w:highlight w:val="none"/>
              </w:rPr>
              <w:t>25</w:t>
            </w:r>
          </w:p>
        </w:tc>
        <w:tc>
          <w:tcPr>
            <w:tcW w:w="668" w:type="dxa"/>
            <w:tcBorders>
              <w:tl2br w:val="nil"/>
              <w:tr2bl w:val="nil"/>
            </w:tcBorders>
            <w:vAlign w:val="center"/>
          </w:tcPr>
          <w:p w14:paraId="48794599">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5000</w:t>
            </w:r>
          </w:p>
        </w:tc>
        <w:tc>
          <w:tcPr>
            <w:tcW w:w="464" w:type="dxa"/>
            <w:tcBorders>
              <w:tl2br w:val="nil"/>
              <w:tr2bl w:val="nil"/>
            </w:tcBorders>
            <w:noWrap/>
            <w:vAlign w:val="center"/>
          </w:tcPr>
          <w:p w14:paraId="563C1369">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6E4C803D">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06AC2A47">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5" w:type="dxa"/>
            <w:tcBorders>
              <w:tl2br w:val="nil"/>
              <w:tr2bl w:val="nil"/>
            </w:tcBorders>
            <w:noWrap/>
            <w:vAlign w:val="center"/>
          </w:tcPr>
          <w:p w14:paraId="4A1B0983">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4C98B9A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63451A7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038</w:t>
            </w:r>
          </w:p>
        </w:tc>
        <w:tc>
          <w:tcPr>
            <w:tcW w:w="464" w:type="dxa"/>
            <w:tcBorders>
              <w:tl2br w:val="nil"/>
              <w:tr2bl w:val="nil"/>
            </w:tcBorders>
            <w:noWrap/>
            <w:vAlign w:val="center"/>
          </w:tcPr>
          <w:p w14:paraId="6147F7B0">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45E485E2">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0.004</w:t>
            </w:r>
          </w:p>
        </w:tc>
      </w:tr>
      <w:tr w14:paraId="7044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398B26F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p>
        </w:tc>
        <w:tc>
          <w:tcPr>
            <w:tcW w:w="1227" w:type="dxa"/>
            <w:tcBorders>
              <w:tl2br w:val="nil"/>
              <w:tr2bl w:val="nil"/>
            </w:tcBorders>
            <w:shd w:val="clear" w:color="auto" w:fill="auto"/>
            <w:noWrap/>
            <w:vAlign w:val="center"/>
          </w:tcPr>
          <w:p w14:paraId="53FDCC3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default" w:ascii="Times New Roman" w:hAnsi="Times New Roman" w:cs="Times New Roman"/>
                <w:b w:val="0"/>
                <w:bCs/>
                <w:color w:val="auto"/>
                <w:sz w:val="21"/>
                <w:szCs w:val="21"/>
                <w:highlight w:val="none"/>
                <w:lang w:val="en-US" w:eastAsia="zh-CN"/>
              </w:rPr>
              <w:t>3</w:t>
            </w:r>
            <w:r>
              <w:rPr>
                <w:rFonts w:hint="default" w:ascii="Times New Roman" w:hAnsi="Times New Roman" w:eastAsia="宋体" w:cs="Times New Roman"/>
                <w:b w:val="0"/>
                <w:bCs/>
                <w:color w:val="auto"/>
                <w:sz w:val="21"/>
                <w:szCs w:val="21"/>
                <w:highlight w:val="none"/>
                <w:lang w:val="en-US" w:eastAsia="zh-CN"/>
              </w:rPr>
              <w:t>#尾气处理装置排气筒</w:t>
            </w:r>
          </w:p>
        </w:tc>
        <w:tc>
          <w:tcPr>
            <w:tcW w:w="764" w:type="dxa"/>
            <w:tcBorders>
              <w:tl2br w:val="nil"/>
              <w:tr2bl w:val="nil"/>
            </w:tcBorders>
            <w:shd w:val="clear" w:color="auto" w:fill="auto"/>
            <w:noWrap/>
            <w:vAlign w:val="center"/>
          </w:tcPr>
          <w:p w14:paraId="3ADE887B">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27</w:t>
            </w:r>
          </w:p>
        </w:tc>
        <w:tc>
          <w:tcPr>
            <w:tcW w:w="614" w:type="dxa"/>
            <w:gridSpan w:val="2"/>
            <w:tcBorders>
              <w:tl2br w:val="nil"/>
              <w:tr2bl w:val="nil"/>
            </w:tcBorders>
            <w:shd w:val="clear" w:color="auto" w:fill="auto"/>
            <w:noWrap/>
            <w:vAlign w:val="center"/>
          </w:tcPr>
          <w:p w14:paraId="5656C40D">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0.35</w:t>
            </w:r>
          </w:p>
        </w:tc>
        <w:tc>
          <w:tcPr>
            <w:tcW w:w="668" w:type="dxa"/>
            <w:gridSpan w:val="2"/>
            <w:tcBorders>
              <w:tl2br w:val="nil"/>
              <w:tr2bl w:val="nil"/>
            </w:tcBorders>
            <w:noWrap/>
            <w:vAlign w:val="center"/>
          </w:tcPr>
          <w:p w14:paraId="5382655F">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color w:val="auto"/>
                <w:sz w:val="21"/>
                <w:szCs w:val="21"/>
                <w:highlight w:val="none"/>
              </w:rPr>
              <w:t>25</w:t>
            </w:r>
          </w:p>
        </w:tc>
        <w:tc>
          <w:tcPr>
            <w:tcW w:w="668" w:type="dxa"/>
            <w:tcBorders>
              <w:tl2br w:val="nil"/>
              <w:tr2bl w:val="nil"/>
            </w:tcBorders>
            <w:vAlign w:val="center"/>
          </w:tcPr>
          <w:p w14:paraId="024CDDC4">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5000</w:t>
            </w:r>
          </w:p>
        </w:tc>
        <w:tc>
          <w:tcPr>
            <w:tcW w:w="464" w:type="dxa"/>
            <w:tcBorders>
              <w:tl2br w:val="nil"/>
              <w:tr2bl w:val="nil"/>
            </w:tcBorders>
            <w:noWrap/>
            <w:vAlign w:val="center"/>
          </w:tcPr>
          <w:p w14:paraId="02200567">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566B9610">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4356C6AD">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0.06</w:t>
            </w:r>
          </w:p>
        </w:tc>
        <w:tc>
          <w:tcPr>
            <w:tcW w:w="585" w:type="dxa"/>
            <w:tcBorders>
              <w:tl2br w:val="nil"/>
              <w:tr2bl w:val="nil"/>
            </w:tcBorders>
            <w:noWrap/>
            <w:vAlign w:val="center"/>
          </w:tcPr>
          <w:p w14:paraId="06B58EBF">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0.03</w:t>
            </w:r>
          </w:p>
        </w:tc>
        <w:tc>
          <w:tcPr>
            <w:tcW w:w="464" w:type="dxa"/>
            <w:tcBorders>
              <w:tl2br w:val="nil"/>
              <w:tr2bl w:val="nil"/>
            </w:tcBorders>
            <w:noWrap/>
            <w:vAlign w:val="center"/>
          </w:tcPr>
          <w:p w14:paraId="6F8DEED8">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7487DCEC">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0.231</w:t>
            </w:r>
          </w:p>
        </w:tc>
        <w:tc>
          <w:tcPr>
            <w:tcW w:w="464" w:type="dxa"/>
            <w:tcBorders>
              <w:tl2br w:val="nil"/>
              <w:tr2bl w:val="nil"/>
            </w:tcBorders>
            <w:noWrap/>
            <w:vAlign w:val="center"/>
          </w:tcPr>
          <w:p w14:paraId="0A5AF761">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6383EEA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r>
      <w:tr w14:paraId="5CEA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tcBorders>
              <w:tl2br w:val="nil"/>
              <w:tr2bl w:val="nil"/>
            </w:tcBorders>
            <w:noWrap/>
            <w:vAlign w:val="center"/>
          </w:tcPr>
          <w:p w14:paraId="61E6CCA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乌苏市西区污水处理厂二期工程</w:t>
            </w:r>
          </w:p>
        </w:tc>
        <w:tc>
          <w:tcPr>
            <w:tcW w:w="1227" w:type="dxa"/>
            <w:tcBorders>
              <w:tl2br w:val="nil"/>
              <w:tr2bl w:val="nil"/>
            </w:tcBorders>
            <w:shd w:val="clear" w:color="auto" w:fill="auto"/>
            <w:noWrap/>
            <w:vAlign w:val="center"/>
          </w:tcPr>
          <w:p w14:paraId="6BDEEA8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恶臭P1排气筒</w:t>
            </w:r>
          </w:p>
        </w:tc>
        <w:tc>
          <w:tcPr>
            <w:tcW w:w="764" w:type="dxa"/>
            <w:tcBorders>
              <w:tl2br w:val="nil"/>
              <w:tr2bl w:val="nil"/>
            </w:tcBorders>
            <w:shd w:val="clear" w:color="auto" w:fill="auto"/>
            <w:noWrap/>
            <w:vAlign w:val="center"/>
          </w:tcPr>
          <w:p w14:paraId="13B03BD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30</w:t>
            </w:r>
          </w:p>
        </w:tc>
        <w:tc>
          <w:tcPr>
            <w:tcW w:w="614" w:type="dxa"/>
            <w:gridSpan w:val="2"/>
            <w:tcBorders>
              <w:tl2br w:val="nil"/>
              <w:tr2bl w:val="nil"/>
            </w:tcBorders>
            <w:shd w:val="clear" w:color="auto" w:fill="auto"/>
            <w:noWrap/>
            <w:vAlign w:val="center"/>
          </w:tcPr>
          <w:p w14:paraId="4A90EBB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0.5</w:t>
            </w:r>
          </w:p>
        </w:tc>
        <w:tc>
          <w:tcPr>
            <w:tcW w:w="668" w:type="dxa"/>
            <w:gridSpan w:val="2"/>
            <w:tcBorders>
              <w:tl2br w:val="nil"/>
              <w:tr2bl w:val="nil"/>
            </w:tcBorders>
            <w:noWrap/>
            <w:vAlign w:val="center"/>
          </w:tcPr>
          <w:p w14:paraId="350282C5">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25</w:t>
            </w:r>
          </w:p>
        </w:tc>
        <w:tc>
          <w:tcPr>
            <w:tcW w:w="668" w:type="dxa"/>
            <w:tcBorders>
              <w:tl2br w:val="nil"/>
              <w:tr2bl w:val="nil"/>
            </w:tcBorders>
            <w:vAlign w:val="center"/>
          </w:tcPr>
          <w:p w14:paraId="6E0B011C">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80000</w:t>
            </w:r>
          </w:p>
        </w:tc>
        <w:tc>
          <w:tcPr>
            <w:tcW w:w="464" w:type="dxa"/>
            <w:tcBorders>
              <w:tl2br w:val="nil"/>
              <w:tr2bl w:val="nil"/>
            </w:tcBorders>
            <w:noWrap/>
            <w:vAlign w:val="center"/>
          </w:tcPr>
          <w:p w14:paraId="759B05F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2C2E77D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gridSpan w:val="2"/>
            <w:tcBorders>
              <w:tl2br w:val="nil"/>
              <w:tr2bl w:val="nil"/>
            </w:tcBorders>
            <w:noWrap/>
            <w:vAlign w:val="center"/>
          </w:tcPr>
          <w:p w14:paraId="3C07B84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5" w:type="dxa"/>
            <w:tcBorders>
              <w:tl2br w:val="nil"/>
              <w:tr2bl w:val="nil"/>
            </w:tcBorders>
            <w:noWrap/>
            <w:vAlign w:val="center"/>
          </w:tcPr>
          <w:p w14:paraId="7938D6F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66493B39">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36" w:type="dxa"/>
            <w:gridSpan w:val="2"/>
            <w:tcBorders>
              <w:tl2br w:val="nil"/>
              <w:tr2bl w:val="nil"/>
            </w:tcBorders>
            <w:noWrap/>
            <w:vAlign w:val="center"/>
          </w:tcPr>
          <w:p w14:paraId="01048CB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64" w:type="dxa"/>
            <w:tcBorders>
              <w:tl2br w:val="nil"/>
              <w:tr2bl w:val="nil"/>
            </w:tcBorders>
            <w:noWrap/>
            <w:vAlign w:val="center"/>
          </w:tcPr>
          <w:p w14:paraId="3779A92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0.001</w:t>
            </w:r>
          </w:p>
        </w:tc>
        <w:tc>
          <w:tcPr>
            <w:tcW w:w="377" w:type="dxa"/>
            <w:tcBorders>
              <w:tl2br w:val="nil"/>
              <w:tr2bl w:val="nil"/>
            </w:tcBorders>
            <w:noWrap/>
            <w:vAlign w:val="center"/>
          </w:tcPr>
          <w:p w14:paraId="7F9C081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0.03</w:t>
            </w:r>
          </w:p>
        </w:tc>
      </w:tr>
      <w:tr w14:paraId="6285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798" w:type="dxa"/>
            <w:gridSpan w:val="2"/>
            <w:vMerge w:val="restart"/>
            <w:tcBorders>
              <w:tl2br w:val="nil"/>
              <w:tr2bl w:val="nil"/>
            </w:tcBorders>
            <w:noWrap/>
            <w:vAlign w:val="center"/>
          </w:tcPr>
          <w:p w14:paraId="69D11FA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w:t>
            </w:r>
            <w:r>
              <w:rPr>
                <w:rFonts w:hint="default" w:ascii="Times New Roman" w:hAnsi="Times New Roman" w:eastAsia="宋体" w:cs="Times New Roman"/>
                <w:bCs w:val="0"/>
                <w:snapToGrid w:val="0"/>
                <w:color w:val="auto"/>
                <w:kern w:val="0"/>
                <w:sz w:val="21"/>
                <w:szCs w:val="21"/>
                <w:highlight w:val="none"/>
                <w:lang w:val="en-US" w:eastAsia="zh-CN"/>
              </w:rPr>
              <w:t>源名称</w:t>
            </w:r>
          </w:p>
        </w:tc>
        <w:tc>
          <w:tcPr>
            <w:tcW w:w="904" w:type="dxa"/>
            <w:gridSpan w:val="2"/>
            <w:vMerge w:val="restart"/>
            <w:tcBorders>
              <w:tl2br w:val="nil"/>
              <w:tr2bl w:val="nil"/>
            </w:tcBorders>
            <w:shd w:val="clear" w:color="auto" w:fill="auto"/>
            <w:noWrap/>
            <w:vAlign w:val="center"/>
          </w:tcPr>
          <w:p w14:paraId="59F1EAF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面源高度</w:t>
            </w:r>
          </w:p>
          <w:p w14:paraId="4057D039">
            <w:pPr>
              <w:jc w:val="center"/>
              <w:rPr>
                <w:rFonts w:hint="eastAsia"/>
                <w:color w:val="auto"/>
                <w:highlight w:val="none"/>
                <w:lang w:val="en-US" w:eastAsia="zh-CN"/>
              </w:rPr>
            </w:pP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904" w:type="dxa"/>
            <w:gridSpan w:val="2"/>
            <w:vMerge w:val="restart"/>
            <w:tcBorders>
              <w:tl2br w:val="nil"/>
              <w:tr2bl w:val="nil"/>
            </w:tcBorders>
            <w:shd w:val="clear" w:color="auto" w:fill="auto"/>
            <w:noWrap/>
            <w:vAlign w:val="center"/>
          </w:tcPr>
          <w:p w14:paraId="7859926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面源长度</w:t>
            </w:r>
          </w:p>
          <w:p w14:paraId="71A2A8DF">
            <w:pPr>
              <w:jc w:val="center"/>
              <w:rPr>
                <w:rFonts w:hint="eastAsia"/>
                <w:color w:val="auto"/>
                <w:highlight w:val="none"/>
                <w:lang w:val="en-US" w:eastAsia="zh-CN"/>
              </w:rPr>
            </w:pP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906" w:type="dxa"/>
            <w:gridSpan w:val="2"/>
            <w:vMerge w:val="restart"/>
            <w:tcBorders>
              <w:tl2br w:val="nil"/>
              <w:tr2bl w:val="nil"/>
            </w:tcBorders>
            <w:noWrap/>
            <w:vAlign w:val="center"/>
          </w:tcPr>
          <w:p w14:paraId="61974D27">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面源宽度</w:t>
            </w:r>
          </w:p>
          <w:p w14:paraId="4AB43D86">
            <w:pPr>
              <w:jc w:val="center"/>
              <w:rPr>
                <w:rFonts w:hint="eastAsia"/>
                <w:color w:val="auto"/>
                <w:highlight w:val="none"/>
                <w:lang w:val="en-US" w:eastAsia="zh-CN"/>
              </w:rPr>
            </w:pP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3718" w:type="dxa"/>
            <w:gridSpan w:val="10"/>
            <w:tcBorders>
              <w:tl2br w:val="nil"/>
              <w:tr2bl w:val="nil"/>
            </w:tcBorders>
            <w:noWrap/>
            <w:vAlign w:val="center"/>
          </w:tcPr>
          <w:p w14:paraId="45A10A4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评价因子源强</w:t>
            </w:r>
            <w:r>
              <w:rPr>
                <w:rFonts w:hint="eastAsia" w:cs="Times New Roman"/>
                <w:bCs w:val="0"/>
                <w:snapToGrid w:val="0"/>
                <w:color w:val="auto"/>
                <w:kern w:val="0"/>
                <w:sz w:val="21"/>
                <w:szCs w:val="21"/>
                <w:highlight w:val="none"/>
                <w:lang w:val="en-US" w:eastAsia="zh-CN"/>
              </w:rPr>
              <w:t>（</w:t>
            </w:r>
            <w:r>
              <w:rPr>
                <w:rFonts w:hint="eastAsia" w:ascii="Times New Roman" w:hAnsi="Times New Roman" w:eastAsia="宋体" w:cs="Times New Roman"/>
                <w:bCs w:val="0"/>
                <w:snapToGrid w:val="0"/>
                <w:color w:val="auto"/>
                <w:kern w:val="0"/>
                <w:sz w:val="21"/>
                <w:szCs w:val="21"/>
                <w:highlight w:val="none"/>
                <w:lang w:val="en-US" w:eastAsia="zh-CN"/>
              </w:rPr>
              <w:t>kg/h</w:t>
            </w:r>
            <w:r>
              <w:rPr>
                <w:rFonts w:hint="eastAsia" w:cs="Times New Roman"/>
                <w:bCs w:val="0"/>
                <w:snapToGrid w:val="0"/>
                <w:color w:val="auto"/>
                <w:kern w:val="0"/>
                <w:sz w:val="21"/>
                <w:szCs w:val="21"/>
                <w:highlight w:val="none"/>
                <w:lang w:val="en-US" w:eastAsia="zh-CN"/>
              </w:rPr>
              <w:t>）</w:t>
            </w:r>
          </w:p>
        </w:tc>
      </w:tr>
      <w:tr w14:paraId="0BC4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798" w:type="dxa"/>
            <w:gridSpan w:val="2"/>
            <w:vMerge w:val="continue"/>
            <w:tcBorders>
              <w:tl2br w:val="nil"/>
              <w:tr2bl w:val="nil"/>
            </w:tcBorders>
            <w:noWrap/>
            <w:vAlign w:val="center"/>
          </w:tcPr>
          <w:p w14:paraId="5A191425">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4" w:type="dxa"/>
            <w:gridSpan w:val="2"/>
            <w:vMerge w:val="continue"/>
            <w:tcBorders>
              <w:tl2br w:val="nil"/>
              <w:tr2bl w:val="nil"/>
            </w:tcBorders>
            <w:shd w:val="clear" w:color="auto" w:fill="auto"/>
            <w:noWrap/>
            <w:vAlign w:val="center"/>
          </w:tcPr>
          <w:p w14:paraId="7B0E832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4" w:type="dxa"/>
            <w:gridSpan w:val="2"/>
            <w:vMerge w:val="continue"/>
            <w:tcBorders>
              <w:tl2br w:val="nil"/>
              <w:tr2bl w:val="nil"/>
            </w:tcBorders>
            <w:shd w:val="clear" w:color="auto" w:fill="auto"/>
            <w:noWrap/>
            <w:vAlign w:val="center"/>
          </w:tcPr>
          <w:p w14:paraId="23CB8755">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6" w:type="dxa"/>
            <w:gridSpan w:val="2"/>
            <w:vMerge w:val="continue"/>
            <w:tcBorders>
              <w:tl2br w:val="nil"/>
              <w:tr2bl w:val="nil"/>
            </w:tcBorders>
            <w:noWrap/>
            <w:vAlign w:val="center"/>
          </w:tcPr>
          <w:p w14:paraId="7565F0F5">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239" w:type="dxa"/>
            <w:gridSpan w:val="3"/>
            <w:tcBorders>
              <w:tl2br w:val="nil"/>
              <w:tr2bl w:val="nil"/>
            </w:tcBorders>
            <w:noWrap/>
            <w:vAlign w:val="center"/>
          </w:tcPr>
          <w:p w14:paraId="1F97CF34">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NMHC</w:t>
            </w:r>
          </w:p>
        </w:tc>
        <w:tc>
          <w:tcPr>
            <w:tcW w:w="1239" w:type="dxa"/>
            <w:gridSpan w:val="4"/>
            <w:tcBorders>
              <w:tl2br w:val="nil"/>
              <w:tr2bl w:val="nil"/>
            </w:tcBorders>
            <w:noWrap/>
            <w:vAlign w:val="center"/>
          </w:tcPr>
          <w:p w14:paraId="255BB3C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H</w:t>
            </w:r>
            <w:r>
              <w:rPr>
                <w:rFonts w:hint="eastAsia" w:cs="Times New Roman"/>
                <w:bCs w:val="0"/>
                <w:snapToGrid w:val="0"/>
                <w:color w:val="auto"/>
                <w:kern w:val="0"/>
                <w:sz w:val="21"/>
                <w:szCs w:val="21"/>
                <w:highlight w:val="none"/>
                <w:vertAlign w:val="subscript"/>
                <w:lang w:val="en-US" w:eastAsia="zh-CN"/>
              </w:rPr>
              <w:t>2</w:t>
            </w:r>
            <w:r>
              <w:rPr>
                <w:rFonts w:hint="eastAsia" w:cs="Times New Roman"/>
                <w:bCs w:val="0"/>
                <w:snapToGrid w:val="0"/>
                <w:color w:val="auto"/>
                <w:kern w:val="0"/>
                <w:sz w:val="21"/>
                <w:szCs w:val="21"/>
                <w:highlight w:val="none"/>
                <w:lang w:val="en-US" w:eastAsia="zh-CN"/>
              </w:rPr>
              <w:t>S</w:t>
            </w:r>
          </w:p>
        </w:tc>
        <w:tc>
          <w:tcPr>
            <w:tcW w:w="1240" w:type="dxa"/>
            <w:gridSpan w:val="3"/>
            <w:tcBorders>
              <w:tl2br w:val="nil"/>
              <w:tr2bl w:val="nil"/>
            </w:tcBorders>
            <w:noWrap/>
            <w:vAlign w:val="center"/>
          </w:tcPr>
          <w:p w14:paraId="6A961AE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氨</w:t>
            </w:r>
          </w:p>
        </w:tc>
      </w:tr>
      <w:tr w14:paraId="35B9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blHeader/>
          <w:jc w:val="center"/>
        </w:trPr>
        <w:tc>
          <w:tcPr>
            <w:tcW w:w="571" w:type="dxa"/>
            <w:vMerge w:val="restart"/>
            <w:tcBorders>
              <w:tl2br w:val="nil"/>
              <w:tr2bl w:val="nil"/>
            </w:tcBorders>
            <w:noWrap/>
            <w:vAlign w:val="center"/>
          </w:tcPr>
          <w:p w14:paraId="4DAF314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olor w:val="auto"/>
                <w:sz w:val="21"/>
                <w:szCs w:val="21"/>
                <w:highlight w:val="none"/>
                <w:lang w:val="en-US" w:eastAsia="zh-CN"/>
              </w:rPr>
            </w:pPr>
            <w:r>
              <w:rPr>
                <w:rFonts w:hint="eastAsia"/>
                <w:color w:val="auto"/>
                <w:highlight w:val="none"/>
                <w:lang w:val="en-US" w:eastAsia="zh-CN"/>
              </w:rPr>
              <w:t>技术公司</w:t>
            </w:r>
            <w:r>
              <w:rPr>
                <w:rFonts w:hint="eastAsia" w:ascii="Times New Roman" w:hAnsi="Times New Roman" w:eastAsia="宋体" w:cs="Times New Roman"/>
                <w:bCs w:val="0"/>
                <w:snapToGrid w:val="0"/>
                <w:color w:val="auto"/>
                <w:kern w:val="0"/>
                <w:sz w:val="21"/>
                <w:szCs w:val="21"/>
                <w:highlight w:val="none"/>
                <w:lang w:val="en-US" w:eastAsia="zh-CN"/>
              </w:rPr>
              <w:t>长链二元酸扩产项目</w:t>
            </w:r>
          </w:p>
        </w:tc>
        <w:tc>
          <w:tcPr>
            <w:tcW w:w="1227" w:type="dxa"/>
            <w:tcBorders>
              <w:tl2br w:val="nil"/>
              <w:tr2bl w:val="nil"/>
            </w:tcBorders>
            <w:shd w:val="clear" w:color="auto" w:fill="auto"/>
            <w:noWrap/>
            <w:vAlign w:val="center"/>
          </w:tcPr>
          <w:p w14:paraId="7BB5E9DA">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bidi="ar-SA"/>
              </w:rPr>
            </w:pPr>
            <w:r>
              <w:rPr>
                <w:rFonts w:hint="eastAsia" w:ascii="Times New Roman" w:hAnsi="Times New Roman" w:eastAsia="宋体" w:cs="Times New Roman"/>
                <w:bCs w:val="0"/>
                <w:snapToGrid w:val="0"/>
                <w:color w:val="auto"/>
                <w:kern w:val="0"/>
                <w:sz w:val="21"/>
                <w:szCs w:val="21"/>
                <w:highlight w:val="none"/>
                <w:lang w:val="en-US" w:eastAsia="zh-CN"/>
              </w:rPr>
              <w:t>罐区无组织</w:t>
            </w:r>
          </w:p>
        </w:tc>
        <w:tc>
          <w:tcPr>
            <w:tcW w:w="904" w:type="dxa"/>
            <w:gridSpan w:val="2"/>
            <w:tcBorders>
              <w:tl2br w:val="nil"/>
              <w:tr2bl w:val="nil"/>
            </w:tcBorders>
            <w:shd w:val="clear" w:color="auto" w:fill="auto"/>
            <w:noWrap/>
            <w:vAlign w:val="center"/>
          </w:tcPr>
          <w:p w14:paraId="589A6C8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10</w:t>
            </w:r>
          </w:p>
        </w:tc>
        <w:tc>
          <w:tcPr>
            <w:tcW w:w="904" w:type="dxa"/>
            <w:gridSpan w:val="2"/>
            <w:tcBorders>
              <w:tl2br w:val="nil"/>
              <w:tr2bl w:val="nil"/>
            </w:tcBorders>
            <w:shd w:val="clear" w:color="auto" w:fill="auto"/>
            <w:noWrap/>
            <w:vAlign w:val="center"/>
          </w:tcPr>
          <w:p w14:paraId="4F0A5C9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86</w:t>
            </w:r>
          </w:p>
        </w:tc>
        <w:tc>
          <w:tcPr>
            <w:tcW w:w="906" w:type="dxa"/>
            <w:gridSpan w:val="2"/>
            <w:tcBorders>
              <w:tl2br w:val="nil"/>
              <w:tr2bl w:val="nil"/>
            </w:tcBorders>
            <w:noWrap/>
            <w:vAlign w:val="center"/>
          </w:tcPr>
          <w:p w14:paraId="557CA3B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40</w:t>
            </w:r>
          </w:p>
        </w:tc>
        <w:tc>
          <w:tcPr>
            <w:tcW w:w="1239" w:type="dxa"/>
            <w:gridSpan w:val="3"/>
            <w:tcBorders>
              <w:tl2br w:val="nil"/>
              <w:tr2bl w:val="nil"/>
            </w:tcBorders>
            <w:noWrap/>
            <w:vAlign w:val="center"/>
          </w:tcPr>
          <w:p w14:paraId="1287324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0.357</w:t>
            </w:r>
          </w:p>
        </w:tc>
        <w:tc>
          <w:tcPr>
            <w:tcW w:w="1239" w:type="dxa"/>
            <w:gridSpan w:val="4"/>
            <w:tcBorders>
              <w:tl2br w:val="nil"/>
              <w:tr2bl w:val="nil"/>
            </w:tcBorders>
            <w:noWrap/>
            <w:vAlign w:val="center"/>
          </w:tcPr>
          <w:p w14:paraId="32C3C7A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240" w:type="dxa"/>
            <w:gridSpan w:val="3"/>
            <w:tcBorders>
              <w:tl2br w:val="nil"/>
              <w:tr2bl w:val="nil"/>
            </w:tcBorders>
            <w:noWrap/>
            <w:vAlign w:val="center"/>
          </w:tcPr>
          <w:p w14:paraId="1A0CDBD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164C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73737A1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olor w:val="auto"/>
                <w:sz w:val="21"/>
                <w:szCs w:val="21"/>
                <w:highlight w:val="none"/>
                <w:lang w:val="en-US" w:eastAsia="zh-CN"/>
              </w:rPr>
            </w:pPr>
          </w:p>
        </w:tc>
        <w:tc>
          <w:tcPr>
            <w:tcW w:w="1227" w:type="dxa"/>
            <w:tcBorders>
              <w:tl2br w:val="nil"/>
              <w:tr2bl w:val="nil"/>
            </w:tcBorders>
            <w:shd w:val="clear" w:color="auto" w:fill="auto"/>
            <w:noWrap/>
            <w:vAlign w:val="center"/>
          </w:tcPr>
          <w:p w14:paraId="67BC5DB8">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bidi="ar-SA"/>
              </w:rPr>
            </w:pPr>
            <w:r>
              <w:rPr>
                <w:rFonts w:hint="eastAsia" w:ascii="Times New Roman" w:hAnsi="Times New Roman" w:eastAsia="宋体" w:cs="Times New Roman"/>
                <w:bCs w:val="0"/>
                <w:snapToGrid w:val="0"/>
                <w:color w:val="auto"/>
                <w:kern w:val="0"/>
                <w:sz w:val="21"/>
                <w:szCs w:val="21"/>
                <w:highlight w:val="none"/>
                <w:lang w:val="en-US" w:eastAsia="zh-CN"/>
              </w:rPr>
              <w:t>提取装置无组织</w:t>
            </w:r>
          </w:p>
        </w:tc>
        <w:tc>
          <w:tcPr>
            <w:tcW w:w="904" w:type="dxa"/>
            <w:gridSpan w:val="2"/>
            <w:tcBorders>
              <w:tl2br w:val="nil"/>
              <w:tr2bl w:val="nil"/>
            </w:tcBorders>
            <w:shd w:val="clear" w:color="auto" w:fill="auto"/>
            <w:noWrap/>
            <w:vAlign w:val="center"/>
          </w:tcPr>
          <w:p w14:paraId="36FA202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24</w:t>
            </w:r>
          </w:p>
        </w:tc>
        <w:tc>
          <w:tcPr>
            <w:tcW w:w="904" w:type="dxa"/>
            <w:gridSpan w:val="2"/>
            <w:tcBorders>
              <w:tl2br w:val="nil"/>
              <w:tr2bl w:val="nil"/>
            </w:tcBorders>
            <w:shd w:val="clear" w:color="auto" w:fill="auto"/>
            <w:noWrap/>
            <w:vAlign w:val="center"/>
          </w:tcPr>
          <w:p w14:paraId="54CD889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88</w:t>
            </w:r>
          </w:p>
        </w:tc>
        <w:tc>
          <w:tcPr>
            <w:tcW w:w="906" w:type="dxa"/>
            <w:gridSpan w:val="2"/>
            <w:tcBorders>
              <w:tl2br w:val="nil"/>
              <w:tr2bl w:val="nil"/>
            </w:tcBorders>
            <w:noWrap/>
            <w:vAlign w:val="center"/>
          </w:tcPr>
          <w:p w14:paraId="2CFEB17A">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53</w:t>
            </w:r>
          </w:p>
        </w:tc>
        <w:tc>
          <w:tcPr>
            <w:tcW w:w="1239" w:type="dxa"/>
            <w:gridSpan w:val="3"/>
            <w:tcBorders>
              <w:tl2br w:val="nil"/>
              <w:tr2bl w:val="nil"/>
            </w:tcBorders>
            <w:noWrap/>
            <w:vAlign w:val="center"/>
          </w:tcPr>
          <w:p w14:paraId="083D8E8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1.776</w:t>
            </w:r>
          </w:p>
        </w:tc>
        <w:tc>
          <w:tcPr>
            <w:tcW w:w="1239" w:type="dxa"/>
            <w:gridSpan w:val="4"/>
            <w:tcBorders>
              <w:tl2br w:val="nil"/>
              <w:tr2bl w:val="nil"/>
            </w:tcBorders>
            <w:noWrap/>
            <w:vAlign w:val="center"/>
          </w:tcPr>
          <w:p w14:paraId="69A75E8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240" w:type="dxa"/>
            <w:gridSpan w:val="3"/>
            <w:tcBorders>
              <w:tl2br w:val="nil"/>
              <w:tr2bl w:val="nil"/>
            </w:tcBorders>
            <w:noWrap/>
            <w:vAlign w:val="center"/>
          </w:tcPr>
          <w:p w14:paraId="03C6BAE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4646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restart"/>
            <w:tcBorders>
              <w:tl2br w:val="nil"/>
              <w:tr2bl w:val="nil"/>
            </w:tcBorders>
            <w:noWrap/>
            <w:vAlign w:val="center"/>
          </w:tcPr>
          <w:p w14:paraId="09FCB8E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olor w:val="auto"/>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材料公司年产20000吨LCDN项目</w:t>
            </w:r>
          </w:p>
        </w:tc>
        <w:tc>
          <w:tcPr>
            <w:tcW w:w="1227" w:type="dxa"/>
            <w:tcBorders>
              <w:tl2br w:val="nil"/>
              <w:tr2bl w:val="nil"/>
            </w:tcBorders>
            <w:shd w:val="clear" w:color="auto" w:fill="auto"/>
            <w:noWrap/>
            <w:vAlign w:val="center"/>
          </w:tcPr>
          <w:p w14:paraId="37BFC0E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LCDN生产装置</w:t>
            </w:r>
            <w:r>
              <w:rPr>
                <w:rFonts w:hint="default" w:ascii="Times New Roman" w:hAnsi="Times New Roman" w:eastAsia="宋体" w:cs="Times New Roman"/>
                <w:color w:val="auto"/>
                <w:sz w:val="21"/>
                <w:szCs w:val="21"/>
                <w:highlight w:val="none"/>
                <w:lang w:val="en-US" w:eastAsia="zh-CN"/>
              </w:rPr>
              <w:t>无组织</w:t>
            </w:r>
          </w:p>
        </w:tc>
        <w:tc>
          <w:tcPr>
            <w:tcW w:w="904" w:type="dxa"/>
            <w:gridSpan w:val="2"/>
            <w:tcBorders>
              <w:tl2br w:val="nil"/>
              <w:tr2bl w:val="nil"/>
            </w:tcBorders>
            <w:shd w:val="clear" w:color="auto" w:fill="auto"/>
            <w:noWrap/>
            <w:vAlign w:val="center"/>
          </w:tcPr>
          <w:p w14:paraId="1DC0007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10.5</w:t>
            </w:r>
          </w:p>
        </w:tc>
        <w:tc>
          <w:tcPr>
            <w:tcW w:w="904" w:type="dxa"/>
            <w:gridSpan w:val="2"/>
            <w:tcBorders>
              <w:tl2br w:val="nil"/>
              <w:tr2bl w:val="nil"/>
            </w:tcBorders>
            <w:shd w:val="clear" w:color="auto" w:fill="auto"/>
            <w:noWrap/>
            <w:vAlign w:val="center"/>
          </w:tcPr>
          <w:p w14:paraId="7F20703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96</w:t>
            </w:r>
          </w:p>
        </w:tc>
        <w:tc>
          <w:tcPr>
            <w:tcW w:w="906" w:type="dxa"/>
            <w:gridSpan w:val="2"/>
            <w:tcBorders>
              <w:tl2br w:val="nil"/>
              <w:tr2bl w:val="nil"/>
            </w:tcBorders>
            <w:noWrap/>
            <w:vAlign w:val="center"/>
          </w:tcPr>
          <w:p w14:paraId="7BD1666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66</w:t>
            </w:r>
          </w:p>
        </w:tc>
        <w:tc>
          <w:tcPr>
            <w:tcW w:w="1239" w:type="dxa"/>
            <w:gridSpan w:val="3"/>
            <w:tcBorders>
              <w:tl2br w:val="nil"/>
              <w:tr2bl w:val="nil"/>
            </w:tcBorders>
            <w:noWrap/>
            <w:vAlign w:val="center"/>
          </w:tcPr>
          <w:p w14:paraId="49DF226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0.38</w:t>
            </w:r>
          </w:p>
        </w:tc>
        <w:tc>
          <w:tcPr>
            <w:tcW w:w="1239" w:type="dxa"/>
            <w:gridSpan w:val="4"/>
            <w:tcBorders>
              <w:tl2br w:val="nil"/>
              <w:tr2bl w:val="nil"/>
            </w:tcBorders>
            <w:noWrap/>
            <w:vAlign w:val="center"/>
          </w:tcPr>
          <w:p w14:paraId="7B9084D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240" w:type="dxa"/>
            <w:gridSpan w:val="3"/>
            <w:tcBorders>
              <w:tl2br w:val="nil"/>
              <w:tr2bl w:val="nil"/>
            </w:tcBorders>
            <w:noWrap/>
            <w:vAlign w:val="center"/>
          </w:tcPr>
          <w:p w14:paraId="580B883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4441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18A1494A">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olor w:val="auto"/>
                <w:sz w:val="21"/>
                <w:szCs w:val="21"/>
                <w:highlight w:val="none"/>
                <w:lang w:val="en-US" w:eastAsia="zh-CN"/>
              </w:rPr>
            </w:pPr>
          </w:p>
        </w:tc>
        <w:tc>
          <w:tcPr>
            <w:tcW w:w="1227" w:type="dxa"/>
            <w:tcBorders>
              <w:tl2br w:val="nil"/>
              <w:tr2bl w:val="nil"/>
            </w:tcBorders>
            <w:shd w:val="clear" w:color="auto" w:fill="auto"/>
            <w:noWrap/>
            <w:vAlign w:val="center"/>
          </w:tcPr>
          <w:p w14:paraId="23DEEB8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甲醇制氢装置</w:t>
            </w:r>
            <w:r>
              <w:rPr>
                <w:rFonts w:hint="default" w:ascii="Times New Roman" w:hAnsi="Times New Roman" w:eastAsia="宋体" w:cs="Times New Roman"/>
                <w:color w:val="auto"/>
                <w:sz w:val="21"/>
                <w:szCs w:val="21"/>
                <w:highlight w:val="none"/>
                <w:lang w:val="en-US" w:eastAsia="zh-CN"/>
              </w:rPr>
              <w:t>无组织</w:t>
            </w:r>
          </w:p>
        </w:tc>
        <w:tc>
          <w:tcPr>
            <w:tcW w:w="904" w:type="dxa"/>
            <w:gridSpan w:val="2"/>
            <w:tcBorders>
              <w:tl2br w:val="nil"/>
              <w:tr2bl w:val="nil"/>
            </w:tcBorders>
            <w:shd w:val="clear" w:color="auto" w:fill="auto"/>
            <w:noWrap/>
            <w:vAlign w:val="center"/>
          </w:tcPr>
          <w:p w14:paraId="029B525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5.5</w:t>
            </w:r>
          </w:p>
        </w:tc>
        <w:tc>
          <w:tcPr>
            <w:tcW w:w="904" w:type="dxa"/>
            <w:gridSpan w:val="2"/>
            <w:tcBorders>
              <w:tl2br w:val="nil"/>
              <w:tr2bl w:val="nil"/>
            </w:tcBorders>
            <w:shd w:val="clear" w:color="auto" w:fill="auto"/>
            <w:noWrap/>
            <w:vAlign w:val="center"/>
          </w:tcPr>
          <w:p w14:paraId="1CE5B66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82.2</w:t>
            </w:r>
          </w:p>
        </w:tc>
        <w:tc>
          <w:tcPr>
            <w:tcW w:w="906" w:type="dxa"/>
            <w:gridSpan w:val="2"/>
            <w:tcBorders>
              <w:tl2br w:val="nil"/>
              <w:tr2bl w:val="nil"/>
            </w:tcBorders>
            <w:noWrap/>
            <w:vAlign w:val="center"/>
          </w:tcPr>
          <w:p w14:paraId="479C90F8">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1239" w:type="dxa"/>
            <w:gridSpan w:val="3"/>
            <w:tcBorders>
              <w:tl2br w:val="nil"/>
              <w:tr2bl w:val="nil"/>
            </w:tcBorders>
            <w:noWrap/>
            <w:vAlign w:val="center"/>
          </w:tcPr>
          <w:p w14:paraId="738A92F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0.08</w:t>
            </w:r>
          </w:p>
        </w:tc>
        <w:tc>
          <w:tcPr>
            <w:tcW w:w="1239" w:type="dxa"/>
            <w:gridSpan w:val="4"/>
            <w:tcBorders>
              <w:tl2br w:val="nil"/>
              <w:tr2bl w:val="nil"/>
            </w:tcBorders>
            <w:noWrap/>
            <w:vAlign w:val="center"/>
          </w:tcPr>
          <w:p w14:paraId="6157B3A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240" w:type="dxa"/>
            <w:gridSpan w:val="3"/>
            <w:tcBorders>
              <w:tl2br w:val="nil"/>
              <w:tr2bl w:val="nil"/>
            </w:tcBorders>
            <w:noWrap/>
            <w:vAlign w:val="center"/>
          </w:tcPr>
          <w:p w14:paraId="2D045A0A">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06AA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vMerge w:val="continue"/>
            <w:tcBorders>
              <w:tl2br w:val="nil"/>
              <w:tr2bl w:val="nil"/>
            </w:tcBorders>
            <w:noWrap/>
            <w:vAlign w:val="center"/>
          </w:tcPr>
          <w:p w14:paraId="39C472C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olor w:val="auto"/>
                <w:sz w:val="21"/>
                <w:szCs w:val="21"/>
                <w:highlight w:val="none"/>
                <w:lang w:val="en-US" w:eastAsia="zh-CN"/>
              </w:rPr>
            </w:pPr>
          </w:p>
        </w:tc>
        <w:tc>
          <w:tcPr>
            <w:tcW w:w="1227" w:type="dxa"/>
            <w:tcBorders>
              <w:tl2br w:val="nil"/>
              <w:tr2bl w:val="nil"/>
            </w:tcBorders>
            <w:shd w:val="clear" w:color="auto" w:fill="auto"/>
            <w:noWrap/>
            <w:vAlign w:val="center"/>
          </w:tcPr>
          <w:p w14:paraId="0889EFD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罐区无组织</w:t>
            </w:r>
          </w:p>
        </w:tc>
        <w:tc>
          <w:tcPr>
            <w:tcW w:w="904" w:type="dxa"/>
            <w:gridSpan w:val="2"/>
            <w:tcBorders>
              <w:tl2br w:val="nil"/>
              <w:tr2bl w:val="nil"/>
            </w:tcBorders>
            <w:shd w:val="clear" w:color="auto" w:fill="auto"/>
            <w:noWrap/>
            <w:vAlign w:val="center"/>
          </w:tcPr>
          <w:p w14:paraId="5254A8EC">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1.2</w:t>
            </w:r>
          </w:p>
        </w:tc>
        <w:tc>
          <w:tcPr>
            <w:tcW w:w="904" w:type="dxa"/>
            <w:gridSpan w:val="2"/>
            <w:tcBorders>
              <w:tl2br w:val="nil"/>
              <w:tr2bl w:val="nil"/>
            </w:tcBorders>
            <w:shd w:val="clear" w:color="auto" w:fill="auto"/>
            <w:noWrap/>
            <w:vAlign w:val="center"/>
          </w:tcPr>
          <w:p w14:paraId="296C467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34</w:t>
            </w:r>
          </w:p>
        </w:tc>
        <w:tc>
          <w:tcPr>
            <w:tcW w:w="906" w:type="dxa"/>
            <w:gridSpan w:val="2"/>
            <w:tcBorders>
              <w:tl2br w:val="nil"/>
              <w:tr2bl w:val="nil"/>
            </w:tcBorders>
            <w:noWrap/>
            <w:vAlign w:val="center"/>
          </w:tcPr>
          <w:p w14:paraId="7DE9E6D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27</w:t>
            </w:r>
          </w:p>
        </w:tc>
        <w:tc>
          <w:tcPr>
            <w:tcW w:w="1239" w:type="dxa"/>
            <w:gridSpan w:val="3"/>
            <w:tcBorders>
              <w:tl2br w:val="nil"/>
              <w:tr2bl w:val="nil"/>
            </w:tcBorders>
            <w:noWrap/>
            <w:vAlign w:val="center"/>
          </w:tcPr>
          <w:p w14:paraId="72128B3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0.023</w:t>
            </w:r>
          </w:p>
        </w:tc>
        <w:tc>
          <w:tcPr>
            <w:tcW w:w="1239" w:type="dxa"/>
            <w:gridSpan w:val="4"/>
            <w:tcBorders>
              <w:tl2br w:val="nil"/>
              <w:tr2bl w:val="nil"/>
            </w:tcBorders>
            <w:noWrap/>
            <w:vAlign w:val="center"/>
          </w:tcPr>
          <w:p w14:paraId="62169330">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240" w:type="dxa"/>
            <w:gridSpan w:val="3"/>
            <w:tcBorders>
              <w:tl2br w:val="nil"/>
              <w:tr2bl w:val="nil"/>
            </w:tcBorders>
            <w:noWrap/>
            <w:vAlign w:val="center"/>
          </w:tcPr>
          <w:p w14:paraId="5B27E26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79AF7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71" w:type="dxa"/>
            <w:tcBorders>
              <w:tl2br w:val="nil"/>
              <w:tr2bl w:val="nil"/>
            </w:tcBorders>
            <w:noWrap/>
            <w:vAlign w:val="center"/>
          </w:tcPr>
          <w:p w14:paraId="70F173B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olor w:val="auto"/>
                <w:sz w:val="21"/>
                <w:szCs w:val="21"/>
                <w:highlight w:val="none"/>
                <w:lang w:val="en-US" w:eastAsia="zh-CN"/>
              </w:rPr>
            </w:pPr>
            <w:r>
              <w:rPr>
                <w:rFonts w:hint="eastAsia"/>
                <w:color w:val="auto"/>
                <w:highlight w:val="none"/>
                <w:lang w:val="en-US" w:eastAsia="zh-CN"/>
              </w:rPr>
              <w:t>乌苏市西区</w:t>
            </w:r>
            <w:r>
              <w:rPr>
                <w:rFonts w:hint="eastAsia" w:cs="Times New Roman"/>
                <w:bCs w:val="0"/>
                <w:snapToGrid w:val="0"/>
                <w:color w:val="auto"/>
                <w:kern w:val="0"/>
                <w:sz w:val="21"/>
                <w:szCs w:val="21"/>
                <w:highlight w:val="none"/>
                <w:lang w:val="en-US" w:eastAsia="zh-CN"/>
              </w:rPr>
              <w:t>污水处理厂</w:t>
            </w:r>
            <w:r>
              <w:rPr>
                <w:rFonts w:hint="eastAsia" w:ascii="Times New Roman" w:hAnsi="Times New Roman" w:eastAsia="宋体" w:cs="Times New Roman"/>
                <w:bCs w:val="0"/>
                <w:snapToGrid w:val="0"/>
                <w:color w:val="auto"/>
                <w:kern w:val="0"/>
                <w:sz w:val="21"/>
                <w:szCs w:val="21"/>
                <w:highlight w:val="none"/>
                <w:lang w:val="en-US" w:eastAsia="zh-CN"/>
              </w:rPr>
              <w:t>二期工程</w:t>
            </w:r>
          </w:p>
        </w:tc>
        <w:tc>
          <w:tcPr>
            <w:tcW w:w="1227" w:type="dxa"/>
            <w:tcBorders>
              <w:tl2br w:val="nil"/>
              <w:tr2bl w:val="nil"/>
            </w:tcBorders>
            <w:shd w:val="clear" w:color="auto" w:fill="auto"/>
            <w:noWrap/>
            <w:vAlign w:val="center"/>
          </w:tcPr>
          <w:p w14:paraId="62AE39B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rPr>
              <w:t>污水处理厂</w:t>
            </w:r>
            <w:r>
              <w:rPr>
                <w:rFonts w:hint="eastAsia" w:ascii="Times New Roman" w:hAnsi="Times New Roman" w:eastAsia="宋体" w:cs="Times New Roman"/>
                <w:bCs w:val="0"/>
                <w:snapToGrid w:val="0"/>
                <w:color w:val="auto"/>
                <w:kern w:val="0"/>
                <w:sz w:val="21"/>
                <w:szCs w:val="21"/>
                <w:highlight w:val="none"/>
                <w:lang w:val="en-US" w:eastAsia="zh-CN"/>
              </w:rPr>
              <w:t>恶臭面源</w:t>
            </w:r>
          </w:p>
        </w:tc>
        <w:tc>
          <w:tcPr>
            <w:tcW w:w="904" w:type="dxa"/>
            <w:gridSpan w:val="2"/>
            <w:tcBorders>
              <w:tl2br w:val="nil"/>
              <w:tr2bl w:val="nil"/>
            </w:tcBorders>
            <w:shd w:val="clear" w:color="auto" w:fill="auto"/>
            <w:noWrap/>
            <w:vAlign w:val="center"/>
          </w:tcPr>
          <w:p w14:paraId="407C268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6</w:t>
            </w:r>
          </w:p>
        </w:tc>
        <w:tc>
          <w:tcPr>
            <w:tcW w:w="904" w:type="dxa"/>
            <w:gridSpan w:val="2"/>
            <w:tcBorders>
              <w:tl2br w:val="nil"/>
              <w:tr2bl w:val="nil"/>
            </w:tcBorders>
            <w:shd w:val="clear" w:color="auto" w:fill="auto"/>
            <w:noWrap/>
            <w:vAlign w:val="center"/>
          </w:tcPr>
          <w:p w14:paraId="330F2EB0">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223</w:t>
            </w:r>
          </w:p>
        </w:tc>
        <w:tc>
          <w:tcPr>
            <w:tcW w:w="906" w:type="dxa"/>
            <w:gridSpan w:val="2"/>
            <w:tcBorders>
              <w:tl2br w:val="nil"/>
              <w:tr2bl w:val="nil"/>
            </w:tcBorders>
            <w:noWrap/>
            <w:vAlign w:val="center"/>
          </w:tcPr>
          <w:p w14:paraId="6C3FB93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173</w:t>
            </w:r>
          </w:p>
        </w:tc>
        <w:tc>
          <w:tcPr>
            <w:tcW w:w="1239" w:type="dxa"/>
            <w:gridSpan w:val="3"/>
            <w:tcBorders>
              <w:tl2br w:val="nil"/>
              <w:tr2bl w:val="nil"/>
            </w:tcBorders>
            <w:noWrap/>
            <w:vAlign w:val="center"/>
          </w:tcPr>
          <w:p w14:paraId="0283E6E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239" w:type="dxa"/>
            <w:gridSpan w:val="4"/>
            <w:tcBorders>
              <w:tl2br w:val="nil"/>
              <w:tr2bl w:val="nil"/>
            </w:tcBorders>
            <w:noWrap/>
            <w:vAlign w:val="center"/>
          </w:tcPr>
          <w:p w14:paraId="2A9DDA6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0.0012</w:t>
            </w:r>
          </w:p>
        </w:tc>
        <w:tc>
          <w:tcPr>
            <w:tcW w:w="1240" w:type="dxa"/>
            <w:gridSpan w:val="3"/>
            <w:tcBorders>
              <w:tl2br w:val="nil"/>
              <w:tr2bl w:val="nil"/>
            </w:tcBorders>
            <w:noWrap/>
            <w:vAlign w:val="center"/>
          </w:tcPr>
          <w:p w14:paraId="49825B70">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0.032</w:t>
            </w:r>
          </w:p>
        </w:tc>
      </w:tr>
    </w:tbl>
    <w:p w14:paraId="457050C4">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rFonts w:hint="eastAsia" w:eastAsia="宋体"/>
          <w:b/>
          <w:bCs/>
          <w:snapToGrid w:val="0"/>
          <w:color w:val="auto"/>
          <w:kern w:val="0"/>
          <w:szCs w:val="21"/>
          <w:highlight w:val="none"/>
          <w:lang w:val="en-US" w:eastAsia="zh-CN"/>
        </w:rPr>
      </w:pPr>
      <w:r>
        <w:rPr>
          <w:rFonts w:hint="eastAsia" w:eastAsia="宋体"/>
          <w:b/>
          <w:bCs/>
          <w:snapToGrid w:val="0"/>
          <w:color w:val="auto"/>
          <w:kern w:val="0"/>
          <w:szCs w:val="21"/>
          <w:highlight w:val="none"/>
          <w:lang w:val="en-US" w:eastAsia="zh-CN"/>
        </w:rPr>
        <w:t>表5.2-6 区域在建及拟建企业废水污染源调查情况一览表</w:t>
      </w:r>
    </w:p>
    <w:tbl>
      <w:tblPr>
        <w:tblStyle w:val="5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3" w:type="dxa"/>
          <w:bottom w:w="28" w:type="dxa"/>
          <w:right w:w="23" w:type="dxa"/>
        </w:tblCellMar>
      </w:tblPr>
      <w:tblGrid>
        <w:gridCol w:w="578"/>
        <w:gridCol w:w="1312"/>
        <w:gridCol w:w="4108"/>
        <w:gridCol w:w="2263"/>
      </w:tblGrid>
      <w:tr w14:paraId="1715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449" w:hRule="atLeast"/>
          <w:jc w:val="center"/>
        </w:trPr>
        <w:tc>
          <w:tcPr>
            <w:tcW w:w="350" w:type="pct"/>
            <w:vAlign w:val="center"/>
          </w:tcPr>
          <w:p w14:paraId="4EDB0E7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794" w:type="pct"/>
            <w:vAlign w:val="center"/>
          </w:tcPr>
          <w:p w14:paraId="49A8E17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2486" w:type="pct"/>
            <w:vAlign w:val="center"/>
          </w:tcPr>
          <w:p w14:paraId="111E73F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治理措施</w:t>
            </w:r>
          </w:p>
        </w:tc>
        <w:tc>
          <w:tcPr>
            <w:tcW w:w="1369" w:type="pct"/>
            <w:vAlign w:val="center"/>
          </w:tcPr>
          <w:p w14:paraId="0FA8D96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排放去向</w:t>
            </w:r>
          </w:p>
        </w:tc>
      </w:tr>
      <w:tr w14:paraId="42E9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50" w:type="pct"/>
            <w:shd w:val="clear" w:color="auto" w:fill="auto"/>
            <w:vAlign w:val="center"/>
          </w:tcPr>
          <w:p w14:paraId="5633269F">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w:t>
            </w:r>
          </w:p>
        </w:tc>
        <w:tc>
          <w:tcPr>
            <w:tcW w:w="794" w:type="pct"/>
            <w:vAlign w:val="center"/>
          </w:tcPr>
          <w:p w14:paraId="046CB77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乌苏市西区污水处理厂二期工程</w:t>
            </w:r>
          </w:p>
        </w:tc>
        <w:tc>
          <w:tcPr>
            <w:tcW w:w="2486" w:type="pct"/>
            <w:vAlign w:val="center"/>
          </w:tcPr>
          <w:p w14:paraId="4291245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项目自身为污水处理项目，采用“</w:t>
            </w:r>
            <w:r>
              <w:rPr>
                <w:rFonts w:hint="default" w:ascii="Times New Roman" w:hAnsi="Times New Roman" w:eastAsia="宋体" w:cs="Times New Roman"/>
                <w:color w:val="auto"/>
                <w:sz w:val="21"/>
                <w:szCs w:val="21"/>
                <w:highlight w:val="none"/>
                <w:lang w:val="en-US" w:eastAsia="zh-CN"/>
              </w:rPr>
              <w:t>调节池→一级除硬混凝沉淀池→pH调节池→水解酸化→一级AAO生化→二沉池→二级AAO生化→软化除硬高密池→臭氧氧化→曝气生物滤池→一级多介质过滤→一级超滤→一级RO→软化除硬→二级多介质过滤→二级超滤→螯合树脂→脱碳塔→二级RO→浓水→MVR</w:t>
            </w:r>
            <w:r>
              <w:rPr>
                <w:rFonts w:hint="eastAsia" w:ascii="Times New Roman" w:hAnsi="Times New Roman" w:eastAsia="宋体" w:cs="Times New Roman"/>
                <w:color w:val="auto"/>
                <w:sz w:val="21"/>
                <w:szCs w:val="21"/>
                <w:highlight w:val="none"/>
                <w:lang w:val="en-US" w:eastAsia="zh-CN"/>
              </w:rPr>
              <w:t>”污水处理工艺</w:t>
            </w:r>
          </w:p>
        </w:tc>
        <w:tc>
          <w:tcPr>
            <w:tcW w:w="1369" w:type="pct"/>
            <w:vAlign w:val="center"/>
          </w:tcPr>
          <w:p w14:paraId="736AB85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处理后尾</w:t>
            </w:r>
            <w:r>
              <w:rPr>
                <w:rFonts w:hint="eastAsia" w:ascii="Times New Roman" w:hAnsi="Times New Roman" w:eastAsia="宋体" w:cs="Times New Roman"/>
                <w:color w:val="auto"/>
                <w:sz w:val="21"/>
                <w:szCs w:val="21"/>
                <w:highlight w:val="none"/>
                <w:lang w:val="en-US" w:eastAsia="zh-CN"/>
              </w:rPr>
              <w:t>水排入尾水库，</w:t>
            </w:r>
            <w:r>
              <w:rPr>
                <w:rFonts w:hint="eastAsia" w:cs="Times New Roman"/>
                <w:color w:val="auto"/>
                <w:sz w:val="21"/>
                <w:szCs w:val="21"/>
                <w:highlight w:val="none"/>
                <w:lang w:val="en-US" w:eastAsia="zh-CN"/>
              </w:rPr>
              <w:t>用于</w:t>
            </w:r>
            <w:r>
              <w:rPr>
                <w:rFonts w:hint="default" w:ascii="Times New Roman" w:hAnsi="Times New Roman" w:eastAsia="宋体" w:cs="Times New Roman"/>
                <w:color w:val="auto"/>
                <w:sz w:val="21"/>
                <w:szCs w:val="21"/>
                <w:highlight w:val="none"/>
                <w:lang w:val="en-US" w:eastAsia="zh-CN"/>
              </w:rPr>
              <w:t>荒漠植被的恢复和灌溉用水</w:t>
            </w:r>
          </w:p>
        </w:tc>
      </w:tr>
      <w:tr w14:paraId="36BE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50" w:type="pct"/>
            <w:shd w:val="clear" w:color="auto" w:fill="auto"/>
            <w:vAlign w:val="center"/>
          </w:tcPr>
          <w:p w14:paraId="5F83DEEE">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w:t>
            </w:r>
          </w:p>
        </w:tc>
        <w:tc>
          <w:tcPr>
            <w:tcW w:w="794" w:type="pct"/>
            <w:shd w:val="clear" w:color="auto" w:fill="auto"/>
            <w:vAlign w:val="center"/>
          </w:tcPr>
          <w:p w14:paraId="78F7498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技术公司</w:t>
            </w:r>
            <w:r>
              <w:rPr>
                <w:rFonts w:hint="eastAsia" w:ascii="Times New Roman" w:hAnsi="Times New Roman" w:eastAsia="宋体" w:cs="Times New Roman"/>
                <w:bCs w:val="0"/>
                <w:snapToGrid w:val="0"/>
                <w:color w:val="auto"/>
                <w:kern w:val="0"/>
                <w:sz w:val="21"/>
                <w:szCs w:val="21"/>
                <w:highlight w:val="none"/>
                <w:lang w:val="en-US" w:eastAsia="zh-CN"/>
              </w:rPr>
              <w:t>长链二元酸扩产项目</w:t>
            </w:r>
          </w:p>
        </w:tc>
        <w:tc>
          <w:tcPr>
            <w:tcW w:w="2486" w:type="pct"/>
            <w:vAlign w:val="center"/>
          </w:tcPr>
          <w:p w14:paraId="5A9010C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369" w:type="pct"/>
            <w:vAlign w:val="center"/>
          </w:tcPr>
          <w:p w14:paraId="592C73A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废水进入</w:t>
            </w:r>
            <w:r>
              <w:rPr>
                <w:rFonts w:hint="default" w:ascii="Times New Roman" w:hAnsi="Times New Roman" w:eastAsia="宋体" w:cs="Times New Roman"/>
                <w:color w:val="auto"/>
                <w:sz w:val="21"/>
                <w:szCs w:val="21"/>
                <w:highlight w:val="none"/>
                <w:lang w:eastAsia="zh-CN"/>
              </w:rPr>
              <w:t>乌苏市西区污水处理厂二期工程</w:t>
            </w:r>
            <w:r>
              <w:rPr>
                <w:rFonts w:hint="eastAsia" w:ascii="Times New Roman" w:hAnsi="Times New Roman" w:cs="Times New Roman"/>
                <w:color w:val="auto"/>
                <w:sz w:val="21"/>
                <w:szCs w:val="21"/>
                <w:highlight w:val="none"/>
                <w:lang w:val="en-US" w:eastAsia="zh-CN"/>
              </w:rPr>
              <w:t>进行处理</w:t>
            </w:r>
          </w:p>
        </w:tc>
      </w:tr>
      <w:tr w14:paraId="0E9A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392" w:hRule="atLeast"/>
          <w:jc w:val="center"/>
        </w:trPr>
        <w:tc>
          <w:tcPr>
            <w:tcW w:w="350" w:type="pct"/>
            <w:shd w:val="clear" w:color="auto" w:fill="auto"/>
            <w:vAlign w:val="center"/>
          </w:tcPr>
          <w:p w14:paraId="4641074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794" w:type="pct"/>
            <w:shd w:val="clear" w:color="auto" w:fill="auto"/>
            <w:vAlign w:val="center"/>
          </w:tcPr>
          <w:p w14:paraId="30BB901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outlineLvl w:val="9"/>
              <w:rPr>
                <w:rFonts w:hint="eastAsia" w:ascii="Times New Roman" w:hAnsi="Times New Roman" w:cs="Times New Roman"/>
                <w:color w:val="auto"/>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材料公司年产20000吨LCDN项目</w:t>
            </w:r>
          </w:p>
        </w:tc>
        <w:tc>
          <w:tcPr>
            <w:tcW w:w="2486" w:type="pct"/>
            <w:vAlign w:val="center"/>
          </w:tcPr>
          <w:p w14:paraId="58CB655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369" w:type="pct"/>
            <w:vAlign w:val="center"/>
          </w:tcPr>
          <w:p w14:paraId="24407F55">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废水进入</w:t>
            </w:r>
            <w:r>
              <w:rPr>
                <w:rFonts w:hint="eastAsia" w:ascii="Times New Roman" w:hAnsi="Times New Roman" w:eastAsia="宋体" w:cs="Times New Roman"/>
                <w:color w:val="auto"/>
                <w:kern w:val="2"/>
                <w:sz w:val="21"/>
                <w:szCs w:val="21"/>
                <w:highlight w:val="none"/>
                <w:vertAlign w:val="baseline"/>
                <w:lang w:val="en-US" w:eastAsia="zh-CN" w:bidi="ar-SA"/>
              </w:rPr>
              <w:t>乌苏市西区污水处理厂</w:t>
            </w:r>
            <w:r>
              <w:rPr>
                <w:rFonts w:hint="eastAsia" w:cs="Times New Roman"/>
                <w:color w:val="auto"/>
                <w:kern w:val="2"/>
                <w:sz w:val="21"/>
                <w:szCs w:val="21"/>
                <w:highlight w:val="none"/>
                <w:vertAlign w:val="baseline"/>
                <w:lang w:val="en-US" w:eastAsia="zh-CN" w:bidi="ar-SA"/>
              </w:rPr>
              <w:t>一期工程进行</w:t>
            </w:r>
            <w:r>
              <w:rPr>
                <w:rFonts w:hint="eastAsia" w:ascii="Times New Roman" w:hAnsi="Times New Roman" w:eastAsia="宋体" w:cs="Times New Roman"/>
                <w:color w:val="auto"/>
                <w:kern w:val="2"/>
                <w:sz w:val="21"/>
                <w:szCs w:val="21"/>
                <w:highlight w:val="none"/>
                <w:vertAlign w:val="baseline"/>
                <w:lang w:val="en-US" w:eastAsia="zh-CN" w:bidi="ar-SA"/>
              </w:rPr>
              <w:t>处理</w:t>
            </w:r>
          </w:p>
        </w:tc>
      </w:tr>
    </w:tbl>
    <w:p w14:paraId="1293A7C5">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rFonts w:hint="eastAsia" w:eastAsia="宋体"/>
          <w:b/>
          <w:bCs/>
          <w:snapToGrid w:val="0"/>
          <w:color w:val="auto"/>
          <w:kern w:val="0"/>
          <w:szCs w:val="21"/>
          <w:highlight w:val="none"/>
          <w:lang w:val="en-US" w:eastAsia="zh-CN"/>
        </w:rPr>
      </w:pPr>
      <w:r>
        <w:rPr>
          <w:rFonts w:hint="eastAsia" w:eastAsia="宋体"/>
          <w:b/>
          <w:bCs/>
          <w:snapToGrid w:val="0"/>
          <w:color w:val="auto"/>
          <w:kern w:val="0"/>
          <w:szCs w:val="21"/>
          <w:highlight w:val="none"/>
          <w:lang w:val="en-US" w:eastAsia="zh-CN"/>
        </w:rPr>
        <w:t xml:space="preserve">表5.2-7 区域在建及拟建企业固废排放表 </w:t>
      </w:r>
    </w:p>
    <w:tbl>
      <w:tblPr>
        <w:tblStyle w:val="5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3" w:type="dxa"/>
          <w:bottom w:w="28" w:type="dxa"/>
          <w:right w:w="23" w:type="dxa"/>
        </w:tblCellMar>
      </w:tblPr>
      <w:tblGrid>
        <w:gridCol w:w="620"/>
        <w:gridCol w:w="2418"/>
        <w:gridCol w:w="1223"/>
        <w:gridCol w:w="975"/>
        <w:gridCol w:w="3025"/>
      </w:tblGrid>
      <w:tr w14:paraId="502C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93" w:hRule="atLeast"/>
          <w:jc w:val="center"/>
        </w:trPr>
        <w:tc>
          <w:tcPr>
            <w:tcW w:w="375" w:type="pct"/>
            <w:vMerge w:val="restart"/>
            <w:vAlign w:val="center"/>
          </w:tcPr>
          <w:p w14:paraId="6A239D9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463" w:type="pct"/>
            <w:vMerge w:val="restart"/>
            <w:vAlign w:val="center"/>
          </w:tcPr>
          <w:p w14:paraId="0E28088A">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1330" w:type="pct"/>
            <w:gridSpan w:val="2"/>
            <w:vAlign w:val="center"/>
          </w:tcPr>
          <w:p w14:paraId="5B1BA14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固废产生情况</w:t>
            </w:r>
          </w:p>
        </w:tc>
        <w:tc>
          <w:tcPr>
            <w:tcW w:w="1830" w:type="pct"/>
            <w:vMerge w:val="restart"/>
            <w:vAlign w:val="center"/>
          </w:tcPr>
          <w:p w14:paraId="399E9DB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r>
      <w:tr w14:paraId="60FA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93" w:hRule="atLeast"/>
          <w:jc w:val="center"/>
        </w:trPr>
        <w:tc>
          <w:tcPr>
            <w:tcW w:w="375" w:type="pct"/>
            <w:vMerge w:val="continue"/>
            <w:vAlign w:val="center"/>
          </w:tcPr>
          <w:p w14:paraId="6021679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p>
        </w:tc>
        <w:tc>
          <w:tcPr>
            <w:tcW w:w="1463" w:type="pct"/>
            <w:vMerge w:val="continue"/>
            <w:vAlign w:val="center"/>
          </w:tcPr>
          <w:p w14:paraId="643ADDF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p>
        </w:tc>
        <w:tc>
          <w:tcPr>
            <w:tcW w:w="740" w:type="pct"/>
            <w:vAlign w:val="center"/>
          </w:tcPr>
          <w:p w14:paraId="47BE8C8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一般固废</w:t>
            </w:r>
          </w:p>
          <w:p w14:paraId="20E420C3">
            <w:pPr>
              <w:pStyle w:val="68"/>
              <w:spacing w:line="240" w:lineRule="auto"/>
              <w:rPr>
                <w:rFonts w:hint="eastAsia" w:eastAsia="宋体"/>
                <w:color w:val="auto"/>
                <w:highlight w:val="none"/>
                <w:lang w:eastAsia="zh-CN"/>
              </w:rPr>
            </w:pP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t/a</w:t>
            </w:r>
            <w:r>
              <w:rPr>
                <w:rFonts w:hint="eastAsia" w:cs="Times New Roman"/>
                <w:color w:val="auto"/>
                <w:sz w:val="21"/>
                <w:szCs w:val="21"/>
                <w:highlight w:val="none"/>
                <w:lang w:eastAsia="zh-CN"/>
              </w:rPr>
              <w:t>）</w:t>
            </w:r>
          </w:p>
        </w:tc>
        <w:tc>
          <w:tcPr>
            <w:tcW w:w="589" w:type="pct"/>
            <w:vAlign w:val="center"/>
          </w:tcPr>
          <w:p w14:paraId="0BB7AAB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w:t>
            </w:r>
          </w:p>
          <w:p w14:paraId="55C50F2A">
            <w:pPr>
              <w:pStyle w:val="68"/>
              <w:spacing w:line="240" w:lineRule="auto"/>
              <w:rPr>
                <w:rFonts w:hint="default"/>
                <w:color w:val="auto"/>
                <w:highlight w:val="none"/>
              </w:rPr>
            </w:pP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t/a</w:t>
            </w:r>
            <w:r>
              <w:rPr>
                <w:rFonts w:hint="eastAsia" w:cs="Times New Roman"/>
                <w:color w:val="auto"/>
                <w:sz w:val="21"/>
                <w:szCs w:val="21"/>
                <w:highlight w:val="none"/>
                <w:lang w:eastAsia="zh-CN"/>
              </w:rPr>
              <w:t>）</w:t>
            </w:r>
          </w:p>
        </w:tc>
        <w:tc>
          <w:tcPr>
            <w:tcW w:w="1830" w:type="pct"/>
            <w:vMerge w:val="continue"/>
            <w:vAlign w:val="center"/>
          </w:tcPr>
          <w:p w14:paraId="1F243CC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p>
        </w:tc>
      </w:tr>
      <w:tr w14:paraId="5A77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75" w:type="pct"/>
            <w:vAlign w:val="center"/>
          </w:tcPr>
          <w:p w14:paraId="7AD74D6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463" w:type="pct"/>
            <w:shd w:val="clear" w:color="auto" w:fill="auto"/>
            <w:vAlign w:val="center"/>
          </w:tcPr>
          <w:p w14:paraId="0279BD99">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乌苏市西区污水处理厂二期工程</w:t>
            </w:r>
          </w:p>
        </w:tc>
        <w:tc>
          <w:tcPr>
            <w:tcW w:w="740" w:type="pct"/>
            <w:shd w:val="clear" w:color="auto" w:fill="auto"/>
            <w:vAlign w:val="center"/>
          </w:tcPr>
          <w:p w14:paraId="2C7E177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36794.9</w:t>
            </w:r>
          </w:p>
        </w:tc>
        <w:tc>
          <w:tcPr>
            <w:tcW w:w="589" w:type="pct"/>
            <w:shd w:val="clear" w:color="auto" w:fill="auto"/>
            <w:vAlign w:val="center"/>
          </w:tcPr>
          <w:p w14:paraId="134BC43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65.54</w:t>
            </w:r>
          </w:p>
        </w:tc>
        <w:tc>
          <w:tcPr>
            <w:tcW w:w="1830" w:type="pct"/>
            <w:shd w:val="clear" w:color="auto" w:fill="auto"/>
            <w:vAlign w:val="center"/>
          </w:tcPr>
          <w:p w14:paraId="79798A6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栅渣、污泥、杂盐、废试剂瓶和检测废液、废矿物油及包装桶、废膜，其中污泥、杂盐及废膜在项目运行后进行危险特性鉴别，鉴别结果出具之前，按照危废进行管理</w:t>
            </w:r>
          </w:p>
        </w:tc>
      </w:tr>
      <w:tr w14:paraId="3931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75" w:type="pct"/>
            <w:vAlign w:val="center"/>
          </w:tcPr>
          <w:p w14:paraId="729289C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463" w:type="pct"/>
            <w:vAlign w:val="center"/>
          </w:tcPr>
          <w:p w14:paraId="06138FE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技术公司</w:t>
            </w:r>
            <w:r>
              <w:rPr>
                <w:rFonts w:hint="eastAsia" w:ascii="Times New Roman" w:hAnsi="Times New Roman" w:eastAsia="宋体" w:cs="Times New Roman"/>
                <w:bCs w:val="0"/>
                <w:snapToGrid w:val="0"/>
                <w:color w:val="auto"/>
                <w:kern w:val="0"/>
                <w:sz w:val="21"/>
                <w:szCs w:val="21"/>
                <w:highlight w:val="none"/>
                <w:lang w:val="en-US" w:eastAsia="zh-CN"/>
              </w:rPr>
              <w:t>长链二元酸扩产项目</w:t>
            </w:r>
          </w:p>
        </w:tc>
        <w:tc>
          <w:tcPr>
            <w:tcW w:w="740" w:type="pct"/>
            <w:vAlign w:val="center"/>
          </w:tcPr>
          <w:p w14:paraId="0B516982">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12158.5</w:t>
            </w:r>
          </w:p>
        </w:tc>
        <w:tc>
          <w:tcPr>
            <w:tcW w:w="589" w:type="pct"/>
            <w:vAlign w:val="center"/>
          </w:tcPr>
          <w:p w14:paraId="55E6ED64">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885</w:t>
            </w:r>
          </w:p>
        </w:tc>
        <w:tc>
          <w:tcPr>
            <w:tcW w:w="1830" w:type="pct"/>
            <w:vAlign w:val="center"/>
          </w:tcPr>
          <w:p w14:paraId="68C4941A">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菌体污泥、废润滑油、废包装物</w:t>
            </w:r>
          </w:p>
        </w:tc>
      </w:tr>
      <w:tr w14:paraId="3840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3" w:type="dxa"/>
            <w:bottom w:w="28" w:type="dxa"/>
            <w:right w:w="23" w:type="dxa"/>
          </w:tblCellMar>
        </w:tblPrEx>
        <w:trPr>
          <w:trHeight w:val="273" w:hRule="atLeast"/>
          <w:jc w:val="center"/>
        </w:trPr>
        <w:tc>
          <w:tcPr>
            <w:tcW w:w="375" w:type="pct"/>
            <w:vAlign w:val="center"/>
          </w:tcPr>
          <w:p w14:paraId="5E5E8CEB">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1463" w:type="pct"/>
            <w:vAlign w:val="center"/>
          </w:tcPr>
          <w:p w14:paraId="15D44EA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eastAsia" w:ascii="Times New Roman" w:hAnsi="Times New Roman" w:cs="Times New Roman"/>
                <w:color w:val="auto"/>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材料公司年产20000吨LCDN项目</w:t>
            </w:r>
          </w:p>
        </w:tc>
        <w:tc>
          <w:tcPr>
            <w:tcW w:w="740" w:type="pct"/>
            <w:vAlign w:val="center"/>
          </w:tcPr>
          <w:p w14:paraId="1BE3D791">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867.4</w:t>
            </w:r>
          </w:p>
        </w:tc>
        <w:tc>
          <w:tcPr>
            <w:tcW w:w="589" w:type="pct"/>
            <w:vAlign w:val="center"/>
          </w:tcPr>
          <w:p w14:paraId="403610A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15.8</w:t>
            </w:r>
          </w:p>
        </w:tc>
        <w:tc>
          <w:tcPr>
            <w:tcW w:w="1830" w:type="pct"/>
            <w:vAlign w:val="center"/>
          </w:tcPr>
          <w:p w14:paraId="58E898F9">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废加氢催化剂</w:t>
            </w:r>
            <w:r>
              <w:rPr>
                <w:rFonts w:hint="eastAsia" w:cs="Times New Roman"/>
                <w:color w:val="auto"/>
                <w:sz w:val="21"/>
                <w:szCs w:val="21"/>
                <w:highlight w:val="none"/>
                <w:lang w:eastAsia="zh-CN"/>
              </w:rPr>
              <w:t>、废变压吸附剂、废甲醇制氢催化剂、废润滑油、废活性炭、废导热油、化学品废包装材料、废硅藻土、污水处理站污泥、硅藻土及活性炭废包装材料</w:t>
            </w:r>
          </w:p>
        </w:tc>
      </w:tr>
    </w:tbl>
    <w:p w14:paraId="1C1C32D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default"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5.2.9.3区域消减污染源调查</w:t>
      </w:r>
    </w:p>
    <w:p w14:paraId="2A54BE60">
      <w:pPr>
        <w:spacing w:line="360" w:lineRule="auto"/>
        <w:ind w:firstLine="480" w:firstLineChars="200"/>
        <w:rPr>
          <w:rFonts w:hint="default" w:ascii="Times New Roman" w:hAnsi="Times New Roman"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根据《凯赛（乌苏）生物材料有限公司“一企一策”大气污染治理方案（2024年）》，</w:t>
      </w:r>
      <w:r>
        <w:rPr>
          <w:rFonts w:hint="eastAsia" w:ascii="Times New Roman" w:hAnsi="Times New Roman" w:cs="Times New Roman"/>
          <w:color w:val="auto"/>
          <w:kern w:val="2"/>
          <w:sz w:val="24"/>
          <w:szCs w:val="24"/>
          <w:highlight w:val="none"/>
          <w:lang w:val="en-US" w:eastAsia="zh-CN"/>
        </w:rPr>
        <w:t>区域废气污染物消减情况见表5.</w:t>
      </w:r>
      <w:r>
        <w:rPr>
          <w:rFonts w:hint="eastAsia" w:cs="Times New Roman"/>
          <w:color w:val="auto"/>
          <w:kern w:val="2"/>
          <w:sz w:val="24"/>
          <w:szCs w:val="24"/>
          <w:highlight w:val="none"/>
          <w:lang w:val="en-US" w:eastAsia="zh-CN"/>
        </w:rPr>
        <w:t>2-8</w:t>
      </w:r>
      <w:r>
        <w:rPr>
          <w:rFonts w:hint="eastAsia" w:ascii="Times New Roman" w:hAnsi="Times New Roman" w:cs="Times New Roman"/>
          <w:color w:val="auto"/>
          <w:kern w:val="2"/>
          <w:sz w:val="24"/>
          <w:szCs w:val="24"/>
          <w:highlight w:val="none"/>
          <w:lang w:val="en-US" w:eastAsia="zh-CN"/>
        </w:rPr>
        <w:t>。</w:t>
      </w:r>
    </w:p>
    <w:p w14:paraId="72D3B6F6">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rFonts w:hint="eastAsia" w:eastAsia="宋体"/>
          <w:b/>
          <w:bCs/>
          <w:snapToGrid w:val="0"/>
          <w:color w:val="auto"/>
          <w:kern w:val="0"/>
          <w:szCs w:val="21"/>
          <w:highlight w:val="none"/>
          <w:lang w:val="en-US" w:eastAsia="zh-CN"/>
        </w:rPr>
      </w:pPr>
      <w:r>
        <w:rPr>
          <w:rFonts w:hint="default" w:eastAsia="宋体"/>
          <w:b/>
          <w:bCs/>
          <w:snapToGrid w:val="0"/>
          <w:color w:val="auto"/>
          <w:kern w:val="0"/>
          <w:szCs w:val="21"/>
          <w:highlight w:val="none"/>
          <w:lang w:val="en-US" w:eastAsia="zh-CN"/>
        </w:rPr>
        <w:t>表</w:t>
      </w:r>
      <w:r>
        <w:rPr>
          <w:rFonts w:hint="eastAsia" w:eastAsia="宋体"/>
          <w:b/>
          <w:bCs/>
          <w:snapToGrid w:val="0"/>
          <w:color w:val="auto"/>
          <w:kern w:val="0"/>
          <w:szCs w:val="21"/>
          <w:highlight w:val="none"/>
          <w:lang w:val="en-US" w:eastAsia="zh-CN"/>
        </w:rPr>
        <w:t>5.2-8</w:t>
      </w:r>
      <w:r>
        <w:rPr>
          <w:rFonts w:hint="default" w:eastAsia="宋体"/>
          <w:b/>
          <w:bCs/>
          <w:snapToGrid w:val="0"/>
          <w:color w:val="auto"/>
          <w:kern w:val="0"/>
          <w:szCs w:val="21"/>
          <w:highlight w:val="none"/>
          <w:lang w:val="en-US" w:eastAsia="zh-CN"/>
        </w:rPr>
        <w:t xml:space="preserve"> </w:t>
      </w:r>
      <w:r>
        <w:rPr>
          <w:rFonts w:hint="eastAsia" w:eastAsia="宋体"/>
          <w:b/>
          <w:bCs/>
          <w:snapToGrid w:val="0"/>
          <w:color w:val="auto"/>
          <w:kern w:val="0"/>
          <w:szCs w:val="21"/>
          <w:highlight w:val="none"/>
          <w:lang w:val="en-US" w:eastAsia="zh-CN"/>
        </w:rPr>
        <w:t>削减源污染物排放一览表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471"/>
        <w:gridCol w:w="1882"/>
        <w:gridCol w:w="1048"/>
        <w:gridCol w:w="1125"/>
        <w:gridCol w:w="1491"/>
        <w:gridCol w:w="998"/>
        <w:gridCol w:w="1258"/>
      </w:tblGrid>
      <w:tr w14:paraId="2C8E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85" w:type="pct"/>
            <w:vMerge w:val="restart"/>
            <w:tcBorders>
              <w:tl2br w:val="nil"/>
              <w:tr2bl w:val="nil"/>
            </w:tcBorders>
            <w:vAlign w:val="center"/>
          </w:tcPr>
          <w:p w14:paraId="7553278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编号</w:t>
            </w:r>
          </w:p>
        </w:tc>
        <w:tc>
          <w:tcPr>
            <w:tcW w:w="1137" w:type="pct"/>
            <w:vMerge w:val="restart"/>
            <w:tcBorders>
              <w:tl2br w:val="nil"/>
              <w:tr2bl w:val="nil"/>
            </w:tcBorders>
            <w:vAlign w:val="center"/>
          </w:tcPr>
          <w:p w14:paraId="089A7A9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名称</w:t>
            </w:r>
          </w:p>
        </w:tc>
        <w:tc>
          <w:tcPr>
            <w:tcW w:w="633" w:type="pct"/>
            <w:vMerge w:val="restart"/>
            <w:tcBorders>
              <w:tl2br w:val="nil"/>
              <w:tr2bl w:val="nil"/>
            </w:tcBorders>
            <w:vAlign w:val="center"/>
          </w:tcPr>
          <w:p w14:paraId="2A496CB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内径</w:t>
            </w:r>
            <w:r>
              <w:rPr>
                <w:rFonts w:hint="default" w:ascii="Times New Roman" w:hAnsi="Times New Roman" w:eastAsia="宋体" w:cs="Times New Roman"/>
                <w:snapToGrid w:val="0"/>
                <w:color w:val="auto"/>
                <w:kern w:val="0"/>
                <w:sz w:val="21"/>
                <w:szCs w:val="21"/>
                <w:highlight w:val="none"/>
              </w:rPr>
              <w:t>/m</w:t>
            </w:r>
          </w:p>
        </w:tc>
        <w:tc>
          <w:tcPr>
            <w:tcW w:w="679" w:type="pct"/>
            <w:vMerge w:val="restart"/>
            <w:tcBorders>
              <w:tl2br w:val="nil"/>
              <w:tr2bl w:val="nil"/>
            </w:tcBorders>
            <w:vAlign w:val="center"/>
          </w:tcPr>
          <w:p w14:paraId="175244F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高</w:t>
            </w:r>
            <w:r>
              <w:rPr>
                <w:rFonts w:hint="default" w:ascii="Times New Roman" w:hAnsi="Times New Roman" w:eastAsia="宋体" w:cs="Times New Roman"/>
                <w:snapToGrid w:val="0"/>
                <w:color w:val="auto"/>
                <w:kern w:val="0"/>
                <w:sz w:val="21"/>
                <w:szCs w:val="21"/>
                <w:highlight w:val="none"/>
              </w:rPr>
              <w:t>度/m</w:t>
            </w:r>
          </w:p>
        </w:tc>
        <w:tc>
          <w:tcPr>
            <w:tcW w:w="901" w:type="pct"/>
            <w:vMerge w:val="restart"/>
            <w:tcBorders>
              <w:tl2br w:val="nil"/>
              <w:tr2bl w:val="nil"/>
            </w:tcBorders>
            <w:vAlign w:val="center"/>
          </w:tcPr>
          <w:p w14:paraId="032B248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年排放</w:t>
            </w:r>
            <w:r>
              <w:rPr>
                <w:rFonts w:hint="eastAsia" w:ascii="Times New Roman" w:hAnsi="Times New Roman" w:eastAsia="宋体" w:cs="Times New Roman"/>
                <w:snapToGrid w:val="0"/>
                <w:color w:val="auto"/>
                <w:kern w:val="0"/>
                <w:sz w:val="21"/>
                <w:szCs w:val="21"/>
                <w:highlight w:val="none"/>
                <w:lang w:val="en-US" w:eastAsia="zh-CN"/>
              </w:rPr>
              <w:t>时间</w:t>
            </w:r>
            <w:r>
              <w:rPr>
                <w:rFonts w:hint="default" w:ascii="Times New Roman" w:hAnsi="Times New Roman" w:eastAsia="宋体" w:cs="Times New Roman"/>
                <w:snapToGrid w:val="0"/>
                <w:color w:val="auto"/>
                <w:kern w:val="0"/>
                <w:sz w:val="21"/>
                <w:szCs w:val="21"/>
                <w:highlight w:val="none"/>
              </w:rPr>
              <w:t>/h</w:t>
            </w:r>
          </w:p>
        </w:tc>
        <w:tc>
          <w:tcPr>
            <w:tcW w:w="1363" w:type="pct"/>
            <w:gridSpan w:val="2"/>
            <w:tcBorders>
              <w:tl2br w:val="nil"/>
              <w:tr2bl w:val="nil"/>
            </w:tcBorders>
            <w:vAlign w:val="center"/>
          </w:tcPr>
          <w:p w14:paraId="4C10AAF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污染物排放速率（</w:t>
            </w:r>
            <w:r>
              <w:rPr>
                <w:rFonts w:hint="eastAsia" w:ascii="Times New Roman" w:hAnsi="Times New Roman" w:eastAsia="宋体" w:cs="Times New Roman"/>
                <w:snapToGrid w:val="0"/>
                <w:color w:val="auto"/>
                <w:kern w:val="0"/>
                <w:sz w:val="21"/>
                <w:szCs w:val="21"/>
                <w:highlight w:val="none"/>
                <w:lang w:val="en-US" w:eastAsia="zh-CN"/>
              </w:rPr>
              <w:t>kg/h</w:t>
            </w:r>
            <w:r>
              <w:rPr>
                <w:rFonts w:hint="default" w:ascii="Times New Roman" w:hAnsi="Times New Roman" w:eastAsia="宋体" w:cs="Times New Roman"/>
                <w:snapToGrid w:val="0"/>
                <w:color w:val="auto"/>
                <w:kern w:val="0"/>
                <w:sz w:val="21"/>
                <w:szCs w:val="21"/>
                <w:highlight w:val="none"/>
              </w:rPr>
              <w:t>）</w:t>
            </w:r>
          </w:p>
        </w:tc>
      </w:tr>
      <w:tr w14:paraId="5E86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85" w:type="pct"/>
            <w:vMerge w:val="continue"/>
            <w:tcBorders>
              <w:tl2br w:val="nil"/>
              <w:tr2bl w:val="nil"/>
            </w:tcBorders>
            <w:vAlign w:val="center"/>
          </w:tcPr>
          <w:p w14:paraId="5D8E00F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1137" w:type="pct"/>
            <w:vMerge w:val="continue"/>
            <w:tcBorders>
              <w:tl2br w:val="nil"/>
              <w:tr2bl w:val="nil"/>
            </w:tcBorders>
            <w:vAlign w:val="center"/>
          </w:tcPr>
          <w:p w14:paraId="0097A95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633" w:type="pct"/>
            <w:vMerge w:val="continue"/>
            <w:tcBorders>
              <w:tl2br w:val="nil"/>
              <w:tr2bl w:val="nil"/>
            </w:tcBorders>
            <w:vAlign w:val="center"/>
          </w:tcPr>
          <w:p w14:paraId="3D48896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679" w:type="pct"/>
            <w:vMerge w:val="continue"/>
            <w:tcBorders>
              <w:tl2br w:val="nil"/>
              <w:tr2bl w:val="nil"/>
            </w:tcBorders>
            <w:vAlign w:val="center"/>
          </w:tcPr>
          <w:p w14:paraId="6889A7F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901" w:type="pct"/>
            <w:vMerge w:val="continue"/>
            <w:tcBorders>
              <w:tl2br w:val="nil"/>
              <w:tr2bl w:val="nil"/>
            </w:tcBorders>
            <w:vAlign w:val="center"/>
          </w:tcPr>
          <w:p w14:paraId="5C988B1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603" w:type="pct"/>
            <w:tcBorders>
              <w:tl2br w:val="nil"/>
              <w:tr2bl w:val="nil"/>
            </w:tcBorders>
            <w:vAlign w:val="center"/>
          </w:tcPr>
          <w:p w14:paraId="5AA2228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PM</w:t>
            </w:r>
            <w:r>
              <w:rPr>
                <w:rFonts w:hint="eastAsia" w:ascii="Times New Roman" w:hAnsi="Times New Roman" w:eastAsia="宋体" w:cs="Times New Roman"/>
                <w:snapToGrid w:val="0"/>
                <w:color w:val="auto"/>
                <w:kern w:val="0"/>
                <w:sz w:val="21"/>
                <w:szCs w:val="21"/>
                <w:highlight w:val="none"/>
                <w:vertAlign w:val="subscript"/>
                <w:lang w:val="en-US" w:eastAsia="zh-CN"/>
              </w:rPr>
              <w:t>10</w:t>
            </w:r>
          </w:p>
        </w:tc>
        <w:tc>
          <w:tcPr>
            <w:tcW w:w="760" w:type="pct"/>
            <w:tcBorders>
              <w:tl2br w:val="nil"/>
              <w:tr2bl w:val="nil"/>
            </w:tcBorders>
            <w:vAlign w:val="center"/>
          </w:tcPr>
          <w:p w14:paraId="0F2A5CE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snapToGrid w:val="0"/>
                <w:color w:val="auto"/>
                <w:kern w:val="0"/>
                <w:sz w:val="21"/>
                <w:szCs w:val="21"/>
                <w:highlight w:val="none"/>
                <w:lang w:val="en-US" w:eastAsia="zh-CN"/>
              </w:rPr>
              <w:t>PM</w:t>
            </w:r>
            <w:r>
              <w:rPr>
                <w:rFonts w:hint="eastAsia" w:ascii="Times New Roman" w:hAnsi="Times New Roman" w:eastAsia="宋体" w:cs="Times New Roman"/>
                <w:snapToGrid w:val="0"/>
                <w:color w:val="auto"/>
                <w:kern w:val="0"/>
                <w:sz w:val="21"/>
                <w:szCs w:val="21"/>
                <w:highlight w:val="none"/>
                <w:vertAlign w:val="subscript"/>
                <w:lang w:val="en-US" w:eastAsia="zh-CN"/>
              </w:rPr>
              <w:t>2.5</w:t>
            </w:r>
          </w:p>
        </w:tc>
      </w:tr>
      <w:tr w14:paraId="3D94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85" w:type="pct"/>
            <w:tcBorders>
              <w:tl2br w:val="nil"/>
              <w:tr2bl w:val="nil"/>
            </w:tcBorders>
            <w:vAlign w:val="center"/>
          </w:tcPr>
          <w:p w14:paraId="26F39C5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w:t>
            </w:r>
          </w:p>
        </w:tc>
        <w:tc>
          <w:tcPr>
            <w:tcW w:w="1137" w:type="pct"/>
            <w:tcBorders>
              <w:tl2br w:val="nil"/>
              <w:tr2bl w:val="nil"/>
            </w:tcBorders>
            <w:vAlign w:val="center"/>
          </w:tcPr>
          <w:p w14:paraId="4505AA6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燃煤锅炉颗粒物</w:t>
            </w:r>
          </w:p>
        </w:tc>
        <w:tc>
          <w:tcPr>
            <w:tcW w:w="633" w:type="pct"/>
            <w:tcBorders>
              <w:tl2br w:val="nil"/>
              <w:tr2bl w:val="nil"/>
            </w:tcBorders>
            <w:vAlign w:val="center"/>
          </w:tcPr>
          <w:p w14:paraId="6093D13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3.5</w:t>
            </w:r>
          </w:p>
        </w:tc>
        <w:tc>
          <w:tcPr>
            <w:tcW w:w="679" w:type="pct"/>
            <w:tcBorders>
              <w:tl2br w:val="nil"/>
              <w:tr2bl w:val="nil"/>
            </w:tcBorders>
            <w:vAlign w:val="center"/>
          </w:tcPr>
          <w:p w14:paraId="12C5D19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100</w:t>
            </w:r>
          </w:p>
        </w:tc>
        <w:tc>
          <w:tcPr>
            <w:tcW w:w="901" w:type="pct"/>
            <w:tcBorders>
              <w:tl2br w:val="nil"/>
              <w:tr2bl w:val="nil"/>
            </w:tcBorders>
            <w:vAlign w:val="center"/>
          </w:tcPr>
          <w:p w14:paraId="332B2736">
            <w:pPr>
              <w:jc w:val="center"/>
              <w:rPr>
                <w:rFonts w:hint="default" w:eastAsia="宋体"/>
                <w:color w:val="auto"/>
                <w:highlight w:val="none"/>
                <w:lang w:val="en-US" w:eastAsia="zh-CN"/>
              </w:rPr>
            </w:pPr>
            <w:r>
              <w:rPr>
                <w:rFonts w:hint="eastAsia"/>
                <w:color w:val="auto"/>
                <w:highlight w:val="none"/>
                <w:lang w:val="en-US" w:eastAsia="zh-CN"/>
              </w:rPr>
              <w:t>7920</w:t>
            </w:r>
          </w:p>
        </w:tc>
        <w:tc>
          <w:tcPr>
            <w:tcW w:w="603" w:type="pct"/>
            <w:tcBorders>
              <w:tl2br w:val="nil"/>
              <w:tr2bl w:val="nil"/>
            </w:tcBorders>
            <w:vAlign w:val="center"/>
          </w:tcPr>
          <w:p w14:paraId="4124D8E2">
            <w:pPr>
              <w:jc w:val="center"/>
              <w:rPr>
                <w:rFonts w:hint="default"/>
                <w:color w:val="auto"/>
                <w:highlight w:val="none"/>
                <w:lang w:val="en-US"/>
              </w:rPr>
            </w:pPr>
            <w:r>
              <w:rPr>
                <w:rFonts w:hint="eastAsia" w:cs="Times New Roman"/>
                <w:snapToGrid w:val="0"/>
                <w:color w:val="auto"/>
                <w:kern w:val="0"/>
                <w:sz w:val="21"/>
                <w:szCs w:val="21"/>
                <w:highlight w:val="none"/>
                <w:lang w:val="en-US" w:eastAsia="zh-CN"/>
              </w:rPr>
              <w:t>0.943</w:t>
            </w:r>
          </w:p>
        </w:tc>
        <w:tc>
          <w:tcPr>
            <w:tcW w:w="760" w:type="pct"/>
            <w:tcBorders>
              <w:tl2br w:val="nil"/>
              <w:tr2bl w:val="nil"/>
            </w:tcBorders>
            <w:vAlign w:val="center"/>
          </w:tcPr>
          <w:p w14:paraId="6E29D49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0.472</w:t>
            </w:r>
          </w:p>
        </w:tc>
      </w:tr>
      <w:tr w14:paraId="480C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85" w:type="pct"/>
            <w:tcBorders>
              <w:tl2br w:val="nil"/>
              <w:tr2bl w:val="nil"/>
            </w:tcBorders>
            <w:vAlign w:val="center"/>
          </w:tcPr>
          <w:p w14:paraId="54B7C2E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2</w:t>
            </w:r>
          </w:p>
        </w:tc>
        <w:tc>
          <w:tcPr>
            <w:tcW w:w="1137" w:type="pct"/>
            <w:tcBorders>
              <w:tl2br w:val="nil"/>
              <w:tr2bl w:val="nil"/>
            </w:tcBorders>
            <w:vAlign w:val="center"/>
          </w:tcPr>
          <w:p w14:paraId="723ADCA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淀粉车间新增异味收集治理</w:t>
            </w:r>
          </w:p>
        </w:tc>
        <w:tc>
          <w:tcPr>
            <w:tcW w:w="633" w:type="pct"/>
            <w:tcBorders>
              <w:tl2br w:val="nil"/>
              <w:tr2bl w:val="nil"/>
            </w:tcBorders>
            <w:vAlign w:val="center"/>
          </w:tcPr>
          <w:p w14:paraId="5251870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等效内径：1.22</w:t>
            </w:r>
          </w:p>
        </w:tc>
        <w:tc>
          <w:tcPr>
            <w:tcW w:w="679" w:type="pct"/>
            <w:tcBorders>
              <w:tl2br w:val="nil"/>
              <w:tr2bl w:val="nil"/>
            </w:tcBorders>
            <w:vAlign w:val="center"/>
          </w:tcPr>
          <w:p w14:paraId="1FFB78C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等效高度：17</w:t>
            </w:r>
          </w:p>
        </w:tc>
        <w:tc>
          <w:tcPr>
            <w:tcW w:w="901" w:type="pct"/>
            <w:tcBorders>
              <w:tl2br w:val="nil"/>
              <w:tr2bl w:val="nil"/>
            </w:tcBorders>
            <w:vAlign w:val="center"/>
          </w:tcPr>
          <w:p w14:paraId="5E2457FC">
            <w:pPr>
              <w:jc w:val="center"/>
              <w:rPr>
                <w:rFonts w:hint="default" w:eastAsia="宋体"/>
                <w:color w:val="auto"/>
                <w:highlight w:val="none"/>
                <w:lang w:val="en-US" w:eastAsia="zh-CN"/>
              </w:rPr>
            </w:pPr>
            <w:r>
              <w:rPr>
                <w:rFonts w:hint="eastAsia"/>
                <w:color w:val="auto"/>
                <w:highlight w:val="none"/>
                <w:lang w:val="en-US" w:eastAsia="zh-CN"/>
              </w:rPr>
              <w:t>7920</w:t>
            </w:r>
          </w:p>
        </w:tc>
        <w:tc>
          <w:tcPr>
            <w:tcW w:w="603" w:type="pct"/>
            <w:tcBorders>
              <w:tl2br w:val="nil"/>
              <w:tr2bl w:val="nil"/>
            </w:tcBorders>
            <w:vAlign w:val="center"/>
          </w:tcPr>
          <w:p w14:paraId="0307C61B">
            <w:pPr>
              <w:jc w:val="center"/>
              <w:rPr>
                <w:rFonts w:hint="default" w:eastAsia="宋体"/>
                <w:color w:val="auto"/>
                <w:highlight w:val="none"/>
                <w:lang w:val="en-US" w:eastAsia="zh-CN"/>
              </w:rPr>
            </w:pPr>
            <w:r>
              <w:rPr>
                <w:rFonts w:hint="eastAsia"/>
                <w:color w:val="auto"/>
                <w:highlight w:val="none"/>
                <w:lang w:val="en-US" w:eastAsia="zh-CN"/>
              </w:rPr>
              <w:t>0.227</w:t>
            </w:r>
          </w:p>
        </w:tc>
        <w:tc>
          <w:tcPr>
            <w:tcW w:w="760" w:type="pct"/>
            <w:tcBorders>
              <w:tl2br w:val="nil"/>
              <w:tr2bl w:val="nil"/>
            </w:tcBorders>
            <w:vAlign w:val="center"/>
          </w:tcPr>
          <w:p w14:paraId="5E0CF31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0.114</w:t>
            </w:r>
          </w:p>
        </w:tc>
      </w:tr>
      <w:tr w14:paraId="0EA1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85" w:type="pct"/>
            <w:tcBorders>
              <w:tl2br w:val="nil"/>
              <w:tr2bl w:val="nil"/>
            </w:tcBorders>
            <w:vAlign w:val="center"/>
          </w:tcPr>
          <w:p w14:paraId="56C7F20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3</w:t>
            </w:r>
          </w:p>
        </w:tc>
        <w:tc>
          <w:tcPr>
            <w:tcW w:w="1137" w:type="pct"/>
            <w:tcBorders>
              <w:tl2br w:val="nil"/>
              <w:tr2bl w:val="nil"/>
            </w:tcBorders>
            <w:vAlign w:val="center"/>
          </w:tcPr>
          <w:p w14:paraId="309DDB8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玉米烘干转运除尘改造</w:t>
            </w:r>
          </w:p>
        </w:tc>
        <w:tc>
          <w:tcPr>
            <w:tcW w:w="633" w:type="pct"/>
            <w:tcBorders>
              <w:tl2br w:val="nil"/>
              <w:tr2bl w:val="nil"/>
            </w:tcBorders>
            <w:vAlign w:val="center"/>
          </w:tcPr>
          <w:p w14:paraId="195E881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等效内径：1.87</w:t>
            </w:r>
          </w:p>
        </w:tc>
        <w:tc>
          <w:tcPr>
            <w:tcW w:w="679" w:type="pct"/>
            <w:tcBorders>
              <w:tl2br w:val="nil"/>
              <w:tr2bl w:val="nil"/>
            </w:tcBorders>
            <w:vAlign w:val="center"/>
          </w:tcPr>
          <w:p w14:paraId="55EC728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等效高度：25.58</w:t>
            </w:r>
          </w:p>
        </w:tc>
        <w:tc>
          <w:tcPr>
            <w:tcW w:w="901" w:type="pct"/>
            <w:tcBorders>
              <w:tl2br w:val="nil"/>
              <w:tr2bl w:val="nil"/>
            </w:tcBorders>
            <w:vAlign w:val="center"/>
          </w:tcPr>
          <w:p w14:paraId="18FD4E08">
            <w:pPr>
              <w:jc w:val="center"/>
              <w:rPr>
                <w:rFonts w:hint="default"/>
                <w:color w:val="auto"/>
                <w:highlight w:val="none"/>
                <w:lang w:val="en-US" w:eastAsia="zh-CN"/>
              </w:rPr>
            </w:pPr>
            <w:r>
              <w:rPr>
                <w:rFonts w:hint="eastAsia"/>
                <w:color w:val="auto"/>
                <w:highlight w:val="none"/>
                <w:lang w:val="en-US" w:eastAsia="zh-CN"/>
              </w:rPr>
              <w:t>7920</w:t>
            </w:r>
          </w:p>
        </w:tc>
        <w:tc>
          <w:tcPr>
            <w:tcW w:w="603" w:type="pct"/>
            <w:tcBorders>
              <w:tl2br w:val="nil"/>
              <w:tr2bl w:val="nil"/>
            </w:tcBorders>
            <w:vAlign w:val="center"/>
          </w:tcPr>
          <w:p w14:paraId="591B3B4A">
            <w:pPr>
              <w:jc w:val="center"/>
              <w:rPr>
                <w:rFonts w:hint="default"/>
                <w:color w:val="auto"/>
                <w:highlight w:val="none"/>
                <w:lang w:val="en-US" w:eastAsia="zh-CN"/>
              </w:rPr>
            </w:pPr>
            <w:r>
              <w:rPr>
                <w:rFonts w:hint="eastAsia"/>
                <w:color w:val="auto"/>
                <w:highlight w:val="none"/>
                <w:lang w:val="en-US" w:eastAsia="zh-CN"/>
              </w:rPr>
              <w:t>0.006</w:t>
            </w:r>
          </w:p>
        </w:tc>
        <w:tc>
          <w:tcPr>
            <w:tcW w:w="760" w:type="pct"/>
            <w:tcBorders>
              <w:tl2br w:val="nil"/>
              <w:tr2bl w:val="nil"/>
            </w:tcBorders>
            <w:vAlign w:val="center"/>
          </w:tcPr>
          <w:p w14:paraId="37ABCE3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0.003</w:t>
            </w:r>
          </w:p>
        </w:tc>
      </w:tr>
      <w:tr w14:paraId="4D29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85" w:type="pct"/>
            <w:tcBorders>
              <w:tl2br w:val="nil"/>
              <w:tr2bl w:val="nil"/>
            </w:tcBorders>
            <w:vAlign w:val="center"/>
          </w:tcPr>
          <w:p w14:paraId="5B1F877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4</w:t>
            </w:r>
          </w:p>
        </w:tc>
        <w:tc>
          <w:tcPr>
            <w:tcW w:w="1137" w:type="pct"/>
            <w:tcBorders>
              <w:tl2br w:val="nil"/>
              <w:tr2bl w:val="nil"/>
            </w:tcBorders>
            <w:vAlign w:val="center"/>
          </w:tcPr>
          <w:p w14:paraId="2DC5B54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本项目工程占地</w:t>
            </w:r>
          </w:p>
        </w:tc>
        <w:tc>
          <w:tcPr>
            <w:tcW w:w="1313" w:type="pct"/>
            <w:gridSpan w:val="2"/>
            <w:tcBorders>
              <w:tl2br w:val="nil"/>
              <w:tr2bl w:val="nil"/>
            </w:tcBorders>
            <w:vAlign w:val="center"/>
          </w:tcPr>
          <w:p w14:paraId="3989F0E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450m×289m</w:t>
            </w:r>
          </w:p>
        </w:tc>
        <w:tc>
          <w:tcPr>
            <w:tcW w:w="901" w:type="pct"/>
            <w:tcBorders>
              <w:tl2br w:val="nil"/>
              <w:tr2bl w:val="nil"/>
            </w:tcBorders>
            <w:vAlign w:val="center"/>
          </w:tcPr>
          <w:p w14:paraId="3537DF02">
            <w:pPr>
              <w:jc w:val="center"/>
              <w:rPr>
                <w:rFonts w:hint="default"/>
                <w:color w:val="auto"/>
                <w:highlight w:val="none"/>
                <w:lang w:val="en-US" w:eastAsia="zh-CN"/>
              </w:rPr>
            </w:pPr>
            <w:r>
              <w:rPr>
                <w:rFonts w:hint="eastAsia"/>
                <w:color w:val="auto"/>
                <w:highlight w:val="none"/>
                <w:lang w:val="en-US" w:eastAsia="zh-CN"/>
              </w:rPr>
              <w:t>8000</w:t>
            </w:r>
          </w:p>
        </w:tc>
        <w:tc>
          <w:tcPr>
            <w:tcW w:w="603" w:type="pct"/>
            <w:tcBorders>
              <w:tl2br w:val="nil"/>
              <w:tr2bl w:val="nil"/>
            </w:tcBorders>
            <w:vAlign w:val="center"/>
          </w:tcPr>
          <w:p w14:paraId="18224421">
            <w:pPr>
              <w:jc w:val="center"/>
              <w:rPr>
                <w:rFonts w:hint="default"/>
                <w:color w:val="auto"/>
                <w:highlight w:val="none"/>
                <w:lang w:val="en-US" w:eastAsia="zh-CN"/>
              </w:rPr>
            </w:pPr>
            <w:r>
              <w:rPr>
                <w:rFonts w:hint="eastAsia"/>
                <w:color w:val="auto"/>
                <w:highlight w:val="none"/>
                <w:lang w:val="en-US" w:eastAsia="zh-CN"/>
              </w:rPr>
              <w:t>0.308</w:t>
            </w:r>
          </w:p>
        </w:tc>
        <w:tc>
          <w:tcPr>
            <w:tcW w:w="760" w:type="pct"/>
            <w:tcBorders>
              <w:tl2br w:val="nil"/>
              <w:tr2bl w:val="nil"/>
            </w:tcBorders>
            <w:vAlign w:val="center"/>
          </w:tcPr>
          <w:p w14:paraId="22749FE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0.026</w:t>
            </w:r>
          </w:p>
        </w:tc>
      </w:tr>
    </w:tbl>
    <w:p w14:paraId="2DAA0D35">
      <w:pPr>
        <w:rPr>
          <w:color w:val="auto"/>
          <w:szCs w:val="28"/>
          <w:highlight w:val="none"/>
        </w:rPr>
      </w:pPr>
      <w:r>
        <w:rPr>
          <w:rFonts w:hint="eastAsia"/>
          <w:color w:val="auto"/>
          <w:szCs w:val="28"/>
          <w:highlight w:val="none"/>
        </w:rPr>
        <w:br w:type="page"/>
      </w:r>
    </w:p>
    <w:p w14:paraId="1F5CC7D3">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93" w:name="_Toc17194"/>
      <w:bookmarkStart w:id="94" w:name="_Toc5439"/>
      <w:r>
        <w:rPr>
          <w:rFonts w:hint="eastAsia" w:ascii="Times New Roman" w:hAnsi="Times New Roman" w:cs="Times New Roman"/>
          <w:b w:val="0"/>
          <w:bCs w:val="0"/>
          <w:snapToGrid w:val="0"/>
          <w:color w:val="auto"/>
          <w:kern w:val="0"/>
          <w:sz w:val="28"/>
          <w:szCs w:val="28"/>
          <w:highlight w:val="none"/>
          <w:lang w:val="en-US" w:eastAsia="zh-CN"/>
        </w:rPr>
        <w:t>5.3 生态环境质量现状评价</w:t>
      </w:r>
      <w:bookmarkEnd w:id="92"/>
      <w:bookmarkEnd w:id="93"/>
      <w:bookmarkEnd w:id="94"/>
    </w:p>
    <w:p w14:paraId="4FC3DDA4">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bookmarkStart w:id="95" w:name="_Toc170869069"/>
      <w:bookmarkStart w:id="96" w:name="_Toc307906801"/>
      <w:bookmarkStart w:id="97" w:name="_Toc180891779"/>
      <w:bookmarkStart w:id="98" w:name="_Toc179522821"/>
      <w:bookmarkStart w:id="99" w:name="_Toc187800042"/>
      <w:bookmarkStart w:id="100" w:name="_Toc170970665"/>
      <w:bookmarkStart w:id="101" w:name="_Toc172698667"/>
      <w:bookmarkStart w:id="102" w:name="_Toc179653280"/>
      <w:bookmarkStart w:id="103" w:name="_Toc245882746"/>
      <w:r>
        <w:rPr>
          <w:rFonts w:hint="eastAsia" w:ascii="Times New Roman" w:hAnsi="Times New Roman" w:cs="Times New Roman"/>
          <w:snapToGrid w:val="0"/>
          <w:color w:val="auto"/>
          <w:spacing w:val="0"/>
          <w:kern w:val="0"/>
          <w:szCs w:val="24"/>
          <w:highlight w:val="none"/>
        </w:rPr>
        <w:t>5.3.1大气环境现状调查及评价</w:t>
      </w:r>
      <w:bookmarkEnd w:id="95"/>
      <w:bookmarkEnd w:id="96"/>
      <w:bookmarkEnd w:id="97"/>
      <w:bookmarkEnd w:id="98"/>
      <w:bookmarkEnd w:id="99"/>
      <w:bookmarkEnd w:id="100"/>
      <w:bookmarkEnd w:id="101"/>
      <w:bookmarkEnd w:id="102"/>
      <w:bookmarkEnd w:id="103"/>
    </w:p>
    <w:p w14:paraId="2D59816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5.3.1.1达标区判定</w:t>
      </w:r>
    </w:p>
    <w:p w14:paraId="2776F0E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snapToGrid w:val="0"/>
          <w:color w:val="auto"/>
          <w:kern w:val="0"/>
          <w:sz w:val="24"/>
          <w:highlight w:val="none"/>
        </w:rPr>
        <w:t>1</w:t>
      </w:r>
      <w:r>
        <w:rPr>
          <w:rFonts w:hint="eastAsia"/>
          <w:snapToGrid w:val="0"/>
          <w:color w:val="auto"/>
          <w:kern w:val="0"/>
          <w:sz w:val="24"/>
          <w:highlight w:val="none"/>
        </w:rPr>
        <w:t>）数据来源</w:t>
      </w:r>
    </w:p>
    <w:p w14:paraId="24382830">
      <w:pPr>
        <w:widowControl/>
        <w:adjustRightInd w:val="0"/>
        <w:snapToGrid w:val="0"/>
        <w:spacing w:line="360" w:lineRule="auto"/>
        <w:ind w:firstLine="480" w:firstLineChars="200"/>
        <w:rPr>
          <w:snapToGrid w:val="0"/>
          <w:color w:val="auto"/>
          <w:kern w:val="0"/>
          <w:sz w:val="24"/>
          <w:highlight w:val="none"/>
        </w:rPr>
      </w:pPr>
      <w:r>
        <w:rPr>
          <w:color w:val="auto"/>
          <w:kern w:val="0"/>
          <w:sz w:val="24"/>
          <w:highlight w:val="none"/>
        </w:rPr>
        <w:t>根据《环境影响评价技术导则 大气环境》（HJ2.2-2018），对于基本污染物环境质量现状数据，项目所在区域达标判定优先采用国家或地方生态环境主管部门公开发布的评价基准年环境质量公告或环境质量报告中的数据或结论。根据导则对环境质量现状数据的要求，选择距离项目最近的国家基准站新疆乌苏市</w:t>
      </w:r>
      <w:r>
        <w:rPr>
          <w:rFonts w:hint="eastAsia"/>
          <w:color w:val="auto"/>
          <w:kern w:val="0"/>
          <w:sz w:val="24"/>
          <w:highlight w:val="none"/>
          <w:lang w:val="en-US" w:eastAsia="zh-CN"/>
        </w:rPr>
        <w:t>生态环境局</w:t>
      </w:r>
      <w:r>
        <w:rPr>
          <w:color w:val="auto"/>
          <w:kern w:val="0"/>
          <w:sz w:val="24"/>
          <w:highlight w:val="none"/>
        </w:rPr>
        <w:t>监测站点202</w:t>
      </w:r>
      <w:r>
        <w:rPr>
          <w:rFonts w:hint="eastAsia"/>
          <w:color w:val="auto"/>
          <w:kern w:val="0"/>
          <w:sz w:val="24"/>
          <w:highlight w:val="none"/>
        </w:rPr>
        <w:t>4</w:t>
      </w:r>
      <w:r>
        <w:rPr>
          <w:color w:val="auto"/>
          <w:kern w:val="0"/>
          <w:sz w:val="24"/>
          <w:highlight w:val="none"/>
        </w:rPr>
        <w:t>年连续一年的监测数据，作为本项目环境空气质量现状评价基本污染物SO</w:t>
      </w:r>
      <w:r>
        <w:rPr>
          <w:color w:val="auto"/>
          <w:kern w:val="0"/>
          <w:sz w:val="24"/>
          <w:highlight w:val="none"/>
          <w:vertAlign w:val="subscript"/>
        </w:rPr>
        <w:t>2</w:t>
      </w:r>
      <w:r>
        <w:rPr>
          <w:color w:val="auto"/>
          <w:kern w:val="0"/>
          <w:sz w:val="24"/>
          <w:highlight w:val="none"/>
        </w:rPr>
        <w:t>、NO</w:t>
      </w:r>
      <w:r>
        <w:rPr>
          <w:color w:val="auto"/>
          <w:kern w:val="0"/>
          <w:sz w:val="24"/>
          <w:highlight w:val="none"/>
          <w:vertAlign w:val="subscript"/>
        </w:rPr>
        <w:t>2</w:t>
      </w:r>
      <w:r>
        <w:rPr>
          <w:color w:val="auto"/>
          <w:kern w:val="0"/>
          <w:sz w:val="24"/>
          <w:highlight w:val="none"/>
        </w:rPr>
        <w:t>、PM</w:t>
      </w:r>
      <w:r>
        <w:rPr>
          <w:color w:val="auto"/>
          <w:kern w:val="0"/>
          <w:sz w:val="24"/>
          <w:highlight w:val="none"/>
          <w:vertAlign w:val="subscript"/>
        </w:rPr>
        <w:t>10</w:t>
      </w:r>
      <w:r>
        <w:rPr>
          <w:color w:val="auto"/>
          <w:kern w:val="0"/>
          <w:sz w:val="24"/>
          <w:highlight w:val="none"/>
        </w:rPr>
        <w:t>、PM</w:t>
      </w:r>
      <w:r>
        <w:rPr>
          <w:color w:val="auto"/>
          <w:kern w:val="0"/>
          <w:sz w:val="24"/>
          <w:highlight w:val="none"/>
          <w:vertAlign w:val="subscript"/>
        </w:rPr>
        <w:t>2.5</w:t>
      </w:r>
      <w:r>
        <w:rPr>
          <w:color w:val="auto"/>
          <w:kern w:val="0"/>
          <w:sz w:val="24"/>
          <w:highlight w:val="none"/>
        </w:rPr>
        <w:t>、CO和O</w:t>
      </w:r>
      <w:r>
        <w:rPr>
          <w:color w:val="auto"/>
          <w:kern w:val="0"/>
          <w:sz w:val="24"/>
          <w:highlight w:val="none"/>
          <w:vertAlign w:val="subscript"/>
        </w:rPr>
        <w:t>3</w:t>
      </w:r>
      <w:r>
        <w:rPr>
          <w:color w:val="auto"/>
          <w:kern w:val="0"/>
          <w:sz w:val="24"/>
          <w:highlight w:val="none"/>
        </w:rPr>
        <w:t>的数据来源，进行所在区域环境空气达标判定和区域各污染物的环境质量现状评价。新疆乌苏市环保局站点位于本</w:t>
      </w:r>
      <w:r>
        <w:rPr>
          <w:rFonts w:hint="eastAsia"/>
          <w:color w:val="auto"/>
          <w:kern w:val="0"/>
          <w:sz w:val="24"/>
          <w:highlight w:val="none"/>
          <w:lang w:val="en-US" w:eastAsia="zh-CN"/>
        </w:rPr>
        <w:t>项目</w:t>
      </w:r>
      <w:r>
        <w:rPr>
          <w:color w:val="auto"/>
          <w:kern w:val="0"/>
          <w:sz w:val="24"/>
          <w:highlight w:val="none"/>
        </w:rPr>
        <w:t>东北侧约35.1km处，站点编号：51346，坐标：E84°42′39″，N44°25′15″，监测点与本项目</w:t>
      </w:r>
      <w:r>
        <w:rPr>
          <w:rFonts w:hint="eastAsia"/>
          <w:color w:val="auto"/>
          <w:kern w:val="0"/>
          <w:sz w:val="24"/>
          <w:highlight w:val="none"/>
          <w:lang w:eastAsia="zh-CN"/>
        </w:rPr>
        <w:t>海拔</w:t>
      </w:r>
      <w:r>
        <w:rPr>
          <w:rFonts w:hint="eastAsia"/>
          <w:color w:val="auto"/>
          <w:kern w:val="0"/>
          <w:sz w:val="24"/>
          <w:highlight w:val="none"/>
          <w:lang w:val="en-US" w:eastAsia="zh-CN"/>
        </w:rPr>
        <w:t>、</w:t>
      </w:r>
      <w:r>
        <w:rPr>
          <w:color w:val="auto"/>
          <w:kern w:val="0"/>
          <w:sz w:val="24"/>
          <w:highlight w:val="none"/>
        </w:rPr>
        <w:t>地形地貌基本一致，气候均为温带大陆性气候，故符合《环境影响评价技术导则 大气环境》（HJ2.2-2018）要求。</w:t>
      </w:r>
    </w:p>
    <w:p w14:paraId="2358B44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监测站信息见表5.3-1</w:t>
      </w:r>
      <w:r>
        <w:rPr>
          <w:snapToGrid w:val="0"/>
          <w:color w:val="auto"/>
          <w:kern w:val="0"/>
          <w:sz w:val="24"/>
          <w:highlight w:val="none"/>
        </w:rPr>
        <w:t>。</w:t>
      </w:r>
    </w:p>
    <w:p w14:paraId="47FBF243">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5.3-1 大气质量现状监测点信息表</w:t>
      </w:r>
    </w:p>
    <w:tbl>
      <w:tblPr>
        <w:tblStyle w:val="56"/>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5" w:type="dxa"/>
          <w:bottom w:w="15" w:type="dxa"/>
          <w:right w:w="15" w:type="dxa"/>
        </w:tblCellMar>
      </w:tblPr>
      <w:tblGrid>
        <w:gridCol w:w="1555"/>
        <w:gridCol w:w="864"/>
        <w:gridCol w:w="1036"/>
        <w:gridCol w:w="1036"/>
        <w:gridCol w:w="1744"/>
        <w:gridCol w:w="1245"/>
        <w:gridCol w:w="953"/>
      </w:tblGrid>
      <w:tr w14:paraId="73407E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921" w:type="pct"/>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32F5962">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监测</w:t>
            </w:r>
            <w:r>
              <w:rPr>
                <w:rFonts w:ascii="Times New Roman" w:hAnsi="Times New Roman" w:eastAsia="宋体" w:cs="Times New Roman"/>
                <w:bCs w:val="0"/>
                <w:snapToGrid w:val="0"/>
                <w:color w:val="auto"/>
                <w:kern w:val="0"/>
                <w:highlight w:val="none"/>
              </w:rPr>
              <w:t>站</w:t>
            </w:r>
          </w:p>
          <w:p w14:paraId="1CA4C43A">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名称</w:t>
            </w:r>
          </w:p>
        </w:tc>
        <w:tc>
          <w:tcPr>
            <w:tcW w:w="512" w:type="pct"/>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3FB8156">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数据</w:t>
            </w:r>
          </w:p>
          <w:p w14:paraId="4F356D78">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年份</w:t>
            </w:r>
          </w:p>
        </w:tc>
        <w:tc>
          <w:tcPr>
            <w:tcW w:w="1228" w:type="pct"/>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0F5D85F">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监测</w:t>
            </w:r>
            <w:r>
              <w:rPr>
                <w:rFonts w:ascii="Times New Roman" w:hAnsi="Times New Roman" w:eastAsia="宋体" w:cs="Times New Roman"/>
                <w:bCs w:val="0"/>
                <w:snapToGrid w:val="0"/>
                <w:color w:val="auto"/>
                <w:kern w:val="0"/>
                <w:highlight w:val="none"/>
              </w:rPr>
              <w:t>站坐标</w:t>
            </w:r>
          </w:p>
        </w:tc>
        <w:tc>
          <w:tcPr>
            <w:tcW w:w="1033" w:type="pct"/>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F2C3940">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监测因子</w:t>
            </w:r>
          </w:p>
        </w:tc>
        <w:tc>
          <w:tcPr>
            <w:tcW w:w="738" w:type="pct"/>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26C6558">
            <w:pPr>
              <w:pStyle w:val="678"/>
              <w:adjustRightInd w:val="0"/>
              <w:snapToGrid w:val="0"/>
              <w:spacing w:line="260" w:lineRule="exact"/>
              <w:ind w:left="-53" w:leftChars="-25" w:right="-53" w:rightChars="-25"/>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与项目</w:t>
            </w:r>
            <w:r>
              <w:rPr>
                <w:rFonts w:ascii="Times New Roman" w:hAnsi="Times New Roman" w:eastAsia="宋体" w:cs="Times New Roman"/>
                <w:bCs w:val="0"/>
                <w:snapToGrid w:val="0"/>
                <w:color w:val="auto"/>
                <w:kern w:val="0"/>
                <w:highlight w:val="none"/>
              </w:rPr>
              <w:t>相对距离</w:t>
            </w:r>
            <w:r>
              <w:rPr>
                <w:rFonts w:hint="eastAsia" w:ascii="Times New Roman" w:hAnsi="Times New Roman" w:eastAsia="宋体" w:cs="Times New Roman"/>
                <w:bCs w:val="0"/>
                <w:snapToGrid w:val="0"/>
                <w:color w:val="auto"/>
                <w:kern w:val="0"/>
                <w:highlight w:val="none"/>
              </w:rPr>
              <w:t>（</w:t>
            </w:r>
            <w:r>
              <w:rPr>
                <w:rFonts w:ascii="Times New Roman" w:hAnsi="Times New Roman" w:eastAsia="宋体" w:cs="Times New Roman"/>
                <w:bCs w:val="0"/>
                <w:snapToGrid w:val="0"/>
                <w:color w:val="auto"/>
                <w:kern w:val="0"/>
                <w:highlight w:val="none"/>
              </w:rPr>
              <w:t>m</w:t>
            </w:r>
            <w:r>
              <w:rPr>
                <w:rFonts w:hint="eastAsia" w:ascii="Times New Roman" w:hAnsi="Times New Roman" w:eastAsia="宋体" w:cs="Times New Roman"/>
                <w:bCs w:val="0"/>
                <w:snapToGrid w:val="0"/>
                <w:color w:val="auto"/>
                <w:kern w:val="0"/>
                <w:highlight w:val="none"/>
              </w:rPr>
              <w:t>）</w:t>
            </w:r>
          </w:p>
        </w:tc>
        <w:tc>
          <w:tcPr>
            <w:tcW w:w="565" w:type="pct"/>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41C0D24">
            <w:pPr>
              <w:pStyle w:val="678"/>
              <w:adjustRightInd w:val="0"/>
              <w:snapToGrid w:val="0"/>
              <w:spacing w:line="260" w:lineRule="exact"/>
              <w:ind w:left="-53" w:leftChars="-25" w:right="-53" w:rightChars="-25"/>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与评价范围关系</w:t>
            </w:r>
          </w:p>
        </w:tc>
      </w:tr>
      <w:tr w14:paraId="04994AA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9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1F69CC">
            <w:pPr>
              <w:pStyle w:val="678"/>
              <w:adjustRightInd w:val="0"/>
              <w:snapToGrid w:val="0"/>
              <w:spacing w:line="260" w:lineRule="exact"/>
              <w:rPr>
                <w:rFonts w:ascii="Times New Roman" w:hAnsi="Times New Roman" w:eastAsia="宋体" w:cs="Times New Roman"/>
                <w:bCs w:val="0"/>
                <w:snapToGrid w:val="0"/>
                <w:color w:val="auto"/>
                <w:kern w:val="0"/>
                <w:highlight w:val="none"/>
              </w:rPr>
            </w:pPr>
          </w:p>
        </w:tc>
        <w:tc>
          <w:tcPr>
            <w:tcW w:w="51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E0B8F6">
            <w:pPr>
              <w:pStyle w:val="678"/>
              <w:adjustRightInd w:val="0"/>
              <w:snapToGrid w:val="0"/>
              <w:spacing w:line="260" w:lineRule="exact"/>
              <w:rPr>
                <w:rFonts w:ascii="Times New Roman" w:hAnsi="Times New Roman" w:eastAsia="宋体" w:cs="Times New Roman"/>
                <w:bCs w:val="0"/>
                <w:snapToGrid w:val="0"/>
                <w:color w:val="auto"/>
                <w:kern w:val="0"/>
                <w:highlight w:val="none"/>
              </w:rPr>
            </w:pPr>
          </w:p>
        </w:tc>
        <w:tc>
          <w:tcPr>
            <w:tcW w:w="614"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F0227E2">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N</w:t>
            </w:r>
          </w:p>
        </w:tc>
        <w:tc>
          <w:tcPr>
            <w:tcW w:w="614"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388A36E">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E</w:t>
            </w:r>
          </w:p>
        </w:tc>
        <w:tc>
          <w:tcPr>
            <w:tcW w:w="1033" w:type="pct"/>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9B50067">
            <w:pPr>
              <w:pStyle w:val="678"/>
              <w:adjustRightInd w:val="0"/>
              <w:snapToGrid w:val="0"/>
              <w:spacing w:line="260" w:lineRule="exact"/>
              <w:rPr>
                <w:rFonts w:ascii="Times New Roman" w:hAnsi="Times New Roman" w:eastAsia="宋体" w:cs="Times New Roman"/>
                <w:bCs w:val="0"/>
                <w:snapToGrid w:val="0"/>
                <w:color w:val="auto"/>
                <w:kern w:val="0"/>
                <w:highlight w:val="none"/>
              </w:rPr>
            </w:pPr>
          </w:p>
        </w:tc>
        <w:tc>
          <w:tcPr>
            <w:tcW w:w="738" w:type="pct"/>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0483D7E">
            <w:pPr>
              <w:pStyle w:val="678"/>
              <w:adjustRightInd w:val="0"/>
              <w:snapToGrid w:val="0"/>
              <w:spacing w:line="260" w:lineRule="exact"/>
              <w:rPr>
                <w:rFonts w:ascii="Times New Roman" w:hAnsi="Times New Roman" w:eastAsia="宋体" w:cs="Times New Roman"/>
                <w:bCs w:val="0"/>
                <w:snapToGrid w:val="0"/>
                <w:color w:val="auto"/>
                <w:kern w:val="0"/>
                <w:highlight w:val="none"/>
              </w:rPr>
            </w:pPr>
          </w:p>
        </w:tc>
        <w:tc>
          <w:tcPr>
            <w:tcW w:w="565" w:type="pct"/>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1451266">
            <w:pPr>
              <w:pStyle w:val="678"/>
              <w:adjustRightInd w:val="0"/>
              <w:snapToGrid w:val="0"/>
              <w:spacing w:line="260" w:lineRule="exact"/>
              <w:rPr>
                <w:rFonts w:ascii="Times New Roman" w:hAnsi="Times New Roman" w:eastAsia="宋体" w:cs="Times New Roman"/>
                <w:bCs w:val="0"/>
                <w:snapToGrid w:val="0"/>
                <w:color w:val="auto"/>
                <w:kern w:val="0"/>
                <w:highlight w:val="none"/>
              </w:rPr>
            </w:pPr>
          </w:p>
        </w:tc>
      </w:tr>
      <w:tr w14:paraId="375D519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921"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301450A">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乌苏市环保局站点</w:t>
            </w:r>
          </w:p>
        </w:tc>
        <w:tc>
          <w:tcPr>
            <w:tcW w:w="512"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799DEB2">
            <w:pPr>
              <w:pStyle w:val="678"/>
              <w:adjustRightInd w:val="0"/>
              <w:snapToGrid w:val="0"/>
              <w:spacing w:line="260" w:lineRule="exact"/>
              <w:ind w:left="-53" w:leftChars="-25" w:right="-53" w:rightChars="-25"/>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2024年</w:t>
            </w:r>
          </w:p>
        </w:tc>
        <w:tc>
          <w:tcPr>
            <w:tcW w:w="614"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FB765BB">
            <w:pPr>
              <w:pStyle w:val="678"/>
              <w:adjustRightInd w:val="0"/>
              <w:snapToGrid w:val="0"/>
              <w:spacing w:line="260" w:lineRule="exact"/>
              <w:ind w:left="-53" w:leftChars="-25" w:right="-53" w:rightChars="-25"/>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44°25′15″</w:t>
            </w:r>
          </w:p>
        </w:tc>
        <w:tc>
          <w:tcPr>
            <w:tcW w:w="614"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1A0D355">
            <w:pPr>
              <w:pStyle w:val="678"/>
              <w:adjustRightInd w:val="0"/>
              <w:snapToGrid w:val="0"/>
              <w:spacing w:line="260" w:lineRule="exact"/>
              <w:ind w:left="-53" w:leftChars="-25" w:right="-53" w:rightChars="-25"/>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84°42′39″</w:t>
            </w:r>
          </w:p>
        </w:tc>
        <w:tc>
          <w:tcPr>
            <w:tcW w:w="1033"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D873BDB">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SO</w:t>
            </w:r>
            <w:r>
              <w:rPr>
                <w:rFonts w:ascii="Times New Roman" w:hAnsi="Times New Roman" w:eastAsia="宋体" w:cs="Times New Roman"/>
                <w:bCs w:val="0"/>
                <w:snapToGrid w:val="0"/>
                <w:color w:val="auto"/>
                <w:kern w:val="0"/>
                <w:highlight w:val="none"/>
                <w:vertAlign w:val="subscript"/>
              </w:rPr>
              <w:t>2</w:t>
            </w:r>
            <w:r>
              <w:rPr>
                <w:rFonts w:ascii="Times New Roman" w:hAnsi="Times New Roman" w:eastAsia="宋体" w:cs="Times New Roman"/>
                <w:bCs w:val="0"/>
                <w:snapToGrid w:val="0"/>
                <w:color w:val="auto"/>
                <w:kern w:val="0"/>
                <w:highlight w:val="none"/>
              </w:rPr>
              <w:t>、NO</w:t>
            </w:r>
            <w:r>
              <w:rPr>
                <w:rFonts w:ascii="Times New Roman" w:hAnsi="Times New Roman" w:eastAsia="宋体" w:cs="Times New Roman"/>
                <w:bCs w:val="0"/>
                <w:snapToGrid w:val="0"/>
                <w:color w:val="auto"/>
                <w:kern w:val="0"/>
                <w:highlight w:val="none"/>
                <w:vertAlign w:val="subscript"/>
              </w:rPr>
              <w:t>2</w:t>
            </w:r>
            <w:r>
              <w:rPr>
                <w:rFonts w:ascii="Times New Roman" w:hAnsi="Times New Roman" w:eastAsia="宋体" w:cs="Times New Roman"/>
                <w:bCs w:val="0"/>
                <w:snapToGrid w:val="0"/>
                <w:color w:val="auto"/>
                <w:kern w:val="0"/>
                <w:highlight w:val="none"/>
              </w:rPr>
              <w:t>、PM</w:t>
            </w:r>
            <w:r>
              <w:rPr>
                <w:rFonts w:ascii="Times New Roman" w:hAnsi="Times New Roman" w:eastAsia="宋体" w:cs="Times New Roman"/>
                <w:bCs w:val="0"/>
                <w:snapToGrid w:val="0"/>
                <w:color w:val="auto"/>
                <w:kern w:val="0"/>
                <w:highlight w:val="none"/>
                <w:vertAlign w:val="subscript"/>
              </w:rPr>
              <w:t>10</w:t>
            </w:r>
            <w:r>
              <w:rPr>
                <w:rFonts w:ascii="Times New Roman" w:hAnsi="Times New Roman" w:eastAsia="宋体" w:cs="Times New Roman"/>
                <w:bCs w:val="0"/>
                <w:snapToGrid w:val="0"/>
                <w:color w:val="auto"/>
                <w:kern w:val="0"/>
                <w:highlight w:val="none"/>
              </w:rPr>
              <w:t>、PM</w:t>
            </w:r>
            <w:r>
              <w:rPr>
                <w:rFonts w:ascii="Times New Roman" w:hAnsi="Times New Roman" w:eastAsia="宋体" w:cs="Times New Roman"/>
                <w:bCs w:val="0"/>
                <w:snapToGrid w:val="0"/>
                <w:color w:val="auto"/>
                <w:kern w:val="0"/>
                <w:highlight w:val="none"/>
                <w:vertAlign w:val="subscript"/>
              </w:rPr>
              <w:t>2.5</w:t>
            </w:r>
            <w:r>
              <w:rPr>
                <w:rFonts w:ascii="Times New Roman" w:hAnsi="Times New Roman" w:eastAsia="宋体" w:cs="Times New Roman"/>
                <w:bCs w:val="0"/>
                <w:snapToGrid w:val="0"/>
                <w:color w:val="auto"/>
                <w:kern w:val="0"/>
                <w:highlight w:val="none"/>
              </w:rPr>
              <w:t>、CO、O</w:t>
            </w:r>
            <w:r>
              <w:rPr>
                <w:rFonts w:ascii="Times New Roman" w:hAnsi="Times New Roman" w:eastAsia="宋体" w:cs="Times New Roman"/>
                <w:bCs w:val="0"/>
                <w:snapToGrid w:val="0"/>
                <w:color w:val="auto"/>
                <w:kern w:val="0"/>
                <w:highlight w:val="none"/>
                <w:vertAlign w:val="subscript"/>
              </w:rPr>
              <w:t>3</w:t>
            </w:r>
          </w:p>
        </w:tc>
        <w:tc>
          <w:tcPr>
            <w:tcW w:w="738"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F81CF49">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东北方向</w:t>
            </w:r>
          </w:p>
          <w:p w14:paraId="58B8C2EC">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35.1km</w:t>
            </w:r>
          </w:p>
        </w:tc>
        <w:tc>
          <w:tcPr>
            <w:tcW w:w="565"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09FA21">
            <w:pPr>
              <w:pStyle w:val="678"/>
              <w:adjustRightInd w:val="0"/>
              <w:snapToGrid w:val="0"/>
              <w:spacing w:line="260" w:lineRule="exact"/>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评价范围外</w:t>
            </w:r>
          </w:p>
        </w:tc>
      </w:tr>
    </w:tbl>
    <w:p w14:paraId="5F1F0707">
      <w:pPr>
        <w:adjustRightInd w:val="0"/>
        <w:snapToGrid w:val="0"/>
        <w:spacing w:before="120" w:beforeLines="50" w:line="440" w:lineRule="exact"/>
        <w:ind w:firstLine="480" w:firstLineChars="200"/>
        <w:rPr>
          <w:snapToGrid w:val="0"/>
          <w:color w:val="auto"/>
          <w:kern w:val="0"/>
          <w:sz w:val="24"/>
          <w:highlight w:val="none"/>
        </w:rPr>
      </w:pPr>
      <w:r>
        <w:rPr>
          <w:rFonts w:hint="eastAsia"/>
          <w:snapToGrid w:val="0"/>
          <w:color w:val="auto"/>
          <w:kern w:val="0"/>
          <w:sz w:val="24"/>
          <w:highlight w:val="none"/>
        </w:rPr>
        <w:t>（</w:t>
      </w:r>
      <w:r>
        <w:rPr>
          <w:snapToGrid w:val="0"/>
          <w:color w:val="auto"/>
          <w:kern w:val="0"/>
          <w:sz w:val="24"/>
          <w:highlight w:val="none"/>
        </w:rPr>
        <w:t>2</w:t>
      </w:r>
      <w:r>
        <w:rPr>
          <w:rFonts w:hint="eastAsia"/>
          <w:snapToGrid w:val="0"/>
          <w:color w:val="auto"/>
          <w:kern w:val="0"/>
          <w:sz w:val="24"/>
          <w:highlight w:val="none"/>
        </w:rPr>
        <w:t>）评价标准</w:t>
      </w:r>
    </w:p>
    <w:p w14:paraId="1F672062">
      <w:pPr>
        <w:adjustRightInd w:val="0"/>
        <w:snapToGrid w:val="0"/>
        <w:spacing w:line="440" w:lineRule="exact"/>
        <w:ind w:firstLine="480" w:firstLineChars="200"/>
        <w:rPr>
          <w:snapToGrid w:val="0"/>
          <w:color w:val="auto"/>
          <w:kern w:val="0"/>
          <w:sz w:val="24"/>
          <w:highlight w:val="none"/>
        </w:rPr>
      </w:pPr>
      <w:r>
        <w:rPr>
          <w:rFonts w:hint="eastAsia"/>
          <w:snapToGrid w:val="0"/>
          <w:color w:val="auto"/>
          <w:kern w:val="0"/>
          <w:sz w:val="24"/>
          <w:highlight w:val="none"/>
        </w:rPr>
        <w:t>基本污染物执行</w:t>
      </w:r>
      <w:r>
        <w:rPr>
          <w:rFonts w:cs="宋体"/>
          <w:color w:val="auto"/>
          <w:kern w:val="0"/>
          <w:sz w:val="24"/>
          <w:highlight w:val="none"/>
        </w:rPr>
        <w:t>《环境空气质量标准》</w:t>
      </w:r>
      <w:r>
        <w:rPr>
          <w:rFonts w:hint="eastAsia"/>
          <w:snapToGrid w:val="0"/>
          <w:color w:val="auto"/>
          <w:kern w:val="0"/>
          <w:sz w:val="24"/>
          <w:highlight w:val="none"/>
        </w:rPr>
        <w:t>（GB3095-2026）</w:t>
      </w:r>
      <w:r>
        <w:rPr>
          <w:rFonts w:hint="eastAsia" w:cs="宋体"/>
          <w:color w:val="auto"/>
          <w:kern w:val="0"/>
          <w:sz w:val="24"/>
          <w:highlight w:val="none"/>
        </w:rPr>
        <w:t>表1</w:t>
      </w:r>
      <w:r>
        <w:rPr>
          <w:rFonts w:hint="eastAsia"/>
          <w:snapToGrid w:val="0"/>
          <w:color w:val="auto"/>
          <w:kern w:val="0"/>
          <w:sz w:val="24"/>
          <w:highlight w:val="none"/>
        </w:rPr>
        <w:t>中过渡阶段二级浓度限值。</w:t>
      </w:r>
    </w:p>
    <w:p w14:paraId="26FDAD60">
      <w:pPr>
        <w:adjustRightInd w:val="0"/>
        <w:snapToGrid w:val="0"/>
        <w:spacing w:line="440" w:lineRule="exact"/>
        <w:ind w:firstLine="480" w:firstLineChars="200"/>
        <w:rPr>
          <w:snapToGrid w:val="0"/>
          <w:color w:val="auto"/>
          <w:kern w:val="0"/>
          <w:sz w:val="24"/>
          <w:highlight w:val="none"/>
        </w:rPr>
      </w:pPr>
      <w:r>
        <w:rPr>
          <w:rFonts w:hint="eastAsia"/>
          <w:snapToGrid w:val="0"/>
          <w:color w:val="auto"/>
          <w:kern w:val="0"/>
          <w:sz w:val="24"/>
          <w:highlight w:val="none"/>
        </w:rPr>
        <w:t>（</w:t>
      </w:r>
      <w:r>
        <w:rPr>
          <w:snapToGrid w:val="0"/>
          <w:color w:val="auto"/>
          <w:kern w:val="0"/>
          <w:sz w:val="24"/>
          <w:highlight w:val="none"/>
        </w:rPr>
        <w:t>3</w:t>
      </w:r>
      <w:r>
        <w:rPr>
          <w:rFonts w:hint="eastAsia"/>
          <w:snapToGrid w:val="0"/>
          <w:color w:val="auto"/>
          <w:kern w:val="0"/>
          <w:sz w:val="24"/>
          <w:highlight w:val="none"/>
        </w:rPr>
        <w:t>）评价方法</w:t>
      </w:r>
    </w:p>
    <w:p w14:paraId="241C1D3F">
      <w:pPr>
        <w:adjustRightInd w:val="0"/>
        <w:snapToGrid w:val="0"/>
        <w:spacing w:line="440" w:lineRule="exact"/>
        <w:ind w:firstLine="480" w:firstLineChars="200"/>
        <w:rPr>
          <w:snapToGrid w:val="0"/>
          <w:color w:val="auto"/>
          <w:kern w:val="0"/>
          <w:sz w:val="24"/>
          <w:highlight w:val="none"/>
        </w:rPr>
      </w:pPr>
      <w:r>
        <w:rPr>
          <w:rFonts w:hint="eastAsia"/>
          <w:snapToGrid w:val="0"/>
          <w:color w:val="auto"/>
          <w:kern w:val="0"/>
          <w:sz w:val="24"/>
          <w:highlight w:val="none"/>
        </w:rPr>
        <w:t>评价方法：基本污染物按照《环境空气质量评价技术规范》（HJ663-2026）中各评价项目的年评价指标进行判定。</w:t>
      </w:r>
    </w:p>
    <w:p w14:paraId="5AED86B7">
      <w:pPr>
        <w:adjustRightInd w:val="0"/>
        <w:snapToGrid w:val="0"/>
        <w:spacing w:line="440" w:lineRule="exact"/>
        <w:ind w:firstLine="480" w:firstLineChars="200"/>
        <w:rPr>
          <w:snapToGrid w:val="0"/>
          <w:color w:val="auto"/>
          <w:kern w:val="0"/>
          <w:sz w:val="24"/>
          <w:highlight w:val="none"/>
        </w:rPr>
      </w:pPr>
      <w:r>
        <w:rPr>
          <w:rFonts w:hint="eastAsia"/>
          <w:snapToGrid w:val="0"/>
          <w:color w:val="auto"/>
          <w:kern w:val="0"/>
          <w:sz w:val="24"/>
          <w:highlight w:val="none"/>
        </w:rPr>
        <w:t>（</w:t>
      </w:r>
      <w:r>
        <w:rPr>
          <w:snapToGrid w:val="0"/>
          <w:color w:val="auto"/>
          <w:kern w:val="0"/>
          <w:sz w:val="24"/>
          <w:highlight w:val="none"/>
        </w:rPr>
        <w:t>4</w:t>
      </w:r>
      <w:r>
        <w:rPr>
          <w:rFonts w:hint="eastAsia"/>
          <w:snapToGrid w:val="0"/>
          <w:color w:val="auto"/>
          <w:kern w:val="0"/>
          <w:sz w:val="24"/>
          <w:highlight w:val="none"/>
        </w:rPr>
        <w:t>）空气质量达标区判定</w:t>
      </w:r>
    </w:p>
    <w:p w14:paraId="65DE1407">
      <w:pPr>
        <w:adjustRightInd w:val="0"/>
        <w:snapToGrid w:val="0"/>
        <w:spacing w:line="440" w:lineRule="exact"/>
        <w:ind w:firstLine="480" w:firstLineChars="200"/>
        <w:rPr>
          <w:snapToGrid w:val="0"/>
          <w:color w:val="auto"/>
          <w:kern w:val="0"/>
          <w:sz w:val="24"/>
          <w:highlight w:val="none"/>
        </w:rPr>
      </w:pPr>
      <w:r>
        <w:rPr>
          <w:rFonts w:hint="eastAsia"/>
          <w:snapToGrid w:val="0"/>
          <w:color w:val="auto"/>
          <w:kern w:val="0"/>
          <w:sz w:val="24"/>
          <w:highlight w:val="none"/>
        </w:rPr>
        <w:t>空气质量达标区判定结果见表5</w:t>
      </w:r>
      <w:r>
        <w:rPr>
          <w:snapToGrid w:val="0"/>
          <w:color w:val="auto"/>
          <w:kern w:val="0"/>
          <w:sz w:val="24"/>
          <w:highlight w:val="none"/>
        </w:rPr>
        <w:t>.</w:t>
      </w:r>
      <w:r>
        <w:rPr>
          <w:rFonts w:hint="eastAsia"/>
          <w:snapToGrid w:val="0"/>
          <w:color w:val="auto"/>
          <w:kern w:val="0"/>
          <w:sz w:val="24"/>
          <w:highlight w:val="none"/>
        </w:rPr>
        <w:t>3</w:t>
      </w:r>
      <w:r>
        <w:rPr>
          <w:snapToGrid w:val="0"/>
          <w:color w:val="auto"/>
          <w:kern w:val="0"/>
          <w:sz w:val="24"/>
          <w:highlight w:val="none"/>
        </w:rPr>
        <w:t>-</w:t>
      </w:r>
      <w:r>
        <w:rPr>
          <w:rFonts w:hint="eastAsia"/>
          <w:snapToGrid w:val="0"/>
          <w:color w:val="auto"/>
          <w:kern w:val="0"/>
          <w:sz w:val="24"/>
          <w:highlight w:val="none"/>
        </w:rPr>
        <w:t>2。</w:t>
      </w:r>
    </w:p>
    <w:p w14:paraId="797C19DA">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5.3-2 2024年区域空气质量现状评价结果表</w:t>
      </w:r>
    </w:p>
    <w:tbl>
      <w:tblPr>
        <w:tblStyle w:val="5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8" w:type="dxa"/>
          <w:left w:w="28" w:type="dxa"/>
          <w:bottom w:w="28" w:type="dxa"/>
          <w:right w:w="28" w:type="dxa"/>
        </w:tblCellMar>
      </w:tblPr>
      <w:tblGrid>
        <w:gridCol w:w="741"/>
        <w:gridCol w:w="2455"/>
        <w:gridCol w:w="1008"/>
        <w:gridCol w:w="1138"/>
        <w:gridCol w:w="878"/>
        <w:gridCol w:w="1011"/>
        <w:gridCol w:w="1011"/>
      </w:tblGrid>
      <w:tr w14:paraId="1F812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tcBorders>
              <w:tl2br w:val="nil"/>
              <w:tr2bl w:val="nil"/>
            </w:tcBorders>
            <w:tcMar>
              <w:top w:w="15" w:type="dxa"/>
              <w:left w:w="15" w:type="dxa"/>
              <w:bottom w:w="0" w:type="dxa"/>
              <w:right w:w="15" w:type="dxa"/>
            </w:tcMar>
            <w:vAlign w:val="center"/>
          </w:tcPr>
          <w:p w14:paraId="45F34081">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w:t>
            </w:r>
          </w:p>
        </w:tc>
        <w:tc>
          <w:tcPr>
            <w:tcW w:w="1488" w:type="pct"/>
            <w:tcBorders>
              <w:tl2br w:val="nil"/>
              <w:tr2bl w:val="nil"/>
            </w:tcBorders>
            <w:tcMar>
              <w:top w:w="15" w:type="dxa"/>
              <w:left w:w="15" w:type="dxa"/>
              <w:bottom w:w="0" w:type="dxa"/>
              <w:right w:w="15" w:type="dxa"/>
            </w:tcMar>
            <w:vAlign w:val="center"/>
          </w:tcPr>
          <w:p w14:paraId="2AB97819">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年评价指标</w:t>
            </w:r>
          </w:p>
        </w:tc>
        <w:tc>
          <w:tcPr>
            <w:tcW w:w="611" w:type="pct"/>
            <w:tcBorders>
              <w:tl2br w:val="nil"/>
              <w:tr2bl w:val="nil"/>
            </w:tcBorders>
            <w:tcMar>
              <w:top w:w="15" w:type="dxa"/>
              <w:left w:w="15" w:type="dxa"/>
              <w:bottom w:w="0" w:type="dxa"/>
              <w:right w:w="15" w:type="dxa"/>
            </w:tcMar>
            <w:vAlign w:val="center"/>
          </w:tcPr>
          <w:p w14:paraId="43C44AE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现状浓度</w:t>
            </w:r>
          </w:p>
          <w:p w14:paraId="3188A8E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µg/m</w:t>
            </w:r>
            <w:r>
              <w:rPr>
                <w:rFonts w:hint="eastAsia" w:ascii="Times New Roman" w:hAnsi="Times New Roman" w:cs="Times New Roman"/>
                <w:color w:val="auto"/>
                <w:sz w:val="21"/>
                <w:szCs w:val="21"/>
                <w:highlight w:val="none"/>
                <w:vertAlign w:val="superscript"/>
                <w:lang w:val="en-US" w:eastAsia="zh-CN"/>
              </w:rPr>
              <w:t>3</w:t>
            </w:r>
          </w:p>
        </w:tc>
        <w:tc>
          <w:tcPr>
            <w:tcW w:w="690" w:type="pct"/>
            <w:tcBorders>
              <w:tl2br w:val="nil"/>
              <w:tr2bl w:val="nil"/>
            </w:tcBorders>
            <w:tcMar>
              <w:top w:w="15" w:type="dxa"/>
              <w:left w:w="15" w:type="dxa"/>
              <w:bottom w:w="0" w:type="dxa"/>
              <w:right w:w="15" w:type="dxa"/>
            </w:tcMar>
            <w:vAlign w:val="center"/>
          </w:tcPr>
          <w:p w14:paraId="7DD4D372">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p w14:paraId="0AB748A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µg/m</w:t>
            </w:r>
            <w:r>
              <w:rPr>
                <w:rFonts w:hint="eastAsia" w:ascii="Times New Roman" w:hAnsi="Times New Roman" w:cs="Times New Roman"/>
                <w:color w:val="auto"/>
                <w:sz w:val="21"/>
                <w:szCs w:val="21"/>
                <w:highlight w:val="none"/>
                <w:vertAlign w:val="superscript"/>
                <w:lang w:val="en-US" w:eastAsia="zh-CN"/>
              </w:rPr>
              <w:t>3</w:t>
            </w:r>
          </w:p>
        </w:tc>
        <w:tc>
          <w:tcPr>
            <w:tcW w:w="532" w:type="pct"/>
            <w:tcBorders>
              <w:tl2br w:val="nil"/>
              <w:tr2bl w:val="nil"/>
            </w:tcBorders>
            <w:tcMar>
              <w:top w:w="15" w:type="dxa"/>
              <w:left w:w="15" w:type="dxa"/>
              <w:bottom w:w="0" w:type="dxa"/>
              <w:right w:w="15" w:type="dxa"/>
            </w:tcMar>
            <w:vAlign w:val="center"/>
          </w:tcPr>
          <w:p w14:paraId="049A2ED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占标率%</w:t>
            </w:r>
          </w:p>
        </w:tc>
        <w:tc>
          <w:tcPr>
            <w:tcW w:w="613" w:type="pct"/>
            <w:tcBorders>
              <w:tl2br w:val="nil"/>
              <w:tr2bl w:val="nil"/>
            </w:tcBorders>
            <w:tcMar>
              <w:top w:w="15" w:type="dxa"/>
              <w:left w:w="15" w:type="dxa"/>
              <w:bottom w:w="0" w:type="dxa"/>
              <w:right w:w="15" w:type="dxa"/>
            </w:tcMar>
            <w:vAlign w:val="center"/>
          </w:tcPr>
          <w:p w14:paraId="0C146C0D">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超标倍数</w:t>
            </w:r>
          </w:p>
        </w:tc>
        <w:tc>
          <w:tcPr>
            <w:tcW w:w="613" w:type="pct"/>
            <w:tcBorders>
              <w:tl2br w:val="nil"/>
              <w:tr2bl w:val="nil"/>
            </w:tcBorders>
            <w:tcMar>
              <w:top w:w="15" w:type="dxa"/>
              <w:left w:w="15" w:type="dxa"/>
              <w:bottom w:w="0" w:type="dxa"/>
              <w:right w:w="15" w:type="dxa"/>
            </w:tcMar>
            <w:vAlign w:val="center"/>
          </w:tcPr>
          <w:p w14:paraId="5A38A41A">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1FA5D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restart"/>
            <w:tcBorders>
              <w:tl2br w:val="nil"/>
              <w:tr2bl w:val="nil"/>
            </w:tcBorders>
            <w:tcMar>
              <w:top w:w="15" w:type="dxa"/>
              <w:left w:w="15" w:type="dxa"/>
              <w:bottom w:w="0" w:type="dxa"/>
              <w:right w:w="15" w:type="dxa"/>
            </w:tcMar>
            <w:vAlign w:val="center"/>
          </w:tcPr>
          <w:p w14:paraId="7BB14959">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488" w:type="pct"/>
            <w:tcBorders>
              <w:tl2br w:val="nil"/>
              <w:tr2bl w:val="nil"/>
            </w:tcBorders>
            <w:tcMar>
              <w:top w:w="15" w:type="dxa"/>
              <w:left w:w="15" w:type="dxa"/>
              <w:bottom w:w="0" w:type="dxa"/>
              <w:right w:w="15" w:type="dxa"/>
            </w:tcMar>
            <w:vAlign w:val="center"/>
          </w:tcPr>
          <w:p w14:paraId="738FA31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611" w:type="pct"/>
            <w:tcBorders>
              <w:tl2br w:val="nil"/>
              <w:tr2bl w:val="nil"/>
            </w:tcBorders>
            <w:tcMar>
              <w:top w:w="15" w:type="dxa"/>
              <w:left w:w="15" w:type="dxa"/>
              <w:bottom w:w="0" w:type="dxa"/>
              <w:right w:w="15" w:type="dxa"/>
            </w:tcMar>
            <w:vAlign w:val="center"/>
          </w:tcPr>
          <w:p w14:paraId="582C02EA">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8</w:t>
            </w:r>
          </w:p>
        </w:tc>
        <w:tc>
          <w:tcPr>
            <w:tcW w:w="690" w:type="pct"/>
            <w:tcBorders>
              <w:tl2br w:val="nil"/>
              <w:tr2bl w:val="nil"/>
            </w:tcBorders>
            <w:tcMar>
              <w:top w:w="15" w:type="dxa"/>
              <w:left w:w="15" w:type="dxa"/>
              <w:bottom w:w="0" w:type="dxa"/>
              <w:right w:w="15" w:type="dxa"/>
            </w:tcMar>
            <w:vAlign w:val="center"/>
          </w:tcPr>
          <w:p w14:paraId="65F144BF">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p>
        </w:tc>
        <w:tc>
          <w:tcPr>
            <w:tcW w:w="532" w:type="pct"/>
            <w:tcBorders>
              <w:tl2br w:val="nil"/>
              <w:tr2bl w:val="nil"/>
            </w:tcBorders>
            <w:tcMar>
              <w:top w:w="15" w:type="dxa"/>
              <w:left w:w="15" w:type="dxa"/>
              <w:bottom w:w="0" w:type="dxa"/>
              <w:right w:w="15" w:type="dxa"/>
            </w:tcMar>
            <w:vAlign w:val="center"/>
          </w:tcPr>
          <w:p w14:paraId="1EA3592C">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3.33</w:t>
            </w:r>
          </w:p>
        </w:tc>
        <w:tc>
          <w:tcPr>
            <w:tcW w:w="613" w:type="pct"/>
            <w:tcBorders>
              <w:tl2br w:val="nil"/>
              <w:tr2bl w:val="nil"/>
            </w:tcBorders>
            <w:tcMar>
              <w:top w:w="15" w:type="dxa"/>
              <w:left w:w="15" w:type="dxa"/>
              <w:bottom w:w="0" w:type="dxa"/>
              <w:right w:w="15" w:type="dxa"/>
            </w:tcMar>
            <w:vAlign w:val="center"/>
          </w:tcPr>
          <w:p w14:paraId="20479CF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7DFAD9B0">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6A4DF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continue"/>
            <w:tcBorders>
              <w:tl2br w:val="nil"/>
              <w:tr2bl w:val="nil"/>
            </w:tcBorders>
            <w:vAlign w:val="center"/>
          </w:tcPr>
          <w:p w14:paraId="53140160">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p>
        </w:tc>
        <w:tc>
          <w:tcPr>
            <w:tcW w:w="1488" w:type="pct"/>
            <w:tcBorders>
              <w:tl2br w:val="nil"/>
              <w:tr2bl w:val="nil"/>
            </w:tcBorders>
            <w:tcMar>
              <w:top w:w="15" w:type="dxa"/>
              <w:left w:w="15" w:type="dxa"/>
              <w:bottom w:w="0" w:type="dxa"/>
              <w:right w:w="15" w:type="dxa"/>
            </w:tcMar>
            <w:vAlign w:val="center"/>
          </w:tcPr>
          <w:p w14:paraId="1604024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24小时平均第98百分位数</w:t>
            </w:r>
          </w:p>
        </w:tc>
        <w:tc>
          <w:tcPr>
            <w:tcW w:w="611" w:type="pct"/>
            <w:tcBorders>
              <w:tl2br w:val="nil"/>
              <w:tr2bl w:val="nil"/>
            </w:tcBorders>
            <w:tcMar>
              <w:top w:w="15" w:type="dxa"/>
              <w:left w:w="15" w:type="dxa"/>
              <w:bottom w:w="0" w:type="dxa"/>
              <w:right w:w="15" w:type="dxa"/>
            </w:tcMar>
            <w:vAlign w:val="center"/>
          </w:tcPr>
          <w:p w14:paraId="68FD179D">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c>
          <w:tcPr>
            <w:tcW w:w="690" w:type="pct"/>
            <w:tcBorders>
              <w:tl2br w:val="nil"/>
              <w:tr2bl w:val="nil"/>
            </w:tcBorders>
            <w:tcMar>
              <w:top w:w="15" w:type="dxa"/>
              <w:left w:w="15" w:type="dxa"/>
              <w:bottom w:w="0" w:type="dxa"/>
              <w:right w:w="15" w:type="dxa"/>
            </w:tcMar>
            <w:vAlign w:val="center"/>
          </w:tcPr>
          <w:p w14:paraId="35B90621">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532" w:type="pct"/>
            <w:tcBorders>
              <w:tl2br w:val="nil"/>
              <w:tr2bl w:val="nil"/>
            </w:tcBorders>
            <w:tcMar>
              <w:top w:w="15" w:type="dxa"/>
              <w:left w:w="15" w:type="dxa"/>
              <w:bottom w:w="0" w:type="dxa"/>
              <w:right w:w="15" w:type="dxa"/>
            </w:tcMar>
            <w:vAlign w:val="center"/>
          </w:tcPr>
          <w:p w14:paraId="76B303D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w:t>
            </w:r>
          </w:p>
        </w:tc>
        <w:tc>
          <w:tcPr>
            <w:tcW w:w="613" w:type="pct"/>
            <w:tcBorders>
              <w:tl2br w:val="nil"/>
              <w:tr2bl w:val="nil"/>
            </w:tcBorders>
            <w:tcMar>
              <w:top w:w="15" w:type="dxa"/>
              <w:left w:w="15" w:type="dxa"/>
              <w:bottom w:w="0" w:type="dxa"/>
              <w:right w:w="15" w:type="dxa"/>
            </w:tcMar>
            <w:vAlign w:val="center"/>
          </w:tcPr>
          <w:p w14:paraId="7BF4275C">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0FE67F6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22CF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restart"/>
            <w:tcBorders>
              <w:tl2br w:val="nil"/>
              <w:tr2bl w:val="nil"/>
            </w:tcBorders>
            <w:tcMar>
              <w:top w:w="15" w:type="dxa"/>
              <w:left w:w="15" w:type="dxa"/>
              <w:bottom w:w="0" w:type="dxa"/>
              <w:right w:w="15" w:type="dxa"/>
            </w:tcMar>
            <w:vAlign w:val="center"/>
          </w:tcPr>
          <w:p w14:paraId="1024B871">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488" w:type="pct"/>
            <w:tcBorders>
              <w:tl2br w:val="nil"/>
              <w:tr2bl w:val="nil"/>
            </w:tcBorders>
            <w:tcMar>
              <w:top w:w="15" w:type="dxa"/>
              <w:left w:w="15" w:type="dxa"/>
              <w:bottom w:w="0" w:type="dxa"/>
              <w:right w:w="15" w:type="dxa"/>
            </w:tcMar>
            <w:vAlign w:val="center"/>
          </w:tcPr>
          <w:p w14:paraId="2C9204B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611" w:type="pct"/>
            <w:tcBorders>
              <w:tl2br w:val="nil"/>
              <w:tr2bl w:val="nil"/>
            </w:tcBorders>
            <w:tcMar>
              <w:top w:w="15" w:type="dxa"/>
              <w:left w:w="15" w:type="dxa"/>
              <w:bottom w:w="0" w:type="dxa"/>
              <w:right w:w="15" w:type="dxa"/>
            </w:tcMar>
            <w:vAlign w:val="center"/>
          </w:tcPr>
          <w:p w14:paraId="6CB9F926">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w:t>
            </w:r>
          </w:p>
        </w:tc>
        <w:tc>
          <w:tcPr>
            <w:tcW w:w="690" w:type="pct"/>
            <w:tcBorders>
              <w:tl2br w:val="nil"/>
              <w:tr2bl w:val="nil"/>
            </w:tcBorders>
            <w:tcMar>
              <w:top w:w="15" w:type="dxa"/>
              <w:left w:w="15" w:type="dxa"/>
              <w:bottom w:w="0" w:type="dxa"/>
              <w:right w:w="15" w:type="dxa"/>
            </w:tcMar>
            <w:vAlign w:val="center"/>
          </w:tcPr>
          <w:p w14:paraId="0448A78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532" w:type="pct"/>
            <w:tcBorders>
              <w:tl2br w:val="nil"/>
              <w:tr2bl w:val="nil"/>
            </w:tcBorders>
            <w:tcMar>
              <w:top w:w="15" w:type="dxa"/>
              <w:left w:w="15" w:type="dxa"/>
              <w:bottom w:w="0" w:type="dxa"/>
              <w:right w:w="15" w:type="dxa"/>
            </w:tcMar>
            <w:vAlign w:val="center"/>
          </w:tcPr>
          <w:p w14:paraId="2572FC9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5</w:t>
            </w:r>
            <w:r>
              <w:rPr>
                <w:rFonts w:hint="eastAsia" w:ascii="Times New Roman" w:hAnsi="Times New Roman" w:cs="Times New Roman"/>
                <w:color w:val="auto"/>
                <w:sz w:val="21"/>
                <w:szCs w:val="21"/>
                <w:highlight w:val="none"/>
                <w:lang w:val="en-US" w:eastAsia="zh-CN"/>
              </w:rPr>
              <w:t>7.5</w:t>
            </w:r>
          </w:p>
        </w:tc>
        <w:tc>
          <w:tcPr>
            <w:tcW w:w="613" w:type="pct"/>
            <w:tcBorders>
              <w:tl2br w:val="nil"/>
              <w:tr2bl w:val="nil"/>
            </w:tcBorders>
            <w:tcMar>
              <w:top w:w="15" w:type="dxa"/>
              <w:left w:w="15" w:type="dxa"/>
              <w:bottom w:w="0" w:type="dxa"/>
              <w:right w:w="15" w:type="dxa"/>
            </w:tcMar>
            <w:vAlign w:val="center"/>
          </w:tcPr>
          <w:p w14:paraId="6469AE6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3F788D96">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2FA8B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continue"/>
            <w:tcBorders>
              <w:tl2br w:val="nil"/>
              <w:tr2bl w:val="nil"/>
            </w:tcBorders>
            <w:vAlign w:val="center"/>
          </w:tcPr>
          <w:p w14:paraId="619FD438">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p>
        </w:tc>
        <w:tc>
          <w:tcPr>
            <w:tcW w:w="1488" w:type="pct"/>
            <w:tcBorders>
              <w:tl2br w:val="nil"/>
              <w:tr2bl w:val="nil"/>
            </w:tcBorders>
            <w:tcMar>
              <w:top w:w="15" w:type="dxa"/>
              <w:left w:w="15" w:type="dxa"/>
              <w:bottom w:w="0" w:type="dxa"/>
              <w:right w:w="15" w:type="dxa"/>
            </w:tcMar>
            <w:vAlign w:val="center"/>
          </w:tcPr>
          <w:p w14:paraId="21794BB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24小时平均第98百分位数</w:t>
            </w:r>
          </w:p>
        </w:tc>
        <w:tc>
          <w:tcPr>
            <w:tcW w:w="611" w:type="pct"/>
            <w:tcBorders>
              <w:tl2br w:val="nil"/>
              <w:tr2bl w:val="nil"/>
            </w:tcBorders>
            <w:tcMar>
              <w:top w:w="15" w:type="dxa"/>
              <w:left w:w="15" w:type="dxa"/>
              <w:bottom w:w="0" w:type="dxa"/>
              <w:right w:w="15" w:type="dxa"/>
            </w:tcMar>
            <w:vAlign w:val="center"/>
          </w:tcPr>
          <w:p w14:paraId="20F8C80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58</w:t>
            </w:r>
          </w:p>
        </w:tc>
        <w:tc>
          <w:tcPr>
            <w:tcW w:w="690" w:type="pct"/>
            <w:tcBorders>
              <w:tl2br w:val="nil"/>
              <w:tr2bl w:val="nil"/>
            </w:tcBorders>
            <w:tcMar>
              <w:top w:w="15" w:type="dxa"/>
              <w:left w:w="15" w:type="dxa"/>
              <w:bottom w:w="0" w:type="dxa"/>
              <w:right w:w="15" w:type="dxa"/>
            </w:tcMar>
            <w:vAlign w:val="center"/>
          </w:tcPr>
          <w:p w14:paraId="6057E6E9">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80</w:t>
            </w:r>
          </w:p>
        </w:tc>
        <w:tc>
          <w:tcPr>
            <w:tcW w:w="532" w:type="pct"/>
            <w:tcBorders>
              <w:tl2br w:val="nil"/>
              <w:tr2bl w:val="nil"/>
            </w:tcBorders>
            <w:tcMar>
              <w:top w:w="15" w:type="dxa"/>
              <w:left w:w="15" w:type="dxa"/>
              <w:bottom w:w="0" w:type="dxa"/>
              <w:right w:w="15" w:type="dxa"/>
            </w:tcMar>
            <w:vAlign w:val="center"/>
          </w:tcPr>
          <w:p w14:paraId="0194169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72.5</w:t>
            </w:r>
          </w:p>
        </w:tc>
        <w:tc>
          <w:tcPr>
            <w:tcW w:w="613" w:type="pct"/>
            <w:tcBorders>
              <w:tl2br w:val="nil"/>
              <w:tr2bl w:val="nil"/>
            </w:tcBorders>
            <w:tcMar>
              <w:top w:w="15" w:type="dxa"/>
              <w:left w:w="15" w:type="dxa"/>
              <w:bottom w:w="0" w:type="dxa"/>
              <w:right w:w="15" w:type="dxa"/>
            </w:tcMar>
            <w:vAlign w:val="center"/>
          </w:tcPr>
          <w:p w14:paraId="7D10F10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6A38CA80">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0F3BA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restart"/>
            <w:tcBorders>
              <w:tl2br w:val="nil"/>
              <w:tr2bl w:val="nil"/>
            </w:tcBorders>
            <w:tcMar>
              <w:top w:w="15" w:type="dxa"/>
              <w:left w:w="15" w:type="dxa"/>
              <w:bottom w:w="0" w:type="dxa"/>
              <w:right w:w="15" w:type="dxa"/>
            </w:tcMar>
            <w:vAlign w:val="center"/>
          </w:tcPr>
          <w:p w14:paraId="5D1DF703">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488" w:type="pct"/>
            <w:tcBorders>
              <w:tl2br w:val="nil"/>
              <w:tr2bl w:val="nil"/>
            </w:tcBorders>
            <w:tcMar>
              <w:top w:w="15" w:type="dxa"/>
              <w:left w:w="15" w:type="dxa"/>
              <w:bottom w:w="0" w:type="dxa"/>
              <w:right w:w="15" w:type="dxa"/>
            </w:tcMar>
            <w:vAlign w:val="center"/>
          </w:tcPr>
          <w:p w14:paraId="2F757D4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611" w:type="pct"/>
            <w:tcBorders>
              <w:tl2br w:val="nil"/>
              <w:tr2bl w:val="nil"/>
            </w:tcBorders>
            <w:tcMar>
              <w:top w:w="15" w:type="dxa"/>
              <w:left w:w="15" w:type="dxa"/>
              <w:bottom w:w="0" w:type="dxa"/>
              <w:right w:w="15" w:type="dxa"/>
            </w:tcMar>
            <w:vAlign w:val="center"/>
          </w:tcPr>
          <w:p w14:paraId="2857065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51</w:t>
            </w:r>
          </w:p>
        </w:tc>
        <w:tc>
          <w:tcPr>
            <w:tcW w:w="690" w:type="pct"/>
            <w:tcBorders>
              <w:tl2br w:val="nil"/>
              <w:tr2bl w:val="nil"/>
            </w:tcBorders>
            <w:tcMar>
              <w:top w:w="15" w:type="dxa"/>
              <w:left w:w="15" w:type="dxa"/>
              <w:bottom w:w="0" w:type="dxa"/>
              <w:right w:w="15" w:type="dxa"/>
            </w:tcMar>
            <w:vAlign w:val="center"/>
          </w:tcPr>
          <w:p w14:paraId="22280252">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60</w:t>
            </w:r>
          </w:p>
        </w:tc>
        <w:tc>
          <w:tcPr>
            <w:tcW w:w="532" w:type="pct"/>
            <w:tcBorders>
              <w:tl2br w:val="nil"/>
              <w:tr2bl w:val="nil"/>
            </w:tcBorders>
            <w:tcMar>
              <w:top w:w="15" w:type="dxa"/>
              <w:left w:w="15" w:type="dxa"/>
              <w:bottom w:w="0" w:type="dxa"/>
              <w:right w:w="15" w:type="dxa"/>
            </w:tcMar>
            <w:vAlign w:val="center"/>
          </w:tcPr>
          <w:p w14:paraId="62DFDEE2">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85.00</w:t>
            </w:r>
          </w:p>
        </w:tc>
        <w:tc>
          <w:tcPr>
            <w:tcW w:w="613" w:type="pct"/>
            <w:tcBorders>
              <w:tl2br w:val="nil"/>
              <w:tr2bl w:val="nil"/>
            </w:tcBorders>
            <w:tcMar>
              <w:top w:w="15" w:type="dxa"/>
              <w:left w:w="15" w:type="dxa"/>
              <w:bottom w:w="0" w:type="dxa"/>
              <w:right w:w="15" w:type="dxa"/>
            </w:tcMar>
            <w:vAlign w:val="center"/>
          </w:tcPr>
          <w:p w14:paraId="0811B74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12B26986">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6FF93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continue"/>
            <w:tcBorders>
              <w:tl2br w:val="nil"/>
              <w:tr2bl w:val="nil"/>
            </w:tcBorders>
            <w:vAlign w:val="center"/>
          </w:tcPr>
          <w:p w14:paraId="1B77A4F1">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p>
        </w:tc>
        <w:tc>
          <w:tcPr>
            <w:tcW w:w="1488" w:type="pct"/>
            <w:tcBorders>
              <w:tl2br w:val="nil"/>
              <w:tr2bl w:val="nil"/>
            </w:tcBorders>
            <w:tcMar>
              <w:top w:w="15" w:type="dxa"/>
              <w:left w:w="15" w:type="dxa"/>
              <w:bottom w:w="0" w:type="dxa"/>
              <w:right w:w="15" w:type="dxa"/>
            </w:tcMar>
            <w:vAlign w:val="center"/>
          </w:tcPr>
          <w:p w14:paraId="22216AB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24小时平均第95百分位数</w:t>
            </w:r>
          </w:p>
        </w:tc>
        <w:tc>
          <w:tcPr>
            <w:tcW w:w="611" w:type="pct"/>
            <w:tcBorders>
              <w:tl2br w:val="nil"/>
              <w:tr2bl w:val="nil"/>
            </w:tcBorders>
            <w:tcMar>
              <w:top w:w="15" w:type="dxa"/>
              <w:left w:w="15" w:type="dxa"/>
              <w:bottom w:w="0" w:type="dxa"/>
              <w:right w:w="15" w:type="dxa"/>
            </w:tcMar>
            <w:vAlign w:val="center"/>
          </w:tcPr>
          <w:p w14:paraId="3B87B53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69</w:t>
            </w:r>
          </w:p>
        </w:tc>
        <w:tc>
          <w:tcPr>
            <w:tcW w:w="690" w:type="pct"/>
            <w:tcBorders>
              <w:tl2br w:val="nil"/>
              <w:tr2bl w:val="nil"/>
            </w:tcBorders>
            <w:tcMar>
              <w:top w:w="15" w:type="dxa"/>
              <w:left w:w="15" w:type="dxa"/>
              <w:bottom w:w="0" w:type="dxa"/>
              <w:right w:w="15" w:type="dxa"/>
            </w:tcMar>
            <w:vAlign w:val="center"/>
          </w:tcPr>
          <w:p w14:paraId="47990A0D">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0</w:t>
            </w:r>
          </w:p>
        </w:tc>
        <w:tc>
          <w:tcPr>
            <w:tcW w:w="532" w:type="pct"/>
            <w:tcBorders>
              <w:tl2br w:val="nil"/>
              <w:tr2bl w:val="nil"/>
            </w:tcBorders>
            <w:tcMar>
              <w:top w:w="15" w:type="dxa"/>
              <w:left w:w="15" w:type="dxa"/>
              <w:bottom w:w="0" w:type="dxa"/>
              <w:right w:w="15" w:type="dxa"/>
            </w:tcMar>
            <w:vAlign w:val="center"/>
          </w:tcPr>
          <w:p w14:paraId="4C74E40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140.83</w:t>
            </w:r>
          </w:p>
        </w:tc>
        <w:tc>
          <w:tcPr>
            <w:tcW w:w="613" w:type="pct"/>
            <w:tcBorders>
              <w:tl2br w:val="nil"/>
              <w:tr2bl w:val="nil"/>
            </w:tcBorders>
            <w:tcMar>
              <w:top w:w="15" w:type="dxa"/>
              <w:left w:w="15" w:type="dxa"/>
              <w:bottom w:w="0" w:type="dxa"/>
              <w:right w:w="15" w:type="dxa"/>
            </w:tcMar>
            <w:vAlign w:val="center"/>
          </w:tcPr>
          <w:p w14:paraId="52122A4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0.41</w:t>
            </w:r>
          </w:p>
        </w:tc>
        <w:tc>
          <w:tcPr>
            <w:tcW w:w="613" w:type="pct"/>
            <w:tcBorders>
              <w:tl2br w:val="nil"/>
              <w:tr2bl w:val="nil"/>
            </w:tcBorders>
            <w:tcMar>
              <w:top w:w="15" w:type="dxa"/>
              <w:left w:w="15" w:type="dxa"/>
              <w:bottom w:w="0" w:type="dxa"/>
              <w:right w:w="15" w:type="dxa"/>
            </w:tcMar>
            <w:vAlign w:val="center"/>
          </w:tcPr>
          <w:p w14:paraId="34ED73A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超标</w:t>
            </w:r>
          </w:p>
        </w:tc>
      </w:tr>
      <w:tr w14:paraId="1019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restart"/>
            <w:tcBorders>
              <w:tl2br w:val="nil"/>
              <w:tr2bl w:val="nil"/>
            </w:tcBorders>
            <w:tcMar>
              <w:top w:w="15" w:type="dxa"/>
              <w:left w:w="15" w:type="dxa"/>
              <w:bottom w:w="0" w:type="dxa"/>
              <w:right w:w="15" w:type="dxa"/>
            </w:tcMar>
            <w:vAlign w:val="center"/>
          </w:tcPr>
          <w:p w14:paraId="0C5829E4">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488" w:type="pct"/>
            <w:tcBorders>
              <w:tl2br w:val="nil"/>
              <w:tr2bl w:val="nil"/>
            </w:tcBorders>
            <w:tcMar>
              <w:top w:w="15" w:type="dxa"/>
              <w:left w:w="15" w:type="dxa"/>
              <w:bottom w:w="0" w:type="dxa"/>
              <w:right w:w="15" w:type="dxa"/>
            </w:tcMar>
            <w:vAlign w:val="center"/>
          </w:tcPr>
          <w:p w14:paraId="187B35A2">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611" w:type="pct"/>
            <w:tcBorders>
              <w:tl2br w:val="nil"/>
              <w:tr2bl w:val="nil"/>
            </w:tcBorders>
            <w:tcMar>
              <w:top w:w="15" w:type="dxa"/>
              <w:left w:w="15" w:type="dxa"/>
              <w:bottom w:w="0" w:type="dxa"/>
              <w:right w:w="15" w:type="dxa"/>
            </w:tcMar>
            <w:vAlign w:val="center"/>
          </w:tcPr>
          <w:p w14:paraId="58D74619">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w:t>
            </w:r>
          </w:p>
        </w:tc>
        <w:tc>
          <w:tcPr>
            <w:tcW w:w="690" w:type="pct"/>
            <w:tcBorders>
              <w:tl2br w:val="nil"/>
              <w:tr2bl w:val="nil"/>
            </w:tcBorders>
            <w:tcMar>
              <w:top w:w="15" w:type="dxa"/>
              <w:left w:w="15" w:type="dxa"/>
              <w:bottom w:w="0" w:type="dxa"/>
              <w:right w:w="15" w:type="dxa"/>
            </w:tcMar>
            <w:vAlign w:val="center"/>
          </w:tcPr>
          <w:p w14:paraId="3651E8EA">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30</w:t>
            </w:r>
          </w:p>
        </w:tc>
        <w:tc>
          <w:tcPr>
            <w:tcW w:w="532" w:type="pct"/>
            <w:tcBorders>
              <w:tl2br w:val="nil"/>
              <w:tr2bl w:val="nil"/>
            </w:tcBorders>
            <w:tcMar>
              <w:top w:w="15" w:type="dxa"/>
              <w:left w:w="15" w:type="dxa"/>
              <w:bottom w:w="0" w:type="dxa"/>
              <w:right w:w="15" w:type="dxa"/>
            </w:tcMar>
            <w:vAlign w:val="center"/>
          </w:tcPr>
          <w:p w14:paraId="399019C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66.66</w:t>
            </w:r>
          </w:p>
        </w:tc>
        <w:tc>
          <w:tcPr>
            <w:tcW w:w="613" w:type="pct"/>
            <w:tcBorders>
              <w:tl2br w:val="nil"/>
              <w:tr2bl w:val="nil"/>
            </w:tcBorders>
            <w:tcMar>
              <w:top w:w="15" w:type="dxa"/>
              <w:left w:w="15" w:type="dxa"/>
              <w:bottom w:w="0" w:type="dxa"/>
              <w:right w:w="15" w:type="dxa"/>
            </w:tcMar>
            <w:vAlign w:val="center"/>
          </w:tcPr>
          <w:p w14:paraId="45351EC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6F80083D">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07C20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vMerge w:val="continue"/>
            <w:tcBorders>
              <w:tl2br w:val="nil"/>
              <w:tr2bl w:val="nil"/>
            </w:tcBorders>
            <w:vAlign w:val="center"/>
          </w:tcPr>
          <w:p w14:paraId="3C7D7AE9">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p>
        </w:tc>
        <w:tc>
          <w:tcPr>
            <w:tcW w:w="1488" w:type="pct"/>
            <w:tcBorders>
              <w:tl2br w:val="nil"/>
              <w:tr2bl w:val="nil"/>
            </w:tcBorders>
            <w:tcMar>
              <w:top w:w="15" w:type="dxa"/>
              <w:left w:w="15" w:type="dxa"/>
              <w:bottom w:w="0" w:type="dxa"/>
              <w:right w:w="15" w:type="dxa"/>
            </w:tcMar>
            <w:vAlign w:val="center"/>
          </w:tcPr>
          <w:p w14:paraId="6E37194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24小时平均第95百分位数</w:t>
            </w:r>
          </w:p>
        </w:tc>
        <w:tc>
          <w:tcPr>
            <w:tcW w:w="611" w:type="pct"/>
            <w:tcBorders>
              <w:tl2br w:val="nil"/>
              <w:tr2bl w:val="nil"/>
            </w:tcBorders>
            <w:tcMar>
              <w:top w:w="15" w:type="dxa"/>
              <w:left w:w="15" w:type="dxa"/>
              <w:bottom w:w="0" w:type="dxa"/>
              <w:right w:w="15" w:type="dxa"/>
            </w:tcMar>
            <w:vAlign w:val="center"/>
          </w:tcPr>
          <w:p w14:paraId="73756E0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92</w:t>
            </w:r>
          </w:p>
        </w:tc>
        <w:tc>
          <w:tcPr>
            <w:tcW w:w="690" w:type="pct"/>
            <w:tcBorders>
              <w:tl2br w:val="nil"/>
              <w:tr2bl w:val="nil"/>
            </w:tcBorders>
            <w:tcMar>
              <w:top w:w="15" w:type="dxa"/>
              <w:left w:w="15" w:type="dxa"/>
              <w:bottom w:w="0" w:type="dxa"/>
              <w:right w:w="15" w:type="dxa"/>
            </w:tcMar>
            <w:vAlign w:val="center"/>
          </w:tcPr>
          <w:p w14:paraId="27D433E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60</w:t>
            </w:r>
          </w:p>
        </w:tc>
        <w:tc>
          <w:tcPr>
            <w:tcW w:w="532" w:type="pct"/>
            <w:tcBorders>
              <w:tl2br w:val="nil"/>
              <w:tr2bl w:val="nil"/>
            </w:tcBorders>
            <w:tcMar>
              <w:top w:w="15" w:type="dxa"/>
              <w:left w:w="15" w:type="dxa"/>
              <w:bottom w:w="0" w:type="dxa"/>
              <w:right w:w="15" w:type="dxa"/>
            </w:tcMar>
            <w:vAlign w:val="center"/>
          </w:tcPr>
          <w:p w14:paraId="658B290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153.33</w:t>
            </w:r>
          </w:p>
        </w:tc>
        <w:tc>
          <w:tcPr>
            <w:tcW w:w="613" w:type="pct"/>
            <w:tcBorders>
              <w:tl2br w:val="nil"/>
              <w:tr2bl w:val="nil"/>
            </w:tcBorders>
            <w:tcMar>
              <w:top w:w="15" w:type="dxa"/>
              <w:left w:w="15" w:type="dxa"/>
              <w:bottom w:w="0" w:type="dxa"/>
              <w:right w:w="15" w:type="dxa"/>
            </w:tcMar>
            <w:vAlign w:val="center"/>
          </w:tcPr>
          <w:p w14:paraId="149177FC">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0.53</w:t>
            </w:r>
          </w:p>
        </w:tc>
        <w:tc>
          <w:tcPr>
            <w:tcW w:w="613" w:type="pct"/>
            <w:tcBorders>
              <w:tl2br w:val="nil"/>
              <w:tr2bl w:val="nil"/>
            </w:tcBorders>
            <w:tcMar>
              <w:top w:w="15" w:type="dxa"/>
              <w:left w:w="15" w:type="dxa"/>
              <w:bottom w:w="0" w:type="dxa"/>
              <w:right w:w="15" w:type="dxa"/>
            </w:tcMar>
            <w:vAlign w:val="center"/>
          </w:tcPr>
          <w:p w14:paraId="2B0ADBA9">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超标</w:t>
            </w:r>
          </w:p>
        </w:tc>
      </w:tr>
      <w:tr w14:paraId="0432D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tcBorders>
              <w:tl2br w:val="nil"/>
              <w:tr2bl w:val="nil"/>
            </w:tcBorders>
            <w:tcMar>
              <w:top w:w="15" w:type="dxa"/>
              <w:left w:w="15" w:type="dxa"/>
              <w:bottom w:w="0" w:type="dxa"/>
              <w:right w:w="15" w:type="dxa"/>
            </w:tcMar>
            <w:vAlign w:val="center"/>
          </w:tcPr>
          <w:p w14:paraId="6583398A">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488" w:type="pct"/>
            <w:tcBorders>
              <w:tl2br w:val="nil"/>
              <w:tr2bl w:val="nil"/>
            </w:tcBorders>
            <w:tcMar>
              <w:top w:w="15" w:type="dxa"/>
              <w:left w:w="15" w:type="dxa"/>
              <w:bottom w:w="0" w:type="dxa"/>
              <w:right w:w="15" w:type="dxa"/>
            </w:tcMar>
            <w:vAlign w:val="center"/>
          </w:tcPr>
          <w:p w14:paraId="00CBBA96">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24小时平均第95百分位数</w:t>
            </w:r>
          </w:p>
        </w:tc>
        <w:tc>
          <w:tcPr>
            <w:tcW w:w="611" w:type="pct"/>
            <w:tcBorders>
              <w:tl2br w:val="nil"/>
              <w:tr2bl w:val="nil"/>
            </w:tcBorders>
            <w:tcMar>
              <w:top w:w="15" w:type="dxa"/>
              <w:left w:w="15" w:type="dxa"/>
              <w:bottom w:w="0" w:type="dxa"/>
              <w:right w:w="15" w:type="dxa"/>
            </w:tcMar>
            <w:vAlign w:val="center"/>
          </w:tcPr>
          <w:p w14:paraId="43463DB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1570</w:t>
            </w:r>
          </w:p>
        </w:tc>
        <w:tc>
          <w:tcPr>
            <w:tcW w:w="690" w:type="pct"/>
            <w:tcBorders>
              <w:tl2br w:val="nil"/>
              <w:tr2bl w:val="nil"/>
            </w:tcBorders>
            <w:tcMar>
              <w:top w:w="15" w:type="dxa"/>
              <w:left w:w="15" w:type="dxa"/>
              <w:bottom w:w="0" w:type="dxa"/>
              <w:right w:w="15" w:type="dxa"/>
            </w:tcMar>
            <w:vAlign w:val="center"/>
          </w:tcPr>
          <w:p w14:paraId="3C59984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4000</w:t>
            </w:r>
          </w:p>
        </w:tc>
        <w:tc>
          <w:tcPr>
            <w:tcW w:w="532" w:type="pct"/>
            <w:tcBorders>
              <w:tl2br w:val="nil"/>
              <w:tr2bl w:val="nil"/>
            </w:tcBorders>
            <w:tcMar>
              <w:top w:w="15" w:type="dxa"/>
              <w:left w:w="15" w:type="dxa"/>
              <w:bottom w:w="0" w:type="dxa"/>
              <w:right w:w="15" w:type="dxa"/>
            </w:tcMar>
            <w:vAlign w:val="center"/>
          </w:tcPr>
          <w:p w14:paraId="13774D5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39.25</w:t>
            </w:r>
          </w:p>
        </w:tc>
        <w:tc>
          <w:tcPr>
            <w:tcW w:w="613" w:type="pct"/>
            <w:tcBorders>
              <w:tl2br w:val="nil"/>
              <w:tr2bl w:val="nil"/>
            </w:tcBorders>
            <w:tcMar>
              <w:top w:w="15" w:type="dxa"/>
              <w:left w:w="15" w:type="dxa"/>
              <w:bottom w:w="0" w:type="dxa"/>
              <w:right w:w="15" w:type="dxa"/>
            </w:tcMar>
            <w:vAlign w:val="center"/>
          </w:tcPr>
          <w:p w14:paraId="6A49163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13" w:type="pct"/>
            <w:tcBorders>
              <w:tl2br w:val="nil"/>
              <w:tr2bl w:val="nil"/>
            </w:tcBorders>
            <w:tcMar>
              <w:top w:w="15" w:type="dxa"/>
              <w:left w:w="15" w:type="dxa"/>
              <w:bottom w:w="0" w:type="dxa"/>
              <w:right w:w="15" w:type="dxa"/>
            </w:tcMar>
            <w:vAlign w:val="center"/>
          </w:tcPr>
          <w:p w14:paraId="03DB2C71">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30F9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 w:hRule="atLeast"/>
          <w:jc w:val="center"/>
        </w:trPr>
        <w:tc>
          <w:tcPr>
            <w:tcW w:w="449" w:type="pct"/>
            <w:tcBorders>
              <w:tl2br w:val="nil"/>
              <w:tr2bl w:val="nil"/>
            </w:tcBorders>
            <w:tcMar>
              <w:top w:w="15" w:type="dxa"/>
              <w:left w:w="15" w:type="dxa"/>
              <w:bottom w:w="0" w:type="dxa"/>
              <w:right w:w="15" w:type="dxa"/>
            </w:tcMar>
            <w:vAlign w:val="center"/>
          </w:tcPr>
          <w:p w14:paraId="1903F27F">
            <w:pPr>
              <w:keepNext w:val="0"/>
              <w:keepLines w:val="0"/>
              <w:pageBreakBefore w:val="0"/>
              <w:widowControl w:val="0"/>
              <w:tabs>
                <w:tab w:val="left" w:pos="462"/>
              </w:tabs>
              <w:kinsoku/>
              <w:wordWrap/>
              <w:overflowPunct/>
              <w:topLinePunct w:val="0"/>
              <w:autoSpaceDE/>
              <w:autoSpaceDN/>
              <w:bidi w:val="0"/>
              <w:adjustRightInd/>
              <w:snapToGrid/>
              <w:spacing w:beforeAutospacing="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p>
        </w:tc>
        <w:tc>
          <w:tcPr>
            <w:tcW w:w="1488" w:type="pct"/>
            <w:tcBorders>
              <w:tl2br w:val="nil"/>
              <w:tr2bl w:val="nil"/>
            </w:tcBorders>
            <w:tcMar>
              <w:top w:w="15" w:type="dxa"/>
              <w:left w:w="15" w:type="dxa"/>
              <w:bottom w:w="0" w:type="dxa"/>
              <w:right w:w="15" w:type="dxa"/>
            </w:tcMar>
            <w:vAlign w:val="center"/>
          </w:tcPr>
          <w:p w14:paraId="70737F3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24小时最大8小时滑动平均值的第90百分位数</w:t>
            </w:r>
          </w:p>
        </w:tc>
        <w:tc>
          <w:tcPr>
            <w:tcW w:w="611" w:type="pct"/>
            <w:tcBorders>
              <w:tl2br w:val="nil"/>
              <w:tr2bl w:val="nil"/>
            </w:tcBorders>
            <w:tcMar>
              <w:top w:w="15" w:type="dxa"/>
              <w:left w:w="15" w:type="dxa"/>
              <w:bottom w:w="0" w:type="dxa"/>
              <w:right w:w="15" w:type="dxa"/>
            </w:tcMar>
            <w:vAlign w:val="center"/>
          </w:tcPr>
          <w:p w14:paraId="0C6827C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26</w:t>
            </w:r>
          </w:p>
        </w:tc>
        <w:tc>
          <w:tcPr>
            <w:tcW w:w="690" w:type="pct"/>
            <w:tcBorders>
              <w:tl2br w:val="nil"/>
              <w:tr2bl w:val="nil"/>
            </w:tcBorders>
            <w:tcMar>
              <w:top w:w="15" w:type="dxa"/>
              <w:left w:w="15" w:type="dxa"/>
              <w:bottom w:w="0" w:type="dxa"/>
              <w:right w:w="15" w:type="dxa"/>
            </w:tcMar>
            <w:vAlign w:val="center"/>
          </w:tcPr>
          <w:p w14:paraId="4961DAF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160</w:t>
            </w:r>
          </w:p>
        </w:tc>
        <w:tc>
          <w:tcPr>
            <w:tcW w:w="532" w:type="pct"/>
            <w:tcBorders>
              <w:tl2br w:val="nil"/>
              <w:tr2bl w:val="nil"/>
            </w:tcBorders>
            <w:tcMar>
              <w:top w:w="15" w:type="dxa"/>
              <w:left w:w="15" w:type="dxa"/>
              <w:bottom w:w="0" w:type="dxa"/>
              <w:right w:w="15" w:type="dxa"/>
            </w:tcMar>
            <w:vAlign w:val="center"/>
          </w:tcPr>
          <w:p w14:paraId="119EBDB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78.75</w:t>
            </w:r>
          </w:p>
        </w:tc>
        <w:tc>
          <w:tcPr>
            <w:tcW w:w="613" w:type="pct"/>
            <w:tcBorders>
              <w:tl2br w:val="nil"/>
              <w:tr2bl w:val="nil"/>
            </w:tcBorders>
            <w:tcMar>
              <w:top w:w="15" w:type="dxa"/>
              <w:left w:w="15" w:type="dxa"/>
              <w:bottom w:w="0" w:type="dxa"/>
              <w:right w:w="15" w:type="dxa"/>
            </w:tcMar>
            <w:vAlign w:val="center"/>
          </w:tcPr>
          <w:p w14:paraId="15151AE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w:t>
            </w:r>
          </w:p>
        </w:tc>
        <w:tc>
          <w:tcPr>
            <w:tcW w:w="613" w:type="pct"/>
            <w:tcBorders>
              <w:tl2br w:val="nil"/>
              <w:tr2bl w:val="nil"/>
            </w:tcBorders>
            <w:tcMar>
              <w:top w:w="15" w:type="dxa"/>
              <w:left w:w="15" w:type="dxa"/>
              <w:bottom w:w="0" w:type="dxa"/>
              <w:right w:w="15" w:type="dxa"/>
            </w:tcMar>
            <w:vAlign w:val="center"/>
          </w:tcPr>
          <w:p w14:paraId="4015CF33">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达标</w:t>
            </w:r>
          </w:p>
        </w:tc>
      </w:tr>
    </w:tbl>
    <w:p w14:paraId="320DF6ED">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baseline"/>
        <w:rPr>
          <w:color w:val="auto"/>
          <w:kern w:val="0"/>
          <w:sz w:val="24"/>
          <w:highlight w:val="none"/>
        </w:rPr>
      </w:pPr>
      <w:r>
        <w:rPr>
          <w:rFonts w:hint="eastAsia"/>
          <w:snapToGrid w:val="0"/>
          <w:color w:val="auto"/>
          <w:kern w:val="0"/>
          <w:sz w:val="24"/>
          <w:highlight w:val="none"/>
        </w:rPr>
        <w:t>由上表可知，</w:t>
      </w:r>
      <w:r>
        <w:rPr>
          <w:rFonts w:hint="eastAsia"/>
          <w:color w:val="auto"/>
          <w:kern w:val="0"/>
          <w:sz w:val="24"/>
          <w:highlight w:val="none"/>
        </w:rPr>
        <w:t>项目所在</w:t>
      </w:r>
      <w:r>
        <w:rPr>
          <w:color w:val="auto"/>
          <w:kern w:val="0"/>
          <w:sz w:val="24"/>
          <w:highlight w:val="none"/>
          <w:lang w:val="de-DE"/>
        </w:rPr>
        <w:t>区域SO</w:t>
      </w:r>
      <w:r>
        <w:rPr>
          <w:color w:val="auto"/>
          <w:kern w:val="0"/>
          <w:sz w:val="24"/>
          <w:highlight w:val="none"/>
          <w:vertAlign w:val="subscript"/>
          <w:lang w:val="de-DE"/>
        </w:rPr>
        <w:t>2</w:t>
      </w:r>
      <w:r>
        <w:rPr>
          <w:rFonts w:hint="eastAsia"/>
          <w:color w:val="auto"/>
          <w:kern w:val="0"/>
          <w:sz w:val="24"/>
          <w:highlight w:val="none"/>
        </w:rPr>
        <w:t>及</w:t>
      </w:r>
      <w:r>
        <w:rPr>
          <w:color w:val="auto"/>
          <w:kern w:val="0"/>
          <w:sz w:val="24"/>
          <w:highlight w:val="none"/>
          <w:lang w:val="de-DE"/>
        </w:rPr>
        <w:t>NO</w:t>
      </w:r>
      <w:r>
        <w:rPr>
          <w:color w:val="auto"/>
          <w:kern w:val="0"/>
          <w:sz w:val="24"/>
          <w:highlight w:val="none"/>
          <w:vertAlign w:val="subscript"/>
          <w:lang w:val="de-DE"/>
        </w:rPr>
        <w:t>2</w:t>
      </w:r>
      <w:r>
        <w:rPr>
          <w:color w:val="auto"/>
          <w:kern w:val="0"/>
          <w:sz w:val="24"/>
          <w:highlight w:val="none"/>
          <w:lang w:val="de-DE"/>
        </w:rPr>
        <w:t>年均浓度和百分位数日均浓度</w:t>
      </w:r>
      <w:r>
        <w:rPr>
          <w:rFonts w:hint="eastAsia"/>
          <w:color w:val="auto"/>
          <w:kern w:val="0"/>
          <w:sz w:val="24"/>
          <w:highlight w:val="none"/>
          <w:lang w:val="de-DE"/>
        </w:rPr>
        <w:t>、</w:t>
      </w:r>
      <w:r>
        <w:rPr>
          <w:color w:val="auto"/>
          <w:kern w:val="0"/>
          <w:sz w:val="24"/>
          <w:highlight w:val="none"/>
          <w:lang w:val="de-DE"/>
        </w:rPr>
        <w:t>CO</w:t>
      </w:r>
      <w:r>
        <w:rPr>
          <w:rFonts w:hint="eastAsia"/>
          <w:color w:val="auto"/>
          <w:kern w:val="0"/>
          <w:sz w:val="24"/>
          <w:highlight w:val="none"/>
        </w:rPr>
        <w:t>百分位数日均浓度</w:t>
      </w:r>
      <w:r>
        <w:rPr>
          <w:color w:val="auto"/>
          <w:kern w:val="0"/>
          <w:sz w:val="24"/>
          <w:highlight w:val="none"/>
          <w:lang w:val="de-DE"/>
        </w:rPr>
        <w:t>、O</w:t>
      </w:r>
      <w:r>
        <w:rPr>
          <w:color w:val="auto"/>
          <w:kern w:val="0"/>
          <w:sz w:val="24"/>
          <w:highlight w:val="none"/>
          <w:vertAlign w:val="subscript"/>
          <w:lang w:val="de-DE"/>
        </w:rPr>
        <w:t>3</w:t>
      </w:r>
      <w:r>
        <w:rPr>
          <w:rFonts w:hint="eastAsia"/>
          <w:color w:val="auto"/>
          <w:kern w:val="0"/>
          <w:sz w:val="24"/>
          <w:highlight w:val="none"/>
        </w:rPr>
        <w:t>百分位数日均最大8小时浓度</w:t>
      </w:r>
      <w:r>
        <w:rPr>
          <w:color w:val="auto"/>
          <w:kern w:val="0"/>
          <w:sz w:val="24"/>
          <w:highlight w:val="none"/>
          <w:lang w:val="de-DE"/>
        </w:rPr>
        <w:t>均满足《环境空气质量标准》（GB3095-20</w:t>
      </w:r>
      <w:r>
        <w:rPr>
          <w:rFonts w:hint="eastAsia"/>
          <w:color w:val="auto"/>
          <w:kern w:val="0"/>
          <w:sz w:val="24"/>
          <w:highlight w:val="none"/>
        </w:rPr>
        <w:t>26</w:t>
      </w:r>
      <w:r>
        <w:rPr>
          <w:color w:val="auto"/>
          <w:kern w:val="0"/>
          <w:sz w:val="24"/>
          <w:highlight w:val="none"/>
          <w:lang w:val="de-DE"/>
        </w:rPr>
        <w:t>）</w:t>
      </w:r>
      <w:r>
        <w:rPr>
          <w:rFonts w:hint="eastAsia"/>
          <w:color w:val="auto"/>
          <w:kern w:val="0"/>
          <w:sz w:val="24"/>
          <w:highlight w:val="none"/>
          <w:lang w:val="de-DE" w:eastAsia="zh-CN"/>
        </w:rPr>
        <w:t>表1中过渡阶段二级浓度限值</w:t>
      </w:r>
      <w:r>
        <w:rPr>
          <w:color w:val="auto"/>
          <w:kern w:val="0"/>
          <w:sz w:val="24"/>
          <w:highlight w:val="none"/>
          <w:lang w:val="de-DE"/>
        </w:rPr>
        <w:t>；PM</w:t>
      </w:r>
      <w:r>
        <w:rPr>
          <w:color w:val="auto"/>
          <w:kern w:val="0"/>
          <w:sz w:val="24"/>
          <w:highlight w:val="none"/>
          <w:vertAlign w:val="subscript"/>
          <w:lang w:val="de-DE"/>
        </w:rPr>
        <w:t>2.5</w:t>
      </w:r>
      <w:r>
        <w:rPr>
          <w:rFonts w:hint="eastAsia"/>
          <w:color w:val="auto"/>
          <w:kern w:val="0"/>
          <w:sz w:val="24"/>
          <w:highlight w:val="none"/>
          <w:lang w:val="de-DE"/>
        </w:rPr>
        <w:t>、</w:t>
      </w:r>
      <w:r>
        <w:rPr>
          <w:rFonts w:hint="eastAsia"/>
          <w:color w:val="auto"/>
          <w:kern w:val="0"/>
          <w:sz w:val="24"/>
          <w:highlight w:val="none"/>
        </w:rPr>
        <w:t>PM</w:t>
      </w:r>
      <w:r>
        <w:rPr>
          <w:rFonts w:hint="eastAsia"/>
          <w:color w:val="auto"/>
          <w:kern w:val="0"/>
          <w:sz w:val="24"/>
          <w:highlight w:val="none"/>
          <w:vertAlign w:val="subscript"/>
        </w:rPr>
        <w:t>10</w:t>
      </w:r>
      <w:r>
        <w:rPr>
          <w:color w:val="auto"/>
          <w:kern w:val="0"/>
          <w:sz w:val="24"/>
          <w:highlight w:val="none"/>
          <w:lang w:val="de-DE"/>
        </w:rPr>
        <w:t>的年均浓度满足《环境空气质量标准》（GB3095-20</w:t>
      </w:r>
      <w:r>
        <w:rPr>
          <w:rFonts w:hint="eastAsia"/>
          <w:color w:val="auto"/>
          <w:kern w:val="0"/>
          <w:sz w:val="24"/>
          <w:highlight w:val="none"/>
        </w:rPr>
        <w:t>26</w:t>
      </w:r>
      <w:r>
        <w:rPr>
          <w:color w:val="auto"/>
          <w:kern w:val="0"/>
          <w:sz w:val="24"/>
          <w:highlight w:val="none"/>
          <w:lang w:val="de-DE"/>
        </w:rPr>
        <w:t>）</w:t>
      </w:r>
      <w:r>
        <w:rPr>
          <w:rFonts w:hint="eastAsia"/>
          <w:color w:val="auto"/>
          <w:kern w:val="0"/>
          <w:sz w:val="24"/>
          <w:highlight w:val="none"/>
          <w:lang w:val="de-DE" w:eastAsia="zh-CN"/>
        </w:rPr>
        <w:t>表1中过渡阶段二级浓度限值</w:t>
      </w:r>
      <w:r>
        <w:rPr>
          <w:rFonts w:hint="eastAsia"/>
          <w:color w:val="auto"/>
          <w:kern w:val="0"/>
          <w:sz w:val="24"/>
          <w:highlight w:val="none"/>
          <w:lang w:val="de-DE"/>
        </w:rPr>
        <w:t>，</w:t>
      </w:r>
      <w:r>
        <w:rPr>
          <w:color w:val="auto"/>
          <w:kern w:val="0"/>
          <w:sz w:val="24"/>
          <w:highlight w:val="none"/>
          <w:lang w:val="de-DE"/>
        </w:rPr>
        <w:t>而百分位数日均浓度均超过《环境空气质量标准》（GB3095-20</w:t>
      </w:r>
      <w:r>
        <w:rPr>
          <w:rFonts w:hint="eastAsia"/>
          <w:color w:val="auto"/>
          <w:kern w:val="0"/>
          <w:sz w:val="24"/>
          <w:highlight w:val="none"/>
        </w:rPr>
        <w:t>26</w:t>
      </w:r>
      <w:r>
        <w:rPr>
          <w:color w:val="auto"/>
          <w:kern w:val="0"/>
          <w:sz w:val="24"/>
          <w:highlight w:val="none"/>
          <w:lang w:val="de-DE"/>
        </w:rPr>
        <w:t>）</w:t>
      </w:r>
      <w:r>
        <w:rPr>
          <w:rFonts w:hint="eastAsia"/>
          <w:color w:val="auto"/>
          <w:kern w:val="0"/>
          <w:sz w:val="24"/>
          <w:highlight w:val="none"/>
          <w:lang w:val="de-DE" w:eastAsia="zh-CN"/>
        </w:rPr>
        <w:t>表1中过渡阶段二级浓度限值</w:t>
      </w:r>
      <w:r>
        <w:rPr>
          <w:rFonts w:hint="eastAsia"/>
          <w:color w:val="auto"/>
          <w:kern w:val="0"/>
          <w:sz w:val="24"/>
          <w:highlight w:val="none"/>
          <w:lang w:val="de-DE"/>
        </w:rPr>
        <w:t>。</w:t>
      </w:r>
      <w:r>
        <w:rPr>
          <w:color w:val="auto"/>
          <w:kern w:val="0"/>
          <w:sz w:val="24"/>
          <w:highlight w:val="none"/>
          <w:lang w:val="de-DE"/>
        </w:rPr>
        <w:t>因此，</w:t>
      </w:r>
      <w:r>
        <w:rPr>
          <w:rFonts w:hint="eastAsia"/>
          <w:color w:val="auto"/>
          <w:kern w:val="0"/>
          <w:sz w:val="24"/>
          <w:highlight w:val="none"/>
          <w:lang w:val="de-DE" w:eastAsia="zh-CN"/>
        </w:rPr>
        <w:t>项目所在区域</w:t>
      </w:r>
      <w:r>
        <w:rPr>
          <w:color w:val="auto"/>
          <w:kern w:val="0"/>
          <w:sz w:val="24"/>
          <w:highlight w:val="none"/>
          <w:lang w:val="de-DE"/>
        </w:rPr>
        <w:t>为</w:t>
      </w:r>
      <w:r>
        <w:rPr>
          <w:rFonts w:hint="eastAsia"/>
          <w:color w:val="auto"/>
          <w:kern w:val="0"/>
          <w:sz w:val="24"/>
          <w:highlight w:val="none"/>
          <w:lang w:val="de-DE"/>
        </w:rPr>
        <w:t>不</w:t>
      </w:r>
      <w:r>
        <w:rPr>
          <w:color w:val="auto"/>
          <w:kern w:val="0"/>
          <w:sz w:val="24"/>
          <w:highlight w:val="none"/>
          <w:lang w:val="de-DE"/>
        </w:rPr>
        <w:t>达标区</w:t>
      </w:r>
      <w:r>
        <w:rPr>
          <w:rFonts w:hint="eastAsia"/>
          <w:color w:val="auto"/>
          <w:kern w:val="0"/>
          <w:sz w:val="24"/>
          <w:highlight w:val="none"/>
          <w:lang w:val="de-DE"/>
        </w:rPr>
        <w:t>。</w:t>
      </w:r>
      <w:r>
        <w:rPr>
          <w:color w:val="auto"/>
          <w:kern w:val="0"/>
          <w:sz w:val="24"/>
          <w:highlight w:val="none"/>
        </w:rPr>
        <w:t>PM</w:t>
      </w:r>
      <w:r>
        <w:rPr>
          <w:color w:val="auto"/>
          <w:kern w:val="0"/>
          <w:sz w:val="24"/>
          <w:highlight w:val="none"/>
          <w:vertAlign w:val="subscript"/>
        </w:rPr>
        <w:t>2.5</w:t>
      </w:r>
      <w:r>
        <w:rPr>
          <w:color w:val="auto"/>
          <w:kern w:val="0"/>
          <w:sz w:val="24"/>
          <w:highlight w:val="none"/>
        </w:rPr>
        <w:t>、PM</w:t>
      </w:r>
      <w:r>
        <w:rPr>
          <w:color w:val="auto"/>
          <w:kern w:val="0"/>
          <w:sz w:val="24"/>
          <w:highlight w:val="none"/>
          <w:vertAlign w:val="subscript"/>
        </w:rPr>
        <w:t>10</w:t>
      </w:r>
      <w:r>
        <w:rPr>
          <w:color w:val="auto"/>
          <w:kern w:val="0"/>
          <w:sz w:val="24"/>
          <w:highlight w:val="none"/>
        </w:rPr>
        <w:t>超标原因主要是因为新疆气候干燥，浮尘天气等影响。</w:t>
      </w:r>
    </w:p>
    <w:p w14:paraId="57CF66B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5.3.1.2其他污染物环境质量现状</w:t>
      </w:r>
    </w:p>
    <w:p w14:paraId="0FE781A9">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（1）数据来源</w:t>
      </w:r>
    </w:p>
    <w:p w14:paraId="6372AC7F">
      <w:pPr>
        <w:adjustRightInd w:val="0"/>
        <w:snapToGrid w:val="0"/>
        <w:spacing w:line="360" w:lineRule="auto"/>
        <w:ind w:firstLine="480" w:firstLineChars="200"/>
        <w:rPr>
          <w:color w:val="auto"/>
          <w:kern w:val="0"/>
          <w:sz w:val="24"/>
          <w:highlight w:val="none"/>
        </w:rPr>
      </w:pPr>
      <w:r>
        <w:rPr>
          <w:color w:val="auto"/>
          <w:kern w:val="0"/>
          <w:sz w:val="24"/>
          <w:highlight w:val="none"/>
        </w:rPr>
        <w:t>对于补充监测的污染物，优先采用评价范围内国家或地方环境空气质量监测网中评价基准年连续1年的监测数据。评价范围内没有环境空气质量监测网数据或公开发布的环境空气质量现状数据的，可收集评价范围内近3年与项目排放的其他污染物有关的历史监测资料。若需要补充监测，以近20年统计的当地主导风向为轴向，在厂址及主导风向下风向（南风）5km范围内设置1～2个监测点。</w:t>
      </w:r>
    </w:p>
    <w:p w14:paraId="029F46DE">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lang w:val="en-US" w:eastAsia="zh-CN"/>
        </w:rPr>
        <w:t>本项目特征污染物主要有</w:t>
      </w:r>
      <w:r>
        <w:rPr>
          <w:color w:val="auto"/>
          <w:kern w:val="0"/>
          <w:sz w:val="24"/>
          <w:highlight w:val="none"/>
        </w:rPr>
        <w:t>非甲烷总烃、氨、硫化氢</w:t>
      </w:r>
      <w:r>
        <w:rPr>
          <w:rFonts w:hint="eastAsia"/>
          <w:color w:val="auto"/>
          <w:kern w:val="0"/>
          <w:sz w:val="24"/>
          <w:highlight w:val="none"/>
          <w:lang w:eastAsia="zh-CN"/>
        </w:rPr>
        <w:t>、</w:t>
      </w:r>
      <w:r>
        <w:rPr>
          <w:rFonts w:hint="eastAsia"/>
          <w:color w:val="auto"/>
          <w:kern w:val="0"/>
          <w:sz w:val="24"/>
          <w:highlight w:val="none"/>
        </w:rPr>
        <w:t>硫酸雾</w:t>
      </w:r>
      <w:r>
        <w:rPr>
          <w:rFonts w:hint="eastAsia"/>
          <w:color w:val="auto"/>
          <w:kern w:val="0"/>
          <w:sz w:val="24"/>
          <w:highlight w:val="none"/>
          <w:lang w:val="en-US" w:eastAsia="zh-CN"/>
        </w:rPr>
        <w:t>，均采用符合大气导则要求的引用数据。本次评价引用的特征污染物监测数据符合《环境影响评价技术导则 大气环境》（HJ2.2-2018）要求。</w:t>
      </w:r>
      <w:r>
        <w:rPr>
          <w:color w:val="auto"/>
          <w:kern w:val="0"/>
          <w:sz w:val="24"/>
          <w:highlight w:val="none"/>
        </w:rPr>
        <w:t>非甲烷总烃、氨、硫化氢环境现状数据引用《乌苏市化工产业集中区总体规划</w:t>
      </w:r>
      <w:r>
        <w:rPr>
          <w:rFonts w:hint="eastAsia"/>
          <w:color w:val="auto"/>
          <w:kern w:val="0"/>
          <w:sz w:val="24"/>
          <w:highlight w:val="none"/>
        </w:rPr>
        <w:t>（</w:t>
      </w:r>
      <w:r>
        <w:rPr>
          <w:color w:val="auto"/>
          <w:kern w:val="0"/>
          <w:sz w:val="24"/>
          <w:highlight w:val="none"/>
        </w:rPr>
        <w:t>2024-2035年</w:t>
      </w:r>
      <w:r>
        <w:rPr>
          <w:rFonts w:hint="eastAsia"/>
          <w:color w:val="auto"/>
          <w:kern w:val="0"/>
          <w:sz w:val="24"/>
          <w:highlight w:val="none"/>
        </w:rPr>
        <w:t>）</w:t>
      </w:r>
      <w:r>
        <w:rPr>
          <w:color w:val="auto"/>
          <w:kern w:val="0"/>
          <w:sz w:val="24"/>
          <w:highlight w:val="none"/>
        </w:rPr>
        <w:t>环境影响报告书》监测数据，</w:t>
      </w:r>
      <w:r>
        <w:rPr>
          <w:rFonts w:hint="eastAsia"/>
          <w:color w:val="auto"/>
          <w:kern w:val="0"/>
          <w:sz w:val="24"/>
          <w:highlight w:val="none"/>
        </w:rPr>
        <w:t>硫酸雾</w:t>
      </w:r>
      <w:r>
        <w:rPr>
          <w:color w:val="auto"/>
          <w:kern w:val="0"/>
          <w:sz w:val="24"/>
          <w:highlight w:val="none"/>
        </w:rPr>
        <w:t>环境现状数据引用《凯赛（乌苏）生物技术有限公司年产2万吨</w:t>
      </w:r>
      <w:r>
        <w:rPr>
          <w:rFonts w:hint="eastAsia"/>
          <w:color w:val="auto"/>
          <w:kern w:val="0"/>
          <w:sz w:val="24"/>
          <w:highlight w:val="none"/>
          <w:lang w:eastAsia="zh-CN"/>
        </w:rPr>
        <w:t>二元酸</w:t>
      </w:r>
      <w:r>
        <w:rPr>
          <w:color w:val="auto"/>
          <w:kern w:val="0"/>
          <w:sz w:val="24"/>
          <w:highlight w:val="none"/>
        </w:rPr>
        <w:t>扩产项目环境影响报告书》监测数据，监测点位见表5.3-3及图5.3-1。</w:t>
      </w:r>
    </w:p>
    <w:p w14:paraId="77CEF4A5">
      <w:pPr>
        <w:adjustRightInd w:val="0"/>
        <w:snapToGrid w:val="0"/>
        <w:spacing w:line="360" w:lineRule="auto"/>
        <w:ind w:firstLine="480" w:firstLineChars="200"/>
        <w:rPr>
          <w:color w:val="auto"/>
          <w:kern w:val="0"/>
          <w:sz w:val="24"/>
          <w:highlight w:val="none"/>
        </w:rPr>
      </w:pPr>
      <w:r>
        <w:rPr>
          <w:rFonts w:hint="eastAsia" w:eastAsia="宋体"/>
          <w:color w:val="auto"/>
          <w:kern w:val="0"/>
          <w:sz w:val="24"/>
          <w:highlight w:val="none"/>
          <w:lang w:val="en-US" w:eastAsia="zh-CN"/>
        </w:rPr>
        <w:t>引用的监测</w:t>
      </w:r>
      <w:r>
        <w:rPr>
          <w:rFonts w:hint="eastAsia"/>
          <w:color w:val="auto"/>
          <w:kern w:val="0"/>
          <w:sz w:val="24"/>
          <w:highlight w:val="none"/>
          <w:lang w:val="en-US" w:eastAsia="zh-CN"/>
        </w:rPr>
        <w:t>资料的</w:t>
      </w:r>
      <w:r>
        <w:rPr>
          <w:rFonts w:hint="eastAsia" w:eastAsia="宋体"/>
          <w:color w:val="auto"/>
          <w:kern w:val="0"/>
          <w:sz w:val="24"/>
          <w:highlight w:val="none"/>
          <w:lang w:val="en-US" w:eastAsia="zh-CN"/>
        </w:rPr>
        <w:t>监测时间之后</w:t>
      </w:r>
      <w:r>
        <w:rPr>
          <w:rFonts w:hint="eastAsia"/>
          <w:color w:val="auto"/>
          <w:kern w:val="0"/>
          <w:sz w:val="24"/>
          <w:highlight w:val="none"/>
          <w:lang w:val="en-US" w:eastAsia="zh-CN"/>
        </w:rPr>
        <w:t>，评价范围内有正在建设的项目，无新增建成并投产项目，因此引用数据具有代表性和有效性。</w:t>
      </w:r>
    </w:p>
    <w:p w14:paraId="357823DE">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w:t>
      </w:r>
      <w:r>
        <w:rPr>
          <w:rFonts w:ascii="Times New Roman" w:hAnsi="Times New Roman" w:cs="Times New Roman"/>
          <w:snapToGrid w:val="0"/>
          <w:color w:val="auto"/>
          <w:kern w:val="0"/>
          <w:sz w:val="21"/>
          <w:szCs w:val="21"/>
          <w:highlight w:val="none"/>
        </w:rPr>
        <w:t>.</w:t>
      </w:r>
      <w:r>
        <w:rPr>
          <w:rFonts w:hint="eastAsia" w:ascii="Times New Roman" w:hAnsi="Times New Roman" w:cs="Times New Roman"/>
          <w:snapToGrid w:val="0"/>
          <w:color w:val="auto"/>
          <w:kern w:val="0"/>
          <w:sz w:val="21"/>
          <w:szCs w:val="21"/>
          <w:highlight w:val="none"/>
        </w:rPr>
        <w:t>3-3</w:t>
      </w:r>
      <w:r>
        <w:rPr>
          <w:rFonts w:ascii="Times New Roman" w:hAnsi="Times New Roman" w:cs="Times New Roman"/>
          <w:snapToGrid w:val="0"/>
          <w:color w:val="auto"/>
          <w:kern w:val="0"/>
          <w:sz w:val="21"/>
          <w:szCs w:val="21"/>
          <w:highlight w:val="none"/>
        </w:rPr>
        <w:t xml:space="preserve"> 环境空气质量监测布点一览表</w:t>
      </w:r>
    </w:p>
    <w:tbl>
      <w:tblPr>
        <w:tblStyle w:val="56"/>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632"/>
        <w:gridCol w:w="1289"/>
        <w:gridCol w:w="1197"/>
        <w:gridCol w:w="2099"/>
        <w:gridCol w:w="3012"/>
      </w:tblGrid>
      <w:tr w14:paraId="35D5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7" w:hRule="atLeast"/>
        </w:trPr>
        <w:tc>
          <w:tcPr>
            <w:tcW w:w="384" w:type="pct"/>
            <w:tcBorders>
              <w:tl2br w:val="nil"/>
              <w:tr2bl w:val="nil"/>
            </w:tcBorders>
            <w:vAlign w:val="center"/>
          </w:tcPr>
          <w:p w14:paraId="16E60442">
            <w:pPr>
              <w:widowControl/>
              <w:adjustRightInd w:val="0"/>
              <w:spacing w:line="360" w:lineRule="exact"/>
              <w:jc w:val="center"/>
              <w:rPr>
                <w:rFonts w:eastAsiaTheme="minorEastAsia"/>
                <w:color w:val="auto"/>
                <w:szCs w:val="21"/>
                <w:highlight w:val="none"/>
              </w:rPr>
            </w:pPr>
            <w:r>
              <w:rPr>
                <w:rFonts w:eastAsiaTheme="minorEastAsia"/>
                <w:color w:val="auto"/>
                <w:szCs w:val="21"/>
                <w:highlight w:val="none"/>
              </w:rPr>
              <w:t>编号</w:t>
            </w:r>
          </w:p>
        </w:tc>
        <w:tc>
          <w:tcPr>
            <w:tcW w:w="783" w:type="pct"/>
            <w:tcBorders>
              <w:tl2br w:val="nil"/>
              <w:tr2bl w:val="nil"/>
            </w:tcBorders>
            <w:vAlign w:val="center"/>
          </w:tcPr>
          <w:p w14:paraId="49347CB0">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监测点位</w:t>
            </w:r>
          </w:p>
        </w:tc>
        <w:tc>
          <w:tcPr>
            <w:tcW w:w="727" w:type="pct"/>
            <w:tcBorders>
              <w:tl2br w:val="nil"/>
              <w:tr2bl w:val="nil"/>
            </w:tcBorders>
            <w:vAlign w:val="center"/>
          </w:tcPr>
          <w:p w14:paraId="69A6E25D">
            <w:pPr>
              <w:widowControl/>
              <w:adjustRightInd w:val="0"/>
              <w:spacing w:line="360" w:lineRule="exact"/>
              <w:jc w:val="center"/>
              <w:rPr>
                <w:rFonts w:eastAsiaTheme="minorEastAsia"/>
                <w:color w:val="auto"/>
                <w:szCs w:val="21"/>
                <w:highlight w:val="none"/>
              </w:rPr>
            </w:pPr>
            <w:r>
              <w:rPr>
                <w:rFonts w:eastAsiaTheme="minorEastAsia"/>
                <w:color w:val="auto"/>
                <w:szCs w:val="21"/>
                <w:highlight w:val="none"/>
              </w:rPr>
              <w:t>监测因子</w:t>
            </w:r>
          </w:p>
        </w:tc>
        <w:tc>
          <w:tcPr>
            <w:tcW w:w="1275" w:type="pct"/>
            <w:tcBorders>
              <w:tl2br w:val="nil"/>
              <w:tr2bl w:val="nil"/>
            </w:tcBorders>
            <w:vAlign w:val="center"/>
          </w:tcPr>
          <w:p w14:paraId="3D7FC21E">
            <w:pPr>
              <w:widowControl/>
              <w:adjustRightInd w:val="0"/>
              <w:spacing w:line="360" w:lineRule="exact"/>
              <w:jc w:val="center"/>
              <w:rPr>
                <w:rFonts w:eastAsiaTheme="minorEastAsia"/>
                <w:color w:val="auto"/>
                <w:szCs w:val="21"/>
                <w:highlight w:val="none"/>
              </w:rPr>
            </w:pPr>
            <w:r>
              <w:rPr>
                <w:rFonts w:eastAsiaTheme="minorEastAsia"/>
                <w:color w:val="auto"/>
                <w:szCs w:val="21"/>
                <w:highlight w:val="none"/>
              </w:rPr>
              <w:t>监测时段</w:t>
            </w:r>
          </w:p>
        </w:tc>
        <w:tc>
          <w:tcPr>
            <w:tcW w:w="1829" w:type="pct"/>
            <w:tcBorders>
              <w:tl2br w:val="nil"/>
              <w:tr2bl w:val="nil"/>
            </w:tcBorders>
            <w:vAlign w:val="center"/>
          </w:tcPr>
          <w:p w14:paraId="272CD1EF">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监测单位</w:t>
            </w:r>
          </w:p>
        </w:tc>
      </w:tr>
      <w:tr w14:paraId="5D69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9" w:hRule="atLeast"/>
        </w:trPr>
        <w:tc>
          <w:tcPr>
            <w:tcW w:w="384" w:type="pct"/>
            <w:tcBorders>
              <w:tl2br w:val="nil"/>
              <w:tr2bl w:val="nil"/>
            </w:tcBorders>
            <w:vAlign w:val="center"/>
          </w:tcPr>
          <w:p w14:paraId="604BCA97">
            <w:pPr>
              <w:widowControl/>
              <w:adjustRightInd w:val="0"/>
              <w:spacing w:line="360" w:lineRule="exact"/>
              <w:jc w:val="center"/>
              <w:rPr>
                <w:rFonts w:eastAsiaTheme="minorEastAsia"/>
                <w:color w:val="auto"/>
                <w:szCs w:val="21"/>
                <w:highlight w:val="none"/>
              </w:rPr>
            </w:pPr>
            <w:r>
              <w:rPr>
                <w:rFonts w:eastAsiaTheme="minorEastAsia"/>
                <w:color w:val="auto"/>
                <w:szCs w:val="21"/>
                <w:highlight w:val="none"/>
              </w:rPr>
              <w:t>1</w:t>
            </w:r>
          </w:p>
        </w:tc>
        <w:tc>
          <w:tcPr>
            <w:tcW w:w="783" w:type="pct"/>
            <w:vMerge w:val="restart"/>
            <w:tcBorders>
              <w:tl2br w:val="nil"/>
              <w:tr2bl w:val="nil"/>
            </w:tcBorders>
            <w:vAlign w:val="center"/>
          </w:tcPr>
          <w:p w14:paraId="4B48A4FB">
            <w:pPr>
              <w:widowControl/>
              <w:adjustRightInd w:val="0"/>
              <w:spacing w:line="360" w:lineRule="exact"/>
              <w:jc w:val="center"/>
              <w:rPr>
                <w:color w:val="auto"/>
                <w:szCs w:val="21"/>
                <w:highlight w:val="none"/>
              </w:rPr>
            </w:pPr>
            <w:r>
              <w:rPr>
                <w:rFonts w:hint="eastAsia"/>
                <w:color w:val="auto"/>
                <w:highlight w:val="none"/>
              </w:rPr>
              <w:t>项目东南侧1.5km处</w:t>
            </w:r>
            <w:r>
              <w:rPr>
                <w:color w:val="auto"/>
                <w:highlight w:val="none"/>
              </w:rPr>
              <w:t>园区南侧</w:t>
            </w:r>
            <w:r>
              <w:rPr>
                <w:rFonts w:hint="eastAsia"/>
                <w:color w:val="auto"/>
                <w:highlight w:val="none"/>
              </w:rPr>
              <w:t>监测点</w:t>
            </w:r>
          </w:p>
        </w:tc>
        <w:tc>
          <w:tcPr>
            <w:tcW w:w="727" w:type="pct"/>
            <w:tcBorders>
              <w:tl2br w:val="nil"/>
              <w:tr2bl w:val="nil"/>
            </w:tcBorders>
            <w:vAlign w:val="center"/>
          </w:tcPr>
          <w:p w14:paraId="3BC393CC">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非甲烷总烃</w:t>
            </w:r>
          </w:p>
        </w:tc>
        <w:tc>
          <w:tcPr>
            <w:tcW w:w="1275" w:type="pct"/>
            <w:vMerge w:val="restart"/>
            <w:tcBorders>
              <w:tl2br w:val="nil"/>
              <w:tr2bl w:val="nil"/>
            </w:tcBorders>
            <w:vAlign w:val="center"/>
          </w:tcPr>
          <w:p w14:paraId="64EBABB1">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2024.04.28~2024.05.04</w:t>
            </w:r>
          </w:p>
        </w:tc>
        <w:tc>
          <w:tcPr>
            <w:tcW w:w="1829" w:type="pct"/>
            <w:vMerge w:val="restart"/>
            <w:tcBorders>
              <w:tl2br w:val="nil"/>
              <w:tr2bl w:val="nil"/>
            </w:tcBorders>
            <w:vAlign w:val="center"/>
          </w:tcPr>
          <w:p w14:paraId="093778A8">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新疆齐新环境服务有限公司</w:t>
            </w:r>
          </w:p>
        </w:tc>
      </w:tr>
      <w:tr w14:paraId="0C8B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9" w:hRule="atLeast"/>
        </w:trPr>
        <w:tc>
          <w:tcPr>
            <w:tcW w:w="384" w:type="pct"/>
            <w:tcBorders>
              <w:tl2br w:val="nil"/>
              <w:tr2bl w:val="nil"/>
            </w:tcBorders>
            <w:vAlign w:val="center"/>
          </w:tcPr>
          <w:p w14:paraId="6EE93773">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2</w:t>
            </w:r>
          </w:p>
        </w:tc>
        <w:tc>
          <w:tcPr>
            <w:tcW w:w="783" w:type="pct"/>
            <w:vMerge w:val="continue"/>
            <w:tcBorders>
              <w:tl2br w:val="nil"/>
              <w:tr2bl w:val="nil"/>
            </w:tcBorders>
            <w:vAlign w:val="center"/>
          </w:tcPr>
          <w:p w14:paraId="026FD3DD">
            <w:pPr>
              <w:widowControl/>
              <w:adjustRightInd w:val="0"/>
              <w:spacing w:line="360" w:lineRule="exact"/>
              <w:jc w:val="center"/>
              <w:rPr>
                <w:rFonts w:eastAsiaTheme="minorEastAsia"/>
                <w:color w:val="auto"/>
                <w:szCs w:val="21"/>
                <w:highlight w:val="none"/>
              </w:rPr>
            </w:pPr>
          </w:p>
        </w:tc>
        <w:tc>
          <w:tcPr>
            <w:tcW w:w="727" w:type="pct"/>
            <w:tcBorders>
              <w:tl2br w:val="nil"/>
              <w:tr2bl w:val="nil"/>
            </w:tcBorders>
            <w:vAlign w:val="center"/>
          </w:tcPr>
          <w:p w14:paraId="49A9222D">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氨</w:t>
            </w:r>
          </w:p>
        </w:tc>
        <w:tc>
          <w:tcPr>
            <w:tcW w:w="1275" w:type="pct"/>
            <w:vMerge w:val="continue"/>
            <w:tcBorders>
              <w:tl2br w:val="nil"/>
              <w:tr2bl w:val="nil"/>
            </w:tcBorders>
            <w:vAlign w:val="center"/>
          </w:tcPr>
          <w:p w14:paraId="6BEFA696">
            <w:pPr>
              <w:widowControl/>
              <w:adjustRightInd w:val="0"/>
              <w:spacing w:line="360" w:lineRule="exact"/>
              <w:jc w:val="center"/>
              <w:rPr>
                <w:rFonts w:eastAsiaTheme="minorEastAsia"/>
                <w:color w:val="auto"/>
                <w:szCs w:val="21"/>
                <w:highlight w:val="none"/>
              </w:rPr>
            </w:pPr>
          </w:p>
        </w:tc>
        <w:tc>
          <w:tcPr>
            <w:tcW w:w="1829" w:type="pct"/>
            <w:vMerge w:val="continue"/>
            <w:tcBorders>
              <w:tl2br w:val="nil"/>
              <w:tr2bl w:val="nil"/>
            </w:tcBorders>
            <w:vAlign w:val="center"/>
          </w:tcPr>
          <w:p w14:paraId="75AE3BCE">
            <w:pPr>
              <w:widowControl/>
              <w:adjustRightInd w:val="0"/>
              <w:spacing w:line="360" w:lineRule="exact"/>
              <w:jc w:val="center"/>
              <w:rPr>
                <w:color w:val="auto"/>
                <w:szCs w:val="21"/>
                <w:highlight w:val="none"/>
              </w:rPr>
            </w:pPr>
          </w:p>
        </w:tc>
      </w:tr>
      <w:tr w14:paraId="5CDD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9" w:hRule="atLeast"/>
        </w:trPr>
        <w:tc>
          <w:tcPr>
            <w:tcW w:w="384" w:type="pct"/>
            <w:tcBorders>
              <w:tl2br w:val="nil"/>
              <w:tr2bl w:val="nil"/>
            </w:tcBorders>
            <w:vAlign w:val="center"/>
          </w:tcPr>
          <w:p w14:paraId="52BF6AB3">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3</w:t>
            </w:r>
          </w:p>
        </w:tc>
        <w:tc>
          <w:tcPr>
            <w:tcW w:w="783" w:type="pct"/>
            <w:vMerge w:val="continue"/>
            <w:tcBorders>
              <w:tl2br w:val="nil"/>
              <w:tr2bl w:val="nil"/>
            </w:tcBorders>
            <w:vAlign w:val="center"/>
          </w:tcPr>
          <w:p w14:paraId="08804A32">
            <w:pPr>
              <w:widowControl/>
              <w:adjustRightInd w:val="0"/>
              <w:spacing w:line="360" w:lineRule="exact"/>
              <w:jc w:val="center"/>
              <w:rPr>
                <w:rFonts w:eastAsiaTheme="minorEastAsia"/>
                <w:color w:val="auto"/>
                <w:szCs w:val="21"/>
                <w:highlight w:val="none"/>
              </w:rPr>
            </w:pPr>
          </w:p>
        </w:tc>
        <w:tc>
          <w:tcPr>
            <w:tcW w:w="727" w:type="pct"/>
            <w:tcBorders>
              <w:tl2br w:val="nil"/>
              <w:tr2bl w:val="nil"/>
            </w:tcBorders>
            <w:vAlign w:val="center"/>
          </w:tcPr>
          <w:p w14:paraId="0EACE799">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硫化氢</w:t>
            </w:r>
          </w:p>
        </w:tc>
        <w:tc>
          <w:tcPr>
            <w:tcW w:w="1275" w:type="pct"/>
            <w:vMerge w:val="continue"/>
            <w:tcBorders>
              <w:tl2br w:val="nil"/>
              <w:tr2bl w:val="nil"/>
            </w:tcBorders>
            <w:vAlign w:val="center"/>
          </w:tcPr>
          <w:p w14:paraId="01EA318B">
            <w:pPr>
              <w:widowControl/>
              <w:adjustRightInd w:val="0"/>
              <w:spacing w:line="360" w:lineRule="exact"/>
              <w:jc w:val="center"/>
              <w:rPr>
                <w:rFonts w:eastAsiaTheme="minorEastAsia"/>
                <w:color w:val="auto"/>
                <w:szCs w:val="21"/>
                <w:highlight w:val="none"/>
              </w:rPr>
            </w:pPr>
          </w:p>
        </w:tc>
        <w:tc>
          <w:tcPr>
            <w:tcW w:w="1829" w:type="pct"/>
            <w:vMerge w:val="continue"/>
            <w:tcBorders>
              <w:tl2br w:val="nil"/>
              <w:tr2bl w:val="nil"/>
            </w:tcBorders>
            <w:vAlign w:val="center"/>
          </w:tcPr>
          <w:p w14:paraId="437BA337">
            <w:pPr>
              <w:widowControl/>
              <w:adjustRightInd w:val="0"/>
              <w:spacing w:line="360" w:lineRule="exact"/>
              <w:jc w:val="center"/>
              <w:rPr>
                <w:color w:val="auto"/>
                <w:szCs w:val="21"/>
                <w:highlight w:val="none"/>
              </w:rPr>
            </w:pPr>
          </w:p>
        </w:tc>
      </w:tr>
      <w:tr w14:paraId="39BA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9" w:hRule="atLeast"/>
        </w:trPr>
        <w:tc>
          <w:tcPr>
            <w:tcW w:w="384" w:type="pct"/>
            <w:tcBorders>
              <w:tl2br w:val="nil"/>
              <w:tr2bl w:val="nil"/>
            </w:tcBorders>
            <w:vAlign w:val="center"/>
          </w:tcPr>
          <w:p w14:paraId="60257C03">
            <w:pPr>
              <w:widowControl/>
              <w:adjustRightInd w:val="0"/>
              <w:spacing w:line="360" w:lineRule="exact"/>
              <w:jc w:val="center"/>
              <w:rPr>
                <w:rFonts w:hint="eastAsia" w:eastAsiaTheme="minorEastAsia"/>
                <w:color w:val="auto"/>
                <w:szCs w:val="21"/>
                <w:highlight w:val="none"/>
                <w:lang w:eastAsia="zh-CN"/>
              </w:rPr>
            </w:pPr>
            <w:r>
              <w:rPr>
                <w:rFonts w:hint="eastAsia" w:eastAsiaTheme="minorEastAsia"/>
                <w:color w:val="auto"/>
                <w:szCs w:val="21"/>
                <w:highlight w:val="none"/>
                <w:lang w:val="en-US" w:eastAsia="zh-CN"/>
              </w:rPr>
              <w:t>4</w:t>
            </w:r>
          </w:p>
        </w:tc>
        <w:tc>
          <w:tcPr>
            <w:tcW w:w="783" w:type="pct"/>
            <w:tcBorders>
              <w:tl2br w:val="nil"/>
              <w:tr2bl w:val="nil"/>
            </w:tcBorders>
            <w:vAlign w:val="center"/>
          </w:tcPr>
          <w:p w14:paraId="1642673F">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项目区东北侧0.6km凯赛厂区内监测点</w:t>
            </w:r>
          </w:p>
        </w:tc>
        <w:tc>
          <w:tcPr>
            <w:tcW w:w="727" w:type="pct"/>
            <w:tcBorders>
              <w:tl2br w:val="nil"/>
              <w:tr2bl w:val="nil"/>
            </w:tcBorders>
            <w:shd w:val="clear" w:color="auto" w:fill="auto"/>
            <w:vAlign w:val="center"/>
          </w:tcPr>
          <w:p w14:paraId="1154C942">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硫酸雾</w:t>
            </w:r>
          </w:p>
        </w:tc>
        <w:tc>
          <w:tcPr>
            <w:tcW w:w="1275" w:type="pct"/>
            <w:tcBorders>
              <w:tl2br w:val="nil"/>
              <w:tr2bl w:val="nil"/>
            </w:tcBorders>
            <w:shd w:val="clear" w:color="auto" w:fill="auto"/>
            <w:vAlign w:val="center"/>
          </w:tcPr>
          <w:p w14:paraId="723DC864">
            <w:pPr>
              <w:widowControl/>
              <w:adjustRightInd w:val="0"/>
              <w:spacing w:line="360" w:lineRule="exact"/>
              <w:jc w:val="center"/>
              <w:rPr>
                <w:rFonts w:eastAsiaTheme="minorEastAsia"/>
                <w:color w:val="auto"/>
                <w:szCs w:val="21"/>
                <w:highlight w:val="none"/>
              </w:rPr>
            </w:pPr>
            <w:r>
              <w:rPr>
                <w:rFonts w:hint="eastAsia" w:eastAsiaTheme="minorEastAsia"/>
                <w:color w:val="auto"/>
                <w:szCs w:val="21"/>
                <w:highlight w:val="none"/>
              </w:rPr>
              <w:t>2025.07.07~2025.07.13</w:t>
            </w:r>
          </w:p>
        </w:tc>
        <w:tc>
          <w:tcPr>
            <w:tcW w:w="1829" w:type="pct"/>
            <w:tcBorders>
              <w:tl2br w:val="nil"/>
              <w:tr2bl w:val="nil"/>
            </w:tcBorders>
            <w:shd w:val="clear" w:color="auto" w:fill="auto"/>
            <w:vAlign w:val="center"/>
          </w:tcPr>
          <w:p w14:paraId="24B7B552">
            <w:pPr>
              <w:widowControl/>
              <w:adjustRightInd w:val="0"/>
              <w:spacing w:line="360" w:lineRule="exact"/>
              <w:jc w:val="center"/>
              <w:rPr>
                <w:rFonts w:eastAsiaTheme="minorEastAsia"/>
                <w:color w:val="auto"/>
                <w:szCs w:val="21"/>
                <w:highlight w:val="none"/>
              </w:rPr>
            </w:pPr>
            <w:r>
              <w:rPr>
                <w:rFonts w:hint="eastAsia"/>
                <w:color w:val="auto"/>
                <w:szCs w:val="21"/>
                <w:highlight w:val="none"/>
              </w:rPr>
              <w:t>新疆锡水金山环境科技有限公司</w:t>
            </w:r>
          </w:p>
        </w:tc>
      </w:tr>
    </w:tbl>
    <w:p w14:paraId="7B464C67">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color w:val="auto"/>
          <w:kern w:val="0"/>
          <w:sz w:val="24"/>
          <w:highlight w:val="none"/>
        </w:rPr>
      </w:pPr>
      <w:r>
        <w:rPr>
          <w:rFonts w:hint="eastAsia"/>
          <w:color w:val="auto"/>
          <w:kern w:val="0"/>
          <w:sz w:val="24"/>
          <w:highlight w:val="none"/>
        </w:rPr>
        <w:t>（2）监测项目</w:t>
      </w:r>
    </w:p>
    <w:p w14:paraId="1B820C59">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根据项目特点及该</w:t>
      </w:r>
      <w:r>
        <w:rPr>
          <w:rFonts w:hint="eastAsia"/>
          <w:color w:val="auto"/>
          <w:kern w:val="0"/>
          <w:sz w:val="24"/>
          <w:highlight w:val="none"/>
          <w:lang w:val="en-US" w:eastAsia="zh-CN"/>
        </w:rPr>
        <w:t>区域</w:t>
      </w:r>
      <w:r>
        <w:rPr>
          <w:rFonts w:hint="eastAsia"/>
          <w:color w:val="auto"/>
          <w:kern w:val="0"/>
          <w:sz w:val="24"/>
          <w:highlight w:val="none"/>
        </w:rPr>
        <w:t>大气污染特点，确定其他污染物监测项目为</w:t>
      </w:r>
      <w:r>
        <w:rPr>
          <w:color w:val="auto"/>
          <w:kern w:val="0"/>
          <w:sz w:val="24"/>
          <w:highlight w:val="none"/>
        </w:rPr>
        <w:t>非甲烷总烃、氨、硫化氢</w:t>
      </w:r>
      <w:r>
        <w:rPr>
          <w:rFonts w:hint="eastAsia"/>
          <w:color w:val="auto"/>
          <w:kern w:val="0"/>
          <w:sz w:val="24"/>
          <w:highlight w:val="none"/>
        </w:rPr>
        <w:t>和硫酸雾。</w:t>
      </w:r>
    </w:p>
    <w:p w14:paraId="6D07D3E4">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（3）监测方法</w:t>
      </w:r>
    </w:p>
    <w:p w14:paraId="7B979230">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其他污染物监测方法见表5.3-</w:t>
      </w:r>
      <w:r>
        <w:rPr>
          <w:rFonts w:hint="eastAsia"/>
          <w:color w:val="auto"/>
          <w:kern w:val="0"/>
          <w:sz w:val="24"/>
          <w:highlight w:val="none"/>
          <w:lang w:val="en-US" w:eastAsia="zh-CN"/>
        </w:rPr>
        <w:t>4</w:t>
      </w:r>
      <w:r>
        <w:rPr>
          <w:rFonts w:hint="eastAsia"/>
          <w:color w:val="auto"/>
          <w:kern w:val="0"/>
          <w:sz w:val="24"/>
          <w:highlight w:val="none"/>
        </w:rPr>
        <w:t>。</w:t>
      </w:r>
    </w:p>
    <w:p w14:paraId="418CFFF7">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rPr>
        <w:t xml:space="preserve"> 环境空气质量监测分析方法表</w:t>
      </w:r>
    </w:p>
    <w:tbl>
      <w:tblPr>
        <w:tblStyle w:val="56"/>
        <w:tblW w:w="50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9"/>
        <w:gridCol w:w="1351"/>
        <w:gridCol w:w="5334"/>
        <w:gridCol w:w="1101"/>
      </w:tblGrid>
      <w:tr w14:paraId="5A23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4" w:type="pct"/>
            <w:shd w:val="clear" w:color="auto" w:fill="auto"/>
            <w:vAlign w:val="center"/>
          </w:tcPr>
          <w:p w14:paraId="7841D6B0">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序号</w:t>
            </w:r>
          </w:p>
        </w:tc>
        <w:tc>
          <w:tcPr>
            <w:tcW w:w="818" w:type="pct"/>
            <w:shd w:val="clear" w:color="auto" w:fill="auto"/>
            <w:vAlign w:val="center"/>
          </w:tcPr>
          <w:p w14:paraId="76B9A13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检测项目</w:t>
            </w:r>
          </w:p>
        </w:tc>
        <w:tc>
          <w:tcPr>
            <w:tcW w:w="3229" w:type="pct"/>
            <w:shd w:val="clear" w:color="auto" w:fill="auto"/>
            <w:vAlign w:val="center"/>
          </w:tcPr>
          <w:p w14:paraId="6781DD9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检测依据</w:t>
            </w:r>
          </w:p>
        </w:tc>
        <w:tc>
          <w:tcPr>
            <w:tcW w:w="666" w:type="pct"/>
            <w:shd w:val="clear" w:color="auto" w:fill="auto"/>
            <w:vAlign w:val="center"/>
          </w:tcPr>
          <w:p w14:paraId="08275A9B">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检出限</w:t>
            </w:r>
          </w:p>
        </w:tc>
      </w:tr>
      <w:tr w14:paraId="3E1F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4" w:type="pct"/>
            <w:shd w:val="clear" w:color="auto" w:fill="auto"/>
            <w:vAlign w:val="center"/>
          </w:tcPr>
          <w:p w14:paraId="32E3354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w:t>
            </w:r>
          </w:p>
        </w:tc>
        <w:tc>
          <w:tcPr>
            <w:tcW w:w="818" w:type="pct"/>
            <w:shd w:val="clear" w:color="auto" w:fill="auto"/>
            <w:vAlign w:val="center"/>
          </w:tcPr>
          <w:p w14:paraId="6062CCEE">
            <w:pPr>
              <w:widowControl/>
              <w:adjustRightInd w:val="0"/>
              <w:snapToGrid w:val="0"/>
              <w:jc w:val="center"/>
              <w:rPr>
                <w:snapToGrid w:val="0"/>
                <w:color w:val="auto"/>
                <w:kern w:val="0"/>
                <w:szCs w:val="21"/>
                <w:highlight w:val="none"/>
                <w:lang w:val="zh-CN"/>
              </w:rPr>
            </w:pPr>
            <w:r>
              <w:rPr>
                <w:rFonts w:hint="eastAsia"/>
                <w:color w:val="auto"/>
                <w:kern w:val="0"/>
                <w:szCs w:val="21"/>
                <w:highlight w:val="none"/>
              </w:rPr>
              <w:t>非甲烷总烃</w:t>
            </w:r>
          </w:p>
        </w:tc>
        <w:tc>
          <w:tcPr>
            <w:tcW w:w="3229" w:type="pct"/>
            <w:shd w:val="clear" w:color="auto" w:fill="auto"/>
            <w:vAlign w:val="center"/>
          </w:tcPr>
          <w:p w14:paraId="567698D1">
            <w:pPr>
              <w:pStyle w:val="42"/>
              <w:widowControl/>
              <w:tabs>
                <w:tab w:val="left" w:pos="0"/>
              </w:tabs>
              <w:adjustRightInd w:val="0"/>
              <w:snapToGrid w:val="0"/>
              <w:ind w:left="0" w:firstLine="0" w:firstLineChars="0"/>
              <w:jc w:val="center"/>
              <w:rPr>
                <w:snapToGrid w:val="0"/>
                <w:color w:val="auto"/>
                <w:kern w:val="0"/>
                <w:szCs w:val="21"/>
                <w:highlight w:val="none"/>
                <w:lang w:val="zh-CN"/>
              </w:rPr>
            </w:pPr>
            <w:r>
              <w:rPr>
                <w:snapToGrid w:val="0"/>
                <w:color w:val="auto"/>
                <w:kern w:val="0"/>
                <w:szCs w:val="21"/>
                <w:highlight w:val="none"/>
                <w:lang w:val="zh-CN"/>
              </w:rPr>
              <w:t>环境空气</w:t>
            </w:r>
            <w:r>
              <w:rPr>
                <w:rFonts w:hint="eastAsia"/>
                <w:snapToGrid w:val="0"/>
                <w:color w:val="auto"/>
                <w:kern w:val="0"/>
                <w:szCs w:val="21"/>
                <w:highlight w:val="none"/>
              </w:rPr>
              <w:t xml:space="preserve"> </w:t>
            </w:r>
            <w:r>
              <w:rPr>
                <w:snapToGrid w:val="0"/>
                <w:color w:val="auto"/>
                <w:kern w:val="0"/>
                <w:szCs w:val="21"/>
                <w:highlight w:val="none"/>
                <w:lang w:val="zh-CN"/>
              </w:rPr>
              <w:t>总烃、甲烷和非甲烷总烃的测定 直接进样-气相色谱法</w:t>
            </w:r>
            <w:r>
              <w:rPr>
                <w:rFonts w:hint="eastAsia"/>
                <w:snapToGrid w:val="0"/>
                <w:color w:val="auto"/>
                <w:kern w:val="0"/>
                <w:szCs w:val="21"/>
                <w:highlight w:val="none"/>
                <w:lang w:val="zh-CN"/>
              </w:rPr>
              <w:t>（</w:t>
            </w:r>
            <w:r>
              <w:rPr>
                <w:snapToGrid w:val="0"/>
                <w:color w:val="auto"/>
                <w:kern w:val="0"/>
                <w:szCs w:val="21"/>
                <w:highlight w:val="none"/>
                <w:lang w:val="zh-CN"/>
              </w:rPr>
              <w:t>HJ604-2017</w:t>
            </w:r>
            <w:r>
              <w:rPr>
                <w:rFonts w:hint="eastAsia"/>
                <w:snapToGrid w:val="0"/>
                <w:color w:val="auto"/>
                <w:kern w:val="0"/>
                <w:szCs w:val="21"/>
                <w:highlight w:val="none"/>
                <w:lang w:val="zh-CN"/>
              </w:rPr>
              <w:t>）</w:t>
            </w:r>
          </w:p>
        </w:tc>
        <w:tc>
          <w:tcPr>
            <w:tcW w:w="666" w:type="pct"/>
            <w:shd w:val="clear" w:color="auto" w:fill="auto"/>
            <w:vAlign w:val="center"/>
          </w:tcPr>
          <w:p w14:paraId="039AC47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0.0</w:t>
            </w:r>
            <w:r>
              <w:rPr>
                <w:rFonts w:hint="eastAsia"/>
                <w:snapToGrid w:val="0"/>
                <w:color w:val="auto"/>
                <w:kern w:val="0"/>
                <w:szCs w:val="21"/>
                <w:highlight w:val="none"/>
              </w:rPr>
              <w:t>7</w:t>
            </w:r>
            <w:r>
              <w:rPr>
                <w:snapToGrid w:val="0"/>
                <w:color w:val="auto"/>
                <w:kern w:val="0"/>
                <w:szCs w:val="21"/>
                <w:highlight w:val="none"/>
              </w:rPr>
              <w:t>mg/m</w:t>
            </w:r>
            <w:r>
              <w:rPr>
                <w:snapToGrid w:val="0"/>
                <w:color w:val="auto"/>
                <w:kern w:val="0"/>
                <w:szCs w:val="21"/>
                <w:highlight w:val="none"/>
                <w:vertAlign w:val="superscript"/>
              </w:rPr>
              <w:t>3</w:t>
            </w:r>
          </w:p>
        </w:tc>
      </w:tr>
      <w:tr w14:paraId="3C5E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4" w:type="pct"/>
            <w:shd w:val="clear" w:color="auto" w:fill="auto"/>
            <w:vAlign w:val="center"/>
          </w:tcPr>
          <w:p w14:paraId="7638DEBA">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w:t>
            </w:r>
          </w:p>
        </w:tc>
        <w:tc>
          <w:tcPr>
            <w:tcW w:w="818" w:type="pct"/>
            <w:shd w:val="clear" w:color="auto" w:fill="auto"/>
            <w:vAlign w:val="center"/>
          </w:tcPr>
          <w:p w14:paraId="0E509236">
            <w:pPr>
              <w:widowControl/>
              <w:adjustRightInd w:val="0"/>
              <w:snapToGrid w:val="0"/>
              <w:jc w:val="center"/>
              <w:rPr>
                <w:snapToGrid w:val="0"/>
                <w:color w:val="auto"/>
                <w:kern w:val="0"/>
                <w:szCs w:val="21"/>
                <w:highlight w:val="none"/>
              </w:rPr>
            </w:pPr>
            <w:r>
              <w:rPr>
                <w:rFonts w:hint="eastAsia"/>
                <w:color w:val="auto"/>
                <w:kern w:val="0"/>
                <w:szCs w:val="21"/>
                <w:highlight w:val="none"/>
              </w:rPr>
              <w:t>氨</w:t>
            </w:r>
          </w:p>
        </w:tc>
        <w:tc>
          <w:tcPr>
            <w:tcW w:w="3229" w:type="pct"/>
            <w:shd w:val="clear" w:color="auto" w:fill="auto"/>
            <w:vAlign w:val="center"/>
          </w:tcPr>
          <w:p w14:paraId="3AA813F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环境空气和废气</w:t>
            </w:r>
            <w:r>
              <w:rPr>
                <w:rFonts w:hint="eastAsia"/>
                <w:snapToGrid w:val="0"/>
                <w:color w:val="auto"/>
                <w:kern w:val="0"/>
                <w:szCs w:val="21"/>
                <w:highlight w:val="none"/>
              </w:rPr>
              <w:t xml:space="preserve"> </w:t>
            </w:r>
            <w:r>
              <w:rPr>
                <w:snapToGrid w:val="0"/>
                <w:color w:val="auto"/>
                <w:kern w:val="0"/>
                <w:szCs w:val="21"/>
                <w:highlight w:val="none"/>
              </w:rPr>
              <w:t>氨的测定 纳氏试剂分光光度法</w:t>
            </w:r>
            <w:r>
              <w:rPr>
                <w:rFonts w:hint="eastAsia"/>
                <w:snapToGrid w:val="0"/>
                <w:color w:val="auto"/>
                <w:kern w:val="0"/>
                <w:szCs w:val="21"/>
                <w:highlight w:val="none"/>
              </w:rPr>
              <w:t>（</w:t>
            </w:r>
            <w:r>
              <w:rPr>
                <w:snapToGrid w:val="0"/>
                <w:color w:val="auto"/>
                <w:kern w:val="0"/>
                <w:szCs w:val="21"/>
                <w:highlight w:val="none"/>
              </w:rPr>
              <w:t>HJ533-2009</w:t>
            </w:r>
            <w:r>
              <w:rPr>
                <w:rFonts w:hint="eastAsia"/>
                <w:snapToGrid w:val="0"/>
                <w:color w:val="auto"/>
                <w:kern w:val="0"/>
                <w:szCs w:val="21"/>
                <w:highlight w:val="none"/>
              </w:rPr>
              <w:t>）</w:t>
            </w:r>
          </w:p>
        </w:tc>
        <w:tc>
          <w:tcPr>
            <w:tcW w:w="666" w:type="pct"/>
            <w:shd w:val="clear" w:color="auto" w:fill="auto"/>
            <w:vAlign w:val="center"/>
          </w:tcPr>
          <w:p w14:paraId="7B0E21C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0.0</w:t>
            </w:r>
            <w:r>
              <w:rPr>
                <w:rFonts w:hint="eastAsia"/>
                <w:snapToGrid w:val="0"/>
                <w:color w:val="auto"/>
                <w:kern w:val="0"/>
                <w:szCs w:val="21"/>
                <w:highlight w:val="none"/>
              </w:rPr>
              <w:t>1</w:t>
            </w:r>
            <w:r>
              <w:rPr>
                <w:snapToGrid w:val="0"/>
                <w:color w:val="auto"/>
                <w:kern w:val="0"/>
                <w:szCs w:val="21"/>
                <w:highlight w:val="none"/>
              </w:rPr>
              <w:t>mg/m</w:t>
            </w:r>
            <w:r>
              <w:rPr>
                <w:snapToGrid w:val="0"/>
                <w:color w:val="auto"/>
                <w:kern w:val="0"/>
                <w:szCs w:val="21"/>
                <w:highlight w:val="none"/>
                <w:vertAlign w:val="superscript"/>
              </w:rPr>
              <w:t>3</w:t>
            </w:r>
          </w:p>
        </w:tc>
      </w:tr>
      <w:tr w14:paraId="384A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4" w:type="pct"/>
            <w:shd w:val="clear" w:color="auto" w:fill="auto"/>
            <w:vAlign w:val="center"/>
          </w:tcPr>
          <w:p w14:paraId="2466CA48">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3</w:t>
            </w:r>
          </w:p>
        </w:tc>
        <w:tc>
          <w:tcPr>
            <w:tcW w:w="818" w:type="pct"/>
            <w:shd w:val="clear" w:color="auto" w:fill="auto"/>
            <w:vAlign w:val="center"/>
          </w:tcPr>
          <w:p w14:paraId="3D57C9E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硫化氢</w:t>
            </w:r>
          </w:p>
        </w:tc>
        <w:tc>
          <w:tcPr>
            <w:tcW w:w="3229" w:type="pct"/>
            <w:shd w:val="clear" w:color="auto" w:fill="auto"/>
            <w:vAlign w:val="center"/>
          </w:tcPr>
          <w:p w14:paraId="7E52606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居住区大气中硫化氢卫生检验标准方法</w:t>
            </w:r>
            <w:r>
              <w:rPr>
                <w:rFonts w:hint="eastAsia"/>
                <w:snapToGrid w:val="0"/>
                <w:color w:val="auto"/>
                <w:kern w:val="0"/>
                <w:szCs w:val="21"/>
                <w:highlight w:val="none"/>
              </w:rPr>
              <w:t xml:space="preserve"> </w:t>
            </w:r>
            <w:r>
              <w:rPr>
                <w:snapToGrid w:val="0"/>
                <w:color w:val="auto"/>
                <w:kern w:val="0"/>
                <w:szCs w:val="21"/>
                <w:highlight w:val="none"/>
              </w:rPr>
              <w:t>亚甲蓝分光光度法</w:t>
            </w:r>
            <w:r>
              <w:rPr>
                <w:rFonts w:hint="eastAsia"/>
                <w:snapToGrid w:val="0"/>
                <w:color w:val="auto"/>
                <w:kern w:val="0"/>
                <w:szCs w:val="21"/>
                <w:highlight w:val="none"/>
              </w:rPr>
              <w:t>（</w:t>
            </w:r>
            <w:r>
              <w:rPr>
                <w:snapToGrid w:val="0"/>
                <w:color w:val="auto"/>
                <w:kern w:val="0"/>
                <w:szCs w:val="21"/>
                <w:highlight w:val="none"/>
              </w:rPr>
              <w:t>GB/T 11742-1989</w:t>
            </w:r>
            <w:r>
              <w:rPr>
                <w:rFonts w:hint="eastAsia"/>
                <w:snapToGrid w:val="0"/>
                <w:color w:val="auto"/>
                <w:kern w:val="0"/>
                <w:szCs w:val="21"/>
                <w:highlight w:val="none"/>
              </w:rPr>
              <w:t>）</w:t>
            </w:r>
          </w:p>
        </w:tc>
        <w:tc>
          <w:tcPr>
            <w:tcW w:w="666" w:type="pct"/>
            <w:shd w:val="clear" w:color="auto" w:fill="auto"/>
            <w:vAlign w:val="center"/>
          </w:tcPr>
          <w:p w14:paraId="705FD2E5">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0.0</w:t>
            </w:r>
            <w:r>
              <w:rPr>
                <w:rFonts w:hint="eastAsia"/>
                <w:snapToGrid w:val="0"/>
                <w:color w:val="auto"/>
                <w:kern w:val="0"/>
                <w:szCs w:val="21"/>
                <w:highlight w:val="none"/>
              </w:rPr>
              <w:t>05</w:t>
            </w:r>
            <w:r>
              <w:rPr>
                <w:snapToGrid w:val="0"/>
                <w:color w:val="auto"/>
                <w:kern w:val="0"/>
                <w:szCs w:val="21"/>
                <w:highlight w:val="none"/>
              </w:rPr>
              <w:t>mg/m</w:t>
            </w:r>
            <w:r>
              <w:rPr>
                <w:snapToGrid w:val="0"/>
                <w:color w:val="auto"/>
                <w:kern w:val="0"/>
                <w:szCs w:val="21"/>
                <w:highlight w:val="none"/>
                <w:vertAlign w:val="superscript"/>
              </w:rPr>
              <w:t>3</w:t>
            </w:r>
          </w:p>
        </w:tc>
      </w:tr>
      <w:tr w14:paraId="45B0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4" w:type="pct"/>
            <w:shd w:val="clear" w:color="auto" w:fill="auto"/>
            <w:vAlign w:val="center"/>
          </w:tcPr>
          <w:p w14:paraId="51E4113A">
            <w:pPr>
              <w:pStyle w:val="42"/>
              <w:widowControl/>
              <w:tabs>
                <w:tab w:val="left" w:pos="0"/>
              </w:tabs>
              <w:adjustRightInd w:val="0"/>
              <w:snapToGrid w:val="0"/>
              <w:ind w:left="0" w:firstLine="0" w:firstLineChars="0"/>
              <w:jc w:val="center"/>
              <w:rPr>
                <w:rFonts w:hint="eastAsia" w:eastAsia="宋体"/>
                <w:snapToGrid w:val="0"/>
                <w:color w:val="auto"/>
                <w:kern w:val="0"/>
                <w:szCs w:val="21"/>
                <w:highlight w:val="none"/>
                <w:lang w:eastAsia="zh-CN"/>
              </w:rPr>
            </w:pPr>
            <w:r>
              <w:rPr>
                <w:rFonts w:hint="eastAsia"/>
                <w:snapToGrid w:val="0"/>
                <w:color w:val="auto"/>
                <w:kern w:val="0"/>
                <w:szCs w:val="21"/>
                <w:highlight w:val="none"/>
                <w:lang w:val="en-US" w:eastAsia="zh-CN"/>
              </w:rPr>
              <w:t>4</w:t>
            </w:r>
          </w:p>
        </w:tc>
        <w:tc>
          <w:tcPr>
            <w:tcW w:w="818" w:type="pct"/>
            <w:shd w:val="clear" w:color="auto" w:fill="auto"/>
            <w:vAlign w:val="center"/>
          </w:tcPr>
          <w:p w14:paraId="455E1E87">
            <w:pPr>
              <w:widowControl/>
              <w:adjustRightInd w:val="0"/>
              <w:snapToGrid w:val="0"/>
              <w:jc w:val="center"/>
              <w:rPr>
                <w:snapToGrid w:val="0"/>
                <w:color w:val="auto"/>
                <w:kern w:val="0"/>
                <w:szCs w:val="21"/>
                <w:highlight w:val="none"/>
              </w:rPr>
            </w:pPr>
            <w:r>
              <w:rPr>
                <w:rFonts w:hint="eastAsia"/>
                <w:color w:val="auto"/>
                <w:kern w:val="0"/>
                <w:szCs w:val="21"/>
                <w:highlight w:val="none"/>
              </w:rPr>
              <w:t>硫酸雾</w:t>
            </w:r>
          </w:p>
        </w:tc>
        <w:tc>
          <w:tcPr>
            <w:tcW w:w="3229" w:type="pct"/>
            <w:shd w:val="clear" w:color="auto" w:fill="auto"/>
            <w:vAlign w:val="center"/>
          </w:tcPr>
          <w:p w14:paraId="449F25CC">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固定污染源环境空气硫酸雾的测定</w:t>
            </w:r>
            <w:r>
              <w:rPr>
                <w:rFonts w:hint="eastAsia"/>
                <w:snapToGrid w:val="0"/>
                <w:color w:val="auto"/>
                <w:kern w:val="0"/>
                <w:szCs w:val="21"/>
                <w:highlight w:val="none"/>
              </w:rPr>
              <w:t>（</w:t>
            </w:r>
            <w:r>
              <w:rPr>
                <w:snapToGrid w:val="0"/>
                <w:color w:val="auto"/>
                <w:kern w:val="0"/>
                <w:szCs w:val="21"/>
                <w:highlight w:val="none"/>
              </w:rPr>
              <w:t>HJ544-2016</w:t>
            </w:r>
            <w:r>
              <w:rPr>
                <w:rFonts w:hint="eastAsia"/>
                <w:snapToGrid w:val="0"/>
                <w:color w:val="auto"/>
                <w:kern w:val="0"/>
                <w:szCs w:val="21"/>
                <w:highlight w:val="none"/>
              </w:rPr>
              <w:t>）</w:t>
            </w:r>
          </w:p>
        </w:tc>
        <w:tc>
          <w:tcPr>
            <w:tcW w:w="666" w:type="pct"/>
            <w:shd w:val="clear" w:color="auto" w:fill="auto"/>
            <w:vAlign w:val="center"/>
          </w:tcPr>
          <w:p w14:paraId="7DA64B02">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0.0</w:t>
            </w:r>
            <w:r>
              <w:rPr>
                <w:rFonts w:hint="eastAsia"/>
                <w:snapToGrid w:val="0"/>
                <w:color w:val="auto"/>
                <w:kern w:val="0"/>
                <w:szCs w:val="21"/>
                <w:highlight w:val="none"/>
              </w:rPr>
              <w:t>05</w:t>
            </w:r>
            <w:r>
              <w:rPr>
                <w:snapToGrid w:val="0"/>
                <w:color w:val="auto"/>
                <w:kern w:val="0"/>
                <w:szCs w:val="21"/>
                <w:highlight w:val="none"/>
              </w:rPr>
              <w:t>mg/m</w:t>
            </w:r>
            <w:r>
              <w:rPr>
                <w:snapToGrid w:val="0"/>
                <w:color w:val="auto"/>
                <w:kern w:val="0"/>
                <w:szCs w:val="21"/>
                <w:highlight w:val="none"/>
                <w:vertAlign w:val="superscript"/>
              </w:rPr>
              <w:t>3</w:t>
            </w:r>
          </w:p>
        </w:tc>
      </w:tr>
    </w:tbl>
    <w:p w14:paraId="4E375643">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（4）评价标准</w:t>
      </w:r>
    </w:p>
    <w:p w14:paraId="17BF24DC">
      <w:pPr>
        <w:widowControl/>
        <w:adjustRightInd w:val="0"/>
        <w:snapToGrid w:val="0"/>
        <w:spacing w:line="360" w:lineRule="auto"/>
        <w:ind w:firstLine="480" w:firstLineChars="200"/>
        <w:rPr>
          <w:snapToGrid w:val="0"/>
          <w:color w:val="auto"/>
          <w:kern w:val="0"/>
          <w:sz w:val="24"/>
          <w:highlight w:val="none"/>
        </w:rPr>
      </w:pPr>
      <w:r>
        <w:rPr>
          <w:rFonts w:hint="eastAsia"/>
          <w:color w:val="auto"/>
          <w:kern w:val="0"/>
          <w:sz w:val="24"/>
          <w:highlight w:val="none"/>
        </w:rPr>
        <w:t>H</w:t>
      </w:r>
      <w:r>
        <w:rPr>
          <w:rFonts w:hint="eastAsia"/>
          <w:color w:val="auto"/>
          <w:kern w:val="0"/>
          <w:sz w:val="24"/>
          <w:highlight w:val="none"/>
          <w:vertAlign w:val="subscript"/>
        </w:rPr>
        <w:t>2</w:t>
      </w:r>
      <w:r>
        <w:rPr>
          <w:rFonts w:hint="eastAsia"/>
          <w:color w:val="auto"/>
          <w:kern w:val="0"/>
          <w:sz w:val="24"/>
          <w:highlight w:val="none"/>
        </w:rPr>
        <w:t>SO</w:t>
      </w:r>
      <w:r>
        <w:rPr>
          <w:rFonts w:hint="eastAsia"/>
          <w:color w:val="auto"/>
          <w:kern w:val="0"/>
          <w:sz w:val="24"/>
          <w:highlight w:val="none"/>
          <w:vertAlign w:val="subscript"/>
        </w:rPr>
        <w:t>4</w:t>
      </w:r>
      <w:r>
        <w:rPr>
          <w:rFonts w:hint="eastAsia"/>
          <w:color w:val="auto"/>
          <w:kern w:val="0"/>
          <w:sz w:val="24"/>
          <w:highlight w:val="none"/>
        </w:rPr>
        <w:t>、</w:t>
      </w:r>
      <w:r>
        <w:rPr>
          <w:color w:val="auto"/>
          <w:kern w:val="0"/>
          <w:sz w:val="24"/>
          <w:highlight w:val="none"/>
        </w:rPr>
        <w:t>H</w:t>
      </w:r>
      <w:r>
        <w:rPr>
          <w:color w:val="auto"/>
          <w:kern w:val="0"/>
          <w:sz w:val="24"/>
          <w:highlight w:val="none"/>
          <w:vertAlign w:val="subscript"/>
        </w:rPr>
        <w:t>2</w:t>
      </w:r>
      <w:r>
        <w:rPr>
          <w:color w:val="auto"/>
          <w:kern w:val="0"/>
          <w:sz w:val="24"/>
          <w:highlight w:val="none"/>
        </w:rPr>
        <w:t>S、NH</w:t>
      </w:r>
      <w:r>
        <w:rPr>
          <w:color w:val="auto"/>
          <w:kern w:val="0"/>
          <w:sz w:val="24"/>
          <w:highlight w:val="none"/>
          <w:vertAlign w:val="subscript"/>
        </w:rPr>
        <w:t>3</w:t>
      </w:r>
      <w:r>
        <w:rPr>
          <w:color w:val="auto"/>
          <w:kern w:val="0"/>
          <w:sz w:val="24"/>
          <w:highlight w:val="none"/>
        </w:rPr>
        <w:t>浓度参照执行《环境影响评价技术导则 大气环境》（HJ2.2-2018）中附录D中其他污染物空气质量浓度参考限值；非甲烷总烃浓度参照执行《大气污染物综合排放标准详解》要求。</w:t>
      </w:r>
      <w:r>
        <w:rPr>
          <w:rFonts w:hint="eastAsia"/>
          <w:snapToGrid w:val="0"/>
          <w:color w:val="auto"/>
          <w:kern w:val="0"/>
          <w:sz w:val="24"/>
          <w:highlight w:val="none"/>
        </w:rPr>
        <w:t>具体见表5.3-</w:t>
      </w:r>
      <w:r>
        <w:rPr>
          <w:rFonts w:hint="eastAsia"/>
          <w:snapToGrid w:val="0"/>
          <w:color w:val="auto"/>
          <w:kern w:val="0"/>
          <w:sz w:val="24"/>
          <w:highlight w:val="none"/>
          <w:lang w:val="en-US" w:eastAsia="zh-CN"/>
        </w:rPr>
        <w:t>5</w:t>
      </w:r>
      <w:r>
        <w:rPr>
          <w:rFonts w:hint="eastAsia"/>
          <w:snapToGrid w:val="0"/>
          <w:color w:val="auto"/>
          <w:kern w:val="0"/>
          <w:sz w:val="24"/>
          <w:highlight w:val="none"/>
        </w:rPr>
        <w:t>。</w:t>
      </w:r>
    </w:p>
    <w:p w14:paraId="37710CD9">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5</w:t>
      </w:r>
      <w:r>
        <w:rPr>
          <w:rFonts w:hint="eastAsia" w:ascii="Times New Roman" w:hAnsi="Times New Roman" w:cs="Times New Roman"/>
          <w:snapToGrid w:val="0"/>
          <w:color w:val="auto"/>
          <w:kern w:val="0"/>
          <w:sz w:val="21"/>
          <w:szCs w:val="21"/>
          <w:highlight w:val="none"/>
        </w:rPr>
        <w:t xml:space="preserve"> 其他污染物质量评价标准表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3516"/>
        <w:gridCol w:w="1324"/>
        <w:gridCol w:w="1090"/>
        <w:gridCol w:w="1271"/>
        <w:gridCol w:w="1038"/>
      </w:tblGrid>
      <w:tr w14:paraId="503D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2133" w:type="pct"/>
            <w:vMerge w:val="restart"/>
            <w:shd w:val="clear" w:color="auto" w:fill="auto"/>
            <w:vAlign w:val="center"/>
          </w:tcPr>
          <w:p w14:paraId="698FE04E">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标准名称与级（类）别</w:t>
            </w:r>
          </w:p>
        </w:tc>
        <w:tc>
          <w:tcPr>
            <w:tcW w:w="803" w:type="pct"/>
            <w:vMerge w:val="restart"/>
            <w:shd w:val="clear" w:color="auto" w:fill="auto"/>
            <w:vAlign w:val="center"/>
          </w:tcPr>
          <w:p w14:paraId="50160996">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项目</w:t>
            </w:r>
          </w:p>
        </w:tc>
        <w:tc>
          <w:tcPr>
            <w:tcW w:w="2062" w:type="pct"/>
            <w:gridSpan w:val="3"/>
            <w:shd w:val="clear" w:color="auto" w:fill="auto"/>
            <w:vAlign w:val="center"/>
          </w:tcPr>
          <w:p w14:paraId="4BE48BC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标准值</w:t>
            </w:r>
          </w:p>
        </w:tc>
      </w:tr>
      <w:tr w14:paraId="03D0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2133" w:type="pct"/>
            <w:vMerge w:val="continue"/>
            <w:shd w:val="clear" w:color="auto" w:fill="auto"/>
            <w:vAlign w:val="center"/>
          </w:tcPr>
          <w:p w14:paraId="2DCA81F8">
            <w:pPr>
              <w:pStyle w:val="42"/>
              <w:widowControl/>
              <w:tabs>
                <w:tab w:val="left" w:pos="0"/>
              </w:tabs>
              <w:adjustRightInd w:val="0"/>
              <w:snapToGrid w:val="0"/>
              <w:ind w:left="0" w:firstLine="0" w:firstLineChars="0"/>
              <w:jc w:val="center"/>
              <w:rPr>
                <w:snapToGrid w:val="0"/>
                <w:color w:val="auto"/>
                <w:kern w:val="0"/>
                <w:szCs w:val="21"/>
                <w:highlight w:val="none"/>
              </w:rPr>
            </w:pPr>
          </w:p>
        </w:tc>
        <w:tc>
          <w:tcPr>
            <w:tcW w:w="803" w:type="pct"/>
            <w:vMerge w:val="continue"/>
            <w:shd w:val="clear" w:color="auto" w:fill="auto"/>
            <w:vAlign w:val="center"/>
          </w:tcPr>
          <w:p w14:paraId="31E3AB4F">
            <w:pPr>
              <w:pStyle w:val="42"/>
              <w:widowControl/>
              <w:tabs>
                <w:tab w:val="left" w:pos="0"/>
              </w:tabs>
              <w:adjustRightInd w:val="0"/>
              <w:snapToGrid w:val="0"/>
              <w:ind w:left="0" w:firstLine="0" w:firstLineChars="0"/>
              <w:jc w:val="center"/>
              <w:rPr>
                <w:snapToGrid w:val="0"/>
                <w:color w:val="auto"/>
                <w:kern w:val="0"/>
                <w:szCs w:val="21"/>
                <w:highlight w:val="none"/>
              </w:rPr>
            </w:pPr>
          </w:p>
        </w:tc>
        <w:tc>
          <w:tcPr>
            <w:tcW w:w="661" w:type="pct"/>
            <w:shd w:val="clear" w:color="auto" w:fill="auto"/>
            <w:vAlign w:val="center"/>
          </w:tcPr>
          <w:p w14:paraId="6502D55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单位</w:t>
            </w:r>
          </w:p>
        </w:tc>
        <w:tc>
          <w:tcPr>
            <w:tcW w:w="1401" w:type="pct"/>
            <w:gridSpan w:val="2"/>
            <w:shd w:val="clear" w:color="auto" w:fill="auto"/>
            <w:vAlign w:val="center"/>
          </w:tcPr>
          <w:p w14:paraId="3161CB70">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数值</w:t>
            </w:r>
          </w:p>
        </w:tc>
      </w:tr>
      <w:tr w14:paraId="4FA9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2133" w:type="pct"/>
            <w:vMerge w:val="restart"/>
            <w:shd w:val="clear" w:color="auto" w:fill="auto"/>
            <w:vAlign w:val="center"/>
          </w:tcPr>
          <w:p w14:paraId="3697CD5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《环境影响评价技术导则大气环境》（HJ2.2-2018）附录D</w:t>
            </w:r>
          </w:p>
        </w:tc>
        <w:tc>
          <w:tcPr>
            <w:tcW w:w="803" w:type="pct"/>
            <w:shd w:val="clear" w:color="auto" w:fill="auto"/>
            <w:vAlign w:val="center"/>
          </w:tcPr>
          <w:p w14:paraId="26537C1C">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color w:val="auto"/>
                <w:kern w:val="0"/>
                <w:szCs w:val="21"/>
                <w:highlight w:val="none"/>
              </w:rPr>
              <w:t>H</w:t>
            </w:r>
            <w:r>
              <w:rPr>
                <w:rFonts w:hint="eastAsia"/>
                <w:color w:val="auto"/>
                <w:kern w:val="0"/>
                <w:szCs w:val="21"/>
                <w:highlight w:val="none"/>
                <w:vertAlign w:val="subscript"/>
              </w:rPr>
              <w:t>2</w:t>
            </w:r>
            <w:r>
              <w:rPr>
                <w:rFonts w:hint="eastAsia"/>
                <w:color w:val="auto"/>
                <w:kern w:val="0"/>
                <w:szCs w:val="21"/>
                <w:highlight w:val="none"/>
              </w:rPr>
              <w:t>SO</w:t>
            </w:r>
            <w:r>
              <w:rPr>
                <w:rFonts w:hint="eastAsia"/>
                <w:color w:val="auto"/>
                <w:kern w:val="0"/>
                <w:szCs w:val="21"/>
                <w:highlight w:val="none"/>
                <w:vertAlign w:val="subscript"/>
              </w:rPr>
              <w:t>4</w:t>
            </w:r>
          </w:p>
        </w:tc>
        <w:tc>
          <w:tcPr>
            <w:tcW w:w="661" w:type="pct"/>
            <w:shd w:val="clear" w:color="auto" w:fill="auto"/>
            <w:vAlign w:val="center"/>
          </w:tcPr>
          <w:p w14:paraId="52F80B85">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µg/m</w:t>
            </w:r>
            <w:r>
              <w:rPr>
                <w:snapToGrid w:val="0"/>
                <w:color w:val="auto"/>
                <w:kern w:val="0"/>
                <w:szCs w:val="21"/>
                <w:highlight w:val="none"/>
                <w:vertAlign w:val="superscript"/>
              </w:rPr>
              <w:t>3</w:t>
            </w:r>
          </w:p>
        </w:tc>
        <w:tc>
          <w:tcPr>
            <w:tcW w:w="771" w:type="pct"/>
            <w:shd w:val="clear" w:color="auto" w:fill="auto"/>
            <w:vAlign w:val="center"/>
          </w:tcPr>
          <w:p w14:paraId="761B873E">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1小时平均值</w:t>
            </w:r>
          </w:p>
        </w:tc>
        <w:tc>
          <w:tcPr>
            <w:tcW w:w="629" w:type="pct"/>
            <w:shd w:val="clear" w:color="auto" w:fill="auto"/>
            <w:vAlign w:val="center"/>
          </w:tcPr>
          <w:p w14:paraId="0AD8C81A">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300</w:t>
            </w:r>
          </w:p>
        </w:tc>
      </w:tr>
      <w:tr w14:paraId="11CB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2133" w:type="pct"/>
            <w:vMerge w:val="continue"/>
            <w:shd w:val="clear" w:color="auto" w:fill="auto"/>
            <w:vAlign w:val="center"/>
          </w:tcPr>
          <w:p w14:paraId="02F22E48">
            <w:pPr>
              <w:pStyle w:val="42"/>
              <w:widowControl/>
              <w:tabs>
                <w:tab w:val="left" w:pos="0"/>
              </w:tabs>
              <w:adjustRightInd w:val="0"/>
              <w:snapToGrid w:val="0"/>
              <w:ind w:left="0" w:firstLine="0" w:firstLineChars="0"/>
              <w:jc w:val="center"/>
              <w:rPr>
                <w:snapToGrid w:val="0"/>
                <w:color w:val="auto"/>
                <w:kern w:val="0"/>
                <w:szCs w:val="21"/>
                <w:highlight w:val="none"/>
              </w:rPr>
            </w:pPr>
          </w:p>
        </w:tc>
        <w:tc>
          <w:tcPr>
            <w:tcW w:w="803" w:type="pct"/>
            <w:shd w:val="clear" w:color="auto" w:fill="auto"/>
            <w:vAlign w:val="center"/>
          </w:tcPr>
          <w:p w14:paraId="3489C29F">
            <w:pPr>
              <w:pStyle w:val="42"/>
              <w:widowControl/>
              <w:tabs>
                <w:tab w:val="left" w:pos="0"/>
              </w:tabs>
              <w:adjustRightInd w:val="0"/>
              <w:snapToGrid w:val="0"/>
              <w:ind w:left="0" w:firstLine="0" w:firstLineChars="0"/>
              <w:jc w:val="center"/>
              <w:rPr>
                <w:snapToGrid w:val="0"/>
                <w:color w:val="auto"/>
                <w:kern w:val="0"/>
                <w:szCs w:val="21"/>
                <w:highlight w:val="none"/>
              </w:rPr>
            </w:pPr>
            <w:r>
              <w:rPr>
                <w:color w:val="auto"/>
                <w:kern w:val="0"/>
                <w:szCs w:val="21"/>
                <w:highlight w:val="none"/>
              </w:rPr>
              <w:t>H</w:t>
            </w:r>
            <w:r>
              <w:rPr>
                <w:color w:val="auto"/>
                <w:kern w:val="0"/>
                <w:szCs w:val="21"/>
                <w:highlight w:val="none"/>
                <w:vertAlign w:val="subscript"/>
              </w:rPr>
              <w:t>2</w:t>
            </w:r>
            <w:r>
              <w:rPr>
                <w:color w:val="auto"/>
                <w:kern w:val="0"/>
                <w:szCs w:val="21"/>
                <w:highlight w:val="none"/>
              </w:rPr>
              <w:t>S</w:t>
            </w:r>
          </w:p>
        </w:tc>
        <w:tc>
          <w:tcPr>
            <w:tcW w:w="661" w:type="pct"/>
            <w:shd w:val="clear" w:color="auto" w:fill="auto"/>
            <w:vAlign w:val="center"/>
          </w:tcPr>
          <w:p w14:paraId="0E904BD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µg/m</w:t>
            </w:r>
            <w:r>
              <w:rPr>
                <w:snapToGrid w:val="0"/>
                <w:color w:val="auto"/>
                <w:kern w:val="0"/>
                <w:szCs w:val="21"/>
                <w:highlight w:val="none"/>
                <w:vertAlign w:val="superscript"/>
              </w:rPr>
              <w:t>3</w:t>
            </w:r>
          </w:p>
        </w:tc>
        <w:tc>
          <w:tcPr>
            <w:tcW w:w="771" w:type="pct"/>
            <w:shd w:val="clear" w:color="auto" w:fill="auto"/>
            <w:vAlign w:val="center"/>
          </w:tcPr>
          <w:p w14:paraId="6D5DD420">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1小时平均值</w:t>
            </w:r>
          </w:p>
        </w:tc>
        <w:tc>
          <w:tcPr>
            <w:tcW w:w="629" w:type="pct"/>
            <w:shd w:val="clear" w:color="auto" w:fill="auto"/>
            <w:vAlign w:val="center"/>
          </w:tcPr>
          <w:p w14:paraId="6DBC047C">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10</w:t>
            </w:r>
          </w:p>
        </w:tc>
      </w:tr>
      <w:tr w14:paraId="472E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2133" w:type="pct"/>
            <w:vMerge w:val="continue"/>
            <w:shd w:val="clear" w:color="auto" w:fill="auto"/>
            <w:vAlign w:val="center"/>
          </w:tcPr>
          <w:p w14:paraId="5315AAD6">
            <w:pPr>
              <w:pStyle w:val="42"/>
              <w:widowControl/>
              <w:tabs>
                <w:tab w:val="left" w:pos="0"/>
              </w:tabs>
              <w:adjustRightInd w:val="0"/>
              <w:snapToGrid w:val="0"/>
              <w:ind w:left="0" w:firstLine="0" w:firstLineChars="0"/>
              <w:jc w:val="center"/>
              <w:rPr>
                <w:snapToGrid w:val="0"/>
                <w:color w:val="auto"/>
                <w:kern w:val="0"/>
                <w:szCs w:val="21"/>
                <w:highlight w:val="none"/>
              </w:rPr>
            </w:pPr>
          </w:p>
        </w:tc>
        <w:tc>
          <w:tcPr>
            <w:tcW w:w="803" w:type="pct"/>
            <w:shd w:val="clear" w:color="auto" w:fill="auto"/>
            <w:vAlign w:val="center"/>
          </w:tcPr>
          <w:p w14:paraId="19BF8DC3">
            <w:pPr>
              <w:pStyle w:val="42"/>
              <w:widowControl/>
              <w:tabs>
                <w:tab w:val="left" w:pos="0"/>
              </w:tabs>
              <w:adjustRightInd w:val="0"/>
              <w:snapToGrid w:val="0"/>
              <w:ind w:left="0" w:firstLine="0" w:firstLineChars="0"/>
              <w:jc w:val="center"/>
              <w:rPr>
                <w:snapToGrid w:val="0"/>
                <w:color w:val="auto"/>
                <w:kern w:val="0"/>
                <w:szCs w:val="21"/>
                <w:highlight w:val="none"/>
              </w:rPr>
            </w:pPr>
            <w:r>
              <w:rPr>
                <w:color w:val="auto"/>
                <w:kern w:val="0"/>
                <w:szCs w:val="21"/>
                <w:highlight w:val="none"/>
              </w:rPr>
              <w:t>NH</w:t>
            </w:r>
            <w:r>
              <w:rPr>
                <w:color w:val="auto"/>
                <w:kern w:val="0"/>
                <w:szCs w:val="21"/>
                <w:highlight w:val="none"/>
                <w:vertAlign w:val="subscript"/>
              </w:rPr>
              <w:t>3</w:t>
            </w:r>
          </w:p>
        </w:tc>
        <w:tc>
          <w:tcPr>
            <w:tcW w:w="661" w:type="pct"/>
            <w:shd w:val="clear" w:color="auto" w:fill="auto"/>
            <w:vAlign w:val="center"/>
          </w:tcPr>
          <w:p w14:paraId="4D07BE58">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µg/m</w:t>
            </w:r>
            <w:r>
              <w:rPr>
                <w:snapToGrid w:val="0"/>
                <w:color w:val="auto"/>
                <w:kern w:val="0"/>
                <w:szCs w:val="21"/>
                <w:highlight w:val="none"/>
                <w:vertAlign w:val="superscript"/>
              </w:rPr>
              <w:t>3</w:t>
            </w:r>
          </w:p>
        </w:tc>
        <w:tc>
          <w:tcPr>
            <w:tcW w:w="771" w:type="pct"/>
            <w:shd w:val="clear" w:color="auto" w:fill="auto"/>
            <w:vAlign w:val="center"/>
          </w:tcPr>
          <w:p w14:paraId="702B53FF">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1小时平均值</w:t>
            </w:r>
          </w:p>
        </w:tc>
        <w:tc>
          <w:tcPr>
            <w:tcW w:w="629" w:type="pct"/>
            <w:shd w:val="clear" w:color="auto" w:fill="auto"/>
            <w:vAlign w:val="center"/>
          </w:tcPr>
          <w:p w14:paraId="6CFE5008">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200</w:t>
            </w:r>
          </w:p>
        </w:tc>
      </w:tr>
      <w:tr w14:paraId="2974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2133" w:type="pct"/>
            <w:shd w:val="clear" w:color="auto" w:fill="auto"/>
            <w:vAlign w:val="center"/>
          </w:tcPr>
          <w:p w14:paraId="6440AE75">
            <w:pPr>
              <w:pStyle w:val="42"/>
              <w:widowControl/>
              <w:tabs>
                <w:tab w:val="left" w:pos="0"/>
              </w:tabs>
              <w:adjustRightInd w:val="0"/>
              <w:snapToGrid w:val="0"/>
              <w:ind w:left="0" w:firstLine="0" w:firstLineChars="0"/>
              <w:jc w:val="center"/>
              <w:rPr>
                <w:snapToGrid w:val="0"/>
                <w:color w:val="auto"/>
                <w:kern w:val="0"/>
                <w:szCs w:val="21"/>
                <w:highlight w:val="none"/>
              </w:rPr>
            </w:pPr>
            <w:r>
              <w:rPr>
                <w:color w:val="auto"/>
                <w:kern w:val="0"/>
                <w:szCs w:val="21"/>
                <w:highlight w:val="none"/>
              </w:rPr>
              <w:t>《大气污染物综合排放标准详解》</w:t>
            </w:r>
          </w:p>
        </w:tc>
        <w:tc>
          <w:tcPr>
            <w:tcW w:w="803" w:type="pct"/>
            <w:shd w:val="clear" w:color="auto" w:fill="auto"/>
            <w:vAlign w:val="center"/>
          </w:tcPr>
          <w:p w14:paraId="19B1824A">
            <w:pPr>
              <w:pStyle w:val="42"/>
              <w:widowControl/>
              <w:tabs>
                <w:tab w:val="left" w:pos="0"/>
              </w:tabs>
              <w:adjustRightInd w:val="0"/>
              <w:snapToGrid w:val="0"/>
              <w:ind w:left="0" w:firstLine="0" w:firstLineChars="0"/>
              <w:jc w:val="center"/>
              <w:rPr>
                <w:snapToGrid w:val="0"/>
                <w:color w:val="auto"/>
                <w:kern w:val="0"/>
                <w:szCs w:val="21"/>
                <w:highlight w:val="none"/>
              </w:rPr>
            </w:pPr>
            <w:r>
              <w:rPr>
                <w:color w:val="auto"/>
                <w:kern w:val="0"/>
                <w:szCs w:val="21"/>
                <w:highlight w:val="none"/>
              </w:rPr>
              <w:t>非甲烷总烃</w:t>
            </w:r>
          </w:p>
        </w:tc>
        <w:tc>
          <w:tcPr>
            <w:tcW w:w="661" w:type="pct"/>
            <w:shd w:val="clear" w:color="auto" w:fill="auto"/>
            <w:vAlign w:val="center"/>
          </w:tcPr>
          <w:p w14:paraId="1D0A4785">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mg/m</w:t>
            </w:r>
            <w:r>
              <w:rPr>
                <w:rFonts w:hint="eastAsia"/>
                <w:snapToGrid w:val="0"/>
                <w:color w:val="auto"/>
                <w:kern w:val="0"/>
                <w:szCs w:val="21"/>
                <w:highlight w:val="none"/>
                <w:vertAlign w:val="superscript"/>
              </w:rPr>
              <w:t>3</w:t>
            </w:r>
          </w:p>
        </w:tc>
        <w:tc>
          <w:tcPr>
            <w:tcW w:w="771" w:type="pct"/>
            <w:shd w:val="clear" w:color="auto" w:fill="auto"/>
            <w:vAlign w:val="center"/>
          </w:tcPr>
          <w:p w14:paraId="1DA507AE">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1小时平均值</w:t>
            </w:r>
          </w:p>
        </w:tc>
        <w:tc>
          <w:tcPr>
            <w:tcW w:w="629" w:type="pct"/>
            <w:shd w:val="clear" w:color="auto" w:fill="auto"/>
            <w:vAlign w:val="center"/>
          </w:tcPr>
          <w:p w14:paraId="676E23E7">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2.0</w:t>
            </w:r>
          </w:p>
        </w:tc>
      </w:tr>
    </w:tbl>
    <w:p w14:paraId="08935CCD">
      <w:pPr>
        <w:adjustRightInd w:val="0"/>
        <w:snapToGrid w:val="0"/>
        <w:spacing w:before="120" w:beforeLines="50" w:line="360" w:lineRule="auto"/>
        <w:ind w:firstLine="480" w:firstLineChars="200"/>
        <w:rPr>
          <w:snapToGrid w:val="0"/>
          <w:color w:val="auto"/>
          <w:kern w:val="0"/>
          <w:sz w:val="24"/>
          <w:highlight w:val="none"/>
        </w:rPr>
      </w:pPr>
      <w:r>
        <w:rPr>
          <w:rFonts w:hint="eastAsia"/>
          <w:snapToGrid w:val="0"/>
          <w:color w:val="auto"/>
          <w:kern w:val="0"/>
          <w:sz w:val="24"/>
          <w:highlight w:val="none"/>
        </w:rPr>
        <w:t>（5）评价方法</w:t>
      </w:r>
    </w:p>
    <w:p w14:paraId="7B97AD1C">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本次环评环境空气质量现状采用超标率和最大浓度占标率进行评价，计算公式为：</w:t>
      </w:r>
    </w:p>
    <w:p w14:paraId="5551F006">
      <w:pPr>
        <w:adjustRightInd w:val="0"/>
        <w:snapToGrid w:val="0"/>
        <w:spacing w:line="360" w:lineRule="auto"/>
        <w:ind w:firstLine="480" w:firstLineChars="200"/>
        <w:jc w:val="center"/>
        <w:textAlignment w:val="baseline"/>
        <w:rPr>
          <w:snapToGrid w:val="0"/>
          <w:color w:val="auto"/>
          <w:kern w:val="0"/>
          <w:sz w:val="24"/>
          <w:highlight w:val="none"/>
        </w:rPr>
      </w:pPr>
      <w:r>
        <w:rPr>
          <w:rFonts w:hint="eastAsia"/>
          <w:snapToGrid w:val="0"/>
          <w:color w:val="auto"/>
          <w:kern w:val="0"/>
          <w:sz w:val="24"/>
          <w:highlight w:val="none"/>
        </w:rPr>
        <w:t>B</w:t>
      </w:r>
      <w:r>
        <w:rPr>
          <w:snapToGrid w:val="0"/>
          <w:color w:val="auto"/>
          <w:kern w:val="0"/>
          <w:sz w:val="24"/>
          <w:highlight w:val="none"/>
          <w:vertAlign w:val="subscript"/>
        </w:rPr>
        <w:t>i</w:t>
      </w:r>
      <w:r>
        <w:rPr>
          <w:snapToGrid w:val="0"/>
          <w:color w:val="auto"/>
          <w:kern w:val="0"/>
          <w:sz w:val="24"/>
          <w:highlight w:val="none"/>
        </w:rPr>
        <w:t>=</w:t>
      </w:r>
      <w:r>
        <w:rPr>
          <w:rFonts w:hint="eastAsia"/>
          <w:snapToGrid w:val="0"/>
          <w:color w:val="auto"/>
          <w:kern w:val="0"/>
          <w:sz w:val="24"/>
          <w:highlight w:val="none"/>
        </w:rPr>
        <w:t>（</w:t>
      </w:r>
      <w:r>
        <w:rPr>
          <w:snapToGrid w:val="0"/>
          <w:color w:val="auto"/>
          <w:kern w:val="0"/>
          <w:sz w:val="24"/>
          <w:highlight w:val="none"/>
        </w:rPr>
        <w:t>C</w:t>
      </w:r>
      <w:r>
        <w:rPr>
          <w:snapToGrid w:val="0"/>
          <w:color w:val="auto"/>
          <w:kern w:val="0"/>
          <w:sz w:val="24"/>
          <w:highlight w:val="none"/>
          <w:vertAlign w:val="subscript"/>
        </w:rPr>
        <w:t>i</w:t>
      </w:r>
      <w:r>
        <w:rPr>
          <w:rFonts w:hint="eastAsia"/>
          <w:snapToGrid w:val="0"/>
          <w:color w:val="auto"/>
          <w:kern w:val="0"/>
          <w:sz w:val="24"/>
          <w:highlight w:val="none"/>
        </w:rPr>
        <w:t>-S</w:t>
      </w:r>
      <w:r>
        <w:rPr>
          <w:snapToGrid w:val="0"/>
          <w:color w:val="auto"/>
          <w:kern w:val="0"/>
          <w:sz w:val="24"/>
          <w:highlight w:val="none"/>
          <w:vertAlign w:val="subscript"/>
        </w:rPr>
        <w:t>i</w:t>
      </w:r>
      <w:r>
        <w:rPr>
          <w:rFonts w:hint="eastAsia"/>
          <w:snapToGrid w:val="0"/>
          <w:color w:val="auto"/>
          <w:kern w:val="0"/>
          <w:sz w:val="24"/>
          <w:highlight w:val="none"/>
        </w:rPr>
        <w:t>）/S</w:t>
      </w:r>
      <w:r>
        <w:rPr>
          <w:snapToGrid w:val="0"/>
          <w:color w:val="auto"/>
          <w:kern w:val="0"/>
          <w:sz w:val="24"/>
          <w:highlight w:val="none"/>
          <w:vertAlign w:val="subscript"/>
        </w:rPr>
        <w:t>i</w:t>
      </w:r>
    </w:p>
    <w:p w14:paraId="62C3D769">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式中：</w:t>
      </w:r>
      <w:r>
        <w:rPr>
          <w:rFonts w:hint="eastAsia"/>
          <w:snapToGrid w:val="0"/>
          <w:color w:val="auto"/>
          <w:kern w:val="0"/>
          <w:sz w:val="24"/>
          <w:highlight w:val="none"/>
        </w:rPr>
        <w:t>B</w:t>
      </w:r>
      <w:r>
        <w:rPr>
          <w:snapToGrid w:val="0"/>
          <w:color w:val="auto"/>
          <w:kern w:val="0"/>
          <w:sz w:val="24"/>
          <w:highlight w:val="none"/>
          <w:vertAlign w:val="subscript"/>
        </w:rPr>
        <w:t>i</w:t>
      </w:r>
      <w:r>
        <w:rPr>
          <w:snapToGrid w:val="0"/>
          <w:color w:val="auto"/>
          <w:kern w:val="0"/>
          <w:sz w:val="24"/>
          <w:highlight w:val="none"/>
        </w:rPr>
        <w:t>—</w:t>
      </w:r>
      <w:r>
        <w:rPr>
          <w:rFonts w:hint="eastAsia"/>
          <w:snapToGrid w:val="0"/>
          <w:color w:val="auto"/>
          <w:kern w:val="0"/>
          <w:sz w:val="24"/>
          <w:highlight w:val="none"/>
        </w:rPr>
        <w:t>超标项目</w:t>
      </w:r>
      <w:r>
        <w:rPr>
          <w:snapToGrid w:val="0"/>
          <w:color w:val="auto"/>
          <w:kern w:val="0"/>
          <w:sz w:val="24"/>
          <w:highlight w:val="none"/>
        </w:rPr>
        <w:t>i</w:t>
      </w:r>
      <w:r>
        <w:rPr>
          <w:rFonts w:hint="eastAsia"/>
          <w:snapToGrid w:val="0"/>
          <w:color w:val="auto"/>
          <w:kern w:val="0"/>
          <w:sz w:val="24"/>
          <w:highlight w:val="none"/>
        </w:rPr>
        <w:t>的超标倍数</w:t>
      </w:r>
      <w:r>
        <w:rPr>
          <w:snapToGrid w:val="0"/>
          <w:color w:val="auto"/>
          <w:kern w:val="0"/>
          <w:sz w:val="24"/>
          <w:highlight w:val="none"/>
        </w:rPr>
        <w:t>；</w:t>
      </w:r>
    </w:p>
    <w:p w14:paraId="696FEBEB">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i</w:t>
      </w:r>
      <w:r>
        <w:rPr>
          <w:snapToGrid w:val="0"/>
          <w:color w:val="auto"/>
          <w:kern w:val="0"/>
          <w:sz w:val="24"/>
          <w:highlight w:val="none"/>
        </w:rPr>
        <w:t>—</w:t>
      </w:r>
      <w:r>
        <w:rPr>
          <w:rFonts w:hint="eastAsia"/>
          <w:snapToGrid w:val="0"/>
          <w:color w:val="auto"/>
          <w:kern w:val="0"/>
          <w:sz w:val="24"/>
          <w:highlight w:val="none"/>
        </w:rPr>
        <w:t>超标项目</w:t>
      </w:r>
      <w:r>
        <w:rPr>
          <w:snapToGrid w:val="0"/>
          <w:color w:val="auto"/>
          <w:kern w:val="0"/>
          <w:sz w:val="24"/>
          <w:highlight w:val="none"/>
        </w:rPr>
        <w:t>i</w:t>
      </w:r>
      <w:r>
        <w:rPr>
          <w:rFonts w:hint="eastAsia"/>
          <w:snapToGrid w:val="0"/>
          <w:color w:val="auto"/>
          <w:kern w:val="0"/>
          <w:sz w:val="24"/>
          <w:highlight w:val="none"/>
        </w:rPr>
        <w:t>的</w:t>
      </w:r>
      <w:r>
        <w:rPr>
          <w:snapToGrid w:val="0"/>
          <w:color w:val="auto"/>
          <w:kern w:val="0"/>
          <w:sz w:val="24"/>
          <w:highlight w:val="none"/>
        </w:rPr>
        <w:t>浓度</w:t>
      </w:r>
      <w:r>
        <w:rPr>
          <w:rFonts w:hint="eastAsia"/>
          <w:snapToGrid w:val="0"/>
          <w:color w:val="auto"/>
          <w:kern w:val="0"/>
          <w:sz w:val="24"/>
          <w:highlight w:val="none"/>
        </w:rPr>
        <w:t>值</w:t>
      </w:r>
      <w:r>
        <w:rPr>
          <w:snapToGrid w:val="0"/>
          <w:color w:val="auto"/>
          <w:kern w:val="0"/>
          <w:sz w:val="24"/>
          <w:highlight w:val="none"/>
        </w:rPr>
        <w:t>；</w:t>
      </w:r>
    </w:p>
    <w:p w14:paraId="4932A2F8">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 xml:space="preserve">      </w:t>
      </w:r>
      <w:r>
        <w:rPr>
          <w:rFonts w:hint="eastAsia"/>
          <w:snapToGrid w:val="0"/>
          <w:color w:val="auto"/>
          <w:kern w:val="0"/>
          <w:sz w:val="24"/>
          <w:highlight w:val="none"/>
        </w:rPr>
        <w:t>S</w:t>
      </w:r>
      <w:r>
        <w:rPr>
          <w:snapToGrid w:val="0"/>
          <w:color w:val="auto"/>
          <w:kern w:val="0"/>
          <w:sz w:val="24"/>
          <w:highlight w:val="none"/>
          <w:vertAlign w:val="subscript"/>
        </w:rPr>
        <w:t>i</w:t>
      </w:r>
      <w:r>
        <w:rPr>
          <w:snapToGrid w:val="0"/>
          <w:color w:val="auto"/>
          <w:kern w:val="0"/>
          <w:sz w:val="24"/>
          <w:highlight w:val="none"/>
        </w:rPr>
        <w:t>—</w:t>
      </w:r>
      <w:r>
        <w:rPr>
          <w:rFonts w:hint="eastAsia"/>
          <w:snapToGrid w:val="0"/>
          <w:color w:val="auto"/>
          <w:kern w:val="0"/>
          <w:sz w:val="24"/>
          <w:highlight w:val="none"/>
        </w:rPr>
        <w:t>超标项目i的浓度限值标准，一类区采用一级浓度限值标准，二类区采用二级浓度限值标准。</w:t>
      </w:r>
    </w:p>
    <w:p w14:paraId="0C7DEF51">
      <w:pPr>
        <w:adjustRightInd w:val="0"/>
        <w:snapToGrid w:val="0"/>
        <w:spacing w:line="360" w:lineRule="auto"/>
        <w:ind w:firstLine="480" w:firstLineChars="200"/>
        <w:jc w:val="center"/>
        <w:textAlignment w:val="baseline"/>
        <w:rPr>
          <w:snapToGrid w:val="0"/>
          <w:color w:val="auto"/>
          <w:kern w:val="0"/>
          <w:sz w:val="24"/>
          <w:highlight w:val="none"/>
        </w:rPr>
      </w:pPr>
      <w:r>
        <w:rPr>
          <w:snapToGrid w:val="0"/>
          <w:color w:val="auto"/>
          <w:kern w:val="0"/>
          <w:sz w:val="24"/>
          <w:highlight w:val="none"/>
        </w:rPr>
        <w:t>P</w:t>
      </w:r>
      <w:r>
        <w:rPr>
          <w:snapToGrid w:val="0"/>
          <w:color w:val="auto"/>
          <w:kern w:val="0"/>
          <w:sz w:val="24"/>
          <w:highlight w:val="none"/>
          <w:vertAlign w:val="subscript"/>
        </w:rPr>
        <w:t>i</w:t>
      </w:r>
      <w:r>
        <w:rPr>
          <w:snapToGrid w:val="0"/>
          <w:color w:val="auto"/>
          <w:kern w:val="0"/>
          <w:sz w:val="24"/>
          <w:highlight w:val="none"/>
        </w:rPr>
        <w:t>=C</w:t>
      </w:r>
      <w:r>
        <w:rPr>
          <w:snapToGrid w:val="0"/>
          <w:color w:val="auto"/>
          <w:kern w:val="0"/>
          <w:sz w:val="24"/>
          <w:highlight w:val="none"/>
          <w:vertAlign w:val="subscript"/>
        </w:rPr>
        <w:t>i</w:t>
      </w:r>
      <w:r>
        <w:rPr>
          <w:snapToGrid w:val="0"/>
          <w:color w:val="auto"/>
          <w:kern w:val="0"/>
          <w:sz w:val="24"/>
          <w:highlight w:val="none"/>
        </w:rPr>
        <w:t>/C</w:t>
      </w:r>
      <w:r>
        <w:rPr>
          <w:snapToGrid w:val="0"/>
          <w:color w:val="auto"/>
          <w:kern w:val="0"/>
          <w:sz w:val="24"/>
          <w:highlight w:val="none"/>
          <w:vertAlign w:val="subscript"/>
        </w:rPr>
        <w:t>oi</w:t>
      </w:r>
      <w:r>
        <w:rPr>
          <w:snapToGrid w:val="0"/>
          <w:color w:val="auto"/>
          <w:kern w:val="0"/>
          <w:sz w:val="24"/>
          <w:highlight w:val="none"/>
        </w:rPr>
        <w:t>×100%</w:t>
      </w:r>
    </w:p>
    <w:p w14:paraId="6275F780">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式中：P</w:t>
      </w:r>
      <w:r>
        <w:rPr>
          <w:snapToGrid w:val="0"/>
          <w:color w:val="auto"/>
          <w:kern w:val="0"/>
          <w:sz w:val="24"/>
          <w:highlight w:val="none"/>
          <w:vertAlign w:val="subscript"/>
        </w:rPr>
        <w:t>i</w:t>
      </w:r>
      <w:r>
        <w:rPr>
          <w:snapToGrid w:val="0"/>
          <w:color w:val="auto"/>
          <w:kern w:val="0"/>
          <w:sz w:val="24"/>
          <w:highlight w:val="none"/>
        </w:rPr>
        <w:t>—第i个污染物的最大浓度占标率（</w:t>
      </w:r>
      <w:r>
        <w:rPr>
          <w:rFonts w:hint="eastAsia"/>
          <w:snapToGrid w:val="0"/>
          <w:color w:val="auto"/>
          <w:kern w:val="0"/>
          <w:sz w:val="24"/>
          <w:highlight w:val="none"/>
        </w:rPr>
        <w:t>%</w:t>
      </w:r>
      <w:r>
        <w:rPr>
          <w:snapToGrid w:val="0"/>
          <w:color w:val="auto"/>
          <w:kern w:val="0"/>
          <w:sz w:val="24"/>
          <w:highlight w:val="none"/>
        </w:rPr>
        <w:t>）；</w:t>
      </w:r>
    </w:p>
    <w:p w14:paraId="7FAD4568">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i</w:t>
      </w:r>
      <w:r>
        <w:rPr>
          <w:snapToGrid w:val="0"/>
          <w:color w:val="auto"/>
          <w:kern w:val="0"/>
          <w:sz w:val="24"/>
          <w:highlight w:val="none"/>
        </w:rPr>
        <w:t>—第i个污染物的最大浓度（μg/m</w:t>
      </w:r>
      <w:r>
        <w:rPr>
          <w:snapToGrid w:val="0"/>
          <w:color w:val="auto"/>
          <w:kern w:val="0"/>
          <w:sz w:val="24"/>
          <w:highlight w:val="none"/>
          <w:vertAlign w:val="superscript"/>
        </w:rPr>
        <w:t>3</w:t>
      </w:r>
      <w:r>
        <w:rPr>
          <w:snapToGrid w:val="0"/>
          <w:color w:val="auto"/>
          <w:kern w:val="0"/>
          <w:sz w:val="24"/>
          <w:highlight w:val="none"/>
        </w:rPr>
        <w:t>）；</w:t>
      </w:r>
    </w:p>
    <w:p w14:paraId="619CBBB9">
      <w:pPr>
        <w:adjustRightInd w:val="0"/>
        <w:snapToGri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oi</w:t>
      </w:r>
      <w:r>
        <w:rPr>
          <w:snapToGrid w:val="0"/>
          <w:color w:val="auto"/>
          <w:kern w:val="0"/>
          <w:sz w:val="24"/>
          <w:highlight w:val="none"/>
        </w:rPr>
        <w:t>—第i个污染物的环境空气质量浓度标准（μg/m</w:t>
      </w:r>
      <w:r>
        <w:rPr>
          <w:snapToGrid w:val="0"/>
          <w:color w:val="auto"/>
          <w:kern w:val="0"/>
          <w:sz w:val="24"/>
          <w:highlight w:val="none"/>
          <w:vertAlign w:val="superscript"/>
        </w:rPr>
        <w:t>3</w:t>
      </w:r>
      <w:r>
        <w:rPr>
          <w:snapToGrid w:val="0"/>
          <w:color w:val="auto"/>
          <w:kern w:val="0"/>
          <w:sz w:val="24"/>
          <w:highlight w:val="none"/>
        </w:rPr>
        <w:t>）。</w:t>
      </w:r>
    </w:p>
    <w:p w14:paraId="7A2CD82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（6）评价结果</w:t>
      </w:r>
    </w:p>
    <w:p w14:paraId="7336507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val="en-US" w:eastAsia="zh-CN"/>
        </w:rPr>
        <w:t>项目所在区域</w:t>
      </w:r>
      <w:r>
        <w:rPr>
          <w:rFonts w:hint="eastAsia"/>
          <w:snapToGrid w:val="0"/>
          <w:color w:val="auto"/>
          <w:kern w:val="0"/>
          <w:sz w:val="24"/>
          <w:highlight w:val="none"/>
        </w:rPr>
        <w:t>其他污染物监测结果见表5.3-</w:t>
      </w:r>
      <w:r>
        <w:rPr>
          <w:rFonts w:hint="eastAsia"/>
          <w:snapToGrid w:val="0"/>
          <w:color w:val="auto"/>
          <w:kern w:val="0"/>
          <w:sz w:val="24"/>
          <w:highlight w:val="none"/>
          <w:lang w:val="en-US" w:eastAsia="zh-CN"/>
        </w:rPr>
        <w:t>6</w:t>
      </w:r>
      <w:r>
        <w:rPr>
          <w:rFonts w:hint="eastAsia"/>
          <w:snapToGrid w:val="0"/>
          <w:color w:val="auto"/>
          <w:kern w:val="0"/>
          <w:sz w:val="24"/>
          <w:highlight w:val="none"/>
        </w:rPr>
        <w:t>，评价结果见表5.3</w:t>
      </w:r>
      <w:r>
        <w:rPr>
          <w:rFonts w:hint="eastAsia"/>
          <w:snapToGrid w:val="0"/>
          <w:color w:val="auto"/>
          <w:kern w:val="0"/>
          <w:sz w:val="24"/>
          <w:highlight w:val="none"/>
          <w:lang w:val="en-US" w:eastAsia="zh-CN"/>
        </w:rPr>
        <w:t>-7</w:t>
      </w:r>
      <w:r>
        <w:rPr>
          <w:rFonts w:hint="eastAsia"/>
          <w:snapToGrid w:val="0"/>
          <w:color w:val="auto"/>
          <w:kern w:val="0"/>
          <w:sz w:val="24"/>
          <w:highlight w:val="none"/>
        </w:rPr>
        <w:t>。</w:t>
      </w:r>
    </w:p>
    <w:p w14:paraId="64A95F24">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 xml:space="preserve">6 </w:t>
      </w:r>
      <w:r>
        <w:rPr>
          <w:rFonts w:hint="eastAsia" w:ascii="Times New Roman" w:hAnsi="Times New Roman" w:cs="Times New Roman"/>
          <w:snapToGrid w:val="0"/>
          <w:color w:val="auto"/>
          <w:kern w:val="0"/>
          <w:sz w:val="21"/>
          <w:szCs w:val="21"/>
          <w:highlight w:val="none"/>
        </w:rPr>
        <w:t>其他污染物监测结果表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0" w:type="dxa"/>
          <w:bottom w:w="15" w:type="dxa"/>
          <w:right w:w="0" w:type="dxa"/>
        </w:tblCellMar>
      </w:tblPr>
      <w:tblGrid>
        <w:gridCol w:w="1684"/>
        <w:gridCol w:w="1955"/>
        <w:gridCol w:w="1238"/>
        <w:gridCol w:w="1244"/>
        <w:gridCol w:w="1211"/>
        <w:gridCol w:w="895"/>
      </w:tblGrid>
      <w:tr w14:paraId="2021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tblHeader/>
          <w:jc w:val="center"/>
        </w:trPr>
        <w:tc>
          <w:tcPr>
            <w:tcW w:w="1023" w:type="pct"/>
            <w:vMerge w:val="restart"/>
            <w:tcBorders>
              <w:tl2br w:val="nil"/>
              <w:tr2bl w:val="nil"/>
            </w:tcBorders>
            <w:vAlign w:val="center"/>
          </w:tcPr>
          <w:p w14:paraId="549A574F">
            <w:pPr>
              <w:widowControl/>
              <w:adjustRightInd w:val="0"/>
              <w:snapToGrid w:val="0"/>
              <w:jc w:val="center"/>
              <w:rPr>
                <w:snapToGrid w:val="0"/>
                <w:color w:val="auto"/>
                <w:kern w:val="0"/>
                <w:szCs w:val="21"/>
                <w:highlight w:val="none"/>
              </w:rPr>
            </w:pPr>
            <w:r>
              <w:rPr>
                <w:snapToGrid w:val="0"/>
                <w:color w:val="auto"/>
                <w:kern w:val="0"/>
                <w:szCs w:val="21"/>
                <w:highlight w:val="none"/>
              </w:rPr>
              <w:t>采样地点</w:t>
            </w:r>
          </w:p>
        </w:tc>
        <w:tc>
          <w:tcPr>
            <w:tcW w:w="1188" w:type="pct"/>
            <w:vMerge w:val="restart"/>
            <w:tcBorders>
              <w:tl2br w:val="nil"/>
              <w:tr2bl w:val="nil"/>
            </w:tcBorders>
            <w:vAlign w:val="center"/>
          </w:tcPr>
          <w:p w14:paraId="10172E7B">
            <w:pPr>
              <w:widowControl/>
              <w:adjustRightInd w:val="0"/>
              <w:snapToGrid w:val="0"/>
              <w:jc w:val="center"/>
              <w:rPr>
                <w:snapToGrid w:val="0"/>
                <w:color w:val="auto"/>
                <w:kern w:val="0"/>
                <w:szCs w:val="21"/>
                <w:highlight w:val="none"/>
              </w:rPr>
            </w:pPr>
            <w:r>
              <w:rPr>
                <w:snapToGrid w:val="0"/>
                <w:color w:val="auto"/>
                <w:kern w:val="0"/>
                <w:szCs w:val="21"/>
                <w:highlight w:val="none"/>
              </w:rPr>
              <w:t>采样日期</w:t>
            </w:r>
          </w:p>
        </w:tc>
        <w:tc>
          <w:tcPr>
            <w:tcW w:w="2787" w:type="pct"/>
            <w:gridSpan w:val="4"/>
            <w:tcBorders>
              <w:tl2br w:val="nil"/>
              <w:tr2bl w:val="nil"/>
            </w:tcBorders>
            <w:vAlign w:val="center"/>
          </w:tcPr>
          <w:p w14:paraId="651DEC3D">
            <w:pPr>
              <w:widowControl/>
              <w:adjustRightInd w:val="0"/>
              <w:snapToGrid w:val="0"/>
              <w:jc w:val="center"/>
              <w:rPr>
                <w:rFonts w:hint="eastAsia"/>
                <w:snapToGrid w:val="0"/>
                <w:color w:val="auto"/>
                <w:kern w:val="0"/>
                <w:szCs w:val="21"/>
                <w:highlight w:val="none"/>
              </w:rPr>
            </w:pPr>
            <w:r>
              <w:rPr>
                <w:rFonts w:hint="eastAsia"/>
                <w:snapToGrid w:val="0"/>
                <w:color w:val="auto"/>
                <w:kern w:val="0"/>
                <w:szCs w:val="21"/>
                <w:highlight w:val="none"/>
              </w:rPr>
              <w:t>监</w:t>
            </w:r>
            <w:r>
              <w:rPr>
                <w:snapToGrid w:val="0"/>
                <w:color w:val="auto"/>
                <w:kern w:val="0"/>
                <w:szCs w:val="21"/>
                <w:highlight w:val="none"/>
              </w:rPr>
              <w:t>测项目</w:t>
            </w:r>
            <w:r>
              <w:rPr>
                <w:rFonts w:hint="eastAsia"/>
                <w:snapToGrid w:val="0"/>
                <w:color w:val="auto"/>
                <w:kern w:val="0"/>
                <w:szCs w:val="21"/>
                <w:highlight w:val="none"/>
              </w:rPr>
              <w:t>（</w:t>
            </w:r>
            <w:r>
              <w:rPr>
                <w:snapToGrid w:val="0"/>
                <w:color w:val="auto"/>
                <w:kern w:val="0"/>
                <w:szCs w:val="21"/>
                <w:highlight w:val="none"/>
              </w:rPr>
              <w:t>单位：mg/m</w:t>
            </w:r>
            <w:r>
              <w:rPr>
                <w:snapToGrid w:val="0"/>
                <w:color w:val="auto"/>
                <w:kern w:val="0"/>
                <w:szCs w:val="21"/>
                <w:highlight w:val="none"/>
                <w:vertAlign w:val="superscript"/>
              </w:rPr>
              <w:t>3</w:t>
            </w:r>
            <w:r>
              <w:rPr>
                <w:rFonts w:hint="eastAsia"/>
                <w:snapToGrid w:val="0"/>
                <w:color w:val="auto"/>
                <w:kern w:val="0"/>
                <w:szCs w:val="21"/>
                <w:highlight w:val="none"/>
              </w:rPr>
              <w:t>）</w:t>
            </w:r>
          </w:p>
        </w:tc>
      </w:tr>
      <w:tr w14:paraId="7CC4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tblHeader/>
          <w:jc w:val="center"/>
        </w:trPr>
        <w:tc>
          <w:tcPr>
            <w:tcW w:w="1023" w:type="pct"/>
            <w:vMerge w:val="continue"/>
            <w:tcBorders>
              <w:tl2br w:val="nil"/>
              <w:tr2bl w:val="nil"/>
            </w:tcBorders>
            <w:vAlign w:val="center"/>
          </w:tcPr>
          <w:p w14:paraId="23E599EC">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1BC4DD82">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0638A2A7">
            <w:pPr>
              <w:widowControl/>
              <w:adjustRightInd w:val="0"/>
              <w:snapToGrid w:val="0"/>
              <w:jc w:val="center"/>
              <w:rPr>
                <w:snapToGrid w:val="0"/>
                <w:color w:val="auto"/>
                <w:kern w:val="0"/>
                <w:szCs w:val="21"/>
                <w:highlight w:val="none"/>
              </w:rPr>
            </w:pPr>
            <w:r>
              <w:rPr>
                <w:snapToGrid w:val="0"/>
                <w:color w:val="auto"/>
                <w:kern w:val="0"/>
                <w:szCs w:val="21"/>
                <w:highlight w:val="none"/>
              </w:rPr>
              <w:t>氨</w:t>
            </w:r>
          </w:p>
        </w:tc>
        <w:tc>
          <w:tcPr>
            <w:tcW w:w="756" w:type="pct"/>
            <w:tcBorders>
              <w:tl2br w:val="nil"/>
              <w:tr2bl w:val="nil"/>
            </w:tcBorders>
            <w:vAlign w:val="center"/>
          </w:tcPr>
          <w:p w14:paraId="01DDFDEA">
            <w:pPr>
              <w:widowControl/>
              <w:adjustRightInd w:val="0"/>
              <w:snapToGrid w:val="0"/>
              <w:jc w:val="center"/>
              <w:rPr>
                <w:snapToGrid w:val="0"/>
                <w:color w:val="auto"/>
                <w:kern w:val="0"/>
                <w:szCs w:val="21"/>
                <w:highlight w:val="none"/>
              </w:rPr>
            </w:pPr>
            <w:r>
              <w:rPr>
                <w:snapToGrid w:val="0"/>
                <w:color w:val="auto"/>
                <w:kern w:val="0"/>
                <w:szCs w:val="21"/>
                <w:highlight w:val="none"/>
              </w:rPr>
              <w:t>硫化氢</w:t>
            </w:r>
          </w:p>
        </w:tc>
        <w:tc>
          <w:tcPr>
            <w:tcW w:w="736" w:type="pct"/>
            <w:tcBorders>
              <w:tl2br w:val="nil"/>
              <w:tr2bl w:val="nil"/>
            </w:tcBorders>
            <w:vAlign w:val="center"/>
          </w:tcPr>
          <w:p w14:paraId="62A8C836">
            <w:pPr>
              <w:widowControl/>
              <w:adjustRightInd w:val="0"/>
              <w:snapToGrid w:val="0"/>
              <w:jc w:val="center"/>
              <w:rPr>
                <w:snapToGrid w:val="0"/>
                <w:color w:val="auto"/>
                <w:kern w:val="0"/>
                <w:szCs w:val="21"/>
                <w:highlight w:val="none"/>
              </w:rPr>
            </w:pPr>
            <w:r>
              <w:rPr>
                <w:snapToGrid w:val="0"/>
                <w:color w:val="auto"/>
                <w:kern w:val="0"/>
                <w:szCs w:val="21"/>
                <w:highlight w:val="none"/>
              </w:rPr>
              <w:t>非甲烷总烃</w:t>
            </w:r>
          </w:p>
        </w:tc>
        <w:tc>
          <w:tcPr>
            <w:tcW w:w="541" w:type="pct"/>
            <w:tcBorders>
              <w:tl2br w:val="nil"/>
              <w:tr2bl w:val="nil"/>
            </w:tcBorders>
            <w:vAlign w:val="center"/>
          </w:tcPr>
          <w:p w14:paraId="2A0FBB7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硫酸</w:t>
            </w:r>
          </w:p>
        </w:tc>
      </w:tr>
      <w:tr w14:paraId="1857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restart"/>
            <w:tcBorders>
              <w:tl2br w:val="nil"/>
              <w:tr2bl w:val="nil"/>
            </w:tcBorders>
            <w:vAlign w:val="center"/>
          </w:tcPr>
          <w:p w14:paraId="297436A7">
            <w:pPr>
              <w:widowControl/>
              <w:adjustRightInd w:val="0"/>
              <w:snapToGrid w:val="0"/>
              <w:jc w:val="center"/>
              <w:rPr>
                <w:snapToGrid w:val="0"/>
                <w:color w:val="auto"/>
                <w:kern w:val="0"/>
                <w:szCs w:val="21"/>
                <w:highlight w:val="none"/>
              </w:rPr>
            </w:pPr>
            <w:r>
              <w:rPr>
                <w:snapToGrid w:val="0"/>
                <w:color w:val="auto"/>
                <w:kern w:val="0"/>
                <w:szCs w:val="21"/>
                <w:highlight w:val="none"/>
              </w:rPr>
              <w:t>园区南侧</w:t>
            </w:r>
            <w:r>
              <w:rPr>
                <w:rFonts w:hint="eastAsia"/>
                <w:snapToGrid w:val="0"/>
                <w:color w:val="auto"/>
                <w:kern w:val="0"/>
                <w:szCs w:val="21"/>
                <w:highlight w:val="none"/>
              </w:rPr>
              <w:t>（引用）</w:t>
            </w:r>
          </w:p>
        </w:tc>
        <w:tc>
          <w:tcPr>
            <w:tcW w:w="1188" w:type="pct"/>
            <w:vMerge w:val="restart"/>
            <w:tcBorders>
              <w:tl2br w:val="nil"/>
              <w:tr2bl w:val="nil"/>
            </w:tcBorders>
            <w:vAlign w:val="center"/>
          </w:tcPr>
          <w:p w14:paraId="010400A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2024.04.28</w:t>
            </w:r>
          </w:p>
        </w:tc>
        <w:tc>
          <w:tcPr>
            <w:tcW w:w="752" w:type="pct"/>
            <w:tcBorders>
              <w:tl2br w:val="nil"/>
              <w:tr2bl w:val="nil"/>
            </w:tcBorders>
            <w:vAlign w:val="center"/>
          </w:tcPr>
          <w:p w14:paraId="56E460E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36F44FCC">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7E0C4EB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0.56</w:t>
            </w:r>
          </w:p>
        </w:tc>
        <w:tc>
          <w:tcPr>
            <w:tcW w:w="541" w:type="pct"/>
            <w:tcBorders>
              <w:tl2br w:val="nil"/>
              <w:tr2bl w:val="nil"/>
            </w:tcBorders>
            <w:vAlign w:val="center"/>
          </w:tcPr>
          <w:p w14:paraId="0135DAF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18B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14C2727">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AFDC2D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471A80F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7620F70B">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DBAF1B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0.50</w:t>
            </w:r>
          </w:p>
        </w:tc>
        <w:tc>
          <w:tcPr>
            <w:tcW w:w="541" w:type="pct"/>
            <w:tcBorders>
              <w:tl2br w:val="nil"/>
              <w:tr2bl w:val="nil"/>
            </w:tcBorders>
            <w:vAlign w:val="center"/>
          </w:tcPr>
          <w:p w14:paraId="16F187A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DF2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A046E0B">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6FE0741">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45E6AF1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42B85DA9">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C9D93E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0.60</w:t>
            </w:r>
          </w:p>
        </w:tc>
        <w:tc>
          <w:tcPr>
            <w:tcW w:w="541" w:type="pct"/>
            <w:tcBorders>
              <w:tl2br w:val="nil"/>
              <w:tr2bl w:val="nil"/>
            </w:tcBorders>
            <w:vAlign w:val="center"/>
          </w:tcPr>
          <w:p w14:paraId="68638F4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E88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53A53CE">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7223F627">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045A006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67B6455D">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35C0902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0.48</w:t>
            </w:r>
          </w:p>
        </w:tc>
        <w:tc>
          <w:tcPr>
            <w:tcW w:w="541" w:type="pct"/>
            <w:tcBorders>
              <w:tl2br w:val="nil"/>
              <w:tr2bl w:val="nil"/>
            </w:tcBorders>
            <w:vAlign w:val="center"/>
          </w:tcPr>
          <w:p w14:paraId="7C1A025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7235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2AEE19FA">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578092C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2024.04.29</w:t>
            </w:r>
          </w:p>
        </w:tc>
        <w:tc>
          <w:tcPr>
            <w:tcW w:w="752" w:type="pct"/>
            <w:tcBorders>
              <w:tl2br w:val="nil"/>
              <w:tr2bl w:val="nil"/>
            </w:tcBorders>
            <w:vAlign w:val="center"/>
          </w:tcPr>
          <w:p w14:paraId="7771E2C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75CC7167">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237A5E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0.31</w:t>
            </w:r>
          </w:p>
        </w:tc>
        <w:tc>
          <w:tcPr>
            <w:tcW w:w="541" w:type="pct"/>
            <w:tcBorders>
              <w:tl2br w:val="nil"/>
              <w:tr2bl w:val="nil"/>
            </w:tcBorders>
            <w:vAlign w:val="center"/>
          </w:tcPr>
          <w:p w14:paraId="1063F06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4462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60989312">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30174502">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111814F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0B4A1772">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41489DF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0.22</w:t>
            </w:r>
          </w:p>
        </w:tc>
        <w:tc>
          <w:tcPr>
            <w:tcW w:w="541" w:type="pct"/>
            <w:tcBorders>
              <w:tl2br w:val="nil"/>
              <w:tr2bl w:val="nil"/>
            </w:tcBorders>
            <w:vAlign w:val="center"/>
          </w:tcPr>
          <w:p w14:paraId="6ED63CB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52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3A61DDEC">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2351D5BD">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A5A676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0FE03E6D">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1A06B1F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0.28</w:t>
            </w:r>
          </w:p>
        </w:tc>
        <w:tc>
          <w:tcPr>
            <w:tcW w:w="541" w:type="pct"/>
            <w:tcBorders>
              <w:tl2br w:val="nil"/>
              <w:tr2bl w:val="nil"/>
            </w:tcBorders>
            <w:vAlign w:val="center"/>
          </w:tcPr>
          <w:p w14:paraId="0ADDDA8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119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3EDEA3AD">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0DBBE453">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963B85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080D6492">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0F974A6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0.23</w:t>
            </w:r>
          </w:p>
        </w:tc>
        <w:tc>
          <w:tcPr>
            <w:tcW w:w="541" w:type="pct"/>
            <w:tcBorders>
              <w:tl2br w:val="nil"/>
              <w:tr2bl w:val="nil"/>
            </w:tcBorders>
            <w:vAlign w:val="center"/>
          </w:tcPr>
          <w:p w14:paraId="7ED95CE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0215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52642BD">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6BF2CB9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2024.04.30</w:t>
            </w:r>
          </w:p>
        </w:tc>
        <w:tc>
          <w:tcPr>
            <w:tcW w:w="752" w:type="pct"/>
            <w:tcBorders>
              <w:tl2br w:val="nil"/>
              <w:tr2bl w:val="nil"/>
            </w:tcBorders>
            <w:vAlign w:val="center"/>
          </w:tcPr>
          <w:p w14:paraId="5AE8BF4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2F42E500">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69E94EB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0.31</w:t>
            </w:r>
          </w:p>
        </w:tc>
        <w:tc>
          <w:tcPr>
            <w:tcW w:w="541" w:type="pct"/>
            <w:tcBorders>
              <w:tl2br w:val="nil"/>
              <w:tr2bl w:val="nil"/>
            </w:tcBorders>
            <w:vAlign w:val="center"/>
          </w:tcPr>
          <w:p w14:paraId="5D58BD1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0451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0DA47C35">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19BA5948">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D4ED95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656EED96">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4330681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0.36</w:t>
            </w:r>
          </w:p>
        </w:tc>
        <w:tc>
          <w:tcPr>
            <w:tcW w:w="541" w:type="pct"/>
            <w:tcBorders>
              <w:tl2br w:val="nil"/>
              <w:tr2bl w:val="nil"/>
            </w:tcBorders>
            <w:vAlign w:val="center"/>
          </w:tcPr>
          <w:p w14:paraId="04A5DA1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5CDC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22B1BE04">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23A784D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A16AD2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0.09</w:t>
            </w:r>
          </w:p>
        </w:tc>
        <w:tc>
          <w:tcPr>
            <w:tcW w:w="756" w:type="pct"/>
            <w:tcBorders>
              <w:tl2br w:val="nil"/>
              <w:tr2bl w:val="nil"/>
            </w:tcBorders>
            <w:vAlign w:val="center"/>
          </w:tcPr>
          <w:p w14:paraId="44B7ED21">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53AFACF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0.46</w:t>
            </w:r>
          </w:p>
        </w:tc>
        <w:tc>
          <w:tcPr>
            <w:tcW w:w="541" w:type="pct"/>
            <w:tcBorders>
              <w:tl2br w:val="nil"/>
              <w:tr2bl w:val="nil"/>
            </w:tcBorders>
            <w:vAlign w:val="center"/>
          </w:tcPr>
          <w:p w14:paraId="774FFE9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FE5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602CAF49">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BAF2641">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53F6FB4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1F2BE4B5">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11A398B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0.39</w:t>
            </w:r>
          </w:p>
        </w:tc>
        <w:tc>
          <w:tcPr>
            <w:tcW w:w="541" w:type="pct"/>
            <w:tcBorders>
              <w:tl2br w:val="nil"/>
              <w:tr2bl w:val="nil"/>
            </w:tcBorders>
            <w:vAlign w:val="center"/>
          </w:tcPr>
          <w:p w14:paraId="5509E5B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A57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30B6DEDD">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24BD98A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2024.05.01</w:t>
            </w:r>
          </w:p>
        </w:tc>
        <w:tc>
          <w:tcPr>
            <w:tcW w:w="752" w:type="pct"/>
            <w:tcBorders>
              <w:tl2br w:val="nil"/>
              <w:tr2bl w:val="nil"/>
            </w:tcBorders>
            <w:vAlign w:val="center"/>
          </w:tcPr>
          <w:p w14:paraId="3029A10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02BA9B30">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8A6D90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0.50</w:t>
            </w:r>
          </w:p>
        </w:tc>
        <w:tc>
          <w:tcPr>
            <w:tcW w:w="541" w:type="pct"/>
            <w:tcBorders>
              <w:tl2br w:val="nil"/>
              <w:tr2bl w:val="nil"/>
            </w:tcBorders>
            <w:vAlign w:val="center"/>
          </w:tcPr>
          <w:p w14:paraId="41EC48F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2257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346F6766">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44D6626B">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490024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5BAA88A4">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0BC80D3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0.58</w:t>
            </w:r>
          </w:p>
        </w:tc>
        <w:tc>
          <w:tcPr>
            <w:tcW w:w="541" w:type="pct"/>
            <w:tcBorders>
              <w:tl2br w:val="nil"/>
              <w:tr2bl w:val="nil"/>
            </w:tcBorders>
            <w:vAlign w:val="center"/>
          </w:tcPr>
          <w:p w14:paraId="4DF78A2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4221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DDE8E6C">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78C1FB8C">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6149E68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0B5553A8">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073F023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0.55</w:t>
            </w:r>
          </w:p>
        </w:tc>
        <w:tc>
          <w:tcPr>
            <w:tcW w:w="541" w:type="pct"/>
            <w:tcBorders>
              <w:tl2br w:val="nil"/>
              <w:tr2bl w:val="nil"/>
            </w:tcBorders>
            <w:vAlign w:val="center"/>
          </w:tcPr>
          <w:p w14:paraId="2608A95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2BA9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C412D7F">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18EEA05">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0BE7CB5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0.09</w:t>
            </w:r>
          </w:p>
        </w:tc>
        <w:tc>
          <w:tcPr>
            <w:tcW w:w="756" w:type="pct"/>
            <w:tcBorders>
              <w:tl2br w:val="nil"/>
              <w:tr2bl w:val="nil"/>
            </w:tcBorders>
            <w:vAlign w:val="center"/>
          </w:tcPr>
          <w:p w14:paraId="2CBAA3C0">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7FF4611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0.48</w:t>
            </w:r>
          </w:p>
        </w:tc>
        <w:tc>
          <w:tcPr>
            <w:tcW w:w="541" w:type="pct"/>
            <w:tcBorders>
              <w:tl2br w:val="nil"/>
              <w:tr2bl w:val="nil"/>
            </w:tcBorders>
            <w:vAlign w:val="center"/>
          </w:tcPr>
          <w:p w14:paraId="3C40CF0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4500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698B7E74">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0DFE956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2024.05.02</w:t>
            </w:r>
          </w:p>
        </w:tc>
        <w:tc>
          <w:tcPr>
            <w:tcW w:w="752" w:type="pct"/>
            <w:tcBorders>
              <w:tl2br w:val="nil"/>
              <w:tr2bl w:val="nil"/>
            </w:tcBorders>
            <w:vAlign w:val="center"/>
          </w:tcPr>
          <w:p w14:paraId="19CB790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0F08E608">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35435DA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0.52</w:t>
            </w:r>
          </w:p>
        </w:tc>
        <w:tc>
          <w:tcPr>
            <w:tcW w:w="541" w:type="pct"/>
            <w:tcBorders>
              <w:tl2br w:val="nil"/>
              <w:tr2bl w:val="nil"/>
            </w:tcBorders>
            <w:vAlign w:val="center"/>
          </w:tcPr>
          <w:p w14:paraId="3EE698C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40D7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28DC48E5">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16172136">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77B87E9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1526E822">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367CC4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0.43</w:t>
            </w:r>
          </w:p>
        </w:tc>
        <w:tc>
          <w:tcPr>
            <w:tcW w:w="541" w:type="pct"/>
            <w:tcBorders>
              <w:tl2br w:val="nil"/>
              <w:tr2bl w:val="nil"/>
            </w:tcBorders>
            <w:vAlign w:val="center"/>
          </w:tcPr>
          <w:p w14:paraId="2CA4463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72C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68BCF34">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2BD5991E">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9D418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5F02D397">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6D157C7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0.48</w:t>
            </w:r>
          </w:p>
        </w:tc>
        <w:tc>
          <w:tcPr>
            <w:tcW w:w="541" w:type="pct"/>
            <w:tcBorders>
              <w:tl2br w:val="nil"/>
              <w:tr2bl w:val="nil"/>
            </w:tcBorders>
            <w:vAlign w:val="center"/>
          </w:tcPr>
          <w:p w14:paraId="6B7BCC1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26C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0358ECF">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448AA687">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7538339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0F2FAA2B">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08BEC54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0.45</w:t>
            </w:r>
          </w:p>
        </w:tc>
        <w:tc>
          <w:tcPr>
            <w:tcW w:w="541" w:type="pct"/>
            <w:tcBorders>
              <w:tl2br w:val="nil"/>
              <w:tr2bl w:val="nil"/>
            </w:tcBorders>
            <w:vAlign w:val="center"/>
          </w:tcPr>
          <w:p w14:paraId="58466B8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0C44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09D0D235">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1270CC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2024.05.03</w:t>
            </w:r>
          </w:p>
        </w:tc>
        <w:tc>
          <w:tcPr>
            <w:tcW w:w="752" w:type="pct"/>
            <w:tcBorders>
              <w:tl2br w:val="nil"/>
              <w:tr2bl w:val="nil"/>
            </w:tcBorders>
            <w:vAlign w:val="center"/>
          </w:tcPr>
          <w:p w14:paraId="12055A4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0.13</w:t>
            </w:r>
          </w:p>
        </w:tc>
        <w:tc>
          <w:tcPr>
            <w:tcW w:w="756" w:type="pct"/>
            <w:tcBorders>
              <w:tl2br w:val="nil"/>
              <w:tr2bl w:val="nil"/>
            </w:tcBorders>
            <w:vAlign w:val="center"/>
          </w:tcPr>
          <w:p w14:paraId="62C15F62">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8CB535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0.47</w:t>
            </w:r>
          </w:p>
        </w:tc>
        <w:tc>
          <w:tcPr>
            <w:tcW w:w="541" w:type="pct"/>
            <w:tcBorders>
              <w:tl2br w:val="nil"/>
              <w:tr2bl w:val="nil"/>
            </w:tcBorders>
            <w:vAlign w:val="center"/>
          </w:tcPr>
          <w:p w14:paraId="5BEF4D9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4A80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8740DA3">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2DE1E9A7">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BE565D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0.13</w:t>
            </w:r>
          </w:p>
        </w:tc>
        <w:tc>
          <w:tcPr>
            <w:tcW w:w="756" w:type="pct"/>
            <w:tcBorders>
              <w:tl2br w:val="nil"/>
              <w:tr2bl w:val="nil"/>
            </w:tcBorders>
            <w:vAlign w:val="center"/>
          </w:tcPr>
          <w:p w14:paraId="4E279B85">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11BD00F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0.45</w:t>
            </w:r>
          </w:p>
        </w:tc>
        <w:tc>
          <w:tcPr>
            <w:tcW w:w="541" w:type="pct"/>
            <w:tcBorders>
              <w:tl2br w:val="nil"/>
              <w:tr2bl w:val="nil"/>
            </w:tcBorders>
            <w:vAlign w:val="center"/>
          </w:tcPr>
          <w:p w14:paraId="3ADEE38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06A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F621634">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07BDEAC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041A7B4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0.13</w:t>
            </w:r>
          </w:p>
        </w:tc>
        <w:tc>
          <w:tcPr>
            <w:tcW w:w="756" w:type="pct"/>
            <w:tcBorders>
              <w:tl2br w:val="nil"/>
              <w:tr2bl w:val="nil"/>
            </w:tcBorders>
            <w:vAlign w:val="center"/>
          </w:tcPr>
          <w:p w14:paraId="0F5BCBFA">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35690C0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0.47</w:t>
            </w:r>
          </w:p>
        </w:tc>
        <w:tc>
          <w:tcPr>
            <w:tcW w:w="541" w:type="pct"/>
            <w:tcBorders>
              <w:tl2br w:val="nil"/>
              <w:tr2bl w:val="nil"/>
            </w:tcBorders>
            <w:vAlign w:val="center"/>
          </w:tcPr>
          <w:p w14:paraId="59E12E1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5C0E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5EE0A45">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78C6158">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566CC0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0.12</w:t>
            </w:r>
          </w:p>
        </w:tc>
        <w:tc>
          <w:tcPr>
            <w:tcW w:w="756" w:type="pct"/>
            <w:tcBorders>
              <w:tl2br w:val="nil"/>
              <w:tr2bl w:val="nil"/>
            </w:tcBorders>
            <w:vAlign w:val="center"/>
          </w:tcPr>
          <w:p w14:paraId="1F3997FA">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1955CA0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0.53</w:t>
            </w:r>
          </w:p>
        </w:tc>
        <w:tc>
          <w:tcPr>
            <w:tcW w:w="541" w:type="pct"/>
            <w:tcBorders>
              <w:tl2br w:val="nil"/>
              <w:tr2bl w:val="nil"/>
            </w:tcBorders>
            <w:vAlign w:val="center"/>
          </w:tcPr>
          <w:p w14:paraId="49F4F04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2AB1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22AA9509">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6892394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2024.05.04</w:t>
            </w:r>
          </w:p>
        </w:tc>
        <w:tc>
          <w:tcPr>
            <w:tcW w:w="752" w:type="pct"/>
            <w:tcBorders>
              <w:tl2br w:val="nil"/>
              <w:tr2bl w:val="nil"/>
            </w:tcBorders>
            <w:vAlign w:val="center"/>
          </w:tcPr>
          <w:p w14:paraId="235B189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34239C68">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65AB563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0.76</w:t>
            </w:r>
          </w:p>
        </w:tc>
        <w:tc>
          <w:tcPr>
            <w:tcW w:w="541" w:type="pct"/>
            <w:tcBorders>
              <w:tl2br w:val="nil"/>
              <w:tr2bl w:val="nil"/>
            </w:tcBorders>
            <w:vAlign w:val="center"/>
          </w:tcPr>
          <w:p w14:paraId="21FB3B2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68B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04C6106C">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68517AE9">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6EF3342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0.09</w:t>
            </w:r>
          </w:p>
        </w:tc>
        <w:tc>
          <w:tcPr>
            <w:tcW w:w="756" w:type="pct"/>
            <w:tcBorders>
              <w:tl2br w:val="nil"/>
              <w:tr2bl w:val="nil"/>
            </w:tcBorders>
            <w:vAlign w:val="center"/>
          </w:tcPr>
          <w:p w14:paraId="40DB5E54">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53F78AE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0.70</w:t>
            </w:r>
          </w:p>
        </w:tc>
        <w:tc>
          <w:tcPr>
            <w:tcW w:w="541" w:type="pct"/>
            <w:tcBorders>
              <w:tl2br w:val="nil"/>
              <w:tr2bl w:val="nil"/>
            </w:tcBorders>
            <w:vAlign w:val="center"/>
          </w:tcPr>
          <w:p w14:paraId="4B20E9E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293D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0B441EFE">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7BB8E6FB">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5B14342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0.10</w:t>
            </w:r>
          </w:p>
        </w:tc>
        <w:tc>
          <w:tcPr>
            <w:tcW w:w="756" w:type="pct"/>
            <w:tcBorders>
              <w:tl2br w:val="nil"/>
              <w:tr2bl w:val="nil"/>
            </w:tcBorders>
            <w:vAlign w:val="center"/>
          </w:tcPr>
          <w:p w14:paraId="353E95DD">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21348E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0.78</w:t>
            </w:r>
          </w:p>
        </w:tc>
        <w:tc>
          <w:tcPr>
            <w:tcW w:w="541" w:type="pct"/>
            <w:tcBorders>
              <w:tl2br w:val="nil"/>
              <w:tr2bl w:val="nil"/>
            </w:tcBorders>
            <w:vAlign w:val="center"/>
          </w:tcPr>
          <w:p w14:paraId="6ACF5D3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072A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7281D0F">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8A10F6A">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5BD11E5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756" w:type="pct"/>
            <w:tcBorders>
              <w:tl2br w:val="nil"/>
              <w:tr2bl w:val="nil"/>
            </w:tcBorders>
            <w:vAlign w:val="center"/>
          </w:tcPr>
          <w:p w14:paraId="717EBB01">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736" w:type="pct"/>
            <w:tcBorders>
              <w:tl2br w:val="nil"/>
              <w:tr2bl w:val="nil"/>
            </w:tcBorders>
            <w:vAlign w:val="center"/>
          </w:tcPr>
          <w:p w14:paraId="247780D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0.69</w:t>
            </w:r>
          </w:p>
        </w:tc>
        <w:tc>
          <w:tcPr>
            <w:tcW w:w="541" w:type="pct"/>
            <w:tcBorders>
              <w:tl2br w:val="nil"/>
              <w:tr2bl w:val="nil"/>
            </w:tcBorders>
            <w:vAlign w:val="center"/>
          </w:tcPr>
          <w:p w14:paraId="50B314B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1C2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restart"/>
            <w:tcBorders>
              <w:tl2br w:val="nil"/>
              <w:tr2bl w:val="nil"/>
            </w:tcBorders>
            <w:vAlign w:val="center"/>
          </w:tcPr>
          <w:p w14:paraId="50B1C85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厂区内（引用）</w:t>
            </w:r>
          </w:p>
        </w:tc>
        <w:tc>
          <w:tcPr>
            <w:tcW w:w="1188" w:type="pct"/>
            <w:vMerge w:val="restart"/>
            <w:tcBorders>
              <w:tl2br w:val="nil"/>
              <w:tr2bl w:val="nil"/>
            </w:tcBorders>
            <w:vAlign w:val="center"/>
          </w:tcPr>
          <w:p w14:paraId="310207A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2025.07.07</w:t>
            </w:r>
          </w:p>
        </w:tc>
        <w:tc>
          <w:tcPr>
            <w:tcW w:w="752" w:type="pct"/>
            <w:tcBorders>
              <w:tl2br w:val="nil"/>
              <w:tr2bl w:val="nil"/>
            </w:tcBorders>
            <w:vAlign w:val="center"/>
          </w:tcPr>
          <w:p w14:paraId="2B0576E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5A1F88C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298468C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601D850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0.039</w:t>
            </w:r>
          </w:p>
        </w:tc>
      </w:tr>
      <w:tr w14:paraId="172A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E5535F5">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074AEE1D">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7E7CD0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5502082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7B72D52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3B50683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0.024</w:t>
            </w:r>
          </w:p>
        </w:tc>
      </w:tr>
      <w:tr w14:paraId="6F9C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FA60B7A">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27316BB1">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41EFEAC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56BBAF8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076D3C9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3A2F280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0.028</w:t>
            </w:r>
          </w:p>
        </w:tc>
      </w:tr>
      <w:tr w14:paraId="40BB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D099CFF">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393B59E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4F359F6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5FB6FD9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41E42D0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5BDE4F8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0.040</w:t>
            </w:r>
          </w:p>
        </w:tc>
      </w:tr>
      <w:tr w14:paraId="68DA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F8CD365">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2903353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2025.07.08</w:t>
            </w:r>
          </w:p>
        </w:tc>
        <w:tc>
          <w:tcPr>
            <w:tcW w:w="752" w:type="pct"/>
            <w:tcBorders>
              <w:tl2br w:val="nil"/>
              <w:tr2bl w:val="nil"/>
            </w:tcBorders>
            <w:vAlign w:val="center"/>
          </w:tcPr>
          <w:p w14:paraId="06D9377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33E9837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42949EE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725AB7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0.030</w:t>
            </w:r>
          </w:p>
        </w:tc>
      </w:tr>
      <w:tr w14:paraId="661D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02625AB4">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67C88F37">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5BF2D38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78B1734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382E598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3C60CC3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0.055</w:t>
            </w:r>
          </w:p>
        </w:tc>
      </w:tr>
      <w:tr w14:paraId="31A1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6F30191">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649EF4D3">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4DC5E12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6A5B69B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2AACC43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36A3CCA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0.044</w:t>
            </w:r>
          </w:p>
        </w:tc>
      </w:tr>
      <w:tr w14:paraId="4D09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0CE87718">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1DD26899">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14B6D13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04637F0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2A00F2C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7339595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0.024</w:t>
            </w:r>
          </w:p>
        </w:tc>
      </w:tr>
      <w:tr w14:paraId="618B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647AE4FF">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4EBCD7E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2025.07.09</w:t>
            </w:r>
          </w:p>
        </w:tc>
        <w:tc>
          <w:tcPr>
            <w:tcW w:w="752" w:type="pct"/>
            <w:tcBorders>
              <w:tl2br w:val="nil"/>
              <w:tr2bl w:val="nil"/>
            </w:tcBorders>
            <w:vAlign w:val="center"/>
          </w:tcPr>
          <w:p w14:paraId="4584938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3935A9A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368674D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4649E87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0.049</w:t>
            </w:r>
          </w:p>
        </w:tc>
      </w:tr>
      <w:tr w14:paraId="586B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3EAC0F5E">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FE2BC00">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EC4323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7C3ED30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055F1A0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2389CD1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0.046</w:t>
            </w:r>
          </w:p>
        </w:tc>
      </w:tr>
      <w:tr w14:paraId="1DA0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D4F5AFA">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4655397C">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10128AD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316E7B8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12BB9E5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03AF7B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0.034</w:t>
            </w:r>
          </w:p>
        </w:tc>
      </w:tr>
      <w:tr w14:paraId="6055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6DDCA1E7">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70A15A3B">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44A3B08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3136E26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20612B4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4314C45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0.026</w:t>
            </w:r>
          </w:p>
        </w:tc>
      </w:tr>
      <w:tr w14:paraId="14CC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570403D">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16FCF65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2025.07.10</w:t>
            </w:r>
          </w:p>
        </w:tc>
        <w:tc>
          <w:tcPr>
            <w:tcW w:w="752" w:type="pct"/>
            <w:tcBorders>
              <w:tl2br w:val="nil"/>
              <w:tr2bl w:val="nil"/>
            </w:tcBorders>
            <w:vAlign w:val="center"/>
          </w:tcPr>
          <w:p w14:paraId="5D770A3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7089F1C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790A9A3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7A943AA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0.049</w:t>
            </w:r>
          </w:p>
        </w:tc>
      </w:tr>
      <w:tr w14:paraId="2A82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902F18B">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0847B62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301DC2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47E0920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17661B7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6212035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0.045</w:t>
            </w:r>
          </w:p>
        </w:tc>
      </w:tr>
      <w:tr w14:paraId="2F83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6578FFFD">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36696C03">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1A6463E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15ACC58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32AE6AD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5DEE9C9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0.043</w:t>
            </w:r>
          </w:p>
        </w:tc>
      </w:tr>
      <w:tr w14:paraId="55B2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9A1FAD1">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2D347714">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E651C0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257AD57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145CAAE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56D77AD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0.043</w:t>
            </w:r>
          </w:p>
        </w:tc>
      </w:tr>
      <w:tr w14:paraId="05C6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FB4E2D0">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626D832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2025.07.11</w:t>
            </w:r>
          </w:p>
        </w:tc>
        <w:tc>
          <w:tcPr>
            <w:tcW w:w="752" w:type="pct"/>
            <w:tcBorders>
              <w:tl2br w:val="nil"/>
              <w:tr2bl w:val="nil"/>
            </w:tcBorders>
            <w:vAlign w:val="center"/>
          </w:tcPr>
          <w:p w14:paraId="4A5AE73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6717FCE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103A53D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63DB122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0.060</w:t>
            </w:r>
          </w:p>
        </w:tc>
      </w:tr>
      <w:tr w14:paraId="7C63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654EAB9">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796EE912">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E7BAC3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0842078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106E0FD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770D936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0.056</w:t>
            </w:r>
          </w:p>
        </w:tc>
      </w:tr>
      <w:tr w14:paraId="4FA5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A6E4589">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00C12121">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05F2EDE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6D93632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79ECA6B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2D682EB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0.055</w:t>
            </w:r>
          </w:p>
        </w:tc>
      </w:tr>
      <w:tr w14:paraId="26B3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B308FAB">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6B5F9F0E">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6E760D8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6EFB1A0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6E5E594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0A48284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0.055</w:t>
            </w:r>
          </w:p>
        </w:tc>
      </w:tr>
      <w:tr w14:paraId="7766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D2A7148">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31A6770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2025.07.12</w:t>
            </w:r>
          </w:p>
        </w:tc>
        <w:tc>
          <w:tcPr>
            <w:tcW w:w="752" w:type="pct"/>
            <w:tcBorders>
              <w:tl2br w:val="nil"/>
              <w:tr2bl w:val="nil"/>
            </w:tcBorders>
            <w:vAlign w:val="center"/>
          </w:tcPr>
          <w:p w14:paraId="162259A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15B1DFB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117A146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536F50C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0.025</w:t>
            </w:r>
          </w:p>
        </w:tc>
      </w:tr>
      <w:tr w14:paraId="529C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40EE72DC">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649F8E20">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610F27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77702EE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321E0C6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5C41754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0.026</w:t>
            </w:r>
          </w:p>
        </w:tc>
      </w:tr>
      <w:tr w14:paraId="004B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13FA5F28">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6014057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0C04457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4692CCA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5633D8B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1DD3DF8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0.028</w:t>
            </w:r>
          </w:p>
        </w:tc>
      </w:tr>
      <w:tr w14:paraId="07E3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F270EA0">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004ACA6F">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65177F6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637243C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2FCB535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4470925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0.025</w:t>
            </w:r>
          </w:p>
        </w:tc>
      </w:tr>
      <w:tr w14:paraId="72F7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562092DB">
            <w:pPr>
              <w:widowControl/>
              <w:adjustRightInd w:val="0"/>
              <w:snapToGrid w:val="0"/>
              <w:jc w:val="center"/>
              <w:rPr>
                <w:snapToGrid w:val="0"/>
                <w:color w:val="auto"/>
                <w:kern w:val="0"/>
                <w:szCs w:val="21"/>
                <w:highlight w:val="none"/>
              </w:rPr>
            </w:pPr>
          </w:p>
        </w:tc>
        <w:tc>
          <w:tcPr>
            <w:tcW w:w="1188" w:type="pct"/>
            <w:vMerge w:val="restart"/>
            <w:tcBorders>
              <w:tl2br w:val="nil"/>
              <w:tr2bl w:val="nil"/>
            </w:tcBorders>
            <w:vAlign w:val="center"/>
          </w:tcPr>
          <w:p w14:paraId="1707FA0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2025.07.13</w:t>
            </w:r>
          </w:p>
        </w:tc>
        <w:tc>
          <w:tcPr>
            <w:tcW w:w="752" w:type="pct"/>
            <w:tcBorders>
              <w:tl2br w:val="nil"/>
              <w:tr2bl w:val="nil"/>
            </w:tcBorders>
            <w:vAlign w:val="center"/>
          </w:tcPr>
          <w:p w14:paraId="002D2CD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1CF0D36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5003A2B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3BDCE49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0.027</w:t>
            </w:r>
          </w:p>
        </w:tc>
      </w:tr>
      <w:tr w14:paraId="7385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CB3EEB0">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9985515">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FBC360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0699D86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6343166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4FF5841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0.024</w:t>
            </w:r>
          </w:p>
        </w:tc>
      </w:tr>
      <w:tr w14:paraId="502D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7730009F">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45CF7D62">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302D2FC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75C5D1F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36DBC6B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6683BDB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0.021</w:t>
            </w:r>
          </w:p>
        </w:tc>
      </w:tr>
      <w:tr w14:paraId="60FF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0" w:type="dxa"/>
            <w:bottom w:w="15" w:type="dxa"/>
            <w:right w:w="0" w:type="dxa"/>
          </w:tblCellMar>
        </w:tblPrEx>
        <w:trPr>
          <w:trHeight w:val="312" w:hRule="atLeast"/>
          <w:jc w:val="center"/>
        </w:trPr>
        <w:tc>
          <w:tcPr>
            <w:tcW w:w="1023" w:type="pct"/>
            <w:vMerge w:val="continue"/>
            <w:tcBorders>
              <w:tl2br w:val="nil"/>
              <w:tr2bl w:val="nil"/>
            </w:tcBorders>
            <w:vAlign w:val="center"/>
          </w:tcPr>
          <w:p w14:paraId="20362FAA">
            <w:pPr>
              <w:widowControl/>
              <w:adjustRightInd w:val="0"/>
              <w:snapToGrid w:val="0"/>
              <w:jc w:val="center"/>
              <w:rPr>
                <w:snapToGrid w:val="0"/>
                <w:color w:val="auto"/>
                <w:kern w:val="0"/>
                <w:szCs w:val="21"/>
                <w:highlight w:val="none"/>
              </w:rPr>
            </w:pPr>
          </w:p>
        </w:tc>
        <w:tc>
          <w:tcPr>
            <w:tcW w:w="1188" w:type="pct"/>
            <w:vMerge w:val="continue"/>
            <w:tcBorders>
              <w:tl2br w:val="nil"/>
              <w:tr2bl w:val="nil"/>
            </w:tcBorders>
            <w:vAlign w:val="center"/>
          </w:tcPr>
          <w:p w14:paraId="5A1F2DB7">
            <w:pPr>
              <w:widowControl/>
              <w:adjustRightInd w:val="0"/>
              <w:snapToGrid w:val="0"/>
              <w:jc w:val="center"/>
              <w:rPr>
                <w:snapToGrid w:val="0"/>
                <w:color w:val="auto"/>
                <w:kern w:val="0"/>
                <w:szCs w:val="21"/>
                <w:highlight w:val="none"/>
              </w:rPr>
            </w:pPr>
          </w:p>
        </w:tc>
        <w:tc>
          <w:tcPr>
            <w:tcW w:w="752" w:type="pct"/>
            <w:tcBorders>
              <w:tl2br w:val="nil"/>
              <w:tr2bl w:val="nil"/>
            </w:tcBorders>
            <w:vAlign w:val="center"/>
          </w:tcPr>
          <w:p w14:paraId="215F023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56" w:type="pct"/>
            <w:tcBorders>
              <w:tl2br w:val="nil"/>
              <w:tr2bl w:val="nil"/>
            </w:tcBorders>
            <w:vAlign w:val="center"/>
          </w:tcPr>
          <w:p w14:paraId="5B6C2D6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36" w:type="pct"/>
            <w:tcBorders>
              <w:tl2br w:val="nil"/>
              <w:tr2bl w:val="nil"/>
            </w:tcBorders>
            <w:vAlign w:val="center"/>
          </w:tcPr>
          <w:p w14:paraId="657286F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41" w:type="pct"/>
            <w:tcBorders>
              <w:tl2br w:val="nil"/>
              <w:tr2bl w:val="nil"/>
            </w:tcBorders>
            <w:vAlign w:val="center"/>
          </w:tcPr>
          <w:p w14:paraId="0D4C75C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0.022</w:t>
            </w:r>
          </w:p>
        </w:tc>
      </w:tr>
    </w:tbl>
    <w:p w14:paraId="01D62179">
      <w:pPr>
        <w:pStyle w:val="412"/>
        <w:tabs>
          <w:tab w:val="left" w:pos="0"/>
          <w:tab w:val="clear" w:pos="6840"/>
        </w:tabs>
        <w:topLinePunct w:val="0"/>
        <w:adjustRightInd w:val="0"/>
        <w:spacing w:before="120"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p>
    <w:p w14:paraId="79B3E218">
      <w:pPr>
        <w:pStyle w:val="412"/>
        <w:tabs>
          <w:tab w:val="left" w:pos="0"/>
          <w:tab w:val="clear" w:pos="6840"/>
        </w:tabs>
        <w:topLinePunct w:val="0"/>
        <w:adjustRightInd w:val="0"/>
        <w:spacing w:before="120"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p>
    <w:p w14:paraId="54B19FE7">
      <w:pPr>
        <w:pStyle w:val="412"/>
        <w:tabs>
          <w:tab w:val="left" w:pos="0"/>
          <w:tab w:val="clear" w:pos="6840"/>
        </w:tabs>
        <w:topLinePunct w:val="0"/>
        <w:adjustRightInd w:val="0"/>
        <w:spacing w:before="120"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p>
    <w:p w14:paraId="7870EC2B">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160" w:lineRule="exact"/>
        <w:ind w:left="0" w:firstLine="0" w:firstLineChars="0"/>
        <w:textAlignment w:val="center"/>
        <w:rPr>
          <w:rFonts w:ascii="Times New Roman" w:hAnsi="Times New Roman" w:cs="Times New Roman"/>
          <w:snapToGrid w:val="0"/>
          <w:color w:val="auto"/>
          <w:kern w:val="0"/>
          <w:sz w:val="21"/>
          <w:szCs w:val="21"/>
          <w:highlight w:val="none"/>
        </w:rPr>
      </w:pPr>
    </w:p>
    <w:p w14:paraId="51C392BA">
      <w:pPr>
        <w:keepNext w:val="0"/>
        <w:keepLines w:val="0"/>
        <w:pageBreakBefore w:val="0"/>
        <w:widowControl w:val="0"/>
        <w:kinsoku/>
        <w:wordWrap/>
        <w:overflowPunct/>
        <w:topLinePunct w:val="0"/>
        <w:autoSpaceDE/>
        <w:autoSpaceDN/>
        <w:bidi w:val="0"/>
        <w:adjustRightInd/>
        <w:snapToGrid/>
        <w:spacing w:line="120" w:lineRule="exact"/>
        <w:textAlignment w:val="auto"/>
        <w:rPr>
          <w:color w:val="auto"/>
          <w:highlight w:val="none"/>
        </w:rPr>
      </w:pPr>
    </w:p>
    <w:p w14:paraId="2549C82B">
      <w:pPr>
        <w:pStyle w:val="412"/>
        <w:tabs>
          <w:tab w:val="left" w:pos="0"/>
          <w:tab w:val="clear" w:pos="6840"/>
        </w:tabs>
        <w:topLinePunct w:val="0"/>
        <w:adjustRightInd w:val="0"/>
        <w:spacing w:before="120"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7</w:t>
      </w:r>
      <w:r>
        <w:rPr>
          <w:rFonts w:hint="eastAsia" w:ascii="Times New Roman" w:hAnsi="Times New Roman" w:cs="Times New Roman"/>
          <w:snapToGrid w:val="0"/>
          <w:color w:val="auto"/>
          <w:kern w:val="0"/>
          <w:sz w:val="21"/>
          <w:szCs w:val="21"/>
          <w:highlight w:val="none"/>
        </w:rPr>
        <w:t xml:space="preserve"> 其他污染物</w:t>
      </w:r>
      <w:r>
        <w:rPr>
          <w:rFonts w:hint="eastAsia" w:ascii="Times New Roman" w:hAnsi="Times New Roman" w:cs="Times New Roman"/>
          <w:snapToGrid w:val="0"/>
          <w:color w:val="auto"/>
          <w:kern w:val="0"/>
          <w:sz w:val="21"/>
          <w:szCs w:val="21"/>
          <w:highlight w:val="none"/>
          <w:lang w:val="en-US" w:eastAsia="zh-CN"/>
        </w:rPr>
        <w:t>现状</w:t>
      </w:r>
      <w:r>
        <w:rPr>
          <w:rFonts w:hint="eastAsia" w:ascii="Times New Roman" w:hAnsi="Times New Roman" w:cs="Times New Roman"/>
          <w:snapToGrid w:val="0"/>
          <w:color w:val="auto"/>
          <w:kern w:val="0"/>
          <w:sz w:val="21"/>
          <w:szCs w:val="21"/>
          <w:highlight w:val="none"/>
        </w:rPr>
        <w:t>评价结果表</w:t>
      </w:r>
    </w:p>
    <w:tbl>
      <w:tblPr>
        <w:tblStyle w:val="56"/>
        <w:tblW w:w="5000"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1384"/>
        <w:gridCol w:w="1108"/>
        <w:gridCol w:w="1389"/>
        <w:gridCol w:w="1139"/>
        <w:gridCol w:w="795"/>
        <w:gridCol w:w="724"/>
      </w:tblGrid>
      <w:tr w14:paraId="69C8ACD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125" w:type="pct"/>
            <w:tcBorders>
              <w:tl2br w:val="nil"/>
              <w:tr2bl w:val="nil"/>
            </w:tcBorders>
            <w:vAlign w:val="center"/>
          </w:tcPr>
          <w:p w14:paraId="43A32D18">
            <w:pPr>
              <w:widowControl/>
              <w:adjustRightInd w:val="0"/>
              <w:snapToGrid w:val="0"/>
              <w:jc w:val="center"/>
              <w:rPr>
                <w:snapToGrid w:val="0"/>
                <w:color w:val="auto"/>
                <w:kern w:val="0"/>
                <w:szCs w:val="21"/>
                <w:highlight w:val="none"/>
              </w:rPr>
            </w:pPr>
            <w:r>
              <w:rPr>
                <w:snapToGrid w:val="0"/>
                <w:color w:val="auto"/>
                <w:kern w:val="0"/>
                <w:szCs w:val="21"/>
                <w:highlight w:val="none"/>
              </w:rPr>
              <w:t>监测点</w:t>
            </w:r>
          </w:p>
        </w:tc>
        <w:tc>
          <w:tcPr>
            <w:tcW w:w="820" w:type="pct"/>
            <w:tcBorders>
              <w:tl2br w:val="nil"/>
              <w:tr2bl w:val="nil"/>
            </w:tcBorders>
            <w:vAlign w:val="center"/>
          </w:tcPr>
          <w:p w14:paraId="4E1E0E0F">
            <w:pPr>
              <w:widowControl/>
              <w:adjustRightInd w:val="0"/>
              <w:snapToGrid w:val="0"/>
              <w:jc w:val="center"/>
              <w:rPr>
                <w:snapToGrid w:val="0"/>
                <w:color w:val="auto"/>
                <w:kern w:val="0"/>
                <w:szCs w:val="21"/>
                <w:highlight w:val="none"/>
              </w:rPr>
            </w:pPr>
            <w:r>
              <w:rPr>
                <w:snapToGrid w:val="0"/>
                <w:color w:val="auto"/>
                <w:kern w:val="0"/>
                <w:szCs w:val="21"/>
                <w:highlight w:val="none"/>
              </w:rPr>
              <w:t>污染物</w:t>
            </w:r>
          </w:p>
        </w:tc>
        <w:tc>
          <w:tcPr>
            <w:tcW w:w="657" w:type="pct"/>
            <w:tcBorders>
              <w:tl2br w:val="nil"/>
              <w:tr2bl w:val="nil"/>
            </w:tcBorders>
            <w:vAlign w:val="center"/>
          </w:tcPr>
          <w:p w14:paraId="0E1275B4">
            <w:pPr>
              <w:widowControl/>
              <w:adjustRightInd w:val="0"/>
              <w:snapToGrid w:val="0"/>
              <w:jc w:val="center"/>
              <w:rPr>
                <w:snapToGrid w:val="0"/>
                <w:color w:val="auto"/>
                <w:kern w:val="0"/>
                <w:szCs w:val="21"/>
                <w:highlight w:val="none"/>
              </w:rPr>
            </w:pPr>
            <w:r>
              <w:rPr>
                <w:snapToGrid w:val="0"/>
                <w:color w:val="auto"/>
                <w:kern w:val="0"/>
                <w:szCs w:val="21"/>
                <w:highlight w:val="none"/>
              </w:rPr>
              <w:t>评价标准</w:t>
            </w:r>
          </w:p>
          <w:p w14:paraId="15A1F1D9">
            <w:pPr>
              <w:widowControl/>
              <w:adjustRightInd w:val="0"/>
              <w:snapToGrid w:val="0"/>
              <w:jc w:val="center"/>
              <w:rPr>
                <w:snapToGrid w:val="0"/>
                <w:color w:val="auto"/>
                <w:kern w:val="0"/>
                <w:szCs w:val="21"/>
                <w:highlight w:val="none"/>
              </w:rPr>
            </w:pPr>
            <w:r>
              <w:rPr>
                <w:snapToGrid w:val="0"/>
                <w:color w:val="auto"/>
                <w:kern w:val="0"/>
                <w:szCs w:val="21"/>
                <w:highlight w:val="none"/>
              </w:rPr>
              <w:t>（mg/m</w:t>
            </w:r>
            <w:r>
              <w:rPr>
                <w:snapToGrid w:val="0"/>
                <w:color w:val="auto"/>
                <w:kern w:val="0"/>
                <w:szCs w:val="21"/>
                <w:highlight w:val="none"/>
                <w:vertAlign w:val="superscript"/>
              </w:rPr>
              <w:t>3</w:t>
            </w:r>
            <w:r>
              <w:rPr>
                <w:snapToGrid w:val="0"/>
                <w:color w:val="auto"/>
                <w:kern w:val="0"/>
                <w:szCs w:val="21"/>
                <w:highlight w:val="none"/>
              </w:rPr>
              <w:t>）</w:t>
            </w:r>
          </w:p>
        </w:tc>
        <w:tc>
          <w:tcPr>
            <w:tcW w:w="823" w:type="pct"/>
            <w:tcBorders>
              <w:tl2br w:val="nil"/>
              <w:tr2bl w:val="nil"/>
            </w:tcBorders>
            <w:vAlign w:val="center"/>
          </w:tcPr>
          <w:p w14:paraId="7E02719D">
            <w:pPr>
              <w:widowControl/>
              <w:adjustRightInd w:val="0"/>
              <w:snapToGrid w:val="0"/>
              <w:jc w:val="center"/>
              <w:rPr>
                <w:snapToGrid w:val="0"/>
                <w:color w:val="auto"/>
                <w:kern w:val="0"/>
                <w:szCs w:val="21"/>
                <w:highlight w:val="none"/>
              </w:rPr>
            </w:pPr>
            <w:r>
              <w:rPr>
                <w:snapToGrid w:val="0"/>
                <w:color w:val="auto"/>
                <w:kern w:val="0"/>
                <w:szCs w:val="21"/>
                <w:highlight w:val="none"/>
              </w:rPr>
              <w:t>监测浓度范围（mg/m</w:t>
            </w:r>
            <w:r>
              <w:rPr>
                <w:snapToGrid w:val="0"/>
                <w:color w:val="auto"/>
                <w:kern w:val="0"/>
                <w:szCs w:val="21"/>
                <w:highlight w:val="none"/>
                <w:vertAlign w:val="superscript"/>
              </w:rPr>
              <w:t>3</w:t>
            </w:r>
            <w:r>
              <w:rPr>
                <w:snapToGrid w:val="0"/>
                <w:color w:val="auto"/>
                <w:kern w:val="0"/>
                <w:szCs w:val="21"/>
                <w:highlight w:val="none"/>
              </w:rPr>
              <w:t>）</w:t>
            </w:r>
          </w:p>
        </w:tc>
        <w:tc>
          <w:tcPr>
            <w:tcW w:w="675" w:type="pct"/>
            <w:tcBorders>
              <w:tl2br w:val="nil"/>
              <w:tr2bl w:val="nil"/>
            </w:tcBorders>
            <w:vAlign w:val="center"/>
          </w:tcPr>
          <w:p w14:paraId="3EDE29A5">
            <w:pPr>
              <w:widowControl/>
              <w:adjustRightInd w:val="0"/>
              <w:snapToGrid w:val="0"/>
              <w:jc w:val="center"/>
              <w:rPr>
                <w:snapToGrid w:val="0"/>
                <w:color w:val="auto"/>
                <w:kern w:val="0"/>
                <w:szCs w:val="21"/>
                <w:highlight w:val="none"/>
              </w:rPr>
            </w:pPr>
            <w:r>
              <w:rPr>
                <w:snapToGrid w:val="0"/>
                <w:color w:val="auto"/>
                <w:kern w:val="0"/>
                <w:szCs w:val="21"/>
                <w:highlight w:val="none"/>
              </w:rPr>
              <w:t>最大浓度占标率/%</w:t>
            </w:r>
          </w:p>
        </w:tc>
        <w:tc>
          <w:tcPr>
            <w:tcW w:w="471" w:type="pct"/>
            <w:tcBorders>
              <w:tl2br w:val="nil"/>
              <w:tr2bl w:val="nil"/>
            </w:tcBorders>
            <w:vAlign w:val="center"/>
          </w:tcPr>
          <w:p w14:paraId="2674FC75">
            <w:pPr>
              <w:widowControl/>
              <w:adjustRightInd w:val="0"/>
              <w:snapToGrid w:val="0"/>
              <w:jc w:val="center"/>
              <w:rPr>
                <w:snapToGrid w:val="0"/>
                <w:color w:val="auto"/>
                <w:kern w:val="0"/>
                <w:szCs w:val="21"/>
                <w:highlight w:val="none"/>
              </w:rPr>
            </w:pPr>
            <w:r>
              <w:rPr>
                <w:snapToGrid w:val="0"/>
                <w:color w:val="auto"/>
                <w:kern w:val="0"/>
                <w:szCs w:val="21"/>
                <w:highlight w:val="none"/>
              </w:rPr>
              <w:t>超标率/%</w:t>
            </w:r>
          </w:p>
        </w:tc>
        <w:tc>
          <w:tcPr>
            <w:tcW w:w="426" w:type="pct"/>
            <w:tcBorders>
              <w:tl2br w:val="nil"/>
              <w:tr2bl w:val="nil"/>
            </w:tcBorders>
            <w:vAlign w:val="center"/>
          </w:tcPr>
          <w:p w14:paraId="799584D5">
            <w:pPr>
              <w:widowControl/>
              <w:adjustRightInd w:val="0"/>
              <w:snapToGrid w:val="0"/>
              <w:jc w:val="center"/>
              <w:rPr>
                <w:snapToGrid w:val="0"/>
                <w:color w:val="auto"/>
                <w:kern w:val="0"/>
                <w:szCs w:val="21"/>
                <w:highlight w:val="none"/>
              </w:rPr>
            </w:pPr>
            <w:r>
              <w:rPr>
                <w:snapToGrid w:val="0"/>
                <w:color w:val="auto"/>
                <w:kern w:val="0"/>
                <w:szCs w:val="21"/>
                <w:highlight w:val="none"/>
              </w:rPr>
              <w:t>达标</w:t>
            </w:r>
          </w:p>
          <w:p w14:paraId="364095B1">
            <w:pPr>
              <w:widowControl/>
              <w:adjustRightInd w:val="0"/>
              <w:snapToGrid w:val="0"/>
              <w:jc w:val="center"/>
              <w:rPr>
                <w:snapToGrid w:val="0"/>
                <w:color w:val="auto"/>
                <w:kern w:val="0"/>
                <w:szCs w:val="21"/>
                <w:highlight w:val="none"/>
              </w:rPr>
            </w:pPr>
            <w:r>
              <w:rPr>
                <w:snapToGrid w:val="0"/>
                <w:color w:val="auto"/>
                <w:kern w:val="0"/>
                <w:szCs w:val="21"/>
                <w:highlight w:val="none"/>
              </w:rPr>
              <w:t>情况</w:t>
            </w:r>
          </w:p>
        </w:tc>
      </w:tr>
      <w:tr w14:paraId="58EDD34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5" w:type="pct"/>
            <w:vMerge w:val="restart"/>
            <w:tcBorders>
              <w:tl2br w:val="nil"/>
              <w:tr2bl w:val="nil"/>
            </w:tcBorders>
            <w:vAlign w:val="center"/>
          </w:tcPr>
          <w:p w14:paraId="5A545B3A">
            <w:pPr>
              <w:widowControl/>
              <w:adjustRightInd w:val="0"/>
              <w:spacing w:line="360" w:lineRule="exact"/>
              <w:jc w:val="center"/>
              <w:rPr>
                <w:snapToGrid w:val="0"/>
                <w:color w:val="auto"/>
                <w:kern w:val="0"/>
                <w:szCs w:val="21"/>
                <w:highlight w:val="none"/>
              </w:rPr>
            </w:pPr>
            <w:r>
              <w:rPr>
                <w:rFonts w:hint="eastAsia"/>
                <w:color w:val="auto"/>
                <w:highlight w:val="none"/>
              </w:rPr>
              <w:t>项目东南侧1.5km处</w:t>
            </w:r>
            <w:r>
              <w:rPr>
                <w:color w:val="auto"/>
                <w:highlight w:val="none"/>
              </w:rPr>
              <w:t>园区南侧</w:t>
            </w:r>
            <w:r>
              <w:rPr>
                <w:rFonts w:hint="eastAsia"/>
                <w:color w:val="auto"/>
                <w:highlight w:val="none"/>
              </w:rPr>
              <w:t>监测点</w:t>
            </w:r>
          </w:p>
        </w:tc>
        <w:tc>
          <w:tcPr>
            <w:tcW w:w="820" w:type="pct"/>
            <w:tcBorders>
              <w:tl2br w:val="nil"/>
              <w:tr2bl w:val="nil"/>
            </w:tcBorders>
            <w:vAlign w:val="center"/>
          </w:tcPr>
          <w:p w14:paraId="58427673">
            <w:pPr>
              <w:widowControl/>
              <w:adjustRightInd w:val="0"/>
              <w:snapToGrid w:val="0"/>
              <w:jc w:val="center"/>
              <w:rPr>
                <w:snapToGrid w:val="0"/>
                <w:color w:val="auto"/>
                <w:kern w:val="0"/>
                <w:szCs w:val="21"/>
                <w:highlight w:val="none"/>
              </w:rPr>
            </w:pPr>
            <w:r>
              <w:rPr>
                <w:snapToGrid w:val="0"/>
                <w:color w:val="auto"/>
                <w:kern w:val="0"/>
                <w:szCs w:val="21"/>
                <w:highlight w:val="none"/>
              </w:rPr>
              <w:t>氨</w:t>
            </w:r>
          </w:p>
        </w:tc>
        <w:tc>
          <w:tcPr>
            <w:tcW w:w="657" w:type="pct"/>
            <w:tcBorders>
              <w:tl2br w:val="nil"/>
              <w:tr2bl w:val="nil"/>
            </w:tcBorders>
            <w:vAlign w:val="center"/>
          </w:tcPr>
          <w:p w14:paraId="79C88B08">
            <w:pPr>
              <w:widowControl/>
              <w:adjustRightInd w:val="0"/>
              <w:snapToGrid w:val="0"/>
              <w:jc w:val="center"/>
              <w:rPr>
                <w:snapToGrid w:val="0"/>
                <w:color w:val="auto"/>
                <w:kern w:val="0"/>
                <w:szCs w:val="21"/>
                <w:highlight w:val="none"/>
              </w:rPr>
            </w:pPr>
            <w:r>
              <w:rPr>
                <w:snapToGrid w:val="0"/>
                <w:color w:val="auto"/>
                <w:kern w:val="0"/>
                <w:szCs w:val="21"/>
                <w:highlight w:val="none"/>
              </w:rPr>
              <w:t>0.2</w:t>
            </w:r>
          </w:p>
        </w:tc>
        <w:tc>
          <w:tcPr>
            <w:tcW w:w="823" w:type="pct"/>
            <w:tcBorders>
              <w:tl2br w:val="nil"/>
              <w:tr2bl w:val="nil"/>
            </w:tcBorders>
            <w:vAlign w:val="center"/>
          </w:tcPr>
          <w:p w14:paraId="78899ADD">
            <w:pPr>
              <w:widowControl/>
              <w:adjustRightInd w:val="0"/>
              <w:snapToGrid w:val="0"/>
              <w:jc w:val="center"/>
              <w:rPr>
                <w:snapToGrid w:val="0"/>
                <w:color w:val="auto"/>
                <w:kern w:val="0"/>
                <w:szCs w:val="21"/>
                <w:highlight w:val="none"/>
              </w:rPr>
            </w:pPr>
            <w:r>
              <w:rPr>
                <w:snapToGrid w:val="0"/>
                <w:color w:val="auto"/>
                <w:kern w:val="0"/>
                <w:szCs w:val="21"/>
                <w:highlight w:val="none"/>
              </w:rPr>
              <w:t>0.09-0.13</w:t>
            </w:r>
          </w:p>
        </w:tc>
        <w:tc>
          <w:tcPr>
            <w:tcW w:w="675" w:type="pct"/>
            <w:tcBorders>
              <w:tl2br w:val="nil"/>
              <w:tr2bl w:val="nil"/>
            </w:tcBorders>
            <w:vAlign w:val="center"/>
          </w:tcPr>
          <w:p w14:paraId="6B190DB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5.0</w:t>
            </w:r>
          </w:p>
        </w:tc>
        <w:tc>
          <w:tcPr>
            <w:tcW w:w="471" w:type="pct"/>
            <w:tcBorders>
              <w:tl2br w:val="nil"/>
              <w:tr2bl w:val="nil"/>
            </w:tcBorders>
            <w:vAlign w:val="center"/>
          </w:tcPr>
          <w:p w14:paraId="1D1673DC">
            <w:pPr>
              <w:widowControl/>
              <w:adjustRightInd w:val="0"/>
              <w:snapToGrid w:val="0"/>
              <w:jc w:val="center"/>
              <w:rPr>
                <w:snapToGrid w:val="0"/>
                <w:color w:val="auto"/>
                <w:kern w:val="0"/>
                <w:szCs w:val="21"/>
                <w:highlight w:val="none"/>
              </w:rPr>
            </w:pPr>
            <w:r>
              <w:rPr>
                <w:snapToGrid w:val="0"/>
                <w:color w:val="auto"/>
                <w:kern w:val="0"/>
                <w:szCs w:val="21"/>
                <w:highlight w:val="none"/>
              </w:rPr>
              <w:t>0</w:t>
            </w:r>
          </w:p>
        </w:tc>
        <w:tc>
          <w:tcPr>
            <w:tcW w:w="426" w:type="pct"/>
            <w:tcBorders>
              <w:tl2br w:val="nil"/>
              <w:tr2bl w:val="nil"/>
            </w:tcBorders>
            <w:vAlign w:val="center"/>
          </w:tcPr>
          <w:p w14:paraId="16540830">
            <w:pPr>
              <w:widowControl/>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4321181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125" w:type="pct"/>
            <w:vMerge w:val="continue"/>
            <w:tcBorders>
              <w:tl2br w:val="nil"/>
              <w:tr2bl w:val="nil"/>
            </w:tcBorders>
            <w:vAlign w:val="center"/>
          </w:tcPr>
          <w:p w14:paraId="1918F64E">
            <w:pPr>
              <w:widowControl/>
              <w:adjustRightInd w:val="0"/>
              <w:snapToGrid w:val="0"/>
              <w:jc w:val="center"/>
              <w:rPr>
                <w:snapToGrid w:val="0"/>
                <w:color w:val="auto"/>
                <w:kern w:val="0"/>
                <w:szCs w:val="21"/>
                <w:highlight w:val="none"/>
              </w:rPr>
            </w:pPr>
          </w:p>
        </w:tc>
        <w:tc>
          <w:tcPr>
            <w:tcW w:w="820" w:type="pct"/>
            <w:tcBorders>
              <w:tl2br w:val="nil"/>
              <w:tr2bl w:val="nil"/>
            </w:tcBorders>
            <w:vAlign w:val="center"/>
          </w:tcPr>
          <w:p w14:paraId="12134DEC">
            <w:pPr>
              <w:widowControl/>
              <w:adjustRightInd w:val="0"/>
              <w:snapToGrid w:val="0"/>
              <w:jc w:val="center"/>
              <w:rPr>
                <w:snapToGrid w:val="0"/>
                <w:color w:val="auto"/>
                <w:kern w:val="0"/>
                <w:szCs w:val="21"/>
                <w:highlight w:val="none"/>
              </w:rPr>
            </w:pPr>
            <w:r>
              <w:rPr>
                <w:snapToGrid w:val="0"/>
                <w:color w:val="auto"/>
                <w:kern w:val="0"/>
                <w:szCs w:val="21"/>
                <w:highlight w:val="none"/>
              </w:rPr>
              <w:t>硫化氢</w:t>
            </w:r>
          </w:p>
        </w:tc>
        <w:tc>
          <w:tcPr>
            <w:tcW w:w="657" w:type="pct"/>
            <w:tcBorders>
              <w:tl2br w:val="nil"/>
              <w:tr2bl w:val="nil"/>
            </w:tcBorders>
            <w:vAlign w:val="center"/>
          </w:tcPr>
          <w:p w14:paraId="6DEBD56F">
            <w:pPr>
              <w:widowControl/>
              <w:adjustRightInd w:val="0"/>
              <w:snapToGrid w:val="0"/>
              <w:jc w:val="center"/>
              <w:rPr>
                <w:snapToGrid w:val="0"/>
                <w:color w:val="auto"/>
                <w:kern w:val="0"/>
                <w:szCs w:val="21"/>
                <w:highlight w:val="none"/>
              </w:rPr>
            </w:pPr>
            <w:r>
              <w:rPr>
                <w:snapToGrid w:val="0"/>
                <w:color w:val="auto"/>
                <w:kern w:val="0"/>
                <w:szCs w:val="21"/>
                <w:highlight w:val="none"/>
              </w:rPr>
              <w:t>0.01</w:t>
            </w:r>
          </w:p>
        </w:tc>
        <w:tc>
          <w:tcPr>
            <w:tcW w:w="823" w:type="pct"/>
            <w:tcBorders>
              <w:tl2br w:val="nil"/>
              <w:tr2bl w:val="nil"/>
            </w:tcBorders>
            <w:vAlign w:val="center"/>
          </w:tcPr>
          <w:p w14:paraId="3CDB2F39">
            <w:pPr>
              <w:widowControl/>
              <w:adjustRightInd w:val="0"/>
              <w:snapToGrid w:val="0"/>
              <w:jc w:val="center"/>
              <w:rPr>
                <w:snapToGrid w:val="0"/>
                <w:color w:val="auto"/>
                <w:kern w:val="0"/>
                <w:szCs w:val="21"/>
                <w:highlight w:val="none"/>
              </w:rPr>
            </w:pPr>
            <w:r>
              <w:rPr>
                <w:snapToGrid w:val="0"/>
                <w:color w:val="auto"/>
                <w:kern w:val="0"/>
                <w:szCs w:val="21"/>
                <w:highlight w:val="none"/>
              </w:rPr>
              <w:t>＜0.005</w:t>
            </w:r>
          </w:p>
        </w:tc>
        <w:tc>
          <w:tcPr>
            <w:tcW w:w="675" w:type="pct"/>
            <w:tcBorders>
              <w:tl2br w:val="nil"/>
              <w:tr2bl w:val="nil"/>
            </w:tcBorders>
            <w:vAlign w:val="center"/>
          </w:tcPr>
          <w:p w14:paraId="422F87FA">
            <w:pPr>
              <w:widowControl/>
              <w:adjustRightInd w:val="0"/>
              <w:snapToGrid w:val="0"/>
              <w:jc w:val="center"/>
              <w:rPr>
                <w:snapToGrid w:val="0"/>
                <w:color w:val="auto"/>
                <w:kern w:val="0"/>
                <w:szCs w:val="21"/>
                <w:highlight w:val="none"/>
              </w:rPr>
            </w:pPr>
            <w:r>
              <w:rPr>
                <w:snapToGrid w:val="0"/>
                <w:color w:val="auto"/>
                <w:kern w:val="0"/>
                <w:szCs w:val="21"/>
                <w:highlight w:val="none"/>
              </w:rPr>
              <w:t>25.0</w:t>
            </w:r>
          </w:p>
        </w:tc>
        <w:tc>
          <w:tcPr>
            <w:tcW w:w="471" w:type="pct"/>
            <w:tcBorders>
              <w:tl2br w:val="nil"/>
              <w:tr2bl w:val="nil"/>
            </w:tcBorders>
            <w:vAlign w:val="center"/>
          </w:tcPr>
          <w:p w14:paraId="43D3E400">
            <w:pPr>
              <w:widowControl/>
              <w:adjustRightInd w:val="0"/>
              <w:snapToGrid w:val="0"/>
              <w:jc w:val="center"/>
              <w:rPr>
                <w:snapToGrid w:val="0"/>
                <w:color w:val="auto"/>
                <w:kern w:val="0"/>
                <w:szCs w:val="21"/>
                <w:highlight w:val="none"/>
              </w:rPr>
            </w:pPr>
            <w:r>
              <w:rPr>
                <w:snapToGrid w:val="0"/>
                <w:color w:val="auto"/>
                <w:kern w:val="0"/>
                <w:szCs w:val="21"/>
                <w:highlight w:val="none"/>
              </w:rPr>
              <w:t>0</w:t>
            </w:r>
          </w:p>
        </w:tc>
        <w:tc>
          <w:tcPr>
            <w:tcW w:w="426" w:type="pct"/>
            <w:tcBorders>
              <w:tl2br w:val="nil"/>
              <w:tr2bl w:val="nil"/>
            </w:tcBorders>
            <w:vAlign w:val="center"/>
          </w:tcPr>
          <w:p w14:paraId="13ABC2B8">
            <w:pPr>
              <w:widowControl/>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1607E1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5" w:type="pct"/>
            <w:vMerge w:val="continue"/>
            <w:tcBorders>
              <w:tl2br w:val="nil"/>
              <w:tr2bl w:val="nil"/>
            </w:tcBorders>
            <w:vAlign w:val="center"/>
          </w:tcPr>
          <w:p w14:paraId="7406F8CB">
            <w:pPr>
              <w:widowControl/>
              <w:adjustRightInd w:val="0"/>
              <w:snapToGrid w:val="0"/>
              <w:jc w:val="center"/>
              <w:rPr>
                <w:snapToGrid w:val="0"/>
                <w:color w:val="auto"/>
                <w:kern w:val="0"/>
                <w:szCs w:val="21"/>
                <w:highlight w:val="none"/>
              </w:rPr>
            </w:pPr>
          </w:p>
        </w:tc>
        <w:tc>
          <w:tcPr>
            <w:tcW w:w="820" w:type="pct"/>
            <w:tcBorders>
              <w:tl2br w:val="nil"/>
              <w:tr2bl w:val="nil"/>
            </w:tcBorders>
            <w:vAlign w:val="center"/>
          </w:tcPr>
          <w:p w14:paraId="517ADE95">
            <w:pPr>
              <w:widowControl/>
              <w:adjustRightInd w:val="0"/>
              <w:snapToGrid w:val="0"/>
              <w:jc w:val="center"/>
              <w:rPr>
                <w:snapToGrid w:val="0"/>
                <w:color w:val="auto"/>
                <w:kern w:val="0"/>
                <w:szCs w:val="21"/>
                <w:highlight w:val="none"/>
              </w:rPr>
            </w:pPr>
            <w:r>
              <w:rPr>
                <w:snapToGrid w:val="0"/>
                <w:color w:val="auto"/>
                <w:kern w:val="0"/>
                <w:szCs w:val="21"/>
                <w:highlight w:val="none"/>
              </w:rPr>
              <w:t>非甲烷总烃</w:t>
            </w:r>
          </w:p>
        </w:tc>
        <w:tc>
          <w:tcPr>
            <w:tcW w:w="657" w:type="pct"/>
            <w:tcBorders>
              <w:tl2br w:val="nil"/>
              <w:tr2bl w:val="nil"/>
            </w:tcBorders>
            <w:vAlign w:val="center"/>
          </w:tcPr>
          <w:p w14:paraId="3CAB2A90">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823" w:type="pct"/>
            <w:tcBorders>
              <w:tl2br w:val="nil"/>
              <w:tr2bl w:val="nil"/>
            </w:tcBorders>
            <w:vAlign w:val="center"/>
          </w:tcPr>
          <w:p w14:paraId="4F8C9C91">
            <w:pPr>
              <w:widowControl/>
              <w:adjustRightInd w:val="0"/>
              <w:snapToGrid w:val="0"/>
              <w:jc w:val="center"/>
              <w:rPr>
                <w:snapToGrid w:val="0"/>
                <w:color w:val="auto"/>
                <w:kern w:val="0"/>
                <w:szCs w:val="21"/>
                <w:highlight w:val="none"/>
              </w:rPr>
            </w:pPr>
            <w:r>
              <w:rPr>
                <w:snapToGrid w:val="0"/>
                <w:color w:val="auto"/>
                <w:kern w:val="0"/>
                <w:szCs w:val="21"/>
                <w:highlight w:val="none"/>
              </w:rPr>
              <w:t>0.22-0.78</w:t>
            </w:r>
          </w:p>
        </w:tc>
        <w:tc>
          <w:tcPr>
            <w:tcW w:w="675" w:type="pct"/>
            <w:tcBorders>
              <w:tl2br w:val="nil"/>
              <w:tr2bl w:val="nil"/>
            </w:tcBorders>
            <w:vAlign w:val="center"/>
          </w:tcPr>
          <w:p w14:paraId="3F5D7FAA">
            <w:pPr>
              <w:widowControl/>
              <w:adjustRightInd w:val="0"/>
              <w:snapToGrid w:val="0"/>
              <w:jc w:val="center"/>
              <w:rPr>
                <w:snapToGrid w:val="0"/>
                <w:color w:val="auto"/>
                <w:kern w:val="0"/>
                <w:szCs w:val="21"/>
                <w:highlight w:val="none"/>
              </w:rPr>
            </w:pPr>
            <w:r>
              <w:rPr>
                <w:snapToGrid w:val="0"/>
                <w:color w:val="auto"/>
                <w:kern w:val="0"/>
                <w:szCs w:val="21"/>
                <w:highlight w:val="none"/>
              </w:rPr>
              <w:t>39.0</w:t>
            </w:r>
          </w:p>
        </w:tc>
        <w:tc>
          <w:tcPr>
            <w:tcW w:w="471" w:type="pct"/>
            <w:tcBorders>
              <w:tl2br w:val="nil"/>
              <w:tr2bl w:val="nil"/>
            </w:tcBorders>
            <w:vAlign w:val="center"/>
          </w:tcPr>
          <w:p w14:paraId="7571DC77">
            <w:pPr>
              <w:widowControl/>
              <w:adjustRightInd w:val="0"/>
              <w:snapToGrid w:val="0"/>
              <w:jc w:val="center"/>
              <w:rPr>
                <w:snapToGrid w:val="0"/>
                <w:color w:val="auto"/>
                <w:kern w:val="0"/>
                <w:szCs w:val="21"/>
                <w:highlight w:val="none"/>
              </w:rPr>
            </w:pPr>
            <w:r>
              <w:rPr>
                <w:snapToGrid w:val="0"/>
                <w:color w:val="auto"/>
                <w:kern w:val="0"/>
                <w:szCs w:val="21"/>
                <w:highlight w:val="none"/>
              </w:rPr>
              <w:t>0</w:t>
            </w:r>
          </w:p>
        </w:tc>
        <w:tc>
          <w:tcPr>
            <w:tcW w:w="426" w:type="pct"/>
            <w:tcBorders>
              <w:tl2br w:val="nil"/>
              <w:tr2bl w:val="nil"/>
            </w:tcBorders>
            <w:vAlign w:val="center"/>
          </w:tcPr>
          <w:p w14:paraId="5E16E993">
            <w:pPr>
              <w:widowControl/>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05BC2B4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125" w:type="pct"/>
            <w:tcBorders>
              <w:tl2br w:val="nil"/>
              <w:tr2bl w:val="nil"/>
            </w:tcBorders>
            <w:vAlign w:val="center"/>
          </w:tcPr>
          <w:p w14:paraId="0780FC91">
            <w:pPr>
              <w:keepNext w:val="0"/>
              <w:keepLines w:val="0"/>
              <w:pageBreakBefore w:val="0"/>
              <w:widowControl/>
              <w:kinsoku/>
              <w:wordWrap/>
              <w:overflowPunct/>
              <w:topLinePunct w:val="0"/>
              <w:autoSpaceDE/>
              <w:autoSpaceDN/>
              <w:bidi w:val="0"/>
              <w:adjustRightInd w:val="0"/>
              <w:snapToGrid/>
              <w:spacing w:line="360" w:lineRule="exact"/>
              <w:ind w:left="-105" w:leftChars="-50" w:right="-105" w:rightChars="-50"/>
              <w:jc w:val="center"/>
              <w:textAlignment w:val="auto"/>
              <w:rPr>
                <w:rFonts w:hint="eastAsia" w:eastAsia="宋体"/>
                <w:snapToGrid w:val="0"/>
                <w:color w:val="auto"/>
                <w:kern w:val="0"/>
                <w:szCs w:val="21"/>
                <w:highlight w:val="none"/>
                <w:lang w:val="en-US" w:eastAsia="zh-CN"/>
              </w:rPr>
            </w:pPr>
            <w:r>
              <w:rPr>
                <w:rFonts w:hint="eastAsia" w:eastAsiaTheme="minorEastAsia"/>
                <w:color w:val="auto"/>
                <w:spacing w:val="-6"/>
                <w:sz w:val="21"/>
                <w:szCs w:val="21"/>
                <w:highlight w:val="none"/>
              </w:rPr>
              <w:t>项目区东北侧0.6km凯赛厂区内监测点</w:t>
            </w:r>
          </w:p>
        </w:tc>
        <w:tc>
          <w:tcPr>
            <w:tcW w:w="820" w:type="pct"/>
            <w:tcBorders>
              <w:tl2br w:val="nil"/>
              <w:tr2bl w:val="nil"/>
            </w:tcBorders>
            <w:vAlign w:val="center"/>
          </w:tcPr>
          <w:p w14:paraId="621D500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硫酸</w:t>
            </w:r>
          </w:p>
        </w:tc>
        <w:tc>
          <w:tcPr>
            <w:tcW w:w="657" w:type="pct"/>
            <w:tcBorders>
              <w:tl2br w:val="nil"/>
              <w:tr2bl w:val="nil"/>
            </w:tcBorders>
            <w:vAlign w:val="center"/>
          </w:tcPr>
          <w:p w14:paraId="15B5AD9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w:t>
            </w:r>
          </w:p>
        </w:tc>
        <w:tc>
          <w:tcPr>
            <w:tcW w:w="823" w:type="pct"/>
            <w:tcBorders>
              <w:tl2br w:val="nil"/>
              <w:tr2bl w:val="nil"/>
            </w:tcBorders>
            <w:vAlign w:val="center"/>
          </w:tcPr>
          <w:p w14:paraId="098C122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0.021-0.060</w:t>
            </w:r>
          </w:p>
        </w:tc>
        <w:tc>
          <w:tcPr>
            <w:tcW w:w="675" w:type="pct"/>
            <w:tcBorders>
              <w:tl2br w:val="nil"/>
              <w:tr2bl w:val="nil"/>
            </w:tcBorders>
            <w:vAlign w:val="center"/>
          </w:tcPr>
          <w:p w14:paraId="0F72E0E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20.0</w:t>
            </w:r>
          </w:p>
        </w:tc>
        <w:tc>
          <w:tcPr>
            <w:tcW w:w="471" w:type="pct"/>
            <w:tcBorders>
              <w:tl2br w:val="nil"/>
              <w:tr2bl w:val="nil"/>
            </w:tcBorders>
            <w:vAlign w:val="center"/>
          </w:tcPr>
          <w:p w14:paraId="25922377">
            <w:pPr>
              <w:widowControl/>
              <w:adjustRightInd w:val="0"/>
              <w:snapToGrid w:val="0"/>
              <w:jc w:val="center"/>
              <w:rPr>
                <w:snapToGrid w:val="0"/>
                <w:color w:val="auto"/>
                <w:kern w:val="0"/>
                <w:szCs w:val="21"/>
                <w:highlight w:val="none"/>
              </w:rPr>
            </w:pPr>
            <w:r>
              <w:rPr>
                <w:snapToGrid w:val="0"/>
                <w:color w:val="auto"/>
                <w:kern w:val="0"/>
                <w:szCs w:val="21"/>
                <w:highlight w:val="none"/>
              </w:rPr>
              <w:t>0</w:t>
            </w:r>
          </w:p>
        </w:tc>
        <w:tc>
          <w:tcPr>
            <w:tcW w:w="426" w:type="pct"/>
            <w:tcBorders>
              <w:tl2br w:val="nil"/>
              <w:tr2bl w:val="nil"/>
            </w:tcBorders>
            <w:vAlign w:val="center"/>
          </w:tcPr>
          <w:p w14:paraId="44361032">
            <w:pPr>
              <w:widowControl/>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6C1B0FF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l2br w:val="nil"/>
              <w:tr2bl w:val="nil"/>
            </w:tcBorders>
            <w:vAlign w:val="center"/>
          </w:tcPr>
          <w:p w14:paraId="5F3912F2">
            <w:pPr>
              <w:widowControl/>
              <w:adjustRightInd w:val="0"/>
              <w:snapToGrid w:val="0"/>
              <w:jc w:val="left"/>
              <w:rPr>
                <w:snapToGrid w:val="0"/>
                <w:color w:val="auto"/>
                <w:kern w:val="0"/>
                <w:szCs w:val="21"/>
                <w:highlight w:val="none"/>
              </w:rPr>
            </w:pPr>
            <w:r>
              <w:rPr>
                <w:rFonts w:hint="eastAsia"/>
                <w:snapToGrid w:val="0"/>
                <w:color w:val="auto"/>
                <w:kern w:val="0"/>
                <w:szCs w:val="21"/>
                <w:highlight w:val="none"/>
              </w:rPr>
              <w:t>注：最大占标率中未检出项目污染物浓度按检出限一半计算</w:t>
            </w:r>
          </w:p>
        </w:tc>
      </w:tr>
    </w:tbl>
    <w:p w14:paraId="62512C81">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56" w:firstLineChars="200"/>
        <w:textAlignment w:val="auto"/>
        <w:rPr>
          <w:rFonts w:hint="eastAsia" w:ascii="Times New Roman" w:hAnsi="Times New Roman" w:cs="Times New Roman"/>
          <w:snapToGrid w:val="0"/>
          <w:color w:val="auto"/>
          <w:spacing w:val="0"/>
          <w:kern w:val="0"/>
          <w:szCs w:val="24"/>
          <w:highlight w:val="none"/>
        </w:rPr>
      </w:pPr>
      <w:r>
        <w:rPr>
          <w:rFonts w:hint="eastAsia"/>
          <w:color w:val="auto"/>
          <w:spacing w:val="-6"/>
          <w:kern w:val="0"/>
          <w:sz w:val="24"/>
          <w:highlight w:val="none"/>
          <w:lang w:val="en-US" w:eastAsia="zh-CN"/>
        </w:rPr>
        <w:t>由评价结果</w:t>
      </w:r>
      <w:r>
        <w:rPr>
          <w:color w:val="auto"/>
          <w:spacing w:val="-6"/>
          <w:kern w:val="0"/>
          <w:sz w:val="24"/>
          <w:highlight w:val="none"/>
        </w:rPr>
        <w:t>可知，</w:t>
      </w:r>
      <w:r>
        <w:rPr>
          <w:rFonts w:hint="eastAsia"/>
          <w:color w:val="auto"/>
          <w:spacing w:val="-6"/>
          <w:kern w:val="0"/>
          <w:sz w:val="24"/>
          <w:highlight w:val="none"/>
          <w:lang w:val="en-US" w:eastAsia="zh-CN"/>
        </w:rPr>
        <w:t>引用的现状监测数据中</w:t>
      </w:r>
      <w:r>
        <w:rPr>
          <w:color w:val="auto"/>
          <w:spacing w:val="-6"/>
          <w:kern w:val="0"/>
          <w:sz w:val="24"/>
          <w:highlight w:val="none"/>
        </w:rPr>
        <w:t>氨、硫化氢</w:t>
      </w:r>
      <w:r>
        <w:rPr>
          <w:rFonts w:hint="eastAsia"/>
          <w:color w:val="auto"/>
          <w:spacing w:val="-6"/>
          <w:kern w:val="0"/>
          <w:sz w:val="24"/>
          <w:highlight w:val="none"/>
        </w:rPr>
        <w:t>、硫酸</w:t>
      </w:r>
      <w:r>
        <w:rPr>
          <w:color w:val="auto"/>
          <w:spacing w:val="-6"/>
          <w:kern w:val="0"/>
          <w:sz w:val="24"/>
          <w:highlight w:val="none"/>
        </w:rPr>
        <w:t>满足《环境影响评价技术导则 大气环境》（HJ2.2-2018）中附录D</w:t>
      </w:r>
      <w:r>
        <w:rPr>
          <w:rFonts w:hint="eastAsia" w:ascii="Times New Roman" w:hAnsi="Times New Roman" w:eastAsia="宋体" w:cs="Times New Roman"/>
          <w:color w:val="auto"/>
          <w:spacing w:val="-6"/>
          <w:kern w:val="0"/>
          <w:sz w:val="24"/>
          <w:highlight w:val="none"/>
          <w:lang w:val="en-US" w:eastAsia="zh-CN"/>
        </w:rPr>
        <w:t>其他污染物空气质量浓度参考限值</w:t>
      </w:r>
      <w:r>
        <w:rPr>
          <w:rFonts w:ascii="Times New Roman" w:hAnsi="Times New Roman" w:eastAsia="宋体" w:cs="Times New Roman"/>
          <w:color w:val="auto"/>
          <w:spacing w:val="-6"/>
          <w:kern w:val="0"/>
          <w:sz w:val="24"/>
          <w:highlight w:val="none"/>
        </w:rPr>
        <w:t>要求；非甲烷总烃满足《大气污染物综合排放标准</w:t>
      </w:r>
      <w:r>
        <w:rPr>
          <w:color w:val="auto"/>
          <w:spacing w:val="-6"/>
          <w:kern w:val="0"/>
          <w:sz w:val="24"/>
          <w:highlight w:val="none"/>
        </w:rPr>
        <w:t>详解》</w:t>
      </w:r>
      <w:r>
        <w:rPr>
          <w:rFonts w:hint="eastAsia"/>
          <w:color w:val="auto"/>
          <w:spacing w:val="-6"/>
          <w:kern w:val="0"/>
          <w:sz w:val="24"/>
          <w:highlight w:val="none"/>
          <w:lang w:val="en-US" w:eastAsia="zh-CN"/>
        </w:rPr>
        <w:t>中</w:t>
      </w:r>
      <w:r>
        <w:rPr>
          <w:rFonts w:hint="eastAsia"/>
          <w:snapToGrid w:val="0"/>
          <w:color w:val="auto"/>
          <w:spacing w:val="-6"/>
          <w:kern w:val="0"/>
          <w:sz w:val="24"/>
          <w:highlight w:val="none"/>
        </w:rPr>
        <w:t>推荐值</w:t>
      </w:r>
      <w:r>
        <w:rPr>
          <w:color w:val="auto"/>
          <w:spacing w:val="-6"/>
          <w:kern w:val="0"/>
          <w:sz w:val="24"/>
          <w:highlight w:val="none"/>
        </w:rPr>
        <w:t>要求</w:t>
      </w:r>
      <w:r>
        <w:rPr>
          <w:rFonts w:hint="eastAsia"/>
          <w:color w:val="auto"/>
          <w:spacing w:val="-6"/>
          <w:kern w:val="0"/>
          <w:sz w:val="24"/>
          <w:highlight w:val="none"/>
        </w:rPr>
        <w:t>。</w:t>
      </w:r>
      <w:r>
        <w:rPr>
          <w:rFonts w:hint="eastAsia" w:ascii="Times New Roman" w:hAnsi="Times New Roman" w:cs="Times New Roman"/>
          <w:snapToGrid w:val="0"/>
          <w:color w:val="auto"/>
          <w:spacing w:val="0"/>
          <w:kern w:val="0"/>
          <w:szCs w:val="24"/>
          <w:highlight w:val="none"/>
        </w:rPr>
        <w:t>5.3.2地表水环境质量现状调查及评价</w:t>
      </w:r>
    </w:p>
    <w:p w14:paraId="39D57B6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snapToGrid w:val="0"/>
          <w:color w:val="auto"/>
          <w:kern w:val="0"/>
          <w:sz w:val="24"/>
          <w:highlight w:val="none"/>
          <w:lang w:val="en-US" w:eastAsia="zh-CN"/>
        </w:rPr>
        <w:t>排入</w:t>
      </w:r>
      <w:r>
        <w:rPr>
          <w:rFonts w:hint="eastAsia"/>
          <w:snapToGrid w:val="0"/>
          <w:color w:val="auto"/>
          <w:kern w:val="0"/>
          <w:sz w:val="24"/>
          <w:highlight w:val="none"/>
        </w:rPr>
        <w:t>西区污水处理厂</w:t>
      </w:r>
      <w:r>
        <w:rPr>
          <w:rFonts w:hint="eastAsia"/>
          <w:snapToGrid w:val="0"/>
          <w:color w:val="auto"/>
          <w:kern w:val="0"/>
          <w:sz w:val="24"/>
          <w:highlight w:val="none"/>
          <w:lang w:val="en-US" w:eastAsia="zh-CN"/>
        </w:rPr>
        <w:t>二</w:t>
      </w:r>
      <w:r>
        <w:rPr>
          <w:rFonts w:hint="eastAsia"/>
          <w:snapToGrid w:val="0"/>
          <w:color w:val="auto"/>
          <w:kern w:val="0"/>
          <w:sz w:val="24"/>
          <w:highlight w:val="none"/>
        </w:rPr>
        <w:t>期工程</w:t>
      </w:r>
      <w:r>
        <w:rPr>
          <w:rFonts w:hint="eastAsia"/>
          <w:snapToGrid w:val="0"/>
          <w:color w:val="auto"/>
          <w:kern w:val="0"/>
          <w:sz w:val="24"/>
          <w:highlight w:val="none"/>
          <w:lang w:val="en-US" w:eastAsia="zh-CN"/>
        </w:rPr>
        <w:t>处理</w:t>
      </w:r>
      <w:r>
        <w:rPr>
          <w:rFonts w:hint="eastAsia"/>
          <w:snapToGrid w:val="0"/>
          <w:color w:val="auto"/>
          <w:kern w:val="0"/>
          <w:sz w:val="24"/>
          <w:highlight w:val="none"/>
          <w:lang w:eastAsia="zh-CN"/>
        </w:rPr>
        <w:t>；</w:t>
      </w:r>
      <w:r>
        <w:rPr>
          <w:rFonts w:hint="eastAsia"/>
          <w:snapToGrid w:val="0"/>
          <w:color w:val="auto"/>
          <w:kern w:val="0"/>
          <w:sz w:val="24"/>
          <w:highlight w:val="none"/>
        </w:rPr>
        <w:t>循环水排污依托现有污水处理站中水段</w:t>
      </w:r>
      <w:r>
        <w:rPr>
          <w:rFonts w:hint="eastAsia"/>
          <w:snapToGrid w:val="0"/>
          <w:color w:val="auto"/>
          <w:kern w:val="0"/>
          <w:sz w:val="24"/>
          <w:highlight w:val="none"/>
          <w:lang w:val="en-US" w:eastAsia="zh-CN"/>
        </w:rPr>
        <w:t>处理；</w:t>
      </w:r>
      <w:r>
        <w:rPr>
          <w:rFonts w:hint="eastAsia"/>
          <w:snapToGrid w:val="0"/>
          <w:color w:val="auto"/>
          <w:kern w:val="0"/>
          <w:sz w:val="24"/>
          <w:highlight w:val="none"/>
        </w:rPr>
        <w:t>生活污水</w:t>
      </w:r>
      <w:r>
        <w:rPr>
          <w:rFonts w:hint="eastAsia"/>
          <w:snapToGrid w:val="0"/>
          <w:color w:val="auto"/>
          <w:kern w:val="0"/>
          <w:sz w:val="24"/>
          <w:highlight w:val="none"/>
          <w:lang w:eastAsia="zh-CN"/>
        </w:rPr>
        <w:t>、</w:t>
      </w:r>
      <w:r>
        <w:rPr>
          <w:rFonts w:hint="eastAsia"/>
          <w:snapToGrid w:val="0"/>
          <w:color w:val="auto"/>
          <w:kern w:val="0"/>
          <w:sz w:val="24"/>
          <w:highlight w:val="none"/>
        </w:rPr>
        <w:t>水洗塔定排和碱洗塔定排</w:t>
      </w:r>
      <w:r>
        <w:rPr>
          <w:rFonts w:hint="eastAsia"/>
          <w:snapToGrid w:val="0"/>
          <w:color w:val="auto"/>
          <w:kern w:val="0"/>
          <w:sz w:val="24"/>
          <w:highlight w:val="none"/>
          <w:lang w:val="en-US" w:eastAsia="zh-CN"/>
        </w:rPr>
        <w:t>依托现有污水处理站生化段处理后</w:t>
      </w:r>
      <w:r>
        <w:rPr>
          <w:rFonts w:hint="eastAsia"/>
          <w:snapToGrid w:val="0"/>
          <w:color w:val="auto"/>
          <w:kern w:val="0"/>
          <w:sz w:val="24"/>
          <w:highlight w:val="none"/>
        </w:rPr>
        <w:t>排入西区污水处理厂</w:t>
      </w:r>
      <w:r>
        <w:rPr>
          <w:rFonts w:hint="eastAsia"/>
          <w:snapToGrid w:val="0"/>
          <w:color w:val="auto"/>
          <w:kern w:val="0"/>
          <w:sz w:val="24"/>
          <w:highlight w:val="none"/>
          <w:lang w:val="en-US" w:eastAsia="zh-CN"/>
        </w:rPr>
        <w:t>一</w:t>
      </w:r>
      <w:r>
        <w:rPr>
          <w:rFonts w:hint="eastAsia"/>
          <w:snapToGrid w:val="0"/>
          <w:color w:val="auto"/>
          <w:kern w:val="0"/>
          <w:sz w:val="24"/>
          <w:highlight w:val="none"/>
        </w:rPr>
        <w:t>期</w:t>
      </w:r>
      <w:r>
        <w:rPr>
          <w:rFonts w:hint="eastAsia"/>
          <w:snapToGrid w:val="0"/>
          <w:color w:val="auto"/>
          <w:kern w:val="0"/>
          <w:sz w:val="24"/>
          <w:highlight w:val="none"/>
          <w:lang w:val="en-US" w:eastAsia="zh-CN"/>
        </w:rPr>
        <w:t>工程处理</w:t>
      </w:r>
      <w:r>
        <w:rPr>
          <w:rFonts w:hint="eastAsia"/>
          <w:snapToGrid w:val="0"/>
          <w:color w:val="auto"/>
          <w:kern w:val="0"/>
          <w:sz w:val="24"/>
          <w:highlight w:val="none"/>
        </w:rPr>
        <w:t>，与地表水体不发生水力联系，根据《环境影响评价技术导则 地表水环境》（HJ 2.3-2018），水污染影响型三级B评价，可不开展区域污染源调查，主要调查依托污水处理设施的处理能力、处理工艺、设计进水水质、处理后的废水稳定达标排放情况，本环评不对地表水环境进行</w:t>
      </w:r>
      <w:r>
        <w:rPr>
          <w:rFonts w:hint="eastAsia"/>
          <w:snapToGrid w:val="0"/>
          <w:color w:val="auto"/>
          <w:kern w:val="0"/>
          <w:sz w:val="24"/>
          <w:highlight w:val="none"/>
          <w:lang w:val="en-US" w:eastAsia="zh-CN"/>
        </w:rPr>
        <w:t>现状</w:t>
      </w:r>
      <w:r>
        <w:rPr>
          <w:rFonts w:hint="eastAsia"/>
          <w:snapToGrid w:val="0"/>
          <w:color w:val="auto"/>
          <w:kern w:val="0"/>
          <w:sz w:val="24"/>
          <w:highlight w:val="none"/>
        </w:rPr>
        <w:t>评价。</w:t>
      </w:r>
    </w:p>
    <w:p w14:paraId="6BFA376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5.3.3地下水环境质量现状调查及评价</w:t>
      </w:r>
    </w:p>
    <w:p w14:paraId="5DD62D5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5.3.3.1地下水监测点位</w:t>
      </w:r>
    </w:p>
    <w:p w14:paraId="5A2469B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spacing w:val="0"/>
          <w:kern w:val="0"/>
          <w:sz w:val="24"/>
          <w:szCs w:val="24"/>
          <w:highlight w:val="none"/>
          <w:shd w:val="clear" w:color="auto" w:fill="auto"/>
          <w:lang w:eastAsia="zh-CN"/>
        </w:rPr>
      </w:pPr>
      <w:r>
        <w:rPr>
          <w:rFonts w:ascii="Times New Roman" w:hAnsi="Times New Roman" w:eastAsia="宋体" w:cs="Times New Roman"/>
          <w:snapToGrid w:val="0"/>
          <w:color w:val="auto"/>
          <w:spacing w:val="0"/>
          <w:kern w:val="0"/>
          <w:sz w:val="24"/>
          <w:szCs w:val="24"/>
          <w:highlight w:val="none"/>
          <w:shd w:val="clear" w:color="auto" w:fill="auto"/>
        </w:rPr>
        <w:t>本项目地下水评价等级为二级，根据《环境影响评价技术导则</w:t>
      </w:r>
      <w:r>
        <w:rPr>
          <w:rFonts w:hint="eastAsia" w:ascii="Times New Roman" w:hAnsi="Times New Roman" w:eastAsia="宋体" w:cs="Times New Roman"/>
          <w:snapToGrid w:val="0"/>
          <w:color w:val="auto"/>
          <w:spacing w:val="0"/>
          <w:kern w:val="0"/>
          <w:sz w:val="24"/>
          <w:szCs w:val="24"/>
          <w:highlight w:val="none"/>
          <w:shd w:val="clear" w:color="auto" w:fill="auto"/>
          <w:lang w:val="en-US" w:eastAsia="zh-CN"/>
        </w:rPr>
        <w:t xml:space="preserve"> </w:t>
      </w:r>
      <w:r>
        <w:rPr>
          <w:rFonts w:ascii="Times New Roman" w:hAnsi="Times New Roman" w:eastAsia="宋体" w:cs="Times New Roman"/>
          <w:snapToGrid w:val="0"/>
          <w:color w:val="auto"/>
          <w:spacing w:val="0"/>
          <w:kern w:val="0"/>
          <w:sz w:val="24"/>
          <w:szCs w:val="24"/>
          <w:highlight w:val="none"/>
          <w:shd w:val="clear" w:color="auto" w:fill="auto"/>
        </w:rPr>
        <w:t>地下水环境》（HJ610-2016）要求，</w:t>
      </w:r>
      <w:r>
        <w:rPr>
          <w:rFonts w:hint="eastAsia" w:ascii="Times New Roman" w:hAnsi="Times New Roman" w:eastAsia="宋体" w:cs="Times New Roman"/>
          <w:snapToGrid w:val="0"/>
          <w:color w:val="auto"/>
          <w:spacing w:val="0"/>
          <w:kern w:val="0"/>
          <w:sz w:val="24"/>
          <w:szCs w:val="24"/>
          <w:highlight w:val="none"/>
          <w:shd w:val="clear" w:color="auto" w:fill="auto"/>
        </w:rPr>
        <w:t>二级评价项目潜水含水层的水质监测点应不少于5个，可能受建设项目影响且具有饮用水开发利用价值的含水层2</w:t>
      </w:r>
      <w:r>
        <w:rPr>
          <w:rFonts w:hint="eastAsia" w:ascii="Times New Roman" w:hAnsi="Times New Roman" w:eastAsia="宋体" w:cs="Times New Roman"/>
          <w:snapToGrid w:val="0"/>
          <w:color w:val="auto"/>
          <w:spacing w:val="0"/>
          <w:kern w:val="0"/>
          <w:sz w:val="24"/>
          <w:szCs w:val="24"/>
          <w:highlight w:val="none"/>
          <w:shd w:val="clear" w:color="auto" w:fill="auto"/>
          <w:lang w:val="en-US" w:eastAsia="zh-CN"/>
        </w:rPr>
        <w:t>~</w:t>
      </w:r>
      <w:r>
        <w:rPr>
          <w:rFonts w:hint="eastAsia" w:ascii="Times New Roman" w:hAnsi="Times New Roman" w:eastAsia="宋体" w:cs="Times New Roman"/>
          <w:snapToGrid w:val="0"/>
          <w:color w:val="auto"/>
          <w:spacing w:val="0"/>
          <w:kern w:val="0"/>
          <w:sz w:val="24"/>
          <w:szCs w:val="24"/>
          <w:highlight w:val="none"/>
          <w:shd w:val="clear" w:color="auto" w:fill="auto"/>
        </w:rPr>
        <w:t>4个。原则上建设项目场地上游和两侧的地下水水质监测点均不得少于1个，建设项目场地及其下游影响区的地下水水质监测点不得少于2个</w:t>
      </w:r>
      <w:r>
        <w:rPr>
          <w:rFonts w:ascii="Times New Roman" w:hAnsi="Times New Roman" w:eastAsia="宋体" w:cs="Times New Roman"/>
          <w:snapToGrid w:val="0"/>
          <w:color w:val="auto"/>
          <w:spacing w:val="0"/>
          <w:kern w:val="0"/>
          <w:sz w:val="24"/>
          <w:szCs w:val="24"/>
          <w:highlight w:val="none"/>
          <w:shd w:val="clear" w:color="auto" w:fill="auto"/>
        </w:rPr>
        <w:t>。</w:t>
      </w:r>
      <w:r>
        <w:rPr>
          <w:rFonts w:hint="eastAsia" w:ascii="Times New Roman" w:hAnsi="Times New Roman" w:eastAsia="宋体" w:cs="Times New Roman"/>
          <w:snapToGrid w:val="0"/>
          <w:color w:val="auto"/>
          <w:spacing w:val="0"/>
          <w:kern w:val="0"/>
          <w:sz w:val="24"/>
          <w:szCs w:val="24"/>
          <w:highlight w:val="none"/>
          <w:shd w:val="clear" w:color="auto" w:fill="auto"/>
        </w:rPr>
        <w:t>评价工作等级为二级的建设项目，若掌握近3年内至少一个连续水文年的枯、丰水期地下水水位动态监测资料，评价期可不再开展地下水水位现状监测</w:t>
      </w:r>
      <w:r>
        <w:rPr>
          <w:rFonts w:hint="eastAsia" w:ascii="Times New Roman" w:hAnsi="Times New Roman" w:eastAsia="宋体" w:cs="Times New Roman"/>
          <w:snapToGrid w:val="0"/>
          <w:color w:val="auto"/>
          <w:spacing w:val="0"/>
          <w:kern w:val="0"/>
          <w:sz w:val="24"/>
          <w:szCs w:val="24"/>
          <w:highlight w:val="none"/>
          <w:shd w:val="clear" w:color="auto" w:fill="auto"/>
          <w:lang w:eastAsia="zh-CN"/>
        </w:rPr>
        <w:t>；</w:t>
      </w:r>
      <w:r>
        <w:rPr>
          <w:rFonts w:hint="eastAsia" w:ascii="Times New Roman" w:hAnsi="Times New Roman" w:eastAsia="宋体" w:cs="Times New Roman"/>
          <w:snapToGrid w:val="0"/>
          <w:color w:val="auto"/>
          <w:spacing w:val="0"/>
          <w:kern w:val="0"/>
          <w:sz w:val="24"/>
          <w:szCs w:val="24"/>
          <w:highlight w:val="none"/>
          <w:shd w:val="clear" w:color="auto" w:fill="auto"/>
        </w:rPr>
        <w:t>若无上述资料，应依据表4开展水位监测</w:t>
      </w:r>
      <w:r>
        <w:rPr>
          <w:rFonts w:hint="eastAsia" w:ascii="Times New Roman" w:hAnsi="Times New Roman" w:eastAsia="宋体" w:cs="Times New Roman"/>
          <w:snapToGrid w:val="0"/>
          <w:color w:val="auto"/>
          <w:spacing w:val="0"/>
          <w:kern w:val="0"/>
          <w:sz w:val="24"/>
          <w:szCs w:val="24"/>
          <w:highlight w:val="none"/>
          <w:shd w:val="clear" w:color="auto" w:fill="auto"/>
          <w:lang w:eastAsia="zh-CN"/>
        </w:rPr>
        <w:t>。</w:t>
      </w:r>
    </w:p>
    <w:p w14:paraId="391E95A9">
      <w:pPr>
        <w:widowControl/>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根据《乌苏市西区污水厂建设工程地下水环境影响评价专项水文地质勘察报告》：勘察区位于山前洪积砾质平原与冲洪积细土平原的分界处，勘察区南部潜水埋深一般为50-100m，本项目位于乌苏市西区</w:t>
      </w:r>
      <w:r>
        <w:rPr>
          <w:rFonts w:hint="eastAsia"/>
          <w:snapToGrid w:val="0"/>
          <w:color w:val="auto"/>
          <w:kern w:val="0"/>
          <w:sz w:val="24"/>
          <w:highlight w:val="none"/>
          <w:lang w:eastAsia="zh-CN"/>
        </w:rPr>
        <w:t>污水处理厂</w:t>
      </w:r>
      <w:r>
        <w:rPr>
          <w:rFonts w:hint="eastAsia"/>
          <w:snapToGrid w:val="0"/>
          <w:color w:val="auto"/>
          <w:kern w:val="0"/>
          <w:sz w:val="24"/>
          <w:highlight w:val="none"/>
        </w:rPr>
        <w:t>勘察区南部，根据调查的5眼水位井，水位埋深均超过100m。因此</w:t>
      </w:r>
      <w:r>
        <w:rPr>
          <w:rFonts w:hint="eastAsia"/>
          <w:snapToGrid w:val="0"/>
          <w:color w:val="auto"/>
          <w:kern w:val="0"/>
          <w:sz w:val="24"/>
          <w:highlight w:val="none"/>
          <w:lang w:eastAsia="zh-CN"/>
        </w:rPr>
        <w:t>，</w:t>
      </w:r>
      <w:r>
        <w:rPr>
          <w:rFonts w:hint="eastAsia"/>
          <w:snapToGrid w:val="0"/>
          <w:color w:val="auto"/>
          <w:kern w:val="0"/>
          <w:sz w:val="24"/>
          <w:highlight w:val="none"/>
        </w:rPr>
        <w:t>本次地下水监测</w:t>
      </w:r>
      <w:r>
        <w:rPr>
          <w:snapToGrid w:val="0"/>
          <w:color w:val="auto"/>
          <w:kern w:val="0"/>
          <w:sz w:val="24"/>
          <w:highlight w:val="none"/>
        </w:rPr>
        <w:t>引用《乌苏市化工产业集中区总体规划</w:t>
      </w:r>
      <w:r>
        <w:rPr>
          <w:rFonts w:hint="eastAsia"/>
          <w:snapToGrid w:val="0"/>
          <w:color w:val="auto"/>
          <w:kern w:val="0"/>
          <w:sz w:val="24"/>
          <w:highlight w:val="none"/>
          <w:lang w:eastAsia="zh-CN"/>
        </w:rPr>
        <w:t>（</w:t>
      </w:r>
      <w:r>
        <w:rPr>
          <w:snapToGrid w:val="0"/>
          <w:color w:val="auto"/>
          <w:kern w:val="0"/>
          <w:sz w:val="24"/>
          <w:highlight w:val="none"/>
        </w:rPr>
        <w:t>2024-2035年</w:t>
      </w:r>
      <w:r>
        <w:rPr>
          <w:rFonts w:hint="eastAsia"/>
          <w:snapToGrid w:val="0"/>
          <w:color w:val="auto"/>
          <w:kern w:val="0"/>
          <w:sz w:val="24"/>
          <w:highlight w:val="none"/>
          <w:lang w:eastAsia="zh-CN"/>
        </w:rPr>
        <w:t>）</w:t>
      </w:r>
      <w:r>
        <w:rPr>
          <w:snapToGrid w:val="0"/>
          <w:color w:val="auto"/>
          <w:kern w:val="0"/>
          <w:sz w:val="24"/>
          <w:highlight w:val="none"/>
        </w:rPr>
        <w:t>环境影响报告书》</w:t>
      </w:r>
      <w:r>
        <w:rPr>
          <w:rFonts w:hint="eastAsia"/>
          <w:snapToGrid w:val="0"/>
          <w:color w:val="auto"/>
          <w:kern w:val="0"/>
          <w:sz w:val="24"/>
          <w:highlight w:val="none"/>
        </w:rPr>
        <w:t>地下水</w:t>
      </w:r>
      <w:r>
        <w:rPr>
          <w:snapToGrid w:val="0"/>
          <w:color w:val="auto"/>
          <w:kern w:val="0"/>
          <w:sz w:val="24"/>
          <w:highlight w:val="none"/>
        </w:rPr>
        <w:t>监测数据</w:t>
      </w:r>
      <w:r>
        <w:rPr>
          <w:rFonts w:hint="eastAsia"/>
          <w:snapToGrid w:val="0"/>
          <w:color w:val="auto"/>
          <w:kern w:val="0"/>
          <w:sz w:val="24"/>
          <w:highlight w:val="none"/>
        </w:rPr>
        <w:t>和</w:t>
      </w:r>
      <w:r>
        <w:rPr>
          <w:snapToGrid w:val="0"/>
          <w:color w:val="auto"/>
          <w:kern w:val="0"/>
          <w:sz w:val="24"/>
          <w:highlight w:val="none"/>
        </w:rPr>
        <w:t>《凯赛（乌苏）生物技术有限公司年产2万吨</w:t>
      </w:r>
      <w:r>
        <w:rPr>
          <w:rFonts w:hint="eastAsia"/>
          <w:snapToGrid w:val="0"/>
          <w:color w:val="auto"/>
          <w:kern w:val="0"/>
          <w:sz w:val="24"/>
          <w:highlight w:val="none"/>
          <w:lang w:eastAsia="zh-CN"/>
        </w:rPr>
        <w:t>二元酸</w:t>
      </w:r>
      <w:r>
        <w:rPr>
          <w:snapToGrid w:val="0"/>
          <w:color w:val="auto"/>
          <w:kern w:val="0"/>
          <w:sz w:val="24"/>
          <w:highlight w:val="none"/>
        </w:rPr>
        <w:t>扩产项目环境影响报告书》监测数据</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引用数据共有</w:t>
      </w:r>
      <w:r>
        <w:rPr>
          <w:rFonts w:hint="eastAsia"/>
          <w:snapToGrid w:val="0"/>
          <w:color w:val="auto"/>
          <w:kern w:val="0"/>
          <w:sz w:val="24"/>
          <w:highlight w:val="none"/>
        </w:rPr>
        <w:t>5个水位监测点及5个水质监测点。</w:t>
      </w:r>
    </w:p>
    <w:p w14:paraId="65D3E137">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val="en-US" w:eastAsia="zh-CN"/>
        </w:rPr>
        <w:t>项目所在区域地下水流向为由东南向西北</w:t>
      </w:r>
      <w:r>
        <w:rPr>
          <w:snapToGrid w:val="0"/>
          <w:color w:val="auto"/>
          <w:kern w:val="0"/>
          <w:sz w:val="24"/>
          <w:highlight w:val="none"/>
        </w:rPr>
        <w:t>，监测点位见表5.3-</w:t>
      </w:r>
      <w:r>
        <w:rPr>
          <w:rFonts w:hint="eastAsia"/>
          <w:snapToGrid w:val="0"/>
          <w:color w:val="auto"/>
          <w:kern w:val="0"/>
          <w:sz w:val="24"/>
          <w:highlight w:val="none"/>
          <w:lang w:val="en-US" w:eastAsia="zh-CN"/>
        </w:rPr>
        <w:t>8</w:t>
      </w:r>
      <w:r>
        <w:rPr>
          <w:snapToGrid w:val="0"/>
          <w:color w:val="auto"/>
          <w:kern w:val="0"/>
          <w:sz w:val="24"/>
          <w:highlight w:val="none"/>
        </w:rPr>
        <w:t>及图5.3-1。</w:t>
      </w:r>
    </w:p>
    <w:p w14:paraId="20B0943C">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8</w:t>
      </w:r>
      <w:r>
        <w:rPr>
          <w:rFonts w:hint="eastAsia" w:ascii="Times New Roman" w:hAnsi="Times New Roman" w:cs="Times New Roman"/>
          <w:snapToGrid w:val="0"/>
          <w:color w:val="auto"/>
          <w:kern w:val="0"/>
          <w:sz w:val="21"/>
          <w:szCs w:val="21"/>
          <w:highlight w:val="none"/>
        </w:rPr>
        <w:t xml:space="preserve"> 地下水监测点位果一览表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
        <w:gridCol w:w="555"/>
        <w:gridCol w:w="675"/>
        <w:gridCol w:w="555"/>
        <w:gridCol w:w="971"/>
        <w:gridCol w:w="1924"/>
        <w:gridCol w:w="660"/>
        <w:gridCol w:w="540"/>
        <w:gridCol w:w="1270"/>
        <w:gridCol w:w="912"/>
      </w:tblGrid>
      <w:tr w14:paraId="5635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29" w:type="dxa"/>
            <w:gridSpan w:val="2"/>
            <w:shd w:val="clear" w:color="auto" w:fill="auto"/>
            <w:vAlign w:val="center"/>
          </w:tcPr>
          <w:p w14:paraId="6D556256">
            <w:pPr>
              <w:widowControl/>
              <w:adjustRightInd w:val="0"/>
              <w:snapToGrid w:val="0"/>
              <w:jc w:val="center"/>
              <w:rPr>
                <w:snapToGrid w:val="0"/>
                <w:color w:val="auto"/>
                <w:kern w:val="0"/>
                <w:szCs w:val="21"/>
                <w:highlight w:val="none"/>
              </w:rPr>
            </w:pPr>
            <w:r>
              <w:rPr>
                <w:snapToGrid w:val="0"/>
                <w:color w:val="auto"/>
                <w:kern w:val="0"/>
                <w:szCs w:val="21"/>
                <w:highlight w:val="none"/>
              </w:rPr>
              <w:t>编号</w:t>
            </w:r>
          </w:p>
        </w:tc>
        <w:tc>
          <w:tcPr>
            <w:tcW w:w="675" w:type="dxa"/>
            <w:shd w:val="clear" w:color="auto" w:fill="auto"/>
            <w:vAlign w:val="center"/>
          </w:tcPr>
          <w:p w14:paraId="0CEEE9D9">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snapToGrid w:val="0"/>
                <w:color w:val="auto"/>
                <w:kern w:val="0"/>
                <w:szCs w:val="21"/>
                <w:highlight w:val="none"/>
              </w:rPr>
            </w:pPr>
            <w:r>
              <w:rPr>
                <w:snapToGrid w:val="0"/>
                <w:color w:val="auto"/>
                <w:kern w:val="0"/>
                <w:szCs w:val="21"/>
                <w:highlight w:val="none"/>
              </w:rPr>
              <w:t>监测点位</w:t>
            </w:r>
          </w:p>
        </w:tc>
        <w:tc>
          <w:tcPr>
            <w:tcW w:w="555" w:type="dxa"/>
            <w:shd w:val="clear" w:color="auto" w:fill="auto"/>
            <w:vAlign w:val="center"/>
          </w:tcPr>
          <w:p w14:paraId="18999D8D">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监测点位置</w:t>
            </w:r>
          </w:p>
        </w:tc>
        <w:tc>
          <w:tcPr>
            <w:tcW w:w="971" w:type="dxa"/>
            <w:shd w:val="clear" w:color="auto" w:fill="auto"/>
            <w:vAlign w:val="center"/>
          </w:tcPr>
          <w:p w14:paraId="3F2EB9CF">
            <w:pPr>
              <w:widowControl/>
              <w:adjustRightInd w:val="0"/>
              <w:snapToGrid w:val="0"/>
              <w:jc w:val="center"/>
              <w:rPr>
                <w:snapToGrid w:val="0"/>
                <w:color w:val="auto"/>
                <w:kern w:val="0"/>
                <w:szCs w:val="21"/>
                <w:highlight w:val="none"/>
              </w:rPr>
            </w:pPr>
            <w:r>
              <w:rPr>
                <w:color w:val="auto"/>
                <w:kern w:val="0"/>
                <w:szCs w:val="21"/>
                <w:highlight w:val="none"/>
              </w:rPr>
              <w:t>方位及距离</w:t>
            </w:r>
          </w:p>
        </w:tc>
        <w:tc>
          <w:tcPr>
            <w:tcW w:w="1924" w:type="dxa"/>
            <w:shd w:val="clear" w:color="auto" w:fill="auto"/>
            <w:vAlign w:val="center"/>
          </w:tcPr>
          <w:p w14:paraId="458365D1">
            <w:pPr>
              <w:widowControl/>
              <w:adjustRightInd w:val="0"/>
              <w:snapToGrid w:val="0"/>
              <w:jc w:val="center"/>
              <w:rPr>
                <w:snapToGrid w:val="0"/>
                <w:color w:val="auto"/>
                <w:kern w:val="0"/>
                <w:szCs w:val="21"/>
                <w:highlight w:val="none"/>
              </w:rPr>
            </w:pPr>
            <w:r>
              <w:rPr>
                <w:rFonts w:hint="eastAsia"/>
                <w:color w:val="auto"/>
                <w:kern w:val="0"/>
                <w:szCs w:val="21"/>
                <w:highlight w:val="none"/>
              </w:rPr>
              <w:t>点位</w:t>
            </w:r>
            <w:r>
              <w:rPr>
                <w:color w:val="auto"/>
                <w:kern w:val="0"/>
                <w:szCs w:val="21"/>
                <w:highlight w:val="none"/>
              </w:rPr>
              <w:t>坐标</w:t>
            </w:r>
          </w:p>
        </w:tc>
        <w:tc>
          <w:tcPr>
            <w:tcW w:w="660" w:type="dxa"/>
            <w:shd w:val="clear" w:color="auto" w:fill="auto"/>
            <w:vAlign w:val="center"/>
          </w:tcPr>
          <w:p w14:paraId="6349F19A">
            <w:pPr>
              <w:widowControl/>
              <w:adjustRightInd w:val="0"/>
              <w:snapToGrid w:val="0"/>
              <w:jc w:val="center"/>
              <w:rPr>
                <w:snapToGrid w:val="0"/>
                <w:color w:val="auto"/>
                <w:kern w:val="0"/>
                <w:szCs w:val="21"/>
                <w:highlight w:val="none"/>
              </w:rPr>
            </w:pPr>
            <w:r>
              <w:rPr>
                <w:rFonts w:hint="eastAsia"/>
                <w:color w:val="auto"/>
                <w:kern w:val="0"/>
                <w:szCs w:val="21"/>
                <w:highlight w:val="none"/>
                <w:lang w:val="en-US" w:eastAsia="zh-CN"/>
              </w:rPr>
              <w:t>水位</w:t>
            </w:r>
            <w:r>
              <w:rPr>
                <w:rFonts w:hint="eastAsia"/>
                <w:color w:val="auto"/>
                <w:kern w:val="0"/>
                <w:szCs w:val="21"/>
                <w:highlight w:val="none"/>
              </w:rPr>
              <w:t>/</w:t>
            </w:r>
            <w:r>
              <w:rPr>
                <w:color w:val="auto"/>
                <w:kern w:val="0"/>
                <w:szCs w:val="21"/>
                <w:highlight w:val="none"/>
              </w:rPr>
              <w:t>m</w:t>
            </w:r>
          </w:p>
        </w:tc>
        <w:tc>
          <w:tcPr>
            <w:tcW w:w="540" w:type="dxa"/>
            <w:shd w:val="clear" w:color="auto" w:fill="auto"/>
            <w:vAlign w:val="center"/>
          </w:tcPr>
          <w:p w14:paraId="552324D6">
            <w:pPr>
              <w:widowControl/>
              <w:adjustRightInd w:val="0"/>
              <w:snapToGrid w:val="0"/>
              <w:jc w:val="center"/>
              <w:rPr>
                <w:snapToGrid w:val="0"/>
                <w:color w:val="auto"/>
                <w:kern w:val="0"/>
                <w:szCs w:val="21"/>
                <w:highlight w:val="none"/>
              </w:rPr>
            </w:pPr>
            <w:r>
              <w:rPr>
                <w:rFonts w:hint="eastAsia"/>
                <w:color w:val="auto"/>
                <w:kern w:val="0"/>
                <w:szCs w:val="21"/>
                <w:highlight w:val="none"/>
                <w:lang w:val="en-US" w:eastAsia="zh-CN"/>
              </w:rPr>
              <w:t>井</w:t>
            </w:r>
            <w:r>
              <w:rPr>
                <w:rFonts w:hint="eastAsia"/>
                <w:color w:val="auto"/>
                <w:kern w:val="0"/>
                <w:szCs w:val="21"/>
                <w:highlight w:val="none"/>
              </w:rPr>
              <w:t>深/m</w:t>
            </w:r>
          </w:p>
        </w:tc>
        <w:tc>
          <w:tcPr>
            <w:tcW w:w="1270" w:type="dxa"/>
            <w:shd w:val="clear" w:color="auto" w:fill="auto"/>
            <w:vAlign w:val="center"/>
          </w:tcPr>
          <w:p w14:paraId="4376051D">
            <w:pPr>
              <w:widowControl/>
              <w:adjustRightInd w:val="0"/>
              <w:snapToGrid w:val="0"/>
              <w:jc w:val="center"/>
              <w:rPr>
                <w:color w:val="auto"/>
                <w:kern w:val="0"/>
                <w:szCs w:val="21"/>
                <w:highlight w:val="none"/>
              </w:rPr>
            </w:pPr>
            <w:r>
              <w:rPr>
                <w:color w:val="auto"/>
                <w:kern w:val="0"/>
                <w:szCs w:val="21"/>
                <w:highlight w:val="none"/>
              </w:rPr>
              <w:t>监测时段</w:t>
            </w:r>
          </w:p>
        </w:tc>
        <w:tc>
          <w:tcPr>
            <w:tcW w:w="912" w:type="dxa"/>
            <w:shd w:val="clear" w:color="auto" w:fill="auto"/>
            <w:vAlign w:val="center"/>
          </w:tcPr>
          <w:p w14:paraId="16B0A19D">
            <w:pPr>
              <w:widowControl/>
              <w:adjustRightInd w:val="0"/>
              <w:snapToGrid w:val="0"/>
              <w:jc w:val="center"/>
              <w:rPr>
                <w:rFonts w:hint="eastAsia"/>
                <w:color w:val="auto"/>
                <w:kern w:val="0"/>
                <w:szCs w:val="21"/>
                <w:highlight w:val="none"/>
              </w:rPr>
            </w:pPr>
            <w:r>
              <w:rPr>
                <w:rFonts w:hint="eastAsia"/>
                <w:color w:val="auto"/>
                <w:kern w:val="0"/>
                <w:szCs w:val="21"/>
                <w:highlight w:val="none"/>
              </w:rPr>
              <w:t>监测</w:t>
            </w:r>
          </w:p>
          <w:p w14:paraId="7A8E8AD7">
            <w:pPr>
              <w:widowControl/>
              <w:adjustRightInd w:val="0"/>
              <w:snapToGrid w:val="0"/>
              <w:jc w:val="center"/>
              <w:rPr>
                <w:color w:val="auto"/>
                <w:kern w:val="0"/>
                <w:szCs w:val="21"/>
                <w:highlight w:val="none"/>
              </w:rPr>
            </w:pPr>
            <w:r>
              <w:rPr>
                <w:rFonts w:hint="eastAsia"/>
                <w:color w:val="auto"/>
                <w:kern w:val="0"/>
                <w:szCs w:val="21"/>
                <w:highlight w:val="none"/>
              </w:rPr>
              <w:t>单位</w:t>
            </w:r>
          </w:p>
        </w:tc>
      </w:tr>
      <w:tr w14:paraId="3CC8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4" w:type="dxa"/>
            <w:vMerge w:val="restart"/>
            <w:shd w:val="clear" w:color="auto" w:fill="auto"/>
            <w:vAlign w:val="center"/>
          </w:tcPr>
          <w:p w14:paraId="283A472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水质和</w:t>
            </w:r>
            <w:r>
              <w:rPr>
                <w:snapToGrid w:val="0"/>
                <w:color w:val="auto"/>
                <w:kern w:val="0"/>
                <w:szCs w:val="21"/>
                <w:highlight w:val="none"/>
              </w:rPr>
              <w:t>水位</w:t>
            </w:r>
          </w:p>
        </w:tc>
        <w:tc>
          <w:tcPr>
            <w:tcW w:w="555" w:type="dxa"/>
            <w:shd w:val="clear" w:color="auto" w:fill="auto"/>
            <w:vAlign w:val="center"/>
          </w:tcPr>
          <w:p w14:paraId="6E94FA5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w:t>
            </w:r>
          </w:p>
        </w:tc>
        <w:tc>
          <w:tcPr>
            <w:tcW w:w="675" w:type="dxa"/>
            <w:shd w:val="clear" w:color="auto" w:fill="auto"/>
            <w:vAlign w:val="center"/>
          </w:tcPr>
          <w:p w14:paraId="301E6695">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snapToGrid w:val="0"/>
                <w:color w:val="auto"/>
                <w:kern w:val="0"/>
                <w:szCs w:val="21"/>
                <w:highlight w:val="none"/>
              </w:rPr>
            </w:pPr>
            <w:r>
              <w:rPr>
                <w:color w:val="auto"/>
                <w:kern w:val="0"/>
                <w:szCs w:val="21"/>
                <w:highlight w:val="none"/>
              </w:rPr>
              <w:t>园区上游</w:t>
            </w:r>
          </w:p>
        </w:tc>
        <w:tc>
          <w:tcPr>
            <w:tcW w:w="555" w:type="dxa"/>
            <w:shd w:val="clear" w:color="auto" w:fill="auto"/>
            <w:vAlign w:val="center"/>
          </w:tcPr>
          <w:p w14:paraId="02B423DC">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eastAsia="宋体"/>
                <w:color w:val="auto"/>
                <w:kern w:val="0"/>
                <w:szCs w:val="21"/>
                <w:highlight w:val="none"/>
                <w:lang w:val="en-US" w:eastAsia="zh-CN"/>
              </w:rPr>
            </w:pPr>
            <w:r>
              <w:rPr>
                <w:rFonts w:hint="eastAsia"/>
                <w:color w:val="auto"/>
                <w:kern w:val="0"/>
                <w:szCs w:val="21"/>
                <w:highlight w:val="none"/>
                <w:lang w:val="en-US" w:eastAsia="zh-CN"/>
              </w:rPr>
              <w:t>上游</w:t>
            </w:r>
          </w:p>
        </w:tc>
        <w:tc>
          <w:tcPr>
            <w:tcW w:w="971" w:type="dxa"/>
            <w:shd w:val="clear" w:color="auto" w:fill="auto"/>
            <w:vAlign w:val="center"/>
          </w:tcPr>
          <w:p w14:paraId="3EFCEFFD">
            <w:pPr>
              <w:widowControl/>
              <w:adjustRightInd w:val="0"/>
              <w:snapToGrid w:val="0"/>
              <w:jc w:val="center"/>
              <w:rPr>
                <w:color w:val="auto"/>
                <w:kern w:val="0"/>
                <w:szCs w:val="21"/>
                <w:highlight w:val="none"/>
              </w:rPr>
            </w:pPr>
            <w:r>
              <w:rPr>
                <w:rFonts w:hint="eastAsia"/>
                <w:color w:val="auto"/>
                <w:kern w:val="0"/>
                <w:szCs w:val="21"/>
                <w:highlight w:val="none"/>
              </w:rPr>
              <w:t>东</w:t>
            </w:r>
            <w:r>
              <w:rPr>
                <w:color w:val="auto"/>
                <w:kern w:val="0"/>
                <w:szCs w:val="21"/>
                <w:highlight w:val="none"/>
              </w:rPr>
              <w:t>南2.5km</w:t>
            </w:r>
          </w:p>
        </w:tc>
        <w:tc>
          <w:tcPr>
            <w:tcW w:w="1924" w:type="dxa"/>
            <w:shd w:val="clear" w:color="auto" w:fill="auto"/>
            <w:vAlign w:val="center"/>
          </w:tcPr>
          <w:p w14:paraId="2D2CFAB1">
            <w:pPr>
              <w:widowControl/>
              <w:adjustRightInd w:val="0"/>
              <w:snapToGrid w:val="0"/>
              <w:jc w:val="center"/>
              <w:rPr>
                <w:color w:val="auto"/>
                <w:kern w:val="0"/>
                <w:szCs w:val="21"/>
                <w:highlight w:val="none"/>
              </w:rPr>
            </w:pPr>
            <w:r>
              <w:rPr>
                <w:color w:val="auto"/>
                <w:kern w:val="0"/>
                <w:szCs w:val="21"/>
                <w:highlight w:val="none"/>
              </w:rPr>
              <w:t>N:44°19′06.06″</w:t>
            </w:r>
          </w:p>
          <w:p w14:paraId="5643F211">
            <w:pPr>
              <w:widowControl/>
              <w:adjustRightInd w:val="0"/>
              <w:snapToGrid w:val="0"/>
              <w:jc w:val="center"/>
              <w:rPr>
                <w:snapToGrid w:val="0"/>
                <w:color w:val="auto"/>
                <w:kern w:val="0"/>
                <w:szCs w:val="21"/>
                <w:highlight w:val="none"/>
              </w:rPr>
            </w:pPr>
            <w:r>
              <w:rPr>
                <w:color w:val="auto"/>
                <w:kern w:val="0"/>
                <w:szCs w:val="21"/>
                <w:highlight w:val="none"/>
              </w:rPr>
              <w:t>E:84°18′38.41″</w:t>
            </w:r>
          </w:p>
        </w:tc>
        <w:tc>
          <w:tcPr>
            <w:tcW w:w="660" w:type="dxa"/>
            <w:shd w:val="clear" w:color="auto" w:fill="auto"/>
            <w:vAlign w:val="center"/>
          </w:tcPr>
          <w:p w14:paraId="096146EE">
            <w:pPr>
              <w:widowControl/>
              <w:adjustRightInd w:val="0"/>
              <w:snapToGrid w:val="0"/>
              <w:jc w:val="center"/>
              <w:rPr>
                <w:snapToGrid w:val="0"/>
                <w:color w:val="auto"/>
                <w:kern w:val="0"/>
                <w:szCs w:val="21"/>
                <w:highlight w:val="none"/>
              </w:rPr>
            </w:pPr>
            <w:r>
              <w:rPr>
                <w:color w:val="auto"/>
                <w:kern w:val="0"/>
                <w:szCs w:val="21"/>
                <w:highlight w:val="none"/>
              </w:rPr>
              <w:t>1</w:t>
            </w:r>
            <w:r>
              <w:rPr>
                <w:rFonts w:hint="eastAsia"/>
                <w:color w:val="auto"/>
                <w:kern w:val="0"/>
                <w:szCs w:val="21"/>
                <w:highlight w:val="none"/>
                <w:lang w:val="en-US" w:eastAsia="zh-CN"/>
              </w:rPr>
              <w:t>2</w:t>
            </w:r>
            <w:r>
              <w:rPr>
                <w:color w:val="auto"/>
                <w:kern w:val="0"/>
                <w:szCs w:val="21"/>
                <w:highlight w:val="none"/>
              </w:rPr>
              <w:t>0</w:t>
            </w:r>
          </w:p>
        </w:tc>
        <w:tc>
          <w:tcPr>
            <w:tcW w:w="540" w:type="dxa"/>
            <w:shd w:val="clear" w:color="auto" w:fill="auto"/>
            <w:vAlign w:val="center"/>
          </w:tcPr>
          <w:p w14:paraId="0447DED0">
            <w:pPr>
              <w:widowControl/>
              <w:adjustRightInd w:val="0"/>
              <w:snapToGrid w:val="0"/>
              <w:jc w:val="center"/>
              <w:rPr>
                <w:snapToGrid w:val="0"/>
                <w:color w:val="auto"/>
                <w:kern w:val="0"/>
                <w:szCs w:val="21"/>
                <w:highlight w:val="none"/>
              </w:rPr>
            </w:pPr>
            <w:r>
              <w:rPr>
                <w:color w:val="auto"/>
                <w:kern w:val="0"/>
                <w:szCs w:val="21"/>
                <w:highlight w:val="none"/>
              </w:rPr>
              <w:t>1</w:t>
            </w:r>
            <w:r>
              <w:rPr>
                <w:rFonts w:hint="eastAsia"/>
                <w:color w:val="auto"/>
                <w:kern w:val="0"/>
                <w:szCs w:val="21"/>
                <w:highlight w:val="none"/>
                <w:lang w:val="en-US" w:eastAsia="zh-CN"/>
              </w:rPr>
              <w:t>5</w:t>
            </w:r>
            <w:r>
              <w:rPr>
                <w:color w:val="auto"/>
                <w:kern w:val="0"/>
                <w:szCs w:val="21"/>
                <w:highlight w:val="none"/>
              </w:rPr>
              <w:t>0</w:t>
            </w:r>
          </w:p>
        </w:tc>
        <w:tc>
          <w:tcPr>
            <w:tcW w:w="1270" w:type="dxa"/>
            <w:vMerge w:val="restart"/>
            <w:shd w:val="clear" w:color="auto" w:fill="auto"/>
            <w:vAlign w:val="center"/>
          </w:tcPr>
          <w:p w14:paraId="4EF4F894">
            <w:pPr>
              <w:widowControl/>
              <w:adjustRightInd w:val="0"/>
              <w:snapToGrid w:val="0"/>
              <w:jc w:val="center"/>
              <w:rPr>
                <w:color w:val="auto"/>
                <w:kern w:val="0"/>
                <w:szCs w:val="21"/>
                <w:highlight w:val="none"/>
              </w:rPr>
            </w:pPr>
            <w:r>
              <w:rPr>
                <w:rFonts w:hint="eastAsia"/>
                <w:color w:val="auto"/>
                <w:kern w:val="0"/>
                <w:szCs w:val="21"/>
                <w:highlight w:val="none"/>
              </w:rPr>
              <w:t>2024.04.29</w:t>
            </w:r>
          </w:p>
        </w:tc>
        <w:tc>
          <w:tcPr>
            <w:tcW w:w="912" w:type="dxa"/>
            <w:vMerge w:val="restart"/>
            <w:shd w:val="clear" w:color="auto" w:fill="auto"/>
            <w:vAlign w:val="center"/>
          </w:tcPr>
          <w:p w14:paraId="0B1A02AC">
            <w:pPr>
              <w:widowControl/>
              <w:adjustRightInd w:val="0"/>
              <w:snapToGrid w:val="0"/>
              <w:jc w:val="center"/>
              <w:rPr>
                <w:color w:val="auto"/>
                <w:kern w:val="0"/>
                <w:szCs w:val="21"/>
                <w:highlight w:val="none"/>
              </w:rPr>
            </w:pPr>
            <w:r>
              <w:rPr>
                <w:color w:val="auto"/>
                <w:kern w:val="0"/>
                <w:szCs w:val="21"/>
                <w:highlight w:val="none"/>
              </w:rPr>
              <w:t>新疆齐新环境服务有限公司</w:t>
            </w:r>
          </w:p>
        </w:tc>
      </w:tr>
      <w:tr w14:paraId="06B9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4" w:type="dxa"/>
            <w:vMerge w:val="continue"/>
            <w:shd w:val="clear" w:color="auto" w:fill="auto"/>
            <w:vAlign w:val="center"/>
          </w:tcPr>
          <w:p w14:paraId="5EF196DC">
            <w:pPr>
              <w:widowControl/>
              <w:adjustRightInd w:val="0"/>
              <w:snapToGrid w:val="0"/>
              <w:jc w:val="center"/>
              <w:rPr>
                <w:snapToGrid w:val="0"/>
                <w:color w:val="auto"/>
                <w:kern w:val="0"/>
                <w:szCs w:val="21"/>
                <w:highlight w:val="none"/>
              </w:rPr>
            </w:pPr>
          </w:p>
        </w:tc>
        <w:tc>
          <w:tcPr>
            <w:tcW w:w="555" w:type="dxa"/>
            <w:shd w:val="clear" w:color="auto" w:fill="auto"/>
            <w:vAlign w:val="center"/>
          </w:tcPr>
          <w:p w14:paraId="7987EC0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w:t>
            </w:r>
          </w:p>
        </w:tc>
        <w:tc>
          <w:tcPr>
            <w:tcW w:w="675" w:type="dxa"/>
            <w:shd w:val="clear" w:color="auto" w:fill="auto"/>
            <w:vAlign w:val="center"/>
          </w:tcPr>
          <w:p w14:paraId="21BA0909">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snapToGrid w:val="0"/>
                <w:color w:val="auto"/>
                <w:kern w:val="0"/>
                <w:szCs w:val="21"/>
                <w:highlight w:val="none"/>
              </w:rPr>
            </w:pPr>
            <w:r>
              <w:rPr>
                <w:color w:val="auto"/>
                <w:kern w:val="0"/>
                <w:szCs w:val="21"/>
                <w:highlight w:val="none"/>
                <w:lang w:val="zh-CN"/>
              </w:rPr>
              <w:t>凯赛东侧水井</w:t>
            </w:r>
          </w:p>
        </w:tc>
        <w:tc>
          <w:tcPr>
            <w:tcW w:w="555" w:type="dxa"/>
            <w:shd w:val="clear" w:color="auto" w:fill="auto"/>
            <w:vAlign w:val="center"/>
          </w:tcPr>
          <w:p w14:paraId="379EB8BA">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default" w:eastAsia="宋体"/>
                <w:color w:val="auto"/>
                <w:kern w:val="0"/>
                <w:szCs w:val="21"/>
                <w:highlight w:val="none"/>
                <w:lang w:val="en-US" w:eastAsia="zh-CN"/>
              </w:rPr>
            </w:pPr>
            <w:r>
              <w:rPr>
                <w:rFonts w:hint="eastAsia"/>
                <w:color w:val="auto"/>
                <w:kern w:val="0"/>
                <w:szCs w:val="21"/>
                <w:highlight w:val="none"/>
                <w:lang w:val="en-US" w:eastAsia="zh-CN"/>
              </w:rPr>
              <w:t>下游偏侧</w:t>
            </w:r>
          </w:p>
        </w:tc>
        <w:tc>
          <w:tcPr>
            <w:tcW w:w="971" w:type="dxa"/>
            <w:shd w:val="clear" w:color="auto" w:fill="auto"/>
            <w:vAlign w:val="center"/>
          </w:tcPr>
          <w:p w14:paraId="46D352F9">
            <w:pPr>
              <w:widowControl/>
              <w:adjustRightInd w:val="0"/>
              <w:snapToGrid w:val="0"/>
              <w:jc w:val="center"/>
              <w:rPr>
                <w:color w:val="auto"/>
                <w:kern w:val="0"/>
                <w:szCs w:val="21"/>
                <w:highlight w:val="none"/>
              </w:rPr>
            </w:pPr>
            <w:r>
              <w:rPr>
                <w:color w:val="auto"/>
                <w:kern w:val="0"/>
                <w:szCs w:val="21"/>
                <w:highlight w:val="none"/>
              </w:rPr>
              <w:t>东</w:t>
            </w:r>
          </w:p>
          <w:p w14:paraId="1CCC841E">
            <w:pPr>
              <w:widowControl/>
              <w:adjustRightInd w:val="0"/>
              <w:snapToGrid w:val="0"/>
              <w:jc w:val="center"/>
              <w:rPr>
                <w:color w:val="auto"/>
                <w:kern w:val="0"/>
                <w:szCs w:val="21"/>
                <w:highlight w:val="none"/>
              </w:rPr>
            </w:pPr>
            <w:r>
              <w:rPr>
                <w:color w:val="auto"/>
                <w:kern w:val="0"/>
                <w:szCs w:val="21"/>
                <w:highlight w:val="none"/>
              </w:rPr>
              <w:t>50m</w:t>
            </w:r>
          </w:p>
        </w:tc>
        <w:tc>
          <w:tcPr>
            <w:tcW w:w="1924" w:type="dxa"/>
            <w:shd w:val="clear" w:color="auto" w:fill="auto"/>
            <w:vAlign w:val="center"/>
          </w:tcPr>
          <w:p w14:paraId="19592BC6">
            <w:pPr>
              <w:widowControl/>
              <w:adjustRightInd w:val="0"/>
              <w:snapToGrid w:val="0"/>
              <w:jc w:val="center"/>
              <w:rPr>
                <w:color w:val="auto"/>
                <w:kern w:val="0"/>
                <w:szCs w:val="21"/>
                <w:highlight w:val="none"/>
              </w:rPr>
            </w:pPr>
            <w:r>
              <w:rPr>
                <w:color w:val="auto"/>
                <w:kern w:val="0"/>
                <w:szCs w:val="21"/>
                <w:highlight w:val="none"/>
              </w:rPr>
              <w:t>N:44°20′36.35″</w:t>
            </w:r>
          </w:p>
          <w:p w14:paraId="2194A613">
            <w:pPr>
              <w:widowControl/>
              <w:adjustRightInd w:val="0"/>
              <w:snapToGrid w:val="0"/>
              <w:jc w:val="center"/>
              <w:rPr>
                <w:snapToGrid w:val="0"/>
                <w:color w:val="auto"/>
                <w:kern w:val="0"/>
                <w:szCs w:val="21"/>
                <w:highlight w:val="none"/>
              </w:rPr>
            </w:pPr>
            <w:r>
              <w:rPr>
                <w:color w:val="auto"/>
                <w:kern w:val="0"/>
                <w:szCs w:val="21"/>
                <w:highlight w:val="none"/>
              </w:rPr>
              <w:t>E:84°16′51.96″</w:t>
            </w:r>
          </w:p>
        </w:tc>
        <w:tc>
          <w:tcPr>
            <w:tcW w:w="660" w:type="dxa"/>
            <w:shd w:val="clear" w:color="auto" w:fill="auto"/>
            <w:vAlign w:val="center"/>
          </w:tcPr>
          <w:p w14:paraId="2E0A3B24">
            <w:pPr>
              <w:widowControl/>
              <w:adjustRightInd w:val="0"/>
              <w:snapToGrid w:val="0"/>
              <w:jc w:val="center"/>
              <w:rPr>
                <w:snapToGrid w:val="0"/>
                <w:color w:val="auto"/>
                <w:kern w:val="0"/>
                <w:szCs w:val="21"/>
                <w:highlight w:val="none"/>
              </w:rPr>
            </w:pPr>
            <w:r>
              <w:rPr>
                <w:color w:val="auto"/>
                <w:kern w:val="0"/>
                <w:szCs w:val="21"/>
                <w:highlight w:val="none"/>
              </w:rPr>
              <w:t>1</w:t>
            </w:r>
            <w:r>
              <w:rPr>
                <w:rFonts w:hint="eastAsia"/>
                <w:color w:val="auto"/>
                <w:kern w:val="0"/>
                <w:szCs w:val="21"/>
                <w:highlight w:val="none"/>
                <w:lang w:val="en-US" w:eastAsia="zh-CN"/>
              </w:rPr>
              <w:t>0</w:t>
            </w:r>
            <w:r>
              <w:rPr>
                <w:color w:val="auto"/>
                <w:kern w:val="0"/>
                <w:szCs w:val="21"/>
                <w:highlight w:val="none"/>
              </w:rPr>
              <w:t>0</w:t>
            </w:r>
          </w:p>
        </w:tc>
        <w:tc>
          <w:tcPr>
            <w:tcW w:w="540" w:type="dxa"/>
            <w:shd w:val="clear" w:color="auto" w:fill="auto"/>
            <w:vAlign w:val="center"/>
          </w:tcPr>
          <w:p w14:paraId="00D7747F">
            <w:pPr>
              <w:widowControl/>
              <w:adjustRightInd w:val="0"/>
              <w:snapToGrid w:val="0"/>
              <w:jc w:val="center"/>
              <w:rPr>
                <w:snapToGrid w:val="0"/>
                <w:color w:val="auto"/>
                <w:kern w:val="0"/>
                <w:szCs w:val="21"/>
                <w:highlight w:val="none"/>
              </w:rPr>
            </w:pPr>
            <w:r>
              <w:rPr>
                <w:color w:val="auto"/>
                <w:kern w:val="0"/>
                <w:szCs w:val="21"/>
                <w:highlight w:val="none"/>
              </w:rPr>
              <w:t>1</w:t>
            </w:r>
            <w:r>
              <w:rPr>
                <w:rFonts w:hint="eastAsia"/>
                <w:color w:val="auto"/>
                <w:kern w:val="0"/>
                <w:szCs w:val="21"/>
                <w:highlight w:val="none"/>
                <w:lang w:val="en-US" w:eastAsia="zh-CN"/>
              </w:rPr>
              <w:t>5</w:t>
            </w:r>
            <w:r>
              <w:rPr>
                <w:color w:val="auto"/>
                <w:kern w:val="0"/>
                <w:szCs w:val="21"/>
                <w:highlight w:val="none"/>
              </w:rPr>
              <w:t>0</w:t>
            </w:r>
          </w:p>
        </w:tc>
        <w:tc>
          <w:tcPr>
            <w:tcW w:w="1270" w:type="dxa"/>
            <w:vMerge w:val="continue"/>
            <w:shd w:val="clear" w:color="auto" w:fill="auto"/>
            <w:vAlign w:val="center"/>
          </w:tcPr>
          <w:p w14:paraId="4A551672">
            <w:pPr>
              <w:widowControl/>
              <w:adjustRightInd w:val="0"/>
              <w:snapToGrid w:val="0"/>
              <w:jc w:val="center"/>
              <w:rPr>
                <w:color w:val="auto"/>
                <w:kern w:val="0"/>
                <w:szCs w:val="21"/>
                <w:highlight w:val="none"/>
              </w:rPr>
            </w:pPr>
          </w:p>
        </w:tc>
        <w:tc>
          <w:tcPr>
            <w:tcW w:w="912" w:type="dxa"/>
            <w:vMerge w:val="continue"/>
            <w:shd w:val="clear" w:color="auto" w:fill="auto"/>
            <w:vAlign w:val="center"/>
          </w:tcPr>
          <w:p w14:paraId="3DCAD1C3">
            <w:pPr>
              <w:widowControl/>
              <w:adjustRightInd w:val="0"/>
              <w:snapToGrid w:val="0"/>
              <w:jc w:val="center"/>
              <w:rPr>
                <w:color w:val="auto"/>
                <w:kern w:val="0"/>
                <w:szCs w:val="21"/>
                <w:highlight w:val="none"/>
              </w:rPr>
            </w:pPr>
          </w:p>
        </w:tc>
      </w:tr>
      <w:tr w14:paraId="60C0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4" w:type="dxa"/>
            <w:vMerge w:val="continue"/>
            <w:shd w:val="clear" w:color="auto" w:fill="auto"/>
            <w:vAlign w:val="center"/>
          </w:tcPr>
          <w:p w14:paraId="32E14C4C">
            <w:pPr>
              <w:widowControl/>
              <w:adjustRightInd w:val="0"/>
              <w:snapToGrid w:val="0"/>
              <w:jc w:val="center"/>
              <w:rPr>
                <w:snapToGrid w:val="0"/>
                <w:color w:val="auto"/>
                <w:kern w:val="0"/>
                <w:szCs w:val="21"/>
                <w:highlight w:val="none"/>
              </w:rPr>
            </w:pPr>
          </w:p>
        </w:tc>
        <w:tc>
          <w:tcPr>
            <w:tcW w:w="555" w:type="dxa"/>
            <w:shd w:val="clear" w:color="auto" w:fill="auto"/>
            <w:vAlign w:val="center"/>
          </w:tcPr>
          <w:p w14:paraId="2C79586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3#</w:t>
            </w:r>
          </w:p>
        </w:tc>
        <w:tc>
          <w:tcPr>
            <w:tcW w:w="675" w:type="dxa"/>
            <w:shd w:val="clear" w:color="auto" w:fill="auto"/>
            <w:vAlign w:val="center"/>
          </w:tcPr>
          <w:p w14:paraId="0A97B660">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snapToGrid w:val="0"/>
                <w:color w:val="auto"/>
                <w:kern w:val="0"/>
                <w:szCs w:val="21"/>
                <w:highlight w:val="none"/>
              </w:rPr>
            </w:pPr>
            <w:r>
              <w:rPr>
                <w:color w:val="auto"/>
                <w:kern w:val="0"/>
                <w:szCs w:val="21"/>
                <w:highlight w:val="none"/>
              </w:rPr>
              <w:t>园区西北侧水井</w:t>
            </w:r>
          </w:p>
        </w:tc>
        <w:tc>
          <w:tcPr>
            <w:tcW w:w="555" w:type="dxa"/>
            <w:shd w:val="clear" w:color="auto" w:fill="auto"/>
            <w:vAlign w:val="center"/>
          </w:tcPr>
          <w:p w14:paraId="3A5555E7">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eastAsia="宋体"/>
                <w:color w:val="auto"/>
                <w:kern w:val="0"/>
                <w:szCs w:val="21"/>
                <w:highlight w:val="none"/>
                <w:lang w:val="en-US" w:eastAsia="zh-CN"/>
              </w:rPr>
            </w:pPr>
            <w:r>
              <w:rPr>
                <w:rFonts w:hint="eastAsia"/>
                <w:color w:val="auto"/>
                <w:kern w:val="0"/>
                <w:szCs w:val="21"/>
                <w:highlight w:val="none"/>
                <w:lang w:val="en-US" w:eastAsia="zh-CN"/>
              </w:rPr>
              <w:t>下游</w:t>
            </w:r>
          </w:p>
        </w:tc>
        <w:tc>
          <w:tcPr>
            <w:tcW w:w="971" w:type="dxa"/>
            <w:shd w:val="clear" w:color="auto" w:fill="auto"/>
            <w:vAlign w:val="center"/>
          </w:tcPr>
          <w:p w14:paraId="5813628F">
            <w:pPr>
              <w:widowControl/>
              <w:adjustRightInd w:val="0"/>
              <w:snapToGrid w:val="0"/>
              <w:jc w:val="center"/>
              <w:rPr>
                <w:color w:val="auto"/>
                <w:kern w:val="0"/>
                <w:szCs w:val="21"/>
                <w:highlight w:val="none"/>
              </w:rPr>
            </w:pPr>
            <w:r>
              <w:rPr>
                <w:color w:val="auto"/>
                <w:kern w:val="0"/>
                <w:szCs w:val="21"/>
                <w:highlight w:val="none"/>
              </w:rPr>
              <w:t>西北1.1km</w:t>
            </w:r>
          </w:p>
        </w:tc>
        <w:tc>
          <w:tcPr>
            <w:tcW w:w="1924" w:type="dxa"/>
            <w:shd w:val="clear" w:color="auto" w:fill="auto"/>
            <w:vAlign w:val="center"/>
          </w:tcPr>
          <w:p w14:paraId="11E6A8F9">
            <w:pPr>
              <w:widowControl/>
              <w:adjustRightInd w:val="0"/>
              <w:snapToGrid w:val="0"/>
              <w:jc w:val="center"/>
              <w:rPr>
                <w:color w:val="auto"/>
                <w:kern w:val="0"/>
                <w:szCs w:val="21"/>
                <w:highlight w:val="none"/>
              </w:rPr>
            </w:pPr>
            <w:r>
              <w:rPr>
                <w:color w:val="auto"/>
                <w:kern w:val="0"/>
                <w:szCs w:val="21"/>
                <w:highlight w:val="none"/>
              </w:rPr>
              <w:t>N:44°20′58.01″</w:t>
            </w:r>
          </w:p>
          <w:p w14:paraId="10611BAF">
            <w:pPr>
              <w:widowControl/>
              <w:adjustRightInd w:val="0"/>
              <w:snapToGrid w:val="0"/>
              <w:jc w:val="center"/>
              <w:rPr>
                <w:snapToGrid w:val="0"/>
                <w:color w:val="auto"/>
                <w:kern w:val="0"/>
                <w:szCs w:val="21"/>
                <w:highlight w:val="none"/>
              </w:rPr>
            </w:pPr>
            <w:r>
              <w:rPr>
                <w:color w:val="auto"/>
                <w:kern w:val="0"/>
                <w:szCs w:val="21"/>
                <w:highlight w:val="none"/>
              </w:rPr>
              <w:t>E:84°15′33.79″</w:t>
            </w:r>
          </w:p>
        </w:tc>
        <w:tc>
          <w:tcPr>
            <w:tcW w:w="660" w:type="dxa"/>
            <w:shd w:val="clear" w:color="auto" w:fill="auto"/>
            <w:vAlign w:val="center"/>
          </w:tcPr>
          <w:p w14:paraId="30459A8F">
            <w:pPr>
              <w:widowControl/>
              <w:adjustRightInd w:val="0"/>
              <w:snapToGrid w:val="0"/>
              <w:jc w:val="center"/>
              <w:rPr>
                <w:snapToGrid w:val="0"/>
                <w:color w:val="auto"/>
                <w:kern w:val="0"/>
                <w:szCs w:val="21"/>
                <w:highlight w:val="none"/>
              </w:rPr>
            </w:pPr>
            <w:r>
              <w:rPr>
                <w:color w:val="auto"/>
                <w:kern w:val="0"/>
                <w:szCs w:val="21"/>
                <w:highlight w:val="none"/>
              </w:rPr>
              <w:t>1</w:t>
            </w:r>
            <w:r>
              <w:rPr>
                <w:rFonts w:hint="eastAsia"/>
                <w:color w:val="auto"/>
                <w:kern w:val="0"/>
                <w:szCs w:val="21"/>
                <w:highlight w:val="none"/>
                <w:lang w:val="en-US" w:eastAsia="zh-CN"/>
              </w:rPr>
              <w:t>1</w:t>
            </w:r>
            <w:r>
              <w:rPr>
                <w:color w:val="auto"/>
                <w:kern w:val="0"/>
                <w:szCs w:val="21"/>
                <w:highlight w:val="none"/>
              </w:rPr>
              <w:t>0</w:t>
            </w:r>
          </w:p>
        </w:tc>
        <w:tc>
          <w:tcPr>
            <w:tcW w:w="540" w:type="dxa"/>
            <w:shd w:val="clear" w:color="auto" w:fill="auto"/>
            <w:vAlign w:val="center"/>
          </w:tcPr>
          <w:p w14:paraId="06E3AB3E">
            <w:pPr>
              <w:widowControl/>
              <w:adjustRightInd w:val="0"/>
              <w:snapToGrid w:val="0"/>
              <w:jc w:val="center"/>
              <w:rPr>
                <w:snapToGrid w:val="0"/>
                <w:color w:val="auto"/>
                <w:kern w:val="0"/>
                <w:szCs w:val="21"/>
                <w:highlight w:val="none"/>
              </w:rPr>
            </w:pPr>
            <w:r>
              <w:rPr>
                <w:color w:val="auto"/>
                <w:kern w:val="0"/>
                <w:szCs w:val="21"/>
                <w:highlight w:val="none"/>
              </w:rPr>
              <w:t>1</w:t>
            </w:r>
            <w:r>
              <w:rPr>
                <w:rFonts w:hint="eastAsia"/>
                <w:color w:val="auto"/>
                <w:kern w:val="0"/>
                <w:szCs w:val="21"/>
                <w:highlight w:val="none"/>
                <w:lang w:val="en-US" w:eastAsia="zh-CN"/>
              </w:rPr>
              <w:t>5</w:t>
            </w:r>
            <w:r>
              <w:rPr>
                <w:color w:val="auto"/>
                <w:kern w:val="0"/>
                <w:szCs w:val="21"/>
                <w:highlight w:val="none"/>
              </w:rPr>
              <w:t>0</w:t>
            </w:r>
          </w:p>
        </w:tc>
        <w:tc>
          <w:tcPr>
            <w:tcW w:w="1270" w:type="dxa"/>
            <w:vMerge w:val="continue"/>
            <w:shd w:val="clear" w:color="auto" w:fill="auto"/>
            <w:vAlign w:val="center"/>
          </w:tcPr>
          <w:p w14:paraId="69CC9D0A">
            <w:pPr>
              <w:widowControl/>
              <w:adjustRightInd w:val="0"/>
              <w:snapToGrid w:val="0"/>
              <w:jc w:val="center"/>
              <w:rPr>
                <w:color w:val="auto"/>
                <w:kern w:val="0"/>
                <w:szCs w:val="21"/>
                <w:highlight w:val="none"/>
              </w:rPr>
            </w:pPr>
          </w:p>
        </w:tc>
        <w:tc>
          <w:tcPr>
            <w:tcW w:w="912" w:type="dxa"/>
            <w:vMerge w:val="continue"/>
            <w:shd w:val="clear" w:color="auto" w:fill="auto"/>
            <w:vAlign w:val="center"/>
          </w:tcPr>
          <w:p w14:paraId="4E8182D0">
            <w:pPr>
              <w:widowControl/>
              <w:adjustRightInd w:val="0"/>
              <w:snapToGrid w:val="0"/>
              <w:jc w:val="center"/>
              <w:rPr>
                <w:color w:val="auto"/>
                <w:kern w:val="0"/>
                <w:szCs w:val="21"/>
                <w:highlight w:val="none"/>
              </w:rPr>
            </w:pPr>
          </w:p>
        </w:tc>
      </w:tr>
      <w:tr w14:paraId="569C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4" w:type="dxa"/>
            <w:vMerge w:val="continue"/>
            <w:shd w:val="clear" w:color="auto" w:fill="auto"/>
            <w:vAlign w:val="center"/>
          </w:tcPr>
          <w:p w14:paraId="6D39FBD0">
            <w:pPr>
              <w:widowControl/>
              <w:adjustRightInd w:val="0"/>
              <w:snapToGrid w:val="0"/>
              <w:jc w:val="center"/>
              <w:rPr>
                <w:snapToGrid w:val="0"/>
                <w:color w:val="auto"/>
                <w:kern w:val="0"/>
                <w:szCs w:val="21"/>
                <w:highlight w:val="none"/>
              </w:rPr>
            </w:pPr>
          </w:p>
        </w:tc>
        <w:tc>
          <w:tcPr>
            <w:tcW w:w="555" w:type="dxa"/>
            <w:shd w:val="clear" w:color="auto" w:fill="auto"/>
            <w:vAlign w:val="center"/>
          </w:tcPr>
          <w:p w14:paraId="1C5E887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4#</w:t>
            </w:r>
          </w:p>
        </w:tc>
        <w:tc>
          <w:tcPr>
            <w:tcW w:w="675" w:type="dxa"/>
            <w:shd w:val="clear" w:color="auto" w:fill="auto"/>
            <w:vAlign w:val="center"/>
          </w:tcPr>
          <w:p w14:paraId="6597C5CA">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snapToGrid w:val="0"/>
                <w:color w:val="auto"/>
                <w:kern w:val="0"/>
                <w:szCs w:val="21"/>
                <w:highlight w:val="none"/>
              </w:rPr>
            </w:pPr>
            <w:r>
              <w:rPr>
                <w:rFonts w:hint="eastAsia"/>
                <w:color w:val="auto"/>
                <w:kern w:val="0"/>
                <w:szCs w:val="21"/>
                <w:highlight w:val="none"/>
              </w:rPr>
              <w:t>园区北侧自建房</w:t>
            </w:r>
          </w:p>
        </w:tc>
        <w:tc>
          <w:tcPr>
            <w:tcW w:w="555" w:type="dxa"/>
            <w:shd w:val="clear" w:color="auto" w:fill="auto"/>
            <w:vAlign w:val="center"/>
          </w:tcPr>
          <w:p w14:paraId="10CFA137">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eastAsia="宋体"/>
                <w:color w:val="auto"/>
                <w:kern w:val="0"/>
                <w:szCs w:val="21"/>
                <w:highlight w:val="none"/>
                <w:lang w:val="en-US" w:eastAsia="zh-CN"/>
              </w:rPr>
            </w:pPr>
            <w:r>
              <w:rPr>
                <w:rFonts w:hint="eastAsia"/>
                <w:color w:val="auto"/>
                <w:kern w:val="0"/>
                <w:szCs w:val="21"/>
                <w:highlight w:val="none"/>
                <w:lang w:val="en-US" w:eastAsia="zh-CN"/>
              </w:rPr>
              <w:t>侧游</w:t>
            </w:r>
          </w:p>
        </w:tc>
        <w:tc>
          <w:tcPr>
            <w:tcW w:w="971" w:type="dxa"/>
            <w:shd w:val="clear" w:color="auto" w:fill="auto"/>
            <w:vAlign w:val="center"/>
          </w:tcPr>
          <w:p w14:paraId="48C23C51">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东北</w:t>
            </w:r>
          </w:p>
          <w:p w14:paraId="20C9F051">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1.5km</w:t>
            </w:r>
          </w:p>
        </w:tc>
        <w:tc>
          <w:tcPr>
            <w:tcW w:w="1924" w:type="dxa"/>
            <w:shd w:val="clear" w:color="auto" w:fill="auto"/>
            <w:vAlign w:val="center"/>
          </w:tcPr>
          <w:p w14:paraId="6281D63E">
            <w:pPr>
              <w:widowControl/>
              <w:adjustRightInd w:val="0"/>
              <w:snapToGrid w:val="0"/>
              <w:jc w:val="center"/>
              <w:rPr>
                <w:color w:val="auto"/>
                <w:kern w:val="0"/>
                <w:szCs w:val="21"/>
                <w:highlight w:val="none"/>
                <w:lang w:val="de-DE"/>
              </w:rPr>
            </w:pPr>
            <w:r>
              <w:rPr>
                <w:color w:val="auto"/>
                <w:kern w:val="0"/>
                <w:szCs w:val="21"/>
                <w:highlight w:val="none"/>
                <w:lang w:val="de-DE"/>
              </w:rPr>
              <w:t>E</w:t>
            </w:r>
            <w:r>
              <w:rPr>
                <w:rFonts w:hint="eastAsia"/>
                <w:color w:val="auto"/>
                <w:kern w:val="0"/>
                <w:szCs w:val="21"/>
                <w:highlight w:val="none"/>
                <w:lang w:val="de-DE"/>
              </w:rPr>
              <w:t>：</w:t>
            </w:r>
            <w:r>
              <w:rPr>
                <w:color w:val="auto"/>
                <w:kern w:val="0"/>
                <w:szCs w:val="21"/>
                <w:highlight w:val="none"/>
                <w:lang w:val="de-DE"/>
              </w:rPr>
              <w:t>84°17</w:t>
            </w:r>
            <w:r>
              <w:rPr>
                <w:rFonts w:hint="eastAsia"/>
                <w:color w:val="auto"/>
                <w:kern w:val="0"/>
                <w:szCs w:val="21"/>
                <w:highlight w:val="none"/>
                <w:lang w:val="de-DE"/>
              </w:rPr>
              <w:t>′</w:t>
            </w:r>
            <w:r>
              <w:rPr>
                <w:color w:val="auto"/>
                <w:kern w:val="0"/>
                <w:szCs w:val="21"/>
                <w:highlight w:val="none"/>
                <w:lang w:val="de-DE"/>
              </w:rPr>
              <w:t>35.23</w:t>
            </w:r>
            <w:r>
              <w:rPr>
                <w:rFonts w:hint="eastAsia"/>
                <w:color w:val="auto"/>
                <w:kern w:val="0"/>
                <w:szCs w:val="21"/>
                <w:highlight w:val="none"/>
                <w:lang w:val="de-DE"/>
              </w:rPr>
              <w:t>″</w:t>
            </w:r>
          </w:p>
          <w:p w14:paraId="52178C7F">
            <w:pPr>
              <w:widowControl/>
              <w:adjustRightInd w:val="0"/>
              <w:snapToGrid w:val="0"/>
              <w:jc w:val="center"/>
              <w:rPr>
                <w:snapToGrid w:val="0"/>
                <w:color w:val="auto"/>
                <w:kern w:val="0"/>
                <w:szCs w:val="21"/>
                <w:highlight w:val="none"/>
              </w:rPr>
            </w:pPr>
            <w:r>
              <w:rPr>
                <w:color w:val="auto"/>
                <w:kern w:val="0"/>
                <w:szCs w:val="21"/>
                <w:highlight w:val="none"/>
                <w:lang w:val="de-DE"/>
              </w:rPr>
              <w:t>N</w:t>
            </w:r>
            <w:r>
              <w:rPr>
                <w:rFonts w:hint="eastAsia"/>
                <w:color w:val="auto"/>
                <w:kern w:val="0"/>
                <w:szCs w:val="21"/>
                <w:highlight w:val="none"/>
                <w:lang w:val="de-DE"/>
              </w:rPr>
              <w:t>：</w:t>
            </w:r>
            <w:r>
              <w:rPr>
                <w:color w:val="auto"/>
                <w:kern w:val="0"/>
                <w:szCs w:val="21"/>
                <w:highlight w:val="none"/>
                <w:lang w:val="de-DE"/>
              </w:rPr>
              <w:t>44°20</w:t>
            </w:r>
            <w:r>
              <w:rPr>
                <w:rFonts w:hint="eastAsia"/>
                <w:color w:val="auto"/>
                <w:kern w:val="0"/>
                <w:szCs w:val="21"/>
                <w:highlight w:val="none"/>
                <w:lang w:val="de-DE"/>
              </w:rPr>
              <w:t>′</w:t>
            </w:r>
            <w:r>
              <w:rPr>
                <w:color w:val="auto"/>
                <w:kern w:val="0"/>
                <w:szCs w:val="21"/>
                <w:highlight w:val="none"/>
                <w:lang w:val="de-DE"/>
              </w:rPr>
              <w:t>55.00</w:t>
            </w:r>
            <w:r>
              <w:rPr>
                <w:rFonts w:hint="eastAsia"/>
                <w:color w:val="auto"/>
                <w:kern w:val="0"/>
                <w:szCs w:val="21"/>
                <w:highlight w:val="none"/>
                <w:lang w:val="de-DE"/>
              </w:rPr>
              <w:t>″</w:t>
            </w:r>
          </w:p>
        </w:tc>
        <w:tc>
          <w:tcPr>
            <w:tcW w:w="660" w:type="dxa"/>
            <w:shd w:val="clear" w:color="auto" w:fill="auto"/>
            <w:vAlign w:val="center"/>
          </w:tcPr>
          <w:p w14:paraId="09EEDCEA">
            <w:pPr>
              <w:widowControl/>
              <w:adjustRightInd w:val="0"/>
              <w:snapToGrid w:val="0"/>
              <w:jc w:val="center"/>
              <w:rPr>
                <w:snapToGrid w:val="0"/>
                <w:color w:val="auto"/>
                <w:kern w:val="0"/>
                <w:szCs w:val="21"/>
                <w:highlight w:val="none"/>
              </w:rPr>
            </w:pPr>
            <w:r>
              <w:rPr>
                <w:rFonts w:hint="eastAsia"/>
                <w:color w:val="auto"/>
                <w:kern w:val="0"/>
                <w:szCs w:val="21"/>
                <w:highlight w:val="none"/>
              </w:rPr>
              <w:t>130</w:t>
            </w:r>
          </w:p>
        </w:tc>
        <w:tc>
          <w:tcPr>
            <w:tcW w:w="540" w:type="dxa"/>
            <w:shd w:val="clear" w:color="auto" w:fill="auto"/>
            <w:vAlign w:val="center"/>
          </w:tcPr>
          <w:p w14:paraId="0E176D5A">
            <w:pPr>
              <w:widowControl/>
              <w:adjustRightInd w:val="0"/>
              <w:snapToGrid w:val="0"/>
              <w:jc w:val="center"/>
              <w:rPr>
                <w:snapToGrid w:val="0"/>
                <w:color w:val="auto"/>
                <w:kern w:val="0"/>
                <w:szCs w:val="21"/>
                <w:highlight w:val="none"/>
              </w:rPr>
            </w:pPr>
            <w:r>
              <w:rPr>
                <w:rFonts w:hint="eastAsia"/>
                <w:color w:val="auto"/>
                <w:kern w:val="0"/>
                <w:szCs w:val="21"/>
                <w:highlight w:val="none"/>
              </w:rPr>
              <w:t>180</w:t>
            </w:r>
          </w:p>
        </w:tc>
        <w:tc>
          <w:tcPr>
            <w:tcW w:w="1270" w:type="dxa"/>
            <w:vMerge w:val="restart"/>
            <w:shd w:val="clear" w:color="auto" w:fill="auto"/>
            <w:vAlign w:val="center"/>
          </w:tcPr>
          <w:p w14:paraId="7FD70ECB">
            <w:pPr>
              <w:widowControl/>
              <w:adjustRightInd w:val="0"/>
              <w:snapToGrid w:val="0"/>
              <w:jc w:val="center"/>
              <w:rPr>
                <w:color w:val="auto"/>
                <w:kern w:val="0"/>
                <w:szCs w:val="21"/>
                <w:highlight w:val="none"/>
              </w:rPr>
            </w:pPr>
            <w:r>
              <w:rPr>
                <w:color w:val="auto"/>
                <w:kern w:val="0"/>
                <w:szCs w:val="21"/>
                <w:highlight w:val="none"/>
              </w:rPr>
              <w:t>202</w:t>
            </w:r>
            <w:r>
              <w:rPr>
                <w:rFonts w:hint="eastAsia"/>
                <w:color w:val="auto"/>
                <w:kern w:val="0"/>
                <w:szCs w:val="21"/>
                <w:highlight w:val="none"/>
              </w:rPr>
              <w:t>5.07.08、2025.07.12</w:t>
            </w:r>
          </w:p>
        </w:tc>
        <w:tc>
          <w:tcPr>
            <w:tcW w:w="912" w:type="dxa"/>
            <w:vMerge w:val="restart"/>
            <w:shd w:val="clear" w:color="auto" w:fill="auto"/>
            <w:vAlign w:val="center"/>
          </w:tcPr>
          <w:p w14:paraId="77FC04AC">
            <w:pPr>
              <w:widowControl/>
              <w:adjustRightInd w:val="0"/>
              <w:snapToGrid w:val="0"/>
              <w:jc w:val="center"/>
              <w:rPr>
                <w:color w:val="auto"/>
                <w:kern w:val="0"/>
                <w:szCs w:val="21"/>
                <w:highlight w:val="none"/>
              </w:rPr>
            </w:pPr>
            <w:r>
              <w:rPr>
                <w:rFonts w:hint="eastAsia"/>
                <w:color w:val="auto"/>
                <w:kern w:val="0"/>
                <w:szCs w:val="21"/>
                <w:highlight w:val="none"/>
              </w:rPr>
              <w:t>新疆锡水金山环境科技有限公司</w:t>
            </w:r>
          </w:p>
        </w:tc>
      </w:tr>
      <w:tr w14:paraId="0F8D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4" w:type="dxa"/>
            <w:vMerge w:val="continue"/>
            <w:shd w:val="clear" w:color="auto" w:fill="auto"/>
            <w:vAlign w:val="center"/>
          </w:tcPr>
          <w:p w14:paraId="55A6FDAB">
            <w:pPr>
              <w:widowControl/>
              <w:adjustRightInd w:val="0"/>
              <w:snapToGrid w:val="0"/>
              <w:jc w:val="center"/>
              <w:rPr>
                <w:snapToGrid w:val="0"/>
                <w:color w:val="auto"/>
                <w:kern w:val="0"/>
                <w:szCs w:val="21"/>
                <w:highlight w:val="none"/>
              </w:rPr>
            </w:pPr>
          </w:p>
        </w:tc>
        <w:tc>
          <w:tcPr>
            <w:tcW w:w="555" w:type="dxa"/>
            <w:shd w:val="clear" w:color="auto" w:fill="auto"/>
            <w:vAlign w:val="center"/>
          </w:tcPr>
          <w:p w14:paraId="43B2EE38">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5#</w:t>
            </w:r>
          </w:p>
        </w:tc>
        <w:tc>
          <w:tcPr>
            <w:tcW w:w="675" w:type="dxa"/>
            <w:shd w:val="clear" w:color="auto" w:fill="auto"/>
            <w:vAlign w:val="center"/>
          </w:tcPr>
          <w:p w14:paraId="6102A804">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snapToGrid w:val="0"/>
                <w:color w:val="auto"/>
                <w:kern w:val="0"/>
                <w:szCs w:val="21"/>
                <w:highlight w:val="none"/>
              </w:rPr>
            </w:pPr>
            <w:r>
              <w:rPr>
                <w:rFonts w:hint="eastAsia"/>
                <w:color w:val="auto"/>
                <w:kern w:val="0"/>
                <w:szCs w:val="21"/>
                <w:highlight w:val="none"/>
              </w:rPr>
              <w:t>生活区水井</w:t>
            </w:r>
          </w:p>
        </w:tc>
        <w:tc>
          <w:tcPr>
            <w:tcW w:w="555" w:type="dxa"/>
            <w:shd w:val="clear" w:color="auto" w:fill="auto"/>
            <w:vAlign w:val="center"/>
          </w:tcPr>
          <w:p w14:paraId="0891F37E">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eastAsia="宋体"/>
                <w:color w:val="auto"/>
                <w:kern w:val="0"/>
                <w:szCs w:val="21"/>
                <w:highlight w:val="none"/>
                <w:lang w:val="en-US" w:eastAsia="zh-CN"/>
              </w:rPr>
            </w:pPr>
            <w:r>
              <w:rPr>
                <w:rFonts w:hint="eastAsia"/>
                <w:color w:val="auto"/>
                <w:kern w:val="0"/>
                <w:szCs w:val="21"/>
                <w:highlight w:val="none"/>
                <w:lang w:val="en-US" w:eastAsia="zh-CN"/>
              </w:rPr>
              <w:t>侧游</w:t>
            </w:r>
          </w:p>
        </w:tc>
        <w:tc>
          <w:tcPr>
            <w:tcW w:w="971" w:type="dxa"/>
            <w:shd w:val="clear" w:color="auto" w:fill="auto"/>
            <w:vAlign w:val="center"/>
          </w:tcPr>
          <w:p w14:paraId="3909A6DE">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东</w:t>
            </w:r>
          </w:p>
          <w:p w14:paraId="378AC74A">
            <w:pPr>
              <w:keepNext w:val="0"/>
              <w:keepLines w:val="0"/>
              <w:pageBreakBefore w:val="0"/>
              <w:widowControl/>
              <w:kinsoku/>
              <w:wordWrap/>
              <w:overflowPunct/>
              <w:topLinePunct w:val="0"/>
              <w:autoSpaceDE/>
              <w:autoSpaceDN/>
              <w:bidi w:val="0"/>
              <w:adjustRightInd w:val="0"/>
              <w:snapToGrid w:val="0"/>
              <w:ind w:left="-53" w:leftChars="-25" w:right="-53" w:rightChars="-25"/>
              <w:jc w:val="center"/>
              <w:textAlignment w:val="auto"/>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1.2km</w:t>
            </w:r>
          </w:p>
        </w:tc>
        <w:tc>
          <w:tcPr>
            <w:tcW w:w="1924" w:type="dxa"/>
            <w:shd w:val="clear" w:color="auto" w:fill="auto"/>
            <w:vAlign w:val="center"/>
          </w:tcPr>
          <w:p w14:paraId="3DEBEDF4">
            <w:pPr>
              <w:widowControl/>
              <w:adjustRightInd w:val="0"/>
              <w:snapToGrid w:val="0"/>
              <w:jc w:val="center"/>
              <w:rPr>
                <w:color w:val="auto"/>
                <w:kern w:val="0"/>
                <w:szCs w:val="21"/>
                <w:highlight w:val="none"/>
                <w:lang w:val="de-DE"/>
              </w:rPr>
            </w:pPr>
            <w:r>
              <w:rPr>
                <w:color w:val="auto"/>
                <w:kern w:val="0"/>
                <w:szCs w:val="21"/>
                <w:highlight w:val="none"/>
                <w:lang w:val="de-DE"/>
              </w:rPr>
              <w:t>E</w:t>
            </w:r>
            <w:r>
              <w:rPr>
                <w:rFonts w:hint="eastAsia"/>
                <w:color w:val="auto"/>
                <w:kern w:val="0"/>
                <w:szCs w:val="21"/>
                <w:highlight w:val="none"/>
                <w:lang w:val="de-DE"/>
              </w:rPr>
              <w:t>：</w:t>
            </w:r>
            <w:r>
              <w:rPr>
                <w:color w:val="auto"/>
                <w:kern w:val="0"/>
                <w:szCs w:val="21"/>
                <w:highlight w:val="none"/>
                <w:lang w:val="de-DE"/>
              </w:rPr>
              <w:t>84°17</w:t>
            </w:r>
            <w:r>
              <w:rPr>
                <w:rFonts w:hint="eastAsia"/>
                <w:color w:val="auto"/>
                <w:kern w:val="0"/>
                <w:szCs w:val="21"/>
                <w:highlight w:val="none"/>
                <w:lang w:val="de-DE"/>
              </w:rPr>
              <w:t>′</w:t>
            </w:r>
            <w:r>
              <w:rPr>
                <w:color w:val="auto"/>
                <w:kern w:val="0"/>
                <w:szCs w:val="21"/>
                <w:highlight w:val="none"/>
                <w:lang w:val="de-DE"/>
              </w:rPr>
              <w:t>46.10</w:t>
            </w:r>
            <w:r>
              <w:rPr>
                <w:rFonts w:hint="eastAsia"/>
                <w:color w:val="auto"/>
                <w:kern w:val="0"/>
                <w:szCs w:val="21"/>
                <w:highlight w:val="none"/>
                <w:lang w:val="de-DE"/>
              </w:rPr>
              <w:t>″</w:t>
            </w:r>
          </w:p>
          <w:p w14:paraId="5774EE7B">
            <w:pPr>
              <w:widowControl/>
              <w:adjustRightInd w:val="0"/>
              <w:snapToGrid w:val="0"/>
              <w:jc w:val="center"/>
              <w:rPr>
                <w:snapToGrid w:val="0"/>
                <w:color w:val="auto"/>
                <w:kern w:val="0"/>
                <w:szCs w:val="21"/>
                <w:highlight w:val="none"/>
              </w:rPr>
            </w:pPr>
            <w:r>
              <w:rPr>
                <w:color w:val="auto"/>
                <w:kern w:val="0"/>
                <w:szCs w:val="21"/>
                <w:highlight w:val="none"/>
                <w:lang w:val="de-DE"/>
              </w:rPr>
              <w:t>N</w:t>
            </w:r>
            <w:r>
              <w:rPr>
                <w:rFonts w:hint="eastAsia"/>
                <w:color w:val="auto"/>
                <w:kern w:val="0"/>
                <w:szCs w:val="21"/>
                <w:highlight w:val="none"/>
                <w:lang w:val="de-DE"/>
              </w:rPr>
              <w:t>：</w:t>
            </w:r>
            <w:r>
              <w:rPr>
                <w:color w:val="auto"/>
                <w:kern w:val="0"/>
                <w:szCs w:val="21"/>
                <w:highlight w:val="none"/>
                <w:lang w:val="de-DE"/>
              </w:rPr>
              <w:t>44°20</w:t>
            </w:r>
            <w:r>
              <w:rPr>
                <w:rFonts w:hint="eastAsia"/>
                <w:color w:val="auto"/>
                <w:kern w:val="0"/>
                <w:szCs w:val="21"/>
                <w:highlight w:val="none"/>
                <w:lang w:val="de-DE"/>
              </w:rPr>
              <w:t>′</w:t>
            </w:r>
            <w:r>
              <w:rPr>
                <w:color w:val="auto"/>
                <w:kern w:val="0"/>
                <w:szCs w:val="21"/>
                <w:highlight w:val="none"/>
                <w:lang w:val="de-DE"/>
              </w:rPr>
              <w:t>26.62</w:t>
            </w:r>
            <w:r>
              <w:rPr>
                <w:rFonts w:hint="eastAsia"/>
                <w:color w:val="auto"/>
                <w:kern w:val="0"/>
                <w:szCs w:val="21"/>
                <w:highlight w:val="none"/>
                <w:lang w:val="de-DE"/>
              </w:rPr>
              <w:t>″</w:t>
            </w:r>
          </w:p>
        </w:tc>
        <w:tc>
          <w:tcPr>
            <w:tcW w:w="660" w:type="dxa"/>
            <w:shd w:val="clear" w:color="auto" w:fill="auto"/>
            <w:vAlign w:val="center"/>
          </w:tcPr>
          <w:p w14:paraId="24C737EE">
            <w:pPr>
              <w:widowControl/>
              <w:adjustRightInd w:val="0"/>
              <w:snapToGrid w:val="0"/>
              <w:jc w:val="center"/>
              <w:rPr>
                <w:snapToGrid w:val="0"/>
                <w:color w:val="auto"/>
                <w:kern w:val="0"/>
                <w:szCs w:val="21"/>
                <w:highlight w:val="none"/>
              </w:rPr>
            </w:pPr>
            <w:r>
              <w:rPr>
                <w:rFonts w:hint="eastAsia"/>
                <w:color w:val="auto"/>
                <w:kern w:val="0"/>
                <w:szCs w:val="21"/>
                <w:highlight w:val="none"/>
              </w:rPr>
              <w:t>140</w:t>
            </w:r>
          </w:p>
        </w:tc>
        <w:tc>
          <w:tcPr>
            <w:tcW w:w="540" w:type="dxa"/>
            <w:shd w:val="clear" w:color="auto" w:fill="auto"/>
            <w:vAlign w:val="center"/>
          </w:tcPr>
          <w:p w14:paraId="42283A70">
            <w:pPr>
              <w:widowControl/>
              <w:adjustRightInd w:val="0"/>
              <w:snapToGrid w:val="0"/>
              <w:jc w:val="center"/>
              <w:rPr>
                <w:snapToGrid w:val="0"/>
                <w:color w:val="auto"/>
                <w:kern w:val="0"/>
                <w:szCs w:val="21"/>
                <w:highlight w:val="none"/>
              </w:rPr>
            </w:pPr>
            <w:r>
              <w:rPr>
                <w:rFonts w:hint="eastAsia"/>
                <w:color w:val="auto"/>
                <w:kern w:val="0"/>
                <w:szCs w:val="21"/>
                <w:highlight w:val="none"/>
              </w:rPr>
              <w:t>200</w:t>
            </w:r>
          </w:p>
        </w:tc>
        <w:tc>
          <w:tcPr>
            <w:tcW w:w="1270" w:type="dxa"/>
            <w:vMerge w:val="continue"/>
            <w:shd w:val="clear" w:color="auto" w:fill="auto"/>
            <w:vAlign w:val="center"/>
          </w:tcPr>
          <w:p w14:paraId="18C20BC3">
            <w:pPr>
              <w:widowControl/>
              <w:adjustRightInd w:val="0"/>
              <w:snapToGrid w:val="0"/>
              <w:jc w:val="center"/>
              <w:rPr>
                <w:color w:val="auto"/>
                <w:kern w:val="0"/>
                <w:szCs w:val="21"/>
                <w:highlight w:val="none"/>
              </w:rPr>
            </w:pPr>
          </w:p>
        </w:tc>
        <w:tc>
          <w:tcPr>
            <w:tcW w:w="912" w:type="dxa"/>
            <w:vMerge w:val="continue"/>
            <w:shd w:val="clear" w:color="auto" w:fill="auto"/>
            <w:vAlign w:val="center"/>
          </w:tcPr>
          <w:p w14:paraId="2B2093C1">
            <w:pPr>
              <w:widowControl/>
              <w:adjustRightInd w:val="0"/>
              <w:snapToGrid w:val="0"/>
              <w:jc w:val="center"/>
              <w:rPr>
                <w:color w:val="auto"/>
                <w:kern w:val="0"/>
                <w:szCs w:val="21"/>
                <w:highlight w:val="none"/>
              </w:rPr>
            </w:pPr>
          </w:p>
        </w:tc>
      </w:tr>
    </w:tbl>
    <w:p w14:paraId="6972275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5.3.3.2监测因子</w:t>
      </w:r>
    </w:p>
    <w:p w14:paraId="756774F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本次评价选取《地下水质量标准》（GB/T14848-2017）的常规指标及特征因子进行分析，主要监测因子见表5.3-</w:t>
      </w:r>
      <w:r>
        <w:rPr>
          <w:rFonts w:hint="eastAsia"/>
          <w:snapToGrid w:val="0"/>
          <w:color w:val="auto"/>
          <w:kern w:val="0"/>
          <w:sz w:val="24"/>
          <w:highlight w:val="none"/>
          <w:lang w:val="en-US" w:eastAsia="zh-CN"/>
        </w:rPr>
        <w:t>9</w:t>
      </w:r>
      <w:r>
        <w:rPr>
          <w:rFonts w:hint="eastAsia"/>
          <w:snapToGrid w:val="0"/>
          <w:color w:val="auto"/>
          <w:kern w:val="0"/>
          <w:sz w:val="24"/>
          <w:highlight w:val="none"/>
        </w:rPr>
        <w:t>。</w:t>
      </w:r>
    </w:p>
    <w:p w14:paraId="30C3490B">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5.3-</w:t>
      </w:r>
      <w:r>
        <w:rPr>
          <w:rFonts w:hint="eastAsia" w:ascii="Times New Roman" w:hAnsi="Times New Roman" w:cs="Times New Roman"/>
          <w:color w:val="auto"/>
          <w:sz w:val="21"/>
          <w:szCs w:val="21"/>
          <w:highlight w:val="none"/>
          <w:lang w:val="en-US" w:eastAsia="zh-CN"/>
        </w:rPr>
        <w:t>9</w:t>
      </w:r>
      <w:r>
        <w:rPr>
          <w:rFonts w:hint="eastAsia" w:ascii="Times New Roman" w:hAnsi="Times New Roman" w:cs="Times New Roman"/>
          <w:color w:val="auto"/>
          <w:sz w:val="21"/>
          <w:szCs w:val="21"/>
          <w:highlight w:val="none"/>
        </w:rPr>
        <w:t xml:space="preserve"> 地下水环境监测因子一览表</w:t>
      </w:r>
    </w:p>
    <w:tbl>
      <w:tblPr>
        <w:tblStyle w:val="5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07"/>
        <w:gridCol w:w="5714"/>
        <w:gridCol w:w="909"/>
      </w:tblGrid>
      <w:tr w14:paraId="0BADD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blHeader/>
          <w:jc w:val="center"/>
        </w:trPr>
        <w:tc>
          <w:tcPr>
            <w:tcW w:w="976" w:type="pct"/>
            <w:shd w:val="clear" w:color="auto" w:fill="auto"/>
            <w:vAlign w:val="center"/>
          </w:tcPr>
          <w:p w14:paraId="771BF73D">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snapToGrid w:val="0"/>
                <w:color w:val="auto"/>
                <w:kern w:val="0"/>
                <w:szCs w:val="21"/>
                <w:highlight w:val="none"/>
              </w:rPr>
              <w:t>指标类型</w:t>
            </w:r>
          </w:p>
        </w:tc>
        <w:tc>
          <w:tcPr>
            <w:tcW w:w="3470" w:type="pct"/>
            <w:shd w:val="clear" w:color="auto" w:fill="auto"/>
            <w:vAlign w:val="center"/>
          </w:tcPr>
          <w:p w14:paraId="60DE3AEC">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rFonts w:hint="eastAsia"/>
                <w:snapToGrid w:val="0"/>
                <w:color w:val="auto"/>
                <w:kern w:val="0"/>
                <w:szCs w:val="21"/>
                <w:highlight w:val="none"/>
              </w:rPr>
              <w:t>监测</w:t>
            </w:r>
            <w:r>
              <w:rPr>
                <w:snapToGrid w:val="0"/>
                <w:color w:val="auto"/>
                <w:kern w:val="0"/>
                <w:szCs w:val="21"/>
                <w:highlight w:val="none"/>
              </w:rPr>
              <w:t>指标名称</w:t>
            </w:r>
          </w:p>
        </w:tc>
        <w:tc>
          <w:tcPr>
            <w:tcW w:w="552" w:type="pct"/>
            <w:shd w:val="clear" w:color="auto" w:fill="auto"/>
            <w:vAlign w:val="center"/>
          </w:tcPr>
          <w:p w14:paraId="6ECEBADA">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snapToGrid w:val="0"/>
                <w:color w:val="auto"/>
                <w:kern w:val="0"/>
                <w:szCs w:val="21"/>
                <w:highlight w:val="none"/>
              </w:rPr>
              <w:t>数量</w:t>
            </w:r>
          </w:p>
        </w:tc>
      </w:tr>
      <w:tr w14:paraId="51E6F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blHeader/>
          <w:jc w:val="center"/>
        </w:trPr>
        <w:tc>
          <w:tcPr>
            <w:tcW w:w="976" w:type="pct"/>
            <w:shd w:val="clear" w:color="auto" w:fill="auto"/>
            <w:vAlign w:val="center"/>
          </w:tcPr>
          <w:p w14:paraId="37CA5E5E">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snapToGrid w:val="0"/>
                <w:color w:val="auto"/>
                <w:kern w:val="0"/>
                <w:szCs w:val="21"/>
                <w:highlight w:val="none"/>
              </w:rPr>
              <w:t>常规指标</w:t>
            </w:r>
          </w:p>
        </w:tc>
        <w:tc>
          <w:tcPr>
            <w:tcW w:w="3470" w:type="pct"/>
            <w:shd w:val="clear" w:color="auto" w:fill="auto"/>
            <w:vAlign w:val="center"/>
          </w:tcPr>
          <w:p w14:paraId="7876FCFA">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color w:val="auto"/>
                <w:highlight w:val="none"/>
                <w:lang w:bidi="ar"/>
              </w:rPr>
              <w:t>pH</w:t>
            </w:r>
            <w:r>
              <w:rPr>
                <w:rFonts w:hint="eastAsia"/>
                <w:color w:val="auto"/>
                <w:highlight w:val="none"/>
                <w:lang w:bidi="ar"/>
              </w:rPr>
              <w:t>、总硬度、溶解性总固体、耗氧量、硝酸盐、亚硝酸盐、氨氮、硫酸盐、氟化物、氯化物、硫化物、总氰化物、挥发酚、苯、甲苯、总大肠菌群、石油类、六价铬、铁、铜、锌、镍、镉、铅、汞</w:t>
            </w:r>
          </w:p>
        </w:tc>
        <w:tc>
          <w:tcPr>
            <w:tcW w:w="552" w:type="pct"/>
            <w:shd w:val="clear" w:color="auto" w:fill="auto"/>
            <w:vAlign w:val="center"/>
          </w:tcPr>
          <w:p w14:paraId="6AD990A5">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rFonts w:hint="eastAsia"/>
                <w:snapToGrid w:val="0"/>
                <w:color w:val="auto"/>
                <w:kern w:val="0"/>
                <w:szCs w:val="21"/>
                <w:highlight w:val="none"/>
              </w:rPr>
              <w:t>2</w:t>
            </w:r>
            <w:r>
              <w:rPr>
                <w:rFonts w:hint="eastAsia"/>
                <w:snapToGrid w:val="0"/>
                <w:color w:val="auto"/>
                <w:kern w:val="0"/>
                <w:szCs w:val="21"/>
                <w:highlight w:val="none"/>
                <w:lang w:val="en-US" w:eastAsia="zh-CN"/>
              </w:rPr>
              <w:t>5</w:t>
            </w:r>
            <w:r>
              <w:rPr>
                <w:snapToGrid w:val="0"/>
                <w:color w:val="auto"/>
                <w:kern w:val="0"/>
                <w:szCs w:val="21"/>
                <w:highlight w:val="none"/>
              </w:rPr>
              <w:t>项</w:t>
            </w:r>
          </w:p>
        </w:tc>
      </w:tr>
      <w:tr w14:paraId="59C88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blHeader/>
          <w:jc w:val="center"/>
        </w:trPr>
        <w:tc>
          <w:tcPr>
            <w:tcW w:w="976" w:type="pct"/>
            <w:shd w:val="clear" w:color="auto" w:fill="auto"/>
            <w:vAlign w:val="center"/>
          </w:tcPr>
          <w:p w14:paraId="5E706C01">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snapToGrid w:val="0"/>
                <w:color w:val="auto"/>
                <w:kern w:val="0"/>
                <w:szCs w:val="21"/>
                <w:highlight w:val="none"/>
              </w:rPr>
              <w:t>八大离子</w:t>
            </w:r>
          </w:p>
        </w:tc>
        <w:tc>
          <w:tcPr>
            <w:tcW w:w="3470" w:type="pct"/>
            <w:shd w:val="clear" w:color="auto" w:fill="auto"/>
            <w:vAlign w:val="center"/>
          </w:tcPr>
          <w:p w14:paraId="7C062490">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rFonts w:hint="eastAsia"/>
                <w:snapToGrid w:val="0"/>
                <w:color w:val="auto"/>
                <w:kern w:val="0"/>
                <w:szCs w:val="21"/>
                <w:highlight w:val="none"/>
              </w:rPr>
              <w:t>K</w:t>
            </w:r>
            <w:r>
              <w:rPr>
                <w:rFonts w:hint="eastAsia"/>
                <w:snapToGrid w:val="0"/>
                <w:color w:val="auto"/>
                <w:kern w:val="0"/>
                <w:szCs w:val="21"/>
                <w:highlight w:val="none"/>
                <w:vertAlign w:val="superscript"/>
              </w:rPr>
              <w:t>+</w:t>
            </w:r>
            <w:r>
              <w:rPr>
                <w:rFonts w:hint="eastAsia"/>
                <w:snapToGrid w:val="0"/>
                <w:color w:val="auto"/>
                <w:kern w:val="0"/>
                <w:szCs w:val="21"/>
                <w:highlight w:val="none"/>
              </w:rPr>
              <w:t>、Na</w:t>
            </w:r>
            <w:r>
              <w:rPr>
                <w:rFonts w:hint="eastAsia"/>
                <w:snapToGrid w:val="0"/>
                <w:color w:val="auto"/>
                <w:kern w:val="0"/>
                <w:szCs w:val="21"/>
                <w:highlight w:val="none"/>
                <w:vertAlign w:val="superscript"/>
              </w:rPr>
              <w:t>+</w:t>
            </w:r>
            <w:r>
              <w:rPr>
                <w:rFonts w:hint="eastAsia"/>
                <w:snapToGrid w:val="0"/>
                <w:color w:val="auto"/>
                <w:kern w:val="0"/>
                <w:szCs w:val="21"/>
                <w:highlight w:val="none"/>
              </w:rPr>
              <w:t>、Ca</w:t>
            </w:r>
            <w:r>
              <w:rPr>
                <w:rFonts w:hint="eastAsia"/>
                <w:snapToGrid w:val="0"/>
                <w:color w:val="auto"/>
                <w:kern w:val="0"/>
                <w:szCs w:val="21"/>
                <w:highlight w:val="none"/>
                <w:vertAlign w:val="superscript"/>
              </w:rPr>
              <w:t>2+</w:t>
            </w:r>
            <w:r>
              <w:rPr>
                <w:rFonts w:hint="eastAsia"/>
                <w:snapToGrid w:val="0"/>
                <w:color w:val="auto"/>
                <w:kern w:val="0"/>
                <w:szCs w:val="21"/>
                <w:highlight w:val="none"/>
              </w:rPr>
              <w:t>、Mg</w:t>
            </w:r>
            <w:r>
              <w:rPr>
                <w:rFonts w:hint="eastAsia"/>
                <w:snapToGrid w:val="0"/>
                <w:color w:val="auto"/>
                <w:kern w:val="0"/>
                <w:szCs w:val="21"/>
                <w:highlight w:val="none"/>
                <w:vertAlign w:val="superscript"/>
              </w:rPr>
              <w:t>2+</w:t>
            </w:r>
            <w:r>
              <w:rPr>
                <w:rFonts w:hint="eastAsia"/>
                <w:snapToGrid w:val="0"/>
                <w:color w:val="auto"/>
                <w:kern w:val="0"/>
                <w:szCs w:val="21"/>
                <w:highlight w:val="none"/>
              </w:rPr>
              <w:t>、CO</w:t>
            </w:r>
            <w:r>
              <w:rPr>
                <w:rFonts w:hint="eastAsia"/>
                <w:snapToGrid w:val="0"/>
                <w:color w:val="auto"/>
                <w:kern w:val="0"/>
                <w:szCs w:val="21"/>
                <w:highlight w:val="none"/>
                <w:vertAlign w:val="subscript"/>
              </w:rPr>
              <w:t>3</w:t>
            </w:r>
            <w:r>
              <w:rPr>
                <w:rFonts w:hint="eastAsia"/>
                <w:snapToGrid w:val="0"/>
                <w:color w:val="auto"/>
                <w:kern w:val="0"/>
                <w:szCs w:val="21"/>
                <w:highlight w:val="none"/>
                <w:vertAlign w:val="superscript"/>
              </w:rPr>
              <w:t>2-</w:t>
            </w:r>
            <w:r>
              <w:rPr>
                <w:rFonts w:hint="eastAsia"/>
                <w:snapToGrid w:val="0"/>
                <w:color w:val="auto"/>
                <w:kern w:val="0"/>
                <w:szCs w:val="21"/>
                <w:highlight w:val="none"/>
              </w:rPr>
              <w:t>、SO</w:t>
            </w:r>
            <w:r>
              <w:rPr>
                <w:rFonts w:hint="eastAsia"/>
                <w:snapToGrid w:val="0"/>
                <w:color w:val="auto"/>
                <w:kern w:val="0"/>
                <w:szCs w:val="21"/>
                <w:highlight w:val="none"/>
                <w:vertAlign w:val="subscript"/>
              </w:rPr>
              <w:t>4</w:t>
            </w:r>
            <w:r>
              <w:rPr>
                <w:rFonts w:hint="eastAsia"/>
                <w:snapToGrid w:val="0"/>
                <w:color w:val="auto"/>
                <w:kern w:val="0"/>
                <w:szCs w:val="21"/>
                <w:highlight w:val="none"/>
                <w:vertAlign w:val="superscript"/>
              </w:rPr>
              <w:t>2-</w:t>
            </w:r>
            <w:r>
              <w:rPr>
                <w:rFonts w:hint="eastAsia"/>
                <w:snapToGrid w:val="0"/>
                <w:color w:val="auto"/>
                <w:kern w:val="0"/>
                <w:szCs w:val="21"/>
                <w:highlight w:val="none"/>
              </w:rPr>
              <w:t>、Cl</w:t>
            </w:r>
            <w:r>
              <w:rPr>
                <w:rFonts w:hint="eastAsia"/>
                <w:snapToGrid w:val="0"/>
                <w:color w:val="auto"/>
                <w:kern w:val="0"/>
                <w:szCs w:val="21"/>
                <w:highlight w:val="none"/>
                <w:vertAlign w:val="superscript"/>
              </w:rPr>
              <w:t>-</w:t>
            </w:r>
            <w:r>
              <w:rPr>
                <w:rFonts w:hint="eastAsia"/>
                <w:snapToGrid w:val="0"/>
                <w:color w:val="auto"/>
                <w:kern w:val="0"/>
                <w:szCs w:val="21"/>
                <w:highlight w:val="none"/>
              </w:rPr>
              <w:t>、HCO</w:t>
            </w:r>
            <w:r>
              <w:rPr>
                <w:rFonts w:hint="eastAsia"/>
                <w:snapToGrid w:val="0"/>
                <w:color w:val="auto"/>
                <w:kern w:val="0"/>
                <w:szCs w:val="21"/>
                <w:highlight w:val="none"/>
                <w:vertAlign w:val="subscript"/>
              </w:rPr>
              <w:t>3</w:t>
            </w:r>
            <w:r>
              <w:rPr>
                <w:rFonts w:hint="eastAsia"/>
                <w:snapToGrid w:val="0"/>
                <w:color w:val="auto"/>
                <w:kern w:val="0"/>
                <w:szCs w:val="21"/>
                <w:highlight w:val="none"/>
                <w:vertAlign w:val="superscript"/>
              </w:rPr>
              <w:t>-</w:t>
            </w:r>
          </w:p>
        </w:tc>
        <w:tc>
          <w:tcPr>
            <w:tcW w:w="552" w:type="pct"/>
            <w:shd w:val="clear" w:color="auto" w:fill="auto"/>
            <w:vAlign w:val="center"/>
          </w:tcPr>
          <w:p w14:paraId="10EBA046">
            <w:pPr>
              <w:pStyle w:val="42"/>
              <w:tabs>
                <w:tab w:val="left" w:pos="0"/>
              </w:tabs>
              <w:adjustRightInd w:val="0"/>
              <w:snapToGrid w:val="0"/>
              <w:spacing w:line="260" w:lineRule="exact"/>
              <w:ind w:left="0" w:firstLine="0" w:firstLineChars="0"/>
              <w:jc w:val="center"/>
              <w:rPr>
                <w:snapToGrid w:val="0"/>
                <w:color w:val="auto"/>
                <w:kern w:val="0"/>
                <w:szCs w:val="21"/>
                <w:highlight w:val="none"/>
              </w:rPr>
            </w:pPr>
            <w:r>
              <w:rPr>
                <w:rFonts w:hint="eastAsia"/>
                <w:snapToGrid w:val="0"/>
                <w:color w:val="auto"/>
                <w:kern w:val="0"/>
                <w:szCs w:val="21"/>
                <w:highlight w:val="none"/>
              </w:rPr>
              <w:t>8</w:t>
            </w:r>
            <w:r>
              <w:rPr>
                <w:snapToGrid w:val="0"/>
                <w:color w:val="auto"/>
                <w:kern w:val="0"/>
                <w:szCs w:val="21"/>
                <w:highlight w:val="none"/>
              </w:rPr>
              <w:t>项</w:t>
            </w:r>
          </w:p>
        </w:tc>
      </w:tr>
    </w:tbl>
    <w:p w14:paraId="06E2EB3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5.3.3.3监测方法</w:t>
      </w:r>
    </w:p>
    <w:p w14:paraId="0231C90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本项目地下水监测因子监测方法详见表5.3-</w:t>
      </w:r>
      <w:r>
        <w:rPr>
          <w:rFonts w:hint="eastAsia"/>
          <w:snapToGrid w:val="0"/>
          <w:color w:val="auto"/>
          <w:kern w:val="0"/>
          <w:sz w:val="24"/>
          <w:highlight w:val="none"/>
          <w:lang w:val="en-US" w:eastAsia="zh-CN"/>
        </w:rPr>
        <w:t>10</w:t>
      </w:r>
      <w:r>
        <w:rPr>
          <w:rFonts w:hint="eastAsia"/>
          <w:snapToGrid w:val="0"/>
          <w:color w:val="auto"/>
          <w:kern w:val="0"/>
          <w:sz w:val="24"/>
          <w:highlight w:val="none"/>
        </w:rPr>
        <w:t>。</w:t>
      </w:r>
    </w:p>
    <w:p w14:paraId="0633DE36">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10</w:t>
      </w:r>
      <w:r>
        <w:rPr>
          <w:rFonts w:hint="eastAsia" w:ascii="Times New Roman" w:hAnsi="Times New Roman" w:cs="Times New Roman"/>
          <w:snapToGrid w:val="0"/>
          <w:color w:val="auto"/>
          <w:kern w:val="0"/>
          <w:sz w:val="21"/>
          <w:szCs w:val="21"/>
          <w:highlight w:val="none"/>
        </w:rPr>
        <w:t xml:space="preserve"> 地下水监测方法一览表</w:t>
      </w:r>
    </w:p>
    <w:tbl>
      <w:tblPr>
        <w:tblStyle w:val="56"/>
        <w:tblW w:w="4998" w:type="pct"/>
        <w:jc w:val="center"/>
        <w:tblLayout w:type="autofit"/>
        <w:tblCellMar>
          <w:top w:w="0" w:type="dxa"/>
          <w:left w:w="108" w:type="dxa"/>
          <w:bottom w:w="0" w:type="dxa"/>
          <w:right w:w="108" w:type="dxa"/>
        </w:tblCellMar>
      </w:tblPr>
      <w:tblGrid>
        <w:gridCol w:w="607"/>
        <w:gridCol w:w="1279"/>
        <w:gridCol w:w="5105"/>
        <w:gridCol w:w="1442"/>
      </w:tblGrid>
      <w:tr w14:paraId="1BABBD3C">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DCE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序号</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C866">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检测项目</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B677">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检测依据</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C09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检出限</w:t>
            </w:r>
          </w:p>
        </w:tc>
      </w:tr>
      <w:tr w14:paraId="69904880">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6D17">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17F2C">
            <w:pPr>
              <w:widowControl/>
              <w:adjustRightInd w:val="0"/>
              <w:snapToGrid w:val="0"/>
              <w:jc w:val="center"/>
              <w:rPr>
                <w:snapToGrid w:val="0"/>
                <w:color w:val="auto"/>
                <w:kern w:val="0"/>
                <w:szCs w:val="21"/>
                <w:highlight w:val="none"/>
              </w:rPr>
            </w:pPr>
            <w:r>
              <w:rPr>
                <w:rFonts w:hint="eastAsia"/>
                <w:color w:val="auto"/>
                <w:kern w:val="0"/>
                <w:szCs w:val="21"/>
                <w:highlight w:val="none"/>
              </w:rPr>
              <w:t>pH值</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FA82C">
            <w:pPr>
              <w:widowControl/>
              <w:adjustRightInd w:val="0"/>
              <w:snapToGrid w:val="0"/>
              <w:jc w:val="center"/>
              <w:rPr>
                <w:snapToGrid w:val="0"/>
                <w:color w:val="auto"/>
                <w:kern w:val="0"/>
                <w:szCs w:val="21"/>
                <w:highlight w:val="none"/>
              </w:rPr>
            </w:pPr>
            <w:r>
              <w:rPr>
                <w:rFonts w:hint="eastAsia"/>
                <w:color w:val="auto"/>
                <w:kern w:val="0"/>
                <w:szCs w:val="21"/>
                <w:highlight w:val="none"/>
              </w:rPr>
              <w:t>水质pH值的测定 电极法HJ1147-2020</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55727">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w:t>
            </w:r>
          </w:p>
        </w:tc>
      </w:tr>
      <w:tr w14:paraId="2946BAD0">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941C">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71EC">
            <w:pPr>
              <w:widowControl/>
              <w:adjustRightInd w:val="0"/>
              <w:snapToGrid w:val="0"/>
              <w:jc w:val="center"/>
              <w:rPr>
                <w:snapToGrid w:val="0"/>
                <w:color w:val="auto"/>
                <w:kern w:val="0"/>
                <w:szCs w:val="21"/>
                <w:highlight w:val="none"/>
              </w:rPr>
            </w:pPr>
            <w:r>
              <w:rPr>
                <w:rFonts w:hint="eastAsia"/>
                <w:color w:val="auto"/>
                <w:kern w:val="0"/>
                <w:szCs w:val="21"/>
                <w:highlight w:val="none"/>
              </w:rPr>
              <w:t>总大肠菌群</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3876">
            <w:pPr>
              <w:widowControl/>
              <w:adjustRightInd w:val="0"/>
              <w:snapToGrid w:val="0"/>
              <w:jc w:val="center"/>
              <w:rPr>
                <w:color w:val="auto"/>
                <w:kern w:val="0"/>
                <w:szCs w:val="21"/>
                <w:highlight w:val="none"/>
              </w:rPr>
            </w:pPr>
            <w:r>
              <w:rPr>
                <w:rFonts w:hint="eastAsia"/>
                <w:color w:val="auto"/>
                <w:kern w:val="0"/>
                <w:szCs w:val="21"/>
                <w:highlight w:val="none"/>
              </w:rPr>
              <w:t>生活饮用水标准检验方法 微生物指标</w:t>
            </w:r>
          </w:p>
          <w:p w14:paraId="081BFF49">
            <w:pPr>
              <w:widowControl/>
              <w:adjustRightInd w:val="0"/>
              <w:snapToGrid w:val="0"/>
              <w:jc w:val="center"/>
              <w:rPr>
                <w:snapToGrid w:val="0"/>
                <w:color w:val="auto"/>
                <w:kern w:val="0"/>
                <w:szCs w:val="21"/>
                <w:highlight w:val="none"/>
              </w:rPr>
            </w:pPr>
            <w:r>
              <w:rPr>
                <w:rFonts w:hint="eastAsia"/>
                <w:color w:val="auto"/>
                <w:kern w:val="0"/>
                <w:szCs w:val="21"/>
                <w:highlight w:val="none"/>
              </w:rPr>
              <w:t>GB/T 5750.12-2023（5.1 多管发酵法）</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740A">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2MPN/100mL</w:t>
            </w:r>
          </w:p>
        </w:tc>
      </w:tr>
      <w:tr w14:paraId="5F146AC7">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FFD8">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3</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88BCE">
            <w:pPr>
              <w:widowControl/>
              <w:adjustRightInd w:val="0"/>
              <w:snapToGrid w:val="0"/>
              <w:jc w:val="center"/>
              <w:rPr>
                <w:snapToGrid w:val="0"/>
                <w:color w:val="auto"/>
                <w:kern w:val="0"/>
                <w:szCs w:val="21"/>
                <w:highlight w:val="none"/>
              </w:rPr>
            </w:pPr>
            <w:r>
              <w:rPr>
                <w:rFonts w:hint="eastAsia"/>
                <w:color w:val="auto"/>
                <w:kern w:val="0"/>
                <w:szCs w:val="21"/>
                <w:highlight w:val="none"/>
              </w:rPr>
              <w:t>总硬度</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AF4BD">
            <w:pPr>
              <w:widowControl/>
              <w:adjustRightInd w:val="0"/>
              <w:snapToGrid w:val="0"/>
              <w:jc w:val="center"/>
              <w:rPr>
                <w:snapToGrid w:val="0"/>
                <w:color w:val="auto"/>
                <w:kern w:val="0"/>
                <w:szCs w:val="21"/>
                <w:highlight w:val="none"/>
              </w:rPr>
            </w:pPr>
            <w:r>
              <w:rPr>
                <w:rFonts w:hint="eastAsia"/>
                <w:color w:val="auto"/>
                <w:kern w:val="0"/>
                <w:szCs w:val="21"/>
                <w:highlight w:val="none"/>
              </w:rPr>
              <w:t>水质钙和镁总量的测定EDTA滴定法GB7477-1987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18200">
            <w:pPr>
              <w:widowControl/>
              <w:adjustRightInd w:val="0"/>
              <w:snapToGrid w:val="0"/>
              <w:jc w:val="center"/>
              <w:rPr>
                <w:snapToGrid w:val="0"/>
                <w:color w:val="auto"/>
                <w:kern w:val="0"/>
                <w:szCs w:val="21"/>
                <w:highlight w:val="none"/>
              </w:rPr>
            </w:pPr>
            <w:r>
              <w:rPr>
                <w:rFonts w:hint="eastAsia"/>
                <w:color w:val="auto"/>
                <w:kern w:val="0"/>
                <w:szCs w:val="21"/>
                <w:highlight w:val="none"/>
              </w:rPr>
              <w:t>5.00mg/L</w:t>
            </w:r>
          </w:p>
        </w:tc>
      </w:tr>
      <w:tr w14:paraId="65A419B4">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4A1C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4</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23D71">
            <w:pPr>
              <w:widowControl/>
              <w:adjustRightInd w:val="0"/>
              <w:snapToGrid w:val="0"/>
              <w:jc w:val="center"/>
              <w:rPr>
                <w:snapToGrid w:val="0"/>
                <w:color w:val="auto"/>
                <w:kern w:val="0"/>
                <w:szCs w:val="21"/>
                <w:highlight w:val="none"/>
              </w:rPr>
            </w:pPr>
            <w:r>
              <w:rPr>
                <w:rFonts w:hint="eastAsia"/>
                <w:color w:val="auto"/>
                <w:kern w:val="0"/>
                <w:szCs w:val="21"/>
                <w:highlight w:val="none"/>
              </w:rPr>
              <w:t xml:space="preserve">耗氧量 </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6DC9">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地下水质分析方法第68部分：耗氧量的测定酸性高锰酸钾滴定法 DZ/T 0064.68-2021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C562">
            <w:pPr>
              <w:widowControl/>
              <w:adjustRightInd w:val="0"/>
              <w:snapToGrid w:val="0"/>
              <w:jc w:val="center"/>
              <w:rPr>
                <w:snapToGrid w:val="0"/>
                <w:color w:val="auto"/>
                <w:kern w:val="0"/>
                <w:szCs w:val="21"/>
                <w:highlight w:val="none"/>
              </w:rPr>
            </w:pPr>
            <w:r>
              <w:rPr>
                <w:color w:val="auto"/>
                <w:kern w:val="0"/>
                <w:szCs w:val="21"/>
                <w:highlight w:val="none"/>
              </w:rPr>
              <w:t>0.</w:t>
            </w:r>
            <w:r>
              <w:rPr>
                <w:rFonts w:hint="eastAsia"/>
                <w:color w:val="auto"/>
                <w:kern w:val="0"/>
                <w:szCs w:val="21"/>
                <w:highlight w:val="none"/>
              </w:rPr>
              <w:t>4</w:t>
            </w:r>
            <w:r>
              <w:rPr>
                <w:color w:val="auto"/>
                <w:kern w:val="0"/>
                <w:szCs w:val="21"/>
                <w:highlight w:val="none"/>
              </w:rPr>
              <w:t>mg/L</w:t>
            </w:r>
          </w:p>
        </w:tc>
      </w:tr>
      <w:tr w14:paraId="555D498F">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5E3F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5</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6A6F9">
            <w:pPr>
              <w:widowControl/>
              <w:adjustRightInd w:val="0"/>
              <w:snapToGrid w:val="0"/>
              <w:jc w:val="center"/>
              <w:rPr>
                <w:snapToGrid w:val="0"/>
                <w:color w:val="auto"/>
                <w:kern w:val="0"/>
                <w:szCs w:val="21"/>
                <w:highlight w:val="none"/>
              </w:rPr>
            </w:pPr>
            <w:r>
              <w:rPr>
                <w:rFonts w:hint="eastAsia"/>
                <w:color w:val="auto"/>
                <w:kern w:val="0"/>
                <w:szCs w:val="21"/>
                <w:highlight w:val="none"/>
              </w:rPr>
              <w:t>氯化物</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D4384">
            <w:pPr>
              <w:widowControl/>
              <w:adjustRightInd w:val="0"/>
              <w:snapToGrid w:val="0"/>
              <w:jc w:val="center"/>
              <w:rPr>
                <w:snapToGrid w:val="0"/>
                <w:color w:val="auto"/>
                <w:kern w:val="0"/>
                <w:szCs w:val="21"/>
                <w:highlight w:val="none"/>
              </w:rPr>
            </w:pPr>
            <w:r>
              <w:rPr>
                <w:color w:val="auto"/>
                <w:kern w:val="0"/>
                <w:szCs w:val="21"/>
                <w:highlight w:val="none"/>
              </w:rPr>
              <w:t>地下水质分析方法 第50部分：氯化物的测定 银量滴定法</w:t>
            </w:r>
            <w:r>
              <w:rPr>
                <w:rFonts w:hint="eastAsia"/>
                <w:color w:val="auto"/>
                <w:kern w:val="0"/>
                <w:szCs w:val="21"/>
                <w:highlight w:val="none"/>
              </w:rPr>
              <w:t xml:space="preserve"> </w:t>
            </w:r>
            <w:r>
              <w:rPr>
                <w:color w:val="auto"/>
                <w:kern w:val="0"/>
                <w:szCs w:val="21"/>
                <w:highlight w:val="none"/>
              </w:rPr>
              <w:t>DZ/T 0064.50-2021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79FE">
            <w:pPr>
              <w:widowControl/>
              <w:adjustRightInd w:val="0"/>
              <w:snapToGrid w:val="0"/>
              <w:jc w:val="center"/>
              <w:rPr>
                <w:snapToGrid w:val="0"/>
                <w:color w:val="auto"/>
                <w:kern w:val="0"/>
                <w:szCs w:val="21"/>
                <w:highlight w:val="none"/>
              </w:rPr>
            </w:pPr>
            <w:r>
              <w:rPr>
                <w:rFonts w:hint="eastAsia"/>
                <w:color w:val="auto"/>
                <w:kern w:val="0"/>
                <w:szCs w:val="21"/>
                <w:highlight w:val="none"/>
              </w:rPr>
              <w:t>3.0</w:t>
            </w:r>
            <w:r>
              <w:rPr>
                <w:color w:val="auto"/>
                <w:kern w:val="0"/>
                <w:szCs w:val="21"/>
                <w:highlight w:val="none"/>
              </w:rPr>
              <w:t>mg/L</w:t>
            </w:r>
          </w:p>
        </w:tc>
      </w:tr>
      <w:tr w14:paraId="29C706D7">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B8A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6</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5FB7">
            <w:pPr>
              <w:widowControl/>
              <w:adjustRightInd w:val="0"/>
              <w:snapToGrid w:val="0"/>
              <w:jc w:val="center"/>
              <w:rPr>
                <w:snapToGrid w:val="0"/>
                <w:color w:val="auto"/>
                <w:kern w:val="0"/>
                <w:szCs w:val="21"/>
                <w:highlight w:val="none"/>
              </w:rPr>
            </w:pPr>
            <w:r>
              <w:rPr>
                <w:rFonts w:hint="eastAsia"/>
                <w:color w:val="auto"/>
                <w:kern w:val="0"/>
                <w:szCs w:val="21"/>
                <w:highlight w:val="none"/>
              </w:rPr>
              <w:t>溶解性总固体</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B50B">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 第9部分：溶解性固体总量的测定 重量法 DZ/T0064.9-2021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B4D84">
            <w:pPr>
              <w:widowControl/>
              <w:adjustRightInd w:val="0"/>
              <w:snapToGrid w:val="0"/>
              <w:jc w:val="center"/>
              <w:rPr>
                <w:snapToGrid w:val="0"/>
                <w:color w:val="auto"/>
                <w:kern w:val="0"/>
                <w:szCs w:val="21"/>
                <w:highlight w:val="none"/>
              </w:rPr>
            </w:pPr>
            <w:r>
              <w:rPr>
                <w:rFonts w:hint="eastAsia"/>
                <w:color w:val="auto"/>
                <w:kern w:val="0"/>
                <w:szCs w:val="21"/>
                <w:highlight w:val="none"/>
              </w:rPr>
              <w:t>/</w:t>
            </w:r>
          </w:p>
        </w:tc>
      </w:tr>
      <w:tr w14:paraId="526605AA">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0E29">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7</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07EB">
            <w:pPr>
              <w:widowControl/>
              <w:adjustRightInd w:val="0"/>
              <w:snapToGrid w:val="0"/>
              <w:jc w:val="center"/>
              <w:rPr>
                <w:snapToGrid w:val="0"/>
                <w:color w:val="auto"/>
                <w:kern w:val="0"/>
                <w:szCs w:val="21"/>
                <w:highlight w:val="none"/>
              </w:rPr>
            </w:pPr>
            <w:r>
              <w:rPr>
                <w:rFonts w:hint="eastAsia"/>
                <w:color w:val="auto"/>
                <w:kern w:val="0"/>
                <w:szCs w:val="21"/>
                <w:highlight w:val="none"/>
              </w:rPr>
              <w:t>氨氮</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03B3">
            <w:pPr>
              <w:widowControl/>
              <w:adjustRightInd w:val="0"/>
              <w:snapToGrid w:val="0"/>
              <w:jc w:val="center"/>
              <w:rPr>
                <w:snapToGrid w:val="0"/>
                <w:color w:val="auto"/>
                <w:kern w:val="0"/>
                <w:szCs w:val="21"/>
                <w:highlight w:val="none"/>
              </w:rPr>
            </w:pPr>
            <w:r>
              <w:rPr>
                <w:rFonts w:hint="eastAsia"/>
                <w:color w:val="auto"/>
                <w:kern w:val="0"/>
                <w:szCs w:val="21"/>
                <w:highlight w:val="none"/>
              </w:rPr>
              <w:t>水质 氨氮的测定 流动注射-水杨酸分光光度法 HJ666-2013</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ACFC">
            <w:pPr>
              <w:widowControl/>
              <w:adjustRightInd w:val="0"/>
              <w:snapToGrid w:val="0"/>
              <w:jc w:val="center"/>
              <w:rPr>
                <w:snapToGrid w:val="0"/>
                <w:color w:val="auto"/>
                <w:kern w:val="0"/>
                <w:szCs w:val="21"/>
                <w:highlight w:val="none"/>
              </w:rPr>
            </w:pPr>
            <w:r>
              <w:rPr>
                <w:color w:val="auto"/>
                <w:kern w:val="0"/>
                <w:szCs w:val="21"/>
                <w:highlight w:val="none"/>
              </w:rPr>
              <w:t>0.0</w:t>
            </w:r>
            <w:r>
              <w:rPr>
                <w:rFonts w:hint="eastAsia"/>
                <w:color w:val="auto"/>
                <w:kern w:val="0"/>
                <w:szCs w:val="21"/>
                <w:highlight w:val="none"/>
              </w:rPr>
              <w:t>1</w:t>
            </w:r>
            <w:r>
              <w:rPr>
                <w:color w:val="auto"/>
                <w:kern w:val="0"/>
                <w:szCs w:val="21"/>
                <w:highlight w:val="none"/>
              </w:rPr>
              <w:t>mg/L</w:t>
            </w:r>
          </w:p>
        </w:tc>
      </w:tr>
      <w:tr w14:paraId="0A3438D9">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F8F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8</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531CE">
            <w:pPr>
              <w:widowControl/>
              <w:adjustRightInd w:val="0"/>
              <w:snapToGrid w:val="0"/>
              <w:jc w:val="center"/>
              <w:rPr>
                <w:snapToGrid w:val="0"/>
                <w:color w:val="auto"/>
                <w:kern w:val="0"/>
                <w:szCs w:val="21"/>
                <w:highlight w:val="none"/>
              </w:rPr>
            </w:pPr>
            <w:r>
              <w:rPr>
                <w:rFonts w:hint="eastAsia"/>
                <w:color w:val="auto"/>
                <w:kern w:val="0"/>
                <w:szCs w:val="21"/>
                <w:highlight w:val="none"/>
              </w:rPr>
              <w:t>硝酸盐氮</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4D22">
            <w:pPr>
              <w:widowControl/>
              <w:adjustRightInd w:val="0"/>
              <w:snapToGrid w:val="0"/>
              <w:jc w:val="center"/>
              <w:rPr>
                <w:snapToGrid w:val="0"/>
                <w:color w:val="auto"/>
                <w:kern w:val="0"/>
                <w:szCs w:val="21"/>
                <w:highlight w:val="none"/>
              </w:rPr>
            </w:pPr>
            <w:r>
              <w:rPr>
                <w:color w:val="auto"/>
                <w:kern w:val="0"/>
                <w:szCs w:val="21"/>
                <w:highlight w:val="none"/>
              </w:rPr>
              <w:t>水质</w:t>
            </w:r>
            <w:r>
              <w:rPr>
                <w:rFonts w:hint="eastAsia"/>
                <w:color w:val="auto"/>
                <w:kern w:val="0"/>
                <w:szCs w:val="21"/>
                <w:highlight w:val="none"/>
              </w:rPr>
              <w:t xml:space="preserve"> 硝酸盐氮</w:t>
            </w:r>
            <w:r>
              <w:rPr>
                <w:rFonts w:hint="eastAsia"/>
                <w:color w:val="auto"/>
                <w:kern w:val="0"/>
                <w:szCs w:val="21"/>
                <w:highlight w:val="none"/>
                <w:lang w:bidi="ar"/>
              </w:rPr>
              <w:t>的测定 紫外</w:t>
            </w:r>
            <w:r>
              <w:rPr>
                <w:color w:val="auto"/>
                <w:kern w:val="0"/>
                <w:szCs w:val="21"/>
                <w:highlight w:val="none"/>
              </w:rPr>
              <w:t>分光光度法</w:t>
            </w:r>
            <w:r>
              <w:rPr>
                <w:rFonts w:hint="eastAsia"/>
                <w:color w:val="auto"/>
                <w:kern w:val="0"/>
                <w:szCs w:val="21"/>
                <w:highlight w:val="none"/>
              </w:rPr>
              <w:t>（试行）</w:t>
            </w:r>
            <w:r>
              <w:rPr>
                <w:rFonts w:hint="eastAsia"/>
                <w:color w:val="auto"/>
                <w:kern w:val="0"/>
                <w:szCs w:val="21"/>
                <w:highlight w:val="none"/>
                <w:lang w:bidi="ar"/>
              </w:rPr>
              <w:t>HJ/T346-2007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5AB5">
            <w:pPr>
              <w:widowControl/>
              <w:adjustRightInd w:val="0"/>
              <w:snapToGrid w:val="0"/>
              <w:jc w:val="center"/>
              <w:rPr>
                <w:snapToGrid w:val="0"/>
                <w:color w:val="auto"/>
                <w:kern w:val="0"/>
                <w:szCs w:val="21"/>
                <w:highlight w:val="none"/>
              </w:rPr>
            </w:pPr>
            <w:r>
              <w:rPr>
                <w:rFonts w:hint="eastAsia"/>
                <w:color w:val="auto"/>
                <w:kern w:val="0"/>
                <w:szCs w:val="21"/>
                <w:highlight w:val="none"/>
              </w:rPr>
              <w:t>0.08</w:t>
            </w:r>
            <w:r>
              <w:rPr>
                <w:color w:val="auto"/>
                <w:kern w:val="0"/>
                <w:szCs w:val="21"/>
                <w:highlight w:val="none"/>
              </w:rPr>
              <w:t>mg/L</w:t>
            </w:r>
          </w:p>
        </w:tc>
      </w:tr>
      <w:tr w14:paraId="7532AC1A">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6A8B6">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9</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B80F8">
            <w:pPr>
              <w:widowControl/>
              <w:adjustRightInd w:val="0"/>
              <w:snapToGrid w:val="0"/>
              <w:jc w:val="center"/>
              <w:rPr>
                <w:snapToGrid w:val="0"/>
                <w:color w:val="auto"/>
                <w:kern w:val="0"/>
                <w:szCs w:val="21"/>
                <w:highlight w:val="none"/>
              </w:rPr>
            </w:pPr>
            <w:r>
              <w:rPr>
                <w:rFonts w:hint="eastAsia"/>
                <w:color w:val="auto"/>
                <w:kern w:val="0"/>
                <w:szCs w:val="21"/>
                <w:highlight w:val="none"/>
              </w:rPr>
              <w:t>亚硝酸盐氮</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A87D">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水质 亚硝酸盐氮的测定 分光光度法 GB7493-1987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E1E8C">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0.003</w:t>
            </w:r>
            <w:r>
              <w:rPr>
                <w:color w:val="auto"/>
                <w:kern w:val="0"/>
                <w:szCs w:val="21"/>
                <w:highlight w:val="none"/>
              </w:rPr>
              <w:t>mg/L</w:t>
            </w:r>
          </w:p>
        </w:tc>
      </w:tr>
      <w:tr w14:paraId="2C32F9D1">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8D90">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10</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08F0B">
            <w:pPr>
              <w:widowControl/>
              <w:adjustRightInd w:val="0"/>
              <w:snapToGrid w:val="0"/>
              <w:jc w:val="center"/>
              <w:rPr>
                <w:snapToGrid w:val="0"/>
                <w:color w:val="auto"/>
                <w:kern w:val="0"/>
                <w:szCs w:val="21"/>
                <w:highlight w:val="none"/>
              </w:rPr>
            </w:pPr>
            <w:r>
              <w:rPr>
                <w:rFonts w:hint="eastAsia"/>
                <w:color w:val="auto"/>
                <w:kern w:val="0"/>
                <w:szCs w:val="21"/>
                <w:highlight w:val="none"/>
              </w:rPr>
              <w:t>硫酸盐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FEC5">
            <w:pPr>
              <w:widowControl/>
              <w:adjustRightInd w:val="0"/>
              <w:snapToGrid w:val="0"/>
              <w:jc w:val="center"/>
              <w:rPr>
                <w:color w:val="auto"/>
                <w:kern w:val="0"/>
                <w:szCs w:val="21"/>
                <w:highlight w:val="none"/>
              </w:rPr>
            </w:pPr>
            <w:r>
              <w:rPr>
                <w:color w:val="auto"/>
                <w:kern w:val="0"/>
                <w:szCs w:val="21"/>
                <w:highlight w:val="none"/>
              </w:rPr>
              <w:t>水质</w:t>
            </w:r>
            <w:r>
              <w:rPr>
                <w:rFonts w:hint="eastAsia"/>
                <w:color w:val="auto"/>
                <w:kern w:val="0"/>
                <w:szCs w:val="21"/>
                <w:highlight w:val="none"/>
              </w:rPr>
              <w:t xml:space="preserve"> 硫酸盐</w:t>
            </w:r>
            <w:r>
              <w:rPr>
                <w:rFonts w:hint="eastAsia"/>
                <w:color w:val="auto"/>
                <w:kern w:val="0"/>
                <w:szCs w:val="21"/>
                <w:highlight w:val="none"/>
                <w:lang w:bidi="ar"/>
              </w:rPr>
              <w:t>的测定 铬酸钡分光光度法</w:t>
            </w:r>
            <w:r>
              <w:rPr>
                <w:rFonts w:hint="eastAsia"/>
                <w:color w:val="auto"/>
                <w:kern w:val="0"/>
                <w:szCs w:val="21"/>
                <w:highlight w:val="none"/>
              </w:rPr>
              <w:t>（试行）</w:t>
            </w:r>
          </w:p>
          <w:p w14:paraId="4C72AE6F">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HJ/T 342-2007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568E">
            <w:pPr>
              <w:widowControl/>
              <w:adjustRightInd w:val="0"/>
              <w:snapToGrid w:val="0"/>
              <w:jc w:val="center"/>
              <w:rPr>
                <w:snapToGrid w:val="0"/>
                <w:color w:val="auto"/>
                <w:kern w:val="0"/>
                <w:szCs w:val="21"/>
                <w:highlight w:val="none"/>
              </w:rPr>
            </w:pPr>
            <w:r>
              <w:rPr>
                <w:rFonts w:hint="eastAsia"/>
                <w:color w:val="auto"/>
                <w:kern w:val="0"/>
                <w:szCs w:val="21"/>
                <w:highlight w:val="none"/>
              </w:rPr>
              <w:t>8</w:t>
            </w:r>
            <w:r>
              <w:rPr>
                <w:color w:val="auto"/>
                <w:kern w:val="0"/>
                <w:szCs w:val="21"/>
                <w:highlight w:val="none"/>
              </w:rPr>
              <w:t>mg/L</w:t>
            </w:r>
          </w:p>
        </w:tc>
      </w:tr>
      <w:tr w14:paraId="4D9F4891">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759EF">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11</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0D9B">
            <w:pPr>
              <w:widowControl/>
              <w:adjustRightInd w:val="0"/>
              <w:snapToGrid w:val="0"/>
              <w:jc w:val="center"/>
              <w:rPr>
                <w:snapToGrid w:val="0"/>
                <w:color w:val="auto"/>
                <w:kern w:val="0"/>
                <w:szCs w:val="21"/>
                <w:highlight w:val="none"/>
              </w:rPr>
            </w:pPr>
            <w:r>
              <w:rPr>
                <w:rFonts w:hint="eastAsia"/>
                <w:color w:val="auto"/>
                <w:kern w:val="0"/>
                <w:szCs w:val="21"/>
                <w:highlight w:val="none"/>
              </w:rPr>
              <w:t>氟化物</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1E59">
            <w:pPr>
              <w:widowControl/>
              <w:adjustRightInd w:val="0"/>
              <w:snapToGrid w:val="0"/>
              <w:jc w:val="center"/>
              <w:rPr>
                <w:snapToGrid w:val="0"/>
                <w:color w:val="auto"/>
                <w:kern w:val="0"/>
                <w:szCs w:val="21"/>
                <w:highlight w:val="none"/>
              </w:rPr>
            </w:pPr>
            <w:r>
              <w:rPr>
                <w:rFonts w:hint="eastAsia"/>
                <w:color w:val="auto"/>
                <w:kern w:val="0"/>
                <w:szCs w:val="21"/>
                <w:highlight w:val="none"/>
              </w:rPr>
              <w:t>水质 氟化物的测定 离子选择电极法  GB7484-1987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1FD63">
            <w:pPr>
              <w:widowControl/>
              <w:adjustRightInd w:val="0"/>
              <w:snapToGrid w:val="0"/>
              <w:jc w:val="center"/>
              <w:rPr>
                <w:snapToGrid w:val="0"/>
                <w:color w:val="auto"/>
                <w:kern w:val="0"/>
                <w:szCs w:val="21"/>
                <w:highlight w:val="none"/>
              </w:rPr>
            </w:pPr>
            <w:r>
              <w:rPr>
                <w:rFonts w:hint="eastAsia"/>
                <w:color w:val="auto"/>
                <w:kern w:val="0"/>
                <w:szCs w:val="21"/>
                <w:highlight w:val="none"/>
              </w:rPr>
              <w:t>0.05</w:t>
            </w:r>
            <w:r>
              <w:rPr>
                <w:color w:val="auto"/>
                <w:kern w:val="0"/>
                <w:szCs w:val="21"/>
                <w:highlight w:val="none"/>
              </w:rPr>
              <w:t>mg/L</w:t>
            </w:r>
          </w:p>
        </w:tc>
      </w:tr>
      <w:tr w14:paraId="2180EFB7">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938B">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12</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8111F">
            <w:pPr>
              <w:widowControl/>
              <w:adjustRightInd w:val="0"/>
              <w:snapToGrid w:val="0"/>
              <w:jc w:val="center"/>
              <w:rPr>
                <w:snapToGrid w:val="0"/>
                <w:color w:val="auto"/>
                <w:kern w:val="0"/>
                <w:szCs w:val="21"/>
                <w:highlight w:val="none"/>
              </w:rPr>
            </w:pPr>
            <w:r>
              <w:rPr>
                <w:rFonts w:hint="eastAsia"/>
                <w:color w:val="auto"/>
                <w:kern w:val="0"/>
                <w:szCs w:val="21"/>
                <w:highlight w:val="none"/>
              </w:rPr>
              <w:t>氰化物</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DCC9">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 第52部分：氰化物的测定吡啶-吡唑啉酮分光光度法 DZ/T0064.52-2021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8EB7">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0.002</w:t>
            </w:r>
            <w:r>
              <w:rPr>
                <w:color w:val="auto"/>
                <w:kern w:val="0"/>
                <w:szCs w:val="21"/>
                <w:highlight w:val="none"/>
              </w:rPr>
              <w:t>mg/L</w:t>
            </w:r>
          </w:p>
        </w:tc>
      </w:tr>
      <w:tr w14:paraId="5BADA37D">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08B14">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13</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06267">
            <w:pPr>
              <w:widowControl/>
              <w:adjustRightInd w:val="0"/>
              <w:snapToGrid w:val="0"/>
              <w:jc w:val="center"/>
              <w:rPr>
                <w:snapToGrid w:val="0"/>
                <w:color w:val="auto"/>
                <w:kern w:val="0"/>
                <w:szCs w:val="21"/>
                <w:highlight w:val="none"/>
              </w:rPr>
            </w:pPr>
            <w:r>
              <w:rPr>
                <w:rFonts w:hint="eastAsia"/>
                <w:color w:val="auto"/>
                <w:kern w:val="0"/>
                <w:szCs w:val="21"/>
                <w:highlight w:val="none"/>
              </w:rPr>
              <w:t>挥发酚</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73AF2">
            <w:pPr>
              <w:widowControl/>
              <w:adjustRightInd w:val="0"/>
              <w:snapToGrid w:val="0"/>
              <w:jc w:val="center"/>
              <w:rPr>
                <w:snapToGrid w:val="0"/>
                <w:color w:val="auto"/>
                <w:kern w:val="0"/>
                <w:szCs w:val="21"/>
                <w:highlight w:val="none"/>
              </w:rPr>
            </w:pPr>
            <w:r>
              <w:rPr>
                <w:color w:val="auto"/>
                <w:kern w:val="0"/>
                <w:szCs w:val="21"/>
                <w:highlight w:val="none"/>
              </w:rPr>
              <w:t>水质 挥发酚的测定 4-氨基安替比林分光光度法HJ503-2009</w:t>
            </w:r>
            <w:r>
              <w:rPr>
                <w:rFonts w:hint="eastAsia"/>
                <w:color w:val="auto"/>
                <w:kern w:val="0"/>
                <w:szCs w:val="21"/>
                <w:highlight w:val="none"/>
              </w:rPr>
              <w:t>（方法1萃取分光光度法）</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ECA75">
            <w:pPr>
              <w:widowControl/>
              <w:adjustRightInd w:val="0"/>
              <w:snapToGrid w:val="0"/>
              <w:jc w:val="center"/>
              <w:rPr>
                <w:snapToGrid w:val="0"/>
                <w:color w:val="auto"/>
                <w:kern w:val="0"/>
                <w:szCs w:val="21"/>
                <w:highlight w:val="none"/>
              </w:rPr>
            </w:pPr>
            <w:r>
              <w:rPr>
                <w:color w:val="auto"/>
                <w:kern w:val="0"/>
                <w:szCs w:val="21"/>
                <w:highlight w:val="none"/>
              </w:rPr>
              <w:t>0.0003mg/L</w:t>
            </w:r>
          </w:p>
        </w:tc>
      </w:tr>
      <w:tr w14:paraId="282D1DC3">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7B4B">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14</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2C9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镉</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76E34">
            <w:pPr>
              <w:widowControl/>
              <w:adjustRightInd w:val="0"/>
              <w:snapToGrid w:val="0"/>
              <w:jc w:val="center"/>
              <w:rPr>
                <w:snapToGrid w:val="0"/>
                <w:color w:val="auto"/>
                <w:kern w:val="0"/>
                <w:szCs w:val="21"/>
                <w:highlight w:val="none"/>
              </w:rPr>
            </w:pPr>
            <w:r>
              <w:rPr>
                <w:snapToGrid w:val="0"/>
                <w:color w:val="auto"/>
                <w:kern w:val="0"/>
                <w:szCs w:val="21"/>
                <w:highlight w:val="none"/>
              </w:rPr>
              <w:t>水质铜、锌、铅、</w:t>
            </w:r>
            <w:r>
              <w:rPr>
                <w:rFonts w:hint="eastAsia"/>
                <w:snapToGrid w:val="0"/>
                <w:color w:val="auto"/>
                <w:kern w:val="0"/>
                <w:szCs w:val="21"/>
                <w:highlight w:val="none"/>
              </w:rPr>
              <w:t>镉</w:t>
            </w:r>
            <w:r>
              <w:rPr>
                <w:snapToGrid w:val="0"/>
                <w:color w:val="auto"/>
                <w:kern w:val="0"/>
                <w:szCs w:val="21"/>
                <w:highlight w:val="none"/>
              </w:rPr>
              <w:t>的测定原子吸</w:t>
            </w:r>
          </w:p>
          <w:p w14:paraId="492E6307">
            <w:pPr>
              <w:widowControl/>
              <w:adjustRightInd w:val="0"/>
              <w:snapToGrid w:val="0"/>
              <w:jc w:val="center"/>
              <w:rPr>
                <w:snapToGrid w:val="0"/>
                <w:color w:val="auto"/>
                <w:kern w:val="0"/>
                <w:szCs w:val="21"/>
                <w:highlight w:val="none"/>
              </w:rPr>
            </w:pPr>
            <w:r>
              <w:rPr>
                <w:snapToGrid w:val="0"/>
                <w:color w:val="auto"/>
                <w:kern w:val="0"/>
                <w:szCs w:val="21"/>
                <w:highlight w:val="none"/>
              </w:rPr>
              <w:t>收分光光度法GB7475-1987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330E">
            <w:pPr>
              <w:widowControl/>
              <w:adjustRightInd w:val="0"/>
              <w:snapToGrid w:val="0"/>
              <w:jc w:val="center"/>
              <w:rPr>
                <w:snapToGrid w:val="0"/>
                <w:color w:val="auto"/>
                <w:kern w:val="0"/>
                <w:szCs w:val="21"/>
                <w:highlight w:val="none"/>
              </w:rPr>
            </w:pPr>
            <w:r>
              <w:rPr>
                <w:rFonts w:hint="eastAsia"/>
                <w:color w:val="auto"/>
                <w:kern w:val="0"/>
                <w:szCs w:val="21"/>
                <w:highlight w:val="none"/>
              </w:rPr>
              <w:t>1</w:t>
            </w:r>
            <w:r>
              <w:rPr>
                <w:color w:val="auto"/>
                <w:kern w:val="0"/>
                <w:szCs w:val="21"/>
                <w:highlight w:val="none"/>
              </w:rPr>
              <w:t>μg/</w:t>
            </w:r>
            <w:r>
              <w:rPr>
                <w:rFonts w:hint="eastAsia"/>
                <w:color w:val="auto"/>
                <w:kern w:val="0"/>
                <w:szCs w:val="21"/>
                <w:highlight w:val="none"/>
              </w:rPr>
              <w:t>L</w:t>
            </w:r>
          </w:p>
        </w:tc>
      </w:tr>
      <w:tr w14:paraId="02C31409">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0FE4">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15</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A983">
            <w:pPr>
              <w:widowControl/>
              <w:adjustRightInd w:val="0"/>
              <w:snapToGrid w:val="0"/>
              <w:jc w:val="center"/>
              <w:rPr>
                <w:snapToGrid w:val="0"/>
                <w:color w:val="auto"/>
                <w:kern w:val="0"/>
                <w:szCs w:val="21"/>
                <w:highlight w:val="none"/>
              </w:rPr>
            </w:pPr>
            <w:r>
              <w:rPr>
                <w:rFonts w:hint="eastAsia"/>
                <w:color w:val="auto"/>
                <w:kern w:val="0"/>
                <w:szCs w:val="21"/>
                <w:highlight w:val="none"/>
              </w:rPr>
              <w:t>碳酸根离子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2A3B">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 第49部分：碳酸根、重碳酸根和氢氧根离子的测定 滴定法  DZ/T 0064.49-2021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066B">
            <w:pPr>
              <w:widowControl/>
              <w:adjustRightInd w:val="0"/>
              <w:snapToGrid w:val="0"/>
              <w:jc w:val="center"/>
              <w:rPr>
                <w:snapToGrid w:val="0"/>
                <w:color w:val="auto"/>
                <w:kern w:val="0"/>
                <w:szCs w:val="21"/>
                <w:highlight w:val="none"/>
              </w:rPr>
            </w:pPr>
            <w:r>
              <w:rPr>
                <w:rFonts w:hint="eastAsia"/>
                <w:color w:val="auto"/>
                <w:kern w:val="0"/>
                <w:szCs w:val="21"/>
                <w:highlight w:val="none"/>
              </w:rPr>
              <w:t>5</w:t>
            </w:r>
            <w:r>
              <w:rPr>
                <w:color w:val="auto"/>
                <w:kern w:val="0"/>
                <w:szCs w:val="21"/>
                <w:highlight w:val="none"/>
              </w:rPr>
              <w:t>mg/L</w:t>
            </w:r>
          </w:p>
        </w:tc>
      </w:tr>
      <w:tr w14:paraId="547B6593">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1765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16</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7A38">
            <w:pPr>
              <w:widowControl/>
              <w:adjustRightInd w:val="0"/>
              <w:snapToGrid w:val="0"/>
              <w:jc w:val="center"/>
              <w:rPr>
                <w:snapToGrid w:val="0"/>
                <w:color w:val="auto"/>
                <w:kern w:val="0"/>
                <w:szCs w:val="21"/>
                <w:highlight w:val="none"/>
              </w:rPr>
            </w:pPr>
            <w:r>
              <w:rPr>
                <w:rFonts w:hint="eastAsia"/>
                <w:color w:val="auto"/>
                <w:kern w:val="0"/>
                <w:szCs w:val="21"/>
                <w:highlight w:val="none"/>
              </w:rPr>
              <w:t>重碳酸根离子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B656">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 第49部分：碳酸根、重碳酸根和氢氧根离子的测定 滴定法  DZ/T 0064.49-2021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834B">
            <w:pPr>
              <w:widowControl/>
              <w:adjustRightInd w:val="0"/>
              <w:snapToGrid w:val="0"/>
              <w:jc w:val="center"/>
              <w:rPr>
                <w:snapToGrid w:val="0"/>
                <w:color w:val="auto"/>
                <w:kern w:val="0"/>
                <w:szCs w:val="21"/>
                <w:highlight w:val="none"/>
              </w:rPr>
            </w:pPr>
            <w:r>
              <w:rPr>
                <w:rFonts w:hint="eastAsia"/>
                <w:color w:val="auto"/>
                <w:kern w:val="0"/>
                <w:szCs w:val="21"/>
                <w:highlight w:val="none"/>
              </w:rPr>
              <w:t>5</w:t>
            </w:r>
            <w:r>
              <w:rPr>
                <w:color w:val="auto"/>
                <w:kern w:val="0"/>
                <w:szCs w:val="21"/>
                <w:highlight w:val="none"/>
              </w:rPr>
              <w:t>mg/L</w:t>
            </w:r>
          </w:p>
        </w:tc>
      </w:tr>
      <w:tr w14:paraId="09089839">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7702D">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17</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BFFB">
            <w:pPr>
              <w:widowControl/>
              <w:adjustRightInd w:val="0"/>
              <w:snapToGrid w:val="0"/>
              <w:jc w:val="center"/>
              <w:rPr>
                <w:snapToGrid w:val="0"/>
                <w:color w:val="auto"/>
                <w:kern w:val="0"/>
                <w:szCs w:val="21"/>
                <w:highlight w:val="none"/>
              </w:rPr>
            </w:pPr>
            <w:r>
              <w:rPr>
                <w:rFonts w:hint="eastAsia"/>
                <w:color w:val="auto"/>
                <w:kern w:val="0"/>
                <w:szCs w:val="21"/>
                <w:highlight w:val="none"/>
              </w:rPr>
              <w:t>钾离子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4D52">
            <w:pPr>
              <w:widowControl/>
              <w:adjustRightInd w:val="0"/>
              <w:snapToGrid w:val="0"/>
              <w:jc w:val="center"/>
              <w:rPr>
                <w:snapToGrid w:val="0"/>
                <w:color w:val="auto"/>
                <w:kern w:val="0"/>
                <w:szCs w:val="21"/>
                <w:highlight w:val="none"/>
              </w:rPr>
            </w:pPr>
            <w:r>
              <w:rPr>
                <w:color w:val="auto"/>
                <w:kern w:val="0"/>
                <w:szCs w:val="21"/>
                <w:highlight w:val="none"/>
              </w:rPr>
              <w:t>水质32种元素的测定 电感耦合等离子体发射光谱法HJ776-2015</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A1484">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0.07</w:t>
            </w:r>
            <w:r>
              <w:rPr>
                <w:color w:val="auto"/>
                <w:kern w:val="0"/>
                <w:szCs w:val="21"/>
                <w:highlight w:val="none"/>
              </w:rPr>
              <w:t>mg/L</w:t>
            </w:r>
          </w:p>
        </w:tc>
      </w:tr>
      <w:tr w14:paraId="45ADD64B">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28232">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18</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A429">
            <w:pPr>
              <w:widowControl/>
              <w:adjustRightInd w:val="0"/>
              <w:snapToGrid w:val="0"/>
              <w:jc w:val="center"/>
              <w:rPr>
                <w:snapToGrid w:val="0"/>
                <w:color w:val="auto"/>
                <w:kern w:val="0"/>
                <w:szCs w:val="21"/>
                <w:highlight w:val="none"/>
              </w:rPr>
            </w:pPr>
            <w:r>
              <w:rPr>
                <w:rFonts w:hint="eastAsia"/>
                <w:color w:val="auto"/>
                <w:kern w:val="0"/>
                <w:szCs w:val="21"/>
                <w:highlight w:val="none"/>
              </w:rPr>
              <w:t>钙离子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0889">
            <w:pPr>
              <w:widowControl/>
              <w:adjustRightInd w:val="0"/>
              <w:snapToGrid w:val="0"/>
              <w:jc w:val="center"/>
              <w:rPr>
                <w:snapToGrid w:val="0"/>
                <w:color w:val="auto"/>
                <w:kern w:val="0"/>
                <w:szCs w:val="21"/>
                <w:highlight w:val="none"/>
              </w:rPr>
            </w:pPr>
            <w:r>
              <w:rPr>
                <w:color w:val="auto"/>
                <w:kern w:val="0"/>
                <w:szCs w:val="21"/>
                <w:highlight w:val="none"/>
              </w:rPr>
              <w:t>水质32种元素的测定 电感耦合等离子体发射光谱法HJ776-2015</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17080">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0.02</w:t>
            </w:r>
            <w:r>
              <w:rPr>
                <w:color w:val="auto"/>
                <w:kern w:val="0"/>
                <w:szCs w:val="21"/>
                <w:highlight w:val="none"/>
              </w:rPr>
              <w:t>mg/L</w:t>
            </w:r>
          </w:p>
        </w:tc>
      </w:tr>
      <w:tr w14:paraId="3D5201B4">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FABA3">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19</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A708A">
            <w:pPr>
              <w:widowControl/>
              <w:adjustRightInd w:val="0"/>
              <w:snapToGrid w:val="0"/>
              <w:jc w:val="center"/>
              <w:rPr>
                <w:snapToGrid w:val="0"/>
                <w:color w:val="auto"/>
                <w:kern w:val="0"/>
                <w:szCs w:val="21"/>
                <w:highlight w:val="none"/>
              </w:rPr>
            </w:pPr>
            <w:r>
              <w:rPr>
                <w:rFonts w:hint="eastAsia"/>
                <w:color w:val="auto"/>
                <w:kern w:val="0"/>
                <w:szCs w:val="21"/>
                <w:highlight w:val="none"/>
              </w:rPr>
              <w:t>镁离子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D7F78">
            <w:pPr>
              <w:widowControl/>
              <w:adjustRightInd w:val="0"/>
              <w:snapToGrid w:val="0"/>
              <w:jc w:val="center"/>
              <w:rPr>
                <w:snapToGrid w:val="0"/>
                <w:color w:val="auto"/>
                <w:kern w:val="0"/>
                <w:szCs w:val="21"/>
                <w:highlight w:val="none"/>
              </w:rPr>
            </w:pPr>
            <w:r>
              <w:rPr>
                <w:color w:val="auto"/>
                <w:kern w:val="0"/>
                <w:szCs w:val="21"/>
                <w:highlight w:val="none"/>
              </w:rPr>
              <w:t>水质32种元素的测定 电感耦合等离子体发射光谱法HJ776-2015</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01FA">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0.02</w:t>
            </w:r>
            <w:r>
              <w:rPr>
                <w:color w:val="auto"/>
                <w:kern w:val="0"/>
                <w:szCs w:val="21"/>
                <w:highlight w:val="none"/>
              </w:rPr>
              <w:t>mg/L</w:t>
            </w:r>
          </w:p>
        </w:tc>
      </w:tr>
      <w:tr w14:paraId="3D24803E">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0A21">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20</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A4C50">
            <w:pPr>
              <w:widowControl/>
              <w:adjustRightInd w:val="0"/>
              <w:snapToGrid w:val="0"/>
              <w:jc w:val="center"/>
              <w:rPr>
                <w:snapToGrid w:val="0"/>
                <w:color w:val="auto"/>
                <w:kern w:val="0"/>
                <w:szCs w:val="21"/>
                <w:highlight w:val="none"/>
              </w:rPr>
            </w:pPr>
            <w:r>
              <w:rPr>
                <w:rFonts w:hint="eastAsia"/>
                <w:color w:val="auto"/>
                <w:kern w:val="0"/>
                <w:szCs w:val="21"/>
                <w:highlight w:val="none"/>
              </w:rPr>
              <w:t>钠离子</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536E">
            <w:pPr>
              <w:widowControl/>
              <w:adjustRightInd w:val="0"/>
              <w:snapToGrid w:val="0"/>
              <w:jc w:val="center"/>
              <w:rPr>
                <w:snapToGrid w:val="0"/>
                <w:color w:val="auto"/>
                <w:kern w:val="0"/>
                <w:szCs w:val="21"/>
                <w:highlight w:val="none"/>
              </w:rPr>
            </w:pPr>
            <w:r>
              <w:rPr>
                <w:color w:val="auto"/>
                <w:kern w:val="0"/>
                <w:szCs w:val="21"/>
                <w:highlight w:val="none"/>
              </w:rPr>
              <w:t>水质32种元素的测定 电感耦合等离子体发射光谱法HJ776-2015</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128F7">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0.03</w:t>
            </w:r>
            <w:r>
              <w:rPr>
                <w:color w:val="auto"/>
                <w:kern w:val="0"/>
                <w:szCs w:val="21"/>
                <w:highlight w:val="none"/>
              </w:rPr>
              <w:t>mg/L</w:t>
            </w:r>
          </w:p>
        </w:tc>
      </w:tr>
      <w:tr w14:paraId="1CBE0130">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78E27">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21</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B182">
            <w:pPr>
              <w:widowControl/>
              <w:adjustRightInd w:val="0"/>
              <w:snapToGrid w:val="0"/>
              <w:jc w:val="center"/>
              <w:rPr>
                <w:snapToGrid w:val="0"/>
                <w:color w:val="auto"/>
                <w:kern w:val="0"/>
                <w:szCs w:val="21"/>
                <w:highlight w:val="none"/>
              </w:rPr>
            </w:pPr>
            <w:r>
              <w:rPr>
                <w:rFonts w:hint="eastAsia"/>
                <w:color w:val="auto"/>
                <w:kern w:val="0"/>
                <w:szCs w:val="21"/>
                <w:highlight w:val="none"/>
              </w:rPr>
              <w:t>汞</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C2E8">
            <w:pPr>
              <w:widowControl/>
              <w:adjustRightInd w:val="0"/>
              <w:snapToGrid w:val="0"/>
              <w:jc w:val="center"/>
              <w:rPr>
                <w:snapToGrid w:val="0"/>
                <w:color w:val="auto"/>
                <w:kern w:val="0"/>
                <w:szCs w:val="21"/>
                <w:highlight w:val="none"/>
              </w:rPr>
            </w:pPr>
            <w:r>
              <w:rPr>
                <w:color w:val="auto"/>
                <w:kern w:val="0"/>
                <w:szCs w:val="21"/>
                <w:highlight w:val="none"/>
              </w:rPr>
              <w:t>水质 汞、砷、硒、铋和锑的测定 原子荧光法HJ694-2014</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BD79">
            <w:pPr>
              <w:widowControl/>
              <w:adjustRightInd w:val="0"/>
              <w:snapToGrid w:val="0"/>
              <w:jc w:val="center"/>
              <w:rPr>
                <w:snapToGrid w:val="0"/>
                <w:color w:val="auto"/>
                <w:kern w:val="0"/>
                <w:szCs w:val="21"/>
                <w:highlight w:val="none"/>
              </w:rPr>
            </w:pPr>
            <w:r>
              <w:rPr>
                <w:color w:val="auto"/>
                <w:kern w:val="0"/>
                <w:szCs w:val="21"/>
                <w:highlight w:val="none"/>
              </w:rPr>
              <w:t>0.04μg/</w:t>
            </w:r>
            <w:r>
              <w:rPr>
                <w:rFonts w:hint="eastAsia"/>
                <w:color w:val="auto"/>
                <w:kern w:val="0"/>
                <w:szCs w:val="21"/>
                <w:highlight w:val="none"/>
              </w:rPr>
              <w:t>L</w:t>
            </w:r>
          </w:p>
        </w:tc>
      </w:tr>
      <w:tr w14:paraId="04B7FF13">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CDE8C">
            <w:pPr>
              <w:pStyle w:val="42"/>
              <w:widowControl/>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22</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C008">
            <w:pPr>
              <w:widowControl/>
              <w:adjustRightInd w:val="0"/>
              <w:snapToGrid w:val="0"/>
              <w:jc w:val="center"/>
              <w:rPr>
                <w:snapToGrid w:val="0"/>
                <w:color w:val="auto"/>
                <w:kern w:val="0"/>
                <w:szCs w:val="21"/>
                <w:highlight w:val="none"/>
              </w:rPr>
            </w:pPr>
            <w:r>
              <w:rPr>
                <w:rFonts w:hint="eastAsia"/>
                <w:color w:val="auto"/>
                <w:kern w:val="0"/>
                <w:szCs w:val="21"/>
                <w:highlight w:val="none"/>
              </w:rPr>
              <w:t>铜</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34BD5">
            <w:pPr>
              <w:widowControl/>
              <w:adjustRightInd w:val="0"/>
              <w:snapToGrid w:val="0"/>
              <w:jc w:val="center"/>
              <w:rPr>
                <w:color w:val="auto"/>
                <w:kern w:val="0"/>
                <w:szCs w:val="21"/>
                <w:highlight w:val="none"/>
              </w:rPr>
            </w:pPr>
            <w:r>
              <w:rPr>
                <w:rFonts w:hint="eastAsia"/>
                <w:color w:val="auto"/>
                <w:kern w:val="0"/>
                <w:szCs w:val="21"/>
                <w:highlight w:val="none"/>
              </w:rPr>
              <w:t xml:space="preserve">水质 铜、铅、锌、镉的测定 原子吸收分光光度法 </w:t>
            </w:r>
          </w:p>
          <w:p w14:paraId="3C4D4F98">
            <w:pPr>
              <w:widowControl/>
              <w:adjustRightInd w:val="0"/>
              <w:snapToGrid w:val="0"/>
              <w:jc w:val="center"/>
              <w:rPr>
                <w:snapToGrid w:val="0"/>
                <w:color w:val="auto"/>
                <w:kern w:val="0"/>
                <w:szCs w:val="21"/>
                <w:highlight w:val="none"/>
              </w:rPr>
            </w:pPr>
            <w:r>
              <w:rPr>
                <w:rFonts w:hint="eastAsia"/>
                <w:color w:val="auto"/>
                <w:kern w:val="0"/>
                <w:szCs w:val="21"/>
                <w:highlight w:val="none"/>
              </w:rPr>
              <w:t>GB /T 7475-1987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90875">
            <w:pPr>
              <w:widowControl/>
              <w:adjustRightInd w:val="0"/>
              <w:snapToGrid w:val="0"/>
              <w:jc w:val="center"/>
              <w:rPr>
                <w:snapToGrid w:val="0"/>
                <w:color w:val="auto"/>
                <w:kern w:val="0"/>
                <w:szCs w:val="21"/>
                <w:highlight w:val="none"/>
              </w:rPr>
            </w:pPr>
            <w:r>
              <w:rPr>
                <w:rFonts w:hint="eastAsia"/>
                <w:color w:val="auto"/>
                <w:kern w:val="0"/>
                <w:szCs w:val="21"/>
                <w:highlight w:val="none"/>
              </w:rPr>
              <w:t>1</w:t>
            </w:r>
            <w:r>
              <w:rPr>
                <w:color w:val="auto"/>
                <w:kern w:val="0"/>
                <w:szCs w:val="21"/>
                <w:highlight w:val="none"/>
              </w:rPr>
              <w:t>μg/</w:t>
            </w:r>
            <w:r>
              <w:rPr>
                <w:rFonts w:hint="eastAsia"/>
                <w:color w:val="auto"/>
                <w:kern w:val="0"/>
                <w:szCs w:val="21"/>
                <w:highlight w:val="none"/>
              </w:rPr>
              <w:t>L</w:t>
            </w:r>
          </w:p>
        </w:tc>
      </w:tr>
      <w:tr w14:paraId="1CAEF600">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31AC">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23</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6F4A">
            <w:pPr>
              <w:widowControl/>
              <w:adjustRightInd w:val="0"/>
              <w:snapToGrid w:val="0"/>
              <w:jc w:val="center"/>
              <w:rPr>
                <w:snapToGrid w:val="0"/>
                <w:color w:val="auto"/>
                <w:kern w:val="0"/>
                <w:szCs w:val="21"/>
                <w:highlight w:val="none"/>
              </w:rPr>
            </w:pPr>
            <w:r>
              <w:rPr>
                <w:rFonts w:hint="eastAsia"/>
                <w:color w:val="auto"/>
                <w:kern w:val="0"/>
                <w:szCs w:val="21"/>
                <w:highlight w:val="none"/>
              </w:rPr>
              <w:t>锌</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48135">
            <w:pPr>
              <w:widowControl/>
              <w:adjustRightInd w:val="0"/>
              <w:snapToGrid w:val="0"/>
              <w:jc w:val="center"/>
              <w:rPr>
                <w:color w:val="auto"/>
                <w:kern w:val="0"/>
                <w:szCs w:val="21"/>
                <w:highlight w:val="none"/>
              </w:rPr>
            </w:pPr>
            <w:r>
              <w:rPr>
                <w:rFonts w:hint="eastAsia"/>
                <w:color w:val="auto"/>
                <w:kern w:val="0"/>
                <w:szCs w:val="21"/>
                <w:highlight w:val="none"/>
              </w:rPr>
              <w:t xml:space="preserve">水质 铜、铅、锌、镉的测定 原子吸收分光光度法 </w:t>
            </w:r>
          </w:p>
          <w:p w14:paraId="1809313E">
            <w:pPr>
              <w:widowControl/>
              <w:adjustRightInd w:val="0"/>
              <w:snapToGrid w:val="0"/>
              <w:jc w:val="center"/>
              <w:rPr>
                <w:snapToGrid w:val="0"/>
                <w:color w:val="auto"/>
                <w:kern w:val="0"/>
                <w:szCs w:val="21"/>
                <w:highlight w:val="none"/>
              </w:rPr>
            </w:pPr>
            <w:r>
              <w:rPr>
                <w:rFonts w:hint="eastAsia"/>
                <w:color w:val="auto"/>
                <w:kern w:val="0"/>
                <w:szCs w:val="21"/>
                <w:highlight w:val="none"/>
              </w:rPr>
              <w:t>GB /T 7475-1987</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F993E">
            <w:pPr>
              <w:widowControl/>
              <w:adjustRightInd w:val="0"/>
              <w:snapToGrid w:val="0"/>
              <w:jc w:val="center"/>
              <w:rPr>
                <w:snapToGrid w:val="0"/>
                <w:color w:val="auto"/>
                <w:kern w:val="0"/>
                <w:szCs w:val="21"/>
                <w:highlight w:val="none"/>
              </w:rPr>
            </w:pPr>
            <w:r>
              <w:rPr>
                <w:rFonts w:hint="eastAsia"/>
                <w:color w:val="auto"/>
                <w:kern w:val="0"/>
                <w:szCs w:val="21"/>
                <w:highlight w:val="none"/>
              </w:rPr>
              <w:t>0.05</w:t>
            </w:r>
            <w:r>
              <w:rPr>
                <w:color w:val="auto"/>
                <w:kern w:val="0"/>
                <w:szCs w:val="21"/>
                <w:highlight w:val="none"/>
              </w:rPr>
              <w:t>mg/L</w:t>
            </w:r>
          </w:p>
        </w:tc>
      </w:tr>
      <w:tr w14:paraId="581C2AB1">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034B9">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24</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9238">
            <w:pPr>
              <w:widowControl/>
              <w:adjustRightInd w:val="0"/>
              <w:snapToGrid w:val="0"/>
              <w:jc w:val="center"/>
              <w:rPr>
                <w:snapToGrid w:val="0"/>
                <w:color w:val="auto"/>
                <w:kern w:val="0"/>
                <w:szCs w:val="21"/>
                <w:highlight w:val="none"/>
              </w:rPr>
            </w:pPr>
            <w:r>
              <w:rPr>
                <w:rFonts w:hint="eastAsia"/>
                <w:color w:val="auto"/>
                <w:kern w:val="0"/>
                <w:szCs w:val="21"/>
                <w:highlight w:val="none"/>
              </w:rPr>
              <w:t>铅</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C3AA0">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 第21部分：铜、铅、锌、镉、镍、铬、钼和银量的测定 无火焰原子吸收分光光度法 DZ/T 0064.21-2021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C651">
            <w:pPr>
              <w:widowControl/>
              <w:adjustRightInd w:val="0"/>
              <w:snapToGrid w:val="0"/>
              <w:jc w:val="center"/>
              <w:rPr>
                <w:snapToGrid w:val="0"/>
                <w:color w:val="auto"/>
                <w:kern w:val="0"/>
                <w:szCs w:val="21"/>
                <w:highlight w:val="none"/>
              </w:rPr>
            </w:pPr>
            <w:r>
              <w:rPr>
                <w:rFonts w:hint="eastAsia"/>
                <w:color w:val="auto"/>
                <w:kern w:val="0"/>
                <w:szCs w:val="21"/>
                <w:highlight w:val="none"/>
              </w:rPr>
              <w:t>1.24</w:t>
            </w:r>
            <w:r>
              <w:rPr>
                <w:color w:val="auto"/>
                <w:kern w:val="0"/>
                <w:szCs w:val="21"/>
                <w:highlight w:val="none"/>
              </w:rPr>
              <w:t>μg/</w:t>
            </w:r>
            <w:r>
              <w:rPr>
                <w:rFonts w:hint="eastAsia"/>
                <w:color w:val="auto"/>
                <w:kern w:val="0"/>
                <w:szCs w:val="21"/>
                <w:highlight w:val="none"/>
              </w:rPr>
              <w:t>L</w:t>
            </w:r>
          </w:p>
        </w:tc>
      </w:tr>
      <w:tr w14:paraId="25BF6F32">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A5A84">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25</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556A8">
            <w:pPr>
              <w:widowControl/>
              <w:adjustRightInd w:val="0"/>
              <w:snapToGrid w:val="0"/>
              <w:jc w:val="center"/>
              <w:rPr>
                <w:snapToGrid w:val="0"/>
                <w:color w:val="auto"/>
                <w:kern w:val="0"/>
                <w:szCs w:val="21"/>
                <w:highlight w:val="none"/>
              </w:rPr>
            </w:pPr>
            <w:r>
              <w:rPr>
                <w:rFonts w:hint="eastAsia"/>
                <w:color w:val="auto"/>
                <w:kern w:val="0"/>
                <w:szCs w:val="21"/>
                <w:highlight w:val="none"/>
              </w:rPr>
              <w:t>六价铬</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5348">
            <w:pPr>
              <w:widowControl/>
              <w:adjustRightInd w:val="0"/>
              <w:snapToGrid w:val="0"/>
              <w:jc w:val="center"/>
              <w:rPr>
                <w:snapToGrid w:val="0"/>
                <w:color w:val="auto"/>
                <w:kern w:val="0"/>
                <w:szCs w:val="21"/>
                <w:highlight w:val="none"/>
              </w:rPr>
            </w:pPr>
            <w:r>
              <w:rPr>
                <w:rFonts w:hint="eastAsia"/>
                <w:color w:val="auto"/>
                <w:kern w:val="0"/>
                <w:szCs w:val="21"/>
                <w:highlight w:val="none"/>
              </w:rPr>
              <w:t>地下水质分析方法 第17部分：总铬和六价铬量的测定 二苯碳酰二肼分光光度法DZ/T 0064.17-2021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41F0">
            <w:pPr>
              <w:widowControl/>
              <w:adjustRightInd w:val="0"/>
              <w:snapToGrid w:val="0"/>
              <w:jc w:val="center"/>
              <w:rPr>
                <w:snapToGrid w:val="0"/>
                <w:color w:val="auto"/>
                <w:kern w:val="0"/>
                <w:szCs w:val="21"/>
                <w:highlight w:val="none"/>
              </w:rPr>
            </w:pPr>
            <w:r>
              <w:rPr>
                <w:rFonts w:hint="eastAsia"/>
                <w:color w:val="auto"/>
                <w:kern w:val="0"/>
                <w:szCs w:val="21"/>
                <w:highlight w:val="none"/>
              </w:rPr>
              <w:t>0.004mg/L</w:t>
            </w:r>
          </w:p>
        </w:tc>
      </w:tr>
      <w:tr w14:paraId="7A98CDDE">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ADE6">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26</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4025">
            <w:pPr>
              <w:widowControl/>
              <w:adjustRightInd w:val="0"/>
              <w:snapToGrid w:val="0"/>
              <w:jc w:val="center"/>
              <w:rPr>
                <w:snapToGrid w:val="0"/>
                <w:color w:val="auto"/>
                <w:kern w:val="0"/>
                <w:szCs w:val="21"/>
                <w:highlight w:val="none"/>
              </w:rPr>
            </w:pPr>
            <w:r>
              <w:rPr>
                <w:rFonts w:hint="eastAsia"/>
                <w:color w:val="auto"/>
                <w:kern w:val="0"/>
                <w:szCs w:val="21"/>
                <w:highlight w:val="none"/>
              </w:rPr>
              <w:t>铁</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A03CE">
            <w:pPr>
              <w:widowControl/>
              <w:adjustRightInd w:val="0"/>
              <w:snapToGrid w:val="0"/>
              <w:jc w:val="center"/>
              <w:rPr>
                <w:color w:val="auto"/>
                <w:kern w:val="0"/>
                <w:szCs w:val="21"/>
                <w:highlight w:val="none"/>
              </w:rPr>
            </w:pPr>
            <w:r>
              <w:rPr>
                <w:rFonts w:hint="eastAsia"/>
                <w:color w:val="auto"/>
                <w:kern w:val="0"/>
                <w:szCs w:val="21"/>
                <w:highlight w:val="none"/>
              </w:rPr>
              <w:t>水质 铁、锰的测定 火焰原子吸收分</w:t>
            </w:r>
          </w:p>
          <w:p w14:paraId="3E379FC3">
            <w:pPr>
              <w:widowControl/>
              <w:adjustRightInd w:val="0"/>
              <w:snapToGrid w:val="0"/>
              <w:jc w:val="center"/>
              <w:rPr>
                <w:snapToGrid w:val="0"/>
                <w:color w:val="auto"/>
                <w:kern w:val="0"/>
                <w:szCs w:val="21"/>
                <w:highlight w:val="none"/>
              </w:rPr>
            </w:pPr>
            <w:r>
              <w:rPr>
                <w:rFonts w:hint="eastAsia"/>
                <w:color w:val="auto"/>
                <w:kern w:val="0"/>
                <w:szCs w:val="21"/>
                <w:highlight w:val="none"/>
              </w:rPr>
              <w:t>光光度法 GB11911-1989</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F505">
            <w:pPr>
              <w:widowControl/>
              <w:adjustRightInd w:val="0"/>
              <w:snapToGrid w:val="0"/>
              <w:jc w:val="center"/>
              <w:rPr>
                <w:snapToGrid w:val="0"/>
                <w:color w:val="auto"/>
                <w:kern w:val="0"/>
                <w:szCs w:val="21"/>
                <w:highlight w:val="none"/>
              </w:rPr>
            </w:pPr>
            <w:r>
              <w:rPr>
                <w:color w:val="auto"/>
                <w:kern w:val="0"/>
                <w:szCs w:val="21"/>
                <w:highlight w:val="none"/>
              </w:rPr>
              <w:t>0.0</w:t>
            </w:r>
            <w:r>
              <w:rPr>
                <w:rFonts w:hint="eastAsia"/>
                <w:color w:val="auto"/>
                <w:kern w:val="0"/>
                <w:szCs w:val="21"/>
                <w:highlight w:val="none"/>
              </w:rPr>
              <w:t>3</w:t>
            </w:r>
            <w:r>
              <w:rPr>
                <w:color w:val="auto"/>
                <w:kern w:val="0"/>
                <w:szCs w:val="21"/>
                <w:highlight w:val="none"/>
              </w:rPr>
              <w:t>mg/L</w:t>
            </w:r>
          </w:p>
        </w:tc>
      </w:tr>
      <w:tr w14:paraId="674134E9">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41FD">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27</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59E8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石油类</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87A4">
            <w:pPr>
              <w:widowControl/>
              <w:adjustRightInd w:val="0"/>
              <w:snapToGrid w:val="0"/>
              <w:jc w:val="center"/>
              <w:rPr>
                <w:snapToGrid w:val="0"/>
                <w:color w:val="auto"/>
                <w:kern w:val="0"/>
                <w:szCs w:val="21"/>
                <w:highlight w:val="none"/>
              </w:rPr>
            </w:pPr>
            <w:r>
              <w:rPr>
                <w:snapToGrid w:val="0"/>
                <w:color w:val="auto"/>
                <w:kern w:val="0"/>
                <w:szCs w:val="21"/>
                <w:highlight w:val="none"/>
              </w:rPr>
              <w:t>水质 石油类的测定紫外分光光度法 HJ970-2018</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0F829">
            <w:pPr>
              <w:widowControl/>
              <w:adjustRightInd w:val="0"/>
              <w:snapToGrid w:val="0"/>
              <w:jc w:val="center"/>
              <w:rPr>
                <w:snapToGrid w:val="0"/>
                <w:color w:val="auto"/>
                <w:kern w:val="0"/>
                <w:szCs w:val="21"/>
                <w:highlight w:val="none"/>
              </w:rPr>
            </w:pPr>
            <w:r>
              <w:rPr>
                <w:color w:val="auto"/>
                <w:kern w:val="0"/>
                <w:szCs w:val="21"/>
                <w:highlight w:val="none"/>
              </w:rPr>
              <w:t>0.0</w:t>
            </w:r>
            <w:r>
              <w:rPr>
                <w:rFonts w:hint="eastAsia"/>
                <w:color w:val="auto"/>
                <w:kern w:val="0"/>
                <w:szCs w:val="21"/>
                <w:highlight w:val="none"/>
              </w:rPr>
              <w:t>1</w:t>
            </w:r>
            <w:r>
              <w:rPr>
                <w:color w:val="auto"/>
                <w:kern w:val="0"/>
                <w:szCs w:val="21"/>
                <w:highlight w:val="none"/>
              </w:rPr>
              <w:t>mg/L</w:t>
            </w:r>
          </w:p>
        </w:tc>
      </w:tr>
      <w:tr w14:paraId="28881324">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E8027">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28</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258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镍</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F26F">
            <w:pPr>
              <w:widowControl/>
              <w:adjustRightInd w:val="0"/>
              <w:snapToGrid w:val="0"/>
              <w:jc w:val="center"/>
              <w:rPr>
                <w:snapToGrid w:val="0"/>
                <w:color w:val="auto"/>
                <w:kern w:val="0"/>
                <w:szCs w:val="21"/>
                <w:highlight w:val="none"/>
              </w:rPr>
            </w:pPr>
            <w:r>
              <w:rPr>
                <w:snapToGrid w:val="0"/>
                <w:color w:val="auto"/>
                <w:kern w:val="0"/>
                <w:szCs w:val="21"/>
                <w:highlight w:val="none"/>
              </w:rPr>
              <w:t>水质 32种元素的测定 电感耦合等离子体发射光谱法</w:t>
            </w:r>
            <w:r>
              <w:rPr>
                <w:rFonts w:hint="eastAsia"/>
                <w:snapToGrid w:val="0"/>
                <w:color w:val="auto"/>
                <w:kern w:val="0"/>
                <w:szCs w:val="21"/>
                <w:highlight w:val="none"/>
              </w:rPr>
              <w:t xml:space="preserve"> </w:t>
            </w:r>
            <w:r>
              <w:rPr>
                <w:snapToGrid w:val="0"/>
                <w:color w:val="auto"/>
                <w:kern w:val="0"/>
                <w:szCs w:val="21"/>
                <w:highlight w:val="none"/>
              </w:rPr>
              <w:t>HJ776-2015</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45C9">
            <w:pPr>
              <w:widowControl/>
              <w:adjustRightInd w:val="0"/>
              <w:snapToGrid w:val="0"/>
              <w:jc w:val="center"/>
              <w:rPr>
                <w:snapToGrid w:val="0"/>
                <w:color w:val="auto"/>
                <w:kern w:val="0"/>
                <w:szCs w:val="21"/>
                <w:highlight w:val="none"/>
              </w:rPr>
            </w:pPr>
            <w:r>
              <w:rPr>
                <w:color w:val="auto"/>
                <w:kern w:val="0"/>
                <w:szCs w:val="21"/>
                <w:highlight w:val="none"/>
              </w:rPr>
              <w:t>0.0</w:t>
            </w:r>
            <w:r>
              <w:rPr>
                <w:rFonts w:hint="eastAsia"/>
                <w:color w:val="auto"/>
                <w:kern w:val="0"/>
                <w:szCs w:val="21"/>
                <w:highlight w:val="none"/>
              </w:rPr>
              <w:t>07</w:t>
            </w:r>
            <w:r>
              <w:rPr>
                <w:color w:val="auto"/>
                <w:kern w:val="0"/>
                <w:szCs w:val="21"/>
                <w:highlight w:val="none"/>
              </w:rPr>
              <w:t>mg/L</w:t>
            </w:r>
          </w:p>
        </w:tc>
      </w:tr>
      <w:tr w14:paraId="73638560">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0B50">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29</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DD591">
            <w:pPr>
              <w:widowControl/>
              <w:adjustRightInd w:val="0"/>
              <w:snapToGrid w:val="0"/>
              <w:jc w:val="center"/>
              <w:rPr>
                <w:snapToGrid w:val="0"/>
                <w:color w:val="auto"/>
                <w:kern w:val="0"/>
                <w:szCs w:val="21"/>
                <w:highlight w:val="none"/>
              </w:rPr>
            </w:pPr>
            <w:r>
              <w:rPr>
                <w:rFonts w:hint="eastAsia"/>
                <w:color w:val="auto"/>
                <w:kern w:val="0"/>
                <w:szCs w:val="21"/>
                <w:highlight w:val="none"/>
                <w:lang w:bidi="ar"/>
              </w:rPr>
              <w:t>硫化物</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C3E7">
            <w:pPr>
              <w:widowControl/>
              <w:adjustRightInd w:val="0"/>
              <w:snapToGrid w:val="0"/>
              <w:jc w:val="center"/>
              <w:rPr>
                <w:snapToGrid w:val="0"/>
                <w:color w:val="auto"/>
                <w:kern w:val="0"/>
                <w:szCs w:val="21"/>
                <w:highlight w:val="none"/>
              </w:rPr>
            </w:pPr>
            <w:r>
              <w:rPr>
                <w:rFonts w:hint="eastAsia"/>
                <w:color w:val="auto"/>
                <w:kern w:val="0"/>
                <w:szCs w:val="21"/>
                <w:highlight w:val="none"/>
              </w:rPr>
              <w:t>《</w:t>
            </w:r>
            <w:r>
              <w:rPr>
                <w:color w:val="auto"/>
                <w:kern w:val="0"/>
                <w:szCs w:val="21"/>
                <w:highlight w:val="none"/>
              </w:rPr>
              <w:t>水质 硫化物的测定 亚甲基蓝分光光度法</w:t>
            </w:r>
            <w:r>
              <w:rPr>
                <w:rFonts w:hint="eastAsia"/>
                <w:color w:val="auto"/>
                <w:kern w:val="0"/>
                <w:szCs w:val="21"/>
                <w:highlight w:val="none"/>
              </w:rPr>
              <w:t>》</w:t>
            </w:r>
            <w:r>
              <w:rPr>
                <w:color w:val="auto"/>
                <w:kern w:val="0"/>
                <w:szCs w:val="21"/>
                <w:highlight w:val="none"/>
              </w:rPr>
              <w:t>HJ 1226-2021</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4EFD">
            <w:pPr>
              <w:widowControl/>
              <w:adjustRightInd w:val="0"/>
              <w:snapToGrid w:val="0"/>
              <w:jc w:val="center"/>
              <w:rPr>
                <w:snapToGrid w:val="0"/>
                <w:color w:val="auto"/>
                <w:kern w:val="0"/>
                <w:szCs w:val="21"/>
                <w:highlight w:val="none"/>
              </w:rPr>
            </w:pPr>
            <w:r>
              <w:rPr>
                <w:rFonts w:hint="eastAsia"/>
                <w:color w:val="auto"/>
                <w:kern w:val="0"/>
                <w:szCs w:val="21"/>
                <w:highlight w:val="none"/>
              </w:rPr>
              <w:t>0.01mg/L</w:t>
            </w:r>
          </w:p>
        </w:tc>
      </w:tr>
      <w:tr w14:paraId="02F907EB">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FF87">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30</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2E1F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苯</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F4455">
            <w:pPr>
              <w:widowControl/>
              <w:adjustRightInd w:val="0"/>
              <w:snapToGrid w:val="0"/>
              <w:jc w:val="center"/>
              <w:rPr>
                <w:snapToGrid w:val="0"/>
                <w:color w:val="auto"/>
                <w:kern w:val="0"/>
                <w:szCs w:val="21"/>
                <w:highlight w:val="none"/>
              </w:rPr>
            </w:pPr>
            <w:r>
              <w:rPr>
                <w:rFonts w:hint="eastAsia"/>
                <w:color w:val="auto"/>
                <w:kern w:val="0"/>
                <w:szCs w:val="21"/>
                <w:highlight w:val="none"/>
              </w:rPr>
              <w:t>《水质 苯系物的测定 顶空/气相色谱法》HJ 1067-2019</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6FE3B">
            <w:pPr>
              <w:widowControl/>
              <w:adjustRightInd w:val="0"/>
              <w:snapToGrid w:val="0"/>
              <w:jc w:val="center"/>
              <w:rPr>
                <w:color w:val="auto"/>
                <w:kern w:val="0"/>
                <w:szCs w:val="21"/>
                <w:highlight w:val="none"/>
              </w:rPr>
            </w:pPr>
            <w:r>
              <w:rPr>
                <w:rFonts w:hint="eastAsia"/>
                <w:color w:val="auto"/>
                <w:kern w:val="0"/>
                <w:szCs w:val="21"/>
                <w:highlight w:val="none"/>
              </w:rPr>
              <w:t>2µg/L</w:t>
            </w:r>
          </w:p>
        </w:tc>
      </w:tr>
      <w:tr w14:paraId="40638FDE">
        <w:tblPrEx>
          <w:tblCellMar>
            <w:top w:w="0" w:type="dxa"/>
            <w:left w:w="108" w:type="dxa"/>
            <w:bottom w:w="0" w:type="dxa"/>
            <w:right w:w="108" w:type="dxa"/>
          </w:tblCellMar>
        </w:tblPrEx>
        <w:trPr>
          <w:trHeight w:val="283" w:hRule="atLeast"/>
          <w:tblHeade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EA2E">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31</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17E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甲苯</w:t>
            </w:r>
          </w:p>
        </w:tc>
        <w:tc>
          <w:tcPr>
            <w:tcW w:w="3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0CDF0">
            <w:pPr>
              <w:widowControl/>
              <w:adjustRightInd w:val="0"/>
              <w:snapToGrid w:val="0"/>
              <w:jc w:val="center"/>
              <w:rPr>
                <w:snapToGrid w:val="0"/>
                <w:color w:val="auto"/>
                <w:kern w:val="0"/>
                <w:szCs w:val="21"/>
                <w:highlight w:val="none"/>
              </w:rPr>
            </w:pPr>
            <w:r>
              <w:rPr>
                <w:rFonts w:hint="eastAsia"/>
                <w:color w:val="auto"/>
                <w:kern w:val="0"/>
                <w:szCs w:val="21"/>
                <w:highlight w:val="none"/>
              </w:rPr>
              <w:t>《水质 苯系物的测定 顶空/气相色谱法》HJ 1067-2019</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E444">
            <w:pPr>
              <w:widowControl/>
              <w:adjustRightInd w:val="0"/>
              <w:snapToGrid w:val="0"/>
              <w:jc w:val="center"/>
              <w:rPr>
                <w:color w:val="auto"/>
                <w:kern w:val="0"/>
                <w:szCs w:val="21"/>
                <w:highlight w:val="none"/>
              </w:rPr>
            </w:pPr>
            <w:r>
              <w:rPr>
                <w:color w:val="auto"/>
                <w:kern w:val="0"/>
                <w:szCs w:val="21"/>
                <w:highlight w:val="none"/>
              </w:rPr>
              <w:t>2µg/L</w:t>
            </w:r>
          </w:p>
        </w:tc>
      </w:tr>
    </w:tbl>
    <w:p w14:paraId="3C9D3BF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5.3.3.4评价标准及方法</w:t>
      </w:r>
    </w:p>
    <w:p w14:paraId="1CCECD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1）评价标准</w:t>
      </w:r>
    </w:p>
    <w:p w14:paraId="6B39A460">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采用《地下水质量标准》（GB/T14848-2017）Ⅲ类标准对各监测点位地下水水质进行评价。</w:t>
      </w:r>
    </w:p>
    <w:p w14:paraId="6BEBBCF4">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2）评价方法</w:t>
      </w:r>
    </w:p>
    <w:p w14:paraId="046D30D6">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采用</w:t>
      </w:r>
      <w:r>
        <w:rPr>
          <w:rFonts w:hint="eastAsia"/>
          <w:snapToGrid w:val="0"/>
          <w:color w:val="auto"/>
          <w:kern w:val="0"/>
          <w:sz w:val="24"/>
          <w:highlight w:val="none"/>
        </w:rPr>
        <w:t>标准</w:t>
      </w:r>
      <w:r>
        <w:rPr>
          <w:snapToGrid w:val="0"/>
          <w:color w:val="auto"/>
          <w:kern w:val="0"/>
          <w:sz w:val="24"/>
          <w:highlight w:val="none"/>
        </w:rPr>
        <w:t>指数法对地下水</w:t>
      </w:r>
      <w:r>
        <w:rPr>
          <w:rFonts w:hint="eastAsia"/>
          <w:snapToGrid w:val="0"/>
          <w:color w:val="auto"/>
          <w:kern w:val="0"/>
          <w:sz w:val="24"/>
          <w:highlight w:val="none"/>
        </w:rPr>
        <w:t>水质</w:t>
      </w:r>
      <w:r>
        <w:rPr>
          <w:snapToGrid w:val="0"/>
          <w:color w:val="auto"/>
          <w:kern w:val="0"/>
          <w:sz w:val="24"/>
          <w:highlight w:val="none"/>
        </w:rPr>
        <w:t>现状进行评价。公式如下：</w:t>
      </w:r>
    </w:p>
    <w:p w14:paraId="6A74F647">
      <w:pPr>
        <w:keepNext w:val="0"/>
        <w:pageBreakBefore w:val="0"/>
        <w:widowControl w:val="0"/>
        <w:kinsoku/>
        <w:wordWrap/>
        <w:overflowPunct/>
        <w:topLinePunct w:val="0"/>
        <w:autoSpaceDE/>
        <w:autoSpaceDN/>
        <w:bidi w:val="0"/>
        <w:adjustRightInd w:val="0"/>
        <w:snapToGrid w:val="0"/>
        <w:spacing w:before="120" w:beforeLines="50" w:line="360" w:lineRule="auto"/>
        <w:ind w:firstLine="480" w:firstLineChars="200"/>
        <w:textAlignment w:val="auto"/>
        <w:rPr>
          <w:snapToGrid w:val="0"/>
          <w:color w:val="auto"/>
          <w:kern w:val="0"/>
          <w:sz w:val="24"/>
          <w:highlight w:val="none"/>
        </w:rPr>
      </w:pPr>
      <w:r>
        <w:rPr>
          <w:snapToGrid w:val="0"/>
          <w:color w:val="auto"/>
          <w:kern w:val="0"/>
          <w:sz w:val="24"/>
          <w:highlight w:val="none"/>
        </w:rPr>
        <w:pict>
          <v:shape id="_x0000_s1273" o:spid="_x0000_s1273" o:spt="75" type="#_x0000_t75" style="position:absolute;left:0pt;margin-left:64pt;margin-top:3.5pt;height:20.7pt;width:64.4pt;mso-wrap-distance-bottom:0pt;mso-wrap-distance-top:0pt;z-index:251683840;mso-width-relative:page;mso-height-relative:page;" o:ole="t" filled="f" coordsize="21600,21600">
            <v:path/>
            <v:fill on="f" focussize="0,0"/>
            <v:stroke/>
            <v:imagedata r:id="rId21" o:title=""/>
            <o:lock v:ext="edit" aspectratio="t"/>
            <w10:wrap type="topAndBottom"/>
          </v:shape>
          <o:OLEObject Type="Embed" ProgID="Equation.3" ShapeID="_x0000_s1273" DrawAspect="Content" ObjectID="_1468075725" r:id="rId20">
            <o:LockedField>false</o:LockedField>
          </o:OLEObject>
        </w:pict>
      </w:r>
      <w:r>
        <w:rPr>
          <w:snapToGrid w:val="0"/>
          <w:color w:val="auto"/>
          <w:kern w:val="0"/>
          <w:sz w:val="24"/>
          <w:highlight w:val="none"/>
        </w:rPr>
        <w:t xml:space="preserve"> 式中：</w:t>
      </w:r>
      <w:r>
        <w:rPr>
          <w:rFonts w:hint="eastAsia"/>
          <w:snapToGrid w:val="0"/>
          <w:color w:val="auto"/>
          <w:kern w:val="0"/>
          <w:sz w:val="24"/>
          <w:highlight w:val="none"/>
        </w:rPr>
        <w:t>P</w:t>
      </w:r>
      <w:r>
        <w:rPr>
          <w:snapToGrid w:val="0"/>
          <w:color w:val="auto"/>
          <w:kern w:val="0"/>
          <w:sz w:val="24"/>
          <w:highlight w:val="none"/>
          <w:vertAlign w:val="subscript"/>
        </w:rPr>
        <w:t>i</w:t>
      </w:r>
      <w:r>
        <w:rPr>
          <w:snapToGrid w:val="0"/>
          <w:color w:val="auto"/>
          <w:kern w:val="0"/>
          <w:sz w:val="24"/>
          <w:highlight w:val="none"/>
        </w:rPr>
        <w:t>—</w:t>
      </w:r>
      <w:r>
        <w:rPr>
          <w:rFonts w:hint="eastAsia"/>
          <w:snapToGrid w:val="0"/>
          <w:color w:val="auto"/>
          <w:kern w:val="0"/>
          <w:sz w:val="24"/>
          <w:highlight w:val="none"/>
        </w:rPr>
        <w:t>第</w:t>
      </w:r>
      <w:r>
        <w:rPr>
          <w:snapToGrid w:val="0"/>
          <w:color w:val="auto"/>
          <w:kern w:val="0"/>
          <w:sz w:val="24"/>
          <w:highlight w:val="none"/>
        </w:rPr>
        <w:t>i</w:t>
      </w:r>
      <w:r>
        <w:rPr>
          <w:rFonts w:hint="eastAsia"/>
          <w:snapToGrid w:val="0"/>
          <w:color w:val="auto"/>
          <w:kern w:val="0"/>
          <w:sz w:val="24"/>
          <w:highlight w:val="none"/>
        </w:rPr>
        <w:t>个水质</w:t>
      </w:r>
      <w:r>
        <w:rPr>
          <w:snapToGrid w:val="0"/>
          <w:color w:val="auto"/>
          <w:kern w:val="0"/>
          <w:sz w:val="24"/>
          <w:highlight w:val="none"/>
        </w:rPr>
        <w:t>因子</w:t>
      </w:r>
      <w:r>
        <w:rPr>
          <w:rFonts w:hint="eastAsia"/>
          <w:snapToGrid w:val="0"/>
          <w:color w:val="auto"/>
          <w:kern w:val="0"/>
          <w:sz w:val="24"/>
          <w:highlight w:val="none"/>
        </w:rPr>
        <w:t>的</w:t>
      </w:r>
      <w:r>
        <w:rPr>
          <w:snapToGrid w:val="0"/>
          <w:color w:val="auto"/>
          <w:kern w:val="0"/>
          <w:sz w:val="24"/>
          <w:highlight w:val="none"/>
        </w:rPr>
        <w:t>污染指数</w:t>
      </w:r>
      <w:r>
        <w:rPr>
          <w:rFonts w:hint="eastAsia"/>
          <w:snapToGrid w:val="0"/>
          <w:color w:val="auto"/>
          <w:kern w:val="0"/>
          <w:sz w:val="24"/>
          <w:highlight w:val="none"/>
        </w:rPr>
        <w:t>，无量纲</w:t>
      </w:r>
      <w:r>
        <w:rPr>
          <w:snapToGrid w:val="0"/>
          <w:color w:val="auto"/>
          <w:kern w:val="0"/>
          <w:sz w:val="24"/>
          <w:highlight w:val="none"/>
        </w:rPr>
        <w:t>；</w:t>
      </w:r>
    </w:p>
    <w:p w14:paraId="46220426">
      <w:pPr>
        <w:keepNext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i</w:t>
      </w:r>
      <w:r>
        <w:rPr>
          <w:snapToGrid w:val="0"/>
          <w:color w:val="auto"/>
          <w:kern w:val="0"/>
          <w:sz w:val="24"/>
          <w:highlight w:val="none"/>
        </w:rPr>
        <w:t>—</w:t>
      </w:r>
      <w:r>
        <w:rPr>
          <w:rFonts w:hint="eastAsia"/>
          <w:snapToGrid w:val="0"/>
          <w:color w:val="auto"/>
          <w:kern w:val="0"/>
          <w:sz w:val="24"/>
          <w:highlight w:val="none"/>
        </w:rPr>
        <w:t>第</w:t>
      </w:r>
      <w:r>
        <w:rPr>
          <w:snapToGrid w:val="0"/>
          <w:color w:val="auto"/>
          <w:kern w:val="0"/>
          <w:sz w:val="24"/>
          <w:highlight w:val="none"/>
        </w:rPr>
        <w:t>i</w:t>
      </w:r>
      <w:r>
        <w:rPr>
          <w:rFonts w:hint="eastAsia"/>
          <w:snapToGrid w:val="0"/>
          <w:color w:val="auto"/>
          <w:kern w:val="0"/>
          <w:sz w:val="24"/>
          <w:highlight w:val="none"/>
        </w:rPr>
        <w:t>个水质</w:t>
      </w:r>
      <w:r>
        <w:rPr>
          <w:snapToGrid w:val="0"/>
          <w:color w:val="auto"/>
          <w:kern w:val="0"/>
          <w:sz w:val="24"/>
          <w:highlight w:val="none"/>
        </w:rPr>
        <w:t>因子</w:t>
      </w:r>
      <w:r>
        <w:rPr>
          <w:rFonts w:hint="eastAsia"/>
          <w:snapToGrid w:val="0"/>
          <w:color w:val="auto"/>
          <w:kern w:val="0"/>
          <w:sz w:val="24"/>
          <w:highlight w:val="none"/>
        </w:rPr>
        <w:t>的监测</w:t>
      </w:r>
      <w:r>
        <w:rPr>
          <w:snapToGrid w:val="0"/>
          <w:color w:val="auto"/>
          <w:kern w:val="0"/>
          <w:sz w:val="24"/>
          <w:highlight w:val="none"/>
        </w:rPr>
        <w:t>浓度值</w:t>
      </w:r>
      <w:r>
        <w:rPr>
          <w:rFonts w:hint="eastAsia"/>
          <w:snapToGrid w:val="0"/>
          <w:color w:val="auto"/>
          <w:kern w:val="0"/>
          <w:sz w:val="24"/>
          <w:highlight w:val="none"/>
        </w:rPr>
        <w:t>，</w:t>
      </w:r>
      <w:r>
        <w:rPr>
          <w:snapToGrid w:val="0"/>
          <w:color w:val="auto"/>
          <w:kern w:val="0"/>
          <w:sz w:val="24"/>
          <w:highlight w:val="none"/>
        </w:rPr>
        <w:t>mg</w:t>
      </w:r>
      <w:r>
        <w:rPr>
          <w:rFonts w:hint="eastAsia"/>
          <w:snapToGrid w:val="0"/>
          <w:color w:val="auto"/>
          <w:kern w:val="0"/>
          <w:sz w:val="24"/>
          <w:highlight w:val="none"/>
        </w:rPr>
        <w:t>/</w:t>
      </w:r>
      <w:r>
        <w:rPr>
          <w:snapToGrid w:val="0"/>
          <w:color w:val="auto"/>
          <w:kern w:val="0"/>
          <w:sz w:val="24"/>
          <w:highlight w:val="none"/>
        </w:rPr>
        <w:t>L；</w:t>
      </w:r>
    </w:p>
    <w:p w14:paraId="28FC020B">
      <w:pPr>
        <w:keepNext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snapToGrid w:val="0"/>
          <w:color w:val="auto"/>
          <w:kern w:val="0"/>
          <w:sz w:val="24"/>
          <w:highlight w:val="none"/>
        </w:rPr>
      </w:pPr>
      <w:r>
        <w:rPr>
          <w:snapToGrid w:val="0"/>
          <w:color w:val="auto"/>
          <w:kern w:val="0"/>
          <w:sz w:val="24"/>
          <w:highlight w:val="none"/>
        </w:rPr>
        <w:t xml:space="preserve"> C</w:t>
      </w:r>
      <w:r>
        <w:rPr>
          <w:snapToGrid w:val="0"/>
          <w:color w:val="auto"/>
          <w:kern w:val="0"/>
          <w:sz w:val="24"/>
          <w:highlight w:val="none"/>
          <w:vertAlign w:val="subscript"/>
        </w:rPr>
        <w:t>si</w:t>
      </w:r>
      <w:r>
        <w:rPr>
          <w:snapToGrid w:val="0"/>
          <w:color w:val="auto"/>
          <w:kern w:val="0"/>
          <w:sz w:val="24"/>
          <w:highlight w:val="none"/>
        </w:rPr>
        <w:t>—</w:t>
      </w:r>
      <w:r>
        <w:rPr>
          <w:rFonts w:hint="eastAsia"/>
          <w:snapToGrid w:val="0"/>
          <w:color w:val="auto"/>
          <w:kern w:val="0"/>
          <w:sz w:val="24"/>
          <w:highlight w:val="none"/>
        </w:rPr>
        <w:t>第</w:t>
      </w:r>
      <w:r>
        <w:rPr>
          <w:snapToGrid w:val="0"/>
          <w:color w:val="auto"/>
          <w:kern w:val="0"/>
          <w:sz w:val="24"/>
          <w:highlight w:val="none"/>
        </w:rPr>
        <w:t>i</w:t>
      </w:r>
      <w:r>
        <w:rPr>
          <w:rFonts w:hint="eastAsia"/>
          <w:snapToGrid w:val="0"/>
          <w:color w:val="auto"/>
          <w:kern w:val="0"/>
          <w:sz w:val="24"/>
          <w:highlight w:val="none"/>
        </w:rPr>
        <w:t>个水质</w:t>
      </w:r>
      <w:r>
        <w:rPr>
          <w:snapToGrid w:val="0"/>
          <w:color w:val="auto"/>
          <w:kern w:val="0"/>
          <w:sz w:val="24"/>
          <w:highlight w:val="none"/>
        </w:rPr>
        <w:t>因子</w:t>
      </w:r>
      <w:r>
        <w:rPr>
          <w:rFonts w:hint="eastAsia"/>
          <w:snapToGrid w:val="0"/>
          <w:color w:val="auto"/>
          <w:kern w:val="0"/>
          <w:sz w:val="24"/>
          <w:highlight w:val="none"/>
        </w:rPr>
        <w:t>的标准</w:t>
      </w:r>
      <w:r>
        <w:rPr>
          <w:snapToGrid w:val="0"/>
          <w:color w:val="auto"/>
          <w:kern w:val="0"/>
          <w:sz w:val="24"/>
          <w:highlight w:val="none"/>
        </w:rPr>
        <w:t>浓度值</w:t>
      </w:r>
      <w:r>
        <w:rPr>
          <w:rFonts w:hint="eastAsia"/>
          <w:snapToGrid w:val="0"/>
          <w:color w:val="auto"/>
          <w:kern w:val="0"/>
          <w:sz w:val="24"/>
          <w:highlight w:val="none"/>
        </w:rPr>
        <w:t>，</w:t>
      </w:r>
      <w:r>
        <w:rPr>
          <w:snapToGrid w:val="0"/>
          <w:color w:val="auto"/>
          <w:kern w:val="0"/>
          <w:sz w:val="24"/>
          <w:highlight w:val="none"/>
        </w:rPr>
        <w:t xml:space="preserve"> mg</w:t>
      </w:r>
      <w:r>
        <w:rPr>
          <w:rFonts w:hint="eastAsia"/>
          <w:snapToGrid w:val="0"/>
          <w:color w:val="auto"/>
          <w:kern w:val="0"/>
          <w:sz w:val="24"/>
          <w:highlight w:val="none"/>
        </w:rPr>
        <w:t>/</w:t>
      </w:r>
      <w:r>
        <w:rPr>
          <w:snapToGrid w:val="0"/>
          <w:color w:val="auto"/>
          <w:kern w:val="0"/>
          <w:sz w:val="24"/>
          <w:highlight w:val="none"/>
        </w:rPr>
        <w:t>L；</w:t>
      </w:r>
    </w:p>
    <w:p w14:paraId="38D1CC83">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pH值单值质量指数模式为：</w:t>
      </w:r>
    </w:p>
    <w:p w14:paraId="649B4323">
      <w:pPr>
        <w:keepNext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snapToGrid w:val="0"/>
          <w:color w:val="auto"/>
          <w:kern w:val="0"/>
          <w:sz w:val="24"/>
          <w:highlight w:val="none"/>
        </w:rPr>
      </w:pPr>
      <w:r>
        <w:rPr>
          <w:rFonts w:hint="eastAsia"/>
          <w:color w:val="auto"/>
          <w:highlight w:val="none"/>
        </w:rPr>
        <w:t xml:space="preserve">    </w:t>
      </w:r>
      <w:r>
        <w:rPr>
          <w:color w:val="auto"/>
          <w:highlight w:val="none"/>
        </w:rPr>
        <w:drawing>
          <wp:inline distT="0" distB="0" distL="114300" distR="114300">
            <wp:extent cx="2306955" cy="1078865"/>
            <wp:effectExtent l="0" t="0" r="17145" b="6985"/>
            <wp:docPr id="27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13"/>
                    <pic:cNvPicPr>
                      <a:picLocks noChangeAspect="1"/>
                    </pic:cNvPicPr>
                  </pic:nvPicPr>
                  <pic:blipFill>
                    <a:blip r:embed="rId22"/>
                    <a:stretch>
                      <a:fillRect/>
                    </a:stretch>
                  </pic:blipFill>
                  <pic:spPr>
                    <a:xfrm>
                      <a:off x="0" y="0"/>
                      <a:ext cx="2306955" cy="1078865"/>
                    </a:xfrm>
                    <a:prstGeom prst="rect">
                      <a:avLst/>
                    </a:prstGeom>
                    <a:noFill/>
                    <a:ln>
                      <a:noFill/>
                    </a:ln>
                  </pic:spPr>
                </pic:pic>
              </a:graphicData>
            </a:graphic>
          </wp:inline>
        </w:drawing>
      </w:r>
    </w:p>
    <w:p w14:paraId="4AC6B622">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式中：</w:t>
      </w:r>
      <w:r>
        <w:rPr>
          <w:rFonts w:hint="eastAsia"/>
          <w:snapToGrid w:val="0"/>
          <w:color w:val="auto"/>
          <w:kern w:val="0"/>
          <w:sz w:val="24"/>
          <w:highlight w:val="none"/>
        </w:rPr>
        <w:t>P</w:t>
      </w:r>
      <w:r>
        <w:rPr>
          <w:snapToGrid w:val="0"/>
          <w:color w:val="auto"/>
          <w:kern w:val="0"/>
          <w:sz w:val="24"/>
          <w:highlight w:val="none"/>
          <w:vertAlign w:val="subscript"/>
        </w:rPr>
        <w:t>pH</w:t>
      </w:r>
      <w:r>
        <w:rPr>
          <w:snapToGrid w:val="0"/>
          <w:color w:val="auto"/>
          <w:kern w:val="0"/>
          <w:sz w:val="24"/>
          <w:highlight w:val="none"/>
        </w:rPr>
        <w:t>—pH</w:t>
      </w:r>
      <w:r>
        <w:rPr>
          <w:rFonts w:hint="eastAsia"/>
          <w:snapToGrid w:val="0"/>
          <w:color w:val="auto"/>
          <w:kern w:val="0"/>
          <w:sz w:val="24"/>
          <w:highlight w:val="none"/>
        </w:rPr>
        <w:t>的标准</w:t>
      </w:r>
      <w:r>
        <w:rPr>
          <w:snapToGrid w:val="0"/>
          <w:color w:val="auto"/>
          <w:kern w:val="0"/>
          <w:sz w:val="24"/>
          <w:highlight w:val="none"/>
        </w:rPr>
        <w:t>指数</w:t>
      </w:r>
      <w:r>
        <w:rPr>
          <w:rFonts w:hint="eastAsia"/>
          <w:snapToGrid w:val="0"/>
          <w:color w:val="auto"/>
          <w:kern w:val="0"/>
          <w:sz w:val="24"/>
          <w:highlight w:val="none"/>
        </w:rPr>
        <w:t>，无量纲</w:t>
      </w:r>
      <w:r>
        <w:rPr>
          <w:snapToGrid w:val="0"/>
          <w:color w:val="auto"/>
          <w:kern w:val="0"/>
          <w:sz w:val="24"/>
          <w:highlight w:val="none"/>
        </w:rPr>
        <w:t>；</w:t>
      </w:r>
    </w:p>
    <w:p w14:paraId="67A5EB64">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 xml:space="preserve">      pH—pH</w:t>
      </w:r>
      <w:r>
        <w:rPr>
          <w:rFonts w:hint="eastAsia"/>
          <w:snapToGrid w:val="0"/>
          <w:color w:val="auto"/>
          <w:kern w:val="0"/>
          <w:sz w:val="24"/>
          <w:highlight w:val="none"/>
        </w:rPr>
        <w:t>监测值</w:t>
      </w:r>
      <w:r>
        <w:rPr>
          <w:snapToGrid w:val="0"/>
          <w:color w:val="auto"/>
          <w:kern w:val="0"/>
          <w:sz w:val="24"/>
          <w:highlight w:val="none"/>
        </w:rPr>
        <w:t>；</w:t>
      </w:r>
    </w:p>
    <w:p w14:paraId="7A591935">
      <w:pPr>
        <w:keepNext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 xml:space="preserve">      pH</w:t>
      </w:r>
      <w:r>
        <w:rPr>
          <w:snapToGrid w:val="0"/>
          <w:color w:val="auto"/>
          <w:kern w:val="0"/>
          <w:sz w:val="24"/>
          <w:highlight w:val="none"/>
          <w:vertAlign w:val="subscript"/>
        </w:rPr>
        <w:t>sd</w:t>
      </w:r>
      <w:r>
        <w:rPr>
          <w:snapToGrid w:val="0"/>
          <w:color w:val="auto"/>
          <w:kern w:val="0"/>
          <w:sz w:val="24"/>
          <w:highlight w:val="none"/>
        </w:rPr>
        <w:t>—标准中pH的下限值（6.5）；</w:t>
      </w:r>
    </w:p>
    <w:p w14:paraId="632129C0">
      <w:pPr>
        <w:keepNext w:val="0"/>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snapToGrid w:val="0"/>
          <w:color w:val="auto"/>
          <w:kern w:val="0"/>
          <w:sz w:val="24"/>
          <w:highlight w:val="none"/>
        </w:rPr>
        <w:t xml:space="preserve">      pH</w:t>
      </w:r>
      <w:r>
        <w:rPr>
          <w:snapToGrid w:val="0"/>
          <w:color w:val="auto"/>
          <w:kern w:val="0"/>
          <w:sz w:val="24"/>
          <w:highlight w:val="none"/>
          <w:vertAlign w:val="subscript"/>
        </w:rPr>
        <w:t>su</w:t>
      </w:r>
      <w:r>
        <w:rPr>
          <w:snapToGrid w:val="0"/>
          <w:color w:val="auto"/>
          <w:kern w:val="0"/>
          <w:sz w:val="24"/>
          <w:highlight w:val="none"/>
        </w:rPr>
        <w:t>—标准中pH的上限值（8.5）。</w:t>
      </w:r>
    </w:p>
    <w:p w14:paraId="6BD528E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5.3.3.5监测及评价结果</w:t>
      </w:r>
    </w:p>
    <w:p w14:paraId="7A130309">
      <w:pPr>
        <w:keepNext w:val="0"/>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highlight w:val="none"/>
        </w:rPr>
      </w:pPr>
      <w:r>
        <w:rPr>
          <w:rFonts w:hint="eastAsia"/>
          <w:snapToGrid w:val="0"/>
          <w:color w:val="auto"/>
          <w:kern w:val="0"/>
          <w:sz w:val="24"/>
          <w:highlight w:val="none"/>
        </w:rPr>
        <w:t>地下水水质监测及评价结果见表5.3-1</w:t>
      </w:r>
      <w:r>
        <w:rPr>
          <w:rFonts w:hint="eastAsia"/>
          <w:snapToGrid w:val="0"/>
          <w:color w:val="auto"/>
          <w:kern w:val="0"/>
          <w:sz w:val="24"/>
          <w:highlight w:val="none"/>
          <w:lang w:val="en-US" w:eastAsia="zh-CN"/>
        </w:rPr>
        <w:t>1</w:t>
      </w:r>
      <w:r>
        <w:rPr>
          <w:rFonts w:hint="eastAsia"/>
          <w:snapToGrid w:val="0"/>
          <w:color w:val="auto"/>
          <w:kern w:val="0"/>
          <w:sz w:val="24"/>
          <w:highlight w:val="none"/>
        </w:rPr>
        <w:t>。</w:t>
      </w:r>
    </w:p>
    <w:p w14:paraId="1B6FEC5C">
      <w:pPr>
        <w:keepNext w:val="0"/>
        <w:pageBreakBefore w:val="0"/>
        <w:widowControl w:val="0"/>
        <w:kinsoku/>
        <w:wordWrap/>
        <w:overflowPunct/>
        <w:topLinePunct w:val="0"/>
        <w:autoSpaceDE/>
        <w:autoSpaceDN/>
        <w:bidi w:val="0"/>
        <w:spacing w:line="360" w:lineRule="auto"/>
        <w:ind w:firstLine="480" w:firstLineChars="200"/>
        <w:textAlignment w:val="auto"/>
        <w:rPr>
          <w:color w:val="auto"/>
          <w:sz w:val="24"/>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06C1493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5.3-1</w:t>
      </w:r>
      <w:r>
        <w:rPr>
          <w:rFonts w:hint="eastAsia" w:ascii="Times New Roman" w:hAnsi="Times New Roman" w:cs="Times New Roman"/>
          <w:snapToGrid w:val="0"/>
          <w:color w:val="auto"/>
          <w:kern w:val="0"/>
          <w:sz w:val="21"/>
          <w:szCs w:val="21"/>
          <w:highlight w:val="none"/>
          <w:lang w:val="en-US" w:eastAsia="zh-CN"/>
        </w:rPr>
        <w:t>1</w:t>
      </w:r>
      <w:r>
        <w:rPr>
          <w:rFonts w:hint="eastAsia" w:ascii="Times New Roman" w:hAnsi="Times New Roman" w:cs="Times New Roman"/>
          <w:snapToGrid w:val="0"/>
          <w:color w:val="auto"/>
          <w:kern w:val="0"/>
          <w:sz w:val="21"/>
          <w:szCs w:val="21"/>
          <w:highlight w:val="none"/>
        </w:rPr>
        <w:t xml:space="preserve"> 地下水水质监测结果及评价结果一览表   单位：mg/L，pH为无量纲</w:t>
      </w:r>
    </w:p>
    <w:tbl>
      <w:tblPr>
        <w:tblStyle w:val="56"/>
        <w:tblW w:w="4997"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15" w:type="dxa"/>
          <w:left w:w="15" w:type="dxa"/>
          <w:bottom w:w="15" w:type="dxa"/>
          <w:right w:w="15" w:type="dxa"/>
        </w:tblCellMar>
      </w:tblPr>
      <w:tblGrid>
        <w:gridCol w:w="481"/>
        <w:gridCol w:w="2292"/>
        <w:gridCol w:w="1240"/>
        <w:gridCol w:w="879"/>
        <w:gridCol w:w="543"/>
        <w:gridCol w:w="999"/>
        <w:gridCol w:w="616"/>
        <w:gridCol w:w="1139"/>
        <w:gridCol w:w="702"/>
        <w:gridCol w:w="1206"/>
        <w:gridCol w:w="742"/>
        <w:gridCol w:w="926"/>
        <w:gridCol w:w="568"/>
        <w:gridCol w:w="1647"/>
      </w:tblGrid>
      <w:tr w14:paraId="619E71D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172" w:type="pct"/>
            <w:vMerge w:val="restart"/>
            <w:vAlign w:val="center"/>
          </w:tcPr>
          <w:p w14:paraId="653C3E66">
            <w:pPr>
              <w:widowControl/>
              <w:adjustRightInd w:val="0"/>
              <w:snapToGrid w:val="0"/>
              <w:jc w:val="center"/>
              <w:rPr>
                <w:snapToGrid w:val="0"/>
                <w:color w:val="auto"/>
                <w:kern w:val="0"/>
                <w:szCs w:val="21"/>
                <w:highlight w:val="none"/>
              </w:rPr>
            </w:pPr>
            <w:r>
              <w:rPr>
                <w:snapToGrid w:val="0"/>
                <w:color w:val="auto"/>
                <w:kern w:val="0"/>
                <w:szCs w:val="21"/>
                <w:highlight w:val="none"/>
              </w:rPr>
              <w:t>序号</w:t>
            </w:r>
          </w:p>
        </w:tc>
        <w:tc>
          <w:tcPr>
            <w:tcW w:w="819" w:type="pct"/>
            <w:vMerge w:val="restart"/>
            <w:vAlign w:val="center"/>
          </w:tcPr>
          <w:p w14:paraId="0FCEBA4B">
            <w:pPr>
              <w:widowControl/>
              <w:adjustRightInd w:val="0"/>
              <w:snapToGrid w:val="0"/>
              <w:jc w:val="center"/>
              <w:rPr>
                <w:snapToGrid w:val="0"/>
                <w:color w:val="auto"/>
                <w:kern w:val="0"/>
                <w:szCs w:val="21"/>
                <w:highlight w:val="none"/>
              </w:rPr>
            </w:pPr>
            <w:r>
              <w:rPr>
                <w:snapToGrid w:val="0"/>
                <w:color w:val="auto"/>
                <w:kern w:val="0"/>
                <w:szCs w:val="21"/>
                <w:highlight w:val="none"/>
              </w:rPr>
              <w:t>项目</w:t>
            </w:r>
          </w:p>
        </w:tc>
        <w:tc>
          <w:tcPr>
            <w:tcW w:w="443" w:type="pct"/>
            <w:vMerge w:val="restart"/>
            <w:vAlign w:val="center"/>
          </w:tcPr>
          <w:p w14:paraId="4F756745">
            <w:pPr>
              <w:widowControl/>
              <w:adjustRightInd w:val="0"/>
              <w:snapToGrid w:val="0"/>
              <w:jc w:val="center"/>
              <w:rPr>
                <w:snapToGrid w:val="0"/>
                <w:color w:val="auto"/>
                <w:kern w:val="0"/>
                <w:szCs w:val="21"/>
                <w:highlight w:val="none"/>
              </w:rPr>
            </w:pPr>
            <w:r>
              <w:rPr>
                <w:snapToGrid w:val="0"/>
                <w:color w:val="auto"/>
                <w:kern w:val="0"/>
                <w:szCs w:val="21"/>
                <w:highlight w:val="none"/>
              </w:rPr>
              <w:t>单位</w:t>
            </w:r>
          </w:p>
        </w:tc>
        <w:tc>
          <w:tcPr>
            <w:tcW w:w="508" w:type="pct"/>
            <w:gridSpan w:val="2"/>
            <w:vAlign w:val="center"/>
          </w:tcPr>
          <w:p w14:paraId="73A7DCA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1#园区上游</w:t>
            </w:r>
          </w:p>
        </w:tc>
        <w:tc>
          <w:tcPr>
            <w:tcW w:w="577" w:type="pct"/>
            <w:gridSpan w:val="2"/>
            <w:vAlign w:val="center"/>
          </w:tcPr>
          <w:p w14:paraId="40AE1EF4">
            <w:pPr>
              <w:widowControl/>
              <w:adjustRightInd w:val="0"/>
              <w:snapToGrid w:val="0"/>
              <w:jc w:val="center"/>
              <w:rPr>
                <w:snapToGrid w:val="0"/>
                <w:color w:val="auto"/>
                <w:kern w:val="0"/>
                <w:szCs w:val="21"/>
                <w:highlight w:val="none"/>
              </w:rPr>
            </w:pPr>
            <w:r>
              <w:rPr>
                <w:snapToGrid w:val="0"/>
                <w:color w:val="auto"/>
                <w:kern w:val="0"/>
                <w:szCs w:val="21"/>
                <w:highlight w:val="none"/>
              </w:rPr>
              <w:t>2#</w:t>
            </w:r>
            <w:r>
              <w:rPr>
                <w:snapToGrid w:val="0"/>
                <w:color w:val="auto"/>
                <w:kern w:val="0"/>
                <w:szCs w:val="21"/>
                <w:highlight w:val="none"/>
                <w:lang w:val="zh-CN"/>
              </w:rPr>
              <w:t>凯赛东侧水井</w:t>
            </w:r>
          </w:p>
        </w:tc>
        <w:tc>
          <w:tcPr>
            <w:tcW w:w="658" w:type="pct"/>
            <w:gridSpan w:val="2"/>
            <w:vAlign w:val="center"/>
          </w:tcPr>
          <w:p w14:paraId="6EAFD91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3#园区西北侧水井</w:t>
            </w:r>
          </w:p>
        </w:tc>
        <w:tc>
          <w:tcPr>
            <w:tcW w:w="696" w:type="pct"/>
            <w:gridSpan w:val="2"/>
            <w:vAlign w:val="center"/>
          </w:tcPr>
          <w:p w14:paraId="1219E66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D1园区北侧自建房</w:t>
            </w:r>
          </w:p>
        </w:tc>
        <w:tc>
          <w:tcPr>
            <w:tcW w:w="534" w:type="pct"/>
            <w:gridSpan w:val="2"/>
            <w:vAlign w:val="center"/>
          </w:tcPr>
          <w:p w14:paraId="5FA6B8E1">
            <w:pPr>
              <w:widowControl/>
              <w:adjustRightInd w:val="0"/>
              <w:snapToGrid w:val="0"/>
              <w:jc w:val="center"/>
              <w:rPr>
                <w:snapToGrid w:val="0"/>
                <w:color w:val="auto"/>
                <w:kern w:val="0"/>
                <w:szCs w:val="21"/>
                <w:highlight w:val="none"/>
              </w:rPr>
            </w:pPr>
            <w:r>
              <w:rPr>
                <w:snapToGrid w:val="0"/>
                <w:color w:val="auto"/>
                <w:kern w:val="0"/>
                <w:szCs w:val="21"/>
                <w:highlight w:val="none"/>
              </w:rPr>
              <w:t>D2</w:t>
            </w:r>
            <w:r>
              <w:rPr>
                <w:rFonts w:hint="eastAsia"/>
                <w:snapToGrid w:val="0"/>
                <w:color w:val="auto"/>
                <w:kern w:val="0"/>
                <w:szCs w:val="21"/>
                <w:highlight w:val="none"/>
              </w:rPr>
              <w:t>生活区水井</w:t>
            </w:r>
          </w:p>
        </w:tc>
        <w:tc>
          <w:tcPr>
            <w:tcW w:w="588" w:type="pct"/>
            <w:vMerge w:val="restart"/>
            <w:vAlign w:val="center"/>
          </w:tcPr>
          <w:p w14:paraId="1F3FF15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w:t>
            </w:r>
            <w:r>
              <w:rPr>
                <w:snapToGrid w:val="0"/>
                <w:color w:val="auto"/>
                <w:kern w:val="0"/>
                <w:szCs w:val="21"/>
                <w:highlight w:val="none"/>
              </w:rPr>
              <w:t>标准</w:t>
            </w:r>
          </w:p>
        </w:tc>
      </w:tr>
      <w:tr w14:paraId="1F68F0F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172" w:type="pct"/>
            <w:vMerge w:val="continue"/>
            <w:vAlign w:val="center"/>
          </w:tcPr>
          <w:p w14:paraId="10F72D0E">
            <w:pPr>
              <w:widowControl/>
              <w:adjustRightInd w:val="0"/>
              <w:snapToGrid w:val="0"/>
              <w:jc w:val="center"/>
              <w:rPr>
                <w:snapToGrid w:val="0"/>
                <w:color w:val="auto"/>
                <w:kern w:val="0"/>
                <w:szCs w:val="21"/>
                <w:highlight w:val="none"/>
              </w:rPr>
            </w:pPr>
          </w:p>
        </w:tc>
        <w:tc>
          <w:tcPr>
            <w:tcW w:w="819" w:type="pct"/>
            <w:vMerge w:val="continue"/>
            <w:vAlign w:val="center"/>
          </w:tcPr>
          <w:p w14:paraId="2EAA86E3">
            <w:pPr>
              <w:widowControl/>
              <w:adjustRightInd w:val="0"/>
              <w:snapToGrid w:val="0"/>
              <w:jc w:val="center"/>
              <w:rPr>
                <w:snapToGrid w:val="0"/>
                <w:color w:val="auto"/>
                <w:kern w:val="0"/>
                <w:szCs w:val="21"/>
                <w:highlight w:val="none"/>
              </w:rPr>
            </w:pPr>
          </w:p>
        </w:tc>
        <w:tc>
          <w:tcPr>
            <w:tcW w:w="443" w:type="pct"/>
            <w:vMerge w:val="continue"/>
            <w:vAlign w:val="center"/>
          </w:tcPr>
          <w:p w14:paraId="2AD0B654">
            <w:pPr>
              <w:widowControl/>
              <w:adjustRightInd w:val="0"/>
              <w:snapToGrid w:val="0"/>
              <w:jc w:val="center"/>
              <w:rPr>
                <w:snapToGrid w:val="0"/>
                <w:color w:val="auto"/>
                <w:kern w:val="0"/>
                <w:szCs w:val="21"/>
                <w:highlight w:val="none"/>
              </w:rPr>
            </w:pPr>
          </w:p>
        </w:tc>
        <w:tc>
          <w:tcPr>
            <w:tcW w:w="314" w:type="pct"/>
            <w:vAlign w:val="center"/>
          </w:tcPr>
          <w:p w14:paraId="2B9C97CA">
            <w:pPr>
              <w:widowControl/>
              <w:adjustRightInd w:val="0"/>
              <w:snapToGrid w:val="0"/>
              <w:jc w:val="center"/>
              <w:rPr>
                <w:snapToGrid w:val="0"/>
                <w:color w:val="auto"/>
                <w:kern w:val="0"/>
                <w:szCs w:val="21"/>
                <w:highlight w:val="none"/>
              </w:rPr>
            </w:pPr>
            <w:r>
              <w:rPr>
                <w:snapToGrid w:val="0"/>
                <w:color w:val="auto"/>
                <w:kern w:val="0"/>
                <w:szCs w:val="21"/>
                <w:highlight w:val="none"/>
              </w:rPr>
              <w:t>监测</w:t>
            </w:r>
          </w:p>
          <w:p w14:paraId="6FB88A43">
            <w:pPr>
              <w:widowControl/>
              <w:adjustRightInd w:val="0"/>
              <w:snapToGrid w:val="0"/>
              <w:jc w:val="center"/>
              <w:rPr>
                <w:snapToGrid w:val="0"/>
                <w:color w:val="auto"/>
                <w:kern w:val="0"/>
                <w:szCs w:val="21"/>
                <w:highlight w:val="none"/>
              </w:rPr>
            </w:pPr>
            <w:r>
              <w:rPr>
                <w:snapToGrid w:val="0"/>
                <w:color w:val="auto"/>
                <w:kern w:val="0"/>
                <w:szCs w:val="21"/>
                <w:highlight w:val="none"/>
              </w:rPr>
              <w:t>结果</w:t>
            </w:r>
          </w:p>
        </w:tc>
        <w:tc>
          <w:tcPr>
            <w:tcW w:w="194" w:type="pct"/>
            <w:vAlign w:val="center"/>
          </w:tcPr>
          <w:p w14:paraId="37D20350">
            <w:pPr>
              <w:widowControl/>
              <w:adjustRightInd w:val="0"/>
              <w:snapToGrid w:val="0"/>
              <w:jc w:val="center"/>
              <w:rPr>
                <w:snapToGrid w:val="0"/>
                <w:color w:val="auto"/>
                <w:kern w:val="0"/>
                <w:szCs w:val="21"/>
                <w:highlight w:val="none"/>
              </w:rPr>
            </w:pPr>
            <w:r>
              <w:rPr>
                <w:snapToGrid w:val="0"/>
                <w:color w:val="auto"/>
                <w:kern w:val="0"/>
                <w:szCs w:val="21"/>
                <w:highlight w:val="none"/>
              </w:rPr>
              <w:t>标准</w:t>
            </w:r>
          </w:p>
          <w:p w14:paraId="1FA5B256">
            <w:pPr>
              <w:widowControl/>
              <w:adjustRightInd w:val="0"/>
              <w:snapToGrid w:val="0"/>
              <w:jc w:val="center"/>
              <w:rPr>
                <w:snapToGrid w:val="0"/>
                <w:color w:val="auto"/>
                <w:kern w:val="0"/>
                <w:szCs w:val="21"/>
                <w:highlight w:val="none"/>
              </w:rPr>
            </w:pPr>
            <w:r>
              <w:rPr>
                <w:snapToGrid w:val="0"/>
                <w:color w:val="auto"/>
                <w:kern w:val="0"/>
                <w:szCs w:val="21"/>
                <w:highlight w:val="none"/>
              </w:rPr>
              <w:t>指数</w:t>
            </w:r>
          </w:p>
        </w:tc>
        <w:tc>
          <w:tcPr>
            <w:tcW w:w="357" w:type="pct"/>
            <w:vAlign w:val="center"/>
          </w:tcPr>
          <w:p w14:paraId="46EAC3EC">
            <w:pPr>
              <w:widowControl/>
              <w:adjustRightInd w:val="0"/>
              <w:snapToGrid w:val="0"/>
              <w:jc w:val="center"/>
              <w:rPr>
                <w:snapToGrid w:val="0"/>
                <w:color w:val="auto"/>
                <w:kern w:val="0"/>
                <w:szCs w:val="21"/>
                <w:highlight w:val="none"/>
              </w:rPr>
            </w:pPr>
            <w:r>
              <w:rPr>
                <w:snapToGrid w:val="0"/>
                <w:color w:val="auto"/>
                <w:kern w:val="0"/>
                <w:szCs w:val="21"/>
                <w:highlight w:val="none"/>
              </w:rPr>
              <w:t>监测</w:t>
            </w:r>
          </w:p>
          <w:p w14:paraId="655F801C">
            <w:pPr>
              <w:widowControl/>
              <w:adjustRightInd w:val="0"/>
              <w:snapToGrid w:val="0"/>
              <w:jc w:val="center"/>
              <w:rPr>
                <w:snapToGrid w:val="0"/>
                <w:color w:val="auto"/>
                <w:kern w:val="0"/>
                <w:szCs w:val="21"/>
                <w:highlight w:val="none"/>
              </w:rPr>
            </w:pPr>
            <w:r>
              <w:rPr>
                <w:snapToGrid w:val="0"/>
                <w:color w:val="auto"/>
                <w:kern w:val="0"/>
                <w:szCs w:val="21"/>
                <w:highlight w:val="none"/>
              </w:rPr>
              <w:t>结果</w:t>
            </w:r>
          </w:p>
        </w:tc>
        <w:tc>
          <w:tcPr>
            <w:tcW w:w="220" w:type="pct"/>
            <w:vAlign w:val="center"/>
          </w:tcPr>
          <w:p w14:paraId="6789BBC4">
            <w:pPr>
              <w:widowControl/>
              <w:adjustRightInd w:val="0"/>
              <w:snapToGrid w:val="0"/>
              <w:jc w:val="center"/>
              <w:rPr>
                <w:snapToGrid w:val="0"/>
                <w:color w:val="auto"/>
                <w:kern w:val="0"/>
                <w:szCs w:val="21"/>
                <w:highlight w:val="none"/>
              </w:rPr>
            </w:pPr>
            <w:r>
              <w:rPr>
                <w:snapToGrid w:val="0"/>
                <w:color w:val="auto"/>
                <w:kern w:val="0"/>
                <w:szCs w:val="21"/>
                <w:highlight w:val="none"/>
              </w:rPr>
              <w:t>标准</w:t>
            </w:r>
          </w:p>
          <w:p w14:paraId="60F7ABEC">
            <w:pPr>
              <w:widowControl/>
              <w:adjustRightInd w:val="0"/>
              <w:snapToGrid w:val="0"/>
              <w:jc w:val="center"/>
              <w:rPr>
                <w:snapToGrid w:val="0"/>
                <w:color w:val="auto"/>
                <w:kern w:val="0"/>
                <w:szCs w:val="21"/>
                <w:highlight w:val="none"/>
              </w:rPr>
            </w:pPr>
            <w:r>
              <w:rPr>
                <w:snapToGrid w:val="0"/>
                <w:color w:val="auto"/>
                <w:kern w:val="0"/>
                <w:szCs w:val="21"/>
                <w:highlight w:val="none"/>
              </w:rPr>
              <w:t>指数</w:t>
            </w:r>
          </w:p>
        </w:tc>
        <w:tc>
          <w:tcPr>
            <w:tcW w:w="407" w:type="pct"/>
            <w:vAlign w:val="center"/>
          </w:tcPr>
          <w:p w14:paraId="2593146D">
            <w:pPr>
              <w:widowControl/>
              <w:adjustRightInd w:val="0"/>
              <w:snapToGrid w:val="0"/>
              <w:jc w:val="center"/>
              <w:rPr>
                <w:snapToGrid w:val="0"/>
                <w:color w:val="auto"/>
                <w:kern w:val="0"/>
                <w:szCs w:val="21"/>
                <w:highlight w:val="none"/>
              </w:rPr>
            </w:pPr>
            <w:r>
              <w:rPr>
                <w:snapToGrid w:val="0"/>
                <w:color w:val="auto"/>
                <w:kern w:val="0"/>
                <w:szCs w:val="21"/>
                <w:highlight w:val="none"/>
              </w:rPr>
              <w:t>监测</w:t>
            </w:r>
          </w:p>
          <w:p w14:paraId="6C5C4070">
            <w:pPr>
              <w:widowControl/>
              <w:adjustRightInd w:val="0"/>
              <w:snapToGrid w:val="0"/>
              <w:jc w:val="center"/>
              <w:rPr>
                <w:snapToGrid w:val="0"/>
                <w:color w:val="auto"/>
                <w:kern w:val="0"/>
                <w:szCs w:val="21"/>
                <w:highlight w:val="none"/>
              </w:rPr>
            </w:pPr>
            <w:r>
              <w:rPr>
                <w:snapToGrid w:val="0"/>
                <w:color w:val="auto"/>
                <w:kern w:val="0"/>
                <w:szCs w:val="21"/>
                <w:highlight w:val="none"/>
              </w:rPr>
              <w:t>结果</w:t>
            </w:r>
          </w:p>
        </w:tc>
        <w:tc>
          <w:tcPr>
            <w:tcW w:w="251" w:type="pct"/>
            <w:vAlign w:val="center"/>
          </w:tcPr>
          <w:p w14:paraId="7B4F3B10">
            <w:pPr>
              <w:widowControl/>
              <w:adjustRightInd w:val="0"/>
              <w:snapToGrid w:val="0"/>
              <w:jc w:val="center"/>
              <w:rPr>
                <w:snapToGrid w:val="0"/>
                <w:color w:val="auto"/>
                <w:kern w:val="0"/>
                <w:szCs w:val="21"/>
                <w:highlight w:val="none"/>
              </w:rPr>
            </w:pPr>
            <w:r>
              <w:rPr>
                <w:snapToGrid w:val="0"/>
                <w:color w:val="auto"/>
                <w:kern w:val="0"/>
                <w:szCs w:val="21"/>
                <w:highlight w:val="none"/>
              </w:rPr>
              <w:t>标准</w:t>
            </w:r>
          </w:p>
          <w:p w14:paraId="04A3A5D4">
            <w:pPr>
              <w:widowControl/>
              <w:adjustRightInd w:val="0"/>
              <w:snapToGrid w:val="0"/>
              <w:jc w:val="center"/>
              <w:rPr>
                <w:snapToGrid w:val="0"/>
                <w:color w:val="auto"/>
                <w:kern w:val="0"/>
                <w:szCs w:val="21"/>
                <w:highlight w:val="none"/>
              </w:rPr>
            </w:pPr>
            <w:r>
              <w:rPr>
                <w:snapToGrid w:val="0"/>
                <w:color w:val="auto"/>
                <w:kern w:val="0"/>
                <w:szCs w:val="21"/>
                <w:highlight w:val="none"/>
              </w:rPr>
              <w:t>指数</w:t>
            </w:r>
          </w:p>
        </w:tc>
        <w:tc>
          <w:tcPr>
            <w:tcW w:w="431" w:type="pct"/>
            <w:vAlign w:val="center"/>
          </w:tcPr>
          <w:p w14:paraId="339FADE8">
            <w:pPr>
              <w:widowControl/>
              <w:adjustRightInd w:val="0"/>
              <w:snapToGrid w:val="0"/>
              <w:jc w:val="center"/>
              <w:rPr>
                <w:snapToGrid w:val="0"/>
                <w:color w:val="auto"/>
                <w:kern w:val="0"/>
                <w:szCs w:val="21"/>
                <w:highlight w:val="none"/>
              </w:rPr>
            </w:pPr>
            <w:r>
              <w:rPr>
                <w:snapToGrid w:val="0"/>
                <w:color w:val="auto"/>
                <w:kern w:val="0"/>
                <w:szCs w:val="21"/>
                <w:highlight w:val="none"/>
              </w:rPr>
              <w:t>监测</w:t>
            </w:r>
          </w:p>
          <w:p w14:paraId="109B9D76">
            <w:pPr>
              <w:widowControl/>
              <w:adjustRightInd w:val="0"/>
              <w:snapToGrid w:val="0"/>
              <w:jc w:val="center"/>
              <w:rPr>
                <w:snapToGrid w:val="0"/>
                <w:color w:val="auto"/>
                <w:kern w:val="0"/>
                <w:szCs w:val="21"/>
                <w:highlight w:val="none"/>
              </w:rPr>
            </w:pPr>
            <w:r>
              <w:rPr>
                <w:snapToGrid w:val="0"/>
                <w:color w:val="auto"/>
                <w:kern w:val="0"/>
                <w:szCs w:val="21"/>
                <w:highlight w:val="none"/>
              </w:rPr>
              <w:t>结果</w:t>
            </w:r>
          </w:p>
        </w:tc>
        <w:tc>
          <w:tcPr>
            <w:tcW w:w="265" w:type="pct"/>
            <w:vAlign w:val="center"/>
          </w:tcPr>
          <w:p w14:paraId="03C4F329">
            <w:pPr>
              <w:widowControl/>
              <w:adjustRightInd w:val="0"/>
              <w:snapToGrid w:val="0"/>
              <w:jc w:val="center"/>
              <w:rPr>
                <w:snapToGrid w:val="0"/>
                <w:color w:val="auto"/>
                <w:kern w:val="0"/>
                <w:szCs w:val="21"/>
                <w:highlight w:val="none"/>
              </w:rPr>
            </w:pPr>
            <w:r>
              <w:rPr>
                <w:snapToGrid w:val="0"/>
                <w:color w:val="auto"/>
                <w:kern w:val="0"/>
                <w:szCs w:val="21"/>
                <w:highlight w:val="none"/>
              </w:rPr>
              <w:t>标准</w:t>
            </w:r>
          </w:p>
          <w:p w14:paraId="767CECAB">
            <w:pPr>
              <w:widowControl/>
              <w:adjustRightInd w:val="0"/>
              <w:snapToGrid w:val="0"/>
              <w:jc w:val="center"/>
              <w:rPr>
                <w:snapToGrid w:val="0"/>
                <w:color w:val="auto"/>
                <w:kern w:val="0"/>
                <w:szCs w:val="21"/>
                <w:highlight w:val="none"/>
              </w:rPr>
            </w:pPr>
            <w:r>
              <w:rPr>
                <w:snapToGrid w:val="0"/>
                <w:color w:val="auto"/>
                <w:kern w:val="0"/>
                <w:szCs w:val="21"/>
                <w:highlight w:val="none"/>
              </w:rPr>
              <w:t>指数</w:t>
            </w:r>
          </w:p>
        </w:tc>
        <w:tc>
          <w:tcPr>
            <w:tcW w:w="331" w:type="pct"/>
            <w:vAlign w:val="center"/>
          </w:tcPr>
          <w:p w14:paraId="4DD6AF34">
            <w:pPr>
              <w:widowControl/>
              <w:adjustRightInd w:val="0"/>
              <w:snapToGrid w:val="0"/>
              <w:jc w:val="center"/>
              <w:rPr>
                <w:snapToGrid w:val="0"/>
                <w:color w:val="auto"/>
                <w:kern w:val="0"/>
                <w:szCs w:val="21"/>
                <w:highlight w:val="none"/>
              </w:rPr>
            </w:pPr>
            <w:r>
              <w:rPr>
                <w:snapToGrid w:val="0"/>
                <w:color w:val="auto"/>
                <w:kern w:val="0"/>
                <w:szCs w:val="21"/>
                <w:highlight w:val="none"/>
              </w:rPr>
              <w:t>监测</w:t>
            </w:r>
          </w:p>
          <w:p w14:paraId="10C12F04">
            <w:pPr>
              <w:widowControl/>
              <w:adjustRightInd w:val="0"/>
              <w:snapToGrid w:val="0"/>
              <w:jc w:val="center"/>
              <w:rPr>
                <w:snapToGrid w:val="0"/>
                <w:color w:val="auto"/>
                <w:kern w:val="0"/>
                <w:szCs w:val="21"/>
                <w:highlight w:val="none"/>
              </w:rPr>
            </w:pPr>
            <w:r>
              <w:rPr>
                <w:snapToGrid w:val="0"/>
                <w:color w:val="auto"/>
                <w:kern w:val="0"/>
                <w:szCs w:val="21"/>
                <w:highlight w:val="none"/>
              </w:rPr>
              <w:t>结果</w:t>
            </w:r>
          </w:p>
        </w:tc>
        <w:tc>
          <w:tcPr>
            <w:tcW w:w="203" w:type="pct"/>
            <w:vAlign w:val="center"/>
          </w:tcPr>
          <w:p w14:paraId="1384304C">
            <w:pPr>
              <w:widowControl/>
              <w:adjustRightInd w:val="0"/>
              <w:snapToGrid w:val="0"/>
              <w:jc w:val="center"/>
              <w:rPr>
                <w:snapToGrid w:val="0"/>
                <w:color w:val="auto"/>
                <w:kern w:val="0"/>
                <w:szCs w:val="21"/>
                <w:highlight w:val="none"/>
              </w:rPr>
            </w:pPr>
            <w:r>
              <w:rPr>
                <w:snapToGrid w:val="0"/>
                <w:color w:val="auto"/>
                <w:kern w:val="0"/>
                <w:szCs w:val="21"/>
                <w:highlight w:val="none"/>
              </w:rPr>
              <w:t>标准</w:t>
            </w:r>
          </w:p>
          <w:p w14:paraId="70361247">
            <w:pPr>
              <w:widowControl/>
              <w:adjustRightInd w:val="0"/>
              <w:snapToGrid w:val="0"/>
              <w:jc w:val="center"/>
              <w:rPr>
                <w:snapToGrid w:val="0"/>
                <w:color w:val="auto"/>
                <w:kern w:val="0"/>
                <w:szCs w:val="21"/>
                <w:highlight w:val="none"/>
              </w:rPr>
            </w:pPr>
            <w:r>
              <w:rPr>
                <w:snapToGrid w:val="0"/>
                <w:color w:val="auto"/>
                <w:kern w:val="0"/>
                <w:szCs w:val="21"/>
                <w:highlight w:val="none"/>
              </w:rPr>
              <w:t>指数</w:t>
            </w:r>
          </w:p>
        </w:tc>
        <w:tc>
          <w:tcPr>
            <w:tcW w:w="588" w:type="pct"/>
            <w:vMerge w:val="continue"/>
            <w:vAlign w:val="center"/>
          </w:tcPr>
          <w:p w14:paraId="5E0230E0">
            <w:pPr>
              <w:widowControl/>
              <w:adjustRightInd w:val="0"/>
              <w:snapToGrid w:val="0"/>
              <w:jc w:val="center"/>
              <w:rPr>
                <w:snapToGrid w:val="0"/>
                <w:color w:val="auto"/>
                <w:kern w:val="0"/>
                <w:szCs w:val="21"/>
                <w:highlight w:val="none"/>
              </w:rPr>
            </w:pPr>
          </w:p>
        </w:tc>
      </w:tr>
      <w:tr w14:paraId="6E3533D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2C30913F">
            <w:pPr>
              <w:widowControl/>
              <w:adjustRightInd w:val="0"/>
              <w:snapToGrid w:val="0"/>
              <w:jc w:val="center"/>
              <w:rPr>
                <w:snapToGrid w:val="0"/>
                <w:color w:val="auto"/>
                <w:kern w:val="0"/>
                <w:szCs w:val="21"/>
                <w:highlight w:val="none"/>
              </w:rPr>
            </w:pPr>
            <w:r>
              <w:rPr>
                <w:snapToGrid w:val="0"/>
                <w:color w:val="auto"/>
                <w:kern w:val="0"/>
                <w:szCs w:val="21"/>
                <w:highlight w:val="none"/>
              </w:rPr>
              <w:t>1</w:t>
            </w:r>
          </w:p>
        </w:tc>
        <w:tc>
          <w:tcPr>
            <w:tcW w:w="819" w:type="pct"/>
            <w:vAlign w:val="center"/>
          </w:tcPr>
          <w:p w14:paraId="1080C2A3">
            <w:pPr>
              <w:widowControl/>
              <w:adjustRightInd w:val="0"/>
              <w:snapToGrid w:val="0"/>
              <w:jc w:val="center"/>
              <w:rPr>
                <w:snapToGrid w:val="0"/>
                <w:color w:val="auto"/>
                <w:kern w:val="0"/>
                <w:szCs w:val="21"/>
                <w:highlight w:val="none"/>
              </w:rPr>
            </w:pPr>
            <w:r>
              <w:rPr>
                <w:snapToGrid w:val="0"/>
                <w:color w:val="auto"/>
                <w:kern w:val="0"/>
                <w:szCs w:val="21"/>
                <w:highlight w:val="none"/>
              </w:rPr>
              <w:t>pH</w:t>
            </w:r>
          </w:p>
        </w:tc>
        <w:tc>
          <w:tcPr>
            <w:tcW w:w="443" w:type="pct"/>
            <w:vAlign w:val="center"/>
          </w:tcPr>
          <w:p w14:paraId="0B40F81F">
            <w:pPr>
              <w:widowControl/>
              <w:adjustRightInd w:val="0"/>
              <w:snapToGrid w:val="0"/>
              <w:jc w:val="center"/>
              <w:rPr>
                <w:snapToGrid w:val="0"/>
                <w:color w:val="auto"/>
                <w:kern w:val="0"/>
                <w:szCs w:val="21"/>
                <w:highlight w:val="none"/>
              </w:rPr>
            </w:pPr>
            <w:r>
              <w:rPr>
                <w:snapToGrid w:val="0"/>
                <w:color w:val="auto"/>
                <w:kern w:val="0"/>
                <w:szCs w:val="21"/>
                <w:highlight w:val="none"/>
              </w:rPr>
              <w:t>无量纲</w:t>
            </w:r>
          </w:p>
        </w:tc>
        <w:tc>
          <w:tcPr>
            <w:tcW w:w="314" w:type="pct"/>
            <w:vAlign w:val="center"/>
          </w:tcPr>
          <w:p w14:paraId="730BEEA5">
            <w:pPr>
              <w:widowControl/>
              <w:adjustRightInd w:val="0"/>
              <w:snapToGrid w:val="0"/>
              <w:jc w:val="center"/>
              <w:rPr>
                <w:snapToGrid w:val="0"/>
                <w:color w:val="auto"/>
                <w:kern w:val="0"/>
                <w:szCs w:val="21"/>
                <w:highlight w:val="none"/>
              </w:rPr>
            </w:pPr>
            <w:r>
              <w:rPr>
                <w:snapToGrid w:val="0"/>
                <w:color w:val="auto"/>
                <w:kern w:val="0"/>
                <w:szCs w:val="21"/>
                <w:highlight w:val="none"/>
              </w:rPr>
              <w:t>7.6</w:t>
            </w:r>
          </w:p>
        </w:tc>
        <w:tc>
          <w:tcPr>
            <w:tcW w:w="194" w:type="pct"/>
            <w:vAlign w:val="center"/>
          </w:tcPr>
          <w:p w14:paraId="52B61ECF">
            <w:pPr>
              <w:widowControl/>
              <w:adjustRightInd w:val="0"/>
              <w:snapToGrid w:val="0"/>
              <w:jc w:val="center"/>
              <w:rPr>
                <w:snapToGrid w:val="0"/>
                <w:color w:val="auto"/>
                <w:kern w:val="0"/>
                <w:szCs w:val="21"/>
                <w:highlight w:val="none"/>
              </w:rPr>
            </w:pPr>
            <w:r>
              <w:rPr>
                <w:snapToGrid w:val="0"/>
                <w:color w:val="auto"/>
                <w:kern w:val="0"/>
                <w:szCs w:val="21"/>
                <w:highlight w:val="none"/>
              </w:rPr>
              <w:t>0.400</w:t>
            </w:r>
          </w:p>
        </w:tc>
        <w:tc>
          <w:tcPr>
            <w:tcW w:w="357" w:type="pct"/>
            <w:vAlign w:val="center"/>
          </w:tcPr>
          <w:p w14:paraId="219328B2">
            <w:pPr>
              <w:widowControl/>
              <w:adjustRightInd w:val="0"/>
              <w:snapToGrid w:val="0"/>
              <w:jc w:val="center"/>
              <w:rPr>
                <w:snapToGrid w:val="0"/>
                <w:color w:val="auto"/>
                <w:kern w:val="0"/>
                <w:szCs w:val="21"/>
                <w:highlight w:val="none"/>
              </w:rPr>
            </w:pPr>
            <w:r>
              <w:rPr>
                <w:snapToGrid w:val="0"/>
                <w:color w:val="auto"/>
                <w:kern w:val="0"/>
                <w:szCs w:val="21"/>
                <w:highlight w:val="none"/>
              </w:rPr>
              <w:t>7.5</w:t>
            </w:r>
          </w:p>
        </w:tc>
        <w:tc>
          <w:tcPr>
            <w:tcW w:w="220" w:type="pct"/>
            <w:vAlign w:val="center"/>
          </w:tcPr>
          <w:p w14:paraId="504D078D">
            <w:pPr>
              <w:widowControl/>
              <w:adjustRightInd w:val="0"/>
              <w:snapToGrid w:val="0"/>
              <w:jc w:val="center"/>
              <w:rPr>
                <w:snapToGrid w:val="0"/>
                <w:color w:val="auto"/>
                <w:kern w:val="0"/>
                <w:szCs w:val="21"/>
                <w:highlight w:val="none"/>
              </w:rPr>
            </w:pPr>
            <w:r>
              <w:rPr>
                <w:snapToGrid w:val="0"/>
                <w:color w:val="auto"/>
                <w:kern w:val="0"/>
                <w:szCs w:val="21"/>
                <w:highlight w:val="none"/>
              </w:rPr>
              <w:t>0.333</w:t>
            </w:r>
          </w:p>
        </w:tc>
        <w:tc>
          <w:tcPr>
            <w:tcW w:w="407" w:type="pct"/>
            <w:vAlign w:val="center"/>
          </w:tcPr>
          <w:p w14:paraId="2D08B3B8">
            <w:pPr>
              <w:widowControl/>
              <w:adjustRightInd w:val="0"/>
              <w:snapToGrid w:val="0"/>
              <w:jc w:val="center"/>
              <w:rPr>
                <w:snapToGrid w:val="0"/>
                <w:color w:val="auto"/>
                <w:kern w:val="0"/>
                <w:szCs w:val="21"/>
                <w:highlight w:val="none"/>
              </w:rPr>
            </w:pPr>
            <w:r>
              <w:rPr>
                <w:snapToGrid w:val="0"/>
                <w:color w:val="auto"/>
                <w:kern w:val="0"/>
                <w:szCs w:val="21"/>
                <w:highlight w:val="none"/>
              </w:rPr>
              <w:t>7.4</w:t>
            </w:r>
          </w:p>
        </w:tc>
        <w:tc>
          <w:tcPr>
            <w:tcW w:w="251" w:type="pct"/>
            <w:vAlign w:val="center"/>
          </w:tcPr>
          <w:p w14:paraId="2E94BD20">
            <w:pPr>
              <w:widowControl/>
              <w:adjustRightInd w:val="0"/>
              <w:snapToGrid w:val="0"/>
              <w:jc w:val="center"/>
              <w:rPr>
                <w:snapToGrid w:val="0"/>
                <w:color w:val="auto"/>
                <w:kern w:val="0"/>
                <w:szCs w:val="21"/>
                <w:highlight w:val="none"/>
              </w:rPr>
            </w:pPr>
            <w:r>
              <w:rPr>
                <w:snapToGrid w:val="0"/>
                <w:color w:val="auto"/>
                <w:kern w:val="0"/>
                <w:szCs w:val="21"/>
                <w:highlight w:val="none"/>
              </w:rPr>
              <w:t>0.267</w:t>
            </w:r>
          </w:p>
        </w:tc>
        <w:tc>
          <w:tcPr>
            <w:tcW w:w="431" w:type="pct"/>
            <w:vAlign w:val="center"/>
          </w:tcPr>
          <w:p w14:paraId="55B025B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7.1</w:t>
            </w:r>
          </w:p>
        </w:tc>
        <w:tc>
          <w:tcPr>
            <w:tcW w:w="265" w:type="pct"/>
            <w:vAlign w:val="center"/>
          </w:tcPr>
          <w:p w14:paraId="72678E9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0.067</w:t>
            </w:r>
          </w:p>
        </w:tc>
        <w:tc>
          <w:tcPr>
            <w:tcW w:w="331" w:type="pct"/>
            <w:vAlign w:val="center"/>
          </w:tcPr>
          <w:p w14:paraId="341901E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7.9</w:t>
            </w:r>
          </w:p>
        </w:tc>
        <w:tc>
          <w:tcPr>
            <w:tcW w:w="203" w:type="pct"/>
            <w:vAlign w:val="center"/>
          </w:tcPr>
          <w:p w14:paraId="270FE48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0.6</w:t>
            </w:r>
          </w:p>
        </w:tc>
        <w:tc>
          <w:tcPr>
            <w:tcW w:w="588" w:type="pct"/>
            <w:vAlign w:val="center"/>
          </w:tcPr>
          <w:p w14:paraId="5A78A2A6">
            <w:pPr>
              <w:widowControl/>
              <w:adjustRightInd w:val="0"/>
              <w:snapToGrid w:val="0"/>
              <w:jc w:val="center"/>
              <w:rPr>
                <w:snapToGrid w:val="0"/>
                <w:color w:val="auto"/>
                <w:kern w:val="0"/>
                <w:szCs w:val="21"/>
                <w:highlight w:val="none"/>
              </w:rPr>
            </w:pPr>
            <w:r>
              <w:rPr>
                <w:snapToGrid w:val="0"/>
                <w:color w:val="auto"/>
                <w:kern w:val="0"/>
                <w:szCs w:val="21"/>
                <w:highlight w:val="none"/>
              </w:rPr>
              <w:t>6.5-8.5</w:t>
            </w:r>
          </w:p>
        </w:tc>
      </w:tr>
      <w:tr w14:paraId="3246204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27DEECC8">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819" w:type="pct"/>
            <w:vAlign w:val="center"/>
          </w:tcPr>
          <w:p w14:paraId="55DF9E5A">
            <w:pPr>
              <w:widowControl/>
              <w:adjustRightInd w:val="0"/>
              <w:snapToGrid w:val="0"/>
              <w:jc w:val="center"/>
              <w:rPr>
                <w:snapToGrid w:val="0"/>
                <w:color w:val="auto"/>
                <w:kern w:val="0"/>
                <w:szCs w:val="21"/>
                <w:highlight w:val="none"/>
              </w:rPr>
            </w:pPr>
            <w:r>
              <w:rPr>
                <w:snapToGrid w:val="0"/>
                <w:color w:val="auto"/>
                <w:kern w:val="0"/>
                <w:szCs w:val="21"/>
                <w:highlight w:val="none"/>
              </w:rPr>
              <w:t>溶解性总固体</w:t>
            </w:r>
          </w:p>
        </w:tc>
        <w:tc>
          <w:tcPr>
            <w:tcW w:w="443" w:type="pct"/>
            <w:vAlign w:val="center"/>
          </w:tcPr>
          <w:p w14:paraId="7BAF2EE6">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54DD8915">
            <w:pPr>
              <w:widowControl/>
              <w:adjustRightInd w:val="0"/>
              <w:snapToGrid w:val="0"/>
              <w:jc w:val="center"/>
              <w:rPr>
                <w:snapToGrid w:val="0"/>
                <w:color w:val="auto"/>
                <w:kern w:val="0"/>
                <w:szCs w:val="21"/>
                <w:highlight w:val="none"/>
              </w:rPr>
            </w:pPr>
            <w:r>
              <w:rPr>
                <w:snapToGrid w:val="0"/>
                <w:color w:val="auto"/>
                <w:kern w:val="0"/>
                <w:szCs w:val="21"/>
                <w:highlight w:val="none"/>
              </w:rPr>
              <w:t>158</w:t>
            </w:r>
          </w:p>
        </w:tc>
        <w:tc>
          <w:tcPr>
            <w:tcW w:w="194" w:type="pct"/>
            <w:vAlign w:val="center"/>
          </w:tcPr>
          <w:p w14:paraId="3CA264A0">
            <w:pPr>
              <w:widowControl/>
              <w:adjustRightInd w:val="0"/>
              <w:snapToGrid w:val="0"/>
              <w:jc w:val="center"/>
              <w:rPr>
                <w:snapToGrid w:val="0"/>
                <w:color w:val="auto"/>
                <w:kern w:val="0"/>
                <w:szCs w:val="21"/>
                <w:highlight w:val="none"/>
              </w:rPr>
            </w:pPr>
            <w:r>
              <w:rPr>
                <w:snapToGrid w:val="0"/>
                <w:color w:val="auto"/>
                <w:kern w:val="0"/>
                <w:szCs w:val="21"/>
                <w:highlight w:val="none"/>
              </w:rPr>
              <w:t>0.158</w:t>
            </w:r>
          </w:p>
        </w:tc>
        <w:tc>
          <w:tcPr>
            <w:tcW w:w="357" w:type="pct"/>
            <w:vAlign w:val="center"/>
          </w:tcPr>
          <w:p w14:paraId="13A9112C">
            <w:pPr>
              <w:widowControl/>
              <w:adjustRightInd w:val="0"/>
              <w:snapToGrid w:val="0"/>
              <w:jc w:val="center"/>
              <w:rPr>
                <w:snapToGrid w:val="0"/>
                <w:color w:val="auto"/>
                <w:kern w:val="0"/>
                <w:szCs w:val="21"/>
                <w:highlight w:val="none"/>
              </w:rPr>
            </w:pPr>
            <w:r>
              <w:rPr>
                <w:snapToGrid w:val="0"/>
                <w:color w:val="auto"/>
                <w:kern w:val="0"/>
                <w:szCs w:val="21"/>
                <w:highlight w:val="none"/>
              </w:rPr>
              <w:t>180</w:t>
            </w:r>
          </w:p>
        </w:tc>
        <w:tc>
          <w:tcPr>
            <w:tcW w:w="220" w:type="pct"/>
            <w:vAlign w:val="center"/>
          </w:tcPr>
          <w:p w14:paraId="0CFE3DAF">
            <w:pPr>
              <w:widowControl/>
              <w:adjustRightInd w:val="0"/>
              <w:snapToGrid w:val="0"/>
              <w:jc w:val="center"/>
              <w:rPr>
                <w:snapToGrid w:val="0"/>
                <w:color w:val="auto"/>
                <w:kern w:val="0"/>
                <w:szCs w:val="21"/>
                <w:highlight w:val="none"/>
              </w:rPr>
            </w:pPr>
            <w:r>
              <w:rPr>
                <w:snapToGrid w:val="0"/>
                <w:color w:val="auto"/>
                <w:kern w:val="0"/>
                <w:szCs w:val="21"/>
                <w:highlight w:val="none"/>
              </w:rPr>
              <w:t>0.180</w:t>
            </w:r>
          </w:p>
        </w:tc>
        <w:tc>
          <w:tcPr>
            <w:tcW w:w="407" w:type="pct"/>
            <w:vAlign w:val="center"/>
          </w:tcPr>
          <w:p w14:paraId="7DCD28C9">
            <w:pPr>
              <w:widowControl/>
              <w:adjustRightInd w:val="0"/>
              <w:snapToGrid w:val="0"/>
              <w:jc w:val="center"/>
              <w:rPr>
                <w:snapToGrid w:val="0"/>
                <w:color w:val="auto"/>
                <w:kern w:val="0"/>
                <w:szCs w:val="21"/>
                <w:highlight w:val="none"/>
              </w:rPr>
            </w:pPr>
            <w:r>
              <w:rPr>
                <w:snapToGrid w:val="0"/>
                <w:color w:val="auto"/>
                <w:kern w:val="0"/>
                <w:szCs w:val="21"/>
                <w:highlight w:val="none"/>
              </w:rPr>
              <w:t>283</w:t>
            </w:r>
          </w:p>
        </w:tc>
        <w:tc>
          <w:tcPr>
            <w:tcW w:w="251" w:type="pct"/>
            <w:vAlign w:val="center"/>
          </w:tcPr>
          <w:p w14:paraId="78454BA8">
            <w:pPr>
              <w:widowControl/>
              <w:adjustRightInd w:val="0"/>
              <w:snapToGrid w:val="0"/>
              <w:jc w:val="center"/>
              <w:rPr>
                <w:snapToGrid w:val="0"/>
                <w:color w:val="auto"/>
                <w:kern w:val="0"/>
                <w:szCs w:val="21"/>
                <w:highlight w:val="none"/>
              </w:rPr>
            </w:pPr>
            <w:r>
              <w:rPr>
                <w:snapToGrid w:val="0"/>
                <w:color w:val="auto"/>
                <w:kern w:val="0"/>
                <w:szCs w:val="21"/>
                <w:highlight w:val="none"/>
              </w:rPr>
              <w:t>0.283</w:t>
            </w:r>
          </w:p>
        </w:tc>
        <w:tc>
          <w:tcPr>
            <w:tcW w:w="431" w:type="pct"/>
            <w:vAlign w:val="center"/>
          </w:tcPr>
          <w:p w14:paraId="1D7FC85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384</w:t>
            </w:r>
          </w:p>
        </w:tc>
        <w:tc>
          <w:tcPr>
            <w:tcW w:w="265" w:type="pct"/>
            <w:vAlign w:val="center"/>
          </w:tcPr>
          <w:p w14:paraId="2F9C943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0.384</w:t>
            </w:r>
          </w:p>
        </w:tc>
        <w:tc>
          <w:tcPr>
            <w:tcW w:w="331" w:type="pct"/>
            <w:vAlign w:val="center"/>
          </w:tcPr>
          <w:p w14:paraId="17900B1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144</w:t>
            </w:r>
          </w:p>
        </w:tc>
        <w:tc>
          <w:tcPr>
            <w:tcW w:w="203" w:type="pct"/>
            <w:vAlign w:val="center"/>
          </w:tcPr>
          <w:p w14:paraId="41D596B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0.144</w:t>
            </w:r>
          </w:p>
        </w:tc>
        <w:tc>
          <w:tcPr>
            <w:tcW w:w="588" w:type="pct"/>
            <w:vAlign w:val="center"/>
          </w:tcPr>
          <w:p w14:paraId="7B35D47C">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1000</w:t>
            </w:r>
          </w:p>
        </w:tc>
      </w:tr>
      <w:tr w14:paraId="209F030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45188382">
            <w:pPr>
              <w:widowControl/>
              <w:adjustRightInd w:val="0"/>
              <w:snapToGrid w:val="0"/>
              <w:jc w:val="center"/>
              <w:rPr>
                <w:snapToGrid w:val="0"/>
                <w:color w:val="auto"/>
                <w:kern w:val="0"/>
                <w:szCs w:val="21"/>
                <w:highlight w:val="none"/>
              </w:rPr>
            </w:pPr>
            <w:r>
              <w:rPr>
                <w:snapToGrid w:val="0"/>
                <w:color w:val="auto"/>
                <w:kern w:val="0"/>
                <w:szCs w:val="21"/>
                <w:highlight w:val="none"/>
              </w:rPr>
              <w:t>3</w:t>
            </w:r>
          </w:p>
        </w:tc>
        <w:tc>
          <w:tcPr>
            <w:tcW w:w="819" w:type="pct"/>
            <w:vAlign w:val="center"/>
          </w:tcPr>
          <w:p w14:paraId="25C1DB25">
            <w:pPr>
              <w:widowControl/>
              <w:adjustRightInd w:val="0"/>
              <w:snapToGrid w:val="0"/>
              <w:jc w:val="center"/>
              <w:rPr>
                <w:snapToGrid w:val="0"/>
                <w:color w:val="auto"/>
                <w:kern w:val="0"/>
                <w:szCs w:val="21"/>
                <w:highlight w:val="none"/>
              </w:rPr>
            </w:pPr>
            <w:r>
              <w:rPr>
                <w:snapToGrid w:val="0"/>
                <w:color w:val="auto"/>
                <w:kern w:val="0"/>
                <w:szCs w:val="21"/>
                <w:highlight w:val="none"/>
              </w:rPr>
              <w:t>总硬度</w:t>
            </w:r>
          </w:p>
        </w:tc>
        <w:tc>
          <w:tcPr>
            <w:tcW w:w="443" w:type="pct"/>
            <w:vAlign w:val="center"/>
          </w:tcPr>
          <w:p w14:paraId="53D2E758">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5EF0C847">
            <w:pPr>
              <w:widowControl/>
              <w:adjustRightInd w:val="0"/>
              <w:snapToGrid w:val="0"/>
              <w:jc w:val="center"/>
              <w:rPr>
                <w:snapToGrid w:val="0"/>
                <w:color w:val="auto"/>
                <w:kern w:val="0"/>
                <w:szCs w:val="21"/>
                <w:highlight w:val="none"/>
              </w:rPr>
            </w:pPr>
            <w:r>
              <w:rPr>
                <w:snapToGrid w:val="0"/>
                <w:color w:val="auto"/>
                <w:kern w:val="0"/>
                <w:szCs w:val="21"/>
                <w:highlight w:val="none"/>
              </w:rPr>
              <w:t>123</w:t>
            </w:r>
          </w:p>
        </w:tc>
        <w:tc>
          <w:tcPr>
            <w:tcW w:w="194" w:type="pct"/>
            <w:vAlign w:val="center"/>
          </w:tcPr>
          <w:p w14:paraId="0D6683EF">
            <w:pPr>
              <w:widowControl/>
              <w:adjustRightInd w:val="0"/>
              <w:snapToGrid w:val="0"/>
              <w:jc w:val="center"/>
              <w:rPr>
                <w:snapToGrid w:val="0"/>
                <w:color w:val="auto"/>
                <w:kern w:val="0"/>
                <w:szCs w:val="21"/>
                <w:highlight w:val="none"/>
              </w:rPr>
            </w:pPr>
            <w:r>
              <w:rPr>
                <w:snapToGrid w:val="0"/>
                <w:color w:val="auto"/>
                <w:kern w:val="0"/>
                <w:szCs w:val="21"/>
                <w:highlight w:val="none"/>
              </w:rPr>
              <w:t>0.273</w:t>
            </w:r>
          </w:p>
        </w:tc>
        <w:tc>
          <w:tcPr>
            <w:tcW w:w="357" w:type="pct"/>
            <w:vAlign w:val="center"/>
          </w:tcPr>
          <w:p w14:paraId="6E7916C0">
            <w:pPr>
              <w:widowControl/>
              <w:adjustRightInd w:val="0"/>
              <w:snapToGrid w:val="0"/>
              <w:jc w:val="center"/>
              <w:rPr>
                <w:snapToGrid w:val="0"/>
                <w:color w:val="auto"/>
                <w:kern w:val="0"/>
                <w:szCs w:val="21"/>
                <w:highlight w:val="none"/>
              </w:rPr>
            </w:pPr>
            <w:r>
              <w:rPr>
                <w:snapToGrid w:val="0"/>
                <w:color w:val="auto"/>
                <w:kern w:val="0"/>
                <w:szCs w:val="21"/>
                <w:highlight w:val="none"/>
              </w:rPr>
              <w:t>126</w:t>
            </w:r>
          </w:p>
        </w:tc>
        <w:tc>
          <w:tcPr>
            <w:tcW w:w="220" w:type="pct"/>
            <w:vAlign w:val="center"/>
          </w:tcPr>
          <w:p w14:paraId="2F9225AA">
            <w:pPr>
              <w:widowControl/>
              <w:adjustRightInd w:val="0"/>
              <w:snapToGrid w:val="0"/>
              <w:jc w:val="center"/>
              <w:rPr>
                <w:snapToGrid w:val="0"/>
                <w:color w:val="auto"/>
                <w:kern w:val="0"/>
                <w:szCs w:val="21"/>
                <w:highlight w:val="none"/>
              </w:rPr>
            </w:pPr>
            <w:r>
              <w:rPr>
                <w:snapToGrid w:val="0"/>
                <w:color w:val="auto"/>
                <w:kern w:val="0"/>
                <w:szCs w:val="21"/>
                <w:highlight w:val="none"/>
              </w:rPr>
              <w:t>0.280</w:t>
            </w:r>
          </w:p>
        </w:tc>
        <w:tc>
          <w:tcPr>
            <w:tcW w:w="407" w:type="pct"/>
            <w:vAlign w:val="center"/>
          </w:tcPr>
          <w:p w14:paraId="4244A103">
            <w:pPr>
              <w:widowControl/>
              <w:adjustRightInd w:val="0"/>
              <w:snapToGrid w:val="0"/>
              <w:jc w:val="center"/>
              <w:rPr>
                <w:snapToGrid w:val="0"/>
                <w:color w:val="auto"/>
                <w:kern w:val="0"/>
                <w:szCs w:val="21"/>
                <w:highlight w:val="none"/>
              </w:rPr>
            </w:pPr>
            <w:r>
              <w:rPr>
                <w:snapToGrid w:val="0"/>
                <w:color w:val="auto"/>
                <w:kern w:val="0"/>
                <w:szCs w:val="21"/>
                <w:highlight w:val="none"/>
              </w:rPr>
              <w:t>172</w:t>
            </w:r>
          </w:p>
        </w:tc>
        <w:tc>
          <w:tcPr>
            <w:tcW w:w="251" w:type="pct"/>
            <w:vAlign w:val="center"/>
          </w:tcPr>
          <w:p w14:paraId="059C227A">
            <w:pPr>
              <w:widowControl/>
              <w:adjustRightInd w:val="0"/>
              <w:snapToGrid w:val="0"/>
              <w:jc w:val="center"/>
              <w:rPr>
                <w:snapToGrid w:val="0"/>
                <w:color w:val="auto"/>
                <w:kern w:val="0"/>
                <w:szCs w:val="21"/>
                <w:highlight w:val="none"/>
              </w:rPr>
            </w:pPr>
            <w:r>
              <w:rPr>
                <w:snapToGrid w:val="0"/>
                <w:color w:val="auto"/>
                <w:kern w:val="0"/>
                <w:szCs w:val="21"/>
                <w:highlight w:val="none"/>
              </w:rPr>
              <w:t>0.382</w:t>
            </w:r>
          </w:p>
        </w:tc>
        <w:tc>
          <w:tcPr>
            <w:tcW w:w="431" w:type="pct"/>
            <w:vAlign w:val="center"/>
          </w:tcPr>
          <w:p w14:paraId="77DB1FB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258</w:t>
            </w:r>
          </w:p>
        </w:tc>
        <w:tc>
          <w:tcPr>
            <w:tcW w:w="265" w:type="pct"/>
            <w:vAlign w:val="center"/>
          </w:tcPr>
          <w:p w14:paraId="6287E1C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0.573</w:t>
            </w:r>
          </w:p>
        </w:tc>
        <w:tc>
          <w:tcPr>
            <w:tcW w:w="331" w:type="pct"/>
            <w:vAlign w:val="center"/>
          </w:tcPr>
          <w:p w14:paraId="1569B67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100</w:t>
            </w:r>
          </w:p>
        </w:tc>
        <w:tc>
          <w:tcPr>
            <w:tcW w:w="203" w:type="pct"/>
            <w:vAlign w:val="center"/>
          </w:tcPr>
          <w:p w14:paraId="0B751C2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0.222</w:t>
            </w:r>
          </w:p>
        </w:tc>
        <w:tc>
          <w:tcPr>
            <w:tcW w:w="588" w:type="pct"/>
            <w:vAlign w:val="center"/>
          </w:tcPr>
          <w:p w14:paraId="206948A1">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450</w:t>
            </w:r>
          </w:p>
        </w:tc>
      </w:tr>
      <w:tr w14:paraId="227C6E7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44103F61">
            <w:pPr>
              <w:widowControl/>
              <w:adjustRightInd w:val="0"/>
              <w:snapToGrid w:val="0"/>
              <w:jc w:val="center"/>
              <w:rPr>
                <w:snapToGrid w:val="0"/>
                <w:color w:val="auto"/>
                <w:kern w:val="0"/>
                <w:szCs w:val="21"/>
                <w:highlight w:val="none"/>
              </w:rPr>
            </w:pPr>
            <w:r>
              <w:rPr>
                <w:snapToGrid w:val="0"/>
                <w:color w:val="auto"/>
                <w:kern w:val="0"/>
                <w:szCs w:val="21"/>
                <w:highlight w:val="none"/>
              </w:rPr>
              <w:t>4</w:t>
            </w:r>
          </w:p>
        </w:tc>
        <w:tc>
          <w:tcPr>
            <w:tcW w:w="819" w:type="pct"/>
            <w:vAlign w:val="center"/>
          </w:tcPr>
          <w:p w14:paraId="4672A080">
            <w:pPr>
              <w:widowControl/>
              <w:adjustRightInd w:val="0"/>
              <w:snapToGrid w:val="0"/>
              <w:jc w:val="center"/>
              <w:rPr>
                <w:snapToGrid w:val="0"/>
                <w:color w:val="auto"/>
                <w:kern w:val="0"/>
                <w:szCs w:val="21"/>
                <w:highlight w:val="none"/>
              </w:rPr>
            </w:pPr>
            <w:r>
              <w:rPr>
                <w:snapToGrid w:val="0"/>
                <w:color w:val="auto"/>
                <w:kern w:val="0"/>
                <w:szCs w:val="21"/>
                <w:highlight w:val="none"/>
              </w:rPr>
              <w:t>氨氮</w:t>
            </w:r>
          </w:p>
        </w:tc>
        <w:tc>
          <w:tcPr>
            <w:tcW w:w="443" w:type="pct"/>
            <w:vAlign w:val="center"/>
          </w:tcPr>
          <w:p w14:paraId="239DE27E">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6EFA59B5">
            <w:pPr>
              <w:widowControl/>
              <w:adjustRightInd w:val="0"/>
              <w:snapToGrid w:val="0"/>
              <w:jc w:val="center"/>
              <w:rPr>
                <w:snapToGrid w:val="0"/>
                <w:color w:val="auto"/>
                <w:kern w:val="0"/>
                <w:szCs w:val="21"/>
                <w:highlight w:val="none"/>
              </w:rPr>
            </w:pPr>
            <w:r>
              <w:rPr>
                <w:snapToGrid w:val="0"/>
                <w:color w:val="auto"/>
                <w:kern w:val="0"/>
                <w:szCs w:val="21"/>
                <w:highlight w:val="none"/>
              </w:rPr>
              <w:t>＜0.025</w:t>
            </w:r>
          </w:p>
        </w:tc>
        <w:tc>
          <w:tcPr>
            <w:tcW w:w="194" w:type="pct"/>
            <w:vAlign w:val="center"/>
          </w:tcPr>
          <w:p w14:paraId="0D1C718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25A60467">
            <w:pPr>
              <w:widowControl/>
              <w:adjustRightInd w:val="0"/>
              <w:snapToGrid w:val="0"/>
              <w:jc w:val="center"/>
              <w:rPr>
                <w:snapToGrid w:val="0"/>
                <w:color w:val="auto"/>
                <w:kern w:val="0"/>
                <w:szCs w:val="21"/>
                <w:highlight w:val="none"/>
              </w:rPr>
            </w:pPr>
            <w:r>
              <w:rPr>
                <w:snapToGrid w:val="0"/>
                <w:color w:val="auto"/>
                <w:kern w:val="0"/>
                <w:szCs w:val="21"/>
                <w:highlight w:val="none"/>
              </w:rPr>
              <w:t>＜0.025</w:t>
            </w:r>
          </w:p>
        </w:tc>
        <w:tc>
          <w:tcPr>
            <w:tcW w:w="220" w:type="pct"/>
            <w:vAlign w:val="center"/>
          </w:tcPr>
          <w:p w14:paraId="0CDEA532">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25D1062B">
            <w:pPr>
              <w:widowControl/>
              <w:adjustRightInd w:val="0"/>
              <w:snapToGrid w:val="0"/>
              <w:jc w:val="center"/>
              <w:rPr>
                <w:snapToGrid w:val="0"/>
                <w:color w:val="auto"/>
                <w:kern w:val="0"/>
                <w:szCs w:val="21"/>
                <w:highlight w:val="none"/>
              </w:rPr>
            </w:pPr>
            <w:r>
              <w:rPr>
                <w:snapToGrid w:val="0"/>
                <w:color w:val="auto"/>
                <w:kern w:val="0"/>
                <w:szCs w:val="21"/>
                <w:highlight w:val="none"/>
              </w:rPr>
              <w:t>＜0.025</w:t>
            </w:r>
          </w:p>
        </w:tc>
        <w:tc>
          <w:tcPr>
            <w:tcW w:w="251" w:type="pct"/>
            <w:vAlign w:val="center"/>
          </w:tcPr>
          <w:p w14:paraId="271B53D3">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443B332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0.11</w:t>
            </w:r>
          </w:p>
        </w:tc>
        <w:tc>
          <w:tcPr>
            <w:tcW w:w="265" w:type="pct"/>
            <w:vAlign w:val="center"/>
          </w:tcPr>
          <w:p w14:paraId="6749B90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0.22</w:t>
            </w:r>
          </w:p>
        </w:tc>
        <w:tc>
          <w:tcPr>
            <w:tcW w:w="331" w:type="pct"/>
            <w:vAlign w:val="center"/>
          </w:tcPr>
          <w:p w14:paraId="306001F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0.06</w:t>
            </w:r>
          </w:p>
        </w:tc>
        <w:tc>
          <w:tcPr>
            <w:tcW w:w="203" w:type="pct"/>
            <w:vAlign w:val="center"/>
          </w:tcPr>
          <w:p w14:paraId="59629CC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0.12</w:t>
            </w:r>
          </w:p>
        </w:tc>
        <w:tc>
          <w:tcPr>
            <w:tcW w:w="588" w:type="pct"/>
            <w:vAlign w:val="center"/>
          </w:tcPr>
          <w:p w14:paraId="57BFBB15">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0.5</w:t>
            </w:r>
          </w:p>
        </w:tc>
      </w:tr>
      <w:tr w14:paraId="69EA5EA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559871F0">
            <w:pPr>
              <w:widowControl/>
              <w:adjustRightInd w:val="0"/>
              <w:snapToGrid w:val="0"/>
              <w:jc w:val="center"/>
              <w:rPr>
                <w:snapToGrid w:val="0"/>
                <w:color w:val="auto"/>
                <w:kern w:val="0"/>
                <w:szCs w:val="21"/>
                <w:highlight w:val="none"/>
              </w:rPr>
            </w:pPr>
            <w:r>
              <w:rPr>
                <w:snapToGrid w:val="0"/>
                <w:color w:val="auto"/>
                <w:kern w:val="0"/>
                <w:szCs w:val="21"/>
                <w:highlight w:val="none"/>
              </w:rPr>
              <w:t>5</w:t>
            </w:r>
          </w:p>
        </w:tc>
        <w:tc>
          <w:tcPr>
            <w:tcW w:w="819" w:type="pct"/>
            <w:vAlign w:val="center"/>
          </w:tcPr>
          <w:p w14:paraId="192C5DCE">
            <w:pPr>
              <w:widowControl/>
              <w:adjustRightInd w:val="0"/>
              <w:snapToGrid w:val="0"/>
              <w:jc w:val="center"/>
              <w:rPr>
                <w:snapToGrid w:val="0"/>
                <w:color w:val="auto"/>
                <w:kern w:val="0"/>
                <w:szCs w:val="21"/>
                <w:highlight w:val="none"/>
              </w:rPr>
            </w:pPr>
            <w:r>
              <w:rPr>
                <w:snapToGrid w:val="0"/>
                <w:color w:val="auto"/>
                <w:kern w:val="0"/>
                <w:szCs w:val="21"/>
                <w:highlight w:val="none"/>
              </w:rPr>
              <w:t>石油类</w:t>
            </w:r>
          </w:p>
        </w:tc>
        <w:tc>
          <w:tcPr>
            <w:tcW w:w="443" w:type="pct"/>
            <w:vAlign w:val="center"/>
          </w:tcPr>
          <w:p w14:paraId="2947BB68">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7405C295">
            <w:pPr>
              <w:widowControl/>
              <w:adjustRightInd w:val="0"/>
              <w:snapToGrid w:val="0"/>
              <w:jc w:val="center"/>
              <w:rPr>
                <w:snapToGrid w:val="0"/>
                <w:color w:val="auto"/>
                <w:kern w:val="0"/>
                <w:szCs w:val="21"/>
                <w:highlight w:val="none"/>
              </w:rPr>
            </w:pPr>
            <w:r>
              <w:rPr>
                <w:snapToGrid w:val="0"/>
                <w:color w:val="auto"/>
                <w:kern w:val="0"/>
                <w:szCs w:val="21"/>
                <w:highlight w:val="none"/>
              </w:rPr>
              <w:t>＜0.01</w:t>
            </w:r>
          </w:p>
        </w:tc>
        <w:tc>
          <w:tcPr>
            <w:tcW w:w="194" w:type="pct"/>
            <w:vAlign w:val="center"/>
          </w:tcPr>
          <w:p w14:paraId="2B6B7858">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564448AA">
            <w:pPr>
              <w:widowControl/>
              <w:adjustRightInd w:val="0"/>
              <w:snapToGrid w:val="0"/>
              <w:jc w:val="center"/>
              <w:rPr>
                <w:snapToGrid w:val="0"/>
                <w:color w:val="auto"/>
                <w:kern w:val="0"/>
                <w:szCs w:val="21"/>
                <w:highlight w:val="none"/>
              </w:rPr>
            </w:pPr>
            <w:r>
              <w:rPr>
                <w:snapToGrid w:val="0"/>
                <w:color w:val="auto"/>
                <w:kern w:val="0"/>
                <w:szCs w:val="21"/>
                <w:highlight w:val="none"/>
              </w:rPr>
              <w:t>＜0.01</w:t>
            </w:r>
          </w:p>
        </w:tc>
        <w:tc>
          <w:tcPr>
            <w:tcW w:w="220" w:type="pct"/>
            <w:vAlign w:val="center"/>
          </w:tcPr>
          <w:p w14:paraId="4757499E">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4A53A088">
            <w:pPr>
              <w:widowControl/>
              <w:adjustRightInd w:val="0"/>
              <w:snapToGrid w:val="0"/>
              <w:jc w:val="center"/>
              <w:rPr>
                <w:snapToGrid w:val="0"/>
                <w:color w:val="auto"/>
                <w:kern w:val="0"/>
                <w:szCs w:val="21"/>
                <w:highlight w:val="none"/>
              </w:rPr>
            </w:pPr>
            <w:r>
              <w:rPr>
                <w:snapToGrid w:val="0"/>
                <w:color w:val="auto"/>
                <w:kern w:val="0"/>
                <w:szCs w:val="21"/>
                <w:highlight w:val="none"/>
              </w:rPr>
              <w:t>＜0.01</w:t>
            </w:r>
          </w:p>
        </w:tc>
        <w:tc>
          <w:tcPr>
            <w:tcW w:w="251" w:type="pct"/>
            <w:vAlign w:val="center"/>
          </w:tcPr>
          <w:p w14:paraId="78B52F5E">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286EA573">
            <w:pPr>
              <w:widowControl/>
              <w:adjustRightInd w:val="0"/>
              <w:snapToGrid w:val="0"/>
              <w:jc w:val="center"/>
              <w:rPr>
                <w:snapToGrid w:val="0"/>
                <w:color w:val="auto"/>
                <w:kern w:val="0"/>
                <w:szCs w:val="21"/>
                <w:highlight w:val="none"/>
              </w:rPr>
            </w:pPr>
            <w:r>
              <w:rPr>
                <w:snapToGrid w:val="0"/>
                <w:color w:val="auto"/>
                <w:kern w:val="0"/>
                <w:szCs w:val="21"/>
                <w:highlight w:val="none"/>
              </w:rPr>
              <w:t>＜0.01</w:t>
            </w:r>
          </w:p>
        </w:tc>
        <w:tc>
          <w:tcPr>
            <w:tcW w:w="265" w:type="pct"/>
            <w:vAlign w:val="center"/>
          </w:tcPr>
          <w:p w14:paraId="72283C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10DA6057">
            <w:pPr>
              <w:widowControl/>
              <w:adjustRightInd w:val="0"/>
              <w:snapToGrid w:val="0"/>
              <w:jc w:val="center"/>
              <w:rPr>
                <w:snapToGrid w:val="0"/>
                <w:color w:val="auto"/>
                <w:kern w:val="0"/>
                <w:szCs w:val="21"/>
                <w:highlight w:val="none"/>
              </w:rPr>
            </w:pPr>
            <w:r>
              <w:rPr>
                <w:snapToGrid w:val="0"/>
                <w:color w:val="auto"/>
                <w:kern w:val="0"/>
                <w:szCs w:val="21"/>
                <w:highlight w:val="none"/>
              </w:rPr>
              <w:t>＜0.01</w:t>
            </w:r>
          </w:p>
        </w:tc>
        <w:tc>
          <w:tcPr>
            <w:tcW w:w="203" w:type="pct"/>
            <w:vAlign w:val="center"/>
          </w:tcPr>
          <w:p w14:paraId="19E7465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7ABC4C9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石油类（参照GB3838Ⅲ类）</w:t>
            </w:r>
            <w:r>
              <w:rPr>
                <w:snapToGrid w:val="0"/>
                <w:color w:val="auto"/>
                <w:kern w:val="0"/>
                <w:szCs w:val="21"/>
                <w:highlight w:val="none"/>
              </w:rPr>
              <w:t>≤0.</w:t>
            </w:r>
            <w:r>
              <w:rPr>
                <w:rFonts w:hint="eastAsia"/>
                <w:snapToGrid w:val="0"/>
                <w:color w:val="auto"/>
                <w:kern w:val="0"/>
                <w:szCs w:val="21"/>
                <w:highlight w:val="none"/>
              </w:rPr>
              <w:t>0</w:t>
            </w:r>
            <w:r>
              <w:rPr>
                <w:snapToGrid w:val="0"/>
                <w:color w:val="auto"/>
                <w:kern w:val="0"/>
                <w:szCs w:val="21"/>
                <w:highlight w:val="none"/>
              </w:rPr>
              <w:t>5</w:t>
            </w:r>
          </w:p>
        </w:tc>
      </w:tr>
      <w:tr w14:paraId="7F3AB1A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19A8C5B7">
            <w:pPr>
              <w:widowControl/>
              <w:adjustRightInd w:val="0"/>
              <w:snapToGrid w:val="0"/>
              <w:jc w:val="center"/>
              <w:rPr>
                <w:snapToGrid w:val="0"/>
                <w:color w:val="auto"/>
                <w:kern w:val="0"/>
                <w:szCs w:val="21"/>
                <w:highlight w:val="none"/>
              </w:rPr>
            </w:pPr>
            <w:r>
              <w:rPr>
                <w:snapToGrid w:val="0"/>
                <w:color w:val="auto"/>
                <w:kern w:val="0"/>
                <w:szCs w:val="21"/>
                <w:highlight w:val="none"/>
              </w:rPr>
              <w:t>6</w:t>
            </w:r>
          </w:p>
        </w:tc>
        <w:tc>
          <w:tcPr>
            <w:tcW w:w="819" w:type="pct"/>
            <w:vAlign w:val="center"/>
          </w:tcPr>
          <w:p w14:paraId="399F8CDF">
            <w:pPr>
              <w:widowControl/>
              <w:adjustRightInd w:val="0"/>
              <w:snapToGrid w:val="0"/>
              <w:jc w:val="center"/>
              <w:rPr>
                <w:snapToGrid w:val="0"/>
                <w:color w:val="auto"/>
                <w:kern w:val="0"/>
                <w:szCs w:val="21"/>
                <w:highlight w:val="none"/>
              </w:rPr>
            </w:pPr>
            <w:r>
              <w:rPr>
                <w:snapToGrid w:val="0"/>
                <w:color w:val="auto"/>
                <w:kern w:val="0"/>
                <w:szCs w:val="21"/>
                <w:highlight w:val="none"/>
              </w:rPr>
              <w:t>氟化物</w:t>
            </w:r>
          </w:p>
        </w:tc>
        <w:tc>
          <w:tcPr>
            <w:tcW w:w="443" w:type="pct"/>
            <w:vAlign w:val="center"/>
          </w:tcPr>
          <w:p w14:paraId="2ECB9959">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1849635A">
            <w:pPr>
              <w:widowControl/>
              <w:adjustRightInd w:val="0"/>
              <w:snapToGrid w:val="0"/>
              <w:jc w:val="center"/>
              <w:rPr>
                <w:snapToGrid w:val="0"/>
                <w:color w:val="auto"/>
                <w:kern w:val="0"/>
                <w:szCs w:val="21"/>
                <w:highlight w:val="none"/>
              </w:rPr>
            </w:pPr>
            <w:r>
              <w:rPr>
                <w:snapToGrid w:val="0"/>
                <w:color w:val="auto"/>
                <w:kern w:val="0"/>
                <w:szCs w:val="21"/>
                <w:highlight w:val="none"/>
              </w:rPr>
              <w:t>＜0.2</w:t>
            </w:r>
          </w:p>
        </w:tc>
        <w:tc>
          <w:tcPr>
            <w:tcW w:w="194" w:type="pct"/>
            <w:vAlign w:val="center"/>
          </w:tcPr>
          <w:p w14:paraId="6880CF4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10936823">
            <w:pPr>
              <w:widowControl/>
              <w:adjustRightInd w:val="0"/>
              <w:snapToGrid w:val="0"/>
              <w:jc w:val="center"/>
              <w:rPr>
                <w:snapToGrid w:val="0"/>
                <w:color w:val="auto"/>
                <w:kern w:val="0"/>
                <w:szCs w:val="21"/>
                <w:highlight w:val="none"/>
              </w:rPr>
            </w:pPr>
            <w:r>
              <w:rPr>
                <w:snapToGrid w:val="0"/>
                <w:color w:val="auto"/>
                <w:kern w:val="0"/>
                <w:szCs w:val="21"/>
                <w:highlight w:val="none"/>
              </w:rPr>
              <w:t>＜0.2</w:t>
            </w:r>
          </w:p>
        </w:tc>
        <w:tc>
          <w:tcPr>
            <w:tcW w:w="220" w:type="pct"/>
            <w:vAlign w:val="center"/>
          </w:tcPr>
          <w:p w14:paraId="230EC00E">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1B4FEB7D">
            <w:pPr>
              <w:widowControl/>
              <w:adjustRightInd w:val="0"/>
              <w:snapToGrid w:val="0"/>
              <w:jc w:val="center"/>
              <w:rPr>
                <w:snapToGrid w:val="0"/>
                <w:color w:val="auto"/>
                <w:kern w:val="0"/>
                <w:szCs w:val="21"/>
                <w:highlight w:val="none"/>
              </w:rPr>
            </w:pPr>
            <w:r>
              <w:rPr>
                <w:snapToGrid w:val="0"/>
                <w:color w:val="auto"/>
                <w:kern w:val="0"/>
                <w:szCs w:val="21"/>
                <w:highlight w:val="none"/>
              </w:rPr>
              <w:t>＜0.2</w:t>
            </w:r>
          </w:p>
        </w:tc>
        <w:tc>
          <w:tcPr>
            <w:tcW w:w="251" w:type="pct"/>
            <w:vAlign w:val="center"/>
          </w:tcPr>
          <w:p w14:paraId="5285E03E">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2975B3C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0.53</w:t>
            </w:r>
          </w:p>
        </w:tc>
        <w:tc>
          <w:tcPr>
            <w:tcW w:w="265" w:type="pct"/>
            <w:vAlign w:val="center"/>
          </w:tcPr>
          <w:p w14:paraId="5C3BECB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0.53</w:t>
            </w:r>
          </w:p>
        </w:tc>
        <w:tc>
          <w:tcPr>
            <w:tcW w:w="331" w:type="pct"/>
            <w:vAlign w:val="center"/>
          </w:tcPr>
          <w:p w14:paraId="197FD7C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0.49</w:t>
            </w:r>
          </w:p>
        </w:tc>
        <w:tc>
          <w:tcPr>
            <w:tcW w:w="203" w:type="pct"/>
            <w:vAlign w:val="center"/>
          </w:tcPr>
          <w:p w14:paraId="48EE763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0.49</w:t>
            </w:r>
          </w:p>
        </w:tc>
        <w:tc>
          <w:tcPr>
            <w:tcW w:w="588" w:type="pct"/>
            <w:vAlign w:val="center"/>
          </w:tcPr>
          <w:p w14:paraId="53B67876">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1.0</w:t>
            </w:r>
          </w:p>
        </w:tc>
      </w:tr>
      <w:tr w14:paraId="4791219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290165C9">
            <w:pPr>
              <w:widowControl/>
              <w:adjustRightInd w:val="0"/>
              <w:snapToGrid w:val="0"/>
              <w:jc w:val="center"/>
              <w:rPr>
                <w:snapToGrid w:val="0"/>
                <w:color w:val="auto"/>
                <w:kern w:val="0"/>
                <w:szCs w:val="21"/>
                <w:highlight w:val="none"/>
              </w:rPr>
            </w:pPr>
            <w:r>
              <w:rPr>
                <w:snapToGrid w:val="0"/>
                <w:color w:val="auto"/>
                <w:kern w:val="0"/>
                <w:szCs w:val="21"/>
                <w:highlight w:val="none"/>
              </w:rPr>
              <w:t>7</w:t>
            </w:r>
          </w:p>
        </w:tc>
        <w:tc>
          <w:tcPr>
            <w:tcW w:w="819" w:type="pct"/>
            <w:vAlign w:val="center"/>
          </w:tcPr>
          <w:p w14:paraId="3573E045">
            <w:pPr>
              <w:widowControl/>
              <w:adjustRightInd w:val="0"/>
              <w:snapToGrid w:val="0"/>
              <w:jc w:val="center"/>
              <w:rPr>
                <w:snapToGrid w:val="0"/>
                <w:color w:val="auto"/>
                <w:kern w:val="0"/>
                <w:szCs w:val="21"/>
                <w:highlight w:val="none"/>
              </w:rPr>
            </w:pPr>
            <w:r>
              <w:rPr>
                <w:snapToGrid w:val="0"/>
                <w:color w:val="auto"/>
                <w:kern w:val="0"/>
                <w:szCs w:val="21"/>
                <w:highlight w:val="none"/>
              </w:rPr>
              <w:t>氯化物</w:t>
            </w:r>
          </w:p>
        </w:tc>
        <w:tc>
          <w:tcPr>
            <w:tcW w:w="443" w:type="pct"/>
            <w:vAlign w:val="center"/>
          </w:tcPr>
          <w:p w14:paraId="74D303C9">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2172432C">
            <w:pPr>
              <w:widowControl/>
              <w:adjustRightInd w:val="0"/>
              <w:snapToGrid w:val="0"/>
              <w:jc w:val="center"/>
              <w:rPr>
                <w:snapToGrid w:val="0"/>
                <w:color w:val="auto"/>
                <w:kern w:val="0"/>
                <w:szCs w:val="21"/>
                <w:highlight w:val="none"/>
              </w:rPr>
            </w:pPr>
            <w:r>
              <w:rPr>
                <w:snapToGrid w:val="0"/>
                <w:color w:val="auto"/>
                <w:kern w:val="0"/>
                <w:szCs w:val="21"/>
                <w:highlight w:val="none"/>
              </w:rPr>
              <w:t>11.2</w:t>
            </w:r>
          </w:p>
        </w:tc>
        <w:tc>
          <w:tcPr>
            <w:tcW w:w="194" w:type="pct"/>
            <w:vAlign w:val="center"/>
          </w:tcPr>
          <w:p w14:paraId="3D66949A">
            <w:pPr>
              <w:widowControl/>
              <w:adjustRightInd w:val="0"/>
              <w:snapToGrid w:val="0"/>
              <w:jc w:val="center"/>
              <w:rPr>
                <w:snapToGrid w:val="0"/>
                <w:color w:val="auto"/>
                <w:kern w:val="0"/>
                <w:szCs w:val="21"/>
                <w:highlight w:val="none"/>
              </w:rPr>
            </w:pPr>
            <w:r>
              <w:rPr>
                <w:snapToGrid w:val="0"/>
                <w:color w:val="auto"/>
                <w:kern w:val="0"/>
                <w:szCs w:val="21"/>
                <w:highlight w:val="none"/>
              </w:rPr>
              <w:t>0.045</w:t>
            </w:r>
          </w:p>
        </w:tc>
        <w:tc>
          <w:tcPr>
            <w:tcW w:w="357" w:type="pct"/>
            <w:vAlign w:val="center"/>
          </w:tcPr>
          <w:p w14:paraId="55642A06">
            <w:pPr>
              <w:widowControl/>
              <w:adjustRightInd w:val="0"/>
              <w:snapToGrid w:val="0"/>
              <w:jc w:val="center"/>
              <w:rPr>
                <w:snapToGrid w:val="0"/>
                <w:color w:val="auto"/>
                <w:kern w:val="0"/>
                <w:szCs w:val="21"/>
                <w:highlight w:val="none"/>
              </w:rPr>
            </w:pPr>
            <w:r>
              <w:rPr>
                <w:snapToGrid w:val="0"/>
                <w:color w:val="auto"/>
                <w:kern w:val="0"/>
                <w:szCs w:val="21"/>
                <w:highlight w:val="none"/>
              </w:rPr>
              <w:t>11.2</w:t>
            </w:r>
          </w:p>
        </w:tc>
        <w:tc>
          <w:tcPr>
            <w:tcW w:w="220" w:type="pct"/>
            <w:vAlign w:val="center"/>
          </w:tcPr>
          <w:p w14:paraId="7E2E15E3">
            <w:pPr>
              <w:widowControl/>
              <w:adjustRightInd w:val="0"/>
              <w:snapToGrid w:val="0"/>
              <w:jc w:val="center"/>
              <w:rPr>
                <w:snapToGrid w:val="0"/>
                <w:color w:val="auto"/>
                <w:kern w:val="0"/>
                <w:szCs w:val="21"/>
                <w:highlight w:val="none"/>
              </w:rPr>
            </w:pPr>
            <w:r>
              <w:rPr>
                <w:snapToGrid w:val="0"/>
                <w:color w:val="auto"/>
                <w:kern w:val="0"/>
                <w:szCs w:val="21"/>
                <w:highlight w:val="none"/>
              </w:rPr>
              <w:t>0.045</w:t>
            </w:r>
          </w:p>
        </w:tc>
        <w:tc>
          <w:tcPr>
            <w:tcW w:w="407" w:type="pct"/>
            <w:vAlign w:val="center"/>
          </w:tcPr>
          <w:p w14:paraId="657B5A64">
            <w:pPr>
              <w:widowControl/>
              <w:adjustRightInd w:val="0"/>
              <w:snapToGrid w:val="0"/>
              <w:jc w:val="center"/>
              <w:rPr>
                <w:snapToGrid w:val="0"/>
                <w:color w:val="auto"/>
                <w:kern w:val="0"/>
                <w:szCs w:val="21"/>
                <w:highlight w:val="none"/>
              </w:rPr>
            </w:pPr>
            <w:r>
              <w:rPr>
                <w:snapToGrid w:val="0"/>
                <w:color w:val="auto"/>
                <w:kern w:val="0"/>
                <w:szCs w:val="21"/>
                <w:highlight w:val="none"/>
              </w:rPr>
              <w:t>24.1</w:t>
            </w:r>
          </w:p>
        </w:tc>
        <w:tc>
          <w:tcPr>
            <w:tcW w:w="251" w:type="pct"/>
            <w:vAlign w:val="center"/>
          </w:tcPr>
          <w:p w14:paraId="1269A19B">
            <w:pPr>
              <w:widowControl/>
              <w:adjustRightInd w:val="0"/>
              <w:snapToGrid w:val="0"/>
              <w:jc w:val="center"/>
              <w:rPr>
                <w:snapToGrid w:val="0"/>
                <w:color w:val="auto"/>
                <w:kern w:val="0"/>
                <w:szCs w:val="21"/>
                <w:highlight w:val="none"/>
              </w:rPr>
            </w:pPr>
            <w:r>
              <w:rPr>
                <w:snapToGrid w:val="0"/>
                <w:color w:val="auto"/>
                <w:kern w:val="0"/>
                <w:szCs w:val="21"/>
                <w:highlight w:val="none"/>
              </w:rPr>
              <w:t>0.096</w:t>
            </w:r>
          </w:p>
        </w:tc>
        <w:tc>
          <w:tcPr>
            <w:tcW w:w="431" w:type="pct"/>
            <w:vAlign w:val="center"/>
          </w:tcPr>
          <w:p w14:paraId="6F00280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79</w:t>
            </w:r>
          </w:p>
        </w:tc>
        <w:tc>
          <w:tcPr>
            <w:tcW w:w="265" w:type="pct"/>
            <w:vAlign w:val="center"/>
          </w:tcPr>
          <w:p w14:paraId="6BFBD64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0.316</w:t>
            </w:r>
          </w:p>
        </w:tc>
        <w:tc>
          <w:tcPr>
            <w:tcW w:w="331" w:type="pct"/>
            <w:vAlign w:val="center"/>
          </w:tcPr>
          <w:p w14:paraId="6E92353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6</w:t>
            </w:r>
          </w:p>
        </w:tc>
        <w:tc>
          <w:tcPr>
            <w:tcW w:w="203" w:type="pct"/>
            <w:vAlign w:val="center"/>
          </w:tcPr>
          <w:p w14:paraId="6A2E728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0.024</w:t>
            </w:r>
          </w:p>
        </w:tc>
        <w:tc>
          <w:tcPr>
            <w:tcW w:w="588" w:type="pct"/>
            <w:vAlign w:val="center"/>
          </w:tcPr>
          <w:p w14:paraId="122C8261">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250</w:t>
            </w:r>
          </w:p>
        </w:tc>
      </w:tr>
      <w:tr w14:paraId="51DB759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78466B08">
            <w:pPr>
              <w:widowControl/>
              <w:adjustRightInd w:val="0"/>
              <w:snapToGrid w:val="0"/>
              <w:jc w:val="center"/>
              <w:rPr>
                <w:snapToGrid w:val="0"/>
                <w:color w:val="auto"/>
                <w:kern w:val="0"/>
                <w:szCs w:val="21"/>
                <w:highlight w:val="none"/>
              </w:rPr>
            </w:pPr>
            <w:r>
              <w:rPr>
                <w:snapToGrid w:val="0"/>
                <w:color w:val="auto"/>
                <w:kern w:val="0"/>
                <w:szCs w:val="21"/>
                <w:highlight w:val="none"/>
              </w:rPr>
              <w:t>8</w:t>
            </w:r>
          </w:p>
        </w:tc>
        <w:tc>
          <w:tcPr>
            <w:tcW w:w="819" w:type="pct"/>
            <w:vAlign w:val="center"/>
          </w:tcPr>
          <w:p w14:paraId="6F6FC2E3">
            <w:pPr>
              <w:widowControl/>
              <w:adjustRightInd w:val="0"/>
              <w:snapToGrid w:val="0"/>
              <w:jc w:val="center"/>
              <w:rPr>
                <w:snapToGrid w:val="0"/>
                <w:color w:val="auto"/>
                <w:kern w:val="0"/>
                <w:szCs w:val="21"/>
                <w:highlight w:val="none"/>
              </w:rPr>
            </w:pPr>
            <w:r>
              <w:rPr>
                <w:snapToGrid w:val="0"/>
                <w:color w:val="auto"/>
                <w:kern w:val="0"/>
                <w:szCs w:val="21"/>
                <w:highlight w:val="none"/>
              </w:rPr>
              <w:t>耗氧量</w:t>
            </w:r>
          </w:p>
        </w:tc>
        <w:tc>
          <w:tcPr>
            <w:tcW w:w="443" w:type="pct"/>
            <w:vAlign w:val="center"/>
          </w:tcPr>
          <w:p w14:paraId="0516063D">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0DF613D2">
            <w:pPr>
              <w:widowControl/>
              <w:adjustRightInd w:val="0"/>
              <w:snapToGrid w:val="0"/>
              <w:jc w:val="center"/>
              <w:rPr>
                <w:snapToGrid w:val="0"/>
                <w:color w:val="auto"/>
                <w:kern w:val="0"/>
                <w:szCs w:val="21"/>
                <w:highlight w:val="none"/>
              </w:rPr>
            </w:pPr>
            <w:r>
              <w:rPr>
                <w:snapToGrid w:val="0"/>
                <w:color w:val="auto"/>
                <w:kern w:val="0"/>
                <w:szCs w:val="21"/>
                <w:highlight w:val="none"/>
              </w:rPr>
              <w:t>1.57</w:t>
            </w:r>
          </w:p>
        </w:tc>
        <w:tc>
          <w:tcPr>
            <w:tcW w:w="194" w:type="pct"/>
            <w:vAlign w:val="center"/>
          </w:tcPr>
          <w:p w14:paraId="47323DDA">
            <w:pPr>
              <w:widowControl/>
              <w:adjustRightInd w:val="0"/>
              <w:snapToGrid w:val="0"/>
              <w:jc w:val="center"/>
              <w:rPr>
                <w:snapToGrid w:val="0"/>
                <w:color w:val="auto"/>
                <w:kern w:val="0"/>
                <w:szCs w:val="21"/>
                <w:highlight w:val="none"/>
              </w:rPr>
            </w:pPr>
            <w:r>
              <w:rPr>
                <w:snapToGrid w:val="0"/>
                <w:color w:val="auto"/>
                <w:kern w:val="0"/>
                <w:szCs w:val="21"/>
                <w:highlight w:val="none"/>
              </w:rPr>
              <w:t>0.523</w:t>
            </w:r>
          </w:p>
        </w:tc>
        <w:tc>
          <w:tcPr>
            <w:tcW w:w="357" w:type="pct"/>
            <w:vAlign w:val="center"/>
          </w:tcPr>
          <w:p w14:paraId="2ECEABB6">
            <w:pPr>
              <w:widowControl/>
              <w:adjustRightInd w:val="0"/>
              <w:snapToGrid w:val="0"/>
              <w:jc w:val="center"/>
              <w:rPr>
                <w:snapToGrid w:val="0"/>
                <w:color w:val="auto"/>
                <w:kern w:val="0"/>
                <w:szCs w:val="21"/>
                <w:highlight w:val="none"/>
              </w:rPr>
            </w:pPr>
            <w:r>
              <w:rPr>
                <w:snapToGrid w:val="0"/>
                <w:color w:val="auto"/>
                <w:kern w:val="0"/>
                <w:szCs w:val="21"/>
                <w:highlight w:val="none"/>
              </w:rPr>
              <w:t>1.92</w:t>
            </w:r>
          </w:p>
        </w:tc>
        <w:tc>
          <w:tcPr>
            <w:tcW w:w="220" w:type="pct"/>
            <w:vAlign w:val="center"/>
          </w:tcPr>
          <w:p w14:paraId="18D99603">
            <w:pPr>
              <w:widowControl/>
              <w:adjustRightInd w:val="0"/>
              <w:snapToGrid w:val="0"/>
              <w:jc w:val="center"/>
              <w:rPr>
                <w:snapToGrid w:val="0"/>
                <w:color w:val="auto"/>
                <w:kern w:val="0"/>
                <w:szCs w:val="21"/>
                <w:highlight w:val="none"/>
              </w:rPr>
            </w:pPr>
            <w:r>
              <w:rPr>
                <w:snapToGrid w:val="0"/>
                <w:color w:val="auto"/>
                <w:kern w:val="0"/>
                <w:szCs w:val="21"/>
                <w:highlight w:val="none"/>
              </w:rPr>
              <w:t>0.640</w:t>
            </w:r>
          </w:p>
        </w:tc>
        <w:tc>
          <w:tcPr>
            <w:tcW w:w="407" w:type="pct"/>
            <w:vAlign w:val="center"/>
          </w:tcPr>
          <w:p w14:paraId="207A13DD">
            <w:pPr>
              <w:widowControl/>
              <w:adjustRightInd w:val="0"/>
              <w:snapToGrid w:val="0"/>
              <w:jc w:val="center"/>
              <w:rPr>
                <w:snapToGrid w:val="0"/>
                <w:color w:val="auto"/>
                <w:kern w:val="0"/>
                <w:szCs w:val="21"/>
                <w:highlight w:val="none"/>
              </w:rPr>
            </w:pPr>
            <w:r>
              <w:rPr>
                <w:snapToGrid w:val="0"/>
                <w:color w:val="auto"/>
                <w:kern w:val="0"/>
                <w:szCs w:val="21"/>
                <w:highlight w:val="none"/>
              </w:rPr>
              <w:t>2.25</w:t>
            </w:r>
          </w:p>
        </w:tc>
        <w:tc>
          <w:tcPr>
            <w:tcW w:w="251" w:type="pct"/>
            <w:vAlign w:val="center"/>
          </w:tcPr>
          <w:p w14:paraId="5A0DFB6A">
            <w:pPr>
              <w:widowControl/>
              <w:adjustRightInd w:val="0"/>
              <w:snapToGrid w:val="0"/>
              <w:jc w:val="center"/>
              <w:rPr>
                <w:snapToGrid w:val="0"/>
                <w:color w:val="auto"/>
                <w:kern w:val="0"/>
                <w:szCs w:val="21"/>
                <w:highlight w:val="none"/>
              </w:rPr>
            </w:pPr>
            <w:r>
              <w:rPr>
                <w:snapToGrid w:val="0"/>
                <w:color w:val="auto"/>
                <w:kern w:val="0"/>
                <w:szCs w:val="21"/>
                <w:highlight w:val="none"/>
              </w:rPr>
              <w:t>0.750</w:t>
            </w:r>
          </w:p>
        </w:tc>
        <w:tc>
          <w:tcPr>
            <w:tcW w:w="431" w:type="pct"/>
            <w:vAlign w:val="center"/>
          </w:tcPr>
          <w:p w14:paraId="5A6D3D5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1.4</w:t>
            </w:r>
          </w:p>
        </w:tc>
        <w:tc>
          <w:tcPr>
            <w:tcW w:w="265" w:type="pct"/>
            <w:vAlign w:val="center"/>
          </w:tcPr>
          <w:p w14:paraId="57F1EAB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0.467</w:t>
            </w:r>
          </w:p>
        </w:tc>
        <w:tc>
          <w:tcPr>
            <w:tcW w:w="331" w:type="pct"/>
            <w:vAlign w:val="center"/>
          </w:tcPr>
          <w:p w14:paraId="46A367A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1.2</w:t>
            </w:r>
          </w:p>
        </w:tc>
        <w:tc>
          <w:tcPr>
            <w:tcW w:w="203" w:type="pct"/>
            <w:vAlign w:val="center"/>
          </w:tcPr>
          <w:p w14:paraId="2EA14BE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w:t>
            </w:r>
          </w:p>
        </w:tc>
        <w:tc>
          <w:tcPr>
            <w:tcW w:w="588" w:type="pct"/>
            <w:vAlign w:val="center"/>
          </w:tcPr>
          <w:p w14:paraId="194EEE31">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3.0</w:t>
            </w:r>
          </w:p>
        </w:tc>
      </w:tr>
      <w:tr w14:paraId="7044D57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5B497A2F">
            <w:pPr>
              <w:widowControl/>
              <w:adjustRightInd w:val="0"/>
              <w:snapToGrid w:val="0"/>
              <w:jc w:val="center"/>
              <w:rPr>
                <w:snapToGrid w:val="0"/>
                <w:color w:val="auto"/>
                <w:kern w:val="0"/>
                <w:szCs w:val="21"/>
                <w:highlight w:val="none"/>
              </w:rPr>
            </w:pPr>
            <w:r>
              <w:rPr>
                <w:snapToGrid w:val="0"/>
                <w:color w:val="auto"/>
                <w:kern w:val="0"/>
                <w:szCs w:val="21"/>
                <w:highlight w:val="none"/>
              </w:rPr>
              <w:t>9</w:t>
            </w:r>
          </w:p>
        </w:tc>
        <w:tc>
          <w:tcPr>
            <w:tcW w:w="819" w:type="pct"/>
            <w:vAlign w:val="center"/>
          </w:tcPr>
          <w:p w14:paraId="5E32D1A6">
            <w:pPr>
              <w:widowControl/>
              <w:adjustRightInd w:val="0"/>
              <w:snapToGrid w:val="0"/>
              <w:jc w:val="center"/>
              <w:rPr>
                <w:snapToGrid w:val="0"/>
                <w:color w:val="auto"/>
                <w:kern w:val="0"/>
                <w:szCs w:val="21"/>
                <w:highlight w:val="none"/>
              </w:rPr>
            </w:pPr>
            <w:r>
              <w:rPr>
                <w:snapToGrid w:val="0"/>
                <w:color w:val="auto"/>
                <w:kern w:val="0"/>
                <w:szCs w:val="21"/>
                <w:highlight w:val="none"/>
              </w:rPr>
              <w:t>氰化物</w:t>
            </w:r>
          </w:p>
        </w:tc>
        <w:tc>
          <w:tcPr>
            <w:tcW w:w="443" w:type="pct"/>
            <w:vAlign w:val="center"/>
          </w:tcPr>
          <w:p w14:paraId="0ED2C6B5">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5076B1F6">
            <w:pPr>
              <w:widowControl/>
              <w:adjustRightInd w:val="0"/>
              <w:snapToGrid w:val="0"/>
              <w:jc w:val="center"/>
              <w:rPr>
                <w:snapToGrid w:val="0"/>
                <w:color w:val="auto"/>
                <w:kern w:val="0"/>
                <w:szCs w:val="21"/>
                <w:highlight w:val="none"/>
              </w:rPr>
            </w:pPr>
            <w:r>
              <w:rPr>
                <w:snapToGrid w:val="0"/>
                <w:color w:val="auto"/>
                <w:kern w:val="0"/>
                <w:szCs w:val="21"/>
                <w:highlight w:val="none"/>
              </w:rPr>
              <w:t>＜0.002</w:t>
            </w:r>
          </w:p>
        </w:tc>
        <w:tc>
          <w:tcPr>
            <w:tcW w:w="194" w:type="pct"/>
            <w:vAlign w:val="center"/>
          </w:tcPr>
          <w:p w14:paraId="5C31822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0E9EBD45">
            <w:pPr>
              <w:widowControl/>
              <w:adjustRightInd w:val="0"/>
              <w:snapToGrid w:val="0"/>
              <w:jc w:val="center"/>
              <w:rPr>
                <w:snapToGrid w:val="0"/>
                <w:color w:val="auto"/>
                <w:kern w:val="0"/>
                <w:szCs w:val="21"/>
                <w:highlight w:val="none"/>
              </w:rPr>
            </w:pPr>
            <w:r>
              <w:rPr>
                <w:snapToGrid w:val="0"/>
                <w:color w:val="auto"/>
                <w:kern w:val="0"/>
                <w:szCs w:val="21"/>
                <w:highlight w:val="none"/>
              </w:rPr>
              <w:t>＜0.002</w:t>
            </w:r>
          </w:p>
        </w:tc>
        <w:tc>
          <w:tcPr>
            <w:tcW w:w="220" w:type="pct"/>
            <w:vAlign w:val="center"/>
          </w:tcPr>
          <w:p w14:paraId="254DDB0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6F4C0F63">
            <w:pPr>
              <w:widowControl/>
              <w:adjustRightInd w:val="0"/>
              <w:snapToGrid w:val="0"/>
              <w:jc w:val="center"/>
              <w:rPr>
                <w:snapToGrid w:val="0"/>
                <w:color w:val="auto"/>
                <w:kern w:val="0"/>
                <w:szCs w:val="21"/>
                <w:highlight w:val="none"/>
              </w:rPr>
            </w:pPr>
            <w:r>
              <w:rPr>
                <w:snapToGrid w:val="0"/>
                <w:color w:val="auto"/>
                <w:kern w:val="0"/>
                <w:szCs w:val="21"/>
                <w:highlight w:val="none"/>
              </w:rPr>
              <w:t>＜0.002</w:t>
            </w:r>
          </w:p>
        </w:tc>
        <w:tc>
          <w:tcPr>
            <w:tcW w:w="251" w:type="pct"/>
            <w:vAlign w:val="center"/>
          </w:tcPr>
          <w:p w14:paraId="4618280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5D2DEBE4">
            <w:pPr>
              <w:widowControl/>
              <w:adjustRightInd w:val="0"/>
              <w:snapToGrid w:val="0"/>
              <w:jc w:val="center"/>
              <w:rPr>
                <w:snapToGrid w:val="0"/>
                <w:color w:val="auto"/>
                <w:kern w:val="0"/>
                <w:szCs w:val="21"/>
                <w:highlight w:val="none"/>
              </w:rPr>
            </w:pPr>
            <w:r>
              <w:rPr>
                <w:snapToGrid w:val="0"/>
                <w:color w:val="auto"/>
                <w:kern w:val="0"/>
                <w:szCs w:val="21"/>
                <w:highlight w:val="none"/>
              </w:rPr>
              <w:t>＜0.002</w:t>
            </w:r>
          </w:p>
        </w:tc>
        <w:tc>
          <w:tcPr>
            <w:tcW w:w="265" w:type="pct"/>
            <w:vAlign w:val="center"/>
          </w:tcPr>
          <w:p w14:paraId="1FF27F3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1D4C126E">
            <w:pPr>
              <w:widowControl/>
              <w:adjustRightInd w:val="0"/>
              <w:snapToGrid w:val="0"/>
              <w:jc w:val="center"/>
              <w:rPr>
                <w:snapToGrid w:val="0"/>
                <w:color w:val="auto"/>
                <w:kern w:val="0"/>
                <w:szCs w:val="21"/>
                <w:highlight w:val="none"/>
              </w:rPr>
            </w:pPr>
            <w:r>
              <w:rPr>
                <w:snapToGrid w:val="0"/>
                <w:color w:val="auto"/>
                <w:kern w:val="0"/>
                <w:szCs w:val="21"/>
                <w:highlight w:val="none"/>
              </w:rPr>
              <w:t>＜0.002</w:t>
            </w:r>
          </w:p>
        </w:tc>
        <w:tc>
          <w:tcPr>
            <w:tcW w:w="203" w:type="pct"/>
            <w:vAlign w:val="center"/>
          </w:tcPr>
          <w:p w14:paraId="5E45386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5823C0D3">
            <w:pPr>
              <w:widowControl/>
              <w:adjustRightInd w:val="0"/>
              <w:snapToGrid w:val="0"/>
              <w:jc w:val="center"/>
              <w:rPr>
                <w:snapToGrid w:val="0"/>
                <w:color w:val="auto"/>
                <w:kern w:val="0"/>
                <w:szCs w:val="21"/>
                <w:highlight w:val="none"/>
              </w:rPr>
            </w:pPr>
            <w:r>
              <w:rPr>
                <w:snapToGrid w:val="0"/>
                <w:color w:val="auto"/>
                <w:kern w:val="0"/>
                <w:szCs w:val="21"/>
                <w:highlight w:val="none"/>
              </w:rPr>
              <w:t>≤0.05</w:t>
            </w:r>
          </w:p>
        </w:tc>
      </w:tr>
      <w:tr w14:paraId="3341EE4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6C011B3D">
            <w:pPr>
              <w:widowControl/>
              <w:adjustRightInd w:val="0"/>
              <w:snapToGrid w:val="0"/>
              <w:jc w:val="center"/>
              <w:rPr>
                <w:snapToGrid w:val="0"/>
                <w:color w:val="auto"/>
                <w:kern w:val="0"/>
                <w:szCs w:val="21"/>
                <w:highlight w:val="none"/>
              </w:rPr>
            </w:pPr>
            <w:r>
              <w:rPr>
                <w:snapToGrid w:val="0"/>
                <w:color w:val="auto"/>
                <w:kern w:val="0"/>
                <w:szCs w:val="21"/>
                <w:highlight w:val="none"/>
              </w:rPr>
              <w:t>10</w:t>
            </w:r>
          </w:p>
        </w:tc>
        <w:tc>
          <w:tcPr>
            <w:tcW w:w="819" w:type="pct"/>
            <w:vAlign w:val="center"/>
          </w:tcPr>
          <w:p w14:paraId="338F3235">
            <w:pPr>
              <w:widowControl/>
              <w:adjustRightInd w:val="0"/>
              <w:snapToGrid w:val="0"/>
              <w:jc w:val="center"/>
              <w:rPr>
                <w:snapToGrid w:val="0"/>
                <w:color w:val="auto"/>
                <w:kern w:val="0"/>
                <w:szCs w:val="21"/>
                <w:highlight w:val="none"/>
              </w:rPr>
            </w:pPr>
            <w:r>
              <w:rPr>
                <w:snapToGrid w:val="0"/>
                <w:color w:val="auto"/>
                <w:kern w:val="0"/>
                <w:szCs w:val="21"/>
                <w:highlight w:val="none"/>
              </w:rPr>
              <w:t>硫化物</w:t>
            </w:r>
          </w:p>
        </w:tc>
        <w:tc>
          <w:tcPr>
            <w:tcW w:w="443" w:type="pct"/>
            <w:vAlign w:val="center"/>
          </w:tcPr>
          <w:p w14:paraId="5F109E90">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013C9523">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194" w:type="pct"/>
            <w:vAlign w:val="center"/>
          </w:tcPr>
          <w:p w14:paraId="413F29D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3D9ADC6E">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220" w:type="pct"/>
            <w:vAlign w:val="center"/>
          </w:tcPr>
          <w:p w14:paraId="3190B19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19C43BE9">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251" w:type="pct"/>
            <w:vAlign w:val="center"/>
          </w:tcPr>
          <w:p w14:paraId="6373946B">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5BD0BFE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65" w:type="pct"/>
            <w:vAlign w:val="center"/>
          </w:tcPr>
          <w:p w14:paraId="0DF5E50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58C080C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03" w:type="pct"/>
            <w:vAlign w:val="center"/>
          </w:tcPr>
          <w:p w14:paraId="6988A39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4FB14AC0">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0.02</w:t>
            </w:r>
          </w:p>
        </w:tc>
      </w:tr>
      <w:tr w14:paraId="56CA54A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6EA0B593">
            <w:pPr>
              <w:widowControl/>
              <w:adjustRightInd w:val="0"/>
              <w:snapToGrid w:val="0"/>
              <w:jc w:val="center"/>
              <w:rPr>
                <w:snapToGrid w:val="0"/>
                <w:color w:val="auto"/>
                <w:kern w:val="0"/>
                <w:szCs w:val="21"/>
                <w:highlight w:val="none"/>
              </w:rPr>
            </w:pPr>
            <w:r>
              <w:rPr>
                <w:snapToGrid w:val="0"/>
                <w:color w:val="auto"/>
                <w:kern w:val="0"/>
                <w:szCs w:val="21"/>
                <w:highlight w:val="none"/>
              </w:rPr>
              <w:t>11</w:t>
            </w:r>
          </w:p>
        </w:tc>
        <w:tc>
          <w:tcPr>
            <w:tcW w:w="819" w:type="pct"/>
            <w:vAlign w:val="center"/>
          </w:tcPr>
          <w:p w14:paraId="320EA4D1">
            <w:pPr>
              <w:widowControl/>
              <w:adjustRightInd w:val="0"/>
              <w:snapToGrid w:val="0"/>
              <w:jc w:val="center"/>
              <w:rPr>
                <w:snapToGrid w:val="0"/>
                <w:color w:val="auto"/>
                <w:kern w:val="0"/>
                <w:szCs w:val="21"/>
                <w:highlight w:val="none"/>
              </w:rPr>
            </w:pPr>
            <w:r>
              <w:rPr>
                <w:snapToGrid w:val="0"/>
                <w:color w:val="auto"/>
                <w:kern w:val="0"/>
                <w:szCs w:val="21"/>
                <w:highlight w:val="none"/>
              </w:rPr>
              <w:t>挥发性酚类</w:t>
            </w:r>
          </w:p>
        </w:tc>
        <w:tc>
          <w:tcPr>
            <w:tcW w:w="443" w:type="pct"/>
            <w:vAlign w:val="center"/>
          </w:tcPr>
          <w:p w14:paraId="3764EB68">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6FCEE475">
            <w:pPr>
              <w:widowControl/>
              <w:adjustRightInd w:val="0"/>
              <w:snapToGrid w:val="0"/>
              <w:jc w:val="center"/>
              <w:rPr>
                <w:snapToGrid w:val="0"/>
                <w:color w:val="auto"/>
                <w:kern w:val="0"/>
                <w:szCs w:val="21"/>
                <w:highlight w:val="none"/>
              </w:rPr>
            </w:pPr>
            <w:r>
              <w:rPr>
                <w:snapToGrid w:val="0"/>
                <w:color w:val="auto"/>
                <w:kern w:val="0"/>
                <w:szCs w:val="21"/>
                <w:highlight w:val="none"/>
              </w:rPr>
              <w:t>＜0.0003</w:t>
            </w:r>
          </w:p>
        </w:tc>
        <w:tc>
          <w:tcPr>
            <w:tcW w:w="194" w:type="pct"/>
            <w:vAlign w:val="center"/>
          </w:tcPr>
          <w:p w14:paraId="71061ECD">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1D36642B">
            <w:pPr>
              <w:widowControl/>
              <w:adjustRightInd w:val="0"/>
              <w:snapToGrid w:val="0"/>
              <w:jc w:val="center"/>
              <w:rPr>
                <w:snapToGrid w:val="0"/>
                <w:color w:val="auto"/>
                <w:kern w:val="0"/>
                <w:szCs w:val="21"/>
                <w:highlight w:val="none"/>
              </w:rPr>
            </w:pPr>
            <w:r>
              <w:rPr>
                <w:snapToGrid w:val="0"/>
                <w:color w:val="auto"/>
                <w:kern w:val="0"/>
                <w:szCs w:val="21"/>
                <w:highlight w:val="none"/>
              </w:rPr>
              <w:t>＜0.0003</w:t>
            </w:r>
          </w:p>
        </w:tc>
        <w:tc>
          <w:tcPr>
            <w:tcW w:w="220" w:type="pct"/>
            <w:vAlign w:val="center"/>
          </w:tcPr>
          <w:p w14:paraId="22EE8CF0">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7C0E8444">
            <w:pPr>
              <w:widowControl/>
              <w:adjustRightInd w:val="0"/>
              <w:snapToGrid w:val="0"/>
              <w:jc w:val="center"/>
              <w:rPr>
                <w:snapToGrid w:val="0"/>
                <w:color w:val="auto"/>
                <w:kern w:val="0"/>
                <w:szCs w:val="21"/>
                <w:highlight w:val="none"/>
              </w:rPr>
            </w:pPr>
            <w:r>
              <w:rPr>
                <w:snapToGrid w:val="0"/>
                <w:color w:val="auto"/>
                <w:kern w:val="0"/>
                <w:szCs w:val="21"/>
                <w:highlight w:val="none"/>
              </w:rPr>
              <w:t>＜0.0003</w:t>
            </w:r>
          </w:p>
        </w:tc>
        <w:tc>
          <w:tcPr>
            <w:tcW w:w="251" w:type="pct"/>
            <w:vAlign w:val="center"/>
          </w:tcPr>
          <w:p w14:paraId="05783EA2">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022FBEAD">
            <w:pPr>
              <w:widowControl/>
              <w:adjustRightInd w:val="0"/>
              <w:snapToGrid w:val="0"/>
              <w:jc w:val="center"/>
              <w:rPr>
                <w:snapToGrid w:val="0"/>
                <w:color w:val="auto"/>
                <w:kern w:val="0"/>
                <w:szCs w:val="21"/>
                <w:highlight w:val="none"/>
              </w:rPr>
            </w:pPr>
            <w:r>
              <w:rPr>
                <w:snapToGrid w:val="0"/>
                <w:color w:val="auto"/>
                <w:kern w:val="0"/>
                <w:szCs w:val="21"/>
                <w:highlight w:val="none"/>
              </w:rPr>
              <w:t>＜0.0003</w:t>
            </w:r>
          </w:p>
        </w:tc>
        <w:tc>
          <w:tcPr>
            <w:tcW w:w="265" w:type="pct"/>
            <w:vAlign w:val="center"/>
          </w:tcPr>
          <w:p w14:paraId="1E25524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69EC23E9">
            <w:pPr>
              <w:widowControl/>
              <w:adjustRightInd w:val="0"/>
              <w:snapToGrid w:val="0"/>
              <w:jc w:val="center"/>
              <w:rPr>
                <w:snapToGrid w:val="0"/>
                <w:color w:val="auto"/>
                <w:kern w:val="0"/>
                <w:szCs w:val="21"/>
                <w:highlight w:val="none"/>
              </w:rPr>
            </w:pPr>
            <w:r>
              <w:rPr>
                <w:snapToGrid w:val="0"/>
                <w:color w:val="auto"/>
                <w:kern w:val="0"/>
                <w:szCs w:val="21"/>
                <w:highlight w:val="none"/>
              </w:rPr>
              <w:t>＜0.0003</w:t>
            </w:r>
          </w:p>
        </w:tc>
        <w:tc>
          <w:tcPr>
            <w:tcW w:w="203" w:type="pct"/>
            <w:vAlign w:val="center"/>
          </w:tcPr>
          <w:p w14:paraId="22D9770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55F4F89B">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0.002</w:t>
            </w:r>
          </w:p>
        </w:tc>
      </w:tr>
      <w:tr w14:paraId="2D4341B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0ECFF500">
            <w:pPr>
              <w:widowControl/>
              <w:adjustRightInd w:val="0"/>
              <w:snapToGrid w:val="0"/>
              <w:jc w:val="center"/>
              <w:rPr>
                <w:snapToGrid w:val="0"/>
                <w:color w:val="auto"/>
                <w:kern w:val="0"/>
                <w:szCs w:val="21"/>
                <w:highlight w:val="none"/>
              </w:rPr>
            </w:pPr>
            <w:r>
              <w:rPr>
                <w:snapToGrid w:val="0"/>
                <w:color w:val="auto"/>
                <w:kern w:val="0"/>
                <w:szCs w:val="21"/>
                <w:highlight w:val="none"/>
              </w:rPr>
              <w:t>12</w:t>
            </w:r>
          </w:p>
        </w:tc>
        <w:tc>
          <w:tcPr>
            <w:tcW w:w="819" w:type="pct"/>
            <w:vAlign w:val="center"/>
          </w:tcPr>
          <w:p w14:paraId="1E74174A">
            <w:pPr>
              <w:widowControl/>
              <w:adjustRightInd w:val="0"/>
              <w:snapToGrid w:val="0"/>
              <w:jc w:val="center"/>
              <w:rPr>
                <w:snapToGrid w:val="0"/>
                <w:color w:val="auto"/>
                <w:kern w:val="0"/>
                <w:szCs w:val="21"/>
                <w:highlight w:val="none"/>
              </w:rPr>
            </w:pPr>
            <w:r>
              <w:rPr>
                <w:snapToGrid w:val="0"/>
                <w:color w:val="auto"/>
                <w:kern w:val="0"/>
                <w:szCs w:val="21"/>
                <w:highlight w:val="none"/>
              </w:rPr>
              <w:t>硝酸盐（以氮计）</w:t>
            </w:r>
          </w:p>
        </w:tc>
        <w:tc>
          <w:tcPr>
            <w:tcW w:w="443" w:type="pct"/>
            <w:vAlign w:val="center"/>
          </w:tcPr>
          <w:p w14:paraId="2608713C">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03B6CD67">
            <w:pPr>
              <w:widowControl/>
              <w:adjustRightInd w:val="0"/>
              <w:snapToGrid w:val="0"/>
              <w:jc w:val="center"/>
              <w:rPr>
                <w:snapToGrid w:val="0"/>
                <w:color w:val="auto"/>
                <w:kern w:val="0"/>
                <w:szCs w:val="21"/>
                <w:highlight w:val="none"/>
              </w:rPr>
            </w:pPr>
            <w:r>
              <w:rPr>
                <w:snapToGrid w:val="0"/>
                <w:color w:val="auto"/>
                <w:kern w:val="0"/>
                <w:szCs w:val="21"/>
                <w:highlight w:val="none"/>
              </w:rPr>
              <w:t>3.3</w:t>
            </w:r>
          </w:p>
        </w:tc>
        <w:tc>
          <w:tcPr>
            <w:tcW w:w="194" w:type="pct"/>
            <w:vAlign w:val="center"/>
          </w:tcPr>
          <w:p w14:paraId="1895347F">
            <w:pPr>
              <w:widowControl/>
              <w:adjustRightInd w:val="0"/>
              <w:snapToGrid w:val="0"/>
              <w:jc w:val="center"/>
              <w:rPr>
                <w:snapToGrid w:val="0"/>
                <w:color w:val="auto"/>
                <w:kern w:val="0"/>
                <w:szCs w:val="21"/>
                <w:highlight w:val="none"/>
              </w:rPr>
            </w:pPr>
            <w:r>
              <w:rPr>
                <w:snapToGrid w:val="0"/>
                <w:color w:val="auto"/>
                <w:kern w:val="0"/>
                <w:szCs w:val="21"/>
                <w:highlight w:val="none"/>
              </w:rPr>
              <w:t>0.165</w:t>
            </w:r>
          </w:p>
        </w:tc>
        <w:tc>
          <w:tcPr>
            <w:tcW w:w="357" w:type="pct"/>
            <w:vAlign w:val="center"/>
          </w:tcPr>
          <w:p w14:paraId="7F63B1B6">
            <w:pPr>
              <w:widowControl/>
              <w:adjustRightInd w:val="0"/>
              <w:snapToGrid w:val="0"/>
              <w:jc w:val="center"/>
              <w:rPr>
                <w:snapToGrid w:val="0"/>
                <w:color w:val="auto"/>
                <w:kern w:val="0"/>
                <w:szCs w:val="21"/>
                <w:highlight w:val="none"/>
              </w:rPr>
            </w:pPr>
            <w:r>
              <w:rPr>
                <w:snapToGrid w:val="0"/>
                <w:color w:val="auto"/>
                <w:kern w:val="0"/>
                <w:szCs w:val="21"/>
                <w:highlight w:val="none"/>
              </w:rPr>
              <w:t>3.2</w:t>
            </w:r>
          </w:p>
        </w:tc>
        <w:tc>
          <w:tcPr>
            <w:tcW w:w="220" w:type="pct"/>
            <w:vAlign w:val="center"/>
          </w:tcPr>
          <w:p w14:paraId="184A5F46">
            <w:pPr>
              <w:widowControl/>
              <w:adjustRightInd w:val="0"/>
              <w:snapToGrid w:val="0"/>
              <w:jc w:val="center"/>
              <w:rPr>
                <w:snapToGrid w:val="0"/>
                <w:color w:val="auto"/>
                <w:kern w:val="0"/>
                <w:szCs w:val="21"/>
                <w:highlight w:val="none"/>
              </w:rPr>
            </w:pPr>
            <w:r>
              <w:rPr>
                <w:snapToGrid w:val="0"/>
                <w:color w:val="auto"/>
                <w:kern w:val="0"/>
                <w:szCs w:val="21"/>
                <w:highlight w:val="none"/>
              </w:rPr>
              <w:t>0.160</w:t>
            </w:r>
          </w:p>
        </w:tc>
        <w:tc>
          <w:tcPr>
            <w:tcW w:w="407" w:type="pct"/>
            <w:vAlign w:val="center"/>
          </w:tcPr>
          <w:p w14:paraId="191DF2BE">
            <w:pPr>
              <w:widowControl/>
              <w:adjustRightInd w:val="0"/>
              <w:snapToGrid w:val="0"/>
              <w:jc w:val="center"/>
              <w:rPr>
                <w:snapToGrid w:val="0"/>
                <w:color w:val="auto"/>
                <w:kern w:val="0"/>
                <w:szCs w:val="21"/>
                <w:highlight w:val="none"/>
              </w:rPr>
            </w:pPr>
            <w:r>
              <w:rPr>
                <w:snapToGrid w:val="0"/>
                <w:color w:val="auto"/>
                <w:kern w:val="0"/>
                <w:szCs w:val="21"/>
                <w:highlight w:val="none"/>
              </w:rPr>
              <w:t>3.9</w:t>
            </w:r>
          </w:p>
        </w:tc>
        <w:tc>
          <w:tcPr>
            <w:tcW w:w="251" w:type="pct"/>
            <w:vAlign w:val="center"/>
          </w:tcPr>
          <w:p w14:paraId="6E9F7C8E">
            <w:pPr>
              <w:widowControl/>
              <w:adjustRightInd w:val="0"/>
              <w:snapToGrid w:val="0"/>
              <w:jc w:val="center"/>
              <w:rPr>
                <w:snapToGrid w:val="0"/>
                <w:color w:val="auto"/>
                <w:kern w:val="0"/>
                <w:szCs w:val="21"/>
                <w:highlight w:val="none"/>
              </w:rPr>
            </w:pPr>
            <w:r>
              <w:rPr>
                <w:snapToGrid w:val="0"/>
                <w:color w:val="auto"/>
                <w:kern w:val="0"/>
                <w:szCs w:val="21"/>
                <w:highlight w:val="none"/>
              </w:rPr>
              <w:t>0.195</w:t>
            </w:r>
          </w:p>
        </w:tc>
        <w:tc>
          <w:tcPr>
            <w:tcW w:w="431" w:type="pct"/>
            <w:vAlign w:val="center"/>
          </w:tcPr>
          <w:p w14:paraId="40EF1F9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0.28</w:t>
            </w:r>
          </w:p>
        </w:tc>
        <w:tc>
          <w:tcPr>
            <w:tcW w:w="265" w:type="pct"/>
            <w:vAlign w:val="center"/>
          </w:tcPr>
          <w:p w14:paraId="3C4864B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0.014</w:t>
            </w:r>
          </w:p>
        </w:tc>
        <w:tc>
          <w:tcPr>
            <w:tcW w:w="331" w:type="pct"/>
            <w:vAlign w:val="center"/>
          </w:tcPr>
          <w:p w14:paraId="3D7B293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0.26</w:t>
            </w:r>
          </w:p>
        </w:tc>
        <w:tc>
          <w:tcPr>
            <w:tcW w:w="203" w:type="pct"/>
            <w:vAlign w:val="center"/>
          </w:tcPr>
          <w:p w14:paraId="02B4A3C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0.013</w:t>
            </w:r>
          </w:p>
        </w:tc>
        <w:tc>
          <w:tcPr>
            <w:tcW w:w="588" w:type="pct"/>
            <w:vAlign w:val="center"/>
          </w:tcPr>
          <w:p w14:paraId="673E611B">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20</w:t>
            </w:r>
          </w:p>
        </w:tc>
      </w:tr>
      <w:tr w14:paraId="69CFB1C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46064585">
            <w:pPr>
              <w:widowControl/>
              <w:adjustRightInd w:val="0"/>
              <w:snapToGrid w:val="0"/>
              <w:jc w:val="center"/>
              <w:rPr>
                <w:snapToGrid w:val="0"/>
                <w:color w:val="auto"/>
                <w:kern w:val="0"/>
                <w:szCs w:val="21"/>
                <w:highlight w:val="none"/>
              </w:rPr>
            </w:pPr>
            <w:r>
              <w:rPr>
                <w:snapToGrid w:val="0"/>
                <w:color w:val="auto"/>
                <w:kern w:val="0"/>
                <w:szCs w:val="21"/>
                <w:highlight w:val="none"/>
              </w:rPr>
              <w:t>13</w:t>
            </w:r>
          </w:p>
        </w:tc>
        <w:tc>
          <w:tcPr>
            <w:tcW w:w="819" w:type="pct"/>
            <w:vAlign w:val="center"/>
          </w:tcPr>
          <w:p w14:paraId="62B741B2">
            <w:pPr>
              <w:widowControl/>
              <w:adjustRightInd w:val="0"/>
              <w:snapToGrid w:val="0"/>
              <w:jc w:val="center"/>
              <w:rPr>
                <w:snapToGrid w:val="0"/>
                <w:color w:val="auto"/>
                <w:kern w:val="0"/>
                <w:szCs w:val="21"/>
                <w:highlight w:val="none"/>
              </w:rPr>
            </w:pPr>
            <w:r>
              <w:rPr>
                <w:snapToGrid w:val="0"/>
                <w:color w:val="auto"/>
                <w:kern w:val="0"/>
                <w:szCs w:val="21"/>
                <w:highlight w:val="none"/>
              </w:rPr>
              <w:t>亚硝酸盐氮（以氮计）</w:t>
            </w:r>
          </w:p>
        </w:tc>
        <w:tc>
          <w:tcPr>
            <w:tcW w:w="443" w:type="pct"/>
            <w:vAlign w:val="center"/>
          </w:tcPr>
          <w:p w14:paraId="09AFEAC6">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434B8340">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194" w:type="pct"/>
            <w:vAlign w:val="center"/>
          </w:tcPr>
          <w:p w14:paraId="7501C645">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357" w:type="pct"/>
            <w:vAlign w:val="center"/>
          </w:tcPr>
          <w:p w14:paraId="14E92C94">
            <w:pPr>
              <w:widowControl/>
              <w:adjustRightInd w:val="0"/>
              <w:snapToGrid w:val="0"/>
              <w:jc w:val="center"/>
              <w:rPr>
                <w:snapToGrid w:val="0"/>
                <w:color w:val="auto"/>
                <w:kern w:val="0"/>
                <w:szCs w:val="21"/>
                <w:highlight w:val="none"/>
              </w:rPr>
            </w:pPr>
            <w:r>
              <w:rPr>
                <w:snapToGrid w:val="0"/>
                <w:color w:val="auto"/>
                <w:kern w:val="0"/>
                <w:szCs w:val="21"/>
                <w:highlight w:val="none"/>
              </w:rPr>
              <w:t>0.007</w:t>
            </w:r>
          </w:p>
        </w:tc>
        <w:tc>
          <w:tcPr>
            <w:tcW w:w="220" w:type="pct"/>
            <w:vAlign w:val="center"/>
          </w:tcPr>
          <w:p w14:paraId="138FEACF">
            <w:pPr>
              <w:widowControl/>
              <w:adjustRightInd w:val="0"/>
              <w:snapToGrid w:val="0"/>
              <w:jc w:val="center"/>
              <w:rPr>
                <w:snapToGrid w:val="0"/>
                <w:color w:val="auto"/>
                <w:kern w:val="0"/>
                <w:szCs w:val="21"/>
                <w:highlight w:val="none"/>
              </w:rPr>
            </w:pPr>
            <w:r>
              <w:rPr>
                <w:snapToGrid w:val="0"/>
                <w:color w:val="auto"/>
                <w:kern w:val="0"/>
                <w:szCs w:val="21"/>
                <w:highlight w:val="none"/>
              </w:rPr>
              <w:t>0.007</w:t>
            </w:r>
          </w:p>
        </w:tc>
        <w:tc>
          <w:tcPr>
            <w:tcW w:w="1139" w:type="dxa"/>
            <w:vAlign w:val="center"/>
          </w:tcPr>
          <w:p w14:paraId="5F8A5B8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702" w:type="dxa"/>
            <w:vAlign w:val="center"/>
          </w:tcPr>
          <w:p w14:paraId="7CC43B1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431" w:type="pct"/>
            <w:vAlign w:val="center"/>
          </w:tcPr>
          <w:p w14:paraId="7E0085A0">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265" w:type="pct"/>
            <w:vAlign w:val="center"/>
          </w:tcPr>
          <w:p w14:paraId="082EB89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25CDC21C">
            <w:pPr>
              <w:widowControl/>
              <w:adjustRightInd w:val="0"/>
              <w:snapToGrid w:val="0"/>
              <w:jc w:val="center"/>
              <w:rPr>
                <w:snapToGrid w:val="0"/>
                <w:color w:val="auto"/>
                <w:kern w:val="0"/>
                <w:szCs w:val="21"/>
                <w:highlight w:val="none"/>
              </w:rPr>
            </w:pPr>
            <w:r>
              <w:rPr>
                <w:snapToGrid w:val="0"/>
                <w:color w:val="auto"/>
                <w:kern w:val="0"/>
                <w:szCs w:val="21"/>
                <w:highlight w:val="none"/>
              </w:rPr>
              <w:t>＜0.003</w:t>
            </w:r>
          </w:p>
        </w:tc>
        <w:tc>
          <w:tcPr>
            <w:tcW w:w="203" w:type="pct"/>
            <w:vAlign w:val="center"/>
          </w:tcPr>
          <w:p w14:paraId="4E426C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1C731023">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1.0</w:t>
            </w:r>
          </w:p>
        </w:tc>
      </w:tr>
      <w:tr w14:paraId="4722651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44BD30C0">
            <w:pPr>
              <w:widowControl/>
              <w:adjustRightInd w:val="0"/>
              <w:snapToGrid w:val="0"/>
              <w:jc w:val="center"/>
              <w:rPr>
                <w:snapToGrid w:val="0"/>
                <w:color w:val="auto"/>
                <w:kern w:val="0"/>
                <w:szCs w:val="21"/>
                <w:highlight w:val="none"/>
              </w:rPr>
            </w:pPr>
            <w:r>
              <w:rPr>
                <w:snapToGrid w:val="0"/>
                <w:color w:val="auto"/>
                <w:kern w:val="0"/>
                <w:szCs w:val="21"/>
                <w:highlight w:val="none"/>
              </w:rPr>
              <w:t>14</w:t>
            </w:r>
          </w:p>
        </w:tc>
        <w:tc>
          <w:tcPr>
            <w:tcW w:w="819" w:type="pct"/>
            <w:vAlign w:val="center"/>
          </w:tcPr>
          <w:p w14:paraId="1DAB354A">
            <w:pPr>
              <w:widowControl/>
              <w:adjustRightInd w:val="0"/>
              <w:snapToGrid w:val="0"/>
              <w:jc w:val="center"/>
              <w:rPr>
                <w:snapToGrid w:val="0"/>
                <w:color w:val="auto"/>
                <w:kern w:val="0"/>
                <w:szCs w:val="21"/>
                <w:highlight w:val="none"/>
              </w:rPr>
            </w:pPr>
            <w:r>
              <w:rPr>
                <w:snapToGrid w:val="0"/>
                <w:color w:val="auto"/>
                <w:kern w:val="0"/>
                <w:szCs w:val="21"/>
                <w:highlight w:val="none"/>
              </w:rPr>
              <w:t>硫酸盐</w:t>
            </w:r>
          </w:p>
        </w:tc>
        <w:tc>
          <w:tcPr>
            <w:tcW w:w="443" w:type="pct"/>
            <w:vAlign w:val="center"/>
          </w:tcPr>
          <w:p w14:paraId="7C51CAF7">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27992B3F">
            <w:pPr>
              <w:widowControl/>
              <w:adjustRightInd w:val="0"/>
              <w:snapToGrid w:val="0"/>
              <w:jc w:val="center"/>
              <w:rPr>
                <w:snapToGrid w:val="0"/>
                <w:color w:val="auto"/>
                <w:kern w:val="0"/>
                <w:szCs w:val="21"/>
                <w:highlight w:val="none"/>
              </w:rPr>
            </w:pPr>
            <w:r>
              <w:rPr>
                <w:snapToGrid w:val="0"/>
                <w:color w:val="auto"/>
                <w:kern w:val="0"/>
                <w:szCs w:val="21"/>
                <w:highlight w:val="none"/>
              </w:rPr>
              <w:t>45.3</w:t>
            </w:r>
          </w:p>
        </w:tc>
        <w:tc>
          <w:tcPr>
            <w:tcW w:w="194" w:type="pct"/>
            <w:vAlign w:val="center"/>
          </w:tcPr>
          <w:p w14:paraId="29F2203B">
            <w:pPr>
              <w:widowControl/>
              <w:adjustRightInd w:val="0"/>
              <w:snapToGrid w:val="0"/>
              <w:jc w:val="center"/>
              <w:rPr>
                <w:snapToGrid w:val="0"/>
                <w:color w:val="auto"/>
                <w:kern w:val="0"/>
                <w:szCs w:val="21"/>
                <w:highlight w:val="none"/>
              </w:rPr>
            </w:pPr>
            <w:r>
              <w:rPr>
                <w:snapToGrid w:val="0"/>
                <w:color w:val="auto"/>
                <w:kern w:val="0"/>
                <w:szCs w:val="21"/>
                <w:highlight w:val="none"/>
              </w:rPr>
              <w:t>0.181</w:t>
            </w:r>
          </w:p>
        </w:tc>
        <w:tc>
          <w:tcPr>
            <w:tcW w:w="357" w:type="pct"/>
            <w:vAlign w:val="center"/>
          </w:tcPr>
          <w:p w14:paraId="6E710B91">
            <w:pPr>
              <w:widowControl/>
              <w:adjustRightInd w:val="0"/>
              <w:snapToGrid w:val="0"/>
              <w:jc w:val="center"/>
              <w:rPr>
                <w:snapToGrid w:val="0"/>
                <w:color w:val="auto"/>
                <w:kern w:val="0"/>
                <w:szCs w:val="21"/>
                <w:highlight w:val="none"/>
              </w:rPr>
            </w:pPr>
            <w:r>
              <w:rPr>
                <w:snapToGrid w:val="0"/>
                <w:color w:val="auto"/>
                <w:kern w:val="0"/>
                <w:szCs w:val="21"/>
                <w:highlight w:val="none"/>
              </w:rPr>
              <w:t>44.6</w:t>
            </w:r>
          </w:p>
        </w:tc>
        <w:tc>
          <w:tcPr>
            <w:tcW w:w="220" w:type="pct"/>
            <w:vAlign w:val="center"/>
          </w:tcPr>
          <w:p w14:paraId="50498F2C">
            <w:pPr>
              <w:widowControl/>
              <w:adjustRightInd w:val="0"/>
              <w:snapToGrid w:val="0"/>
              <w:jc w:val="center"/>
              <w:rPr>
                <w:snapToGrid w:val="0"/>
                <w:color w:val="auto"/>
                <w:kern w:val="0"/>
                <w:szCs w:val="21"/>
                <w:highlight w:val="none"/>
              </w:rPr>
            </w:pPr>
            <w:r>
              <w:rPr>
                <w:snapToGrid w:val="0"/>
                <w:color w:val="auto"/>
                <w:kern w:val="0"/>
                <w:szCs w:val="21"/>
                <w:highlight w:val="none"/>
              </w:rPr>
              <w:t>0.178</w:t>
            </w:r>
          </w:p>
        </w:tc>
        <w:tc>
          <w:tcPr>
            <w:tcW w:w="407" w:type="pct"/>
            <w:vAlign w:val="center"/>
          </w:tcPr>
          <w:p w14:paraId="2BE77DCF">
            <w:pPr>
              <w:widowControl/>
              <w:adjustRightInd w:val="0"/>
              <w:snapToGrid w:val="0"/>
              <w:jc w:val="center"/>
              <w:rPr>
                <w:snapToGrid w:val="0"/>
                <w:color w:val="auto"/>
                <w:kern w:val="0"/>
                <w:szCs w:val="21"/>
                <w:highlight w:val="none"/>
              </w:rPr>
            </w:pPr>
            <w:r>
              <w:rPr>
                <w:snapToGrid w:val="0"/>
                <w:color w:val="auto"/>
                <w:kern w:val="0"/>
                <w:szCs w:val="21"/>
                <w:highlight w:val="none"/>
              </w:rPr>
              <w:t>103</w:t>
            </w:r>
          </w:p>
        </w:tc>
        <w:tc>
          <w:tcPr>
            <w:tcW w:w="251" w:type="pct"/>
            <w:vAlign w:val="center"/>
          </w:tcPr>
          <w:p w14:paraId="7A79457C">
            <w:pPr>
              <w:widowControl/>
              <w:adjustRightInd w:val="0"/>
              <w:snapToGrid w:val="0"/>
              <w:jc w:val="center"/>
              <w:rPr>
                <w:snapToGrid w:val="0"/>
                <w:color w:val="auto"/>
                <w:kern w:val="0"/>
                <w:szCs w:val="21"/>
                <w:highlight w:val="none"/>
              </w:rPr>
            </w:pPr>
            <w:r>
              <w:rPr>
                <w:snapToGrid w:val="0"/>
                <w:color w:val="auto"/>
                <w:kern w:val="0"/>
                <w:szCs w:val="21"/>
                <w:highlight w:val="none"/>
              </w:rPr>
              <w:t>0.412</w:t>
            </w:r>
          </w:p>
        </w:tc>
        <w:tc>
          <w:tcPr>
            <w:tcW w:w="431" w:type="pct"/>
            <w:vAlign w:val="center"/>
          </w:tcPr>
          <w:p w14:paraId="47D5EEF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120</w:t>
            </w:r>
          </w:p>
        </w:tc>
        <w:tc>
          <w:tcPr>
            <w:tcW w:w="265" w:type="pct"/>
            <w:vAlign w:val="center"/>
          </w:tcPr>
          <w:p w14:paraId="143CA77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0.48</w:t>
            </w:r>
          </w:p>
        </w:tc>
        <w:tc>
          <w:tcPr>
            <w:tcW w:w="331" w:type="pct"/>
            <w:vAlign w:val="center"/>
          </w:tcPr>
          <w:p w14:paraId="3A68289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42</w:t>
            </w:r>
          </w:p>
        </w:tc>
        <w:tc>
          <w:tcPr>
            <w:tcW w:w="203" w:type="pct"/>
            <w:vAlign w:val="center"/>
          </w:tcPr>
          <w:p w14:paraId="2C0C2FE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0.168</w:t>
            </w:r>
          </w:p>
        </w:tc>
        <w:tc>
          <w:tcPr>
            <w:tcW w:w="588" w:type="pct"/>
            <w:vAlign w:val="center"/>
          </w:tcPr>
          <w:p w14:paraId="49C53AE5">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250</w:t>
            </w:r>
          </w:p>
        </w:tc>
      </w:tr>
      <w:tr w14:paraId="2013A6A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5AA59BF2">
            <w:pPr>
              <w:widowControl/>
              <w:adjustRightInd w:val="0"/>
              <w:snapToGrid w:val="0"/>
              <w:jc w:val="center"/>
              <w:rPr>
                <w:snapToGrid w:val="0"/>
                <w:color w:val="auto"/>
                <w:kern w:val="0"/>
                <w:szCs w:val="21"/>
                <w:highlight w:val="none"/>
              </w:rPr>
            </w:pPr>
            <w:r>
              <w:rPr>
                <w:snapToGrid w:val="0"/>
                <w:color w:val="auto"/>
                <w:kern w:val="0"/>
                <w:szCs w:val="21"/>
                <w:highlight w:val="none"/>
              </w:rPr>
              <w:t>15</w:t>
            </w:r>
          </w:p>
        </w:tc>
        <w:tc>
          <w:tcPr>
            <w:tcW w:w="819" w:type="pct"/>
            <w:vAlign w:val="center"/>
          </w:tcPr>
          <w:p w14:paraId="57BFA203">
            <w:pPr>
              <w:widowControl/>
              <w:adjustRightInd w:val="0"/>
              <w:snapToGrid w:val="0"/>
              <w:jc w:val="center"/>
              <w:rPr>
                <w:snapToGrid w:val="0"/>
                <w:color w:val="auto"/>
                <w:kern w:val="0"/>
                <w:szCs w:val="21"/>
                <w:highlight w:val="none"/>
              </w:rPr>
            </w:pPr>
            <w:r>
              <w:rPr>
                <w:snapToGrid w:val="0"/>
                <w:color w:val="auto"/>
                <w:kern w:val="0"/>
                <w:szCs w:val="21"/>
                <w:highlight w:val="none"/>
              </w:rPr>
              <w:t>碳酸根</w:t>
            </w:r>
          </w:p>
        </w:tc>
        <w:tc>
          <w:tcPr>
            <w:tcW w:w="443" w:type="pct"/>
            <w:vAlign w:val="center"/>
          </w:tcPr>
          <w:p w14:paraId="67FA2B2B">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5A41A310">
            <w:pPr>
              <w:widowControl/>
              <w:adjustRightInd w:val="0"/>
              <w:snapToGrid w:val="0"/>
              <w:jc w:val="center"/>
              <w:rPr>
                <w:snapToGrid w:val="0"/>
                <w:color w:val="auto"/>
                <w:kern w:val="0"/>
                <w:szCs w:val="21"/>
                <w:highlight w:val="none"/>
              </w:rPr>
            </w:pPr>
            <w:r>
              <w:rPr>
                <w:snapToGrid w:val="0"/>
                <w:color w:val="auto"/>
                <w:kern w:val="0"/>
                <w:szCs w:val="21"/>
                <w:highlight w:val="none"/>
              </w:rPr>
              <w:t>11</w:t>
            </w:r>
          </w:p>
        </w:tc>
        <w:tc>
          <w:tcPr>
            <w:tcW w:w="194" w:type="pct"/>
            <w:vAlign w:val="center"/>
          </w:tcPr>
          <w:p w14:paraId="790BA0A7">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2548B666">
            <w:pPr>
              <w:widowControl/>
              <w:adjustRightInd w:val="0"/>
              <w:snapToGrid w:val="0"/>
              <w:jc w:val="center"/>
              <w:rPr>
                <w:snapToGrid w:val="0"/>
                <w:color w:val="auto"/>
                <w:kern w:val="0"/>
                <w:szCs w:val="21"/>
                <w:highlight w:val="none"/>
              </w:rPr>
            </w:pPr>
            <w:r>
              <w:rPr>
                <w:snapToGrid w:val="0"/>
                <w:color w:val="auto"/>
                <w:kern w:val="0"/>
                <w:szCs w:val="21"/>
                <w:highlight w:val="none"/>
              </w:rPr>
              <w:t>10</w:t>
            </w:r>
          </w:p>
        </w:tc>
        <w:tc>
          <w:tcPr>
            <w:tcW w:w="220" w:type="pct"/>
            <w:vAlign w:val="center"/>
          </w:tcPr>
          <w:p w14:paraId="110C63C7">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2917B61A">
            <w:pPr>
              <w:widowControl/>
              <w:adjustRightInd w:val="0"/>
              <w:snapToGrid w:val="0"/>
              <w:jc w:val="center"/>
              <w:rPr>
                <w:snapToGrid w:val="0"/>
                <w:color w:val="auto"/>
                <w:kern w:val="0"/>
                <w:szCs w:val="21"/>
                <w:highlight w:val="none"/>
              </w:rPr>
            </w:pPr>
            <w:r>
              <w:rPr>
                <w:snapToGrid w:val="0"/>
                <w:color w:val="auto"/>
                <w:kern w:val="0"/>
                <w:szCs w:val="21"/>
                <w:highlight w:val="none"/>
              </w:rPr>
              <w:t>＜5</w:t>
            </w:r>
          </w:p>
        </w:tc>
        <w:tc>
          <w:tcPr>
            <w:tcW w:w="251" w:type="pct"/>
            <w:vAlign w:val="center"/>
          </w:tcPr>
          <w:p w14:paraId="76DE42D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24D11FC9">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5</w:t>
            </w:r>
          </w:p>
        </w:tc>
        <w:tc>
          <w:tcPr>
            <w:tcW w:w="265" w:type="pct"/>
            <w:vAlign w:val="center"/>
          </w:tcPr>
          <w:p w14:paraId="1F1D4A7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5425AD08">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5</w:t>
            </w:r>
          </w:p>
        </w:tc>
        <w:tc>
          <w:tcPr>
            <w:tcW w:w="203" w:type="pct"/>
            <w:vAlign w:val="center"/>
          </w:tcPr>
          <w:p w14:paraId="7DFE093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6B9AA67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00BC8A3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7B28EDB0">
            <w:pPr>
              <w:widowControl/>
              <w:adjustRightInd w:val="0"/>
              <w:snapToGrid w:val="0"/>
              <w:jc w:val="center"/>
              <w:rPr>
                <w:snapToGrid w:val="0"/>
                <w:color w:val="auto"/>
                <w:kern w:val="0"/>
                <w:szCs w:val="21"/>
                <w:highlight w:val="none"/>
              </w:rPr>
            </w:pPr>
            <w:r>
              <w:rPr>
                <w:snapToGrid w:val="0"/>
                <w:color w:val="auto"/>
                <w:kern w:val="0"/>
                <w:szCs w:val="21"/>
                <w:highlight w:val="none"/>
              </w:rPr>
              <w:t>16</w:t>
            </w:r>
          </w:p>
        </w:tc>
        <w:tc>
          <w:tcPr>
            <w:tcW w:w="819" w:type="pct"/>
            <w:vAlign w:val="center"/>
          </w:tcPr>
          <w:p w14:paraId="7F7DE15F">
            <w:pPr>
              <w:widowControl/>
              <w:adjustRightInd w:val="0"/>
              <w:snapToGrid w:val="0"/>
              <w:jc w:val="center"/>
              <w:rPr>
                <w:snapToGrid w:val="0"/>
                <w:color w:val="auto"/>
                <w:kern w:val="0"/>
                <w:szCs w:val="21"/>
                <w:highlight w:val="none"/>
              </w:rPr>
            </w:pPr>
            <w:r>
              <w:rPr>
                <w:snapToGrid w:val="0"/>
                <w:color w:val="auto"/>
                <w:kern w:val="0"/>
                <w:szCs w:val="21"/>
                <w:highlight w:val="none"/>
              </w:rPr>
              <w:t>碳酸氢根</w:t>
            </w:r>
          </w:p>
        </w:tc>
        <w:tc>
          <w:tcPr>
            <w:tcW w:w="443" w:type="pct"/>
            <w:vAlign w:val="center"/>
          </w:tcPr>
          <w:p w14:paraId="74453BB2">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1BAFA8A7">
            <w:pPr>
              <w:widowControl/>
              <w:adjustRightInd w:val="0"/>
              <w:snapToGrid w:val="0"/>
              <w:jc w:val="center"/>
              <w:rPr>
                <w:snapToGrid w:val="0"/>
                <w:color w:val="auto"/>
                <w:kern w:val="0"/>
                <w:szCs w:val="21"/>
                <w:highlight w:val="none"/>
              </w:rPr>
            </w:pPr>
            <w:r>
              <w:rPr>
                <w:snapToGrid w:val="0"/>
                <w:color w:val="auto"/>
                <w:kern w:val="0"/>
                <w:szCs w:val="21"/>
                <w:highlight w:val="none"/>
              </w:rPr>
              <w:t>84</w:t>
            </w:r>
          </w:p>
        </w:tc>
        <w:tc>
          <w:tcPr>
            <w:tcW w:w="194" w:type="pct"/>
            <w:vAlign w:val="center"/>
          </w:tcPr>
          <w:p w14:paraId="6ABB6AAA">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0B32F8F3">
            <w:pPr>
              <w:widowControl/>
              <w:adjustRightInd w:val="0"/>
              <w:snapToGrid w:val="0"/>
              <w:jc w:val="center"/>
              <w:rPr>
                <w:snapToGrid w:val="0"/>
                <w:color w:val="auto"/>
                <w:kern w:val="0"/>
                <w:szCs w:val="21"/>
                <w:highlight w:val="none"/>
              </w:rPr>
            </w:pPr>
            <w:r>
              <w:rPr>
                <w:snapToGrid w:val="0"/>
                <w:color w:val="auto"/>
                <w:kern w:val="0"/>
                <w:szCs w:val="21"/>
                <w:highlight w:val="none"/>
              </w:rPr>
              <w:t>79</w:t>
            </w:r>
          </w:p>
        </w:tc>
        <w:tc>
          <w:tcPr>
            <w:tcW w:w="220" w:type="pct"/>
            <w:vAlign w:val="center"/>
          </w:tcPr>
          <w:p w14:paraId="32E450E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449D7790">
            <w:pPr>
              <w:widowControl/>
              <w:adjustRightInd w:val="0"/>
              <w:snapToGrid w:val="0"/>
              <w:jc w:val="center"/>
              <w:rPr>
                <w:snapToGrid w:val="0"/>
                <w:color w:val="auto"/>
                <w:kern w:val="0"/>
                <w:szCs w:val="21"/>
                <w:highlight w:val="none"/>
              </w:rPr>
            </w:pPr>
            <w:r>
              <w:rPr>
                <w:snapToGrid w:val="0"/>
                <w:color w:val="auto"/>
                <w:kern w:val="0"/>
                <w:szCs w:val="21"/>
                <w:highlight w:val="none"/>
              </w:rPr>
              <w:t>115</w:t>
            </w:r>
          </w:p>
        </w:tc>
        <w:tc>
          <w:tcPr>
            <w:tcW w:w="251" w:type="pct"/>
            <w:vAlign w:val="center"/>
          </w:tcPr>
          <w:p w14:paraId="77B5089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2712F56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68</w:t>
            </w:r>
          </w:p>
        </w:tc>
        <w:tc>
          <w:tcPr>
            <w:tcW w:w="265" w:type="pct"/>
            <w:vAlign w:val="center"/>
          </w:tcPr>
          <w:p w14:paraId="57FF1EF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1CDE0AB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74</w:t>
            </w:r>
          </w:p>
        </w:tc>
        <w:tc>
          <w:tcPr>
            <w:tcW w:w="203" w:type="pct"/>
            <w:vAlign w:val="center"/>
          </w:tcPr>
          <w:p w14:paraId="211E57E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2FEEF0D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143984B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70611B51">
            <w:pPr>
              <w:widowControl/>
              <w:adjustRightInd w:val="0"/>
              <w:snapToGrid w:val="0"/>
              <w:jc w:val="center"/>
              <w:rPr>
                <w:snapToGrid w:val="0"/>
                <w:color w:val="auto"/>
                <w:kern w:val="0"/>
                <w:szCs w:val="21"/>
                <w:highlight w:val="none"/>
              </w:rPr>
            </w:pPr>
            <w:r>
              <w:rPr>
                <w:snapToGrid w:val="0"/>
                <w:color w:val="auto"/>
                <w:kern w:val="0"/>
                <w:szCs w:val="21"/>
                <w:highlight w:val="none"/>
              </w:rPr>
              <w:t>17</w:t>
            </w:r>
          </w:p>
        </w:tc>
        <w:tc>
          <w:tcPr>
            <w:tcW w:w="819" w:type="pct"/>
            <w:vAlign w:val="center"/>
          </w:tcPr>
          <w:p w14:paraId="272A6B53">
            <w:pPr>
              <w:widowControl/>
              <w:adjustRightInd w:val="0"/>
              <w:snapToGrid w:val="0"/>
              <w:jc w:val="center"/>
              <w:rPr>
                <w:snapToGrid w:val="0"/>
                <w:color w:val="auto"/>
                <w:kern w:val="0"/>
                <w:szCs w:val="21"/>
                <w:highlight w:val="none"/>
              </w:rPr>
            </w:pPr>
            <w:r>
              <w:rPr>
                <w:snapToGrid w:val="0"/>
                <w:color w:val="auto"/>
                <w:kern w:val="0"/>
                <w:szCs w:val="21"/>
                <w:highlight w:val="none"/>
              </w:rPr>
              <w:t>钾离子</w:t>
            </w:r>
          </w:p>
        </w:tc>
        <w:tc>
          <w:tcPr>
            <w:tcW w:w="443" w:type="pct"/>
            <w:vAlign w:val="center"/>
          </w:tcPr>
          <w:p w14:paraId="5BB0FA21">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19E50739">
            <w:pPr>
              <w:widowControl/>
              <w:adjustRightInd w:val="0"/>
              <w:snapToGrid w:val="0"/>
              <w:jc w:val="center"/>
              <w:rPr>
                <w:snapToGrid w:val="0"/>
                <w:color w:val="auto"/>
                <w:kern w:val="0"/>
                <w:szCs w:val="21"/>
                <w:highlight w:val="none"/>
              </w:rPr>
            </w:pPr>
            <w:r>
              <w:rPr>
                <w:snapToGrid w:val="0"/>
                <w:color w:val="auto"/>
                <w:kern w:val="0"/>
                <w:szCs w:val="21"/>
                <w:highlight w:val="none"/>
              </w:rPr>
              <w:t>1.71</w:t>
            </w:r>
          </w:p>
        </w:tc>
        <w:tc>
          <w:tcPr>
            <w:tcW w:w="194" w:type="pct"/>
            <w:vAlign w:val="center"/>
          </w:tcPr>
          <w:p w14:paraId="79267D16">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2081F10C">
            <w:pPr>
              <w:widowControl/>
              <w:adjustRightInd w:val="0"/>
              <w:snapToGrid w:val="0"/>
              <w:jc w:val="center"/>
              <w:rPr>
                <w:snapToGrid w:val="0"/>
                <w:color w:val="auto"/>
                <w:kern w:val="0"/>
                <w:szCs w:val="21"/>
                <w:highlight w:val="none"/>
              </w:rPr>
            </w:pPr>
            <w:r>
              <w:rPr>
                <w:snapToGrid w:val="0"/>
                <w:color w:val="auto"/>
                <w:kern w:val="0"/>
                <w:szCs w:val="21"/>
                <w:highlight w:val="none"/>
              </w:rPr>
              <w:t>1.43</w:t>
            </w:r>
          </w:p>
        </w:tc>
        <w:tc>
          <w:tcPr>
            <w:tcW w:w="220" w:type="pct"/>
            <w:vAlign w:val="center"/>
          </w:tcPr>
          <w:p w14:paraId="0324D8A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02C17506">
            <w:pPr>
              <w:widowControl/>
              <w:adjustRightInd w:val="0"/>
              <w:snapToGrid w:val="0"/>
              <w:jc w:val="center"/>
              <w:rPr>
                <w:snapToGrid w:val="0"/>
                <w:color w:val="auto"/>
                <w:kern w:val="0"/>
                <w:szCs w:val="21"/>
                <w:highlight w:val="none"/>
              </w:rPr>
            </w:pPr>
            <w:r>
              <w:rPr>
                <w:snapToGrid w:val="0"/>
                <w:color w:val="auto"/>
                <w:kern w:val="0"/>
                <w:szCs w:val="21"/>
                <w:highlight w:val="none"/>
              </w:rPr>
              <w:t>9.23</w:t>
            </w:r>
          </w:p>
        </w:tc>
        <w:tc>
          <w:tcPr>
            <w:tcW w:w="251" w:type="pct"/>
            <w:vAlign w:val="center"/>
          </w:tcPr>
          <w:p w14:paraId="3EDC573A">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2B05C7B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2.96</w:t>
            </w:r>
          </w:p>
        </w:tc>
        <w:tc>
          <w:tcPr>
            <w:tcW w:w="265" w:type="pct"/>
            <w:vAlign w:val="center"/>
          </w:tcPr>
          <w:p w14:paraId="2BFA32A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0D4A810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1.18</w:t>
            </w:r>
          </w:p>
        </w:tc>
        <w:tc>
          <w:tcPr>
            <w:tcW w:w="203" w:type="pct"/>
            <w:vAlign w:val="center"/>
          </w:tcPr>
          <w:p w14:paraId="61F8EA1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248C5AC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393AB88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6FB995B6">
            <w:pPr>
              <w:widowControl/>
              <w:adjustRightInd w:val="0"/>
              <w:snapToGrid w:val="0"/>
              <w:jc w:val="center"/>
              <w:rPr>
                <w:snapToGrid w:val="0"/>
                <w:color w:val="auto"/>
                <w:kern w:val="0"/>
                <w:szCs w:val="21"/>
                <w:highlight w:val="none"/>
              </w:rPr>
            </w:pPr>
            <w:r>
              <w:rPr>
                <w:snapToGrid w:val="0"/>
                <w:color w:val="auto"/>
                <w:kern w:val="0"/>
                <w:szCs w:val="21"/>
                <w:highlight w:val="none"/>
              </w:rPr>
              <w:t>18</w:t>
            </w:r>
          </w:p>
        </w:tc>
        <w:tc>
          <w:tcPr>
            <w:tcW w:w="819" w:type="pct"/>
            <w:vAlign w:val="center"/>
          </w:tcPr>
          <w:p w14:paraId="47BBE558">
            <w:pPr>
              <w:widowControl/>
              <w:adjustRightInd w:val="0"/>
              <w:snapToGrid w:val="0"/>
              <w:jc w:val="center"/>
              <w:rPr>
                <w:snapToGrid w:val="0"/>
                <w:color w:val="auto"/>
                <w:kern w:val="0"/>
                <w:szCs w:val="21"/>
                <w:highlight w:val="none"/>
              </w:rPr>
            </w:pPr>
            <w:r>
              <w:rPr>
                <w:snapToGrid w:val="0"/>
                <w:color w:val="auto"/>
                <w:kern w:val="0"/>
                <w:szCs w:val="21"/>
                <w:highlight w:val="none"/>
              </w:rPr>
              <w:t>钠离子</w:t>
            </w:r>
          </w:p>
        </w:tc>
        <w:tc>
          <w:tcPr>
            <w:tcW w:w="443" w:type="pct"/>
            <w:vAlign w:val="center"/>
          </w:tcPr>
          <w:p w14:paraId="7F4F4F20">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7313273C">
            <w:pPr>
              <w:widowControl/>
              <w:adjustRightInd w:val="0"/>
              <w:snapToGrid w:val="0"/>
              <w:jc w:val="center"/>
              <w:rPr>
                <w:snapToGrid w:val="0"/>
                <w:color w:val="auto"/>
                <w:kern w:val="0"/>
                <w:szCs w:val="21"/>
                <w:highlight w:val="none"/>
              </w:rPr>
            </w:pPr>
            <w:r>
              <w:rPr>
                <w:snapToGrid w:val="0"/>
                <w:color w:val="auto"/>
                <w:kern w:val="0"/>
                <w:szCs w:val="21"/>
                <w:highlight w:val="none"/>
              </w:rPr>
              <w:t>9.85</w:t>
            </w:r>
          </w:p>
        </w:tc>
        <w:tc>
          <w:tcPr>
            <w:tcW w:w="194" w:type="pct"/>
            <w:vAlign w:val="center"/>
          </w:tcPr>
          <w:p w14:paraId="2963FE0A">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5ADE0C59">
            <w:pPr>
              <w:widowControl/>
              <w:adjustRightInd w:val="0"/>
              <w:snapToGrid w:val="0"/>
              <w:jc w:val="center"/>
              <w:rPr>
                <w:snapToGrid w:val="0"/>
                <w:color w:val="auto"/>
                <w:kern w:val="0"/>
                <w:szCs w:val="21"/>
                <w:highlight w:val="none"/>
              </w:rPr>
            </w:pPr>
            <w:r>
              <w:rPr>
                <w:snapToGrid w:val="0"/>
                <w:color w:val="auto"/>
                <w:kern w:val="0"/>
                <w:szCs w:val="21"/>
                <w:highlight w:val="none"/>
              </w:rPr>
              <w:t>9.57</w:t>
            </w:r>
          </w:p>
        </w:tc>
        <w:tc>
          <w:tcPr>
            <w:tcW w:w="220" w:type="pct"/>
            <w:vAlign w:val="center"/>
          </w:tcPr>
          <w:p w14:paraId="2568BC13">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1788B3B8">
            <w:pPr>
              <w:widowControl/>
              <w:adjustRightInd w:val="0"/>
              <w:snapToGrid w:val="0"/>
              <w:jc w:val="center"/>
              <w:rPr>
                <w:snapToGrid w:val="0"/>
                <w:color w:val="auto"/>
                <w:kern w:val="0"/>
                <w:szCs w:val="21"/>
                <w:highlight w:val="none"/>
              </w:rPr>
            </w:pPr>
            <w:r>
              <w:rPr>
                <w:snapToGrid w:val="0"/>
                <w:color w:val="auto"/>
                <w:kern w:val="0"/>
                <w:szCs w:val="21"/>
                <w:highlight w:val="none"/>
              </w:rPr>
              <w:t>21.9</w:t>
            </w:r>
          </w:p>
        </w:tc>
        <w:tc>
          <w:tcPr>
            <w:tcW w:w="251" w:type="pct"/>
            <w:vAlign w:val="center"/>
          </w:tcPr>
          <w:p w14:paraId="4098DCC0">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6223A59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21.6</w:t>
            </w:r>
          </w:p>
        </w:tc>
        <w:tc>
          <w:tcPr>
            <w:tcW w:w="265" w:type="pct"/>
            <w:vAlign w:val="center"/>
          </w:tcPr>
          <w:p w14:paraId="16CDF3D4">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31" w:type="pct"/>
            <w:vAlign w:val="center"/>
          </w:tcPr>
          <w:p w14:paraId="1241E08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9.05</w:t>
            </w:r>
          </w:p>
        </w:tc>
        <w:tc>
          <w:tcPr>
            <w:tcW w:w="203" w:type="pct"/>
            <w:vAlign w:val="center"/>
          </w:tcPr>
          <w:p w14:paraId="388E25FE">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588" w:type="pct"/>
            <w:vAlign w:val="center"/>
          </w:tcPr>
          <w:p w14:paraId="2F9408EF">
            <w:pPr>
              <w:widowControl/>
              <w:adjustRightInd w:val="0"/>
              <w:snapToGrid w:val="0"/>
              <w:jc w:val="center"/>
              <w:rPr>
                <w:snapToGrid w:val="0"/>
                <w:color w:val="auto"/>
                <w:kern w:val="0"/>
                <w:szCs w:val="21"/>
                <w:highlight w:val="none"/>
              </w:rPr>
            </w:pPr>
            <w:r>
              <w:rPr>
                <w:snapToGrid w:val="0"/>
                <w:color w:val="auto"/>
                <w:kern w:val="0"/>
                <w:szCs w:val="21"/>
                <w:highlight w:val="none"/>
              </w:rPr>
              <w:t>/</w:t>
            </w:r>
          </w:p>
        </w:tc>
      </w:tr>
      <w:tr w14:paraId="3F244F0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5D0084C8">
            <w:pPr>
              <w:widowControl/>
              <w:adjustRightInd w:val="0"/>
              <w:snapToGrid w:val="0"/>
              <w:jc w:val="center"/>
              <w:rPr>
                <w:snapToGrid w:val="0"/>
                <w:color w:val="auto"/>
                <w:kern w:val="0"/>
                <w:szCs w:val="21"/>
                <w:highlight w:val="none"/>
              </w:rPr>
            </w:pPr>
            <w:r>
              <w:rPr>
                <w:snapToGrid w:val="0"/>
                <w:color w:val="auto"/>
                <w:kern w:val="0"/>
                <w:szCs w:val="21"/>
                <w:highlight w:val="none"/>
              </w:rPr>
              <w:t>19</w:t>
            </w:r>
          </w:p>
        </w:tc>
        <w:tc>
          <w:tcPr>
            <w:tcW w:w="819" w:type="pct"/>
            <w:vAlign w:val="center"/>
          </w:tcPr>
          <w:p w14:paraId="6D7CAED5">
            <w:pPr>
              <w:widowControl/>
              <w:adjustRightInd w:val="0"/>
              <w:snapToGrid w:val="0"/>
              <w:jc w:val="center"/>
              <w:rPr>
                <w:snapToGrid w:val="0"/>
                <w:color w:val="auto"/>
                <w:kern w:val="0"/>
                <w:szCs w:val="21"/>
                <w:highlight w:val="none"/>
              </w:rPr>
            </w:pPr>
            <w:r>
              <w:rPr>
                <w:snapToGrid w:val="0"/>
                <w:color w:val="auto"/>
                <w:kern w:val="0"/>
                <w:szCs w:val="21"/>
                <w:highlight w:val="none"/>
              </w:rPr>
              <w:t>钙离子</w:t>
            </w:r>
          </w:p>
        </w:tc>
        <w:tc>
          <w:tcPr>
            <w:tcW w:w="443" w:type="pct"/>
            <w:vAlign w:val="center"/>
          </w:tcPr>
          <w:p w14:paraId="758E5CB2">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7247F0B2">
            <w:pPr>
              <w:widowControl/>
              <w:adjustRightInd w:val="0"/>
              <w:snapToGrid w:val="0"/>
              <w:jc w:val="center"/>
              <w:rPr>
                <w:snapToGrid w:val="0"/>
                <w:color w:val="auto"/>
                <w:kern w:val="0"/>
                <w:szCs w:val="21"/>
                <w:highlight w:val="none"/>
              </w:rPr>
            </w:pPr>
            <w:r>
              <w:rPr>
                <w:snapToGrid w:val="0"/>
                <w:color w:val="auto"/>
                <w:kern w:val="0"/>
                <w:szCs w:val="21"/>
                <w:highlight w:val="none"/>
              </w:rPr>
              <w:t>40.5</w:t>
            </w:r>
          </w:p>
        </w:tc>
        <w:tc>
          <w:tcPr>
            <w:tcW w:w="194" w:type="pct"/>
            <w:vAlign w:val="center"/>
          </w:tcPr>
          <w:p w14:paraId="1191C45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5F728918">
            <w:pPr>
              <w:widowControl/>
              <w:adjustRightInd w:val="0"/>
              <w:snapToGrid w:val="0"/>
              <w:jc w:val="center"/>
              <w:rPr>
                <w:snapToGrid w:val="0"/>
                <w:color w:val="auto"/>
                <w:kern w:val="0"/>
                <w:szCs w:val="21"/>
                <w:highlight w:val="none"/>
              </w:rPr>
            </w:pPr>
            <w:r>
              <w:rPr>
                <w:snapToGrid w:val="0"/>
                <w:color w:val="auto"/>
                <w:kern w:val="0"/>
                <w:szCs w:val="21"/>
                <w:highlight w:val="none"/>
              </w:rPr>
              <w:t>44</w:t>
            </w:r>
          </w:p>
        </w:tc>
        <w:tc>
          <w:tcPr>
            <w:tcW w:w="220" w:type="pct"/>
            <w:vAlign w:val="center"/>
          </w:tcPr>
          <w:p w14:paraId="153729FB">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5FAEE4DD">
            <w:pPr>
              <w:widowControl/>
              <w:adjustRightInd w:val="0"/>
              <w:snapToGrid w:val="0"/>
              <w:jc w:val="center"/>
              <w:rPr>
                <w:snapToGrid w:val="0"/>
                <w:color w:val="auto"/>
                <w:kern w:val="0"/>
                <w:szCs w:val="21"/>
                <w:highlight w:val="none"/>
              </w:rPr>
            </w:pPr>
            <w:r>
              <w:rPr>
                <w:snapToGrid w:val="0"/>
                <w:color w:val="auto"/>
                <w:kern w:val="0"/>
                <w:szCs w:val="21"/>
                <w:highlight w:val="none"/>
              </w:rPr>
              <w:t>58.3</w:t>
            </w:r>
          </w:p>
        </w:tc>
        <w:tc>
          <w:tcPr>
            <w:tcW w:w="251" w:type="pct"/>
            <w:vAlign w:val="center"/>
          </w:tcPr>
          <w:p w14:paraId="7836B2C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57B3881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76.4</w:t>
            </w:r>
          </w:p>
        </w:tc>
        <w:tc>
          <w:tcPr>
            <w:tcW w:w="265" w:type="pct"/>
            <w:vAlign w:val="center"/>
          </w:tcPr>
          <w:p w14:paraId="500F6A8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5E64219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29.4</w:t>
            </w:r>
          </w:p>
        </w:tc>
        <w:tc>
          <w:tcPr>
            <w:tcW w:w="203" w:type="pct"/>
            <w:vAlign w:val="center"/>
          </w:tcPr>
          <w:p w14:paraId="2A4178A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07CE327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480D30D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319E1031">
            <w:pPr>
              <w:widowControl/>
              <w:adjustRightInd w:val="0"/>
              <w:snapToGrid w:val="0"/>
              <w:jc w:val="center"/>
              <w:rPr>
                <w:snapToGrid w:val="0"/>
                <w:color w:val="auto"/>
                <w:kern w:val="0"/>
                <w:szCs w:val="21"/>
                <w:highlight w:val="none"/>
              </w:rPr>
            </w:pPr>
            <w:r>
              <w:rPr>
                <w:snapToGrid w:val="0"/>
                <w:color w:val="auto"/>
                <w:kern w:val="0"/>
                <w:szCs w:val="21"/>
                <w:highlight w:val="none"/>
              </w:rPr>
              <w:t>20</w:t>
            </w:r>
          </w:p>
        </w:tc>
        <w:tc>
          <w:tcPr>
            <w:tcW w:w="819" w:type="pct"/>
            <w:vAlign w:val="center"/>
          </w:tcPr>
          <w:p w14:paraId="201027C9">
            <w:pPr>
              <w:widowControl/>
              <w:adjustRightInd w:val="0"/>
              <w:snapToGrid w:val="0"/>
              <w:jc w:val="center"/>
              <w:rPr>
                <w:snapToGrid w:val="0"/>
                <w:color w:val="auto"/>
                <w:kern w:val="0"/>
                <w:szCs w:val="21"/>
                <w:highlight w:val="none"/>
              </w:rPr>
            </w:pPr>
            <w:r>
              <w:rPr>
                <w:snapToGrid w:val="0"/>
                <w:color w:val="auto"/>
                <w:kern w:val="0"/>
                <w:szCs w:val="21"/>
                <w:highlight w:val="none"/>
              </w:rPr>
              <w:t>镁离子</w:t>
            </w:r>
          </w:p>
        </w:tc>
        <w:tc>
          <w:tcPr>
            <w:tcW w:w="443" w:type="pct"/>
            <w:vAlign w:val="center"/>
          </w:tcPr>
          <w:p w14:paraId="6C7986DC">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74099ABC">
            <w:pPr>
              <w:widowControl/>
              <w:adjustRightInd w:val="0"/>
              <w:snapToGrid w:val="0"/>
              <w:jc w:val="center"/>
              <w:rPr>
                <w:snapToGrid w:val="0"/>
                <w:color w:val="auto"/>
                <w:kern w:val="0"/>
                <w:szCs w:val="21"/>
                <w:highlight w:val="none"/>
              </w:rPr>
            </w:pPr>
            <w:r>
              <w:rPr>
                <w:snapToGrid w:val="0"/>
                <w:color w:val="auto"/>
                <w:kern w:val="0"/>
                <w:szCs w:val="21"/>
                <w:highlight w:val="none"/>
              </w:rPr>
              <w:t>5.52</w:t>
            </w:r>
          </w:p>
        </w:tc>
        <w:tc>
          <w:tcPr>
            <w:tcW w:w="194" w:type="pct"/>
            <w:vAlign w:val="center"/>
          </w:tcPr>
          <w:p w14:paraId="3B7B8411">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047C9766">
            <w:pPr>
              <w:widowControl/>
              <w:adjustRightInd w:val="0"/>
              <w:snapToGrid w:val="0"/>
              <w:jc w:val="center"/>
              <w:rPr>
                <w:snapToGrid w:val="0"/>
                <w:color w:val="auto"/>
                <w:kern w:val="0"/>
                <w:szCs w:val="21"/>
                <w:highlight w:val="none"/>
              </w:rPr>
            </w:pPr>
            <w:r>
              <w:rPr>
                <w:snapToGrid w:val="0"/>
                <w:color w:val="auto"/>
                <w:kern w:val="0"/>
                <w:szCs w:val="21"/>
                <w:highlight w:val="none"/>
              </w:rPr>
              <w:t>5.48</w:t>
            </w:r>
          </w:p>
        </w:tc>
        <w:tc>
          <w:tcPr>
            <w:tcW w:w="220" w:type="pct"/>
            <w:vAlign w:val="center"/>
          </w:tcPr>
          <w:p w14:paraId="676DBB78">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676C7F04">
            <w:pPr>
              <w:widowControl/>
              <w:adjustRightInd w:val="0"/>
              <w:snapToGrid w:val="0"/>
              <w:jc w:val="center"/>
              <w:rPr>
                <w:snapToGrid w:val="0"/>
                <w:color w:val="auto"/>
                <w:kern w:val="0"/>
                <w:szCs w:val="21"/>
                <w:highlight w:val="none"/>
              </w:rPr>
            </w:pPr>
            <w:r>
              <w:rPr>
                <w:snapToGrid w:val="0"/>
                <w:color w:val="auto"/>
                <w:kern w:val="0"/>
                <w:szCs w:val="21"/>
                <w:highlight w:val="none"/>
              </w:rPr>
              <w:t>9</w:t>
            </w:r>
          </w:p>
        </w:tc>
        <w:tc>
          <w:tcPr>
            <w:tcW w:w="251" w:type="pct"/>
            <w:vAlign w:val="center"/>
          </w:tcPr>
          <w:p w14:paraId="06A52208">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7B7D657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14.9</w:t>
            </w:r>
          </w:p>
        </w:tc>
        <w:tc>
          <w:tcPr>
            <w:tcW w:w="265" w:type="pct"/>
            <w:vAlign w:val="center"/>
          </w:tcPr>
          <w:p w14:paraId="42ED729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146B483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5.24</w:t>
            </w:r>
          </w:p>
        </w:tc>
        <w:tc>
          <w:tcPr>
            <w:tcW w:w="203" w:type="pct"/>
            <w:vAlign w:val="center"/>
          </w:tcPr>
          <w:p w14:paraId="1B7F38A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1A58AF9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r>
      <w:tr w14:paraId="61457B6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67413808">
            <w:pPr>
              <w:widowControl/>
              <w:adjustRightInd w:val="0"/>
              <w:snapToGrid w:val="0"/>
              <w:jc w:val="center"/>
              <w:rPr>
                <w:snapToGrid w:val="0"/>
                <w:color w:val="auto"/>
                <w:kern w:val="0"/>
                <w:szCs w:val="21"/>
                <w:highlight w:val="none"/>
              </w:rPr>
            </w:pPr>
            <w:r>
              <w:rPr>
                <w:snapToGrid w:val="0"/>
                <w:color w:val="auto"/>
                <w:kern w:val="0"/>
                <w:szCs w:val="21"/>
                <w:highlight w:val="none"/>
              </w:rPr>
              <w:t>21</w:t>
            </w:r>
          </w:p>
        </w:tc>
        <w:tc>
          <w:tcPr>
            <w:tcW w:w="819" w:type="pct"/>
            <w:vAlign w:val="center"/>
          </w:tcPr>
          <w:p w14:paraId="3FD4B267">
            <w:pPr>
              <w:widowControl/>
              <w:adjustRightInd w:val="0"/>
              <w:snapToGrid w:val="0"/>
              <w:jc w:val="center"/>
              <w:rPr>
                <w:snapToGrid w:val="0"/>
                <w:color w:val="auto"/>
                <w:kern w:val="0"/>
                <w:szCs w:val="21"/>
                <w:highlight w:val="none"/>
              </w:rPr>
            </w:pPr>
            <w:r>
              <w:rPr>
                <w:snapToGrid w:val="0"/>
                <w:color w:val="auto"/>
                <w:kern w:val="0"/>
                <w:szCs w:val="21"/>
                <w:highlight w:val="none"/>
              </w:rPr>
              <w:t>苯</w:t>
            </w:r>
          </w:p>
        </w:tc>
        <w:tc>
          <w:tcPr>
            <w:tcW w:w="443" w:type="pct"/>
            <w:vAlign w:val="center"/>
          </w:tcPr>
          <w:p w14:paraId="4F9F617A">
            <w:pPr>
              <w:widowControl/>
              <w:adjustRightInd w:val="0"/>
              <w:snapToGrid w:val="0"/>
              <w:jc w:val="center"/>
              <w:rPr>
                <w:snapToGrid w:val="0"/>
                <w:color w:val="auto"/>
                <w:kern w:val="0"/>
                <w:szCs w:val="21"/>
                <w:highlight w:val="none"/>
              </w:rPr>
            </w:pPr>
            <w:r>
              <w:rPr>
                <w:snapToGrid w:val="0"/>
                <w:color w:val="auto"/>
                <w:kern w:val="0"/>
                <w:szCs w:val="21"/>
                <w:highlight w:val="none"/>
              </w:rPr>
              <w:t>μg/L</w:t>
            </w:r>
          </w:p>
        </w:tc>
        <w:tc>
          <w:tcPr>
            <w:tcW w:w="314" w:type="pct"/>
            <w:vAlign w:val="center"/>
          </w:tcPr>
          <w:p w14:paraId="57E556E5">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194" w:type="pct"/>
            <w:vAlign w:val="center"/>
          </w:tcPr>
          <w:p w14:paraId="0828FCEB">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16D0D486">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220" w:type="pct"/>
            <w:vAlign w:val="center"/>
          </w:tcPr>
          <w:p w14:paraId="1444066E">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6F2DA9ED">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251" w:type="pct"/>
            <w:vAlign w:val="center"/>
          </w:tcPr>
          <w:p w14:paraId="4B124656">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7356A97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65" w:type="pct"/>
            <w:vAlign w:val="center"/>
          </w:tcPr>
          <w:p w14:paraId="3CE96BD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48EA525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03" w:type="pct"/>
            <w:vAlign w:val="center"/>
          </w:tcPr>
          <w:p w14:paraId="416AFE9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34B9CD7F">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10</w:t>
            </w:r>
          </w:p>
        </w:tc>
      </w:tr>
      <w:tr w14:paraId="1769E92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44A0E650">
            <w:pPr>
              <w:widowControl/>
              <w:adjustRightInd w:val="0"/>
              <w:snapToGrid w:val="0"/>
              <w:jc w:val="center"/>
              <w:rPr>
                <w:snapToGrid w:val="0"/>
                <w:color w:val="auto"/>
                <w:kern w:val="0"/>
                <w:szCs w:val="21"/>
                <w:highlight w:val="none"/>
              </w:rPr>
            </w:pPr>
            <w:r>
              <w:rPr>
                <w:snapToGrid w:val="0"/>
                <w:color w:val="auto"/>
                <w:kern w:val="0"/>
                <w:szCs w:val="21"/>
                <w:highlight w:val="none"/>
              </w:rPr>
              <w:t>22</w:t>
            </w:r>
          </w:p>
        </w:tc>
        <w:tc>
          <w:tcPr>
            <w:tcW w:w="819" w:type="pct"/>
            <w:vAlign w:val="center"/>
          </w:tcPr>
          <w:p w14:paraId="676FEBDD">
            <w:pPr>
              <w:widowControl/>
              <w:adjustRightInd w:val="0"/>
              <w:snapToGrid w:val="0"/>
              <w:jc w:val="center"/>
              <w:rPr>
                <w:snapToGrid w:val="0"/>
                <w:color w:val="auto"/>
                <w:kern w:val="0"/>
                <w:szCs w:val="21"/>
                <w:highlight w:val="none"/>
              </w:rPr>
            </w:pPr>
            <w:r>
              <w:rPr>
                <w:snapToGrid w:val="0"/>
                <w:color w:val="auto"/>
                <w:kern w:val="0"/>
                <w:szCs w:val="21"/>
                <w:highlight w:val="none"/>
              </w:rPr>
              <w:t>甲苯</w:t>
            </w:r>
          </w:p>
        </w:tc>
        <w:tc>
          <w:tcPr>
            <w:tcW w:w="443" w:type="pct"/>
            <w:vAlign w:val="center"/>
          </w:tcPr>
          <w:p w14:paraId="55195AB7">
            <w:pPr>
              <w:widowControl/>
              <w:adjustRightInd w:val="0"/>
              <w:snapToGrid w:val="0"/>
              <w:jc w:val="center"/>
              <w:rPr>
                <w:snapToGrid w:val="0"/>
                <w:color w:val="auto"/>
                <w:kern w:val="0"/>
                <w:szCs w:val="21"/>
                <w:highlight w:val="none"/>
              </w:rPr>
            </w:pPr>
            <w:r>
              <w:rPr>
                <w:snapToGrid w:val="0"/>
                <w:color w:val="auto"/>
                <w:kern w:val="0"/>
                <w:szCs w:val="21"/>
                <w:highlight w:val="none"/>
              </w:rPr>
              <w:t>μg/L</w:t>
            </w:r>
          </w:p>
        </w:tc>
        <w:tc>
          <w:tcPr>
            <w:tcW w:w="314" w:type="pct"/>
            <w:vAlign w:val="center"/>
          </w:tcPr>
          <w:p w14:paraId="5496F210">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194" w:type="pct"/>
            <w:vAlign w:val="center"/>
          </w:tcPr>
          <w:p w14:paraId="0622A5C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167F1980">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220" w:type="pct"/>
            <w:vAlign w:val="center"/>
          </w:tcPr>
          <w:p w14:paraId="62D69CD7">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01EAC581">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251" w:type="pct"/>
            <w:vAlign w:val="center"/>
          </w:tcPr>
          <w:p w14:paraId="29BEDD22">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7AA225B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65" w:type="pct"/>
            <w:vAlign w:val="center"/>
          </w:tcPr>
          <w:p w14:paraId="1106C75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4B7F728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03" w:type="pct"/>
            <w:vAlign w:val="center"/>
          </w:tcPr>
          <w:p w14:paraId="2439A39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2D1196F7">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700</w:t>
            </w:r>
          </w:p>
        </w:tc>
      </w:tr>
      <w:tr w14:paraId="0B62A3B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6A380BFA">
            <w:pPr>
              <w:widowControl/>
              <w:adjustRightInd w:val="0"/>
              <w:snapToGrid w:val="0"/>
              <w:jc w:val="center"/>
              <w:rPr>
                <w:snapToGrid w:val="0"/>
                <w:color w:val="auto"/>
                <w:kern w:val="0"/>
                <w:szCs w:val="21"/>
                <w:highlight w:val="none"/>
              </w:rPr>
            </w:pPr>
            <w:r>
              <w:rPr>
                <w:snapToGrid w:val="0"/>
                <w:color w:val="auto"/>
                <w:kern w:val="0"/>
                <w:szCs w:val="21"/>
                <w:highlight w:val="none"/>
              </w:rPr>
              <w:t>23</w:t>
            </w:r>
          </w:p>
        </w:tc>
        <w:tc>
          <w:tcPr>
            <w:tcW w:w="819" w:type="pct"/>
            <w:vAlign w:val="center"/>
          </w:tcPr>
          <w:p w14:paraId="56B15019">
            <w:pPr>
              <w:widowControl/>
              <w:adjustRightInd w:val="0"/>
              <w:snapToGrid w:val="0"/>
              <w:jc w:val="center"/>
              <w:rPr>
                <w:snapToGrid w:val="0"/>
                <w:color w:val="auto"/>
                <w:kern w:val="0"/>
                <w:szCs w:val="21"/>
                <w:highlight w:val="none"/>
              </w:rPr>
            </w:pPr>
            <w:r>
              <w:rPr>
                <w:snapToGrid w:val="0"/>
                <w:color w:val="auto"/>
                <w:kern w:val="0"/>
                <w:szCs w:val="21"/>
                <w:highlight w:val="none"/>
              </w:rPr>
              <w:t>总大肠菌群</w:t>
            </w:r>
          </w:p>
        </w:tc>
        <w:tc>
          <w:tcPr>
            <w:tcW w:w="443" w:type="pct"/>
            <w:vAlign w:val="center"/>
          </w:tcPr>
          <w:p w14:paraId="344898D4">
            <w:pPr>
              <w:widowControl/>
              <w:adjustRightInd w:val="0"/>
              <w:snapToGrid w:val="0"/>
              <w:jc w:val="center"/>
              <w:rPr>
                <w:snapToGrid w:val="0"/>
                <w:color w:val="auto"/>
                <w:kern w:val="0"/>
                <w:szCs w:val="21"/>
                <w:highlight w:val="none"/>
              </w:rPr>
            </w:pPr>
            <w:r>
              <w:rPr>
                <w:snapToGrid w:val="0"/>
                <w:color w:val="auto"/>
                <w:kern w:val="0"/>
                <w:szCs w:val="21"/>
                <w:highlight w:val="none"/>
              </w:rPr>
              <w:t>MPN/100mL</w:t>
            </w:r>
          </w:p>
        </w:tc>
        <w:tc>
          <w:tcPr>
            <w:tcW w:w="314" w:type="pct"/>
            <w:vAlign w:val="center"/>
          </w:tcPr>
          <w:p w14:paraId="6DDBA4CD">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194" w:type="pct"/>
            <w:vAlign w:val="center"/>
          </w:tcPr>
          <w:p w14:paraId="398C37D1">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53BC262D">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220" w:type="pct"/>
            <w:vAlign w:val="center"/>
          </w:tcPr>
          <w:p w14:paraId="4CA5C7F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159A6CA6">
            <w:pPr>
              <w:widowControl/>
              <w:adjustRightInd w:val="0"/>
              <w:snapToGrid w:val="0"/>
              <w:jc w:val="center"/>
              <w:rPr>
                <w:snapToGrid w:val="0"/>
                <w:color w:val="auto"/>
                <w:kern w:val="0"/>
                <w:szCs w:val="21"/>
                <w:highlight w:val="none"/>
              </w:rPr>
            </w:pPr>
            <w:r>
              <w:rPr>
                <w:snapToGrid w:val="0"/>
                <w:color w:val="auto"/>
                <w:kern w:val="0"/>
                <w:szCs w:val="21"/>
                <w:highlight w:val="none"/>
              </w:rPr>
              <w:t>＜2</w:t>
            </w:r>
          </w:p>
        </w:tc>
        <w:tc>
          <w:tcPr>
            <w:tcW w:w="251" w:type="pct"/>
            <w:vAlign w:val="center"/>
          </w:tcPr>
          <w:p w14:paraId="056A8D7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0F87D33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未检出</w:t>
            </w:r>
          </w:p>
        </w:tc>
        <w:tc>
          <w:tcPr>
            <w:tcW w:w="265" w:type="pct"/>
            <w:vAlign w:val="center"/>
          </w:tcPr>
          <w:p w14:paraId="24DFC9F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5DC8EE2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未检出</w:t>
            </w:r>
          </w:p>
        </w:tc>
        <w:tc>
          <w:tcPr>
            <w:tcW w:w="203" w:type="pct"/>
            <w:vAlign w:val="center"/>
          </w:tcPr>
          <w:p w14:paraId="6C31BD4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49806A70">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3.0</w:t>
            </w:r>
          </w:p>
        </w:tc>
      </w:tr>
      <w:tr w14:paraId="17B3939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vAlign w:val="center"/>
          </w:tcPr>
          <w:p w14:paraId="4B9FE602">
            <w:pPr>
              <w:widowControl/>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24</w:t>
            </w:r>
          </w:p>
        </w:tc>
        <w:tc>
          <w:tcPr>
            <w:tcW w:w="819" w:type="pct"/>
            <w:vAlign w:val="center"/>
          </w:tcPr>
          <w:p w14:paraId="6085BEAB">
            <w:pPr>
              <w:widowControl/>
              <w:adjustRightInd w:val="0"/>
              <w:snapToGrid w:val="0"/>
              <w:jc w:val="center"/>
              <w:rPr>
                <w:snapToGrid w:val="0"/>
                <w:color w:val="auto"/>
                <w:kern w:val="0"/>
                <w:szCs w:val="21"/>
                <w:highlight w:val="none"/>
              </w:rPr>
            </w:pPr>
            <w:r>
              <w:rPr>
                <w:snapToGrid w:val="0"/>
                <w:color w:val="auto"/>
                <w:kern w:val="0"/>
                <w:szCs w:val="21"/>
                <w:highlight w:val="none"/>
              </w:rPr>
              <w:t>镉</w:t>
            </w:r>
          </w:p>
        </w:tc>
        <w:tc>
          <w:tcPr>
            <w:tcW w:w="443" w:type="pct"/>
            <w:vAlign w:val="center"/>
          </w:tcPr>
          <w:p w14:paraId="3AE720C6">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0B919F02">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194" w:type="pct"/>
            <w:vAlign w:val="center"/>
          </w:tcPr>
          <w:p w14:paraId="341D58B4">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4504B68E">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220" w:type="pct"/>
            <w:vAlign w:val="center"/>
          </w:tcPr>
          <w:p w14:paraId="2F97CD3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300AE708">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251" w:type="pct"/>
            <w:vAlign w:val="center"/>
          </w:tcPr>
          <w:p w14:paraId="3BD7C765">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6C30692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65" w:type="pct"/>
            <w:vAlign w:val="center"/>
          </w:tcPr>
          <w:p w14:paraId="6E112F6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136A379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203" w:type="pct"/>
            <w:vAlign w:val="center"/>
          </w:tcPr>
          <w:p w14:paraId="6B571A8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49057D09">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0.005</w:t>
            </w:r>
          </w:p>
        </w:tc>
      </w:tr>
      <w:tr w14:paraId="09682B2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shd w:val="clear" w:color="auto" w:fill="auto"/>
            <w:vAlign w:val="center"/>
          </w:tcPr>
          <w:p w14:paraId="3E7E8589">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25</w:t>
            </w:r>
          </w:p>
        </w:tc>
        <w:tc>
          <w:tcPr>
            <w:tcW w:w="819" w:type="pct"/>
            <w:vAlign w:val="center"/>
          </w:tcPr>
          <w:p w14:paraId="74ECA706">
            <w:pPr>
              <w:widowControl/>
              <w:adjustRightInd w:val="0"/>
              <w:snapToGrid w:val="0"/>
              <w:jc w:val="center"/>
              <w:rPr>
                <w:snapToGrid w:val="0"/>
                <w:color w:val="auto"/>
                <w:kern w:val="0"/>
                <w:szCs w:val="21"/>
                <w:highlight w:val="none"/>
              </w:rPr>
            </w:pPr>
            <w:r>
              <w:rPr>
                <w:snapToGrid w:val="0"/>
                <w:color w:val="auto"/>
                <w:kern w:val="0"/>
                <w:szCs w:val="21"/>
                <w:highlight w:val="none"/>
              </w:rPr>
              <w:t>铜</w:t>
            </w:r>
          </w:p>
        </w:tc>
        <w:tc>
          <w:tcPr>
            <w:tcW w:w="443" w:type="pct"/>
            <w:vAlign w:val="center"/>
          </w:tcPr>
          <w:p w14:paraId="2E18E43B">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0A08C361">
            <w:pPr>
              <w:widowControl/>
              <w:adjustRightInd w:val="0"/>
              <w:snapToGrid w:val="0"/>
              <w:jc w:val="center"/>
              <w:rPr>
                <w:snapToGrid w:val="0"/>
                <w:color w:val="auto"/>
                <w:kern w:val="0"/>
                <w:szCs w:val="21"/>
                <w:highlight w:val="none"/>
              </w:rPr>
            </w:pPr>
            <w:r>
              <w:rPr>
                <w:snapToGrid w:val="0"/>
                <w:color w:val="auto"/>
                <w:kern w:val="0"/>
                <w:szCs w:val="21"/>
                <w:highlight w:val="none"/>
              </w:rPr>
              <w:t>＜0.009</w:t>
            </w:r>
          </w:p>
        </w:tc>
        <w:tc>
          <w:tcPr>
            <w:tcW w:w="194" w:type="pct"/>
            <w:vAlign w:val="center"/>
          </w:tcPr>
          <w:p w14:paraId="45A46B37">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5FA21D56">
            <w:pPr>
              <w:widowControl/>
              <w:adjustRightInd w:val="0"/>
              <w:snapToGrid w:val="0"/>
              <w:jc w:val="center"/>
              <w:rPr>
                <w:snapToGrid w:val="0"/>
                <w:color w:val="auto"/>
                <w:kern w:val="0"/>
                <w:szCs w:val="21"/>
                <w:highlight w:val="none"/>
              </w:rPr>
            </w:pPr>
            <w:r>
              <w:rPr>
                <w:snapToGrid w:val="0"/>
                <w:color w:val="auto"/>
                <w:kern w:val="0"/>
                <w:szCs w:val="21"/>
                <w:highlight w:val="none"/>
              </w:rPr>
              <w:t>＜0.009</w:t>
            </w:r>
          </w:p>
        </w:tc>
        <w:tc>
          <w:tcPr>
            <w:tcW w:w="220" w:type="pct"/>
            <w:vAlign w:val="center"/>
          </w:tcPr>
          <w:p w14:paraId="272753D6">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65FFE0F2">
            <w:pPr>
              <w:widowControl/>
              <w:adjustRightInd w:val="0"/>
              <w:snapToGrid w:val="0"/>
              <w:jc w:val="center"/>
              <w:rPr>
                <w:snapToGrid w:val="0"/>
                <w:color w:val="auto"/>
                <w:kern w:val="0"/>
                <w:szCs w:val="21"/>
                <w:highlight w:val="none"/>
              </w:rPr>
            </w:pPr>
            <w:r>
              <w:rPr>
                <w:snapToGrid w:val="0"/>
                <w:color w:val="auto"/>
                <w:kern w:val="0"/>
                <w:szCs w:val="21"/>
                <w:highlight w:val="none"/>
              </w:rPr>
              <w:t>＜0.009</w:t>
            </w:r>
          </w:p>
        </w:tc>
        <w:tc>
          <w:tcPr>
            <w:tcW w:w="251" w:type="pct"/>
            <w:vAlign w:val="center"/>
          </w:tcPr>
          <w:p w14:paraId="1C9DB965">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5E1CD73C">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w:t>
            </w:r>
          </w:p>
        </w:tc>
        <w:tc>
          <w:tcPr>
            <w:tcW w:w="265" w:type="pct"/>
            <w:vAlign w:val="center"/>
          </w:tcPr>
          <w:p w14:paraId="1C680CE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0B927B4C">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w:t>
            </w:r>
          </w:p>
        </w:tc>
        <w:tc>
          <w:tcPr>
            <w:tcW w:w="203" w:type="pct"/>
            <w:vAlign w:val="center"/>
          </w:tcPr>
          <w:p w14:paraId="7E2DFFF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61CDBA34">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1.0</w:t>
            </w:r>
          </w:p>
        </w:tc>
      </w:tr>
      <w:tr w14:paraId="452B77E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shd w:val="clear" w:color="auto" w:fill="auto"/>
            <w:vAlign w:val="center"/>
          </w:tcPr>
          <w:p w14:paraId="79630B27">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26</w:t>
            </w:r>
          </w:p>
        </w:tc>
        <w:tc>
          <w:tcPr>
            <w:tcW w:w="819" w:type="pct"/>
            <w:vAlign w:val="center"/>
          </w:tcPr>
          <w:p w14:paraId="68464BA0">
            <w:pPr>
              <w:widowControl/>
              <w:adjustRightInd w:val="0"/>
              <w:snapToGrid w:val="0"/>
              <w:jc w:val="center"/>
              <w:rPr>
                <w:snapToGrid w:val="0"/>
                <w:color w:val="auto"/>
                <w:kern w:val="0"/>
                <w:szCs w:val="21"/>
                <w:highlight w:val="none"/>
              </w:rPr>
            </w:pPr>
            <w:r>
              <w:rPr>
                <w:snapToGrid w:val="0"/>
                <w:color w:val="auto"/>
                <w:kern w:val="0"/>
                <w:szCs w:val="21"/>
                <w:highlight w:val="none"/>
              </w:rPr>
              <w:t>铅</w:t>
            </w:r>
          </w:p>
        </w:tc>
        <w:tc>
          <w:tcPr>
            <w:tcW w:w="443" w:type="pct"/>
            <w:vAlign w:val="center"/>
          </w:tcPr>
          <w:p w14:paraId="3A439815">
            <w:pPr>
              <w:widowControl/>
              <w:adjustRightInd w:val="0"/>
              <w:snapToGrid w:val="0"/>
              <w:jc w:val="center"/>
              <w:rPr>
                <w:snapToGrid w:val="0"/>
                <w:color w:val="auto"/>
                <w:kern w:val="0"/>
                <w:szCs w:val="21"/>
                <w:highlight w:val="none"/>
              </w:rPr>
            </w:pPr>
            <w:r>
              <w:rPr>
                <w:snapToGrid w:val="0"/>
                <w:color w:val="auto"/>
                <w:kern w:val="0"/>
                <w:szCs w:val="21"/>
                <w:highlight w:val="none"/>
              </w:rPr>
              <w:t>μg/L</w:t>
            </w:r>
          </w:p>
        </w:tc>
        <w:tc>
          <w:tcPr>
            <w:tcW w:w="314" w:type="pct"/>
            <w:vAlign w:val="center"/>
          </w:tcPr>
          <w:p w14:paraId="457E34A8">
            <w:pPr>
              <w:widowControl/>
              <w:adjustRightInd w:val="0"/>
              <w:snapToGrid w:val="0"/>
              <w:jc w:val="center"/>
              <w:rPr>
                <w:snapToGrid w:val="0"/>
                <w:color w:val="auto"/>
                <w:kern w:val="0"/>
                <w:szCs w:val="21"/>
                <w:highlight w:val="none"/>
              </w:rPr>
            </w:pPr>
            <w:r>
              <w:rPr>
                <w:snapToGrid w:val="0"/>
                <w:color w:val="auto"/>
                <w:kern w:val="0"/>
                <w:szCs w:val="21"/>
                <w:highlight w:val="none"/>
              </w:rPr>
              <w:t>＜10</w:t>
            </w:r>
          </w:p>
        </w:tc>
        <w:tc>
          <w:tcPr>
            <w:tcW w:w="194" w:type="pct"/>
            <w:vAlign w:val="center"/>
          </w:tcPr>
          <w:p w14:paraId="2FB73764">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5AC1C3F7">
            <w:pPr>
              <w:widowControl/>
              <w:adjustRightInd w:val="0"/>
              <w:snapToGrid w:val="0"/>
              <w:jc w:val="center"/>
              <w:rPr>
                <w:snapToGrid w:val="0"/>
                <w:color w:val="auto"/>
                <w:kern w:val="0"/>
                <w:szCs w:val="21"/>
                <w:highlight w:val="none"/>
              </w:rPr>
            </w:pPr>
            <w:r>
              <w:rPr>
                <w:snapToGrid w:val="0"/>
                <w:color w:val="auto"/>
                <w:kern w:val="0"/>
                <w:szCs w:val="21"/>
                <w:highlight w:val="none"/>
              </w:rPr>
              <w:t>＜10</w:t>
            </w:r>
          </w:p>
        </w:tc>
        <w:tc>
          <w:tcPr>
            <w:tcW w:w="220" w:type="pct"/>
            <w:vAlign w:val="center"/>
          </w:tcPr>
          <w:p w14:paraId="2B87953B">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460DBAFB">
            <w:pPr>
              <w:widowControl/>
              <w:adjustRightInd w:val="0"/>
              <w:snapToGrid w:val="0"/>
              <w:jc w:val="center"/>
              <w:rPr>
                <w:snapToGrid w:val="0"/>
                <w:color w:val="auto"/>
                <w:kern w:val="0"/>
                <w:szCs w:val="21"/>
                <w:highlight w:val="none"/>
              </w:rPr>
            </w:pPr>
            <w:r>
              <w:rPr>
                <w:snapToGrid w:val="0"/>
                <w:color w:val="auto"/>
                <w:kern w:val="0"/>
                <w:szCs w:val="21"/>
                <w:highlight w:val="none"/>
              </w:rPr>
              <w:t>＜10</w:t>
            </w:r>
          </w:p>
        </w:tc>
        <w:tc>
          <w:tcPr>
            <w:tcW w:w="251" w:type="pct"/>
            <w:vAlign w:val="center"/>
          </w:tcPr>
          <w:p w14:paraId="0F0B318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154A6000">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1.24</w:t>
            </w:r>
          </w:p>
        </w:tc>
        <w:tc>
          <w:tcPr>
            <w:tcW w:w="265" w:type="pct"/>
            <w:vAlign w:val="center"/>
          </w:tcPr>
          <w:p w14:paraId="5F95016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09F331A6">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1.24</w:t>
            </w:r>
          </w:p>
        </w:tc>
        <w:tc>
          <w:tcPr>
            <w:tcW w:w="203" w:type="pct"/>
            <w:vAlign w:val="center"/>
          </w:tcPr>
          <w:p w14:paraId="6F44267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0A60374E">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0.01</w:t>
            </w:r>
          </w:p>
        </w:tc>
      </w:tr>
      <w:tr w14:paraId="7FC8FC9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21" w:hRule="atLeast"/>
          <w:jc w:val="center"/>
        </w:trPr>
        <w:tc>
          <w:tcPr>
            <w:tcW w:w="172" w:type="pct"/>
            <w:shd w:val="clear" w:color="auto" w:fill="auto"/>
            <w:vAlign w:val="center"/>
          </w:tcPr>
          <w:p w14:paraId="3341E4C2">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27</w:t>
            </w:r>
          </w:p>
        </w:tc>
        <w:tc>
          <w:tcPr>
            <w:tcW w:w="819" w:type="pct"/>
            <w:vAlign w:val="center"/>
          </w:tcPr>
          <w:p w14:paraId="4A81B593">
            <w:pPr>
              <w:widowControl/>
              <w:adjustRightInd w:val="0"/>
              <w:snapToGrid w:val="0"/>
              <w:jc w:val="center"/>
              <w:rPr>
                <w:snapToGrid w:val="0"/>
                <w:color w:val="auto"/>
                <w:kern w:val="0"/>
                <w:szCs w:val="21"/>
                <w:highlight w:val="none"/>
              </w:rPr>
            </w:pPr>
            <w:r>
              <w:rPr>
                <w:snapToGrid w:val="0"/>
                <w:color w:val="auto"/>
                <w:kern w:val="0"/>
                <w:szCs w:val="21"/>
                <w:highlight w:val="none"/>
              </w:rPr>
              <w:t>锌</w:t>
            </w:r>
          </w:p>
        </w:tc>
        <w:tc>
          <w:tcPr>
            <w:tcW w:w="443" w:type="pct"/>
            <w:vAlign w:val="center"/>
          </w:tcPr>
          <w:p w14:paraId="5FD3A9D1">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23F74FD8">
            <w:pPr>
              <w:widowControl/>
              <w:adjustRightInd w:val="0"/>
              <w:snapToGrid w:val="0"/>
              <w:jc w:val="center"/>
              <w:rPr>
                <w:snapToGrid w:val="0"/>
                <w:color w:val="auto"/>
                <w:kern w:val="0"/>
                <w:szCs w:val="21"/>
                <w:highlight w:val="none"/>
              </w:rPr>
            </w:pPr>
            <w:r>
              <w:rPr>
                <w:snapToGrid w:val="0"/>
                <w:color w:val="auto"/>
                <w:kern w:val="0"/>
                <w:szCs w:val="21"/>
                <w:highlight w:val="none"/>
              </w:rPr>
              <w:t>＜0.001</w:t>
            </w:r>
          </w:p>
        </w:tc>
        <w:tc>
          <w:tcPr>
            <w:tcW w:w="194" w:type="pct"/>
            <w:vAlign w:val="center"/>
          </w:tcPr>
          <w:p w14:paraId="1B16AC4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7AE5AAAF">
            <w:pPr>
              <w:widowControl/>
              <w:adjustRightInd w:val="0"/>
              <w:snapToGrid w:val="0"/>
              <w:jc w:val="center"/>
              <w:rPr>
                <w:snapToGrid w:val="0"/>
                <w:color w:val="auto"/>
                <w:kern w:val="0"/>
                <w:szCs w:val="21"/>
                <w:highlight w:val="none"/>
              </w:rPr>
            </w:pPr>
            <w:r>
              <w:rPr>
                <w:snapToGrid w:val="0"/>
                <w:color w:val="auto"/>
                <w:kern w:val="0"/>
                <w:szCs w:val="21"/>
                <w:highlight w:val="none"/>
              </w:rPr>
              <w:t>＜0.001</w:t>
            </w:r>
          </w:p>
        </w:tc>
        <w:tc>
          <w:tcPr>
            <w:tcW w:w="220" w:type="pct"/>
            <w:vAlign w:val="center"/>
          </w:tcPr>
          <w:p w14:paraId="0B1A802D">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3E08A798">
            <w:pPr>
              <w:widowControl/>
              <w:adjustRightInd w:val="0"/>
              <w:snapToGrid w:val="0"/>
              <w:jc w:val="center"/>
              <w:rPr>
                <w:snapToGrid w:val="0"/>
                <w:color w:val="auto"/>
                <w:kern w:val="0"/>
                <w:szCs w:val="21"/>
                <w:highlight w:val="none"/>
              </w:rPr>
            </w:pPr>
            <w:r>
              <w:rPr>
                <w:snapToGrid w:val="0"/>
                <w:color w:val="auto"/>
                <w:kern w:val="0"/>
                <w:szCs w:val="21"/>
                <w:highlight w:val="none"/>
              </w:rPr>
              <w:t>＜0.001</w:t>
            </w:r>
          </w:p>
        </w:tc>
        <w:tc>
          <w:tcPr>
            <w:tcW w:w="251" w:type="pct"/>
            <w:vAlign w:val="center"/>
          </w:tcPr>
          <w:p w14:paraId="58578B50">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4D35EDA8">
            <w:pPr>
              <w:widowControl/>
              <w:adjustRightInd w:val="0"/>
              <w:snapToGrid w:val="0"/>
              <w:jc w:val="center"/>
              <w:rPr>
                <w:snapToGrid w:val="0"/>
                <w:color w:val="auto"/>
                <w:kern w:val="0"/>
                <w:szCs w:val="21"/>
                <w:highlight w:val="none"/>
              </w:rPr>
            </w:pPr>
            <w:r>
              <w:rPr>
                <w:snapToGrid w:val="0"/>
                <w:color w:val="auto"/>
                <w:kern w:val="0"/>
                <w:szCs w:val="21"/>
                <w:highlight w:val="none"/>
              </w:rPr>
              <w:t>＜0.0</w:t>
            </w:r>
            <w:r>
              <w:rPr>
                <w:rFonts w:hint="eastAsia"/>
                <w:snapToGrid w:val="0"/>
                <w:color w:val="auto"/>
                <w:kern w:val="0"/>
                <w:szCs w:val="21"/>
                <w:highlight w:val="none"/>
              </w:rPr>
              <w:t>5</w:t>
            </w:r>
          </w:p>
        </w:tc>
        <w:tc>
          <w:tcPr>
            <w:tcW w:w="265" w:type="pct"/>
            <w:vAlign w:val="center"/>
          </w:tcPr>
          <w:p w14:paraId="052F245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356C68EF">
            <w:pPr>
              <w:widowControl/>
              <w:adjustRightInd w:val="0"/>
              <w:snapToGrid w:val="0"/>
              <w:jc w:val="center"/>
              <w:rPr>
                <w:snapToGrid w:val="0"/>
                <w:color w:val="auto"/>
                <w:kern w:val="0"/>
                <w:szCs w:val="21"/>
                <w:highlight w:val="none"/>
              </w:rPr>
            </w:pPr>
            <w:r>
              <w:rPr>
                <w:snapToGrid w:val="0"/>
                <w:color w:val="auto"/>
                <w:kern w:val="0"/>
                <w:szCs w:val="21"/>
                <w:highlight w:val="none"/>
              </w:rPr>
              <w:t>＜0.0</w:t>
            </w:r>
            <w:r>
              <w:rPr>
                <w:rFonts w:hint="eastAsia"/>
                <w:snapToGrid w:val="0"/>
                <w:color w:val="auto"/>
                <w:kern w:val="0"/>
                <w:szCs w:val="21"/>
                <w:highlight w:val="none"/>
              </w:rPr>
              <w:t>5</w:t>
            </w:r>
          </w:p>
        </w:tc>
        <w:tc>
          <w:tcPr>
            <w:tcW w:w="203" w:type="pct"/>
            <w:vAlign w:val="center"/>
          </w:tcPr>
          <w:p w14:paraId="5154ECD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070704A9">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1.0</w:t>
            </w:r>
          </w:p>
        </w:tc>
      </w:tr>
      <w:tr w14:paraId="062F27F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shd w:val="clear" w:color="auto" w:fill="auto"/>
            <w:vAlign w:val="center"/>
          </w:tcPr>
          <w:p w14:paraId="780B8D53">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28</w:t>
            </w:r>
          </w:p>
        </w:tc>
        <w:tc>
          <w:tcPr>
            <w:tcW w:w="819" w:type="pct"/>
            <w:vAlign w:val="center"/>
          </w:tcPr>
          <w:p w14:paraId="03EDF7E9">
            <w:pPr>
              <w:widowControl/>
              <w:adjustRightInd w:val="0"/>
              <w:snapToGrid w:val="0"/>
              <w:jc w:val="center"/>
              <w:rPr>
                <w:snapToGrid w:val="0"/>
                <w:color w:val="auto"/>
                <w:kern w:val="0"/>
                <w:szCs w:val="21"/>
                <w:highlight w:val="none"/>
              </w:rPr>
            </w:pPr>
            <w:r>
              <w:rPr>
                <w:snapToGrid w:val="0"/>
                <w:color w:val="auto"/>
                <w:kern w:val="0"/>
                <w:szCs w:val="21"/>
                <w:highlight w:val="none"/>
              </w:rPr>
              <w:t>铁</w:t>
            </w:r>
          </w:p>
        </w:tc>
        <w:tc>
          <w:tcPr>
            <w:tcW w:w="443" w:type="pct"/>
            <w:vAlign w:val="center"/>
          </w:tcPr>
          <w:p w14:paraId="7A97FF4D">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3F39A1DA">
            <w:pPr>
              <w:widowControl/>
              <w:adjustRightInd w:val="0"/>
              <w:snapToGrid w:val="0"/>
              <w:jc w:val="center"/>
              <w:rPr>
                <w:snapToGrid w:val="0"/>
                <w:color w:val="auto"/>
                <w:kern w:val="0"/>
                <w:szCs w:val="21"/>
                <w:highlight w:val="none"/>
              </w:rPr>
            </w:pPr>
            <w:r>
              <w:rPr>
                <w:snapToGrid w:val="0"/>
                <w:color w:val="auto"/>
                <w:kern w:val="0"/>
                <w:szCs w:val="21"/>
                <w:highlight w:val="none"/>
              </w:rPr>
              <w:t>0.0107</w:t>
            </w:r>
          </w:p>
        </w:tc>
        <w:tc>
          <w:tcPr>
            <w:tcW w:w="194" w:type="pct"/>
            <w:vAlign w:val="center"/>
          </w:tcPr>
          <w:p w14:paraId="4ABD153D">
            <w:pPr>
              <w:widowControl/>
              <w:adjustRightInd w:val="0"/>
              <w:snapToGrid w:val="0"/>
              <w:jc w:val="center"/>
              <w:rPr>
                <w:snapToGrid w:val="0"/>
                <w:color w:val="auto"/>
                <w:kern w:val="0"/>
                <w:szCs w:val="21"/>
                <w:highlight w:val="none"/>
              </w:rPr>
            </w:pPr>
            <w:r>
              <w:rPr>
                <w:snapToGrid w:val="0"/>
                <w:color w:val="auto"/>
                <w:kern w:val="0"/>
                <w:szCs w:val="21"/>
                <w:highlight w:val="none"/>
              </w:rPr>
              <w:t>0.036</w:t>
            </w:r>
          </w:p>
        </w:tc>
        <w:tc>
          <w:tcPr>
            <w:tcW w:w="357" w:type="pct"/>
            <w:vAlign w:val="center"/>
          </w:tcPr>
          <w:p w14:paraId="738BC063">
            <w:pPr>
              <w:widowControl/>
              <w:adjustRightInd w:val="0"/>
              <w:snapToGrid w:val="0"/>
              <w:jc w:val="center"/>
              <w:rPr>
                <w:snapToGrid w:val="0"/>
                <w:color w:val="auto"/>
                <w:kern w:val="0"/>
                <w:szCs w:val="21"/>
                <w:highlight w:val="none"/>
              </w:rPr>
            </w:pPr>
            <w:r>
              <w:rPr>
                <w:snapToGrid w:val="0"/>
                <w:color w:val="auto"/>
                <w:kern w:val="0"/>
                <w:szCs w:val="21"/>
                <w:highlight w:val="none"/>
              </w:rPr>
              <w:t>＜0.0045</w:t>
            </w:r>
          </w:p>
        </w:tc>
        <w:tc>
          <w:tcPr>
            <w:tcW w:w="220" w:type="pct"/>
            <w:vAlign w:val="center"/>
          </w:tcPr>
          <w:p w14:paraId="4221784F">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5CB30D22">
            <w:pPr>
              <w:widowControl/>
              <w:adjustRightInd w:val="0"/>
              <w:snapToGrid w:val="0"/>
              <w:jc w:val="center"/>
              <w:rPr>
                <w:snapToGrid w:val="0"/>
                <w:color w:val="auto"/>
                <w:kern w:val="0"/>
                <w:szCs w:val="21"/>
                <w:highlight w:val="none"/>
              </w:rPr>
            </w:pPr>
            <w:r>
              <w:rPr>
                <w:snapToGrid w:val="0"/>
                <w:color w:val="auto"/>
                <w:kern w:val="0"/>
                <w:szCs w:val="21"/>
                <w:highlight w:val="none"/>
              </w:rPr>
              <w:t>0.0055</w:t>
            </w:r>
          </w:p>
        </w:tc>
        <w:tc>
          <w:tcPr>
            <w:tcW w:w="251" w:type="pct"/>
            <w:vAlign w:val="center"/>
          </w:tcPr>
          <w:p w14:paraId="5A4B90D8">
            <w:pPr>
              <w:widowControl/>
              <w:adjustRightInd w:val="0"/>
              <w:snapToGrid w:val="0"/>
              <w:jc w:val="center"/>
              <w:rPr>
                <w:snapToGrid w:val="0"/>
                <w:color w:val="auto"/>
                <w:kern w:val="0"/>
                <w:szCs w:val="21"/>
                <w:highlight w:val="none"/>
              </w:rPr>
            </w:pPr>
            <w:r>
              <w:rPr>
                <w:snapToGrid w:val="0"/>
                <w:color w:val="auto"/>
                <w:kern w:val="0"/>
                <w:szCs w:val="21"/>
                <w:highlight w:val="none"/>
              </w:rPr>
              <w:t>0.018</w:t>
            </w:r>
          </w:p>
        </w:tc>
        <w:tc>
          <w:tcPr>
            <w:tcW w:w="431" w:type="pct"/>
            <w:vAlign w:val="center"/>
          </w:tcPr>
          <w:p w14:paraId="700BB09C">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0.03</w:t>
            </w:r>
          </w:p>
        </w:tc>
        <w:tc>
          <w:tcPr>
            <w:tcW w:w="265" w:type="pct"/>
            <w:vAlign w:val="center"/>
          </w:tcPr>
          <w:p w14:paraId="456BA6F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6D90C1B2">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0.03</w:t>
            </w:r>
          </w:p>
        </w:tc>
        <w:tc>
          <w:tcPr>
            <w:tcW w:w="203" w:type="pct"/>
            <w:vAlign w:val="center"/>
          </w:tcPr>
          <w:p w14:paraId="758C9B9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429936A7">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0.3</w:t>
            </w:r>
          </w:p>
        </w:tc>
      </w:tr>
      <w:tr w14:paraId="3710B18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shd w:val="clear" w:color="auto" w:fill="auto"/>
            <w:vAlign w:val="center"/>
          </w:tcPr>
          <w:p w14:paraId="0473708B">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29</w:t>
            </w:r>
          </w:p>
        </w:tc>
        <w:tc>
          <w:tcPr>
            <w:tcW w:w="819" w:type="pct"/>
            <w:vAlign w:val="center"/>
          </w:tcPr>
          <w:p w14:paraId="03D13D14">
            <w:pPr>
              <w:widowControl/>
              <w:adjustRightInd w:val="0"/>
              <w:snapToGrid w:val="0"/>
              <w:jc w:val="center"/>
              <w:rPr>
                <w:snapToGrid w:val="0"/>
                <w:color w:val="auto"/>
                <w:kern w:val="0"/>
                <w:szCs w:val="21"/>
                <w:highlight w:val="none"/>
              </w:rPr>
            </w:pPr>
            <w:r>
              <w:rPr>
                <w:snapToGrid w:val="0"/>
                <w:color w:val="auto"/>
                <w:kern w:val="0"/>
                <w:szCs w:val="21"/>
                <w:highlight w:val="none"/>
              </w:rPr>
              <w:t>镍</w:t>
            </w:r>
          </w:p>
        </w:tc>
        <w:tc>
          <w:tcPr>
            <w:tcW w:w="443" w:type="pct"/>
            <w:vAlign w:val="center"/>
          </w:tcPr>
          <w:p w14:paraId="3367FE97">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78759DAF">
            <w:pPr>
              <w:widowControl/>
              <w:adjustRightInd w:val="0"/>
              <w:snapToGrid w:val="0"/>
              <w:jc w:val="center"/>
              <w:rPr>
                <w:snapToGrid w:val="0"/>
                <w:color w:val="auto"/>
                <w:kern w:val="0"/>
                <w:szCs w:val="21"/>
                <w:highlight w:val="none"/>
              </w:rPr>
            </w:pPr>
            <w:r>
              <w:rPr>
                <w:snapToGrid w:val="0"/>
                <w:color w:val="auto"/>
                <w:kern w:val="0"/>
                <w:szCs w:val="21"/>
                <w:highlight w:val="none"/>
              </w:rPr>
              <w:t>＜0.006</w:t>
            </w:r>
          </w:p>
        </w:tc>
        <w:tc>
          <w:tcPr>
            <w:tcW w:w="194" w:type="pct"/>
            <w:vAlign w:val="center"/>
          </w:tcPr>
          <w:p w14:paraId="5AEF8AE7">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47C953EC">
            <w:pPr>
              <w:widowControl/>
              <w:adjustRightInd w:val="0"/>
              <w:snapToGrid w:val="0"/>
              <w:jc w:val="center"/>
              <w:rPr>
                <w:snapToGrid w:val="0"/>
                <w:color w:val="auto"/>
                <w:kern w:val="0"/>
                <w:szCs w:val="21"/>
                <w:highlight w:val="none"/>
              </w:rPr>
            </w:pPr>
            <w:r>
              <w:rPr>
                <w:snapToGrid w:val="0"/>
                <w:color w:val="auto"/>
                <w:kern w:val="0"/>
                <w:szCs w:val="21"/>
                <w:highlight w:val="none"/>
              </w:rPr>
              <w:t>＜0.006</w:t>
            </w:r>
          </w:p>
        </w:tc>
        <w:tc>
          <w:tcPr>
            <w:tcW w:w="220" w:type="pct"/>
            <w:vAlign w:val="center"/>
          </w:tcPr>
          <w:p w14:paraId="6871C14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7CFB2114">
            <w:pPr>
              <w:widowControl/>
              <w:adjustRightInd w:val="0"/>
              <w:snapToGrid w:val="0"/>
              <w:jc w:val="center"/>
              <w:rPr>
                <w:snapToGrid w:val="0"/>
                <w:color w:val="auto"/>
                <w:kern w:val="0"/>
                <w:szCs w:val="21"/>
                <w:highlight w:val="none"/>
              </w:rPr>
            </w:pPr>
            <w:r>
              <w:rPr>
                <w:snapToGrid w:val="0"/>
                <w:color w:val="auto"/>
                <w:kern w:val="0"/>
                <w:szCs w:val="21"/>
                <w:highlight w:val="none"/>
              </w:rPr>
              <w:t>＜0.006</w:t>
            </w:r>
          </w:p>
        </w:tc>
        <w:tc>
          <w:tcPr>
            <w:tcW w:w="251" w:type="pct"/>
            <w:vAlign w:val="center"/>
          </w:tcPr>
          <w:p w14:paraId="60449557">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14D30043">
            <w:pPr>
              <w:widowControl/>
              <w:adjustRightInd w:val="0"/>
              <w:snapToGrid w:val="0"/>
              <w:jc w:val="center"/>
              <w:rPr>
                <w:snapToGrid w:val="0"/>
                <w:color w:val="auto"/>
                <w:kern w:val="0"/>
                <w:szCs w:val="21"/>
                <w:highlight w:val="none"/>
              </w:rPr>
            </w:pPr>
            <w:r>
              <w:rPr>
                <w:snapToGrid w:val="0"/>
                <w:color w:val="auto"/>
                <w:kern w:val="0"/>
                <w:szCs w:val="21"/>
                <w:highlight w:val="none"/>
              </w:rPr>
              <w:t>＜0.00</w:t>
            </w:r>
            <w:r>
              <w:rPr>
                <w:rFonts w:hint="eastAsia"/>
                <w:snapToGrid w:val="0"/>
                <w:color w:val="auto"/>
                <w:kern w:val="0"/>
                <w:szCs w:val="21"/>
                <w:highlight w:val="none"/>
              </w:rPr>
              <w:t>7</w:t>
            </w:r>
          </w:p>
        </w:tc>
        <w:tc>
          <w:tcPr>
            <w:tcW w:w="265" w:type="pct"/>
            <w:vAlign w:val="center"/>
          </w:tcPr>
          <w:p w14:paraId="2A8589A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389ED2A9">
            <w:pPr>
              <w:widowControl/>
              <w:adjustRightInd w:val="0"/>
              <w:snapToGrid w:val="0"/>
              <w:jc w:val="center"/>
              <w:rPr>
                <w:snapToGrid w:val="0"/>
                <w:color w:val="auto"/>
                <w:kern w:val="0"/>
                <w:szCs w:val="21"/>
                <w:highlight w:val="none"/>
              </w:rPr>
            </w:pPr>
            <w:r>
              <w:rPr>
                <w:snapToGrid w:val="0"/>
                <w:color w:val="auto"/>
                <w:kern w:val="0"/>
                <w:szCs w:val="21"/>
                <w:highlight w:val="none"/>
              </w:rPr>
              <w:t>＜0.00</w:t>
            </w:r>
            <w:r>
              <w:rPr>
                <w:rFonts w:hint="eastAsia"/>
                <w:snapToGrid w:val="0"/>
                <w:color w:val="auto"/>
                <w:kern w:val="0"/>
                <w:szCs w:val="21"/>
                <w:highlight w:val="none"/>
              </w:rPr>
              <w:t>7</w:t>
            </w:r>
          </w:p>
        </w:tc>
        <w:tc>
          <w:tcPr>
            <w:tcW w:w="203" w:type="pct"/>
            <w:vAlign w:val="center"/>
          </w:tcPr>
          <w:p w14:paraId="015C65F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2043D607">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0.02</w:t>
            </w:r>
          </w:p>
        </w:tc>
      </w:tr>
      <w:tr w14:paraId="5C4BEC5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shd w:val="clear" w:color="auto" w:fill="auto"/>
            <w:vAlign w:val="center"/>
          </w:tcPr>
          <w:p w14:paraId="32D4F37C">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30</w:t>
            </w:r>
          </w:p>
        </w:tc>
        <w:tc>
          <w:tcPr>
            <w:tcW w:w="819" w:type="pct"/>
            <w:vAlign w:val="center"/>
          </w:tcPr>
          <w:p w14:paraId="2FB6326D">
            <w:pPr>
              <w:widowControl/>
              <w:adjustRightInd w:val="0"/>
              <w:snapToGrid w:val="0"/>
              <w:jc w:val="center"/>
              <w:rPr>
                <w:snapToGrid w:val="0"/>
                <w:color w:val="auto"/>
                <w:kern w:val="0"/>
                <w:szCs w:val="21"/>
                <w:highlight w:val="none"/>
              </w:rPr>
            </w:pPr>
            <w:r>
              <w:rPr>
                <w:snapToGrid w:val="0"/>
                <w:color w:val="auto"/>
                <w:kern w:val="0"/>
                <w:szCs w:val="21"/>
                <w:highlight w:val="none"/>
              </w:rPr>
              <w:t>汞</w:t>
            </w:r>
          </w:p>
        </w:tc>
        <w:tc>
          <w:tcPr>
            <w:tcW w:w="443" w:type="pct"/>
            <w:vAlign w:val="center"/>
          </w:tcPr>
          <w:p w14:paraId="3B381239">
            <w:pPr>
              <w:widowControl/>
              <w:adjustRightInd w:val="0"/>
              <w:snapToGrid w:val="0"/>
              <w:jc w:val="center"/>
              <w:rPr>
                <w:snapToGrid w:val="0"/>
                <w:color w:val="auto"/>
                <w:kern w:val="0"/>
                <w:szCs w:val="21"/>
                <w:highlight w:val="none"/>
              </w:rPr>
            </w:pPr>
            <w:r>
              <w:rPr>
                <w:snapToGrid w:val="0"/>
                <w:color w:val="auto"/>
                <w:kern w:val="0"/>
                <w:szCs w:val="21"/>
                <w:highlight w:val="none"/>
              </w:rPr>
              <w:t>μg/L</w:t>
            </w:r>
          </w:p>
        </w:tc>
        <w:tc>
          <w:tcPr>
            <w:tcW w:w="314" w:type="pct"/>
            <w:vAlign w:val="center"/>
          </w:tcPr>
          <w:p w14:paraId="48CE9BB4">
            <w:pPr>
              <w:widowControl/>
              <w:adjustRightInd w:val="0"/>
              <w:snapToGrid w:val="0"/>
              <w:jc w:val="center"/>
              <w:rPr>
                <w:snapToGrid w:val="0"/>
                <w:color w:val="auto"/>
                <w:kern w:val="0"/>
                <w:szCs w:val="21"/>
                <w:highlight w:val="none"/>
              </w:rPr>
            </w:pPr>
            <w:r>
              <w:rPr>
                <w:snapToGrid w:val="0"/>
                <w:color w:val="auto"/>
                <w:kern w:val="0"/>
                <w:szCs w:val="21"/>
                <w:highlight w:val="none"/>
              </w:rPr>
              <w:t>0.18</w:t>
            </w:r>
          </w:p>
        </w:tc>
        <w:tc>
          <w:tcPr>
            <w:tcW w:w="194" w:type="pct"/>
            <w:vAlign w:val="center"/>
          </w:tcPr>
          <w:p w14:paraId="41C23BF1">
            <w:pPr>
              <w:widowControl/>
              <w:adjustRightInd w:val="0"/>
              <w:snapToGrid w:val="0"/>
              <w:jc w:val="center"/>
              <w:rPr>
                <w:snapToGrid w:val="0"/>
                <w:color w:val="auto"/>
                <w:kern w:val="0"/>
                <w:szCs w:val="21"/>
                <w:highlight w:val="none"/>
              </w:rPr>
            </w:pPr>
            <w:r>
              <w:rPr>
                <w:snapToGrid w:val="0"/>
                <w:color w:val="auto"/>
                <w:kern w:val="0"/>
                <w:szCs w:val="21"/>
                <w:highlight w:val="none"/>
              </w:rPr>
              <w:t>0.180</w:t>
            </w:r>
          </w:p>
        </w:tc>
        <w:tc>
          <w:tcPr>
            <w:tcW w:w="357" w:type="pct"/>
            <w:vAlign w:val="center"/>
          </w:tcPr>
          <w:p w14:paraId="2A33ED56">
            <w:pPr>
              <w:widowControl/>
              <w:adjustRightInd w:val="0"/>
              <w:snapToGrid w:val="0"/>
              <w:jc w:val="center"/>
              <w:rPr>
                <w:snapToGrid w:val="0"/>
                <w:color w:val="auto"/>
                <w:kern w:val="0"/>
                <w:szCs w:val="21"/>
                <w:highlight w:val="none"/>
              </w:rPr>
            </w:pPr>
            <w:r>
              <w:rPr>
                <w:snapToGrid w:val="0"/>
                <w:color w:val="auto"/>
                <w:kern w:val="0"/>
                <w:szCs w:val="21"/>
                <w:highlight w:val="none"/>
              </w:rPr>
              <w:t>0.07</w:t>
            </w:r>
          </w:p>
        </w:tc>
        <w:tc>
          <w:tcPr>
            <w:tcW w:w="220" w:type="pct"/>
            <w:vAlign w:val="center"/>
          </w:tcPr>
          <w:p w14:paraId="3B8023C9">
            <w:pPr>
              <w:widowControl/>
              <w:adjustRightInd w:val="0"/>
              <w:snapToGrid w:val="0"/>
              <w:jc w:val="center"/>
              <w:rPr>
                <w:snapToGrid w:val="0"/>
                <w:color w:val="auto"/>
                <w:kern w:val="0"/>
                <w:szCs w:val="21"/>
                <w:highlight w:val="none"/>
              </w:rPr>
            </w:pPr>
            <w:r>
              <w:rPr>
                <w:snapToGrid w:val="0"/>
                <w:color w:val="auto"/>
                <w:kern w:val="0"/>
                <w:szCs w:val="21"/>
                <w:highlight w:val="none"/>
              </w:rPr>
              <w:t>0.070</w:t>
            </w:r>
          </w:p>
        </w:tc>
        <w:tc>
          <w:tcPr>
            <w:tcW w:w="407" w:type="pct"/>
            <w:vAlign w:val="center"/>
          </w:tcPr>
          <w:p w14:paraId="03D38BC7">
            <w:pPr>
              <w:widowControl/>
              <w:adjustRightInd w:val="0"/>
              <w:snapToGrid w:val="0"/>
              <w:jc w:val="center"/>
              <w:rPr>
                <w:snapToGrid w:val="0"/>
                <w:color w:val="auto"/>
                <w:kern w:val="0"/>
                <w:szCs w:val="21"/>
                <w:highlight w:val="none"/>
              </w:rPr>
            </w:pPr>
            <w:r>
              <w:rPr>
                <w:snapToGrid w:val="0"/>
                <w:color w:val="auto"/>
                <w:kern w:val="0"/>
                <w:szCs w:val="21"/>
                <w:highlight w:val="none"/>
              </w:rPr>
              <w:t>0.43</w:t>
            </w:r>
          </w:p>
        </w:tc>
        <w:tc>
          <w:tcPr>
            <w:tcW w:w="251" w:type="pct"/>
            <w:vAlign w:val="center"/>
          </w:tcPr>
          <w:p w14:paraId="7C0FAF60">
            <w:pPr>
              <w:widowControl/>
              <w:adjustRightInd w:val="0"/>
              <w:snapToGrid w:val="0"/>
              <w:jc w:val="center"/>
              <w:rPr>
                <w:snapToGrid w:val="0"/>
                <w:color w:val="auto"/>
                <w:kern w:val="0"/>
                <w:szCs w:val="21"/>
                <w:highlight w:val="none"/>
              </w:rPr>
            </w:pPr>
            <w:r>
              <w:rPr>
                <w:snapToGrid w:val="0"/>
                <w:color w:val="auto"/>
                <w:kern w:val="0"/>
                <w:szCs w:val="21"/>
                <w:highlight w:val="none"/>
              </w:rPr>
              <w:t>0.430</w:t>
            </w:r>
          </w:p>
        </w:tc>
        <w:tc>
          <w:tcPr>
            <w:tcW w:w="431" w:type="pct"/>
            <w:vAlign w:val="center"/>
          </w:tcPr>
          <w:p w14:paraId="60193533">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0.04</w:t>
            </w:r>
          </w:p>
        </w:tc>
        <w:tc>
          <w:tcPr>
            <w:tcW w:w="265" w:type="pct"/>
            <w:vAlign w:val="center"/>
          </w:tcPr>
          <w:p w14:paraId="11C0ADD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2AADB0CB">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0.04</w:t>
            </w:r>
          </w:p>
        </w:tc>
        <w:tc>
          <w:tcPr>
            <w:tcW w:w="203" w:type="pct"/>
            <w:vAlign w:val="center"/>
          </w:tcPr>
          <w:p w14:paraId="1F465A7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165A0907">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0.001</w:t>
            </w:r>
          </w:p>
        </w:tc>
      </w:tr>
      <w:tr w14:paraId="07394AD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72" w:type="pct"/>
            <w:shd w:val="clear" w:color="auto" w:fill="auto"/>
            <w:vAlign w:val="center"/>
          </w:tcPr>
          <w:p w14:paraId="5B40BC35">
            <w:pPr>
              <w:widowControl/>
              <w:adjustRightInd w:val="0"/>
              <w:snapToGrid w:val="0"/>
              <w:jc w:val="center"/>
              <w:rPr>
                <w:rFonts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31</w:t>
            </w:r>
          </w:p>
        </w:tc>
        <w:tc>
          <w:tcPr>
            <w:tcW w:w="819" w:type="pct"/>
            <w:vAlign w:val="center"/>
          </w:tcPr>
          <w:p w14:paraId="09BEFAA7">
            <w:pPr>
              <w:widowControl/>
              <w:adjustRightInd w:val="0"/>
              <w:snapToGrid w:val="0"/>
              <w:jc w:val="center"/>
              <w:rPr>
                <w:snapToGrid w:val="0"/>
                <w:color w:val="auto"/>
                <w:kern w:val="0"/>
                <w:szCs w:val="21"/>
                <w:highlight w:val="none"/>
              </w:rPr>
            </w:pPr>
            <w:r>
              <w:rPr>
                <w:snapToGrid w:val="0"/>
                <w:color w:val="auto"/>
                <w:kern w:val="0"/>
                <w:szCs w:val="21"/>
                <w:highlight w:val="none"/>
              </w:rPr>
              <w:t>六价铬</w:t>
            </w:r>
          </w:p>
        </w:tc>
        <w:tc>
          <w:tcPr>
            <w:tcW w:w="443" w:type="pct"/>
            <w:vAlign w:val="center"/>
          </w:tcPr>
          <w:p w14:paraId="4779B9DA">
            <w:pPr>
              <w:widowControl/>
              <w:adjustRightInd w:val="0"/>
              <w:snapToGrid w:val="0"/>
              <w:jc w:val="center"/>
              <w:rPr>
                <w:snapToGrid w:val="0"/>
                <w:color w:val="auto"/>
                <w:kern w:val="0"/>
                <w:szCs w:val="21"/>
                <w:highlight w:val="none"/>
              </w:rPr>
            </w:pPr>
            <w:r>
              <w:rPr>
                <w:snapToGrid w:val="0"/>
                <w:color w:val="auto"/>
                <w:kern w:val="0"/>
                <w:szCs w:val="21"/>
                <w:highlight w:val="none"/>
              </w:rPr>
              <w:t>mg/L</w:t>
            </w:r>
          </w:p>
        </w:tc>
        <w:tc>
          <w:tcPr>
            <w:tcW w:w="314" w:type="pct"/>
            <w:vAlign w:val="center"/>
          </w:tcPr>
          <w:p w14:paraId="2F5B0551">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194" w:type="pct"/>
            <w:vAlign w:val="center"/>
          </w:tcPr>
          <w:p w14:paraId="4CAC5C16">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357" w:type="pct"/>
            <w:vAlign w:val="center"/>
          </w:tcPr>
          <w:p w14:paraId="7136D7DE">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220" w:type="pct"/>
            <w:vAlign w:val="center"/>
          </w:tcPr>
          <w:p w14:paraId="7CB32EFC">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07" w:type="pct"/>
            <w:vAlign w:val="center"/>
          </w:tcPr>
          <w:p w14:paraId="70848934">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251" w:type="pct"/>
            <w:vAlign w:val="center"/>
          </w:tcPr>
          <w:p w14:paraId="5A38BDB9">
            <w:pPr>
              <w:widowControl/>
              <w:adjustRightInd w:val="0"/>
              <w:snapToGrid w:val="0"/>
              <w:jc w:val="center"/>
              <w:rPr>
                <w:snapToGrid w:val="0"/>
                <w:color w:val="auto"/>
                <w:kern w:val="0"/>
                <w:szCs w:val="21"/>
                <w:highlight w:val="none"/>
              </w:rPr>
            </w:pPr>
            <w:r>
              <w:rPr>
                <w:snapToGrid w:val="0"/>
                <w:color w:val="auto"/>
                <w:kern w:val="0"/>
                <w:szCs w:val="21"/>
                <w:highlight w:val="none"/>
              </w:rPr>
              <w:t>/</w:t>
            </w:r>
          </w:p>
        </w:tc>
        <w:tc>
          <w:tcPr>
            <w:tcW w:w="431" w:type="pct"/>
            <w:vAlign w:val="center"/>
          </w:tcPr>
          <w:p w14:paraId="1946BA78">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265" w:type="pct"/>
            <w:vAlign w:val="center"/>
          </w:tcPr>
          <w:p w14:paraId="5BF212F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331" w:type="pct"/>
            <w:vAlign w:val="center"/>
          </w:tcPr>
          <w:p w14:paraId="40CEC824">
            <w:pPr>
              <w:widowControl/>
              <w:adjustRightInd w:val="0"/>
              <w:snapToGrid w:val="0"/>
              <w:jc w:val="center"/>
              <w:rPr>
                <w:snapToGrid w:val="0"/>
                <w:color w:val="auto"/>
                <w:kern w:val="0"/>
                <w:szCs w:val="21"/>
                <w:highlight w:val="none"/>
              </w:rPr>
            </w:pPr>
            <w:r>
              <w:rPr>
                <w:snapToGrid w:val="0"/>
                <w:color w:val="auto"/>
                <w:kern w:val="0"/>
                <w:szCs w:val="21"/>
                <w:highlight w:val="none"/>
              </w:rPr>
              <w:t>＜0.004</w:t>
            </w:r>
          </w:p>
        </w:tc>
        <w:tc>
          <w:tcPr>
            <w:tcW w:w="203" w:type="pct"/>
            <w:vAlign w:val="center"/>
          </w:tcPr>
          <w:p w14:paraId="0FCF0DB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588" w:type="pct"/>
            <w:vAlign w:val="center"/>
          </w:tcPr>
          <w:p w14:paraId="483A41F2">
            <w:pPr>
              <w:widowControl/>
              <w:adjustRightInd w:val="0"/>
              <w:snapToGrid w:val="0"/>
              <w:jc w:val="center"/>
              <w:rPr>
                <w:snapToGrid w:val="0"/>
                <w:color w:val="auto"/>
                <w:kern w:val="0"/>
                <w:szCs w:val="21"/>
                <w:highlight w:val="none"/>
              </w:rPr>
            </w:pPr>
            <w:r>
              <w:rPr>
                <w:snapToGrid w:val="0"/>
                <w:color w:val="auto"/>
                <w:kern w:val="0"/>
                <w:szCs w:val="21"/>
                <w:highlight w:val="none"/>
              </w:rPr>
              <w:t>≤</w:t>
            </w:r>
            <w:r>
              <w:rPr>
                <w:rFonts w:hint="eastAsia"/>
                <w:snapToGrid w:val="0"/>
                <w:color w:val="auto"/>
                <w:kern w:val="0"/>
                <w:szCs w:val="21"/>
                <w:highlight w:val="none"/>
              </w:rPr>
              <w:t>0.05</w:t>
            </w:r>
          </w:p>
        </w:tc>
      </w:tr>
    </w:tbl>
    <w:p w14:paraId="727F6A3E">
      <w:pPr>
        <w:spacing w:line="460" w:lineRule="exact"/>
        <w:ind w:firstLine="480" w:firstLineChars="200"/>
        <w:rPr>
          <w:color w:val="auto"/>
          <w:sz w:val="24"/>
          <w:highlight w:val="none"/>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r>
        <w:rPr>
          <w:color w:val="auto"/>
          <w:sz w:val="24"/>
          <w:highlight w:val="none"/>
        </w:rPr>
        <w:t>由</w:t>
      </w:r>
      <w:r>
        <w:rPr>
          <w:rFonts w:hint="eastAsia"/>
          <w:color w:val="auto"/>
          <w:sz w:val="24"/>
          <w:highlight w:val="none"/>
        </w:rPr>
        <w:t>上表</w:t>
      </w:r>
      <w:r>
        <w:rPr>
          <w:color w:val="auto"/>
          <w:sz w:val="24"/>
          <w:highlight w:val="none"/>
        </w:rPr>
        <w:t>可知，各监测点各项因子均满足《地下水质量标准》（GB/T14848-2017）Ⅲ类标准</w:t>
      </w:r>
      <w:r>
        <w:rPr>
          <w:snapToGrid w:val="0"/>
          <w:color w:val="auto"/>
          <w:kern w:val="0"/>
          <w:sz w:val="24"/>
          <w:highlight w:val="none"/>
        </w:rPr>
        <w:t>，区域地下水环境质量</w:t>
      </w:r>
      <w:r>
        <w:rPr>
          <w:rFonts w:hint="eastAsia"/>
          <w:snapToGrid w:val="0"/>
          <w:color w:val="auto"/>
          <w:kern w:val="0"/>
          <w:sz w:val="24"/>
          <w:highlight w:val="none"/>
        </w:rPr>
        <w:t>良好。</w:t>
      </w:r>
    </w:p>
    <w:p w14:paraId="661DC1C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bookmarkStart w:id="104" w:name="_Toc307906803"/>
      <w:bookmarkStart w:id="105" w:name="_Toc268028079"/>
      <w:bookmarkStart w:id="106" w:name="_Toc266632117"/>
      <w:bookmarkStart w:id="107" w:name="_Toc272675203"/>
      <w:bookmarkStart w:id="108" w:name="_Toc258581462"/>
      <w:bookmarkStart w:id="109" w:name="_Toc263171248"/>
      <w:bookmarkStart w:id="110" w:name="_Toc276397129"/>
      <w:bookmarkStart w:id="111" w:name="_Toc253485714"/>
      <w:bookmarkStart w:id="112" w:name="_Toc181360265"/>
      <w:r>
        <w:rPr>
          <w:rFonts w:hint="eastAsia" w:ascii="宋体" w:hAnsi="宋体" w:eastAsia="宋体" w:cs="宋体"/>
          <w:b/>
          <w:bCs w:val="0"/>
          <w:snapToGrid w:val="0"/>
          <w:color w:val="auto"/>
          <w:spacing w:val="0"/>
          <w:w w:val="100"/>
          <w:kern w:val="0"/>
          <w:sz w:val="24"/>
          <w:szCs w:val="24"/>
          <w:highlight w:val="none"/>
          <w:lang w:val="en-US" w:eastAsia="zh-CN"/>
        </w:rPr>
        <w:t>5.3.3.6包气带</w:t>
      </w:r>
      <w:r>
        <w:rPr>
          <w:rFonts w:hint="eastAsia" w:ascii="Times New Roman" w:hAnsi="Times New Roman" w:eastAsia="宋体"/>
          <w:b/>
          <w:color w:val="auto"/>
          <w:sz w:val="24"/>
          <w:szCs w:val="24"/>
          <w:highlight w:val="none"/>
          <w:lang w:val="en-US" w:eastAsia="zh-CN"/>
        </w:rPr>
        <w:t>现状调查</w:t>
      </w:r>
    </w:p>
    <w:p w14:paraId="6952C0FB">
      <w:pPr>
        <w:spacing w:line="460" w:lineRule="exact"/>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（1）监测点位、监测因子及数据来源</w:t>
      </w:r>
    </w:p>
    <w:p w14:paraId="596E29A6">
      <w:pPr>
        <w:spacing w:line="460" w:lineRule="exact"/>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次包气带现状调查监测数据引用《凯赛（乌苏）生物材料有限公司年产20000吨LCDN项目生态环境影响报告书》中监测数据，引用数据共有6个包气带监测点位（1个背景点、5个可能存在污染地块），监测时间为2026年1月13日，监测单位为新疆点点星光检测技术有限公司。根据现有工程特征污染因子，包气带监测因子为pH、氨氮、硝酸盐、亚硝酸盐、总硬度、溶解性总固体、耗氧量、硫酸盐、氯化物、石油类、镍、铜。</w:t>
      </w:r>
    </w:p>
    <w:p w14:paraId="6F8A85CB">
      <w:pPr>
        <w:spacing w:line="460" w:lineRule="exact"/>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本项目包气带监测点位、监测因子情况见表5.4-9，包气带监测点位见图5.3-</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w:t>
      </w:r>
    </w:p>
    <w:p w14:paraId="6C56CFF5">
      <w:pPr>
        <w:pStyle w:val="412"/>
        <w:tabs>
          <w:tab w:val="left" w:pos="0"/>
          <w:tab w:val="clear" w:pos="6840"/>
        </w:tabs>
        <w:topLinePunct w:val="0"/>
        <w:adjustRightInd w:val="0"/>
        <w:spacing w:line="240" w:lineRule="auto"/>
        <w:ind w:left="0" w:firstLine="0" w:firstLineChars="0"/>
        <w:textAlignment w:val="center"/>
        <w:rPr>
          <w:rFonts w:hint="default" w:ascii="Times New Roman" w:hAnsi="Times New Roman" w:cs="Times New Roman"/>
          <w:snapToGrid w:val="0"/>
          <w:color w:val="auto"/>
          <w:kern w:val="0"/>
          <w:sz w:val="21"/>
          <w:szCs w:val="21"/>
          <w:highlight w:val="none"/>
          <w:lang w:val="en-US" w:eastAsia="zh-CN"/>
        </w:rPr>
      </w:pPr>
      <w:r>
        <w:rPr>
          <w:rFonts w:hint="eastAsia" w:ascii="Times New Roman" w:hAnsi="Times New Roman" w:cs="Times New Roman"/>
          <w:snapToGrid w:val="0"/>
          <w:color w:val="auto"/>
          <w:kern w:val="0"/>
          <w:sz w:val="21"/>
          <w:szCs w:val="21"/>
          <w:highlight w:val="none"/>
          <w:lang w:val="en-US" w:eastAsia="zh-CN"/>
        </w:rPr>
        <w:t>表5.3-12 本项目包气带监测点位、监测因子情况表</w:t>
      </w:r>
    </w:p>
    <w:tbl>
      <w:tblPr>
        <w:tblStyle w:val="5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540"/>
        <w:gridCol w:w="985"/>
        <w:gridCol w:w="1684"/>
        <w:gridCol w:w="1187"/>
        <w:gridCol w:w="1187"/>
        <w:gridCol w:w="1004"/>
        <w:gridCol w:w="1770"/>
      </w:tblGrid>
      <w:tr w14:paraId="7280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23" w:type="pct"/>
            <w:vAlign w:val="center"/>
          </w:tcPr>
          <w:p w14:paraId="03C133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序号</w:t>
            </w:r>
          </w:p>
        </w:tc>
        <w:tc>
          <w:tcPr>
            <w:tcW w:w="589" w:type="pct"/>
            <w:vAlign w:val="center"/>
          </w:tcPr>
          <w:p w14:paraId="1764FF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监测点名称</w:t>
            </w:r>
          </w:p>
        </w:tc>
        <w:tc>
          <w:tcPr>
            <w:tcW w:w="1007" w:type="pct"/>
            <w:tcBorders>
              <w:right w:val="single" w:color="auto" w:sz="4" w:space="0"/>
            </w:tcBorders>
            <w:vAlign w:val="center"/>
          </w:tcPr>
          <w:p w14:paraId="0D7264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点位坐标</w:t>
            </w:r>
          </w:p>
        </w:tc>
        <w:tc>
          <w:tcPr>
            <w:tcW w:w="710" w:type="pct"/>
            <w:vAlign w:val="center"/>
          </w:tcPr>
          <w:p w14:paraId="5AAEFF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作用</w:t>
            </w:r>
          </w:p>
        </w:tc>
        <w:tc>
          <w:tcPr>
            <w:tcW w:w="710" w:type="pct"/>
            <w:vAlign w:val="center"/>
          </w:tcPr>
          <w:p w14:paraId="2CFC2B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取样深度</w:t>
            </w:r>
          </w:p>
        </w:tc>
        <w:tc>
          <w:tcPr>
            <w:tcW w:w="600" w:type="pct"/>
            <w:vAlign w:val="center"/>
          </w:tcPr>
          <w:p w14:paraId="641F54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数据来源</w:t>
            </w:r>
          </w:p>
        </w:tc>
        <w:tc>
          <w:tcPr>
            <w:tcW w:w="1058" w:type="pct"/>
            <w:vAlign w:val="center"/>
          </w:tcPr>
          <w:p w14:paraId="2103FF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监测因子</w:t>
            </w:r>
          </w:p>
        </w:tc>
      </w:tr>
      <w:tr w14:paraId="69E0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23" w:type="pct"/>
            <w:tcBorders>
              <w:top w:val="single" w:color="auto" w:sz="4" w:space="0"/>
            </w:tcBorders>
            <w:vAlign w:val="center"/>
          </w:tcPr>
          <w:p w14:paraId="684069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w:t>
            </w:r>
          </w:p>
        </w:tc>
        <w:tc>
          <w:tcPr>
            <w:tcW w:w="589" w:type="pct"/>
            <w:tcBorders>
              <w:top w:val="single" w:color="auto" w:sz="4" w:space="0"/>
            </w:tcBorders>
            <w:vAlign w:val="center"/>
          </w:tcPr>
          <w:p w14:paraId="6D0A0E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全厂厂界东南角外侧</w:t>
            </w:r>
          </w:p>
        </w:tc>
        <w:tc>
          <w:tcPr>
            <w:tcW w:w="1007" w:type="pct"/>
            <w:tcBorders>
              <w:top w:val="single" w:color="auto" w:sz="4" w:space="0"/>
              <w:right w:val="single" w:color="auto" w:sz="4" w:space="0"/>
            </w:tcBorders>
            <w:vAlign w:val="center"/>
          </w:tcPr>
          <w:p w14:paraId="3D5264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E:84°17′20.93″</w:t>
            </w:r>
          </w:p>
          <w:p w14:paraId="506ED6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N:44°20′03.34″</w:t>
            </w:r>
          </w:p>
        </w:tc>
        <w:tc>
          <w:tcPr>
            <w:tcW w:w="710" w:type="pct"/>
            <w:tcBorders>
              <w:top w:val="single" w:color="auto" w:sz="4" w:space="0"/>
            </w:tcBorders>
            <w:vAlign w:val="center"/>
          </w:tcPr>
          <w:p w14:paraId="43AAA4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背景值</w:t>
            </w:r>
          </w:p>
        </w:tc>
        <w:tc>
          <w:tcPr>
            <w:tcW w:w="710" w:type="pct"/>
            <w:vMerge w:val="restart"/>
            <w:tcBorders>
              <w:top w:val="single" w:color="auto" w:sz="4" w:space="0"/>
            </w:tcBorders>
            <w:shd w:val="clear" w:color="auto" w:fill="auto"/>
            <w:vAlign w:val="center"/>
          </w:tcPr>
          <w:p w14:paraId="7E29C4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0~0.</w:t>
            </w:r>
            <w:r>
              <w:rPr>
                <w:rFonts w:hint="default" w:ascii="Times New Roman" w:hAnsi="Times New Roman" w:eastAsia="宋体" w:cs="Times New Roman"/>
                <w:snapToGrid w:val="0"/>
                <w:color w:val="auto"/>
                <w:kern w:val="0"/>
                <w:sz w:val="21"/>
                <w:szCs w:val="21"/>
                <w:highlight w:val="none"/>
                <w:lang w:val="en-US" w:eastAsia="zh-CN"/>
              </w:rPr>
              <w:t>2</w:t>
            </w:r>
            <w:r>
              <w:rPr>
                <w:rFonts w:hint="default" w:ascii="Times New Roman" w:hAnsi="Times New Roman" w:eastAsia="宋体" w:cs="Times New Roman"/>
                <w:snapToGrid w:val="0"/>
                <w:color w:val="auto"/>
                <w:kern w:val="0"/>
                <w:sz w:val="21"/>
                <w:szCs w:val="21"/>
                <w:highlight w:val="none"/>
              </w:rPr>
              <w:t>m、0.</w:t>
            </w:r>
            <w:r>
              <w:rPr>
                <w:rFonts w:hint="default" w:ascii="Times New Roman" w:hAnsi="Times New Roman" w:eastAsia="宋体" w:cs="Times New Roman"/>
                <w:snapToGrid w:val="0"/>
                <w:color w:val="auto"/>
                <w:kern w:val="0"/>
                <w:sz w:val="21"/>
                <w:szCs w:val="21"/>
                <w:highlight w:val="none"/>
                <w:lang w:val="en-US" w:eastAsia="zh-CN"/>
              </w:rPr>
              <w:t>2</w:t>
            </w:r>
            <w:r>
              <w:rPr>
                <w:rFonts w:hint="default" w:ascii="Times New Roman" w:hAnsi="Times New Roman" w:eastAsia="宋体" w:cs="Times New Roman"/>
                <w:snapToGrid w:val="0"/>
                <w:color w:val="auto"/>
                <w:kern w:val="0"/>
                <w:sz w:val="21"/>
                <w:szCs w:val="21"/>
                <w:highlight w:val="none"/>
              </w:rPr>
              <w:t>~1.</w:t>
            </w:r>
            <w:r>
              <w:rPr>
                <w:rFonts w:hint="default" w:ascii="Times New Roman" w:hAnsi="Times New Roman" w:eastAsia="宋体" w:cs="Times New Roman"/>
                <w:snapToGrid w:val="0"/>
                <w:color w:val="auto"/>
                <w:kern w:val="0"/>
                <w:sz w:val="21"/>
                <w:szCs w:val="21"/>
                <w:highlight w:val="none"/>
                <w:lang w:val="en-US" w:eastAsia="zh-CN"/>
              </w:rPr>
              <w:t>0</w:t>
            </w:r>
            <w:r>
              <w:rPr>
                <w:rFonts w:hint="default" w:ascii="Times New Roman" w:hAnsi="Times New Roman" w:eastAsia="宋体" w:cs="Times New Roman"/>
                <w:snapToGrid w:val="0"/>
                <w:color w:val="auto"/>
                <w:kern w:val="0"/>
                <w:sz w:val="21"/>
                <w:szCs w:val="21"/>
                <w:highlight w:val="none"/>
              </w:rPr>
              <w:t>m、1.</w:t>
            </w:r>
            <w:r>
              <w:rPr>
                <w:rFonts w:hint="default" w:ascii="Times New Roman" w:hAnsi="Times New Roman" w:eastAsia="宋体" w:cs="Times New Roman"/>
                <w:snapToGrid w:val="0"/>
                <w:color w:val="auto"/>
                <w:kern w:val="0"/>
                <w:sz w:val="21"/>
                <w:szCs w:val="21"/>
                <w:highlight w:val="none"/>
                <w:lang w:val="en-US" w:eastAsia="zh-CN"/>
              </w:rPr>
              <w:t>0</w:t>
            </w:r>
            <w:r>
              <w:rPr>
                <w:rFonts w:hint="default" w:ascii="Times New Roman" w:hAnsi="Times New Roman" w:eastAsia="宋体" w:cs="Times New Roman"/>
                <w:snapToGrid w:val="0"/>
                <w:color w:val="auto"/>
                <w:kern w:val="0"/>
                <w:sz w:val="21"/>
                <w:szCs w:val="21"/>
                <w:highlight w:val="none"/>
              </w:rPr>
              <w:t>~3m</w:t>
            </w:r>
          </w:p>
        </w:tc>
        <w:tc>
          <w:tcPr>
            <w:tcW w:w="600" w:type="pct"/>
            <w:vMerge w:val="restart"/>
            <w:tcBorders>
              <w:top w:val="single" w:color="auto" w:sz="4" w:space="0"/>
            </w:tcBorders>
            <w:vAlign w:val="center"/>
          </w:tcPr>
          <w:p w14:paraId="7DC0D5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引用数据</w:t>
            </w:r>
          </w:p>
        </w:tc>
        <w:tc>
          <w:tcPr>
            <w:tcW w:w="1058" w:type="pct"/>
            <w:vMerge w:val="restart"/>
            <w:tcBorders>
              <w:top w:val="single" w:color="auto" w:sz="4" w:space="0"/>
            </w:tcBorders>
            <w:vAlign w:val="center"/>
          </w:tcPr>
          <w:p w14:paraId="49F5A4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pH、氨氮、硝酸盐、亚硝酸盐、总硬度、溶解性总固体、耗氧量、硫酸盐、氯化物、石油类</w:t>
            </w:r>
            <w:r>
              <w:rPr>
                <w:rFonts w:hint="default" w:ascii="Times New Roman" w:hAnsi="Times New Roman" w:eastAsia="宋体"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lang w:val="en-US" w:eastAsia="zh-CN"/>
              </w:rPr>
              <w:t>镍、铜</w:t>
            </w:r>
          </w:p>
        </w:tc>
      </w:tr>
      <w:tr w14:paraId="6FDA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23" w:type="pct"/>
            <w:tcBorders>
              <w:top w:val="single" w:color="auto" w:sz="4" w:space="0"/>
            </w:tcBorders>
            <w:vAlign w:val="center"/>
          </w:tcPr>
          <w:p w14:paraId="57EDF8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w:t>
            </w:r>
          </w:p>
        </w:tc>
        <w:tc>
          <w:tcPr>
            <w:tcW w:w="589" w:type="pct"/>
            <w:tcBorders>
              <w:top w:val="single" w:color="auto" w:sz="4" w:space="0"/>
            </w:tcBorders>
            <w:vAlign w:val="center"/>
          </w:tcPr>
          <w:p w14:paraId="462745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现有工程淀粉生产装置附近</w:t>
            </w:r>
          </w:p>
        </w:tc>
        <w:tc>
          <w:tcPr>
            <w:tcW w:w="1007" w:type="pct"/>
            <w:tcBorders>
              <w:top w:val="single" w:color="auto" w:sz="4" w:space="0"/>
              <w:right w:val="single" w:color="auto" w:sz="4" w:space="0"/>
            </w:tcBorders>
            <w:vAlign w:val="center"/>
          </w:tcPr>
          <w:p w14:paraId="01966B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E:84°17′00.98″</w:t>
            </w:r>
          </w:p>
          <w:p w14:paraId="58FAF4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N:44°19′58.96″</w:t>
            </w:r>
          </w:p>
        </w:tc>
        <w:tc>
          <w:tcPr>
            <w:tcW w:w="710" w:type="pct"/>
            <w:vAlign w:val="center"/>
          </w:tcPr>
          <w:p w14:paraId="53F6BE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可能污染源区域</w:t>
            </w:r>
          </w:p>
        </w:tc>
        <w:tc>
          <w:tcPr>
            <w:tcW w:w="710" w:type="pct"/>
            <w:vMerge w:val="continue"/>
            <w:vAlign w:val="center"/>
          </w:tcPr>
          <w:p w14:paraId="787CED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00" w:type="pct"/>
            <w:vMerge w:val="continue"/>
            <w:vAlign w:val="center"/>
          </w:tcPr>
          <w:p w14:paraId="53C942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1058" w:type="pct"/>
            <w:vMerge w:val="continue"/>
            <w:vAlign w:val="center"/>
          </w:tcPr>
          <w:p w14:paraId="1EA46A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r>
      <w:tr w14:paraId="074C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323" w:type="pct"/>
            <w:tcBorders>
              <w:top w:val="single" w:color="auto" w:sz="4" w:space="0"/>
            </w:tcBorders>
            <w:vAlign w:val="center"/>
          </w:tcPr>
          <w:p w14:paraId="04F0CE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3#</w:t>
            </w:r>
          </w:p>
        </w:tc>
        <w:tc>
          <w:tcPr>
            <w:tcW w:w="589" w:type="pct"/>
            <w:tcBorders>
              <w:top w:val="single" w:color="auto" w:sz="4" w:space="0"/>
            </w:tcBorders>
            <w:vAlign w:val="center"/>
          </w:tcPr>
          <w:p w14:paraId="0B0752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现有工程发酵工艺附近</w:t>
            </w:r>
          </w:p>
        </w:tc>
        <w:tc>
          <w:tcPr>
            <w:tcW w:w="1007" w:type="pct"/>
            <w:tcBorders>
              <w:top w:val="single" w:color="auto" w:sz="4" w:space="0"/>
              <w:right w:val="single" w:color="auto" w:sz="4" w:space="0"/>
            </w:tcBorders>
            <w:vAlign w:val="center"/>
          </w:tcPr>
          <w:p w14:paraId="601E7E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E:84°16′46.27″</w:t>
            </w:r>
          </w:p>
          <w:p w14:paraId="7DC87B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N:44°20′10.91″</w:t>
            </w:r>
          </w:p>
        </w:tc>
        <w:tc>
          <w:tcPr>
            <w:tcW w:w="710" w:type="pct"/>
            <w:vAlign w:val="center"/>
          </w:tcPr>
          <w:p w14:paraId="4E80BC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可能污染源区域</w:t>
            </w:r>
          </w:p>
        </w:tc>
        <w:tc>
          <w:tcPr>
            <w:tcW w:w="710" w:type="pct"/>
            <w:vMerge w:val="continue"/>
            <w:vAlign w:val="center"/>
          </w:tcPr>
          <w:p w14:paraId="4B8005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00" w:type="pct"/>
            <w:vMerge w:val="continue"/>
            <w:vAlign w:val="center"/>
          </w:tcPr>
          <w:p w14:paraId="3AAE27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1058" w:type="pct"/>
            <w:vMerge w:val="continue"/>
            <w:vAlign w:val="center"/>
          </w:tcPr>
          <w:p w14:paraId="4295EA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r>
      <w:tr w14:paraId="2ACF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23" w:type="pct"/>
            <w:vAlign w:val="center"/>
          </w:tcPr>
          <w:p w14:paraId="05E33A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4</w:t>
            </w:r>
            <w:r>
              <w:rPr>
                <w:rFonts w:hint="default" w:ascii="Times New Roman" w:hAnsi="Times New Roman" w:eastAsia="宋体" w:cs="Times New Roman"/>
                <w:snapToGrid w:val="0"/>
                <w:color w:val="auto"/>
                <w:kern w:val="0"/>
                <w:sz w:val="21"/>
                <w:szCs w:val="21"/>
                <w:highlight w:val="none"/>
              </w:rPr>
              <w:t>#</w:t>
            </w:r>
          </w:p>
        </w:tc>
        <w:tc>
          <w:tcPr>
            <w:tcW w:w="589" w:type="pct"/>
            <w:vAlign w:val="center"/>
          </w:tcPr>
          <w:p w14:paraId="0FBC5D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现有工程聚酰胺生产装置附近</w:t>
            </w:r>
          </w:p>
        </w:tc>
        <w:tc>
          <w:tcPr>
            <w:tcW w:w="1007" w:type="pct"/>
            <w:tcBorders>
              <w:right w:val="single" w:color="auto" w:sz="4" w:space="0"/>
            </w:tcBorders>
            <w:vAlign w:val="center"/>
          </w:tcPr>
          <w:p w14:paraId="2474DE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E:84°16′53.48″</w:t>
            </w:r>
          </w:p>
          <w:p w14:paraId="24B546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de-DE"/>
              </w:rPr>
            </w:pPr>
            <w:r>
              <w:rPr>
                <w:rFonts w:hint="default" w:ascii="Times New Roman" w:hAnsi="Times New Roman" w:eastAsia="宋体" w:cs="Times New Roman"/>
                <w:snapToGrid w:val="0"/>
                <w:color w:val="auto"/>
                <w:kern w:val="0"/>
                <w:sz w:val="21"/>
                <w:szCs w:val="21"/>
                <w:highlight w:val="none"/>
                <w:lang w:val="en-US" w:eastAsia="zh-CN"/>
              </w:rPr>
              <w:t>N:44°20′23.86″</w:t>
            </w:r>
          </w:p>
        </w:tc>
        <w:tc>
          <w:tcPr>
            <w:tcW w:w="710" w:type="pct"/>
            <w:vAlign w:val="center"/>
          </w:tcPr>
          <w:p w14:paraId="2A9A6F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可能污染源区域</w:t>
            </w:r>
          </w:p>
        </w:tc>
        <w:tc>
          <w:tcPr>
            <w:tcW w:w="710" w:type="pct"/>
            <w:vMerge w:val="continue"/>
            <w:vAlign w:val="center"/>
          </w:tcPr>
          <w:p w14:paraId="62B571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00" w:type="pct"/>
            <w:vMerge w:val="continue"/>
            <w:vAlign w:val="center"/>
          </w:tcPr>
          <w:p w14:paraId="50A3D4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1058" w:type="pct"/>
            <w:vMerge w:val="continue"/>
            <w:vAlign w:val="center"/>
          </w:tcPr>
          <w:p w14:paraId="40F4A9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r>
      <w:tr w14:paraId="3C2E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23" w:type="pct"/>
            <w:vAlign w:val="center"/>
          </w:tcPr>
          <w:p w14:paraId="481247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5</w:t>
            </w:r>
            <w:r>
              <w:rPr>
                <w:rFonts w:hint="default" w:ascii="Times New Roman" w:hAnsi="Times New Roman" w:eastAsia="宋体" w:cs="Times New Roman"/>
                <w:snapToGrid w:val="0"/>
                <w:color w:val="auto"/>
                <w:kern w:val="0"/>
                <w:sz w:val="21"/>
                <w:szCs w:val="21"/>
                <w:highlight w:val="none"/>
              </w:rPr>
              <w:t>#</w:t>
            </w:r>
          </w:p>
        </w:tc>
        <w:tc>
          <w:tcPr>
            <w:tcW w:w="589" w:type="pct"/>
            <w:vAlign w:val="center"/>
          </w:tcPr>
          <w:p w14:paraId="507F04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现有工程哌啶生产装置附近</w:t>
            </w:r>
          </w:p>
        </w:tc>
        <w:tc>
          <w:tcPr>
            <w:tcW w:w="1007" w:type="pct"/>
            <w:tcBorders>
              <w:right w:val="single" w:color="auto" w:sz="4" w:space="0"/>
            </w:tcBorders>
            <w:vAlign w:val="center"/>
          </w:tcPr>
          <w:p w14:paraId="5A2719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E:84°16′37.62″</w:t>
            </w:r>
          </w:p>
          <w:p w14:paraId="30367D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de-DE" w:eastAsia="zh-CN"/>
              </w:rPr>
            </w:pPr>
            <w:r>
              <w:rPr>
                <w:rFonts w:hint="default" w:ascii="Times New Roman" w:hAnsi="Times New Roman" w:eastAsia="宋体" w:cs="Times New Roman"/>
                <w:snapToGrid w:val="0"/>
                <w:color w:val="auto"/>
                <w:kern w:val="0"/>
                <w:sz w:val="21"/>
                <w:szCs w:val="21"/>
                <w:highlight w:val="none"/>
                <w:lang w:val="en-US" w:eastAsia="zh-CN"/>
              </w:rPr>
              <w:t>N:44°20′22.35″</w:t>
            </w:r>
          </w:p>
        </w:tc>
        <w:tc>
          <w:tcPr>
            <w:tcW w:w="710" w:type="pct"/>
            <w:vAlign w:val="center"/>
          </w:tcPr>
          <w:p w14:paraId="00933C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可能污染源区域</w:t>
            </w:r>
          </w:p>
        </w:tc>
        <w:tc>
          <w:tcPr>
            <w:tcW w:w="710" w:type="pct"/>
            <w:vMerge w:val="continue"/>
            <w:vAlign w:val="center"/>
          </w:tcPr>
          <w:p w14:paraId="363053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600" w:type="pct"/>
            <w:vMerge w:val="continue"/>
            <w:vAlign w:val="center"/>
          </w:tcPr>
          <w:p w14:paraId="6C12EB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1058" w:type="pct"/>
            <w:vMerge w:val="continue"/>
            <w:vAlign w:val="center"/>
          </w:tcPr>
          <w:p w14:paraId="1231B0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r>
      <w:tr w14:paraId="6CBD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23" w:type="pct"/>
            <w:vAlign w:val="center"/>
          </w:tcPr>
          <w:p w14:paraId="5558DF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6#</w:t>
            </w:r>
          </w:p>
        </w:tc>
        <w:tc>
          <w:tcPr>
            <w:tcW w:w="589" w:type="pct"/>
            <w:vAlign w:val="center"/>
          </w:tcPr>
          <w:p w14:paraId="747497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现有工程污水处理站调节池附近</w:t>
            </w:r>
          </w:p>
        </w:tc>
        <w:tc>
          <w:tcPr>
            <w:tcW w:w="1007" w:type="pct"/>
            <w:tcBorders>
              <w:right w:val="single" w:color="auto" w:sz="4" w:space="0"/>
            </w:tcBorders>
            <w:vAlign w:val="center"/>
          </w:tcPr>
          <w:p w14:paraId="7DC0B3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E:84°16′24.52″</w:t>
            </w:r>
          </w:p>
          <w:p w14:paraId="6DD44E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N:44°20′33.08″</w:t>
            </w:r>
          </w:p>
        </w:tc>
        <w:tc>
          <w:tcPr>
            <w:tcW w:w="710" w:type="pct"/>
            <w:vAlign w:val="center"/>
          </w:tcPr>
          <w:p w14:paraId="3150C1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可能污染源区域</w:t>
            </w:r>
          </w:p>
        </w:tc>
        <w:tc>
          <w:tcPr>
            <w:tcW w:w="710" w:type="pct"/>
            <w:shd w:val="clear" w:color="auto" w:fill="auto"/>
            <w:vAlign w:val="center"/>
          </w:tcPr>
          <w:p w14:paraId="5D0613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0~0.</w:t>
            </w:r>
            <w:r>
              <w:rPr>
                <w:rFonts w:hint="default" w:ascii="Times New Roman" w:hAnsi="Times New Roman" w:eastAsia="宋体" w:cs="Times New Roman"/>
                <w:snapToGrid w:val="0"/>
                <w:color w:val="auto"/>
                <w:kern w:val="0"/>
                <w:sz w:val="21"/>
                <w:szCs w:val="21"/>
                <w:highlight w:val="none"/>
                <w:lang w:val="en-US" w:eastAsia="zh-CN"/>
              </w:rPr>
              <w:t>2</w:t>
            </w:r>
            <w:r>
              <w:rPr>
                <w:rFonts w:hint="default" w:ascii="Times New Roman" w:hAnsi="Times New Roman" w:eastAsia="宋体" w:cs="Times New Roman"/>
                <w:snapToGrid w:val="0"/>
                <w:color w:val="auto"/>
                <w:kern w:val="0"/>
                <w:sz w:val="21"/>
                <w:szCs w:val="21"/>
                <w:highlight w:val="none"/>
              </w:rPr>
              <w:t>m、0.</w:t>
            </w:r>
            <w:r>
              <w:rPr>
                <w:rFonts w:hint="default" w:ascii="Times New Roman" w:hAnsi="Times New Roman" w:eastAsia="宋体" w:cs="Times New Roman"/>
                <w:snapToGrid w:val="0"/>
                <w:color w:val="auto"/>
                <w:kern w:val="0"/>
                <w:sz w:val="21"/>
                <w:szCs w:val="21"/>
                <w:highlight w:val="none"/>
                <w:lang w:val="en-US" w:eastAsia="zh-CN"/>
              </w:rPr>
              <w:t>2</w:t>
            </w:r>
            <w:r>
              <w:rPr>
                <w:rFonts w:hint="default" w:ascii="Times New Roman" w:hAnsi="Times New Roman" w:eastAsia="宋体" w:cs="Times New Roman"/>
                <w:snapToGrid w:val="0"/>
                <w:color w:val="auto"/>
                <w:kern w:val="0"/>
                <w:sz w:val="21"/>
                <w:szCs w:val="21"/>
                <w:highlight w:val="none"/>
              </w:rPr>
              <w:t>~1.</w:t>
            </w:r>
            <w:r>
              <w:rPr>
                <w:rFonts w:hint="default" w:ascii="Times New Roman" w:hAnsi="Times New Roman" w:eastAsia="宋体" w:cs="Times New Roman"/>
                <w:snapToGrid w:val="0"/>
                <w:color w:val="auto"/>
                <w:kern w:val="0"/>
                <w:sz w:val="21"/>
                <w:szCs w:val="21"/>
                <w:highlight w:val="none"/>
                <w:lang w:val="en-US" w:eastAsia="zh-CN"/>
              </w:rPr>
              <w:t>0</w:t>
            </w:r>
            <w:r>
              <w:rPr>
                <w:rFonts w:hint="default" w:ascii="Times New Roman" w:hAnsi="Times New Roman" w:eastAsia="宋体" w:cs="Times New Roman"/>
                <w:snapToGrid w:val="0"/>
                <w:color w:val="auto"/>
                <w:kern w:val="0"/>
                <w:sz w:val="21"/>
                <w:szCs w:val="21"/>
                <w:highlight w:val="none"/>
              </w:rPr>
              <w:t>m、1.</w:t>
            </w:r>
            <w:r>
              <w:rPr>
                <w:rFonts w:hint="default" w:ascii="Times New Roman" w:hAnsi="Times New Roman" w:eastAsia="宋体" w:cs="Times New Roman"/>
                <w:snapToGrid w:val="0"/>
                <w:color w:val="auto"/>
                <w:kern w:val="0"/>
                <w:sz w:val="21"/>
                <w:szCs w:val="21"/>
                <w:highlight w:val="none"/>
                <w:lang w:val="en-US" w:eastAsia="zh-CN"/>
              </w:rPr>
              <w:t>0</w:t>
            </w:r>
            <w:r>
              <w:rPr>
                <w:rFonts w:hint="default" w:ascii="Times New Roman" w:hAnsi="Times New Roman" w:eastAsia="宋体" w:cs="Times New Roman"/>
                <w:snapToGrid w:val="0"/>
                <w:color w:val="auto"/>
                <w:kern w:val="0"/>
                <w:sz w:val="21"/>
                <w:szCs w:val="21"/>
                <w:highlight w:val="none"/>
              </w:rPr>
              <w:t>~3m、</w:t>
            </w:r>
            <w:r>
              <w:rPr>
                <w:rFonts w:hint="default" w:ascii="Times New Roman" w:hAnsi="Times New Roman" w:eastAsia="宋体" w:cs="Times New Roman"/>
                <w:snapToGrid w:val="0"/>
                <w:color w:val="auto"/>
                <w:kern w:val="0"/>
                <w:sz w:val="21"/>
                <w:szCs w:val="21"/>
                <w:highlight w:val="none"/>
                <w:lang w:val="en-US" w:eastAsia="zh-CN"/>
              </w:rPr>
              <w:t>4</w:t>
            </w:r>
            <w:r>
              <w:rPr>
                <w:rFonts w:hint="default" w:ascii="Times New Roman" w:hAnsi="Times New Roman" w:eastAsia="宋体" w:cs="Times New Roman"/>
                <w:snapToGrid w:val="0"/>
                <w:color w:val="auto"/>
                <w:kern w:val="0"/>
                <w:sz w:val="21"/>
                <w:szCs w:val="21"/>
                <w:highlight w:val="none"/>
              </w:rPr>
              <w:t>m</w:t>
            </w:r>
          </w:p>
        </w:tc>
        <w:tc>
          <w:tcPr>
            <w:tcW w:w="600" w:type="pct"/>
            <w:vMerge w:val="continue"/>
            <w:vAlign w:val="center"/>
          </w:tcPr>
          <w:p w14:paraId="636891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rPr>
            </w:pPr>
          </w:p>
        </w:tc>
        <w:tc>
          <w:tcPr>
            <w:tcW w:w="1058" w:type="pct"/>
            <w:vMerge w:val="continue"/>
            <w:vAlign w:val="center"/>
          </w:tcPr>
          <w:p w14:paraId="1B87B6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p>
        </w:tc>
      </w:tr>
    </w:tbl>
    <w:p w14:paraId="7043E1C9">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p w14:paraId="1F414BC2">
      <w:pPr>
        <w:widowControl/>
        <w:snapToGrid w:val="0"/>
        <w:spacing w:after="0" w:line="360" w:lineRule="auto"/>
        <w:ind w:left="0" w:leftChars="0" w:firstLine="480" w:firstLineChars="200"/>
        <w:jc w:val="both"/>
        <w:rPr>
          <w:rFonts w:hint="default" w:ascii="Times New Roman" w:hAnsi="Times New Roman" w:eastAsia="宋体" w:cs="Times New Roman"/>
          <w:color w:val="auto"/>
          <w:kern w:val="0"/>
          <w:sz w:val="24"/>
          <w:szCs w:val="21"/>
          <w:highlight w:val="none"/>
          <w:lang w:val="en-US" w:eastAsia="zh-CN" w:bidi="ar-SA"/>
        </w:rPr>
      </w:pPr>
      <w:r>
        <w:rPr>
          <w:rFonts w:hint="eastAsia" w:ascii="Times New Roman" w:hAnsi="Times New Roman" w:eastAsia="宋体" w:cs="Times New Roman"/>
          <w:color w:val="auto"/>
          <w:kern w:val="0"/>
          <w:sz w:val="24"/>
          <w:szCs w:val="21"/>
          <w:highlight w:val="none"/>
          <w:lang w:val="en-US" w:eastAsia="zh-CN" w:bidi="ar-SA"/>
        </w:rPr>
        <w:t>（2）包气带监测结果</w:t>
      </w:r>
    </w:p>
    <w:p w14:paraId="418BAF6A">
      <w:pPr>
        <w:widowControl/>
        <w:snapToGrid w:val="0"/>
        <w:spacing w:after="0" w:line="360" w:lineRule="auto"/>
        <w:ind w:left="0" w:leftChars="0" w:firstLine="480" w:firstLineChars="200"/>
        <w:jc w:val="both"/>
        <w:rPr>
          <w:rFonts w:hint="eastAsia" w:ascii="Times New Roman" w:hAnsi="Times New Roman" w:eastAsia="宋体" w:cs="Times New Roman"/>
          <w:color w:val="auto"/>
          <w:kern w:val="0"/>
          <w:sz w:val="24"/>
          <w:szCs w:val="21"/>
          <w:highlight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color w:val="auto"/>
          <w:kern w:val="0"/>
          <w:sz w:val="24"/>
          <w:szCs w:val="21"/>
          <w:highlight w:val="none"/>
          <w:lang w:val="en-US" w:eastAsia="zh-CN" w:bidi="ar-SA"/>
        </w:rPr>
        <w:t>本项目包气带监测结果见表5.3-13。</w:t>
      </w:r>
    </w:p>
    <w:p w14:paraId="5A9FDE02">
      <w:pPr>
        <w:pStyle w:val="412"/>
        <w:tabs>
          <w:tab w:val="left" w:pos="0"/>
          <w:tab w:val="clear" w:pos="6840"/>
        </w:tabs>
        <w:topLinePunct w:val="0"/>
        <w:adjustRightInd w:val="0"/>
        <w:spacing w:line="240" w:lineRule="auto"/>
        <w:ind w:left="0" w:firstLine="0" w:firstLineChars="0"/>
        <w:textAlignment w:val="center"/>
        <w:rPr>
          <w:rFonts w:hint="default" w:ascii="Times New Roman" w:hAnsi="Times New Roman" w:cs="Times New Roman"/>
          <w:snapToGrid w:val="0"/>
          <w:color w:val="auto"/>
          <w:kern w:val="0"/>
          <w:sz w:val="21"/>
          <w:szCs w:val="21"/>
          <w:highlight w:val="none"/>
          <w:lang w:val="en-US" w:eastAsia="zh-CN"/>
        </w:rPr>
      </w:pPr>
      <w:r>
        <w:rPr>
          <w:rFonts w:hint="eastAsia" w:ascii="Times New Roman" w:hAnsi="Times New Roman" w:cs="Times New Roman"/>
          <w:snapToGrid w:val="0"/>
          <w:color w:val="auto"/>
          <w:kern w:val="0"/>
          <w:sz w:val="21"/>
          <w:szCs w:val="21"/>
          <w:highlight w:val="none"/>
          <w:lang w:val="en-US" w:eastAsia="zh-CN"/>
        </w:rPr>
        <w:t>表5.3-13 本项目包气带监测结果一览表</w:t>
      </w:r>
    </w:p>
    <w:tbl>
      <w:tblPr>
        <w:tblStyle w:val="56"/>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15" w:type="dxa"/>
          <w:left w:w="15" w:type="dxa"/>
          <w:bottom w:w="15" w:type="dxa"/>
          <w:right w:w="15" w:type="dxa"/>
        </w:tblCellMar>
      </w:tblPr>
      <w:tblGrid>
        <w:gridCol w:w="668"/>
        <w:gridCol w:w="791"/>
        <w:gridCol w:w="545"/>
        <w:gridCol w:w="584"/>
        <w:gridCol w:w="473"/>
        <w:gridCol w:w="653"/>
        <w:gridCol w:w="519"/>
        <w:gridCol w:w="519"/>
        <w:gridCol w:w="511"/>
        <w:gridCol w:w="511"/>
        <w:gridCol w:w="487"/>
        <w:gridCol w:w="497"/>
        <w:gridCol w:w="520"/>
        <w:gridCol w:w="509"/>
        <w:gridCol w:w="682"/>
      </w:tblGrid>
      <w:tr w14:paraId="3E2D7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noWrap w:val="0"/>
            <w:tcMar>
              <w:top w:w="57" w:type="dxa"/>
              <w:left w:w="85" w:type="dxa"/>
              <w:bottom w:w="57" w:type="dxa"/>
              <w:right w:w="85" w:type="dxa"/>
            </w:tcMar>
            <w:vAlign w:val="center"/>
          </w:tcPr>
          <w:p w14:paraId="4E5A0F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采样时间</w:t>
            </w:r>
          </w:p>
        </w:tc>
        <w:tc>
          <w:tcPr>
            <w:tcW w:w="466" w:type="pct"/>
            <w:noWrap w:val="0"/>
            <w:tcMar>
              <w:top w:w="57" w:type="dxa"/>
              <w:left w:w="85" w:type="dxa"/>
              <w:bottom w:w="57" w:type="dxa"/>
              <w:right w:w="85" w:type="dxa"/>
            </w:tcMar>
            <w:vAlign w:val="center"/>
          </w:tcPr>
          <w:p w14:paraId="228BCF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采样点位</w:t>
            </w:r>
          </w:p>
        </w:tc>
        <w:tc>
          <w:tcPr>
            <w:tcW w:w="322" w:type="pct"/>
            <w:noWrap w:val="0"/>
            <w:tcMar>
              <w:top w:w="57" w:type="dxa"/>
              <w:left w:w="85" w:type="dxa"/>
              <w:bottom w:w="57" w:type="dxa"/>
              <w:right w:w="85" w:type="dxa"/>
            </w:tcMar>
            <w:vAlign w:val="center"/>
          </w:tcPr>
          <w:p w14:paraId="2A608CB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取样深度（cm）</w:t>
            </w:r>
          </w:p>
        </w:tc>
        <w:tc>
          <w:tcPr>
            <w:tcW w:w="344" w:type="pct"/>
            <w:noWrap w:val="0"/>
            <w:tcMar>
              <w:top w:w="57" w:type="dxa"/>
              <w:left w:w="85" w:type="dxa"/>
              <w:bottom w:w="57" w:type="dxa"/>
              <w:right w:w="85" w:type="dxa"/>
            </w:tcMar>
            <w:vAlign w:val="center"/>
          </w:tcPr>
          <w:p w14:paraId="73CC4EC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pH值</w:t>
            </w:r>
          </w:p>
          <w:p w14:paraId="3C24D9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（无量纲）</w:t>
            </w:r>
          </w:p>
        </w:tc>
        <w:tc>
          <w:tcPr>
            <w:tcW w:w="279" w:type="pct"/>
            <w:noWrap w:val="0"/>
            <w:tcMar>
              <w:top w:w="57" w:type="dxa"/>
              <w:left w:w="85" w:type="dxa"/>
              <w:bottom w:w="57" w:type="dxa"/>
              <w:right w:w="85" w:type="dxa"/>
            </w:tcMar>
            <w:vAlign w:val="center"/>
          </w:tcPr>
          <w:p w14:paraId="1A66C7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氨氮</w:t>
            </w:r>
            <w:r>
              <w:rPr>
                <w:rFonts w:hint="default" w:ascii="Times New Roman" w:hAnsi="Times New Roman" w:eastAsia="宋体" w:cs="Times New Roman"/>
                <w:b w:val="0"/>
                <w:bCs w:val="0"/>
                <w:snapToGrid w:val="0"/>
                <w:color w:val="auto"/>
                <w:kern w:val="0"/>
                <w:sz w:val="21"/>
                <w:szCs w:val="21"/>
                <w:highlight w:val="none"/>
              </w:rPr>
              <w:t>(mg/L)</w:t>
            </w:r>
          </w:p>
        </w:tc>
        <w:tc>
          <w:tcPr>
            <w:tcW w:w="385" w:type="pct"/>
            <w:noWrap w:val="0"/>
            <w:tcMar>
              <w:top w:w="57" w:type="dxa"/>
              <w:left w:w="85" w:type="dxa"/>
              <w:bottom w:w="57" w:type="dxa"/>
              <w:right w:w="85" w:type="dxa"/>
            </w:tcMar>
            <w:vAlign w:val="center"/>
          </w:tcPr>
          <w:p w14:paraId="2D9BA78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硝酸盐氮</w:t>
            </w:r>
            <w:r>
              <w:rPr>
                <w:rFonts w:hint="default" w:ascii="Times New Roman" w:hAnsi="Times New Roman" w:eastAsia="宋体" w:cs="Times New Roman"/>
                <w:b w:val="0"/>
                <w:bCs w:val="0"/>
                <w:snapToGrid w:val="0"/>
                <w:color w:val="auto"/>
                <w:kern w:val="0"/>
                <w:sz w:val="21"/>
                <w:szCs w:val="21"/>
                <w:highlight w:val="none"/>
              </w:rPr>
              <w:t>(mg/L)</w:t>
            </w:r>
          </w:p>
        </w:tc>
        <w:tc>
          <w:tcPr>
            <w:tcW w:w="306" w:type="pct"/>
            <w:noWrap w:val="0"/>
            <w:tcMar>
              <w:top w:w="57" w:type="dxa"/>
              <w:left w:w="85" w:type="dxa"/>
              <w:bottom w:w="57" w:type="dxa"/>
              <w:right w:w="85" w:type="dxa"/>
            </w:tcMar>
            <w:vAlign w:val="center"/>
          </w:tcPr>
          <w:p w14:paraId="7FB3E6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亚硝酸盐氮</w:t>
            </w:r>
            <w:r>
              <w:rPr>
                <w:rFonts w:hint="default" w:ascii="Times New Roman" w:hAnsi="Times New Roman" w:eastAsia="宋体" w:cs="Times New Roman"/>
                <w:b w:val="0"/>
                <w:bCs w:val="0"/>
                <w:snapToGrid w:val="0"/>
                <w:color w:val="auto"/>
                <w:kern w:val="0"/>
                <w:sz w:val="21"/>
                <w:szCs w:val="21"/>
                <w:highlight w:val="none"/>
              </w:rPr>
              <w:t>(mg/L)</w:t>
            </w:r>
          </w:p>
        </w:tc>
        <w:tc>
          <w:tcPr>
            <w:tcW w:w="306" w:type="pct"/>
            <w:noWrap w:val="0"/>
            <w:tcMar>
              <w:top w:w="57" w:type="dxa"/>
              <w:left w:w="85" w:type="dxa"/>
              <w:bottom w:w="57" w:type="dxa"/>
              <w:right w:w="85" w:type="dxa"/>
            </w:tcMar>
            <w:vAlign w:val="center"/>
          </w:tcPr>
          <w:p w14:paraId="228EA8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总硬度</w:t>
            </w:r>
            <w:r>
              <w:rPr>
                <w:rFonts w:hint="default" w:ascii="Times New Roman" w:hAnsi="Times New Roman" w:eastAsia="宋体" w:cs="Times New Roman"/>
                <w:b w:val="0"/>
                <w:bCs w:val="0"/>
                <w:snapToGrid w:val="0"/>
                <w:color w:val="auto"/>
                <w:kern w:val="0"/>
                <w:sz w:val="21"/>
                <w:szCs w:val="21"/>
                <w:highlight w:val="none"/>
              </w:rPr>
              <w:t>(mg/L)</w:t>
            </w:r>
          </w:p>
        </w:tc>
        <w:tc>
          <w:tcPr>
            <w:tcW w:w="301" w:type="pct"/>
            <w:noWrap w:val="0"/>
            <w:tcMar>
              <w:top w:w="57" w:type="dxa"/>
              <w:left w:w="85" w:type="dxa"/>
              <w:bottom w:w="57" w:type="dxa"/>
              <w:right w:w="85" w:type="dxa"/>
            </w:tcMar>
            <w:vAlign w:val="center"/>
          </w:tcPr>
          <w:p w14:paraId="0C59BCB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溶解性固体</w:t>
            </w:r>
            <w:r>
              <w:rPr>
                <w:rFonts w:hint="default" w:ascii="Times New Roman" w:hAnsi="Times New Roman" w:eastAsia="宋体" w:cs="Times New Roman"/>
                <w:b w:val="0"/>
                <w:bCs w:val="0"/>
                <w:snapToGrid w:val="0"/>
                <w:color w:val="auto"/>
                <w:kern w:val="0"/>
                <w:sz w:val="21"/>
                <w:szCs w:val="21"/>
                <w:highlight w:val="none"/>
              </w:rPr>
              <w:t>(mg/L)</w:t>
            </w:r>
          </w:p>
        </w:tc>
        <w:tc>
          <w:tcPr>
            <w:tcW w:w="301" w:type="pct"/>
            <w:noWrap w:val="0"/>
            <w:tcMar>
              <w:top w:w="57" w:type="dxa"/>
              <w:left w:w="85" w:type="dxa"/>
              <w:bottom w:w="57" w:type="dxa"/>
              <w:right w:w="85" w:type="dxa"/>
            </w:tcMar>
            <w:vAlign w:val="center"/>
          </w:tcPr>
          <w:p w14:paraId="44DD5C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高锰酸盐指数</w:t>
            </w:r>
            <w:r>
              <w:rPr>
                <w:rFonts w:hint="default" w:ascii="Times New Roman" w:hAnsi="Times New Roman" w:eastAsia="宋体" w:cs="Times New Roman"/>
                <w:b w:val="0"/>
                <w:bCs w:val="0"/>
                <w:snapToGrid w:val="0"/>
                <w:color w:val="auto"/>
                <w:kern w:val="0"/>
                <w:sz w:val="21"/>
                <w:szCs w:val="21"/>
                <w:highlight w:val="none"/>
              </w:rPr>
              <w:t>(mg/L)</w:t>
            </w:r>
          </w:p>
        </w:tc>
        <w:tc>
          <w:tcPr>
            <w:tcW w:w="287" w:type="pct"/>
            <w:noWrap w:val="0"/>
            <w:tcMar>
              <w:top w:w="57" w:type="dxa"/>
              <w:left w:w="85" w:type="dxa"/>
              <w:bottom w:w="57" w:type="dxa"/>
              <w:right w:w="85" w:type="dxa"/>
            </w:tcMar>
            <w:vAlign w:val="center"/>
          </w:tcPr>
          <w:p w14:paraId="1CD9455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硫酸盐</w:t>
            </w:r>
          </w:p>
          <w:p w14:paraId="6452A95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(mg/L)</w:t>
            </w:r>
          </w:p>
        </w:tc>
        <w:tc>
          <w:tcPr>
            <w:tcW w:w="293" w:type="pct"/>
            <w:noWrap w:val="0"/>
            <w:tcMar>
              <w:top w:w="57" w:type="dxa"/>
              <w:left w:w="85" w:type="dxa"/>
              <w:bottom w:w="57" w:type="dxa"/>
              <w:right w:w="85" w:type="dxa"/>
            </w:tcMar>
            <w:vAlign w:val="center"/>
          </w:tcPr>
          <w:p w14:paraId="0BEBBE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氯化物</w:t>
            </w:r>
            <w:r>
              <w:rPr>
                <w:rFonts w:hint="default" w:ascii="Times New Roman" w:hAnsi="Times New Roman" w:eastAsia="宋体" w:cs="Times New Roman"/>
                <w:b w:val="0"/>
                <w:bCs w:val="0"/>
                <w:snapToGrid w:val="0"/>
                <w:color w:val="auto"/>
                <w:kern w:val="0"/>
                <w:sz w:val="21"/>
                <w:szCs w:val="21"/>
                <w:highlight w:val="none"/>
              </w:rPr>
              <w:t>(mg/L)</w:t>
            </w:r>
          </w:p>
        </w:tc>
        <w:tc>
          <w:tcPr>
            <w:tcW w:w="307" w:type="pct"/>
            <w:noWrap w:val="0"/>
            <w:tcMar>
              <w:top w:w="57" w:type="dxa"/>
              <w:left w:w="85" w:type="dxa"/>
              <w:bottom w:w="57" w:type="dxa"/>
              <w:right w:w="85" w:type="dxa"/>
            </w:tcMar>
            <w:vAlign w:val="center"/>
          </w:tcPr>
          <w:p w14:paraId="2ADE43F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石油类</w:t>
            </w:r>
            <w:r>
              <w:rPr>
                <w:rFonts w:hint="default" w:ascii="Times New Roman" w:hAnsi="Times New Roman" w:eastAsia="宋体" w:cs="Times New Roman"/>
                <w:b w:val="0"/>
                <w:bCs w:val="0"/>
                <w:snapToGrid w:val="0"/>
                <w:color w:val="auto"/>
                <w:kern w:val="0"/>
                <w:sz w:val="21"/>
                <w:szCs w:val="21"/>
                <w:highlight w:val="none"/>
              </w:rPr>
              <w:t>(mg/L)</w:t>
            </w:r>
          </w:p>
        </w:tc>
        <w:tc>
          <w:tcPr>
            <w:tcW w:w="300" w:type="pct"/>
            <w:noWrap w:val="0"/>
            <w:tcMar>
              <w:top w:w="57" w:type="dxa"/>
              <w:left w:w="85" w:type="dxa"/>
              <w:bottom w:w="57" w:type="dxa"/>
              <w:right w:w="85" w:type="dxa"/>
            </w:tcMar>
            <w:vAlign w:val="center"/>
          </w:tcPr>
          <w:p w14:paraId="4E1684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镍</w:t>
            </w:r>
            <w:r>
              <w:rPr>
                <w:rFonts w:hint="default" w:ascii="Times New Roman" w:hAnsi="Times New Roman" w:eastAsia="宋体" w:cs="Times New Roman"/>
                <w:b w:val="0"/>
                <w:bCs w:val="0"/>
                <w:snapToGrid w:val="0"/>
                <w:color w:val="auto"/>
                <w:kern w:val="0"/>
                <w:sz w:val="21"/>
                <w:szCs w:val="21"/>
                <w:highlight w:val="none"/>
              </w:rPr>
              <w:t>(mg/L)</w:t>
            </w:r>
          </w:p>
        </w:tc>
        <w:tc>
          <w:tcPr>
            <w:tcW w:w="402" w:type="pct"/>
            <w:noWrap w:val="0"/>
            <w:tcMar>
              <w:top w:w="57" w:type="dxa"/>
              <w:left w:w="85" w:type="dxa"/>
              <w:bottom w:w="57" w:type="dxa"/>
              <w:right w:w="85" w:type="dxa"/>
            </w:tcMar>
            <w:vAlign w:val="center"/>
          </w:tcPr>
          <w:p w14:paraId="5852923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铜</w:t>
            </w:r>
            <w:r>
              <w:rPr>
                <w:rFonts w:hint="default" w:ascii="Times New Roman" w:hAnsi="Times New Roman" w:eastAsia="宋体" w:cs="Times New Roman"/>
                <w:b w:val="0"/>
                <w:bCs w:val="0"/>
                <w:snapToGrid w:val="0"/>
                <w:color w:val="auto"/>
                <w:kern w:val="0"/>
                <w:sz w:val="21"/>
                <w:szCs w:val="21"/>
                <w:highlight w:val="none"/>
              </w:rPr>
              <w:t>(mg/L)</w:t>
            </w:r>
          </w:p>
        </w:tc>
      </w:tr>
      <w:tr w14:paraId="65982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restart"/>
            <w:noWrap w:val="0"/>
            <w:tcMar>
              <w:top w:w="57" w:type="dxa"/>
              <w:left w:w="85" w:type="dxa"/>
              <w:bottom w:w="57" w:type="dxa"/>
              <w:right w:w="85" w:type="dxa"/>
            </w:tcMar>
            <w:vAlign w:val="center"/>
          </w:tcPr>
          <w:p w14:paraId="3338EB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rPr>
              <w:t>202</w:t>
            </w:r>
            <w:r>
              <w:rPr>
                <w:rFonts w:hint="eastAsia" w:ascii="Times New Roman" w:hAnsi="Times New Roman" w:eastAsia="宋体" w:cs="Times New Roman"/>
                <w:b w:val="0"/>
                <w:bCs w:val="0"/>
                <w:snapToGrid w:val="0"/>
                <w:color w:val="auto"/>
                <w:kern w:val="0"/>
                <w:sz w:val="21"/>
                <w:szCs w:val="21"/>
                <w:highlight w:val="none"/>
                <w:lang w:val="en-US" w:eastAsia="zh-CN"/>
              </w:rPr>
              <w:t>6.01.13</w:t>
            </w:r>
          </w:p>
        </w:tc>
        <w:tc>
          <w:tcPr>
            <w:tcW w:w="466" w:type="pct"/>
            <w:vMerge w:val="restart"/>
            <w:noWrap w:val="0"/>
            <w:tcMar>
              <w:top w:w="57" w:type="dxa"/>
              <w:left w:w="85" w:type="dxa"/>
              <w:bottom w:w="57" w:type="dxa"/>
              <w:right w:w="85" w:type="dxa"/>
            </w:tcMar>
            <w:vAlign w:val="center"/>
          </w:tcPr>
          <w:p w14:paraId="198DC22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1#全厂厂界东南角外侧</w:t>
            </w:r>
          </w:p>
        </w:tc>
        <w:tc>
          <w:tcPr>
            <w:tcW w:w="322" w:type="pct"/>
            <w:noWrap w:val="0"/>
            <w:tcMar>
              <w:top w:w="57" w:type="dxa"/>
              <w:left w:w="85" w:type="dxa"/>
              <w:bottom w:w="57" w:type="dxa"/>
              <w:right w:w="85" w:type="dxa"/>
            </w:tcMar>
            <w:vAlign w:val="center"/>
          </w:tcPr>
          <w:p w14:paraId="1D139C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0~</w:t>
            </w:r>
            <w:r>
              <w:rPr>
                <w:rFonts w:hint="default" w:ascii="Times New Roman" w:hAnsi="Times New Roman" w:eastAsia="宋体" w:cs="Times New Roman"/>
                <w:b w:val="0"/>
                <w:bCs w:val="0"/>
                <w:snapToGrid w:val="0"/>
                <w:color w:val="auto"/>
                <w:kern w:val="0"/>
                <w:sz w:val="21"/>
                <w:szCs w:val="21"/>
                <w:highlight w:val="none"/>
              </w:rPr>
              <w:t>20</w:t>
            </w:r>
          </w:p>
        </w:tc>
        <w:tc>
          <w:tcPr>
            <w:tcW w:w="344" w:type="pct"/>
            <w:noWrap w:val="0"/>
            <w:tcMar>
              <w:top w:w="57" w:type="dxa"/>
              <w:left w:w="85" w:type="dxa"/>
              <w:bottom w:w="57" w:type="dxa"/>
              <w:right w:w="85" w:type="dxa"/>
            </w:tcMar>
            <w:vAlign w:val="center"/>
          </w:tcPr>
          <w:p w14:paraId="43ADA4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7.7</w:t>
            </w:r>
          </w:p>
        </w:tc>
        <w:tc>
          <w:tcPr>
            <w:tcW w:w="279" w:type="pct"/>
            <w:noWrap w:val="0"/>
            <w:tcMar>
              <w:top w:w="57" w:type="dxa"/>
              <w:left w:w="85" w:type="dxa"/>
              <w:bottom w:w="57" w:type="dxa"/>
              <w:right w:w="85" w:type="dxa"/>
            </w:tcMar>
            <w:vAlign w:val="center"/>
          </w:tcPr>
          <w:p w14:paraId="6F3DF77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1.73</w:t>
            </w:r>
          </w:p>
        </w:tc>
        <w:tc>
          <w:tcPr>
            <w:tcW w:w="385" w:type="pct"/>
            <w:noWrap w:val="0"/>
            <w:tcMar>
              <w:top w:w="57" w:type="dxa"/>
              <w:left w:w="85" w:type="dxa"/>
              <w:bottom w:w="57" w:type="dxa"/>
              <w:right w:w="85" w:type="dxa"/>
            </w:tcMar>
            <w:vAlign w:val="center"/>
          </w:tcPr>
          <w:p w14:paraId="46023A4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1.52</w:t>
            </w:r>
          </w:p>
        </w:tc>
        <w:tc>
          <w:tcPr>
            <w:tcW w:w="306" w:type="pct"/>
            <w:noWrap w:val="0"/>
            <w:tcMar>
              <w:top w:w="57" w:type="dxa"/>
              <w:left w:w="85" w:type="dxa"/>
              <w:bottom w:w="57" w:type="dxa"/>
              <w:right w:w="85" w:type="dxa"/>
            </w:tcMar>
            <w:vAlign w:val="center"/>
          </w:tcPr>
          <w:p w14:paraId="0B2124E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0BDA3A9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448</w:t>
            </w:r>
          </w:p>
        </w:tc>
        <w:tc>
          <w:tcPr>
            <w:tcW w:w="301" w:type="pct"/>
            <w:noWrap w:val="0"/>
            <w:tcMar>
              <w:top w:w="57" w:type="dxa"/>
              <w:left w:w="85" w:type="dxa"/>
              <w:bottom w:w="57" w:type="dxa"/>
              <w:right w:w="85" w:type="dxa"/>
            </w:tcMar>
            <w:vAlign w:val="center"/>
          </w:tcPr>
          <w:p w14:paraId="05DDFE1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1276</w:t>
            </w:r>
          </w:p>
        </w:tc>
        <w:tc>
          <w:tcPr>
            <w:tcW w:w="301" w:type="pct"/>
            <w:noWrap w:val="0"/>
            <w:tcMar>
              <w:top w:w="57" w:type="dxa"/>
              <w:left w:w="85" w:type="dxa"/>
              <w:bottom w:w="57" w:type="dxa"/>
              <w:right w:w="85" w:type="dxa"/>
            </w:tcMar>
            <w:vAlign w:val="center"/>
          </w:tcPr>
          <w:p w14:paraId="493306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1.34</w:t>
            </w:r>
          </w:p>
        </w:tc>
        <w:tc>
          <w:tcPr>
            <w:tcW w:w="287" w:type="pct"/>
            <w:noWrap w:val="0"/>
            <w:tcMar>
              <w:top w:w="57" w:type="dxa"/>
              <w:left w:w="85" w:type="dxa"/>
              <w:bottom w:w="57" w:type="dxa"/>
              <w:right w:w="85" w:type="dxa"/>
            </w:tcMar>
            <w:vAlign w:val="center"/>
          </w:tcPr>
          <w:p w14:paraId="39B876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267</w:t>
            </w:r>
          </w:p>
        </w:tc>
        <w:tc>
          <w:tcPr>
            <w:tcW w:w="293" w:type="pct"/>
            <w:noWrap w:val="0"/>
            <w:tcMar>
              <w:top w:w="57" w:type="dxa"/>
              <w:left w:w="85" w:type="dxa"/>
              <w:bottom w:w="57" w:type="dxa"/>
              <w:right w:w="85" w:type="dxa"/>
            </w:tcMar>
            <w:vAlign w:val="center"/>
          </w:tcPr>
          <w:p w14:paraId="486152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164</w:t>
            </w:r>
          </w:p>
        </w:tc>
        <w:tc>
          <w:tcPr>
            <w:tcW w:w="307" w:type="pct"/>
            <w:noWrap w:val="0"/>
            <w:tcMar>
              <w:top w:w="57" w:type="dxa"/>
              <w:left w:w="85" w:type="dxa"/>
              <w:bottom w:w="57" w:type="dxa"/>
              <w:right w:w="85" w:type="dxa"/>
            </w:tcMar>
            <w:vAlign w:val="center"/>
          </w:tcPr>
          <w:p w14:paraId="3C792CB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1.43</w:t>
            </w:r>
          </w:p>
        </w:tc>
        <w:tc>
          <w:tcPr>
            <w:tcW w:w="300" w:type="pct"/>
            <w:noWrap w:val="0"/>
            <w:tcMar>
              <w:top w:w="57" w:type="dxa"/>
              <w:left w:w="85" w:type="dxa"/>
              <w:bottom w:w="57" w:type="dxa"/>
              <w:right w:w="85" w:type="dxa"/>
            </w:tcMar>
            <w:vAlign w:val="center"/>
          </w:tcPr>
          <w:p w14:paraId="60B01B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236D4A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31A3E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2A2C102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0C5CB99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noWrap w:val="0"/>
            <w:tcMar>
              <w:top w:w="57" w:type="dxa"/>
              <w:left w:w="85" w:type="dxa"/>
              <w:bottom w:w="57" w:type="dxa"/>
              <w:right w:w="85" w:type="dxa"/>
            </w:tcMar>
            <w:vAlign w:val="center"/>
          </w:tcPr>
          <w:p w14:paraId="04A8CAF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20~</w:t>
            </w:r>
            <w:r>
              <w:rPr>
                <w:rFonts w:hint="default" w:ascii="Times New Roman" w:hAnsi="Times New Roman" w:eastAsia="宋体" w:cs="Times New Roman"/>
                <w:b w:val="0"/>
                <w:bCs w:val="0"/>
                <w:snapToGrid w:val="0"/>
                <w:color w:val="auto"/>
                <w:kern w:val="0"/>
                <w:sz w:val="21"/>
                <w:szCs w:val="21"/>
                <w:highlight w:val="none"/>
              </w:rPr>
              <w:t>100</w:t>
            </w:r>
          </w:p>
        </w:tc>
        <w:tc>
          <w:tcPr>
            <w:tcW w:w="344" w:type="pct"/>
            <w:noWrap w:val="0"/>
            <w:tcMar>
              <w:top w:w="57" w:type="dxa"/>
              <w:left w:w="85" w:type="dxa"/>
              <w:bottom w:w="57" w:type="dxa"/>
              <w:right w:w="85" w:type="dxa"/>
            </w:tcMar>
            <w:vAlign w:val="center"/>
          </w:tcPr>
          <w:p w14:paraId="2EFC95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7.9</w:t>
            </w:r>
          </w:p>
        </w:tc>
        <w:tc>
          <w:tcPr>
            <w:tcW w:w="279" w:type="pct"/>
            <w:noWrap w:val="0"/>
            <w:tcMar>
              <w:top w:w="57" w:type="dxa"/>
              <w:left w:w="85" w:type="dxa"/>
              <w:bottom w:w="57" w:type="dxa"/>
              <w:right w:w="85" w:type="dxa"/>
            </w:tcMar>
            <w:vAlign w:val="center"/>
          </w:tcPr>
          <w:p w14:paraId="35A305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7.76</w:t>
            </w:r>
          </w:p>
        </w:tc>
        <w:tc>
          <w:tcPr>
            <w:tcW w:w="385" w:type="pct"/>
            <w:noWrap w:val="0"/>
            <w:tcMar>
              <w:top w:w="57" w:type="dxa"/>
              <w:left w:w="85" w:type="dxa"/>
              <w:bottom w:w="57" w:type="dxa"/>
              <w:right w:w="85" w:type="dxa"/>
            </w:tcMar>
            <w:vAlign w:val="center"/>
          </w:tcPr>
          <w:p w14:paraId="7932C2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1.63</w:t>
            </w:r>
          </w:p>
        </w:tc>
        <w:tc>
          <w:tcPr>
            <w:tcW w:w="306" w:type="pct"/>
            <w:noWrap w:val="0"/>
            <w:tcMar>
              <w:top w:w="57" w:type="dxa"/>
              <w:left w:w="85" w:type="dxa"/>
              <w:bottom w:w="57" w:type="dxa"/>
              <w:right w:w="85" w:type="dxa"/>
            </w:tcMar>
            <w:vAlign w:val="center"/>
          </w:tcPr>
          <w:p w14:paraId="30DE97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1B825F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430</w:t>
            </w:r>
          </w:p>
        </w:tc>
        <w:tc>
          <w:tcPr>
            <w:tcW w:w="301" w:type="pct"/>
            <w:noWrap w:val="0"/>
            <w:tcMar>
              <w:top w:w="57" w:type="dxa"/>
              <w:left w:w="85" w:type="dxa"/>
              <w:bottom w:w="57" w:type="dxa"/>
              <w:right w:w="85" w:type="dxa"/>
            </w:tcMar>
            <w:vAlign w:val="center"/>
          </w:tcPr>
          <w:p w14:paraId="15D478C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1315</w:t>
            </w:r>
          </w:p>
        </w:tc>
        <w:tc>
          <w:tcPr>
            <w:tcW w:w="301" w:type="pct"/>
            <w:noWrap w:val="0"/>
            <w:tcMar>
              <w:top w:w="57" w:type="dxa"/>
              <w:left w:w="85" w:type="dxa"/>
              <w:bottom w:w="57" w:type="dxa"/>
              <w:right w:w="85" w:type="dxa"/>
            </w:tcMar>
            <w:vAlign w:val="center"/>
          </w:tcPr>
          <w:p w14:paraId="7D33722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1.38</w:t>
            </w:r>
          </w:p>
        </w:tc>
        <w:tc>
          <w:tcPr>
            <w:tcW w:w="287" w:type="pct"/>
            <w:noWrap w:val="0"/>
            <w:tcMar>
              <w:top w:w="57" w:type="dxa"/>
              <w:left w:w="85" w:type="dxa"/>
              <w:bottom w:w="57" w:type="dxa"/>
              <w:right w:w="85" w:type="dxa"/>
            </w:tcMar>
            <w:vAlign w:val="center"/>
          </w:tcPr>
          <w:p w14:paraId="7C9C711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238</w:t>
            </w:r>
          </w:p>
        </w:tc>
        <w:tc>
          <w:tcPr>
            <w:tcW w:w="293" w:type="pct"/>
            <w:noWrap w:val="0"/>
            <w:tcMar>
              <w:top w:w="57" w:type="dxa"/>
              <w:left w:w="85" w:type="dxa"/>
              <w:bottom w:w="57" w:type="dxa"/>
              <w:right w:w="85" w:type="dxa"/>
            </w:tcMar>
            <w:vAlign w:val="center"/>
          </w:tcPr>
          <w:p w14:paraId="5769CF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138</w:t>
            </w:r>
          </w:p>
        </w:tc>
        <w:tc>
          <w:tcPr>
            <w:tcW w:w="307" w:type="pct"/>
            <w:noWrap w:val="0"/>
            <w:tcMar>
              <w:top w:w="57" w:type="dxa"/>
              <w:left w:w="85" w:type="dxa"/>
              <w:bottom w:w="57" w:type="dxa"/>
              <w:right w:w="85" w:type="dxa"/>
            </w:tcMar>
            <w:vAlign w:val="center"/>
          </w:tcPr>
          <w:p w14:paraId="6A5228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1.17</w:t>
            </w:r>
          </w:p>
        </w:tc>
        <w:tc>
          <w:tcPr>
            <w:tcW w:w="300" w:type="pct"/>
            <w:noWrap w:val="0"/>
            <w:tcMar>
              <w:top w:w="57" w:type="dxa"/>
              <w:left w:w="85" w:type="dxa"/>
              <w:bottom w:w="57" w:type="dxa"/>
              <w:right w:w="85" w:type="dxa"/>
            </w:tcMar>
            <w:vAlign w:val="center"/>
          </w:tcPr>
          <w:p w14:paraId="7552027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12D2FB7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63ED7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6E7F439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10B921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noWrap w:val="0"/>
            <w:tcMar>
              <w:top w:w="57" w:type="dxa"/>
              <w:left w:w="85" w:type="dxa"/>
              <w:bottom w:w="57" w:type="dxa"/>
              <w:right w:w="85" w:type="dxa"/>
            </w:tcMar>
            <w:vAlign w:val="center"/>
          </w:tcPr>
          <w:p w14:paraId="1C8E3A0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100~300</w:t>
            </w:r>
          </w:p>
        </w:tc>
        <w:tc>
          <w:tcPr>
            <w:tcW w:w="344" w:type="pct"/>
            <w:noWrap w:val="0"/>
            <w:tcMar>
              <w:top w:w="57" w:type="dxa"/>
              <w:left w:w="85" w:type="dxa"/>
              <w:bottom w:w="57" w:type="dxa"/>
              <w:right w:w="85" w:type="dxa"/>
            </w:tcMar>
            <w:vAlign w:val="center"/>
          </w:tcPr>
          <w:p w14:paraId="525189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7.6</w:t>
            </w:r>
          </w:p>
        </w:tc>
        <w:tc>
          <w:tcPr>
            <w:tcW w:w="279" w:type="pct"/>
            <w:noWrap w:val="0"/>
            <w:tcMar>
              <w:top w:w="57" w:type="dxa"/>
              <w:left w:w="85" w:type="dxa"/>
              <w:bottom w:w="57" w:type="dxa"/>
              <w:right w:w="85" w:type="dxa"/>
            </w:tcMar>
            <w:vAlign w:val="center"/>
          </w:tcPr>
          <w:p w14:paraId="497E322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7.64</w:t>
            </w:r>
          </w:p>
        </w:tc>
        <w:tc>
          <w:tcPr>
            <w:tcW w:w="385" w:type="pct"/>
            <w:noWrap w:val="0"/>
            <w:tcMar>
              <w:top w:w="57" w:type="dxa"/>
              <w:left w:w="85" w:type="dxa"/>
              <w:bottom w:w="57" w:type="dxa"/>
              <w:right w:w="85" w:type="dxa"/>
            </w:tcMar>
            <w:vAlign w:val="center"/>
          </w:tcPr>
          <w:p w14:paraId="3AA7E14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1.47</w:t>
            </w:r>
          </w:p>
        </w:tc>
        <w:tc>
          <w:tcPr>
            <w:tcW w:w="306" w:type="pct"/>
            <w:noWrap w:val="0"/>
            <w:tcMar>
              <w:top w:w="57" w:type="dxa"/>
              <w:left w:w="85" w:type="dxa"/>
              <w:bottom w:w="57" w:type="dxa"/>
              <w:right w:w="85" w:type="dxa"/>
            </w:tcMar>
            <w:vAlign w:val="center"/>
          </w:tcPr>
          <w:p w14:paraId="6F8D1C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5EE956F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427</w:t>
            </w:r>
          </w:p>
        </w:tc>
        <w:tc>
          <w:tcPr>
            <w:tcW w:w="301" w:type="pct"/>
            <w:noWrap w:val="0"/>
            <w:tcMar>
              <w:top w:w="57" w:type="dxa"/>
              <w:left w:w="85" w:type="dxa"/>
              <w:bottom w:w="57" w:type="dxa"/>
              <w:right w:w="85" w:type="dxa"/>
            </w:tcMar>
            <w:vAlign w:val="center"/>
          </w:tcPr>
          <w:p w14:paraId="5F84D4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1245</w:t>
            </w:r>
          </w:p>
        </w:tc>
        <w:tc>
          <w:tcPr>
            <w:tcW w:w="301" w:type="pct"/>
            <w:noWrap w:val="0"/>
            <w:tcMar>
              <w:top w:w="57" w:type="dxa"/>
              <w:left w:w="85" w:type="dxa"/>
              <w:bottom w:w="57" w:type="dxa"/>
              <w:right w:w="85" w:type="dxa"/>
            </w:tcMar>
            <w:vAlign w:val="center"/>
          </w:tcPr>
          <w:p w14:paraId="5F6992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1.42</w:t>
            </w:r>
          </w:p>
        </w:tc>
        <w:tc>
          <w:tcPr>
            <w:tcW w:w="287" w:type="pct"/>
            <w:noWrap w:val="0"/>
            <w:tcMar>
              <w:top w:w="57" w:type="dxa"/>
              <w:left w:w="85" w:type="dxa"/>
              <w:bottom w:w="57" w:type="dxa"/>
              <w:right w:w="85" w:type="dxa"/>
            </w:tcMar>
            <w:vAlign w:val="center"/>
          </w:tcPr>
          <w:p w14:paraId="6D00D99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216</w:t>
            </w:r>
          </w:p>
        </w:tc>
        <w:tc>
          <w:tcPr>
            <w:tcW w:w="293" w:type="pct"/>
            <w:noWrap w:val="0"/>
            <w:tcMar>
              <w:top w:w="57" w:type="dxa"/>
              <w:left w:w="85" w:type="dxa"/>
              <w:bottom w:w="57" w:type="dxa"/>
              <w:right w:w="85" w:type="dxa"/>
            </w:tcMar>
            <w:vAlign w:val="center"/>
          </w:tcPr>
          <w:p w14:paraId="4BBBB6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155</w:t>
            </w:r>
          </w:p>
        </w:tc>
        <w:tc>
          <w:tcPr>
            <w:tcW w:w="307" w:type="pct"/>
            <w:noWrap w:val="0"/>
            <w:tcMar>
              <w:top w:w="57" w:type="dxa"/>
              <w:left w:w="85" w:type="dxa"/>
              <w:bottom w:w="57" w:type="dxa"/>
              <w:right w:w="85" w:type="dxa"/>
            </w:tcMar>
            <w:vAlign w:val="center"/>
          </w:tcPr>
          <w:p w14:paraId="7FCFE3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1.19</w:t>
            </w:r>
          </w:p>
        </w:tc>
        <w:tc>
          <w:tcPr>
            <w:tcW w:w="300" w:type="pct"/>
            <w:noWrap w:val="0"/>
            <w:tcMar>
              <w:top w:w="57" w:type="dxa"/>
              <w:left w:w="85" w:type="dxa"/>
              <w:bottom w:w="57" w:type="dxa"/>
              <w:right w:w="85" w:type="dxa"/>
            </w:tcMar>
            <w:vAlign w:val="center"/>
          </w:tcPr>
          <w:p w14:paraId="24270C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61C99C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552D8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5EFF90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restart"/>
            <w:noWrap w:val="0"/>
            <w:tcMar>
              <w:top w:w="57" w:type="dxa"/>
              <w:left w:w="85" w:type="dxa"/>
              <w:bottom w:w="57" w:type="dxa"/>
              <w:right w:w="85" w:type="dxa"/>
            </w:tcMar>
            <w:vAlign w:val="center"/>
          </w:tcPr>
          <w:p w14:paraId="70CA84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lang w:val="en-US" w:eastAsia="zh-CN"/>
              </w:rPr>
              <w:t>2#现有工程淀粉生产装置附近</w:t>
            </w:r>
          </w:p>
        </w:tc>
        <w:tc>
          <w:tcPr>
            <w:tcW w:w="322" w:type="pct"/>
            <w:shd w:val="clear" w:color="auto" w:fill="auto"/>
            <w:noWrap w:val="0"/>
            <w:tcMar>
              <w:top w:w="57" w:type="dxa"/>
              <w:left w:w="85" w:type="dxa"/>
              <w:bottom w:w="57" w:type="dxa"/>
              <w:right w:w="85" w:type="dxa"/>
            </w:tcMar>
            <w:vAlign w:val="center"/>
          </w:tcPr>
          <w:p w14:paraId="749BAEF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0~</w:t>
            </w:r>
            <w:r>
              <w:rPr>
                <w:rFonts w:hint="default" w:ascii="Times New Roman" w:hAnsi="Times New Roman" w:eastAsia="宋体" w:cs="Times New Roman"/>
                <w:b w:val="0"/>
                <w:bCs w:val="0"/>
                <w:snapToGrid w:val="0"/>
                <w:color w:val="auto"/>
                <w:kern w:val="0"/>
                <w:sz w:val="21"/>
                <w:szCs w:val="21"/>
                <w:highlight w:val="none"/>
              </w:rPr>
              <w:t>20</w:t>
            </w:r>
          </w:p>
        </w:tc>
        <w:tc>
          <w:tcPr>
            <w:tcW w:w="344" w:type="pct"/>
            <w:noWrap w:val="0"/>
            <w:tcMar>
              <w:top w:w="57" w:type="dxa"/>
              <w:left w:w="85" w:type="dxa"/>
              <w:bottom w:w="57" w:type="dxa"/>
              <w:right w:w="85" w:type="dxa"/>
            </w:tcMar>
            <w:vAlign w:val="center"/>
          </w:tcPr>
          <w:p w14:paraId="34D441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7.5</w:t>
            </w:r>
          </w:p>
        </w:tc>
        <w:tc>
          <w:tcPr>
            <w:tcW w:w="279" w:type="pct"/>
            <w:noWrap w:val="0"/>
            <w:tcMar>
              <w:top w:w="57" w:type="dxa"/>
              <w:left w:w="85" w:type="dxa"/>
              <w:bottom w:w="57" w:type="dxa"/>
              <w:right w:w="85" w:type="dxa"/>
            </w:tcMar>
            <w:vAlign w:val="center"/>
          </w:tcPr>
          <w:p w14:paraId="493B8AF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1.65</w:t>
            </w:r>
          </w:p>
        </w:tc>
        <w:tc>
          <w:tcPr>
            <w:tcW w:w="385" w:type="pct"/>
            <w:noWrap w:val="0"/>
            <w:tcMar>
              <w:top w:w="57" w:type="dxa"/>
              <w:left w:w="85" w:type="dxa"/>
              <w:bottom w:w="57" w:type="dxa"/>
              <w:right w:w="85" w:type="dxa"/>
            </w:tcMar>
            <w:vAlign w:val="center"/>
          </w:tcPr>
          <w:p w14:paraId="26BFF5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1.40</w:t>
            </w:r>
          </w:p>
        </w:tc>
        <w:tc>
          <w:tcPr>
            <w:tcW w:w="306" w:type="pct"/>
            <w:shd w:val="clear" w:color="auto" w:fill="auto"/>
            <w:noWrap w:val="0"/>
            <w:tcMar>
              <w:top w:w="57" w:type="dxa"/>
              <w:left w:w="85" w:type="dxa"/>
              <w:bottom w:w="57" w:type="dxa"/>
              <w:right w:w="85" w:type="dxa"/>
            </w:tcMar>
            <w:vAlign w:val="center"/>
          </w:tcPr>
          <w:p w14:paraId="644AEF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3357FC4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440</w:t>
            </w:r>
          </w:p>
        </w:tc>
        <w:tc>
          <w:tcPr>
            <w:tcW w:w="301" w:type="pct"/>
            <w:noWrap w:val="0"/>
            <w:tcMar>
              <w:top w:w="57" w:type="dxa"/>
              <w:left w:w="85" w:type="dxa"/>
              <w:bottom w:w="57" w:type="dxa"/>
              <w:right w:w="85" w:type="dxa"/>
            </w:tcMar>
            <w:vAlign w:val="center"/>
          </w:tcPr>
          <w:p w14:paraId="2D4390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1266</w:t>
            </w:r>
          </w:p>
        </w:tc>
        <w:tc>
          <w:tcPr>
            <w:tcW w:w="301" w:type="pct"/>
            <w:noWrap w:val="0"/>
            <w:tcMar>
              <w:top w:w="57" w:type="dxa"/>
              <w:left w:w="85" w:type="dxa"/>
              <w:bottom w:w="57" w:type="dxa"/>
              <w:right w:w="85" w:type="dxa"/>
            </w:tcMar>
            <w:vAlign w:val="center"/>
          </w:tcPr>
          <w:p w14:paraId="6BB7A1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1.44</w:t>
            </w:r>
          </w:p>
        </w:tc>
        <w:tc>
          <w:tcPr>
            <w:tcW w:w="287" w:type="pct"/>
            <w:noWrap w:val="0"/>
            <w:tcMar>
              <w:top w:w="57" w:type="dxa"/>
              <w:left w:w="85" w:type="dxa"/>
              <w:bottom w:w="57" w:type="dxa"/>
              <w:right w:w="85" w:type="dxa"/>
            </w:tcMar>
            <w:vAlign w:val="center"/>
          </w:tcPr>
          <w:p w14:paraId="401AF9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241</w:t>
            </w:r>
          </w:p>
        </w:tc>
        <w:tc>
          <w:tcPr>
            <w:tcW w:w="293" w:type="pct"/>
            <w:noWrap w:val="0"/>
            <w:tcMar>
              <w:top w:w="57" w:type="dxa"/>
              <w:left w:w="85" w:type="dxa"/>
              <w:bottom w:w="57" w:type="dxa"/>
              <w:right w:w="85" w:type="dxa"/>
            </w:tcMar>
            <w:vAlign w:val="center"/>
          </w:tcPr>
          <w:p w14:paraId="243464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132</w:t>
            </w:r>
          </w:p>
        </w:tc>
        <w:tc>
          <w:tcPr>
            <w:tcW w:w="307" w:type="pct"/>
            <w:noWrap w:val="0"/>
            <w:tcMar>
              <w:top w:w="57" w:type="dxa"/>
              <w:left w:w="85" w:type="dxa"/>
              <w:bottom w:w="57" w:type="dxa"/>
              <w:right w:w="85" w:type="dxa"/>
            </w:tcMar>
            <w:vAlign w:val="center"/>
          </w:tcPr>
          <w:p w14:paraId="489A4C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1.14</w:t>
            </w:r>
          </w:p>
        </w:tc>
        <w:tc>
          <w:tcPr>
            <w:tcW w:w="300" w:type="pct"/>
            <w:noWrap w:val="0"/>
            <w:tcMar>
              <w:top w:w="57" w:type="dxa"/>
              <w:left w:w="85" w:type="dxa"/>
              <w:bottom w:w="57" w:type="dxa"/>
              <w:right w:w="85" w:type="dxa"/>
            </w:tcMar>
            <w:vAlign w:val="center"/>
          </w:tcPr>
          <w:p w14:paraId="0BCE1F1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10C19A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66440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556BC5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2AB0CE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3108BF2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20~</w:t>
            </w:r>
            <w:r>
              <w:rPr>
                <w:rFonts w:hint="default" w:ascii="Times New Roman" w:hAnsi="Times New Roman" w:eastAsia="宋体" w:cs="Times New Roman"/>
                <w:b w:val="0"/>
                <w:bCs w:val="0"/>
                <w:snapToGrid w:val="0"/>
                <w:color w:val="auto"/>
                <w:kern w:val="0"/>
                <w:sz w:val="21"/>
                <w:szCs w:val="21"/>
                <w:highlight w:val="none"/>
              </w:rPr>
              <w:t>100</w:t>
            </w:r>
          </w:p>
        </w:tc>
        <w:tc>
          <w:tcPr>
            <w:tcW w:w="344" w:type="pct"/>
            <w:noWrap w:val="0"/>
            <w:tcMar>
              <w:top w:w="57" w:type="dxa"/>
              <w:left w:w="85" w:type="dxa"/>
              <w:bottom w:w="57" w:type="dxa"/>
              <w:right w:w="85" w:type="dxa"/>
            </w:tcMar>
            <w:vAlign w:val="center"/>
          </w:tcPr>
          <w:p w14:paraId="5705AD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7.4</w:t>
            </w:r>
          </w:p>
        </w:tc>
        <w:tc>
          <w:tcPr>
            <w:tcW w:w="279" w:type="pct"/>
            <w:noWrap w:val="0"/>
            <w:tcMar>
              <w:top w:w="57" w:type="dxa"/>
              <w:left w:w="85" w:type="dxa"/>
              <w:bottom w:w="57" w:type="dxa"/>
              <w:right w:w="85" w:type="dxa"/>
            </w:tcMar>
            <w:vAlign w:val="center"/>
          </w:tcPr>
          <w:p w14:paraId="555F23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1.52</w:t>
            </w:r>
          </w:p>
        </w:tc>
        <w:tc>
          <w:tcPr>
            <w:tcW w:w="385" w:type="pct"/>
            <w:noWrap w:val="0"/>
            <w:tcMar>
              <w:top w:w="57" w:type="dxa"/>
              <w:left w:w="85" w:type="dxa"/>
              <w:bottom w:w="57" w:type="dxa"/>
              <w:right w:w="85" w:type="dxa"/>
            </w:tcMar>
            <w:vAlign w:val="center"/>
          </w:tcPr>
          <w:p w14:paraId="6BF8572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1.32</w:t>
            </w:r>
          </w:p>
        </w:tc>
        <w:tc>
          <w:tcPr>
            <w:tcW w:w="306" w:type="pct"/>
            <w:shd w:val="clear" w:color="auto" w:fill="auto"/>
            <w:noWrap w:val="0"/>
            <w:tcMar>
              <w:top w:w="57" w:type="dxa"/>
              <w:left w:w="85" w:type="dxa"/>
              <w:bottom w:w="57" w:type="dxa"/>
              <w:right w:w="85" w:type="dxa"/>
            </w:tcMar>
            <w:vAlign w:val="center"/>
          </w:tcPr>
          <w:p w14:paraId="4A7A395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1D35EC2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445</w:t>
            </w:r>
          </w:p>
        </w:tc>
        <w:tc>
          <w:tcPr>
            <w:tcW w:w="301" w:type="pct"/>
            <w:noWrap w:val="0"/>
            <w:tcMar>
              <w:top w:w="57" w:type="dxa"/>
              <w:left w:w="85" w:type="dxa"/>
              <w:bottom w:w="57" w:type="dxa"/>
              <w:right w:w="85" w:type="dxa"/>
            </w:tcMar>
            <w:vAlign w:val="center"/>
          </w:tcPr>
          <w:p w14:paraId="0CF09A6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1332</w:t>
            </w:r>
          </w:p>
        </w:tc>
        <w:tc>
          <w:tcPr>
            <w:tcW w:w="301" w:type="pct"/>
            <w:noWrap w:val="0"/>
            <w:tcMar>
              <w:top w:w="57" w:type="dxa"/>
              <w:left w:w="85" w:type="dxa"/>
              <w:bottom w:w="57" w:type="dxa"/>
              <w:right w:w="85" w:type="dxa"/>
            </w:tcMar>
            <w:vAlign w:val="center"/>
          </w:tcPr>
          <w:p w14:paraId="6D6E98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1.46</w:t>
            </w:r>
          </w:p>
        </w:tc>
        <w:tc>
          <w:tcPr>
            <w:tcW w:w="287" w:type="pct"/>
            <w:noWrap w:val="0"/>
            <w:tcMar>
              <w:top w:w="57" w:type="dxa"/>
              <w:left w:w="85" w:type="dxa"/>
              <w:bottom w:w="57" w:type="dxa"/>
              <w:right w:w="85" w:type="dxa"/>
            </w:tcMar>
            <w:vAlign w:val="center"/>
          </w:tcPr>
          <w:p w14:paraId="2C9F3B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267</w:t>
            </w:r>
          </w:p>
        </w:tc>
        <w:tc>
          <w:tcPr>
            <w:tcW w:w="293" w:type="pct"/>
            <w:noWrap w:val="0"/>
            <w:tcMar>
              <w:top w:w="57" w:type="dxa"/>
              <w:left w:w="85" w:type="dxa"/>
              <w:bottom w:w="57" w:type="dxa"/>
              <w:right w:w="85" w:type="dxa"/>
            </w:tcMar>
            <w:vAlign w:val="center"/>
          </w:tcPr>
          <w:p w14:paraId="5F9534E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151</w:t>
            </w:r>
          </w:p>
        </w:tc>
        <w:tc>
          <w:tcPr>
            <w:tcW w:w="307" w:type="pct"/>
            <w:noWrap w:val="0"/>
            <w:tcMar>
              <w:top w:w="57" w:type="dxa"/>
              <w:left w:w="85" w:type="dxa"/>
              <w:bottom w:w="57" w:type="dxa"/>
              <w:right w:w="85" w:type="dxa"/>
            </w:tcMar>
            <w:vAlign w:val="center"/>
          </w:tcPr>
          <w:p w14:paraId="4BDEDF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1.18</w:t>
            </w:r>
          </w:p>
        </w:tc>
        <w:tc>
          <w:tcPr>
            <w:tcW w:w="300" w:type="pct"/>
            <w:noWrap w:val="0"/>
            <w:tcMar>
              <w:top w:w="57" w:type="dxa"/>
              <w:left w:w="85" w:type="dxa"/>
              <w:bottom w:w="57" w:type="dxa"/>
              <w:right w:w="85" w:type="dxa"/>
            </w:tcMar>
            <w:vAlign w:val="center"/>
          </w:tcPr>
          <w:p w14:paraId="7FD7EAE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31AB37D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4F6BC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6D617D1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48E5F4A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5006DB6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100~300</w:t>
            </w:r>
          </w:p>
        </w:tc>
        <w:tc>
          <w:tcPr>
            <w:tcW w:w="344" w:type="pct"/>
            <w:noWrap w:val="0"/>
            <w:tcMar>
              <w:top w:w="57" w:type="dxa"/>
              <w:left w:w="85" w:type="dxa"/>
              <w:bottom w:w="57" w:type="dxa"/>
              <w:right w:w="85" w:type="dxa"/>
            </w:tcMar>
            <w:vAlign w:val="center"/>
          </w:tcPr>
          <w:p w14:paraId="5B0ED2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7.3</w:t>
            </w:r>
          </w:p>
        </w:tc>
        <w:tc>
          <w:tcPr>
            <w:tcW w:w="279" w:type="pct"/>
            <w:noWrap w:val="0"/>
            <w:tcMar>
              <w:top w:w="57" w:type="dxa"/>
              <w:left w:w="85" w:type="dxa"/>
              <w:bottom w:w="57" w:type="dxa"/>
              <w:right w:w="85" w:type="dxa"/>
            </w:tcMar>
            <w:vAlign w:val="center"/>
          </w:tcPr>
          <w:p w14:paraId="49189D3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1.38</w:t>
            </w:r>
          </w:p>
        </w:tc>
        <w:tc>
          <w:tcPr>
            <w:tcW w:w="385" w:type="pct"/>
            <w:noWrap w:val="0"/>
            <w:tcMar>
              <w:top w:w="57" w:type="dxa"/>
              <w:left w:w="85" w:type="dxa"/>
              <w:bottom w:w="57" w:type="dxa"/>
              <w:right w:w="85" w:type="dxa"/>
            </w:tcMar>
            <w:vAlign w:val="center"/>
          </w:tcPr>
          <w:p w14:paraId="6260FA4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1.33</w:t>
            </w:r>
          </w:p>
        </w:tc>
        <w:tc>
          <w:tcPr>
            <w:tcW w:w="306" w:type="pct"/>
            <w:shd w:val="clear" w:color="auto" w:fill="auto"/>
            <w:noWrap w:val="0"/>
            <w:tcMar>
              <w:top w:w="57" w:type="dxa"/>
              <w:left w:w="85" w:type="dxa"/>
              <w:bottom w:w="57" w:type="dxa"/>
              <w:right w:w="85" w:type="dxa"/>
            </w:tcMar>
            <w:vAlign w:val="center"/>
          </w:tcPr>
          <w:p w14:paraId="0CC2D0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60E69B6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440</w:t>
            </w:r>
          </w:p>
        </w:tc>
        <w:tc>
          <w:tcPr>
            <w:tcW w:w="301" w:type="pct"/>
            <w:noWrap w:val="0"/>
            <w:tcMar>
              <w:top w:w="57" w:type="dxa"/>
              <w:left w:w="85" w:type="dxa"/>
              <w:bottom w:w="57" w:type="dxa"/>
              <w:right w:w="85" w:type="dxa"/>
            </w:tcMar>
            <w:vAlign w:val="center"/>
          </w:tcPr>
          <w:p w14:paraId="5421ED2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1267</w:t>
            </w:r>
          </w:p>
        </w:tc>
        <w:tc>
          <w:tcPr>
            <w:tcW w:w="301" w:type="pct"/>
            <w:noWrap w:val="0"/>
            <w:tcMar>
              <w:top w:w="57" w:type="dxa"/>
              <w:left w:w="85" w:type="dxa"/>
              <w:bottom w:w="57" w:type="dxa"/>
              <w:right w:w="85" w:type="dxa"/>
            </w:tcMar>
            <w:vAlign w:val="center"/>
          </w:tcPr>
          <w:p w14:paraId="25917EA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1.37</w:t>
            </w:r>
          </w:p>
        </w:tc>
        <w:tc>
          <w:tcPr>
            <w:tcW w:w="287" w:type="pct"/>
            <w:noWrap w:val="0"/>
            <w:tcMar>
              <w:top w:w="57" w:type="dxa"/>
              <w:left w:w="85" w:type="dxa"/>
              <w:bottom w:w="57" w:type="dxa"/>
              <w:right w:w="85" w:type="dxa"/>
            </w:tcMar>
            <w:vAlign w:val="center"/>
          </w:tcPr>
          <w:p w14:paraId="308E273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229</w:t>
            </w:r>
          </w:p>
        </w:tc>
        <w:tc>
          <w:tcPr>
            <w:tcW w:w="293" w:type="pct"/>
            <w:noWrap w:val="0"/>
            <w:tcMar>
              <w:top w:w="57" w:type="dxa"/>
              <w:left w:w="85" w:type="dxa"/>
              <w:bottom w:w="57" w:type="dxa"/>
              <w:right w:w="85" w:type="dxa"/>
            </w:tcMar>
            <w:vAlign w:val="center"/>
          </w:tcPr>
          <w:p w14:paraId="2EF9DE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147</w:t>
            </w:r>
          </w:p>
        </w:tc>
        <w:tc>
          <w:tcPr>
            <w:tcW w:w="307" w:type="pct"/>
            <w:noWrap w:val="0"/>
            <w:tcMar>
              <w:top w:w="57" w:type="dxa"/>
              <w:left w:w="85" w:type="dxa"/>
              <w:bottom w:w="57" w:type="dxa"/>
              <w:right w:w="85" w:type="dxa"/>
            </w:tcMar>
            <w:vAlign w:val="center"/>
          </w:tcPr>
          <w:p w14:paraId="173545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1.18</w:t>
            </w:r>
          </w:p>
        </w:tc>
        <w:tc>
          <w:tcPr>
            <w:tcW w:w="300" w:type="pct"/>
            <w:noWrap w:val="0"/>
            <w:tcMar>
              <w:top w:w="57" w:type="dxa"/>
              <w:left w:w="85" w:type="dxa"/>
              <w:bottom w:w="57" w:type="dxa"/>
              <w:right w:w="85" w:type="dxa"/>
            </w:tcMar>
            <w:vAlign w:val="center"/>
          </w:tcPr>
          <w:p w14:paraId="0128AF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5507516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3CCB8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26C3DA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restart"/>
            <w:noWrap w:val="0"/>
            <w:tcMar>
              <w:top w:w="57" w:type="dxa"/>
              <w:left w:w="85" w:type="dxa"/>
              <w:bottom w:w="57" w:type="dxa"/>
              <w:right w:w="85" w:type="dxa"/>
            </w:tcMar>
            <w:vAlign w:val="center"/>
          </w:tcPr>
          <w:p w14:paraId="0EF94C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default" w:ascii="Times New Roman" w:hAnsi="Times New Roman" w:eastAsia="宋体" w:cs="Times New Roman"/>
                <w:b w:val="0"/>
                <w:bCs w:val="0"/>
                <w:snapToGrid w:val="0"/>
                <w:color w:val="auto"/>
                <w:kern w:val="0"/>
                <w:sz w:val="21"/>
                <w:szCs w:val="21"/>
                <w:highlight w:val="none"/>
              </w:rPr>
              <w:t>3#</w:t>
            </w:r>
            <w:r>
              <w:rPr>
                <w:rFonts w:hint="eastAsia" w:ascii="Times New Roman" w:hAnsi="Times New Roman" w:eastAsia="宋体" w:cs="Times New Roman"/>
                <w:b w:val="0"/>
                <w:bCs w:val="0"/>
                <w:snapToGrid w:val="0"/>
                <w:color w:val="auto"/>
                <w:kern w:val="0"/>
                <w:sz w:val="21"/>
                <w:szCs w:val="21"/>
                <w:highlight w:val="none"/>
                <w:lang w:val="en-US" w:eastAsia="zh-CN"/>
              </w:rPr>
              <w:t>现有工程发酵工艺附近</w:t>
            </w:r>
          </w:p>
        </w:tc>
        <w:tc>
          <w:tcPr>
            <w:tcW w:w="322" w:type="pct"/>
            <w:shd w:val="clear" w:color="auto" w:fill="auto"/>
            <w:noWrap w:val="0"/>
            <w:tcMar>
              <w:top w:w="57" w:type="dxa"/>
              <w:left w:w="85" w:type="dxa"/>
              <w:bottom w:w="57" w:type="dxa"/>
              <w:right w:w="85" w:type="dxa"/>
            </w:tcMar>
            <w:vAlign w:val="center"/>
          </w:tcPr>
          <w:p w14:paraId="276A91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0~</w:t>
            </w:r>
            <w:r>
              <w:rPr>
                <w:rFonts w:hint="default" w:ascii="Times New Roman" w:hAnsi="Times New Roman" w:eastAsia="宋体" w:cs="Times New Roman"/>
                <w:b w:val="0"/>
                <w:bCs w:val="0"/>
                <w:snapToGrid w:val="0"/>
                <w:color w:val="auto"/>
                <w:kern w:val="0"/>
                <w:sz w:val="21"/>
                <w:szCs w:val="21"/>
                <w:highlight w:val="none"/>
              </w:rPr>
              <w:t>20</w:t>
            </w:r>
          </w:p>
        </w:tc>
        <w:tc>
          <w:tcPr>
            <w:tcW w:w="344" w:type="pct"/>
            <w:noWrap w:val="0"/>
            <w:tcMar>
              <w:top w:w="57" w:type="dxa"/>
              <w:left w:w="85" w:type="dxa"/>
              <w:bottom w:w="57" w:type="dxa"/>
              <w:right w:w="85" w:type="dxa"/>
            </w:tcMar>
            <w:vAlign w:val="center"/>
          </w:tcPr>
          <w:p w14:paraId="7F188A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7.6</w:t>
            </w:r>
          </w:p>
        </w:tc>
        <w:tc>
          <w:tcPr>
            <w:tcW w:w="279" w:type="pct"/>
            <w:noWrap w:val="0"/>
            <w:tcMar>
              <w:top w:w="57" w:type="dxa"/>
              <w:left w:w="85" w:type="dxa"/>
              <w:bottom w:w="57" w:type="dxa"/>
              <w:right w:w="85" w:type="dxa"/>
            </w:tcMar>
            <w:vAlign w:val="center"/>
          </w:tcPr>
          <w:p w14:paraId="6EEFC7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1.42</w:t>
            </w:r>
          </w:p>
        </w:tc>
        <w:tc>
          <w:tcPr>
            <w:tcW w:w="385" w:type="pct"/>
            <w:noWrap w:val="0"/>
            <w:tcMar>
              <w:top w:w="57" w:type="dxa"/>
              <w:left w:w="85" w:type="dxa"/>
              <w:bottom w:w="57" w:type="dxa"/>
              <w:right w:w="85" w:type="dxa"/>
            </w:tcMar>
            <w:vAlign w:val="center"/>
          </w:tcPr>
          <w:p w14:paraId="7A58C55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1.34</w:t>
            </w:r>
          </w:p>
        </w:tc>
        <w:tc>
          <w:tcPr>
            <w:tcW w:w="306" w:type="pct"/>
            <w:shd w:val="clear" w:color="auto" w:fill="auto"/>
            <w:noWrap w:val="0"/>
            <w:tcMar>
              <w:top w:w="57" w:type="dxa"/>
              <w:left w:w="85" w:type="dxa"/>
              <w:bottom w:w="57" w:type="dxa"/>
              <w:right w:w="85" w:type="dxa"/>
            </w:tcMar>
            <w:vAlign w:val="center"/>
          </w:tcPr>
          <w:p w14:paraId="462ADB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216233D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423</w:t>
            </w:r>
          </w:p>
        </w:tc>
        <w:tc>
          <w:tcPr>
            <w:tcW w:w="301" w:type="pct"/>
            <w:noWrap w:val="0"/>
            <w:tcMar>
              <w:top w:w="57" w:type="dxa"/>
              <w:left w:w="85" w:type="dxa"/>
              <w:bottom w:w="57" w:type="dxa"/>
              <w:right w:w="85" w:type="dxa"/>
            </w:tcMar>
            <w:vAlign w:val="center"/>
          </w:tcPr>
          <w:p w14:paraId="51C71DE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1281</w:t>
            </w:r>
          </w:p>
        </w:tc>
        <w:tc>
          <w:tcPr>
            <w:tcW w:w="301" w:type="pct"/>
            <w:noWrap w:val="0"/>
            <w:tcMar>
              <w:top w:w="57" w:type="dxa"/>
              <w:left w:w="85" w:type="dxa"/>
              <w:bottom w:w="57" w:type="dxa"/>
              <w:right w:w="85" w:type="dxa"/>
            </w:tcMar>
            <w:vAlign w:val="center"/>
          </w:tcPr>
          <w:p w14:paraId="0A89CDD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1.20</w:t>
            </w:r>
          </w:p>
        </w:tc>
        <w:tc>
          <w:tcPr>
            <w:tcW w:w="287" w:type="pct"/>
            <w:noWrap w:val="0"/>
            <w:tcMar>
              <w:top w:w="57" w:type="dxa"/>
              <w:left w:w="85" w:type="dxa"/>
              <w:bottom w:w="57" w:type="dxa"/>
              <w:right w:w="85" w:type="dxa"/>
            </w:tcMar>
            <w:vAlign w:val="center"/>
          </w:tcPr>
          <w:p w14:paraId="65CC57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267</w:t>
            </w:r>
          </w:p>
        </w:tc>
        <w:tc>
          <w:tcPr>
            <w:tcW w:w="293" w:type="pct"/>
            <w:noWrap w:val="0"/>
            <w:tcMar>
              <w:top w:w="57" w:type="dxa"/>
              <w:left w:w="85" w:type="dxa"/>
              <w:bottom w:w="57" w:type="dxa"/>
              <w:right w:w="85" w:type="dxa"/>
            </w:tcMar>
            <w:vAlign w:val="center"/>
          </w:tcPr>
          <w:p w14:paraId="3C3358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136</w:t>
            </w:r>
          </w:p>
        </w:tc>
        <w:tc>
          <w:tcPr>
            <w:tcW w:w="307" w:type="pct"/>
            <w:noWrap w:val="0"/>
            <w:tcMar>
              <w:top w:w="57" w:type="dxa"/>
              <w:left w:w="85" w:type="dxa"/>
              <w:bottom w:w="57" w:type="dxa"/>
              <w:right w:w="85" w:type="dxa"/>
            </w:tcMar>
            <w:vAlign w:val="center"/>
          </w:tcPr>
          <w:p w14:paraId="1EB999F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1.14</w:t>
            </w:r>
          </w:p>
        </w:tc>
        <w:tc>
          <w:tcPr>
            <w:tcW w:w="300" w:type="pct"/>
            <w:noWrap w:val="0"/>
            <w:tcMar>
              <w:top w:w="57" w:type="dxa"/>
              <w:left w:w="85" w:type="dxa"/>
              <w:bottom w:w="57" w:type="dxa"/>
              <w:right w:w="85" w:type="dxa"/>
            </w:tcMar>
            <w:vAlign w:val="center"/>
          </w:tcPr>
          <w:p w14:paraId="059053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6869B6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46B99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5D0A35F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0532564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2C4C68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20~</w:t>
            </w:r>
            <w:r>
              <w:rPr>
                <w:rFonts w:hint="default" w:ascii="Times New Roman" w:hAnsi="Times New Roman" w:eastAsia="宋体" w:cs="Times New Roman"/>
                <w:b w:val="0"/>
                <w:bCs w:val="0"/>
                <w:snapToGrid w:val="0"/>
                <w:color w:val="auto"/>
                <w:kern w:val="0"/>
                <w:sz w:val="21"/>
                <w:szCs w:val="21"/>
                <w:highlight w:val="none"/>
              </w:rPr>
              <w:t>100</w:t>
            </w:r>
          </w:p>
        </w:tc>
        <w:tc>
          <w:tcPr>
            <w:tcW w:w="344" w:type="pct"/>
            <w:noWrap w:val="0"/>
            <w:tcMar>
              <w:top w:w="57" w:type="dxa"/>
              <w:left w:w="85" w:type="dxa"/>
              <w:bottom w:w="57" w:type="dxa"/>
              <w:right w:w="85" w:type="dxa"/>
            </w:tcMar>
            <w:vAlign w:val="center"/>
          </w:tcPr>
          <w:p w14:paraId="422668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7.8</w:t>
            </w:r>
          </w:p>
        </w:tc>
        <w:tc>
          <w:tcPr>
            <w:tcW w:w="279" w:type="pct"/>
            <w:noWrap w:val="0"/>
            <w:tcMar>
              <w:top w:w="57" w:type="dxa"/>
              <w:left w:w="85" w:type="dxa"/>
              <w:bottom w:w="57" w:type="dxa"/>
              <w:right w:w="85" w:type="dxa"/>
            </w:tcMar>
            <w:vAlign w:val="center"/>
          </w:tcPr>
          <w:p w14:paraId="56CEAF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1.65</w:t>
            </w:r>
          </w:p>
        </w:tc>
        <w:tc>
          <w:tcPr>
            <w:tcW w:w="385" w:type="pct"/>
            <w:noWrap w:val="0"/>
            <w:tcMar>
              <w:top w:w="57" w:type="dxa"/>
              <w:left w:w="85" w:type="dxa"/>
              <w:bottom w:w="57" w:type="dxa"/>
              <w:right w:w="85" w:type="dxa"/>
            </w:tcMar>
            <w:vAlign w:val="center"/>
          </w:tcPr>
          <w:p w14:paraId="382DFA3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1.29</w:t>
            </w:r>
          </w:p>
        </w:tc>
        <w:tc>
          <w:tcPr>
            <w:tcW w:w="306" w:type="pct"/>
            <w:shd w:val="clear" w:color="auto" w:fill="auto"/>
            <w:noWrap w:val="0"/>
            <w:tcMar>
              <w:top w:w="57" w:type="dxa"/>
              <w:left w:w="85" w:type="dxa"/>
              <w:bottom w:w="57" w:type="dxa"/>
              <w:right w:w="85" w:type="dxa"/>
            </w:tcMar>
            <w:vAlign w:val="center"/>
          </w:tcPr>
          <w:p w14:paraId="2EF6DC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009E1E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430</w:t>
            </w:r>
          </w:p>
        </w:tc>
        <w:tc>
          <w:tcPr>
            <w:tcW w:w="301" w:type="pct"/>
            <w:noWrap w:val="0"/>
            <w:tcMar>
              <w:top w:w="57" w:type="dxa"/>
              <w:left w:w="85" w:type="dxa"/>
              <w:bottom w:w="57" w:type="dxa"/>
              <w:right w:w="85" w:type="dxa"/>
            </w:tcMar>
            <w:vAlign w:val="center"/>
          </w:tcPr>
          <w:p w14:paraId="65D5C0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1254</w:t>
            </w:r>
          </w:p>
        </w:tc>
        <w:tc>
          <w:tcPr>
            <w:tcW w:w="301" w:type="pct"/>
            <w:noWrap w:val="0"/>
            <w:tcMar>
              <w:top w:w="57" w:type="dxa"/>
              <w:left w:w="85" w:type="dxa"/>
              <w:bottom w:w="57" w:type="dxa"/>
              <w:right w:w="85" w:type="dxa"/>
            </w:tcMar>
            <w:vAlign w:val="center"/>
          </w:tcPr>
          <w:p w14:paraId="2B8A7FA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1.28</w:t>
            </w:r>
          </w:p>
        </w:tc>
        <w:tc>
          <w:tcPr>
            <w:tcW w:w="287" w:type="pct"/>
            <w:noWrap w:val="0"/>
            <w:tcMar>
              <w:top w:w="57" w:type="dxa"/>
              <w:left w:w="85" w:type="dxa"/>
              <w:bottom w:w="57" w:type="dxa"/>
              <w:right w:w="85" w:type="dxa"/>
            </w:tcMar>
            <w:vAlign w:val="center"/>
          </w:tcPr>
          <w:p w14:paraId="1916DB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282</w:t>
            </w:r>
          </w:p>
        </w:tc>
        <w:tc>
          <w:tcPr>
            <w:tcW w:w="293" w:type="pct"/>
            <w:noWrap w:val="0"/>
            <w:tcMar>
              <w:top w:w="57" w:type="dxa"/>
              <w:left w:w="85" w:type="dxa"/>
              <w:bottom w:w="57" w:type="dxa"/>
              <w:right w:w="85" w:type="dxa"/>
            </w:tcMar>
            <w:vAlign w:val="center"/>
          </w:tcPr>
          <w:p w14:paraId="1D3A62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148</w:t>
            </w:r>
          </w:p>
        </w:tc>
        <w:tc>
          <w:tcPr>
            <w:tcW w:w="307" w:type="pct"/>
            <w:noWrap w:val="0"/>
            <w:tcMar>
              <w:top w:w="57" w:type="dxa"/>
              <w:left w:w="85" w:type="dxa"/>
              <w:bottom w:w="57" w:type="dxa"/>
              <w:right w:w="85" w:type="dxa"/>
            </w:tcMar>
            <w:vAlign w:val="center"/>
          </w:tcPr>
          <w:p w14:paraId="0A554AC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1.18</w:t>
            </w:r>
          </w:p>
        </w:tc>
        <w:tc>
          <w:tcPr>
            <w:tcW w:w="300" w:type="pct"/>
            <w:noWrap w:val="0"/>
            <w:tcMar>
              <w:top w:w="57" w:type="dxa"/>
              <w:left w:w="85" w:type="dxa"/>
              <w:bottom w:w="57" w:type="dxa"/>
              <w:right w:w="85" w:type="dxa"/>
            </w:tcMar>
            <w:vAlign w:val="center"/>
          </w:tcPr>
          <w:p w14:paraId="14CB95C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7E98AD6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0382B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0745C3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057BDC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53EC422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100~300</w:t>
            </w:r>
          </w:p>
        </w:tc>
        <w:tc>
          <w:tcPr>
            <w:tcW w:w="344" w:type="pct"/>
            <w:noWrap w:val="0"/>
            <w:tcMar>
              <w:top w:w="57" w:type="dxa"/>
              <w:left w:w="85" w:type="dxa"/>
              <w:bottom w:w="57" w:type="dxa"/>
              <w:right w:w="85" w:type="dxa"/>
            </w:tcMar>
            <w:vAlign w:val="center"/>
          </w:tcPr>
          <w:p w14:paraId="4C04C03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7.6</w:t>
            </w:r>
          </w:p>
        </w:tc>
        <w:tc>
          <w:tcPr>
            <w:tcW w:w="279" w:type="pct"/>
            <w:noWrap w:val="0"/>
            <w:tcMar>
              <w:top w:w="57" w:type="dxa"/>
              <w:left w:w="85" w:type="dxa"/>
              <w:bottom w:w="57" w:type="dxa"/>
              <w:right w:w="85" w:type="dxa"/>
            </w:tcMar>
            <w:vAlign w:val="center"/>
          </w:tcPr>
          <w:p w14:paraId="3E0A53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1.41</w:t>
            </w:r>
          </w:p>
        </w:tc>
        <w:tc>
          <w:tcPr>
            <w:tcW w:w="385" w:type="pct"/>
            <w:noWrap w:val="0"/>
            <w:tcMar>
              <w:top w:w="57" w:type="dxa"/>
              <w:left w:w="85" w:type="dxa"/>
              <w:bottom w:w="57" w:type="dxa"/>
              <w:right w:w="85" w:type="dxa"/>
            </w:tcMar>
            <w:vAlign w:val="center"/>
          </w:tcPr>
          <w:p w14:paraId="6CA1266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1.45</w:t>
            </w:r>
          </w:p>
        </w:tc>
        <w:tc>
          <w:tcPr>
            <w:tcW w:w="306" w:type="pct"/>
            <w:shd w:val="clear" w:color="auto" w:fill="auto"/>
            <w:noWrap w:val="0"/>
            <w:tcMar>
              <w:top w:w="57" w:type="dxa"/>
              <w:left w:w="85" w:type="dxa"/>
              <w:bottom w:w="57" w:type="dxa"/>
              <w:right w:w="85" w:type="dxa"/>
            </w:tcMar>
            <w:vAlign w:val="center"/>
          </w:tcPr>
          <w:p w14:paraId="3BCF47A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56B39E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433</w:t>
            </w:r>
          </w:p>
        </w:tc>
        <w:tc>
          <w:tcPr>
            <w:tcW w:w="301" w:type="pct"/>
            <w:noWrap w:val="0"/>
            <w:tcMar>
              <w:top w:w="57" w:type="dxa"/>
              <w:left w:w="85" w:type="dxa"/>
              <w:bottom w:w="57" w:type="dxa"/>
              <w:right w:w="85" w:type="dxa"/>
            </w:tcMar>
            <w:vAlign w:val="center"/>
          </w:tcPr>
          <w:p w14:paraId="1021FFF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1288</w:t>
            </w:r>
          </w:p>
        </w:tc>
        <w:tc>
          <w:tcPr>
            <w:tcW w:w="301" w:type="pct"/>
            <w:noWrap w:val="0"/>
            <w:tcMar>
              <w:top w:w="57" w:type="dxa"/>
              <w:left w:w="85" w:type="dxa"/>
              <w:bottom w:w="57" w:type="dxa"/>
              <w:right w:w="85" w:type="dxa"/>
            </w:tcMar>
            <w:vAlign w:val="center"/>
          </w:tcPr>
          <w:p w14:paraId="7446302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1.17</w:t>
            </w:r>
          </w:p>
        </w:tc>
        <w:tc>
          <w:tcPr>
            <w:tcW w:w="287" w:type="pct"/>
            <w:noWrap w:val="0"/>
            <w:tcMar>
              <w:top w:w="57" w:type="dxa"/>
              <w:left w:w="85" w:type="dxa"/>
              <w:bottom w:w="57" w:type="dxa"/>
              <w:right w:w="85" w:type="dxa"/>
            </w:tcMar>
            <w:vAlign w:val="center"/>
          </w:tcPr>
          <w:p w14:paraId="50F397C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248</w:t>
            </w:r>
          </w:p>
        </w:tc>
        <w:tc>
          <w:tcPr>
            <w:tcW w:w="293" w:type="pct"/>
            <w:noWrap w:val="0"/>
            <w:tcMar>
              <w:top w:w="57" w:type="dxa"/>
              <w:left w:w="85" w:type="dxa"/>
              <w:bottom w:w="57" w:type="dxa"/>
              <w:right w:w="85" w:type="dxa"/>
            </w:tcMar>
            <w:vAlign w:val="center"/>
          </w:tcPr>
          <w:p w14:paraId="268C96B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129</w:t>
            </w:r>
          </w:p>
        </w:tc>
        <w:tc>
          <w:tcPr>
            <w:tcW w:w="307" w:type="pct"/>
            <w:noWrap w:val="0"/>
            <w:tcMar>
              <w:top w:w="57" w:type="dxa"/>
              <w:left w:w="85" w:type="dxa"/>
              <w:bottom w:w="57" w:type="dxa"/>
              <w:right w:w="85" w:type="dxa"/>
            </w:tcMar>
            <w:vAlign w:val="center"/>
          </w:tcPr>
          <w:p w14:paraId="44BBC97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1.26</w:t>
            </w:r>
          </w:p>
        </w:tc>
        <w:tc>
          <w:tcPr>
            <w:tcW w:w="300" w:type="pct"/>
            <w:noWrap w:val="0"/>
            <w:tcMar>
              <w:top w:w="57" w:type="dxa"/>
              <w:left w:w="85" w:type="dxa"/>
              <w:bottom w:w="57" w:type="dxa"/>
              <w:right w:w="85" w:type="dxa"/>
            </w:tcMar>
            <w:vAlign w:val="center"/>
          </w:tcPr>
          <w:p w14:paraId="789CFE6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307071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3B929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4866B72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restart"/>
            <w:noWrap w:val="0"/>
            <w:tcMar>
              <w:top w:w="57" w:type="dxa"/>
              <w:left w:w="85" w:type="dxa"/>
              <w:bottom w:w="57" w:type="dxa"/>
              <w:right w:w="85" w:type="dxa"/>
            </w:tcMar>
            <w:vAlign w:val="center"/>
          </w:tcPr>
          <w:p w14:paraId="7C17EB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4#现有工程聚酰胺生产装置附近</w:t>
            </w:r>
          </w:p>
        </w:tc>
        <w:tc>
          <w:tcPr>
            <w:tcW w:w="322" w:type="pct"/>
            <w:shd w:val="clear" w:color="auto" w:fill="auto"/>
            <w:noWrap w:val="0"/>
            <w:tcMar>
              <w:top w:w="57" w:type="dxa"/>
              <w:left w:w="85" w:type="dxa"/>
              <w:bottom w:w="57" w:type="dxa"/>
              <w:right w:w="85" w:type="dxa"/>
            </w:tcMar>
            <w:vAlign w:val="center"/>
          </w:tcPr>
          <w:p w14:paraId="73EDEC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0~</w:t>
            </w:r>
            <w:r>
              <w:rPr>
                <w:rFonts w:hint="default" w:ascii="Times New Roman" w:hAnsi="Times New Roman" w:eastAsia="宋体" w:cs="Times New Roman"/>
                <w:b w:val="0"/>
                <w:bCs w:val="0"/>
                <w:snapToGrid w:val="0"/>
                <w:color w:val="auto"/>
                <w:kern w:val="0"/>
                <w:sz w:val="21"/>
                <w:szCs w:val="21"/>
                <w:highlight w:val="none"/>
              </w:rPr>
              <w:t>20</w:t>
            </w:r>
          </w:p>
        </w:tc>
        <w:tc>
          <w:tcPr>
            <w:tcW w:w="344" w:type="pct"/>
            <w:noWrap w:val="0"/>
            <w:tcMar>
              <w:top w:w="57" w:type="dxa"/>
              <w:left w:w="85" w:type="dxa"/>
              <w:bottom w:w="57" w:type="dxa"/>
              <w:right w:w="85" w:type="dxa"/>
            </w:tcMar>
            <w:vAlign w:val="center"/>
          </w:tcPr>
          <w:p w14:paraId="01BDA4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7.7</w:t>
            </w:r>
          </w:p>
        </w:tc>
        <w:tc>
          <w:tcPr>
            <w:tcW w:w="279" w:type="pct"/>
            <w:noWrap w:val="0"/>
            <w:tcMar>
              <w:top w:w="57" w:type="dxa"/>
              <w:left w:w="85" w:type="dxa"/>
              <w:bottom w:w="57" w:type="dxa"/>
              <w:right w:w="85" w:type="dxa"/>
            </w:tcMar>
            <w:vAlign w:val="center"/>
          </w:tcPr>
          <w:p w14:paraId="1CACD3F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1.32</w:t>
            </w:r>
          </w:p>
        </w:tc>
        <w:tc>
          <w:tcPr>
            <w:tcW w:w="385" w:type="pct"/>
            <w:noWrap w:val="0"/>
            <w:tcMar>
              <w:top w:w="57" w:type="dxa"/>
              <w:left w:w="85" w:type="dxa"/>
              <w:bottom w:w="57" w:type="dxa"/>
              <w:right w:w="85" w:type="dxa"/>
            </w:tcMar>
            <w:vAlign w:val="center"/>
          </w:tcPr>
          <w:p w14:paraId="202EB4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1.40</w:t>
            </w:r>
          </w:p>
        </w:tc>
        <w:tc>
          <w:tcPr>
            <w:tcW w:w="306" w:type="pct"/>
            <w:noWrap w:val="0"/>
            <w:tcMar>
              <w:top w:w="57" w:type="dxa"/>
              <w:left w:w="85" w:type="dxa"/>
              <w:bottom w:w="57" w:type="dxa"/>
              <w:right w:w="85" w:type="dxa"/>
            </w:tcMar>
            <w:vAlign w:val="center"/>
          </w:tcPr>
          <w:p w14:paraId="34A5B8A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2132FE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416</w:t>
            </w:r>
          </w:p>
        </w:tc>
        <w:tc>
          <w:tcPr>
            <w:tcW w:w="301" w:type="pct"/>
            <w:noWrap w:val="0"/>
            <w:tcMar>
              <w:top w:w="57" w:type="dxa"/>
              <w:left w:w="85" w:type="dxa"/>
              <w:bottom w:w="57" w:type="dxa"/>
              <w:right w:w="85" w:type="dxa"/>
            </w:tcMar>
            <w:vAlign w:val="center"/>
          </w:tcPr>
          <w:p w14:paraId="47980C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1279</w:t>
            </w:r>
          </w:p>
        </w:tc>
        <w:tc>
          <w:tcPr>
            <w:tcW w:w="301" w:type="pct"/>
            <w:noWrap w:val="0"/>
            <w:tcMar>
              <w:top w:w="57" w:type="dxa"/>
              <w:left w:w="85" w:type="dxa"/>
              <w:bottom w:w="57" w:type="dxa"/>
              <w:right w:w="85" w:type="dxa"/>
            </w:tcMar>
            <w:vAlign w:val="center"/>
          </w:tcPr>
          <w:p w14:paraId="1A7F48D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1.11</w:t>
            </w:r>
          </w:p>
        </w:tc>
        <w:tc>
          <w:tcPr>
            <w:tcW w:w="287" w:type="pct"/>
            <w:noWrap w:val="0"/>
            <w:tcMar>
              <w:top w:w="57" w:type="dxa"/>
              <w:left w:w="85" w:type="dxa"/>
              <w:bottom w:w="57" w:type="dxa"/>
              <w:right w:w="85" w:type="dxa"/>
            </w:tcMar>
            <w:vAlign w:val="center"/>
          </w:tcPr>
          <w:p w14:paraId="7413E9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238</w:t>
            </w:r>
          </w:p>
        </w:tc>
        <w:tc>
          <w:tcPr>
            <w:tcW w:w="293" w:type="pct"/>
            <w:noWrap w:val="0"/>
            <w:tcMar>
              <w:top w:w="57" w:type="dxa"/>
              <w:left w:w="85" w:type="dxa"/>
              <w:bottom w:w="57" w:type="dxa"/>
              <w:right w:w="85" w:type="dxa"/>
            </w:tcMar>
            <w:vAlign w:val="center"/>
          </w:tcPr>
          <w:p w14:paraId="6908FA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144</w:t>
            </w:r>
          </w:p>
        </w:tc>
        <w:tc>
          <w:tcPr>
            <w:tcW w:w="307" w:type="pct"/>
            <w:noWrap w:val="0"/>
            <w:tcMar>
              <w:top w:w="57" w:type="dxa"/>
              <w:left w:w="85" w:type="dxa"/>
              <w:bottom w:w="57" w:type="dxa"/>
              <w:right w:w="85" w:type="dxa"/>
            </w:tcMar>
            <w:vAlign w:val="center"/>
          </w:tcPr>
          <w:p w14:paraId="2D51DA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1.20</w:t>
            </w:r>
          </w:p>
        </w:tc>
        <w:tc>
          <w:tcPr>
            <w:tcW w:w="300" w:type="pct"/>
            <w:noWrap w:val="0"/>
            <w:tcMar>
              <w:top w:w="57" w:type="dxa"/>
              <w:left w:w="85" w:type="dxa"/>
              <w:bottom w:w="57" w:type="dxa"/>
              <w:right w:w="85" w:type="dxa"/>
            </w:tcMar>
            <w:vAlign w:val="center"/>
          </w:tcPr>
          <w:p w14:paraId="69587B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5B098A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2C02F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2C4957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05937A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451CEA3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20~</w:t>
            </w:r>
            <w:r>
              <w:rPr>
                <w:rFonts w:hint="default" w:ascii="Times New Roman" w:hAnsi="Times New Roman" w:eastAsia="宋体" w:cs="Times New Roman"/>
                <w:b w:val="0"/>
                <w:bCs w:val="0"/>
                <w:snapToGrid w:val="0"/>
                <w:color w:val="auto"/>
                <w:kern w:val="0"/>
                <w:sz w:val="21"/>
                <w:szCs w:val="21"/>
                <w:highlight w:val="none"/>
              </w:rPr>
              <w:t>100</w:t>
            </w:r>
          </w:p>
        </w:tc>
        <w:tc>
          <w:tcPr>
            <w:tcW w:w="344" w:type="pct"/>
            <w:noWrap w:val="0"/>
            <w:tcMar>
              <w:top w:w="57" w:type="dxa"/>
              <w:left w:w="85" w:type="dxa"/>
              <w:bottom w:w="57" w:type="dxa"/>
              <w:right w:w="85" w:type="dxa"/>
            </w:tcMar>
            <w:vAlign w:val="center"/>
          </w:tcPr>
          <w:p w14:paraId="703A20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7.9</w:t>
            </w:r>
          </w:p>
        </w:tc>
        <w:tc>
          <w:tcPr>
            <w:tcW w:w="279" w:type="pct"/>
            <w:noWrap w:val="0"/>
            <w:tcMar>
              <w:top w:w="57" w:type="dxa"/>
              <w:left w:w="85" w:type="dxa"/>
              <w:bottom w:w="57" w:type="dxa"/>
              <w:right w:w="85" w:type="dxa"/>
            </w:tcMar>
            <w:vAlign w:val="center"/>
          </w:tcPr>
          <w:p w14:paraId="50D970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1.33</w:t>
            </w:r>
          </w:p>
        </w:tc>
        <w:tc>
          <w:tcPr>
            <w:tcW w:w="385" w:type="pct"/>
            <w:noWrap w:val="0"/>
            <w:tcMar>
              <w:top w:w="57" w:type="dxa"/>
              <w:left w:w="85" w:type="dxa"/>
              <w:bottom w:w="57" w:type="dxa"/>
              <w:right w:w="85" w:type="dxa"/>
            </w:tcMar>
            <w:vAlign w:val="center"/>
          </w:tcPr>
          <w:p w14:paraId="483A2BE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1.48</w:t>
            </w:r>
          </w:p>
        </w:tc>
        <w:tc>
          <w:tcPr>
            <w:tcW w:w="306" w:type="pct"/>
            <w:noWrap w:val="0"/>
            <w:tcMar>
              <w:top w:w="57" w:type="dxa"/>
              <w:left w:w="85" w:type="dxa"/>
              <w:bottom w:w="57" w:type="dxa"/>
              <w:right w:w="85" w:type="dxa"/>
            </w:tcMar>
            <w:vAlign w:val="center"/>
          </w:tcPr>
          <w:p w14:paraId="0B9D8F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50DA70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412</w:t>
            </w:r>
          </w:p>
        </w:tc>
        <w:tc>
          <w:tcPr>
            <w:tcW w:w="301" w:type="pct"/>
            <w:noWrap w:val="0"/>
            <w:tcMar>
              <w:top w:w="57" w:type="dxa"/>
              <w:left w:w="85" w:type="dxa"/>
              <w:bottom w:w="57" w:type="dxa"/>
              <w:right w:w="85" w:type="dxa"/>
            </w:tcMar>
            <w:vAlign w:val="center"/>
          </w:tcPr>
          <w:p w14:paraId="79F333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1293</w:t>
            </w:r>
          </w:p>
        </w:tc>
        <w:tc>
          <w:tcPr>
            <w:tcW w:w="301" w:type="pct"/>
            <w:noWrap w:val="0"/>
            <w:tcMar>
              <w:top w:w="57" w:type="dxa"/>
              <w:left w:w="85" w:type="dxa"/>
              <w:bottom w:w="57" w:type="dxa"/>
              <w:right w:w="85" w:type="dxa"/>
            </w:tcMar>
            <w:vAlign w:val="center"/>
          </w:tcPr>
          <w:p w14:paraId="165D7C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1.19</w:t>
            </w:r>
          </w:p>
        </w:tc>
        <w:tc>
          <w:tcPr>
            <w:tcW w:w="287" w:type="pct"/>
            <w:noWrap w:val="0"/>
            <w:tcMar>
              <w:top w:w="57" w:type="dxa"/>
              <w:left w:w="85" w:type="dxa"/>
              <w:bottom w:w="57" w:type="dxa"/>
              <w:right w:w="85" w:type="dxa"/>
            </w:tcMar>
            <w:vAlign w:val="center"/>
          </w:tcPr>
          <w:p w14:paraId="4048D1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249</w:t>
            </w:r>
          </w:p>
        </w:tc>
        <w:tc>
          <w:tcPr>
            <w:tcW w:w="293" w:type="pct"/>
            <w:noWrap w:val="0"/>
            <w:tcMar>
              <w:top w:w="57" w:type="dxa"/>
              <w:left w:w="85" w:type="dxa"/>
              <w:bottom w:w="57" w:type="dxa"/>
              <w:right w:w="85" w:type="dxa"/>
            </w:tcMar>
            <w:vAlign w:val="center"/>
          </w:tcPr>
          <w:p w14:paraId="593A21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129</w:t>
            </w:r>
          </w:p>
        </w:tc>
        <w:tc>
          <w:tcPr>
            <w:tcW w:w="307" w:type="pct"/>
            <w:noWrap w:val="0"/>
            <w:tcMar>
              <w:top w:w="57" w:type="dxa"/>
              <w:left w:w="85" w:type="dxa"/>
              <w:bottom w:w="57" w:type="dxa"/>
              <w:right w:w="85" w:type="dxa"/>
            </w:tcMar>
            <w:vAlign w:val="center"/>
          </w:tcPr>
          <w:p w14:paraId="0ACDEB5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1.16</w:t>
            </w:r>
          </w:p>
        </w:tc>
        <w:tc>
          <w:tcPr>
            <w:tcW w:w="300" w:type="pct"/>
            <w:noWrap w:val="0"/>
            <w:tcMar>
              <w:top w:w="57" w:type="dxa"/>
              <w:left w:w="85" w:type="dxa"/>
              <w:bottom w:w="57" w:type="dxa"/>
              <w:right w:w="85" w:type="dxa"/>
            </w:tcMar>
            <w:vAlign w:val="center"/>
          </w:tcPr>
          <w:p w14:paraId="6A419AA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551CFA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64597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52F5CBA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2683B9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44CD04A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100~300</w:t>
            </w:r>
          </w:p>
        </w:tc>
        <w:tc>
          <w:tcPr>
            <w:tcW w:w="344" w:type="pct"/>
            <w:noWrap w:val="0"/>
            <w:tcMar>
              <w:top w:w="57" w:type="dxa"/>
              <w:left w:w="85" w:type="dxa"/>
              <w:bottom w:w="57" w:type="dxa"/>
              <w:right w:w="85" w:type="dxa"/>
            </w:tcMar>
            <w:vAlign w:val="center"/>
          </w:tcPr>
          <w:p w14:paraId="441CDF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7.8</w:t>
            </w:r>
          </w:p>
        </w:tc>
        <w:tc>
          <w:tcPr>
            <w:tcW w:w="279" w:type="pct"/>
            <w:noWrap w:val="0"/>
            <w:tcMar>
              <w:top w:w="57" w:type="dxa"/>
              <w:left w:w="85" w:type="dxa"/>
              <w:bottom w:w="57" w:type="dxa"/>
              <w:right w:w="85" w:type="dxa"/>
            </w:tcMar>
            <w:vAlign w:val="center"/>
          </w:tcPr>
          <w:p w14:paraId="64C0C96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1.42</w:t>
            </w:r>
          </w:p>
        </w:tc>
        <w:tc>
          <w:tcPr>
            <w:tcW w:w="385" w:type="pct"/>
            <w:noWrap w:val="0"/>
            <w:tcMar>
              <w:top w:w="57" w:type="dxa"/>
              <w:left w:w="85" w:type="dxa"/>
              <w:bottom w:w="57" w:type="dxa"/>
              <w:right w:w="85" w:type="dxa"/>
            </w:tcMar>
            <w:vAlign w:val="center"/>
          </w:tcPr>
          <w:p w14:paraId="7EEBD6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1.41</w:t>
            </w:r>
          </w:p>
        </w:tc>
        <w:tc>
          <w:tcPr>
            <w:tcW w:w="306" w:type="pct"/>
            <w:noWrap w:val="0"/>
            <w:tcMar>
              <w:top w:w="57" w:type="dxa"/>
              <w:left w:w="85" w:type="dxa"/>
              <w:bottom w:w="57" w:type="dxa"/>
              <w:right w:w="85" w:type="dxa"/>
            </w:tcMar>
            <w:vAlign w:val="center"/>
          </w:tcPr>
          <w:p w14:paraId="36FADD6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144F23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414</w:t>
            </w:r>
          </w:p>
        </w:tc>
        <w:tc>
          <w:tcPr>
            <w:tcW w:w="301" w:type="pct"/>
            <w:noWrap w:val="0"/>
            <w:tcMar>
              <w:top w:w="57" w:type="dxa"/>
              <w:left w:w="85" w:type="dxa"/>
              <w:bottom w:w="57" w:type="dxa"/>
              <w:right w:w="85" w:type="dxa"/>
            </w:tcMar>
            <w:vAlign w:val="center"/>
          </w:tcPr>
          <w:p w14:paraId="27A1F3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1263</w:t>
            </w:r>
          </w:p>
        </w:tc>
        <w:tc>
          <w:tcPr>
            <w:tcW w:w="301" w:type="pct"/>
            <w:noWrap w:val="0"/>
            <w:tcMar>
              <w:top w:w="57" w:type="dxa"/>
              <w:left w:w="85" w:type="dxa"/>
              <w:bottom w:w="57" w:type="dxa"/>
              <w:right w:w="85" w:type="dxa"/>
            </w:tcMar>
            <w:vAlign w:val="center"/>
          </w:tcPr>
          <w:p w14:paraId="0258B1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1.23</w:t>
            </w:r>
          </w:p>
        </w:tc>
        <w:tc>
          <w:tcPr>
            <w:tcW w:w="287" w:type="pct"/>
            <w:noWrap w:val="0"/>
            <w:tcMar>
              <w:top w:w="57" w:type="dxa"/>
              <w:left w:w="85" w:type="dxa"/>
              <w:bottom w:w="57" w:type="dxa"/>
              <w:right w:w="85" w:type="dxa"/>
            </w:tcMar>
            <w:vAlign w:val="center"/>
          </w:tcPr>
          <w:p w14:paraId="641561D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240</w:t>
            </w:r>
          </w:p>
        </w:tc>
        <w:tc>
          <w:tcPr>
            <w:tcW w:w="293" w:type="pct"/>
            <w:noWrap w:val="0"/>
            <w:tcMar>
              <w:top w:w="57" w:type="dxa"/>
              <w:left w:w="85" w:type="dxa"/>
              <w:bottom w:w="57" w:type="dxa"/>
              <w:right w:w="85" w:type="dxa"/>
            </w:tcMar>
            <w:vAlign w:val="center"/>
          </w:tcPr>
          <w:p w14:paraId="53A01B9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151</w:t>
            </w:r>
          </w:p>
        </w:tc>
        <w:tc>
          <w:tcPr>
            <w:tcW w:w="307" w:type="pct"/>
            <w:noWrap w:val="0"/>
            <w:tcMar>
              <w:top w:w="57" w:type="dxa"/>
              <w:left w:w="85" w:type="dxa"/>
              <w:bottom w:w="57" w:type="dxa"/>
              <w:right w:w="85" w:type="dxa"/>
            </w:tcMar>
            <w:vAlign w:val="center"/>
          </w:tcPr>
          <w:p w14:paraId="66AB30B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1.05</w:t>
            </w:r>
          </w:p>
        </w:tc>
        <w:tc>
          <w:tcPr>
            <w:tcW w:w="300" w:type="pct"/>
            <w:noWrap w:val="0"/>
            <w:tcMar>
              <w:top w:w="57" w:type="dxa"/>
              <w:left w:w="85" w:type="dxa"/>
              <w:bottom w:w="57" w:type="dxa"/>
              <w:right w:w="85" w:type="dxa"/>
            </w:tcMar>
            <w:vAlign w:val="center"/>
          </w:tcPr>
          <w:p w14:paraId="01314F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6FFFA3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4FF29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60FDCAC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restart"/>
            <w:noWrap w:val="0"/>
            <w:tcMar>
              <w:top w:w="57" w:type="dxa"/>
              <w:left w:w="85" w:type="dxa"/>
              <w:bottom w:w="57" w:type="dxa"/>
              <w:right w:w="85" w:type="dxa"/>
            </w:tcMar>
            <w:vAlign w:val="center"/>
          </w:tcPr>
          <w:p w14:paraId="36F7F3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5#现有工程哌啶生产装置附近</w:t>
            </w:r>
          </w:p>
        </w:tc>
        <w:tc>
          <w:tcPr>
            <w:tcW w:w="322" w:type="pct"/>
            <w:shd w:val="clear" w:color="auto" w:fill="auto"/>
            <w:noWrap w:val="0"/>
            <w:tcMar>
              <w:top w:w="57" w:type="dxa"/>
              <w:left w:w="85" w:type="dxa"/>
              <w:bottom w:w="57" w:type="dxa"/>
              <w:right w:w="85" w:type="dxa"/>
            </w:tcMar>
            <w:vAlign w:val="center"/>
          </w:tcPr>
          <w:p w14:paraId="2CBC23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0~</w:t>
            </w:r>
            <w:r>
              <w:rPr>
                <w:rFonts w:hint="default" w:ascii="Times New Roman" w:hAnsi="Times New Roman" w:eastAsia="宋体" w:cs="Times New Roman"/>
                <w:b w:val="0"/>
                <w:bCs w:val="0"/>
                <w:snapToGrid w:val="0"/>
                <w:color w:val="auto"/>
                <w:kern w:val="0"/>
                <w:sz w:val="21"/>
                <w:szCs w:val="21"/>
                <w:highlight w:val="none"/>
              </w:rPr>
              <w:t>20</w:t>
            </w:r>
          </w:p>
        </w:tc>
        <w:tc>
          <w:tcPr>
            <w:tcW w:w="344" w:type="pct"/>
            <w:noWrap w:val="0"/>
            <w:tcMar>
              <w:top w:w="57" w:type="dxa"/>
              <w:left w:w="85" w:type="dxa"/>
              <w:bottom w:w="57" w:type="dxa"/>
              <w:right w:w="85" w:type="dxa"/>
            </w:tcMar>
            <w:vAlign w:val="center"/>
          </w:tcPr>
          <w:p w14:paraId="0D24F5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7.6</w:t>
            </w:r>
          </w:p>
        </w:tc>
        <w:tc>
          <w:tcPr>
            <w:tcW w:w="279" w:type="pct"/>
            <w:noWrap w:val="0"/>
            <w:tcMar>
              <w:top w:w="57" w:type="dxa"/>
              <w:left w:w="85" w:type="dxa"/>
              <w:bottom w:w="57" w:type="dxa"/>
              <w:right w:w="85" w:type="dxa"/>
            </w:tcMar>
            <w:vAlign w:val="center"/>
          </w:tcPr>
          <w:p w14:paraId="7E13E5D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1.38</w:t>
            </w:r>
          </w:p>
        </w:tc>
        <w:tc>
          <w:tcPr>
            <w:tcW w:w="385" w:type="pct"/>
            <w:noWrap w:val="0"/>
            <w:tcMar>
              <w:top w:w="57" w:type="dxa"/>
              <w:left w:w="85" w:type="dxa"/>
              <w:bottom w:w="57" w:type="dxa"/>
              <w:right w:w="85" w:type="dxa"/>
            </w:tcMar>
            <w:vAlign w:val="center"/>
          </w:tcPr>
          <w:p w14:paraId="28CAA1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1.38</w:t>
            </w:r>
          </w:p>
        </w:tc>
        <w:tc>
          <w:tcPr>
            <w:tcW w:w="306" w:type="pct"/>
            <w:noWrap w:val="0"/>
            <w:tcMar>
              <w:top w:w="57" w:type="dxa"/>
              <w:left w:w="85" w:type="dxa"/>
              <w:bottom w:w="57" w:type="dxa"/>
              <w:right w:w="85" w:type="dxa"/>
            </w:tcMar>
            <w:vAlign w:val="center"/>
          </w:tcPr>
          <w:p w14:paraId="1CC1BE1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76B673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409</w:t>
            </w:r>
          </w:p>
        </w:tc>
        <w:tc>
          <w:tcPr>
            <w:tcW w:w="301" w:type="pct"/>
            <w:noWrap w:val="0"/>
            <w:tcMar>
              <w:top w:w="57" w:type="dxa"/>
              <w:left w:w="85" w:type="dxa"/>
              <w:bottom w:w="57" w:type="dxa"/>
              <w:right w:w="85" w:type="dxa"/>
            </w:tcMar>
            <w:vAlign w:val="center"/>
          </w:tcPr>
          <w:p w14:paraId="6123B0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1230</w:t>
            </w:r>
          </w:p>
        </w:tc>
        <w:tc>
          <w:tcPr>
            <w:tcW w:w="301" w:type="pct"/>
            <w:noWrap w:val="0"/>
            <w:tcMar>
              <w:top w:w="57" w:type="dxa"/>
              <w:left w:w="85" w:type="dxa"/>
              <w:bottom w:w="57" w:type="dxa"/>
              <w:right w:w="85" w:type="dxa"/>
            </w:tcMar>
            <w:vAlign w:val="center"/>
          </w:tcPr>
          <w:p w14:paraId="6D6895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1.18</w:t>
            </w:r>
          </w:p>
        </w:tc>
        <w:tc>
          <w:tcPr>
            <w:tcW w:w="287" w:type="pct"/>
            <w:noWrap w:val="0"/>
            <w:tcMar>
              <w:top w:w="57" w:type="dxa"/>
              <w:left w:w="85" w:type="dxa"/>
              <w:bottom w:w="57" w:type="dxa"/>
              <w:right w:w="85" w:type="dxa"/>
            </w:tcMar>
            <w:vAlign w:val="center"/>
          </w:tcPr>
          <w:p w14:paraId="72AB14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266</w:t>
            </w:r>
          </w:p>
        </w:tc>
        <w:tc>
          <w:tcPr>
            <w:tcW w:w="293" w:type="pct"/>
            <w:noWrap w:val="0"/>
            <w:tcMar>
              <w:top w:w="57" w:type="dxa"/>
              <w:left w:w="85" w:type="dxa"/>
              <w:bottom w:w="57" w:type="dxa"/>
              <w:right w:w="85" w:type="dxa"/>
            </w:tcMar>
            <w:vAlign w:val="center"/>
          </w:tcPr>
          <w:p w14:paraId="3A9693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153</w:t>
            </w:r>
          </w:p>
        </w:tc>
        <w:tc>
          <w:tcPr>
            <w:tcW w:w="307" w:type="pct"/>
            <w:noWrap w:val="0"/>
            <w:tcMar>
              <w:top w:w="57" w:type="dxa"/>
              <w:left w:w="85" w:type="dxa"/>
              <w:bottom w:w="57" w:type="dxa"/>
              <w:right w:w="85" w:type="dxa"/>
            </w:tcMar>
            <w:vAlign w:val="center"/>
          </w:tcPr>
          <w:p w14:paraId="0CD382E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1.14</w:t>
            </w:r>
          </w:p>
        </w:tc>
        <w:tc>
          <w:tcPr>
            <w:tcW w:w="300" w:type="pct"/>
            <w:noWrap w:val="0"/>
            <w:tcMar>
              <w:top w:w="57" w:type="dxa"/>
              <w:left w:w="85" w:type="dxa"/>
              <w:bottom w:w="57" w:type="dxa"/>
              <w:right w:w="85" w:type="dxa"/>
            </w:tcMar>
            <w:vAlign w:val="center"/>
          </w:tcPr>
          <w:p w14:paraId="366272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085525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1F213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110179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40DB249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50F8C7D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20~</w:t>
            </w:r>
            <w:r>
              <w:rPr>
                <w:rFonts w:hint="default" w:ascii="Times New Roman" w:hAnsi="Times New Roman" w:eastAsia="宋体" w:cs="Times New Roman"/>
                <w:b w:val="0"/>
                <w:bCs w:val="0"/>
                <w:snapToGrid w:val="0"/>
                <w:color w:val="auto"/>
                <w:kern w:val="0"/>
                <w:sz w:val="21"/>
                <w:szCs w:val="21"/>
                <w:highlight w:val="none"/>
              </w:rPr>
              <w:t>100</w:t>
            </w:r>
          </w:p>
        </w:tc>
        <w:tc>
          <w:tcPr>
            <w:tcW w:w="344" w:type="pct"/>
            <w:noWrap w:val="0"/>
            <w:tcMar>
              <w:top w:w="57" w:type="dxa"/>
              <w:left w:w="85" w:type="dxa"/>
              <w:bottom w:w="57" w:type="dxa"/>
              <w:right w:w="85" w:type="dxa"/>
            </w:tcMar>
            <w:vAlign w:val="center"/>
          </w:tcPr>
          <w:p w14:paraId="5BF48D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7.4</w:t>
            </w:r>
          </w:p>
        </w:tc>
        <w:tc>
          <w:tcPr>
            <w:tcW w:w="279" w:type="pct"/>
            <w:noWrap w:val="0"/>
            <w:tcMar>
              <w:top w:w="57" w:type="dxa"/>
              <w:left w:w="85" w:type="dxa"/>
              <w:bottom w:w="57" w:type="dxa"/>
              <w:right w:w="85" w:type="dxa"/>
            </w:tcMar>
            <w:vAlign w:val="center"/>
          </w:tcPr>
          <w:p w14:paraId="7CF83F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1.53</w:t>
            </w:r>
          </w:p>
        </w:tc>
        <w:tc>
          <w:tcPr>
            <w:tcW w:w="385" w:type="pct"/>
            <w:noWrap w:val="0"/>
            <w:tcMar>
              <w:top w:w="57" w:type="dxa"/>
              <w:left w:w="85" w:type="dxa"/>
              <w:bottom w:w="57" w:type="dxa"/>
              <w:right w:w="85" w:type="dxa"/>
            </w:tcMar>
            <w:vAlign w:val="center"/>
          </w:tcPr>
          <w:p w14:paraId="70B472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1.46</w:t>
            </w:r>
          </w:p>
        </w:tc>
        <w:tc>
          <w:tcPr>
            <w:tcW w:w="306" w:type="pct"/>
            <w:noWrap w:val="0"/>
            <w:tcMar>
              <w:top w:w="57" w:type="dxa"/>
              <w:left w:w="85" w:type="dxa"/>
              <w:bottom w:w="57" w:type="dxa"/>
              <w:right w:w="85" w:type="dxa"/>
            </w:tcMar>
            <w:vAlign w:val="center"/>
          </w:tcPr>
          <w:p w14:paraId="61FC27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2C9EB53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423</w:t>
            </w:r>
          </w:p>
        </w:tc>
        <w:tc>
          <w:tcPr>
            <w:tcW w:w="301" w:type="pct"/>
            <w:noWrap w:val="0"/>
            <w:tcMar>
              <w:top w:w="57" w:type="dxa"/>
              <w:left w:w="85" w:type="dxa"/>
              <w:bottom w:w="57" w:type="dxa"/>
              <w:right w:w="85" w:type="dxa"/>
            </w:tcMar>
            <w:vAlign w:val="center"/>
          </w:tcPr>
          <w:p w14:paraId="0F33183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1249</w:t>
            </w:r>
          </w:p>
        </w:tc>
        <w:tc>
          <w:tcPr>
            <w:tcW w:w="301" w:type="pct"/>
            <w:noWrap w:val="0"/>
            <w:tcMar>
              <w:top w:w="57" w:type="dxa"/>
              <w:left w:w="85" w:type="dxa"/>
              <w:bottom w:w="57" w:type="dxa"/>
              <w:right w:w="85" w:type="dxa"/>
            </w:tcMar>
            <w:vAlign w:val="center"/>
          </w:tcPr>
          <w:p w14:paraId="44C146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1.16</w:t>
            </w:r>
          </w:p>
        </w:tc>
        <w:tc>
          <w:tcPr>
            <w:tcW w:w="287" w:type="pct"/>
            <w:noWrap w:val="0"/>
            <w:tcMar>
              <w:top w:w="57" w:type="dxa"/>
              <w:left w:w="85" w:type="dxa"/>
              <w:bottom w:w="57" w:type="dxa"/>
              <w:right w:w="85" w:type="dxa"/>
            </w:tcMar>
            <w:vAlign w:val="center"/>
          </w:tcPr>
          <w:p w14:paraId="3F4AAB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231</w:t>
            </w:r>
          </w:p>
        </w:tc>
        <w:tc>
          <w:tcPr>
            <w:tcW w:w="293" w:type="pct"/>
            <w:noWrap w:val="0"/>
            <w:tcMar>
              <w:top w:w="57" w:type="dxa"/>
              <w:left w:w="85" w:type="dxa"/>
              <w:bottom w:w="57" w:type="dxa"/>
              <w:right w:w="85" w:type="dxa"/>
            </w:tcMar>
            <w:vAlign w:val="center"/>
          </w:tcPr>
          <w:p w14:paraId="321DB94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157</w:t>
            </w:r>
          </w:p>
        </w:tc>
        <w:tc>
          <w:tcPr>
            <w:tcW w:w="307" w:type="pct"/>
            <w:noWrap w:val="0"/>
            <w:tcMar>
              <w:top w:w="57" w:type="dxa"/>
              <w:left w:w="85" w:type="dxa"/>
              <w:bottom w:w="57" w:type="dxa"/>
              <w:right w:w="85" w:type="dxa"/>
            </w:tcMar>
            <w:vAlign w:val="center"/>
          </w:tcPr>
          <w:p w14:paraId="2CFB3E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1.10</w:t>
            </w:r>
          </w:p>
        </w:tc>
        <w:tc>
          <w:tcPr>
            <w:tcW w:w="300" w:type="pct"/>
            <w:noWrap w:val="0"/>
            <w:tcMar>
              <w:top w:w="57" w:type="dxa"/>
              <w:left w:w="85" w:type="dxa"/>
              <w:bottom w:w="57" w:type="dxa"/>
              <w:right w:w="85" w:type="dxa"/>
            </w:tcMar>
            <w:vAlign w:val="center"/>
          </w:tcPr>
          <w:p w14:paraId="5CF2B89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12CE23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7B126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1EC7E60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4556127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0CFACA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100~300</w:t>
            </w:r>
          </w:p>
        </w:tc>
        <w:tc>
          <w:tcPr>
            <w:tcW w:w="344" w:type="pct"/>
            <w:noWrap w:val="0"/>
            <w:tcMar>
              <w:top w:w="57" w:type="dxa"/>
              <w:left w:w="85" w:type="dxa"/>
              <w:bottom w:w="57" w:type="dxa"/>
              <w:right w:w="85" w:type="dxa"/>
            </w:tcMar>
            <w:vAlign w:val="center"/>
          </w:tcPr>
          <w:p w14:paraId="2F805C7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7.5</w:t>
            </w:r>
          </w:p>
        </w:tc>
        <w:tc>
          <w:tcPr>
            <w:tcW w:w="279" w:type="pct"/>
            <w:noWrap w:val="0"/>
            <w:tcMar>
              <w:top w:w="57" w:type="dxa"/>
              <w:left w:w="85" w:type="dxa"/>
              <w:bottom w:w="57" w:type="dxa"/>
              <w:right w:w="85" w:type="dxa"/>
            </w:tcMar>
            <w:vAlign w:val="center"/>
          </w:tcPr>
          <w:p w14:paraId="1F08026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1.33</w:t>
            </w:r>
          </w:p>
        </w:tc>
        <w:tc>
          <w:tcPr>
            <w:tcW w:w="385" w:type="pct"/>
            <w:noWrap w:val="0"/>
            <w:tcMar>
              <w:top w:w="57" w:type="dxa"/>
              <w:left w:w="85" w:type="dxa"/>
              <w:bottom w:w="57" w:type="dxa"/>
              <w:right w:w="85" w:type="dxa"/>
            </w:tcMar>
            <w:vAlign w:val="center"/>
          </w:tcPr>
          <w:p w14:paraId="503E06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1.44</w:t>
            </w:r>
          </w:p>
        </w:tc>
        <w:tc>
          <w:tcPr>
            <w:tcW w:w="306" w:type="pct"/>
            <w:noWrap w:val="0"/>
            <w:tcMar>
              <w:top w:w="57" w:type="dxa"/>
              <w:left w:w="85" w:type="dxa"/>
              <w:bottom w:w="57" w:type="dxa"/>
              <w:right w:w="85" w:type="dxa"/>
            </w:tcMar>
            <w:vAlign w:val="center"/>
          </w:tcPr>
          <w:p w14:paraId="3F369CB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5A3D0C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420</w:t>
            </w:r>
          </w:p>
        </w:tc>
        <w:tc>
          <w:tcPr>
            <w:tcW w:w="301" w:type="pct"/>
            <w:noWrap w:val="0"/>
            <w:tcMar>
              <w:top w:w="57" w:type="dxa"/>
              <w:left w:w="85" w:type="dxa"/>
              <w:bottom w:w="57" w:type="dxa"/>
              <w:right w:w="85" w:type="dxa"/>
            </w:tcMar>
            <w:vAlign w:val="center"/>
          </w:tcPr>
          <w:p w14:paraId="48B0D0A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1311</w:t>
            </w:r>
          </w:p>
        </w:tc>
        <w:tc>
          <w:tcPr>
            <w:tcW w:w="301" w:type="pct"/>
            <w:noWrap w:val="0"/>
            <w:tcMar>
              <w:top w:w="57" w:type="dxa"/>
              <w:left w:w="85" w:type="dxa"/>
              <w:bottom w:w="57" w:type="dxa"/>
              <w:right w:w="85" w:type="dxa"/>
            </w:tcMar>
            <w:vAlign w:val="center"/>
          </w:tcPr>
          <w:p w14:paraId="04E40D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1.17</w:t>
            </w:r>
          </w:p>
        </w:tc>
        <w:tc>
          <w:tcPr>
            <w:tcW w:w="287" w:type="pct"/>
            <w:noWrap w:val="0"/>
            <w:tcMar>
              <w:top w:w="57" w:type="dxa"/>
              <w:left w:w="85" w:type="dxa"/>
              <w:bottom w:w="57" w:type="dxa"/>
              <w:right w:w="85" w:type="dxa"/>
            </w:tcMar>
            <w:vAlign w:val="center"/>
          </w:tcPr>
          <w:p w14:paraId="4C1829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252</w:t>
            </w:r>
          </w:p>
        </w:tc>
        <w:tc>
          <w:tcPr>
            <w:tcW w:w="293" w:type="pct"/>
            <w:noWrap w:val="0"/>
            <w:tcMar>
              <w:top w:w="57" w:type="dxa"/>
              <w:left w:w="85" w:type="dxa"/>
              <w:bottom w:w="57" w:type="dxa"/>
              <w:right w:w="85" w:type="dxa"/>
            </w:tcMar>
            <w:vAlign w:val="center"/>
          </w:tcPr>
          <w:p w14:paraId="6F3AB5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155</w:t>
            </w:r>
          </w:p>
        </w:tc>
        <w:tc>
          <w:tcPr>
            <w:tcW w:w="307" w:type="pct"/>
            <w:noWrap w:val="0"/>
            <w:tcMar>
              <w:top w:w="57" w:type="dxa"/>
              <w:left w:w="85" w:type="dxa"/>
              <w:bottom w:w="57" w:type="dxa"/>
              <w:right w:w="85" w:type="dxa"/>
            </w:tcMar>
            <w:vAlign w:val="center"/>
          </w:tcPr>
          <w:p w14:paraId="41480E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1.10</w:t>
            </w:r>
          </w:p>
        </w:tc>
        <w:tc>
          <w:tcPr>
            <w:tcW w:w="300" w:type="pct"/>
            <w:noWrap w:val="0"/>
            <w:tcMar>
              <w:top w:w="57" w:type="dxa"/>
              <w:left w:w="85" w:type="dxa"/>
              <w:bottom w:w="57" w:type="dxa"/>
              <w:right w:w="85" w:type="dxa"/>
            </w:tcMar>
            <w:vAlign w:val="center"/>
          </w:tcPr>
          <w:p w14:paraId="3E83DB1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7AA5563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381E5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59D49B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restart"/>
            <w:noWrap w:val="0"/>
            <w:tcMar>
              <w:top w:w="57" w:type="dxa"/>
              <w:left w:w="85" w:type="dxa"/>
              <w:bottom w:w="57" w:type="dxa"/>
              <w:right w:w="85" w:type="dxa"/>
            </w:tcMar>
            <w:vAlign w:val="center"/>
          </w:tcPr>
          <w:p w14:paraId="22F1968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6#</w:t>
            </w:r>
            <w:r>
              <w:rPr>
                <w:rFonts w:hint="default" w:ascii="Times New Roman" w:hAnsi="Times New Roman" w:eastAsia="宋体" w:cs="Times New Roman"/>
                <w:b w:val="0"/>
                <w:bCs w:val="0"/>
                <w:snapToGrid w:val="0"/>
                <w:color w:val="auto"/>
                <w:kern w:val="0"/>
                <w:sz w:val="21"/>
                <w:szCs w:val="21"/>
                <w:highlight w:val="none"/>
                <w:lang w:val="en-US" w:eastAsia="zh-CN"/>
              </w:rPr>
              <w:t>现有工程污水处理站附近</w:t>
            </w:r>
          </w:p>
        </w:tc>
        <w:tc>
          <w:tcPr>
            <w:tcW w:w="322" w:type="pct"/>
            <w:shd w:val="clear" w:color="auto" w:fill="auto"/>
            <w:noWrap w:val="0"/>
            <w:tcMar>
              <w:top w:w="57" w:type="dxa"/>
              <w:left w:w="85" w:type="dxa"/>
              <w:bottom w:w="57" w:type="dxa"/>
              <w:right w:w="85" w:type="dxa"/>
            </w:tcMar>
            <w:vAlign w:val="center"/>
          </w:tcPr>
          <w:p w14:paraId="37224D7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0~</w:t>
            </w:r>
            <w:r>
              <w:rPr>
                <w:rFonts w:hint="default" w:ascii="Times New Roman" w:hAnsi="Times New Roman" w:eastAsia="宋体" w:cs="Times New Roman"/>
                <w:b w:val="0"/>
                <w:bCs w:val="0"/>
                <w:snapToGrid w:val="0"/>
                <w:color w:val="auto"/>
                <w:kern w:val="0"/>
                <w:sz w:val="21"/>
                <w:szCs w:val="21"/>
                <w:highlight w:val="none"/>
              </w:rPr>
              <w:t>20</w:t>
            </w:r>
          </w:p>
        </w:tc>
        <w:tc>
          <w:tcPr>
            <w:tcW w:w="344" w:type="pct"/>
            <w:noWrap w:val="0"/>
            <w:tcMar>
              <w:top w:w="57" w:type="dxa"/>
              <w:left w:w="85" w:type="dxa"/>
              <w:bottom w:w="57" w:type="dxa"/>
              <w:right w:w="85" w:type="dxa"/>
            </w:tcMar>
            <w:vAlign w:val="center"/>
          </w:tcPr>
          <w:p w14:paraId="590A301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7.7</w:t>
            </w:r>
          </w:p>
        </w:tc>
        <w:tc>
          <w:tcPr>
            <w:tcW w:w="279" w:type="pct"/>
            <w:noWrap w:val="0"/>
            <w:tcMar>
              <w:top w:w="57" w:type="dxa"/>
              <w:left w:w="85" w:type="dxa"/>
              <w:bottom w:w="57" w:type="dxa"/>
              <w:right w:w="85" w:type="dxa"/>
            </w:tcMar>
            <w:vAlign w:val="center"/>
          </w:tcPr>
          <w:p w14:paraId="5CBF323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1.44</w:t>
            </w:r>
          </w:p>
        </w:tc>
        <w:tc>
          <w:tcPr>
            <w:tcW w:w="385" w:type="pct"/>
            <w:noWrap w:val="0"/>
            <w:tcMar>
              <w:top w:w="57" w:type="dxa"/>
              <w:left w:w="85" w:type="dxa"/>
              <w:bottom w:w="57" w:type="dxa"/>
              <w:right w:w="85" w:type="dxa"/>
            </w:tcMar>
            <w:vAlign w:val="center"/>
          </w:tcPr>
          <w:p w14:paraId="19982B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1.19</w:t>
            </w:r>
          </w:p>
        </w:tc>
        <w:tc>
          <w:tcPr>
            <w:tcW w:w="306" w:type="pct"/>
            <w:noWrap w:val="0"/>
            <w:tcMar>
              <w:top w:w="57" w:type="dxa"/>
              <w:left w:w="85" w:type="dxa"/>
              <w:bottom w:w="57" w:type="dxa"/>
              <w:right w:w="85" w:type="dxa"/>
            </w:tcMar>
            <w:vAlign w:val="center"/>
          </w:tcPr>
          <w:p w14:paraId="643FCDB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5CBF8BE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416</w:t>
            </w:r>
          </w:p>
        </w:tc>
        <w:tc>
          <w:tcPr>
            <w:tcW w:w="301" w:type="pct"/>
            <w:noWrap w:val="0"/>
            <w:tcMar>
              <w:top w:w="57" w:type="dxa"/>
              <w:left w:w="85" w:type="dxa"/>
              <w:bottom w:w="57" w:type="dxa"/>
              <w:right w:w="85" w:type="dxa"/>
            </w:tcMar>
            <w:vAlign w:val="center"/>
          </w:tcPr>
          <w:p w14:paraId="7D80FB1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1334</w:t>
            </w:r>
          </w:p>
        </w:tc>
        <w:tc>
          <w:tcPr>
            <w:tcW w:w="301" w:type="pct"/>
            <w:noWrap w:val="0"/>
            <w:tcMar>
              <w:top w:w="57" w:type="dxa"/>
              <w:left w:w="85" w:type="dxa"/>
              <w:bottom w:w="57" w:type="dxa"/>
              <w:right w:w="85" w:type="dxa"/>
            </w:tcMar>
            <w:vAlign w:val="center"/>
          </w:tcPr>
          <w:p w14:paraId="778CF1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1.21</w:t>
            </w:r>
          </w:p>
        </w:tc>
        <w:tc>
          <w:tcPr>
            <w:tcW w:w="287" w:type="pct"/>
            <w:noWrap w:val="0"/>
            <w:tcMar>
              <w:top w:w="57" w:type="dxa"/>
              <w:left w:w="85" w:type="dxa"/>
              <w:bottom w:w="57" w:type="dxa"/>
              <w:right w:w="85" w:type="dxa"/>
            </w:tcMar>
            <w:vAlign w:val="center"/>
          </w:tcPr>
          <w:p w14:paraId="2951310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264</w:t>
            </w:r>
          </w:p>
        </w:tc>
        <w:tc>
          <w:tcPr>
            <w:tcW w:w="293" w:type="pct"/>
            <w:noWrap w:val="0"/>
            <w:tcMar>
              <w:top w:w="57" w:type="dxa"/>
              <w:left w:w="85" w:type="dxa"/>
              <w:bottom w:w="57" w:type="dxa"/>
              <w:right w:w="85" w:type="dxa"/>
            </w:tcMar>
            <w:vAlign w:val="center"/>
          </w:tcPr>
          <w:p w14:paraId="3CFC98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146</w:t>
            </w:r>
          </w:p>
        </w:tc>
        <w:tc>
          <w:tcPr>
            <w:tcW w:w="307" w:type="pct"/>
            <w:noWrap w:val="0"/>
            <w:tcMar>
              <w:top w:w="57" w:type="dxa"/>
              <w:left w:w="85" w:type="dxa"/>
              <w:bottom w:w="57" w:type="dxa"/>
              <w:right w:w="85" w:type="dxa"/>
            </w:tcMar>
            <w:vAlign w:val="center"/>
          </w:tcPr>
          <w:p w14:paraId="2F4ED72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1.16</w:t>
            </w:r>
          </w:p>
        </w:tc>
        <w:tc>
          <w:tcPr>
            <w:tcW w:w="300" w:type="pct"/>
            <w:noWrap w:val="0"/>
            <w:tcMar>
              <w:top w:w="57" w:type="dxa"/>
              <w:left w:w="85" w:type="dxa"/>
              <w:bottom w:w="57" w:type="dxa"/>
              <w:right w:w="85" w:type="dxa"/>
            </w:tcMar>
            <w:vAlign w:val="center"/>
          </w:tcPr>
          <w:p w14:paraId="542B04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1455DE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542B6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0FAF71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2A27A81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1EF1F37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20~</w:t>
            </w:r>
            <w:r>
              <w:rPr>
                <w:rFonts w:hint="default" w:ascii="Times New Roman" w:hAnsi="Times New Roman" w:eastAsia="宋体" w:cs="Times New Roman"/>
                <w:b w:val="0"/>
                <w:bCs w:val="0"/>
                <w:snapToGrid w:val="0"/>
                <w:color w:val="auto"/>
                <w:kern w:val="0"/>
                <w:sz w:val="21"/>
                <w:szCs w:val="21"/>
                <w:highlight w:val="none"/>
              </w:rPr>
              <w:t>100</w:t>
            </w:r>
          </w:p>
        </w:tc>
        <w:tc>
          <w:tcPr>
            <w:tcW w:w="344" w:type="pct"/>
            <w:noWrap w:val="0"/>
            <w:tcMar>
              <w:top w:w="57" w:type="dxa"/>
              <w:left w:w="85" w:type="dxa"/>
              <w:bottom w:w="57" w:type="dxa"/>
              <w:right w:w="85" w:type="dxa"/>
            </w:tcMar>
            <w:vAlign w:val="center"/>
          </w:tcPr>
          <w:p w14:paraId="147772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7.5</w:t>
            </w:r>
          </w:p>
        </w:tc>
        <w:tc>
          <w:tcPr>
            <w:tcW w:w="279" w:type="pct"/>
            <w:noWrap w:val="0"/>
            <w:tcMar>
              <w:top w:w="57" w:type="dxa"/>
              <w:left w:w="85" w:type="dxa"/>
              <w:bottom w:w="57" w:type="dxa"/>
              <w:right w:w="85" w:type="dxa"/>
            </w:tcMar>
            <w:vAlign w:val="center"/>
          </w:tcPr>
          <w:p w14:paraId="0D8726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1.22</w:t>
            </w:r>
          </w:p>
        </w:tc>
        <w:tc>
          <w:tcPr>
            <w:tcW w:w="385" w:type="pct"/>
            <w:noWrap w:val="0"/>
            <w:tcMar>
              <w:top w:w="57" w:type="dxa"/>
              <w:left w:w="85" w:type="dxa"/>
              <w:bottom w:w="57" w:type="dxa"/>
              <w:right w:w="85" w:type="dxa"/>
            </w:tcMar>
            <w:vAlign w:val="center"/>
          </w:tcPr>
          <w:p w14:paraId="6D202E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1.21</w:t>
            </w:r>
          </w:p>
        </w:tc>
        <w:tc>
          <w:tcPr>
            <w:tcW w:w="306" w:type="pct"/>
            <w:noWrap w:val="0"/>
            <w:tcMar>
              <w:top w:w="57" w:type="dxa"/>
              <w:left w:w="85" w:type="dxa"/>
              <w:bottom w:w="57" w:type="dxa"/>
              <w:right w:w="85" w:type="dxa"/>
            </w:tcMar>
            <w:vAlign w:val="center"/>
          </w:tcPr>
          <w:p w14:paraId="4EA928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44F5DD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399</w:t>
            </w:r>
          </w:p>
        </w:tc>
        <w:tc>
          <w:tcPr>
            <w:tcW w:w="301" w:type="pct"/>
            <w:noWrap w:val="0"/>
            <w:tcMar>
              <w:top w:w="57" w:type="dxa"/>
              <w:left w:w="85" w:type="dxa"/>
              <w:bottom w:w="57" w:type="dxa"/>
              <w:right w:w="85" w:type="dxa"/>
            </w:tcMar>
            <w:vAlign w:val="center"/>
          </w:tcPr>
          <w:p w14:paraId="1E025BB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1268</w:t>
            </w:r>
          </w:p>
        </w:tc>
        <w:tc>
          <w:tcPr>
            <w:tcW w:w="301" w:type="pct"/>
            <w:noWrap w:val="0"/>
            <w:tcMar>
              <w:top w:w="57" w:type="dxa"/>
              <w:left w:w="85" w:type="dxa"/>
              <w:bottom w:w="57" w:type="dxa"/>
              <w:right w:w="85" w:type="dxa"/>
            </w:tcMar>
            <w:vAlign w:val="center"/>
          </w:tcPr>
          <w:p w14:paraId="391F9F7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1.04</w:t>
            </w:r>
          </w:p>
        </w:tc>
        <w:tc>
          <w:tcPr>
            <w:tcW w:w="287" w:type="pct"/>
            <w:noWrap w:val="0"/>
            <w:tcMar>
              <w:top w:w="57" w:type="dxa"/>
              <w:left w:w="85" w:type="dxa"/>
              <w:bottom w:w="57" w:type="dxa"/>
              <w:right w:w="85" w:type="dxa"/>
            </w:tcMar>
            <w:vAlign w:val="center"/>
          </w:tcPr>
          <w:p w14:paraId="348793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282</w:t>
            </w:r>
          </w:p>
        </w:tc>
        <w:tc>
          <w:tcPr>
            <w:tcW w:w="293" w:type="pct"/>
            <w:noWrap w:val="0"/>
            <w:tcMar>
              <w:top w:w="57" w:type="dxa"/>
              <w:left w:w="85" w:type="dxa"/>
              <w:bottom w:w="57" w:type="dxa"/>
              <w:right w:w="85" w:type="dxa"/>
            </w:tcMar>
            <w:vAlign w:val="center"/>
          </w:tcPr>
          <w:p w14:paraId="6A79E63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128</w:t>
            </w:r>
          </w:p>
        </w:tc>
        <w:tc>
          <w:tcPr>
            <w:tcW w:w="307" w:type="pct"/>
            <w:noWrap w:val="0"/>
            <w:tcMar>
              <w:top w:w="57" w:type="dxa"/>
              <w:left w:w="85" w:type="dxa"/>
              <w:bottom w:w="57" w:type="dxa"/>
              <w:right w:w="85" w:type="dxa"/>
            </w:tcMar>
            <w:vAlign w:val="center"/>
          </w:tcPr>
          <w:p w14:paraId="31B3A00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1.11</w:t>
            </w:r>
          </w:p>
        </w:tc>
        <w:tc>
          <w:tcPr>
            <w:tcW w:w="300" w:type="pct"/>
            <w:noWrap w:val="0"/>
            <w:tcMar>
              <w:top w:w="57" w:type="dxa"/>
              <w:left w:w="85" w:type="dxa"/>
              <w:bottom w:w="57" w:type="dxa"/>
              <w:right w:w="85" w:type="dxa"/>
            </w:tcMar>
            <w:vAlign w:val="center"/>
          </w:tcPr>
          <w:p w14:paraId="612E59E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3B087E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6676C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2183EA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757102C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shd w:val="clear" w:color="auto" w:fill="auto"/>
            <w:noWrap w:val="0"/>
            <w:tcMar>
              <w:top w:w="57" w:type="dxa"/>
              <w:left w:w="85" w:type="dxa"/>
              <w:bottom w:w="57" w:type="dxa"/>
              <w:right w:w="85" w:type="dxa"/>
            </w:tcMar>
            <w:vAlign w:val="center"/>
          </w:tcPr>
          <w:p w14:paraId="32E31C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lang w:val="en-US" w:eastAsia="zh-CN"/>
              </w:rPr>
              <w:t>100~300</w:t>
            </w:r>
          </w:p>
        </w:tc>
        <w:tc>
          <w:tcPr>
            <w:tcW w:w="344" w:type="pct"/>
            <w:noWrap w:val="0"/>
            <w:tcMar>
              <w:top w:w="57" w:type="dxa"/>
              <w:left w:w="85" w:type="dxa"/>
              <w:bottom w:w="57" w:type="dxa"/>
              <w:right w:w="85" w:type="dxa"/>
            </w:tcMar>
            <w:vAlign w:val="center"/>
          </w:tcPr>
          <w:p w14:paraId="46EC446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7.4</w:t>
            </w:r>
          </w:p>
        </w:tc>
        <w:tc>
          <w:tcPr>
            <w:tcW w:w="279" w:type="pct"/>
            <w:noWrap w:val="0"/>
            <w:tcMar>
              <w:top w:w="57" w:type="dxa"/>
              <w:left w:w="85" w:type="dxa"/>
              <w:bottom w:w="57" w:type="dxa"/>
              <w:right w:w="85" w:type="dxa"/>
            </w:tcMar>
            <w:vAlign w:val="center"/>
          </w:tcPr>
          <w:p w14:paraId="3D521D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1.20</w:t>
            </w:r>
          </w:p>
        </w:tc>
        <w:tc>
          <w:tcPr>
            <w:tcW w:w="385" w:type="pct"/>
            <w:noWrap w:val="0"/>
            <w:tcMar>
              <w:top w:w="57" w:type="dxa"/>
              <w:left w:w="85" w:type="dxa"/>
              <w:bottom w:w="57" w:type="dxa"/>
              <w:right w:w="85" w:type="dxa"/>
            </w:tcMar>
            <w:vAlign w:val="center"/>
          </w:tcPr>
          <w:p w14:paraId="752C5C3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1.15</w:t>
            </w:r>
          </w:p>
        </w:tc>
        <w:tc>
          <w:tcPr>
            <w:tcW w:w="306" w:type="pct"/>
            <w:noWrap w:val="0"/>
            <w:tcMar>
              <w:top w:w="57" w:type="dxa"/>
              <w:left w:w="85" w:type="dxa"/>
              <w:bottom w:w="57" w:type="dxa"/>
              <w:right w:w="85" w:type="dxa"/>
            </w:tcMar>
            <w:vAlign w:val="center"/>
          </w:tcPr>
          <w:p w14:paraId="1434F3C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279C1F0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416</w:t>
            </w:r>
          </w:p>
        </w:tc>
        <w:tc>
          <w:tcPr>
            <w:tcW w:w="301" w:type="pct"/>
            <w:noWrap w:val="0"/>
            <w:tcMar>
              <w:top w:w="57" w:type="dxa"/>
              <w:left w:w="85" w:type="dxa"/>
              <w:bottom w:w="57" w:type="dxa"/>
              <w:right w:w="85" w:type="dxa"/>
            </w:tcMar>
            <w:vAlign w:val="center"/>
          </w:tcPr>
          <w:p w14:paraId="41E755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1227</w:t>
            </w:r>
          </w:p>
        </w:tc>
        <w:tc>
          <w:tcPr>
            <w:tcW w:w="301" w:type="pct"/>
            <w:noWrap w:val="0"/>
            <w:tcMar>
              <w:top w:w="57" w:type="dxa"/>
              <w:left w:w="85" w:type="dxa"/>
              <w:bottom w:w="57" w:type="dxa"/>
              <w:right w:w="85" w:type="dxa"/>
            </w:tcMar>
            <w:vAlign w:val="center"/>
          </w:tcPr>
          <w:p w14:paraId="43305B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1.11</w:t>
            </w:r>
          </w:p>
        </w:tc>
        <w:tc>
          <w:tcPr>
            <w:tcW w:w="287" w:type="pct"/>
            <w:noWrap w:val="0"/>
            <w:tcMar>
              <w:top w:w="57" w:type="dxa"/>
              <w:left w:w="85" w:type="dxa"/>
              <w:bottom w:w="57" w:type="dxa"/>
              <w:right w:w="85" w:type="dxa"/>
            </w:tcMar>
            <w:vAlign w:val="center"/>
          </w:tcPr>
          <w:p w14:paraId="6D02C5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291</w:t>
            </w:r>
          </w:p>
        </w:tc>
        <w:tc>
          <w:tcPr>
            <w:tcW w:w="293" w:type="pct"/>
            <w:noWrap w:val="0"/>
            <w:tcMar>
              <w:top w:w="57" w:type="dxa"/>
              <w:left w:w="85" w:type="dxa"/>
              <w:bottom w:w="57" w:type="dxa"/>
              <w:right w:w="85" w:type="dxa"/>
            </w:tcMar>
            <w:vAlign w:val="center"/>
          </w:tcPr>
          <w:p w14:paraId="2556402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140</w:t>
            </w:r>
          </w:p>
        </w:tc>
        <w:tc>
          <w:tcPr>
            <w:tcW w:w="307" w:type="pct"/>
            <w:noWrap w:val="0"/>
            <w:tcMar>
              <w:top w:w="57" w:type="dxa"/>
              <w:left w:w="85" w:type="dxa"/>
              <w:bottom w:w="57" w:type="dxa"/>
              <w:right w:w="85" w:type="dxa"/>
            </w:tcMar>
            <w:vAlign w:val="center"/>
          </w:tcPr>
          <w:p w14:paraId="35C230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1.11</w:t>
            </w:r>
          </w:p>
        </w:tc>
        <w:tc>
          <w:tcPr>
            <w:tcW w:w="300" w:type="pct"/>
            <w:noWrap w:val="0"/>
            <w:tcMar>
              <w:top w:w="57" w:type="dxa"/>
              <w:left w:w="85" w:type="dxa"/>
              <w:bottom w:w="57" w:type="dxa"/>
              <w:right w:w="85" w:type="dxa"/>
            </w:tcMar>
            <w:vAlign w:val="center"/>
          </w:tcPr>
          <w:p w14:paraId="7650F2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78D64B8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r w14:paraId="31E9B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83" w:hRule="atLeast"/>
          <w:jc w:val="center"/>
        </w:trPr>
        <w:tc>
          <w:tcPr>
            <w:tcW w:w="394" w:type="pct"/>
            <w:vMerge w:val="continue"/>
            <w:noWrap w:val="0"/>
            <w:tcMar>
              <w:top w:w="57" w:type="dxa"/>
              <w:left w:w="85" w:type="dxa"/>
              <w:bottom w:w="57" w:type="dxa"/>
              <w:right w:w="85" w:type="dxa"/>
            </w:tcMar>
            <w:vAlign w:val="center"/>
          </w:tcPr>
          <w:p w14:paraId="5983D51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466" w:type="pct"/>
            <w:vMerge w:val="continue"/>
            <w:noWrap w:val="0"/>
            <w:tcMar>
              <w:top w:w="57" w:type="dxa"/>
              <w:left w:w="85" w:type="dxa"/>
              <w:bottom w:w="57" w:type="dxa"/>
              <w:right w:w="85" w:type="dxa"/>
            </w:tcMar>
            <w:vAlign w:val="center"/>
          </w:tcPr>
          <w:p w14:paraId="3102C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p>
        </w:tc>
        <w:tc>
          <w:tcPr>
            <w:tcW w:w="322" w:type="pct"/>
            <w:noWrap w:val="0"/>
            <w:tcMar>
              <w:top w:w="57" w:type="dxa"/>
              <w:left w:w="85" w:type="dxa"/>
              <w:bottom w:w="57" w:type="dxa"/>
              <w:right w:w="85" w:type="dxa"/>
            </w:tcMar>
            <w:vAlign w:val="center"/>
          </w:tcPr>
          <w:p w14:paraId="638E9E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400</w:t>
            </w:r>
          </w:p>
        </w:tc>
        <w:tc>
          <w:tcPr>
            <w:tcW w:w="344" w:type="pct"/>
            <w:noWrap w:val="0"/>
            <w:tcMar>
              <w:top w:w="57" w:type="dxa"/>
              <w:left w:w="85" w:type="dxa"/>
              <w:bottom w:w="57" w:type="dxa"/>
              <w:right w:w="85" w:type="dxa"/>
            </w:tcMar>
            <w:vAlign w:val="center"/>
          </w:tcPr>
          <w:p w14:paraId="34CA13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7.5</w:t>
            </w:r>
          </w:p>
        </w:tc>
        <w:tc>
          <w:tcPr>
            <w:tcW w:w="279" w:type="pct"/>
            <w:noWrap w:val="0"/>
            <w:tcMar>
              <w:top w:w="57" w:type="dxa"/>
              <w:left w:w="85" w:type="dxa"/>
              <w:bottom w:w="57" w:type="dxa"/>
              <w:right w:w="85" w:type="dxa"/>
            </w:tcMar>
            <w:vAlign w:val="center"/>
          </w:tcPr>
          <w:p w14:paraId="789047E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1.29</w:t>
            </w:r>
          </w:p>
        </w:tc>
        <w:tc>
          <w:tcPr>
            <w:tcW w:w="385" w:type="pct"/>
            <w:noWrap w:val="0"/>
            <w:tcMar>
              <w:top w:w="57" w:type="dxa"/>
              <w:left w:w="85" w:type="dxa"/>
              <w:bottom w:w="57" w:type="dxa"/>
              <w:right w:w="85" w:type="dxa"/>
            </w:tcMar>
            <w:vAlign w:val="center"/>
          </w:tcPr>
          <w:p w14:paraId="06D9C2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1.17</w:t>
            </w:r>
          </w:p>
        </w:tc>
        <w:tc>
          <w:tcPr>
            <w:tcW w:w="306" w:type="pct"/>
            <w:noWrap w:val="0"/>
            <w:tcMar>
              <w:top w:w="57" w:type="dxa"/>
              <w:left w:w="85" w:type="dxa"/>
              <w:bottom w:w="57" w:type="dxa"/>
              <w:right w:w="85" w:type="dxa"/>
            </w:tcMar>
            <w:vAlign w:val="center"/>
          </w:tcPr>
          <w:p w14:paraId="604663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未检出</w:t>
            </w:r>
          </w:p>
        </w:tc>
        <w:tc>
          <w:tcPr>
            <w:tcW w:w="306" w:type="pct"/>
            <w:noWrap w:val="0"/>
            <w:tcMar>
              <w:top w:w="57" w:type="dxa"/>
              <w:left w:w="85" w:type="dxa"/>
              <w:bottom w:w="57" w:type="dxa"/>
              <w:right w:w="85" w:type="dxa"/>
            </w:tcMar>
            <w:vAlign w:val="center"/>
          </w:tcPr>
          <w:p w14:paraId="4AC1D3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423</w:t>
            </w:r>
          </w:p>
        </w:tc>
        <w:tc>
          <w:tcPr>
            <w:tcW w:w="301" w:type="pct"/>
            <w:noWrap w:val="0"/>
            <w:tcMar>
              <w:top w:w="57" w:type="dxa"/>
              <w:left w:w="85" w:type="dxa"/>
              <w:bottom w:w="57" w:type="dxa"/>
              <w:right w:w="85" w:type="dxa"/>
            </w:tcMar>
            <w:vAlign w:val="center"/>
          </w:tcPr>
          <w:p w14:paraId="50318C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1296</w:t>
            </w:r>
          </w:p>
        </w:tc>
        <w:tc>
          <w:tcPr>
            <w:tcW w:w="301" w:type="pct"/>
            <w:noWrap w:val="0"/>
            <w:tcMar>
              <w:top w:w="57" w:type="dxa"/>
              <w:left w:w="85" w:type="dxa"/>
              <w:bottom w:w="57" w:type="dxa"/>
              <w:right w:w="85" w:type="dxa"/>
            </w:tcMar>
            <w:vAlign w:val="center"/>
          </w:tcPr>
          <w:p w14:paraId="59FBB2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1.16</w:t>
            </w:r>
          </w:p>
        </w:tc>
        <w:tc>
          <w:tcPr>
            <w:tcW w:w="287" w:type="pct"/>
            <w:noWrap w:val="0"/>
            <w:tcMar>
              <w:top w:w="57" w:type="dxa"/>
              <w:left w:w="85" w:type="dxa"/>
              <w:bottom w:w="57" w:type="dxa"/>
              <w:right w:w="85" w:type="dxa"/>
            </w:tcMar>
            <w:vAlign w:val="center"/>
          </w:tcPr>
          <w:p w14:paraId="4A27EB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273</w:t>
            </w:r>
          </w:p>
        </w:tc>
        <w:tc>
          <w:tcPr>
            <w:tcW w:w="293" w:type="pct"/>
            <w:noWrap w:val="0"/>
            <w:tcMar>
              <w:top w:w="57" w:type="dxa"/>
              <w:left w:w="85" w:type="dxa"/>
              <w:bottom w:w="57" w:type="dxa"/>
              <w:right w:w="85" w:type="dxa"/>
            </w:tcMar>
            <w:vAlign w:val="center"/>
          </w:tcPr>
          <w:p w14:paraId="7C1D56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144</w:t>
            </w:r>
          </w:p>
        </w:tc>
        <w:tc>
          <w:tcPr>
            <w:tcW w:w="307" w:type="pct"/>
            <w:noWrap w:val="0"/>
            <w:tcMar>
              <w:top w:w="57" w:type="dxa"/>
              <w:left w:w="85" w:type="dxa"/>
              <w:bottom w:w="57" w:type="dxa"/>
              <w:right w:w="85" w:type="dxa"/>
            </w:tcMar>
            <w:vAlign w:val="center"/>
          </w:tcPr>
          <w:p w14:paraId="40CC74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1.15</w:t>
            </w:r>
          </w:p>
        </w:tc>
        <w:tc>
          <w:tcPr>
            <w:tcW w:w="300" w:type="pct"/>
            <w:noWrap w:val="0"/>
            <w:tcMar>
              <w:top w:w="57" w:type="dxa"/>
              <w:left w:w="85" w:type="dxa"/>
              <w:bottom w:w="57" w:type="dxa"/>
              <w:right w:w="85" w:type="dxa"/>
            </w:tcMar>
            <w:vAlign w:val="center"/>
          </w:tcPr>
          <w:p w14:paraId="5CBDAEF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402" w:type="pct"/>
            <w:noWrap w:val="0"/>
            <w:tcMar>
              <w:top w:w="57" w:type="dxa"/>
              <w:left w:w="85" w:type="dxa"/>
              <w:bottom w:w="57" w:type="dxa"/>
              <w:right w:w="85" w:type="dxa"/>
            </w:tcMar>
            <w:vAlign w:val="center"/>
          </w:tcPr>
          <w:p w14:paraId="150BF0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＜0.001</w:t>
            </w:r>
          </w:p>
        </w:tc>
      </w:tr>
    </w:tbl>
    <w:p w14:paraId="3BF199DE">
      <w:pPr>
        <w:widowControl/>
        <w:snapToGrid w:val="0"/>
        <w:spacing w:after="0" w:line="360" w:lineRule="auto"/>
        <w:ind w:left="0" w:leftChars="0" w:firstLine="480" w:firstLineChars="200"/>
        <w:jc w:val="both"/>
        <w:rPr>
          <w:rFonts w:hint="default" w:ascii="Times New Roman" w:hAnsi="Times New Roman" w:eastAsia="宋体" w:cs="Times New Roman"/>
          <w:color w:val="auto"/>
          <w:kern w:val="0"/>
          <w:sz w:val="24"/>
          <w:szCs w:val="21"/>
          <w:highlight w:val="none"/>
          <w:lang w:val="en-US" w:eastAsia="zh-CN" w:bidi="ar-SA"/>
        </w:rPr>
      </w:pPr>
      <w:r>
        <w:rPr>
          <w:rFonts w:hint="eastAsia" w:ascii="Times New Roman" w:hAnsi="Times New Roman" w:eastAsia="宋体" w:cs="Times New Roman"/>
          <w:color w:val="auto"/>
          <w:kern w:val="0"/>
          <w:sz w:val="24"/>
          <w:szCs w:val="21"/>
          <w:highlight w:val="none"/>
          <w:lang w:val="en-US" w:eastAsia="zh-CN" w:bidi="ar-SA"/>
        </w:rPr>
        <w:t>从上表分析可知，经对比相关数据，相对于全厂厂界东南角外侧包气带背景监测数据，其他点位各监测因子监测结果均未出现明显差异，说明现有工程未对包气带造成污染。</w:t>
      </w:r>
    </w:p>
    <w:p w14:paraId="6F02B621">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5.3.4声环境质量现状调查及评价</w:t>
      </w:r>
      <w:bookmarkEnd w:id="104"/>
    </w:p>
    <w:p w14:paraId="2AE0A31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5.3.4.1监测布点及时间</w:t>
      </w:r>
    </w:p>
    <w:p w14:paraId="3B758C2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为了解项目区域声环境质量现状，本项目委托</w:t>
      </w:r>
      <w:r>
        <w:rPr>
          <w:rFonts w:hint="eastAsia"/>
          <w:snapToGrid w:val="0"/>
          <w:color w:val="auto"/>
          <w:kern w:val="0"/>
          <w:sz w:val="24"/>
          <w:highlight w:val="none"/>
          <w:lang w:val="en-US" w:eastAsia="zh-CN"/>
        </w:rPr>
        <w:t>新疆锡水金山环境科技有限公司</w:t>
      </w:r>
      <w:r>
        <w:rPr>
          <w:rFonts w:hint="eastAsia"/>
          <w:snapToGrid w:val="0"/>
          <w:color w:val="auto"/>
          <w:kern w:val="0"/>
          <w:sz w:val="24"/>
          <w:highlight w:val="none"/>
        </w:rPr>
        <w:t>于</w:t>
      </w:r>
      <w:r>
        <w:rPr>
          <w:rFonts w:hint="eastAsia"/>
          <w:snapToGrid w:val="0"/>
          <w:color w:val="auto"/>
          <w:kern w:val="0"/>
          <w:sz w:val="24"/>
          <w:highlight w:val="none"/>
          <w:lang w:val="en-US" w:eastAsia="zh-CN"/>
        </w:rPr>
        <w:t>2026年8月7日</w:t>
      </w:r>
      <w:r>
        <w:rPr>
          <w:rFonts w:hint="eastAsia"/>
          <w:snapToGrid w:val="0"/>
          <w:color w:val="auto"/>
          <w:kern w:val="0"/>
          <w:sz w:val="24"/>
          <w:highlight w:val="none"/>
        </w:rPr>
        <w:t>对区域声环境质量进行了现状监测。</w:t>
      </w:r>
    </w:p>
    <w:p w14:paraId="26AB733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5.3.4.2监测方法</w:t>
      </w:r>
    </w:p>
    <w:p w14:paraId="2CFAD94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执行《声环境质量标准》（</w:t>
      </w:r>
      <w:r>
        <w:rPr>
          <w:snapToGrid w:val="0"/>
          <w:color w:val="auto"/>
          <w:kern w:val="0"/>
          <w:sz w:val="24"/>
          <w:highlight w:val="none"/>
        </w:rPr>
        <w:t>GB3096-2008</w:t>
      </w:r>
      <w:r>
        <w:rPr>
          <w:rFonts w:hint="eastAsia"/>
          <w:snapToGrid w:val="0"/>
          <w:color w:val="auto"/>
          <w:kern w:val="0"/>
          <w:sz w:val="24"/>
          <w:highlight w:val="none"/>
        </w:rPr>
        <w:t>）环境噪声监测要求。监测仪器使用</w:t>
      </w:r>
      <w:r>
        <w:rPr>
          <w:snapToGrid w:val="0"/>
          <w:color w:val="auto"/>
          <w:kern w:val="0"/>
          <w:sz w:val="24"/>
          <w:highlight w:val="none"/>
        </w:rPr>
        <w:t>AWA5688</w:t>
      </w:r>
      <w:r>
        <w:rPr>
          <w:rFonts w:hint="eastAsia"/>
          <w:snapToGrid w:val="0"/>
          <w:color w:val="auto"/>
          <w:kern w:val="0"/>
          <w:sz w:val="24"/>
          <w:highlight w:val="none"/>
        </w:rPr>
        <w:t>声级计（SB-152），测量前后均用声级标准器进行校准。</w:t>
      </w:r>
    </w:p>
    <w:p w14:paraId="6F04495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5.3.4.3评价标准</w:t>
      </w:r>
    </w:p>
    <w:p w14:paraId="2D14D8D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项目所处区域执行《声环境质量标准》（</w:t>
      </w:r>
      <w:r>
        <w:rPr>
          <w:snapToGrid w:val="0"/>
          <w:color w:val="auto"/>
          <w:kern w:val="0"/>
          <w:sz w:val="24"/>
          <w:highlight w:val="none"/>
        </w:rPr>
        <w:t>GB3096-2008</w:t>
      </w:r>
      <w:r>
        <w:rPr>
          <w:rFonts w:hint="eastAsia"/>
          <w:snapToGrid w:val="0"/>
          <w:color w:val="auto"/>
          <w:kern w:val="0"/>
          <w:sz w:val="24"/>
          <w:highlight w:val="none"/>
        </w:rPr>
        <w:t>）中3类区标准，即昼间</w:t>
      </w:r>
      <w:r>
        <w:rPr>
          <w:snapToGrid w:val="0"/>
          <w:color w:val="auto"/>
          <w:kern w:val="0"/>
          <w:sz w:val="24"/>
          <w:highlight w:val="none"/>
        </w:rPr>
        <w:t>6</w:t>
      </w:r>
      <w:r>
        <w:rPr>
          <w:rFonts w:hint="eastAsia"/>
          <w:snapToGrid w:val="0"/>
          <w:color w:val="auto"/>
          <w:kern w:val="0"/>
          <w:sz w:val="24"/>
          <w:highlight w:val="none"/>
        </w:rPr>
        <w:t>5</w:t>
      </w:r>
      <w:r>
        <w:rPr>
          <w:snapToGrid w:val="0"/>
          <w:color w:val="auto"/>
          <w:kern w:val="0"/>
          <w:sz w:val="24"/>
          <w:highlight w:val="none"/>
        </w:rPr>
        <w:t>dB</w:t>
      </w:r>
      <w:r>
        <w:rPr>
          <w:rFonts w:hint="eastAsia"/>
          <w:snapToGrid w:val="0"/>
          <w:color w:val="auto"/>
          <w:kern w:val="0"/>
          <w:sz w:val="24"/>
          <w:highlight w:val="none"/>
        </w:rPr>
        <w:t>（</w:t>
      </w:r>
      <w:r>
        <w:rPr>
          <w:snapToGrid w:val="0"/>
          <w:color w:val="auto"/>
          <w:kern w:val="0"/>
          <w:sz w:val="24"/>
          <w:highlight w:val="none"/>
        </w:rPr>
        <w:t>A</w:t>
      </w:r>
      <w:r>
        <w:rPr>
          <w:rFonts w:hint="eastAsia"/>
          <w:snapToGrid w:val="0"/>
          <w:color w:val="auto"/>
          <w:kern w:val="0"/>
          <w:sz w:val="24"/>
          <w:highlight w:val="none"/>
        </w:rPr>
        <w:t>），夜间</w:t>
      </w:r>
      <w:r>
        <w:rPr>
          <w:snapToGrid w:val="0"/>
          <w:color w:val="auto"/>
          <w:kern w:val="0"/>
          <w:sz w:val="24"/>
          <w:highlight w:val="none"/>
        </w:rPr>
        <w:t>5</w:t>
      </w:r>
      <w:r>
        <w:rPr>
          <w:rFonts w:hint="eastAsia"/>
          <w:snapToGrid w:val="0"/>
          <w:color w:val="auto"/>
          <w:kern w:val="0"/>
          <w:sz w:val="24"/>
          <w:highlight w:val="none"/>
        </w:rPr>
        <w:t>5</w:t>
      </w:r>
      <w:r>
        <w:rPr>
          <w:snapToGrid w:val="0"/>
          <w:color w:val="auto"/>
          <w:kern w:val="0"/>
          <w:sz w:val="24"/>
          <w:highlight w:val="none"/>
        </w:rPr>
        <w:t>dB</w:t>
      </w:r>
      <w:r>
        <w:rPr>
          <w:rFonts w:hint="eastAsia"/>
          <w:snapToGrid w:val="0"/>
          <w:color w:val="auto"/>
          <w:kern w:val="0"/>
          <w:sz w:val="24"/>
          <w:highlight w:val="none"/>
        </w:rPr>
        <w:t>（</w:t>
      </w:r>
      <w:r>
        <w:rPr>
          <w:snapToGrid w:val="0"/>
          <w:color w:val="auto"/>
          <w:kern w:val="0"/>
          <w:sz w:val="24"/>
          <w:highlight w:val="none"/>
        </w:rPr>
        <w:t>A</w:t>
      </w:r>
      <w:r>
        <w:rPr>
          <w:rFonts w:hint="eastAsia"/>
          <w:snapToGrid w:val="0"/>
          <w:color w:val="auto"/>
          <w:kern w:val="0"/>
          <w:sz w:val="24"/>
          <w:highlight w:val="none"/>
        </w:rPr>
        <w:t>）。</w:t>
      </w:r>
    </w:p>
    <w:p w14:paraId="42B71E6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5.3.4.4评价结果</w:t>
      </w:r>
    </w:p>
    <w:p w14:paraId="629524F0">
      <w:pPr>
        <w:adjustRightInd w:val="0"/>
        <w:snapToGrid w:val="0"/>
        <w:spacing w:line="360" w:lineRule="auto"/>
        <w:ind w:firstLine="480" w:firstLineChars="200"/>
        <w:rPr>
          <w:color w:val="auto"/>
          <w:szCs w:val="21"/>
          <w:highlight w:val="none"/>
        </w:rPr>
      </w:pPr>
      <w:r>
        <w:rPr>
          <w:rFonts w:hint="eastAsia"/>
          <w:snapToGrid w:val="0"/>
          <w:color w:val="auto"/>
          <w:kern w:val="0"/>
          <w:sz w:val="24"/>
          <w:highlight w:val="none"/>
        </w:rPr>
        <w:t>监测及评价结果见表5</w:t>
      </w:r>
      <w:r>
        <w:rPr>
          <w:snapToGrid w:val="0"/>
          <w:color w:val="auto"/>
          <w:kern w:val="0"/>
          <w:sz w:val="24"/>
          <w:highlight w:val="none"/>
        </w:rPr>
        <w:t>.</w:t>
      </w:r>
      <w:r>
        <w:rPr>
          <w:rFonts w:hint="eastAsia"/>
          <w:snapToGrid w:val="0"/>
          <w:color w:val="auto"/>
          <w:kern w:val="0"/>
          <w:sz w:val="24"/>
          <w:highlight w:val="none"/>
        </w:rPr>
        <w:t>3-1</w:t>
      </w:r>
      <w:r>
        <w:rPr>
          <w:rFonts w:hint="eastAsia"/>
          <w:snapToGrid w:val="0"/>
          <w:color w:val="auto"/>
          <w:kern w:val="0"/>
          <w:sz w:val="24"/>
          <w:highlight w:val="none"/>
          <w:lang w:val="en-US" w:eastAsia="zh-CN"/>
        </w:rPr>
        <w:t>4</w:t>
      </w:r>
      <w:r>
        <w:rPr>
          <w:rFonts w:hint="eastAsia"/>
          <w:snapToGrid w:val="0"/>
          <w:color w:val="auto"/>
          <w:kern w:val="0"/>
          <w:sz w:val="24"/>
          <w:highlight w:val="none"/>
        </w:rPr>
        <w:t>。</w:t>
      </w:r>
    </w:p>
    <w:p w14:paraId="133637B0">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5.3-1</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lang w:val="en-US" w:eastAsia="zh-CN"/>
        </w:rPr>
        <w:t>项目厂界声环境</w:t>
      </w:r>
      <w:r>
        <w:rPr>
          <w:rFonts w:hint="eastAsia" w:ascii="Times New Roman" w:hAnsi="Times New Roman" w:cs="Times New Roman"/>
          <w:snapToGrid w:val="0"/>
          <w:color w:val="auto"/>
          <w:kern w:val="0"/>
          <w:sz w:val="21"/>
          <w:szCs w:val="21"/>
          <w:highlight w:val="none"/>
        </w:rPr>
        <w:t>监测结果一览表</w:t>
      </w:r>
    </w:p>
    <w:tbl>
      <w:tblPr>
        <w:tblStyle w:val="56"/>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08"/>
        <w:gridCol w:w="2171"/>
        <w:gridCol w:w="1234"/>
        <w:gridCol w:w="994"/>
        <w:gridCol w:w="997"/>
        <w:gridCol w:w="2415"/>
      </w:tblGrid>
      <w:tr w14:paraId="0DA24F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416" w:type="pct"/>
            <w:vMerge w:val="restart"/>
            <w:tcBorders>
              <w:right w:val="single" w:color="auto" w:sz="4" w:space="0"/>
            </w:tcBorders>
            <w:shd w:val="clear" w:color="auto" w:fill="auto"/>
            <w:vAlign w:val="center"/>
          </w:tcPr>
          <w:p w14:paraId="55F0F2AC">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编号</w:t>
            </w:r>
          </w:p>
        </w:tc>
        <w:tc>
          <w:tcPr>
            <w:tcW w:w="1274" w:type="pct"/>
            <w:vMerge w:val="restart"/>
            <w:tcBorders>
              <w:left w:val="single" w:color="auto" w:sz="4" w:space="0"/>
              <w:bottom w:val="single" w:color="auto" w:sz="4" w:space="0"/>
              <w:right w:val="single" w:color="auto" w:sz="4" w:space="0"/>
            </w:tcBorders>
            <w:shd w:val="clear" w:color="auto" w:fill="auto"/>
            <w:vAlign w:val="center"/>
          </w:tcPr>
          <w:p w14:paraId="425EBAD5">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监测点位</w:t>
            </w:r>
          </w:p>
        </w:tc>
        <w:tc>
          <w:tcPr>
            <w:tcW w:w="723" w:type="pct"/>
            <w:vMerge w:val="restart"/>
            <w:tcBorders>
              <w:left w:val="single" w:color="auto" w:sz="4" w:space="0"/>
              <w:right w:val="single" w:color="auto" w:sz="4" w:space="0"/>
            </w:tcBorders>
            <w:shd w:val="clear" w:color="auto" w:fill="auto"/>
            <w:vAlign w:val="center"/>
          </w:tcPr>
          <w:p w14:paraId="4B13A3CD">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测量时间</w:t>
            </w:r>
          </w:p>
        </w:tc>
        <w:tc>
          <w:tcPr>
            <w:tcW w:w="1168" w:type="pct"/>
            <w:gridSpan w:val="2"/>
            <w:tcBorders>
              <w:left w:val="single" w:color="auto" w:sz="4" w:space="0"/>
              <w:bottom w:val="single" w:color="auto" w:sz="4" w:space="0"/>
              <w:right w:val="single" w:color="auto" w:sz="4" w:space="0"/>
            </w:tcBorders>
            <w:shd w:val="clear" w:color="auto" w:fill="auto"/>
            <w:vAlign w:val="center"/>
          </w:tcPr>
          <w:p w14:paraId="70F9ADC0">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监测结果</w:t>
            </w:r>
          </w:p>
        </w:tc>
        <w:tc>
          <w:tcPr>
            <w:tcW w:w="1417" w:type="pct"/>
            <w:vMerge w:val="restart"/>
            <w:tcBorders>
              <w:left w:val="single" w:color="auto" w:sz="4" w:space="0"/>
            </w:tcBorders>
            <w:shd w:val="clear" w:color="auto" w:fill="auto"/>
            <w:vAlign w:val="center"/>
          </w:tcPr>
          <w:p w14:paraId="1AD1ECBB">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评价标准</w:t>
            </w:r>
          </w:p>
        </w:tc>
      </w:tr>
      <w:tr w14:paraId="3ED4E9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416" w:type="pct"/>
            <w:vMerge w:val="continue"/>
            <w:tcBorders>
              <w:bottom w:val="single" w:color="auto" w:sz="4" w:space="0"/>
              <w:right w:val="single" w:color="auto" w:sz="4" w:space="0"/>
            </w:tcBorders>
            <w:shd w:val="clear" w:color="auto" w:fill="auto"/>
            <w:vAlign w:val="center"/>
          </w:tcPr>
          <w:p w14:paraId="7370437B">
            <w:pPr>
              <w:autoSpaceDE w:val="0"/>
              <w:autoSpaceDN w:val="0"/>
              <w:adjustRightInd w:val="0"/>
              <w:spacing w:line="276" w:lineRule="auto"/>
              <w:jc w:val="center"/>
              <w:rPr>
                <w:snapToGrid w:val="0"/>
                <w:color w:val="auto"/>
                <w:kern w:val="0"/>
                <w:szCs w:val="21"/>
                <w:highlight w:val="none"/>
              </w:rPr>
            </w:pPr>
          </w:p>
        </w:tc>
        <w:tc>
          <w:tcPr>
            <w:tcW w:w="127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D53FA">
            <w:pPr>
              <w:spacing w:line="276" w:lineRule="auto"/>
              <w:jc w:val="center"/>
              <w:rPr>
                <w:snapToGrid w:val="0"/>
                <w:color w:val="auto"/>
                <w:kern w:val="0"/>
                <w:szCs w:val="21"/>
                <w:highlight w:val="none"/>
              </w:rPr>
            </w:pPr>
          </w:p>
        </w:tc>
        <w:tc>
          <w:tcPr>
            <w:tcW w:w="723" w:type="pct"/>
            <w:vMerge w:val="continue"/>
            <w:tcBorders>
              <w:left w:val="single" w:color="auto" w:sz="4" w:space="0"/>
              <w:bottom w:val="single" w:color="auto" w:sz="4" w:space="0"/>
              <w:right w:val="single" w:color="auto" w:sz="4" w:space="0"/>
            </w:tcBorders>
            <w:shd w:val="clear" w:color="auto" w:fill="auto"/>
            <w:vAlign w:val="center"/>
          </w:tcPr>
          <w:p w14:paraId="5A702272">
            <w:pPr>
              <w:spacing w:line="276" w:lineRule="auto"/>
              <w:jc w:val="center"/>
              <w:rPr>
                <w:snapToGrid w:val="0"/>
                <w:color w:val="auto"/>
                <w:kern w:val="0"/>
                <w:szCs w:val="21"/>
                <w:highlight w:val="none"/>
              </w:rPr>
            </w:pP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50686CB9">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昼间</w:t>
            </w:r>
          </w:p>
        </w:tc>
        <w:tc>
          <w:tcPr>
            <w:tcW w:w="585" w:type="pct"/>
            <w:tcBorders>
              <w:top w:val="single" w:color="auto" w:sz="4" w:space="0"/>
              <w:left w:val="single" w:color="auto" w:sz="4" w:space="0"/>
              <w:bottom w:val="single" w:color="auto" w:sz="4" w:space="0"/>
              <w:right w:val="single" w:color="auto" w:sz="4" w:space="0"/>
            </w:tcBorders>
            <w:shd w:val="clear" w:color="auto" w:fill="auto"/>
            <w:vAlign w:val="center"/>
          </w:tcPr>
          <w:p w14:paraId="38B8A5CA">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夜间</w:t>
            </w:r>
          </w:p>
        </w:tc>
        <w:tc>
          <w:tcPr>
            <w:tcW w:w="1417" w:type="pct"/>
            <w:vMerge w:val="continue"/>
            <w:tcBorders>
              <w:left w:val="single" w:color="auto" w:sz="4" w:space="0"/>
              <w:bottom w:val="single" w:color="auto" w:sz="4" w:space="0"/>
            </w:tcBorders>
            <w:shd w:val="clear" w:color="auto" w:fill="auto"/>
            <w:vAlign w:val="center"/>
          </w:tcPr>
          <w:p w14:paraId="64CAEA38">
            <w:pPr>
              <w:autoSpaceDE w:val="0"/>
              <w:autoSpaceDN w:val="0"/>
              <w:adjustRightInd w:val="0"/>
              <w:spacing w:line="276" w:lineRule="auto"/>
              <w:jc w:val="center"/>
              <w:rPr>
                <w:snapToGrid w:val="0"/>
                <w:color w:val="auto"/>
                <w:kern w:val="0"/>
                <w:szCs w:val="21"/>
                <w:highlight w:val="none"/>
              </w:rPr>
            </w:pPr>
          </w:p>
        </w:tc>
      </w:tr>
      <w:tr w14:paraId="1B1FC9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416" w:type="pct"/>
            <w:tcBorders>
              <w:top w:val="single" w:color="auto" w:sz="4" w:space="0"/>
              <w:right w:val="single" w:color="auto" w:sz="4" w:space="0"/>
            </w:tcBorders>
            <w:shd w:val="clear" w:color="auto" w:fill="auto"/>
            <w:vAlign w:val="center"/>
          </w:tcPr>
          <w:p w14:paraId="0774E823">
            <w:pPr>
              <w:spacing w:line="276" w:lineRule="auto"/>
              <w:jc w:val="center"/>
              <w:rPr>
                <w:snapToGrid w:val="0"/>
                <w:color w:val="auto"/>
                <w:kern w:val="0"/>
                <w:szCs w:val="21"/>
                <w:highlight w:val="none"/>
              </w:rPr>
            </w:pPr>
            <w:r>
              <w:rPr>
                <w:snapToGrid w:val="0"/>
                <w:color w:val="auto"/>
                <w:kern w:val="0"/>
                <w:szCs w:val="21"/>
                <w:highlight w:val="none"/>
              </w:rPr>
              <w:t>1#</w:t>
            </w:r>
          </w:p>
        </w:tc>
        <w:tc>
          <w:tcPr>
            <w:tcW w:w="1274" w:type="pct"/>
            <w:tcBorders>
              <w:top w:val="single" w:color="auto" w:sz="4" w:space="0"/>
              <w:left w:val="single" w:color="auto" w:sz="4" w:space="0"/>
              <w:right w:val="single" w:color="auto" w:sz="4" w:space="0"/>
            </w:tcBorders>
            <w:shd w:val="clear" w:color="auto" w:fill="auto"/>
            <w:vAlign w:val="center"/>
          </w:tcPr>
          <w:p w14:paraId="6C1467AE">
            <w:pPr>
              <w:pStyle w:val="22"/>
              <w:spacing w:after="0" w:line="276" w:lineRule="auto"/>
              <w:jc w:val="center"/>
              <w:rPr>
                <w:snapToGrid w:val="0"/>
                <w:color w:val="auto"/>
                <w:kern w:val="0"/>
                <w:szCs w:val="21"/>
                <w:highlight w:val="none"/>
              </w:rPr>
            </w:pPr>
            <w:r>
              <w:rPr>
                <w:snapToGrid w:val="0"/>
                <w:color w:val="auto"/>
                <w:kern w:val="0"/>
                <w:szCs w:val="21"/>
                <w:highlight w:val="none"/>
              </w:rPr>
              <w:t>项目厂界</w:t>
            </w:r>
            <w:r>
              <w:rPr>
                <w:rFonts w:hint="eastAsia"/>
                <w:snapToGrid w:val="0"/>
                <w:color w:val="auto"/>
                <w:kern w:val="0"/>
                <w:szCs w:val="21"/>
                <w:highlight w:val="none"/>
              </w:rPr>
              <w:t>东</w:t>
            </w:r>
            <w:r>
              <w:rPr>
                <w:snapToGrid w:val="0"/>
                <w:color w:val="auto"/>
                <w:kern w:val="0"/>
                <w:szCs w:val="21"/>
                <w:highlight w:val="none"/>
              </w:rPr>
              <w:t>侧外1m</w:t>
            </w:r>
          </w:p>
        </w:tc>
        <w:tc>
          <w:tcPr>
            <w:tcW w:w="723" w:type="pct"/>
            <w:vMerge w:val="restart"/>
            <w:tcBorders>
              <w:top w:val="single" w:color="auto" w:sz="4" w:space="0"/>
              <w:left w:val="single" w:color="auto" w:sz="4" w:space="0"/>
              <w:right w:val="single" w:color="auto" w:sz="4" w:space="0"/>
            </w:tcBorders>
            <w:shd w:val="clear" w:color="auto" w:fill="auto"/>
            <w:vAlign w:val="center"/>
          </w:tcPr>
          <w:p w14:paraId="53D1FB77">
            <w:pPr>
              <w:spacing w:line="276" w:lineRule="auto"/>
              <w:jc w:val="center"/>
              <w:textAlignment w:val="center"/>
              <w:rPr>
                <w:snapToGrid w:val="0"/>
                <w:color w:val="auto"/>
                <w:kern w:val="0"/>
                <w:szCs w:val="21"/>
                <w:highlight w:val="none"/>
              </w:rPr>
            </w:pPr>
            <w:r>
              <w:rPr>
                <w:rFonts w:hint="eastAsia"/>
                <w:snapToGrid w:val="0"/>
                <w:color w:val="auto"/>
                <w:kern w:val="0"/>
                <w:szCs w:val="21"/>
                <w:highlight w:val="none"/>
              </w:rPr>
              <w:t>2026年</w:t>
            </w:r>
            <w:r>
              <w:rPr>
                <w:rFonts w:hint="eastAsia"/>
                <w:snapToGrid w:val="0"/>
                <w:color w:val="auto"/>
                <w:kern w:val="0"/>
                <w:szCs w:val="21"/>
                <w:highlight w:val="none"/>
                <w:lang w:val="en-US" w:eastAsia="zh-CN"/>
              </w:rPr>
              <w:t>8</w:t>
            </w:r>
            <w:r>
              <w:rPr>
                <w:rFonts w:hint="eastAsia"/>
                <w:snapToGrid w:val="0"/>
                <w:color w:val="auto"/>
                <w:kern w:val="0"/>
                <w:szCs w:val="21"/>
                <w:highlight w:val="none"/>
              </w:rPr>
              <w:t>月</w:t>
            </w:r>
            <w:r>
              <w:rPr>
                <w:rFonts w:hint="eastAsia"/>
                <w:snapToGrid w:val="0"/>
                <w:color w:val="auto"/>
                <w:kern w:val="0"/>
                <w:szCs w:val="21"/>
                <w:highlight w:val="none"/>
                <w:lang w:val="en-US" w:eastAsia="zh-CN"/>
              </w:rPr>
              <w:t>7</w:t>
            </w:r>
            <w:r>
              <w:rPr>
                <w:rFonts w:hint="eastAsia"/>
                <w:snapToGrid w:val="0"/>
                <w:color w:val="auto"/>
                <w:kern w:val="0"/>
                <w:szCs w:val="21"/>
                <w:highlight w:val="none"/>
              </w:rPr>
              <w:t>日</w:t>
            </w: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2420F3DF">
            <w:pPr>
              <w:widowControl/>
              <w:jc w:val="center"/>
              <w:textAlignment w:val="center"/>
              <w:rPr>
                <w:snapToGrid w:val="0"/>
                <w:color w:val="auto"/>
                <w:kern w:val="0"/>
                <w:szCs w:val="21"/>
                <w:highlight w:val="none"/>
              </w:rPr>
            </w:pPr>
            <w:r>
              <w:rPr>
                <w:rFonts w:hint="eastAsia" w:cs="Times New Roman"/>
                <w:color w:val="auto"/>
                <w:kern w:val="0"/>
                <w:szCs w:val="21"/>
                <w:highlight w:val="none"/>
                <w:lang w:val="en-US" w:eastAsia="zh-CN" w:bidi="ar"/>
              </w:rPr>
              <w:t>50</w:t>
            </w:r>
          </w:p>
        </w:tc>
        <w:tc>
          <w:tcPr>
            <w:tcW w:w="585" w:type="pct"/>
            <w:tcBorders>
              <w:top w:val="single" w:color="auto" w:sz="4" w:space="0"/>
              <w:left w:val="single" w:color="auto" w:sz="4" w:space="0"/>
              <w:bottom w:val="single" w:color="auto" w:sz="4" w:space="0"/>
              <w:right w:val="single" w:color="auto" w:sz="4" w:space="0"/>
            </w:tcBorders>
            <w:shd w:val="clear" w:color="auto" w:fill="auto"/>
            <w:vAlign w:val="center"/>
          </w:tcPr>
          <w:p w14:paraId="392371E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Cs w:val="21"/>
                <w:highlight w:val="none"/>
                <w:lang w:val="en-US" w:eastAsia="zh-CN" w:bidi="ar"/>
              </w:rPr>
              <w:t>49</w:t>
            </w:r>
          </w:p>
        </w:tc>
        <w:tc>
          <w:tcPr>
            <w:tcW w:w="1417" w:type="pct"/>
            <w:vMerge w:val="restart"/>
            <w:tcBorders>
              <w:top w:val="single" w:color="auto" w:sz="4" w:space="0"/>
              <w:left w:val="single" w:color="auto" w:sz="4" w:space="0"/>
            </w:tcBorders>
            <w:shd w:val="clear" w:color="auto" w:fill="auto"/>
            <w:vAlign w:val="center"/>
          </w:tcPr>
          <w:p w14:paraId="032EE917">
            <w:pPr>
              <w:autoSpaceDE w:val="0"/>
              <w:autoSpaceDN w:val="0"/>
              <w:adjustRightInd w:val="0"/>
              <w:spacing w:line="276" w:lineRule="auto"/>
              <w:jc w:val="center"/>
              <w:rPr>
                <w:snapToGrid w:val="0"/>
                <w:color w:val="auto"/>
                <w:kern w:val="0"/>
                <w:szCs w:val="21"/>
                <w:highlight w:val="none"/>
              </w:rPr>
            </w:pPr>
            <w:r>
              <w:rPr>
                <w:snapToGrid w:val="0"/>
                <w:color w:val="auto"/>
                <w:kern w:val="0"/>
                <w:szCs w:val="21"/>
                <w:highlight w:val="none"/>
              </w:rPr>
              <w:t>《声环境质量标准》GB3096</w:t>
            </w:r>
            <w:r>
              <w:rPr>
                <w:rFonts w:hint="eastAsia"/>
                <w:snapToGrid w:val="0"/>
                <w:color w:val="auto"/>
                <w:kern w:val="0"/>
                <w:szCs w:val="21"/>
                <w:highlight w:val="none"/>
              </w:rPr>
              <w:t>-</w:t>
            </w:r>
            <w:r>
              <w:rPr>
                <w:snapToGrid w:val="0"/>
                <w:color w:val="auto"/>
                <w:kern w:val="0"/>
                <w:szCs w:val="21"/>
                <w:highlight w:val="none"/>
              </w:rPr>
              <w:t>2008）中</w:t>
            </w:r>
            <w:r>
              <w:rPr>
                <w:rFonts w:hint="eastAsia"/>
                <w:snapToGrid w:val="0"/>
                <w:color w:val="auto"/>
                <w:kern w:val="0"/>
                <w:szCs w:val="21"/>
                <w:highlight w:val="none"/>
              </w:rPr>
              <w:t>3类</w:t>
            </w:r>
            <w:r>
              <w:rPr>
                <w:snapToGrid w:val="0"/>
                <w:color w:val="auto"/>
                <w:kern w:val="0"/>
                <w:szCs w:val="21"/>
                <w:highlight w:val="none"/>
              </w:rPr>
              <w:t>标准，昼间：6</w:t>
            </w:r>
            <w:r>
              <w:rPr>
                <w:rFonts w:hint="eastAsia"/>
                <w:snapToGrid w:val="0"/>
                <w:color w:val="auto"/>
                <w:kern w:val="0"/>
                <w:szCs w:val="21"/>
                <w:highlight w:val="none"/>
              </w:rPr>
              <w:t>5</w:t>
            </w:r>
            <w:r>
              <w:rPr>
                <w:snapToGrid w:val="0"/>
                <w:color w:val="auto"/>
                <w:kern w:val="0"/>
                <w:szCs w:val="21"/>
                <w:highlight w:val="none"/>
              </w:rPr>
              <w:t>dB</w:t>
            </w:r>
            <w:r>
              <w:rPr>
                <w:rFonts w:hint="eastAsia"/>
                <w:snapToGrid w:val="0"/>
                <w:color w:val="auto"/>
                <w:kern w:val="0"/>
                <w:szCs w:val="21"/>
                <w:highlight w:val="none"/>
                <w:lang w:eastAsia="zh-CN"/>
              </w:rPr>
              <w:t>（</w:t>
            </w:r>
            <w:r>
              <w:rPr>
                <w:snapToGrid w:val="0"/>
                <w:color w:val="auto"/>
                <w:kern w:val="0"/>
                <w:szCs w:val="21"/>
                <w:highlight w:val="none"/>
              </w:rPr>
              <w:t>A</w:t>
            </w:r>
            <w:r>
              <w:rPr>
                <w:rFonts w:hint="eastAsia"/>
                <w:snapToGrid w:val="0"/>
                <w:color w:val="auto"/>
                <w:kern w:val="0"/>
                <w:szCs w:val="21"/>
                <w:highlight w:val="none"/>
              </w:rPr>
              <w:t>）</w:t>
            </w:r>
            <w:r>
              <w:rPr>
                <w:snapToGrid w:val="0"/>
                <w:color w:val="auto"/>
                <w:kern w:val="0"/>
                <w:szCs w:val="21"/>
                <w:highlight w:val="none"/>
              </w:rPr>
              <w:t>，夜间5</w:t>
            </w:r>
            <w:r>
              <w:rPr>
                <w:rFonts w:hint="eastAsia"/>
                <w:snapToGrid w:val="0"/>
                <w:color w:val="auto"/>
                <w:kern w:val="0"/>
                <w:szCs w:val="21"/>
                <w:highlight w:val="none"/>
              </w:rPr>
              <w:t>5</w:t>
            </w:r>
            <w:r>
              <w:rPr>
                <w:snapToGrid w:val="0"/>
                <w:color w:val="auto"/>
                <w:kern w:val="0"/>
                <w:szCs w:val="21"/>
                <w:highlight w:val="none"/>
              </w:rPr>
              <w:t>dB（A）</w:t>
            </w:r>
          </w:p>
        </w:tc>
      </w:tr>
      <w:tr w14:paraId="79013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416" w:type="pct"/>
            <w:tcBorders>
              <w:top w:val="single" w:color="auto" w:sz="4" w:space="0"/>
              <w:right w:val="single" w:color="auto" w:sz="4" w:space="0"/>
            </w:tcBorders>
            <w:shd w:val="clear" w:color="auto" w:fill="auto"/>
            <w:vAlign w:val="center"/>
          </w:tcPr>
          <w:p w14:paraId="7EC5A96E">
            <w:pPr>
              <w:spacing w:line="276" w:lineRule="auto"/>
              <w:jc w:val="center"/>
              <w:rPr>
                <w:snapToGrid w:val="0"/>
                <w:color w:val="auto"/>
                <w:kern w:val="0"/>
                <w:szCs w:val="21"/>
                <w:highlight w:val="none"/>
              </w:rPr>
            </w:pPr>
            <w:r>
              <w:rPr>
                <w:snapToGrid w:val="0"/>
                <w:color w:val="auto"/>
                <w:kern w:val="0"/>
                <w:szCs w:val="21"/>
                <w:highlight w:val="none"/>
              </w:rPr>
              <w:t>2#</w:t>
            </w:r>
          </w:p>
        </w:tc>
        <w:tc>
          <w:tcPr>
            <w:tcW w:w="1274" w:type="pct"/>
            <w:tcBorders>
              <w:top w:val="single" w:color="auto" w:sz="4" w:space="0"/>
              <w:left w:val="single" w:color="auto" w:sz="4" w:space="0"/>
              <w:right w:val="single" w:color="auto" w:sz="4" w:space="0"/>
            </w:tcBorders>
            <w:shd w:val="clear" w:color="auto" w:fill="auto"/>
            <w:vAlign w:val="center"/>
          </w:tcPr>
          <w:p w14:paraId="64994A3F">
            <w:pPr>
              <w:pStyle w:val="22"/>
              <w:spacing w:after="0" w:line="276" w:lineRule="auto"/>
              <w:jc w:val="center"/>
              <w:rPr>
                <w:snapToGrid w:val="0"/>
                <w:color w:val="auto"/>
                <w:kern w:val="0"/>
                <w:szCs w:val="21"/>
                <w:highlight w:val="none"/>
              </w:rPr>
            </w:pPr>
            <w:r>
              <w:rPr>
                <w:snapToGrid w:val="0"/>
                <w:color w:val="auto"/>
                <w:kern w:val="0"/>
                <w:szCs w:val="21"/>
                <w:highlight w:val="none"/>
              </w:rPr>
              <w:t>项目厂界</w:t>
            </w:r>
            <w:r>
              <w:rPr>
                <w:rFonts w:hint="eastAsia"/>
                <w:snapToGrid w:val="0"/>
                <w:color w:val="auto"/>
                <w:kern w:val="0"/>
                <w:szCs w:val="21"/>
                <w:highlight w:val="none"/>
              </w:rPr>
              <w:t>南</w:t>
            </w:r>
            <w:r>
              <w:rPr>
                <w:snapToGrid w:val="0"/>
                <w:color w:val="auto"/>
                <w:kern w:val="0"/>
                <w:szCs w:val="21"/>
                <w:highlight w:val="none"/>
              </w:rPr>
              <w:t>侧外1m</w:t>
            </w:r>
          </w:p>
        </w:tc>
        <w:tc>
          <w:tcPr>
            <w:tcW w:w="723" w:type="pct"/>
            <w:vMerge w:val="continue"/>
            <w:tcBorders>
              <w:left w:val="single" w:color="auto" w:sz="4" w:space="0"/>
              <w:right w:val="single" w:color="auto" w:sz="4" w:space="0"/>
            </w:tcBorders>
            <w:shd w:val="clear" w:color="auto" w:fill="auto"/>
            <w:vAlign w:val="center"/>
          </w:tcPr>
          <w:p w14:paraId="30C5EE3E">
            <w:pPr>
              <w:spacing w:line="276" w:lineRule="auto"/>
              <w:jc w:val="center"/>
              <w:textAlignment w:val="center"/>
              <w:rPr>
                <w:snapToGrid w:val="0"/>
                <w:color w:val="auto"/>
                <w:kern w:val="0"/>
                <w:szCs w:val="21"/>
                <w:highlight w:val="none"/>
              </w:rPr>
            </w:pP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00438AFE">
            <w:pPr>
              <w:widowControl/>
              <w:jc w:val="center"/>
              <w:textAlignment w:val="center"/>
              <w:rPr>
                <w:snapToGrid w:val="0"/>
                <w:color w:val="auto"/>
                <w:kern w:val="0"/>
                <w:szCs w:val="21"/>
                <w:highlight w:val="none"/>
              </w:rPr>
            </w:pPr>
            <w:r>
              <w:rPr>
                <w:rFonts w:hint="eastAsia" w:cs="Times New Roman"/>
                <w:color w:val="auto"/>
                <w:kern w:val="0"/>
                <w:szCs w:val="21"/>
                <w:highlight w:val="none"/>
                <w:lang w:val="en-US" w:eastAsia="zh-CN" w:bidi="ar"/>
              </w:rPr>
              <w:t>54</w:t>
            </w:r>
          </w:p>
        </w:tc>
        <w:tc>
          <w:tcPr>
            <w:tcW w:w="585" w:type="pct"/>
            <w:tcBorders>
              <w:top w:val="single" w:color="auto" w:sz="4" w:space="0"/>
              <w:left w:val="single" w:color="auto" w:sz="4" w:space="0"/>
              <w:bottom w:val="single" w:color="auto" w:sz="4" w:space="0"/>
              <w:right w:val="single" w:color="auto" w:sz="4" w:space="0"/>
            </w:tcBorders>
            <w:shd w:val="clear" w:color="auto" w:fill="auto"/>
            <w:vAlign w:val="center"/>
          </w:tcPr>
          <w:p w14:paraId="33EB581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Cs w:val="21"/>
                <w:highlight w:val="none"/>
                <w:lang w:val="en-US" w:eastAsia="zh-CN" w:bidi="ar"/>
              </w:rPr>
              <w:t>37</w:t>
            </w:r>
          </w:p>
        </w:tc>
        <w:tc>
          <w:tcPr>
            <w:tcW w:w="1417" w:type="pct"/>
            <w:vMerge w:val="continue"/>
            <w:tcBorders>
              <w:left w:val="single" w:color="auto" w:sz="4" w:space="0"/>
            </w:tcBorders>
            <w:shd w:val="clear" w:color="auto" w:fill="auto"/>
            <w:vAlign w:val="center"/>
          </w:tcPr>
          <w:p w14:paraId="1069F22D">
            <w:pPr>
              <w:autoSpaceDE w:val="0"/>
              <w:autoSpaceDN w:val="0"/>
              <w:adjustRightInd w:val="0"/>
              <w:spacing w:line="276" w:lineRule="auto"/>
              <w:jc w:val="center"/>
              <w:rPr>
                <w:snapToGrid w:val="0"/>
                <w:color w:val="auto"/>
                <w:kern w:val="0"/>
                <w:szCs w:val="21"/>
                <w:highlight w:val="none"/>
              </w:rPr>
            </w:pPr>
          </w:p>
        </w:tc>
      </w:tr>
      <w:tr w14:paraId="3A3BD8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416" w:type="pct"/>
            <w:tcBorders>
              <w:top w:val="single" w:color="auto" w:sz="4" w:space="0"/>
              <w:right w:val="single" w:color="auto" w:sz="4" w:space="0"/>
            </w:tcBorders>
            <w:shd w:val="clear" w:color="auto" w:fill="auto"/>
            <w:vAlign w:val="center"/>
          </w:tcPr>
          <w:p w14:paraId="77F2E2C9">
            <w:pPr>
              <w:spacing w:line="276" w:lineRule="auto"/>
              <w:jc w:val="center"/>
              <w:rPr>
                <w:snapToGrid w:val="0"/>
                <w:color w:val="auto"/>
                <w:kern w:val="0"/>
                <w:szCs w:val="21"/>
                <w:highlight w:val="none"/>
              </w:rPr>
            </w:pPr>
            <w:r>
              <w:rPr>
                <w:snapToGrid w:val="0"/>
                <w:color w:val="auto"/>
                <w:kern w:val="0"/>
                <w:szCs w:val="21"/>
                <w:highlight w:val="none"/>
              </w:rPr>
              <w:t>3#</w:t>
            </w:r>
          </w:p>
        </w:tc>
        <w:tc>
          <w:tcPr>
            <w:tcW w:w="1274" w:type="pct"/>
            <w:tcBorders>
              <w:top w:val="single" w:color="auto" w:sz="4" w:space="0"/>
              <w:left w:val="single" w:color="auto" w:sz="4" w:space="0"/>
              <w:right w:val="single" w:color="auto" w:sz="4" w:space="0"/>
            </w:tcBorders>
            <w:shd w:val="clear" w:color="auto" w:fill="auto"/>
            <w:vAlign w:val="center"/>
          </w:tcPr>
          <w:p w14:paraId="785CC777">
            <w:pPr>
              <w:pStyle w:val="22"/>
              <w:spacing w:after="0" w:line="276" w:lineRule="auto"/>
              <w:jc w:val="center"/>
              <w:rPr>
                <w:snapToGrid w:val="0"/>
                <w:color w:val="auto"/>
                <w:kern w:val="0"/>
                <w:szCs w:val="21"/>
                <w:highlight w:val="none"/>
              </w:rPr>
            </w:pPr>
            <w:r>
              <w:rPr>
                <w:snapToGrid w:val="0"/>
                <w:color w:val="auto"/>
                <w:kern w:val="0"/>
                <w:szCs w:val="21"/>
                <w:highlight w:val="none"/>
              </w:rPr>
              <w:t>项目厂界</w:t>
            </w:r>
            <w:r>
              <w:rPr>
                <w:rFonts w:hint="eastAsia"/>
                <w:snapToGrid w:val="0"/>
                <w:color w:val="auto"/>
                <w:kern w:val="0"/>
                <w:szCs w:val="21"/>
                <w:highlight w:val="none"/>
              </w:rPr>
              <w:t>西</w:t>
            </w:r>
            <w:r>
              <w:rPr>
                <w:snapToGrid w:val="0"/>
                <w:color w:val="auto"/>
                <w:kern w:val="0"/>
                <w:szCs w:val="21"/>
                <w:highlight w:val="none"/>
              </w:rPr>
              <w:t>侧外1m</w:t>
            </w:r>
          </w:p>
        </w:tc>
        <w:tc>
          <w:tcPr>
            <w:tcW w:w="723" w:type="pct"/>
            <w:vMerge w:val="continue"/>
            <w:tcBorders>
              <w:left w:val="single" w:color="auto" w:sz="4" w:space="0"/>
              <w:right w:val="single" w:color="auto" w:sz="4" w:space="0"/>
            </w:tcBorders>
            <w:shd w:val="clear" w:color="auto" w:fill="auto"/>
            <w:vAlign w:val="center"/>
          </w:tcPr>
          <w:p w14:paraId="6BC1FA2D">
            <w:pPr>
              <w:spacing w:line="276" w:lineRule="auto"/>
              <w:jc w:val="center"/>
              <w:textAlignment w:val="center"/>
              <w:rPr>
                <w:snapToGrid w:val="0"/>
                <w:color w:val="auto"/>
                <w:kern w:val="0"/>
                <w:szCs w:val="21"/>
                <w:highlight w:val="none"/>
              </w:rPr>
            </w:pP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712969EA">
            <w:pPr>
              <w:widowControl/>
              <w:jc w:val="center"/>
              <w:textAlignment w:val="center"/>
              <w:rPr>
                <w:snapToGrid w:val="0"/>
                <w:color w:val="auto"/>
                <w:kern w:val="0"/>
                <w:szCs w:val="21"/>
                <w:highlight w:val="none"/>
              </w:rPr>
            </w:pPr>
            <w:r>
              <w:rPr>
                <w:rFonts w:hint="eastAsia" w:cs="Times New Roman"/>
                <w:color w:val="auto"/>
                <w:kern w:val="0"/>
                <w:szCs w:val="21"/>
                <w:highlight w:val="none"/>
                <w:lang w:val="en-US" w:eastAsia="zh-CN" w:bidi="ar"/>
              </w:rPr>
              <w:t>42</w:t>
            </w:r>
          </w:p>
        </w:tc>
        <w:tc>
          <w:tcPr>
            <w:tcW w:w="585" w:type="pct"/>
            <w:tcBorders>
              <w:top w:val="single" w:color="auto" w:sz="4" w:space="0"/>
              <w:left w:val="single" w:color="auto" w:sz="4" w:space="0"/>
              <w:bottom w:val="single" w:color="auto" w:sz="4" w:space="0"/>
              <w:right w:val="single" w:color="auto" w:sz="4" w:space="0"/>
            </w:tcBorders>
            <w:shd w:val="clear" w:color="auto" w:fill="auto"/>
            <w:vAlign w:val="center"/>
          </w:tcPr>
          <w:p w14:paraId="749A5BA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Cs w:val="21"/>
                <w:highlight w:val="none"/>
                <w:lang w:val="en-US" w:eastAsia="zh-CN" w:bidi="ar"/>
              </w:rPr>
              <w:t>44</w:t>
            </w:r>
          </w:p>
        </w:tc>
        <w:tc>
          <w:tcPr>
            <w:tcW w:w="1417" w:type="pct"/>
            <w:vMerge w:val="continue"/>
            <w:tcBorders>
              <w:left w:val="single" w:color="auto" w:sz="4" w:space="0"/>
            </w:tcBorders>
            <w:shd w:val="clear" w:color="auto" w:fill="auto"/>
            <w:vAlign w:val="center"/>
          </w:tcPr>
          <w:p w14:paraId="7B0F5D33">
            <w:pPr>
              <w:autoSpaceDE w:val="0"/>
              <w:autoSpaceDN w:val="0"/>
              <w:adjustRightInd w:val="0"/>
              <w:spacing w:line="276" w:lineRule="auto"/>
              <w:jc w:val="center"/>
              <w:rPr>
                <w:snapToGrid w:val="0"/>
                <w:color w:val="auto"/>
                <w:kern w:val="0"/>
                <w:szCs w:val="21"/>
                <w:highlight w:val="none"/>
              </w:rPr>
            </w:pPr>
          </w:p>
        </w:tc>
      </w:tr>
      <w:tr w14:paraId="1D6FC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416" w:type="pct"/>
            <w:tcBorders>
              <w:top w:val="single" w:color="auto" w:sz="4" w:space="0"/>
              <w:right w:val="single" w:color="auto" w:sz="4" w:space="0"/>
            </w:tcBorders>
            <w:shd w:val="clear" w:color="auto" w:fill="auto"/>
            <w:vAlign w:val="center"/>
          </w:tcPr>
          <w:p w14:paraId="5224A9A0">
            <w:pPr>
              <w:spacing w:line="276" w:lineRule="auto"/>
              <w:jc w:val="center"/>
              <w:rPr>
                <w:snapToGrid w:val="0"/>
                <w:color w:val="auto"/>
                <w:kern w:val="0"/>
                <w:szCs w:val="21"/>
                <w:highlight w:val="none"/>
              </w:rPr>
            </w:pPr>
            <w:r>
              <w:rPr>
                <w:snapToGrid w:val="0"/>
                <w:color w:val="auto"/>
                <w:kern w:val="0"/>
                <w:szCs w:val="21"/>
                <w:highlight w:val="none"/>
              </w:rPr>
              <w:t>4#</w:t>
            </w:r>
          </w:p>
        </w:tc>
        <w:tc>
          <w:tcPr>
            <w:tcW w:w="1274" w:type="pct"/>
            <w:tcBorders>
              <w:top w:val="single" w:color="auto" w:sz="4" w:space="0"/>
              <w:left w:val="single" w:color="auto" w:sz="4" w:space="0"/>
              <w:right w:val="single" w:color="auto" w:sz="4" w:space="0"/>
            </w:tcBorders>
            <w:shd w:val="clear" w:color="auto" w:fill="auto"/>
            <w:vAlign w:val="center"/>
          </w:tcPr>
          <w:p w14:paraId="556E1B42">
            <w:pPr>
              <w:pStyle w:val="22"/>
              <w:spacing w:after="0" w:line="276" w:lineRule="auto"/>
              <w:jc w:val="center"/>
              <w:rPr>
                <w:snapToGrid w:val="0"/>
                <w:color w:val="auto"/>
                <w:kern w:val="0"/>
                <w:szCs w:val="21"/>
                <w:highlight w:val="none"/>
              </w:rPr>
            </w:pPr>
            <w:r>
              <w:rPr>
                <w:snapToGrid w:val="0"/>
                <w:color w:val="auto"/>
                <w:kern w:val="0"/>
                <w:szCs w:val="21"/>
                <w:highlight w:val="none"/>
              </w:rPr>
              <w:t>项目厂界</w:t>
            </w:r>
            <w:r>
              <w:rPr>
                <w:rFonts w:hint="eastAsia"/>
                <w:snapToGrid w:val="0"/>
                <w:color w:val="auto"/>
                <w:kern w:val="0"/>
                <w:szCs w:val="21"/>
                <w:highlight w:val="none"/>
              </w:rPr>
              <w:t>北</w:t>
            </w:r>
            <w:r>
              <w:rPr>
                <w:snapToGrid w:val="0"/>
                <w:color w:val="auto"/>
                <w:kern w:val="0"/>
                <w:szCs w:val="21"/>
                <w:highlight w:val="none"/>
              </w:rPr>
              <w:t>侧外1m</w:t>
            </w:r>
          </w:p>
        </w:tc>
        <w:tc>
          <w:tcPr>
            <w:tcW w:w="723" w:type="pct"/>
            <w:vMerge w:val="continue"/>
            <w:tcBorders>
              <w:left w:val="single" w:color="auto" w:sz="4" w:space="0"/>
              <w:right w:val="single" w:color="auto" w:sz="4" w:space="0"/>
            </w:tcBorders>
            <w:shd w:val="clear" w:color="auto" w:fill="auto"/>
            <w:vAlign w:val="center"/>
          </w:tcPr>
          <w:p w14:paraId="5BB16369">
            <w:pPr>
              <w:spacing w:line="276" w:lineRule="auto"/>
              <w:jc w:val="center"/>
              <w:textAlignment w:val="center"/>
              <w:rPr>
                <w:snapToGrid w:val="0"/>
                <w:color w:val="auto"/>
                <w:kern w:val="0"/>
                <w:szCs w:val="21"/>
                <w:highlight w:val="none"/>
              </w:rPr>
            </w:pP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3EECD041">
            <w:pPr>
              <w:widowControl/>
              <w:jc w:val="center"/>
              <w:textAlignment w:val="center"/>
              <w:rPr>
                <w:snapToGrid w:val="0"/>
                <w:color w:val="auto"/>
                <w:kern w:val="0"/>
                <w:szCs w:val="21"/>
                <w:highlight w:val="none"/>
              </w:rPr>
            </w:pPr>
            <w:r>
              <w:rPr>
                <w:rFonts w:hint="eastAsia" w:cs="Times New Roman"/>
                <w:color w:val="auto"/>
                <w:kern w:val="0"/>
                <w:szCs w:val="21"/>
                <w:highlight w:val="none"/>
                <w:lang w:val="en-US" w:eastAsia="zh-CN" w:bidi="ar"/>
              </w:rPr>
              <w:t>42</w:t>
            </w:r>
          </w:p>
        </w:tc>
        <w:tc>
          <w:tcPr>
            <w:tcW w:w="585" w:type="pct"/>
            <w:tcBorders>
              <w:top w:val="single" w:color="auto" w:sz="4" w:space="0"/>
              <w:left w:val="single" w:color="auto" w:sz="4" w:space="0"/>
              <w:bottom w:val="single" w:color="auto" w:sz="4" w:space="0"/>
              <w:right w:val="single" w:color="auto" w:sz="4" w:space="0"/>
            </w:tcBorders>
            <w:shd w:val="clear" w:color="auto" w:fill="auto"/>
            <w:vAlign w:val="center"/>
          </w:tcPr>
          <w:p w14:paraId="46CEA4BF">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Cs w:val="21"/>
                <w:highlight w:val="none"/>
                <w:lang w:val="en-US" w:eastAsia="zh-CN" w:bidi="ar"/>
              </w:rPr>
              <w:t>48</w:t>
            </w:r>
          </w:p>
        </w:tc>
        <w:tc>
          <w:tcPr>
            <w:tcW w:w="1417" w:type="pct"/>
            <w:vMerge w:val="continue"/>
            <w:tcBorders>
              <w:left w:val="single" w:color="auto" w:sz="4" w:space="0"/>
            </w:tcBorders>
            <w:shd w:val="clear" w:color="auto" w:fill="auto"/>
            <w:vAlign w:val="center"/>
          </w:tcPr>
          <w:p w14:paraId="42DF7E1D">
            <w:pPr>
              <w:autoSpaceDE w:val="0"/>
              <w:autoSpaceDN w:val="0"/>
              <w:adjustRightInd w:val="0"/>
              <w:spacing w:line="276" w:lineRule="auto"/>
              <w:jc w:val="center"/>
              <w:rPr>
                <w:snapToGrid w:val="0"/>
                <w:color w:val="auto"/>
                <w:kern w:val="0"/>
                <w:szCs w:val="21"/>
                <w:highlight w:val="none"/>
              </w:rPr>
            </w:pPr>
          </w:p>
        </w:tc>
      </w:tr>
      <w:tr w14:paraId="6F3FF1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blHeader/>
        </w:trPr>
        <w:tc>
          <w:tcPr>
            <w:tcW w:w="2414" w:type="pct"/>
            <w:gridSpan w:val="3"/>
            <w:tcBorders>
              <w:top w:val="single" w:color="auto" w:sz="4" w:space="0"/>
              <w:bottom w:val="single" w:color="auto" w:sz="4" w:space="0"/>
              <w:right w:val="single" w:color="auto" w:sz="4" w:space="0"/>
            </w:tcBorders>
            <w:shd w:val="clear" w:color="auto" w:fill="auto"/>
            <w:vAlign w:val="center"/>
          </w:tcPr>
          <w:p w14:paraId="70D34D2D">
            <w:pPr>
              <w:spacing w:line="276" w:lineRule="auto"/>
              <w:jc w:val="center"/>
              <w:textAlignment w:val="center"/>
              <w:rPr>
                <w:snapToGrid w:val="0"/>
                <w:color w:val="auto"/>
                <w:kern w:val="0"/>
                <w:szCs w:val="21"/>
                <w:highlight w:val="none"/>
              </w:rPr>
            </w:pPr>
            <w:r>
              <w:rPr>
                <w:snapToGrid w:val="0"/>
                <w:color w:val="auto"/>
                <w:kern w:val="0"/>
                <w:szCs w:val="21"/>
                <w:highlight w:val="none"/>
              </w:rPr>
              <w:t>最大值</w:t>
            </w: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4A34F3CA">
            <w:pPr>
              <w:spacing w:line="276" w:lineRule="auto"/>
              <w:jc w:val="center"/>
              <w:textAlignment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54</w:t>
            </w:r>
          </w:p>
        </w:tc>
        <w:tc>
          <w:tcPr>
            <w:tcW w:w="585" w:type="pct"/>
            <w:tcBorders>
              <w:top w:val="single" w:color="auto" w:sz="4" w:space="0"/>
              <w:left w:val="single" w:color="auto" w:sz="4" w:space="0"/>
              <w:bottom w:val="single" w:color="auto" w:sz="4" w:space="0"/>
              <w:right w:val="single" w:color="auto" w:sz="4" w:space="0"/>
            </w:tcBorders>
            <w:shd w:val="clear" w:color="auto" w:fill="auto"/>
            <w:vAlign w:val="center"/>
          </w:tcPr>
          <w:p w14:paraId="57B27112">
            <w:pPr>
              <w:spacing w:line="276" w:lineRule="auto"/>
              <w:jc w:val="center"/>
              <w:textAlignment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49</w:t>
            </w:r>
          </w:p>
        </w:tc>
        <w:tc>
          <w:tcPr>
            <w:tcW w:w="1417" w:type="pct"/>
            <w:vMerge w:val="continue"/>
            <w:tcBorders>
              <w:left w:val="single" w:color="auto" w:sz="4" w:space="0"/>
            </w:tcBorders>
            <w:shd w:val="clear" w:color="auto" w:fill="auto"/>
            <w:vAlign w:val="center"/>
          </w:tcPr>
          <w:p w14:paraId="466AADE5">
            <w:pPr>
              <w:autoSpaceDE w:val="0"/>
              <w:autoSpaceDN w:val="0"/>
              <w:adjustRightInd w:val="0"/>
              <w:spacing w:line="276" w:lineRule="auto"/>
              <w:jc w:val="center"/>
              <w:rPr>
                <w:snapToGrid w:val="0"/>
                <w:color w:val="auto"/>
                <w:kern w:val="0"/>
                <w:szCs w:val="21"/>
                <w:highlight w:val="none"/>
              </w:rPr>
            </w:pPr>
          </w:p>
        </w:tc>
      </w:tr>
      <w:tr w14:paraId="5F260C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 w:hRule="atLeast"/>
          <w:tblHeader/>
        </w:trPr>
        <w:tc>
          <w:tcPr>
            <w:tcW w:w="2414" w:type="pct"/>
            <w:gridSpan w:val="3"/>
            <w:tcBorders>
              <w:top w:val="single" w:color="auto" w:sz="4" w:space="0"/>
              <w:right w:val="single" w:color="auto" w:sz="4" w:space="0"/>
            </w:tcBorders>
            <w:shd w:val="clear" w:color="auto" w:fill="auto"/>
            <w:vAlign w:val="center"/>
          </w:tcPr>
          <w:p w14:paraId="7EDC52EF">
            <w:pPr>
              <w:spacing w:line="276" w:lineRule="auto"/>
              <w:jc w:val="center"/>
              <w:textAlignment w:val="center"/>
              <w:rPr>
                <w:snapToGrid w:val="0"/>
                <w:color w:val="auto"/>
                <w:kern w:val="0"/>
                <w:szCs w:val="21"/>
                <w:highlight w:val="none"/>
              </w:rPr>
            </w:pPr>
            <w:r>
              <w:rPr>
                <w:rFonts w:hint="eastAsia"/>
                <w:snapToGrid w:val="0"/>
                <w:color w:val="auto"/>
                <w:kern w:val="0"/>
                <w:szCs w:val="21"/>
                <w:highlight w:val="none"/>
              </w:rPr>
              <w:t>标准限值</w:t>
            </w:r>
          </w:p>
        </w:tc>
        <w:tc>
          <w:tcPr>
            <w:tcW w:w="583" w:type="pct"/>
            <w:tcBorders>
              <w:top w:val="single" w:color="auto" w:sz="4" w:space="0"/>
              <w:left w:val="single" w:color="auto" w:sz="4" w:space="0"/>
              <w:right w:val="single" w:color="auto" w:sz="4" w:space="0"/>
            </w:tcBorders>
            <w:shd w:val="clear" w:color="auto" w:fill="auto"/>
            <w:vAlign w:val="center"/>
          </w:tcPr>
          <w:p w14:paraId="629F891E">
            <w:pPr>
              <w:spacing w:line="276" w:lineRule="auto"/>
              <w:jc w:val="center"/>
              <w:textAlignment w:val="center"/>
              <w:rPr>
                <w:snapToGrid w:val="0"/>
                <w:color w:val="auto"/>
                <w:kern w:val="0"/>
                <w:szCs w:val="21"/>
                <w:highlight w:val="none"/>
              </w:rPr>
            </w:pPr>
            <w:r>
              <w:rPr>
                <w:rFonts w:hint="eastAsia"/>
                <w:snapToGrid w:val="0"/>
                <w:color w:val="auto"/>
                <w:kern w:val="0"/>
                <w:szCs w:val="21"/>
                <w:highlight w:val="none"/>
              </w:rPr>
              <w:t>65</w:t>
            </w:r>
          </w:p>
        </w:tc>
        <w:tc>
          <w:tcPr>
            <w:tcW w:w="585" w:type="pct"/>
            <w:tcBorders>
              <w:top w:val="single" w:color="auto" w:sz="4" w:space="0"/>
              <w:left w:val="single" w:color="auto" w:sz="4" w:space="0"/>
              <w:right w:val="single" w:color="auto" w:sz="4" w:space="0"/>
            </w:tcBorders>
            <w:shd w:val="clear" w:color="auto" w:fill="auto"/>
            <w:vAlign w:val="center"/>
          </w:tcPr>
          <w:p w14:paraId="59088E61">
            <w:pPr>
              <w:spacing w:line="276" w:lineRule="auto"/>
              <w:jc w:val="center"/>
              <w:textAlignment w:val="center"/>
              <w:rPr>
                <w:snapToGrid w:val="0"/>
                <w:color w:val="auto"/>
                <w:kern w:val="0"/>
                <w:szCs w:val="21"/>
                <w:highlight w:val="none"/>
              </w:rPr>
            </w:pPr>
            <w:r>
              <w:rPr>
                <w:rFonts w:hint="eastAsia"/>
                <w:snapToGrid w:val="0"/>
                <w:color w:val="auto"/>
                <w:kern w:val="0"/>
                <w:szCs w:val="21"/>
                <w:highlight w:val="none"/>
              </w:rPr>
              <w:t>55</w:t>
            </w:r>
          </w:p>
        </w:tc>
        <w:tc>
          <w:tcPr>
            <w:tcW w:w="1417" w:type="pct"/>
            <w:vMerge w:val="continue"/>
            <w:tcBorders>
              <w:left w:val="single" w:color="auto" w:sz="4" w:space="0"/>
            </w:tcBorders>
            <w:shd w:val="clear" w:color="auto" w:fill="auto"/>
            <w:vAlign w:val="center"/>
          </w:tcPr>
          <w:p w14:paraId="6D073537">
            <w:pPr>
              <w:autoSpaceDE w:val="0"/>
              <w:autoSpaceDN w:val="0"/>
              <w:adjustRightInd w:val="0"/>
              <w:spacing w:line="276" w:lineRule="auto"/>
              <w:jc w:val="center"/>
              <w:rPr>
                <w:snapToGrid w:val="0"/>
                <w:color w:val="auto"/>
                <w:kern w:val="0"/>
                <w:szCs w:val="21"/>
                <w:highlight w:val="none"/>
              </w:rPr>
            </w:pPr>
          </w:p>
        </w:tc>
      </w:tr>
    </w:tbl>
    <w:p w14:paraId="5838ED2B">
      <w:pPr>
        <w:adjustRightInd w:val="0"/>
        <w:snapToGrid w:val="0"/>
        <w:spacing w:before="120" w:beforeLines="50" w:line="360" w:lineRule="auto"/>
        <w:ind w:firstLine="480" w:firstLineChars="200"/>
        <w:rPr>
          <w:snapToGrid w:val="0"/>
          <w:color w:val="auto"/>
          <w:kern w:val="0"/>
          <w:sz w:val="24"/>
          <w:highlight w:val="none"/>
        </w:rPr>
      </w:pPr>
      <w:r>
        <w:rPr>
          <w:rFonts w:hint="eastAsia"/>
          <w:snapToGrid w:val="0"/>
          <w:color w:val="auto"/>
          <w:kern w:val="0"/>
          <w:sz w:val="24"/>
          <w:highlight w:val="none"/>
        </w:rPr>
        <w:t>从上表的监测结果可以看出，昼间及夜间</w:t>
      </w:r>
      <w:r>
        <w:rPr>
          <w:rFonts w:hint="eastAsia"/>
          <w:snapToGrid w:val="0"/>
          <w:color w:val="auto"/>
          <w:kern w:val="0"/>
          <w:sz w:val="24"/>
          <w:highlight w:val="none"/>
          <w:lang w:val="en-US" w:eastAsia="zh-CN"/>
        </w:rPr>
        <w:t>声环境现状</w:t>
      </w:r>
      <w:r>
        <w:rPr>
          <w:rFonts w:hint="eastAsia"/>
          <w:snapToGrid w:val="0"/>
          <w:color w:val="auto"/>
          <w:kern w:val="0"/>
          <w:sz w:val="24"/>
          <w:highlight w:val="none"/>
        </w:rPr>
        <w:t>监测值均符合《声环境质量标准》（</w:t>
      </w:r>
      <w:r>
        <w:rPr>
          <w:snapToGrid w:val="0"/>
          <w:color w:val="auto"/>
          <w:kern w:val="0"/>
          <w:sz w:val="24"/>
          <w:highlight w:val="none"/>
        </w:rPr>
        <w:t>GB3096-2008</w:t>
      </w:r>
      <w:r>
        <w:rPr>
          <w:rFonts w:hint="eastAsia"/>
          <w:snapToGrid w:val="0"/>
          <w:color w:val="auto"/>
          <w:kern w:val="0"/>
          <w:sz w:val="24"/>
          <w:highlight w:val="none"/>
        </w:rPr>
        <w:t>）中的3类区标准限值。</w:t>
      </w:r>
    </w:p>
    <w:p w14:paraId="1C1BA356">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5.3.5土壤环境质量现状调查及评价</w:t>
      </w:r>
    </w:p>
    <w:p w14:paraId="43829E1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5.3.5.1土壤环境质量现状调查</w:t>
      </w:r>
    </w:p>
    <w:p w14:paraId="1B0926B8">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snapToGrid w:val="0"/>
          <w:color w:val="auto"/>
          <w:kern w:val="0"/>
          <w:sz w:val="24"/>
          <w:highlight w:val="none"/>
        </w:rPr>
        <w:t>监测</w:t>
      </w:r>
      <w:r>
        <w:rPr>
          <w:rFonts w:hint="eastAsia"/>
          <w:snapToGrid w:val="0"/>
          <w:color w:val="auto"/>
          <w:kern w:val="0"/>
          <w:sz w:val="24"/>
          <w:highlight w:val="none"/>
        </w:rPr>
        <w:t>布点及监测因子</w:t>
      </w:r>
    </w:p>
    <w:p w14:paraId="5C386FA5">
      <w:pPr>
        <w:widowControl/>
        <w:adjustRightInd w:val="0"/>
        <w:snapToGrid w:val="0"/>
        <w:spacing w:line="360" w:lineRule="auto"/>
        <w:ind w:firstLine="480" w:firstLineChars="200"/>
        <w:rPr>
          <w:rFonts w:hint="default" w:eastAsia="宋体"/>
          <w:snapToGrid w:val="0"/>
          <w:color w:val="auto"/>
          <w:kern w:val="0"/>
          <w:sz w:val="24"/>
          <w:highlight w:val="none"/>
          <w:lang w:val="en-US" w:eastAsia="zh-CN"/>
        </w:rPr>
      </w:pPr>
      <w:r>
        <w:rPr>
          <w:snapToGrid w:val="0"/>
          <w:color w:val="auto"/>
          <w:kern w:val="0"/>
          <w:sz w:val="24"/>
          <w:highlight w:val="none"/>
        </w:rPr>
        <w:t>拟建项目占地范围内的建设用地设置</w:t>
      </w:r>
      <w:r>
        <w:rPr>
          <w:rFonts w:hint="eastAsia"/>
          <w:snapToGrid w:val="0"/>
          <w:color w:val="auto"/>
          <w:kern w:val="0"/>
          <w:sz w:val="24"/>
          <w:highlight w:val="none"/>
        </w:rPr>
        <w:t>3</w:t>
      </w:r>
      <w:r>
        <w:rPr>
          <w:snapToGrid w:val="0"/>
          <w:color w:val="auto"/>
          <w:kern w:val="0"/>
          <w:sz w:val="24"/>
          <w:highlight w:val="none"/>
        </w:rPr>
        <w:t>个柱状监测点和</w:t>
      </w:r>
      <w:r>
        <w:rPr>
          <w:rFonts w:hint="eastAsia"/>
          <w:snapToGrid w:val="0"/>
          <w:color w:val="auto"/>
          <w:kern w:val="0"/>
          <w:sz w:val="24"/>
          <w:highlight w:val="none"/>
        </w:rPr>
        <w:t>1</w:t>
      </w:r>
      <w:r>
        <w:rPr>
          <w:snapToGrid w:val="0"/>
          <w:color w:val="auto"/>
          <w:kern w:val="0"/>
          <w:sz w:val="24"/>
          <w:highlight w:val="none"/>
        </w:rPr>
        <w:t>个表层监测点，占地范围外的建设用地</w:t>
      </w:r>
      <w:r>
        <w:rPr>
          <w:rFonts w:hint="eastAsia"/>
          <w:snapToGrid w:val="0"/>
          <w:color w:val="auto"/>
          <w:kern w:val="0"/>
          <w:sz w:val="24"/>
          <w:highlight w:val="none"/>
        </w:rPr>
        <w:t>设置2个表层监测点，</w:t>
      </w:r>
      <w:r>
        <w:rPr>
          <w:snapToGrid w:val="0"/>
          <w:color w:val="auto"/>
          <w:kern w:val="0"/>
          <w:sz w:val="24"/>
          <w:highlight w:val="none"/>
        </w:rPr>
        <w:t>监测项目包括《土壤环境质量 建设用地土壤污染风险管控标准》（GB36600-2018）中表1建设用地土壤污染风险筛选值和管控值（基本项目）45个项目和特征因子pH、石油烃</w:t>
      </w:r>
      <w:r>
        <w:rPr>
          <w:rFonts w:hint="eastAsia"/>
          <w:color w:val="auto"/>
          <w:sz w:val="24"/>
          <w:szCs w:val="24"/>
          <w:highlight w:val="none"/>
          <w:lang w:eastAsia="zh-CN"/>
        </w:rPr>
        <w:t>（</w:t>
      </w:r>
      <w:r>
        <w:rPr>
          <w:rFonts w:hint="eastAsia"/>
          <w:color w:val="auto"/>
          <w:sz w:val="24"/>
          <w:szCs w:val="24"/>
          <w:highlight w:val="none"/>
          <w:lang w:val="en-US" w:eastAsia="zh-CN"/>
        </w:rPr>
        <w:t>C</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~C</w:t>
      </w:r>
      <w:r>
        <w:rPr>
          <w:rFonts w:hint="eastAsia"/>
          <w:color w:val="auto"/>
          <w:sz w:val="24"/>
          <w:szCs w:val="24"/>
          <w:highlight w:val="none"/>
          <w:vertAlign w:val="subscript"/>
          <w:lang w:val="en-US" w:eastAsia="zh-CN"/>
        </w:rPr>
        <w:t>40</w:t>
      </w:r>
      <w:r>
        <w:rPr>
          <w:rFonts w:hint="eastAsia"/>
          <w:color w:val="auto"/>
          <w:sz w:val="24"/>
          <w:szCs w:val="24"/>
          <w:highlight w:val="none"/>
          <w:lang w:eastAsia="zh-CN"/>
        </w:rPr>
        <w:t>）</w:t>
      </w:r>
      <w:r>
        <w:rPr>
          <w:rFonts w:hint="eastAsia"/>
          <w:snapToGrid w:val="0"/>
          <w:color w:val="auto"/>
          <w:kern w:val="0"/>
          <w:sz w:val="24"/>
          <w:highlight w:val="none"/>
        </w:rPr>
        <w:t>。区域地势为南高北低</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地下水流向由东南向西北</w:t>
      </w:r>
      <w:r>
        <w:rPr>
          <w:snapToGrid w:val="0"/>
          <w:color w:val="auto"/>
          <w:kern w:val="0"/>
          <w:sz w:val="24"/>
          <w:highlight w:val="none"/>
        </w:rPr>
        <w:t>，</w:t>
      </w:r>
      <w:r>
        <w:rPr>
          <w:rFonts w:hint="eastAsia"/>
          <w:snapToGrid w:val="0"/>
          <w:color w:val="auto"/>
          <w:kern w:val="0"/>
          <w:sz w:val="24"/>
          <w:highlight w:val="none"/>
          <w:lang w:val="en-US" w:eastAsia="zh-CN"/>
        </w:rPr>
        <w:t>主导风向为南风，因此综合考虑占地范围外南侧和北侧各设置一个监测点。</w:t>
      </w:r>
    </w:p>
    <w:p w14:paraId="6AAB1C13">
      <w:pPr>
        <w:widowControl/>
        <w:adjustRightInd w:val="0"/>
        <w:snapToGrid w:val="0"/>
        <w:spacing w:line="360" w:lineRule="auto"/>
        <w:ind w:firstLine="480" w:firstLineChars="200"/>
        <w:rPr>
          <w:color w:val="auto"/>
          <w:kern w:val="0"/>
          <w:sz w:val="24"/>
          <w:highlight w:val="none"/>
        </w:rPr>
      </w:pPr>
      <w:r>
        <w:rPr>
          <w:color w:val="auto"/>
          <w:kern w:val="0"/>
          <w:sz w:val="24"/>
          <w:highlight w:val="none"/>
        </w:rPr>
        <w:t>具体监测点布设见表</w:t>
      </w:r>
      <w:r>
        <w:rPr>
          <w:rFonts w:hint="eastAsia"/>
          <w:color w:val="auto"/>
          <w:kern w:val="0"/>
          <w:sz w:val="24"/>
          <w:highlight w:val="none"/>
        </w:rPr>
        <w:t>5</w:t>
      </w:r>
      <w:r>
        <w:rPr>
          <w:color w:val="auto"/>
          <w:kern w:val="0"/>
          <w:sz w:val="24"/>
          <w:highlight w:val="none"/>
        </w:rPr>
        <w:t>.</w:t>
      </w:r>
      <w:r>
        <w:rPr>
          <w:rFonts w:hint="eastAsia"/>
          <w:color w:val="auto"/>
          <w:kern w:val="0"/>
          <w:sz w:val="24"/>
          <w:highlight w:val="none"/>
        </w:rPr>
        <w:t>3</w:t>
      </w:r>
      <w:r>
        <w:rPr>
          <w:color w:val="auto"/>
          <w:kern w:val="0"/>
          <w:sz w:val="24"/>
          <w:highlight w:val="none"/>
        </w:rPr>
        <w:t>-</w:t>
      </w:r>
      <w:r>
        <w:rPr>
          <w:rFonts w:hint="eastAsia"/>
          <w:color w:val="auto"/>
          <w:kern w:val="0"/>
          <w:sz w:val="24"/>
          <w:highlight w:val="none"/>
        </w:rPr>
        <w:t>1</w:t>
      </w:r>
      <w:r>
        <w:rPr>
          <w:rFonts w:hint="eastAsia"/>
          <w:color w:val="auto"/>
          <w:kern w:val="0"/>
          <w:sz w:val="24"/>
          <w:highlight w:val="none"/>
          <w:lang w:val="en-US" w:eastAsia="zh-CN"/>
        </w:rPr>
        <w:t>5</w:t>
      </w:r>
      <w:r>
        <w:rPr>
          <w:color w:val="auto"/>
          <w:kern w:val="0"/>
          <w:sz w:val="24"/>
          <w:highlight w:val="none"/>
        </w:rPr>
        <w:t>和图</w:t>
      </w:r>
      <w:r>
        <w:rPr>
          <w:rFonts w:hint="eastAsia"/>
          <w:color w:val="auto"/>
          <w:kern w:val="0"/>
          <w:sz w:val="24"/>
          <w:highlight w:val="none"/>
        </w:rPr>
        <w:t>5</w:t>
      </w:r>
      <w:r>
        <w:rPr>
          <w:color w:val="auto"/>
          <w:kern w:val="0"/>
          <w:sz w:val="24"/>
          <w:highlight w:val="none"/>
        </w:rPr>
        <w:t>.</w:t>
      </w:r>
      <w:r>
        <w:rPr>
          <w:rFonts w:hint="eastAsia"/>
          <w:color w:val="auto"/>
          <w:kern w:val="0"/>
          <w:sz w:val="24"/>
          <w:highlight w:val="none"/>
        </w:rPr>
        <w:t>3</w:t>
      </w:r>
      <w:r>
        <w:rPr>
          <w:color w:val="auto"/>
          <w:kern w:val="0"/>
          <w:sz w:val="24"/>
          <w:highlight w:val="none"/>
        </w:rPr>
        <w:t>-</w:t>
      </w:r>
      <w:r>
        <w:rPr>
          <w:rFonts w:hint="eastAsia"/>
          <w:color w:val="auto"/>
          <w:kern w:val="0"/>
          <w:sz w:val="24"/>
          <w:highlight w:val="none"/>
          <w:lang w:val="en-US" w:eastAsia="zh-CN"/>
        </w:rPr>
        <w:t>3</w:t>
      </w:r>
      <w:r>
        <w:rPr>
          <w:color w:val="auto"/>
          <w:kern w:val="0"/>
          <w:sz w:val="24"/>
          <w:highlight w:val="none"/>
        </w:rPr>
        <w:t>。</w:t>
      </w:r>
    </w:p>
    <w:p w14:paraId="1A0EF0B9">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w:t>
      </w:r>
      <w:r>
        <w:rPr>
          <w:rFonts w:ascii="Times New Roman" w:hAnsi="Times New Roman" w:cs="Times New Roman"/>
          <w:snapToGrid w:val="0"/>
          <w:color w:val="auto"/>
          <w:kern w:val="0"/>
          <w:sz w:val="21"/>
          <w:szCs w:val="21"/>
          <w:highlight w:val="none"/>
        </w:rPr>
        <w:t>.</w:t>
      </w:r>
      <w:r>
        <w:rPr>
          <w:rFonts w:hint="eastAsia" w:ascii="Times New Roman" w:hAnsi="Times New Roman" w:cs="Times New Roman"/>
          <w:snapToGrid w:val="0"/>
          <w:color w:val="auto"/>
          <w:kern w:val="0"/>
          <w:sz w:val="21"/>
          <w:szCs w:val="21"/>
          <w:highlight w:val="none"/>
        </w:rPr>
        <w:t>3-1</w:t>
      </w:r>
      <w:r>
        <w:rPr>
          <w:rFonts w:hint="eastAsia" w:ascii="Times New Roman" w:hAnsi="Times New Roman" w:cs="Times New Roman"/>
          <w:snapToGrid w:val="0"/>
          <w:color w:val="auto"/>
          <w:kern w:val="0"/>
          <w:sz w:val="21"/>
          <w:szCs w:val="21"/>
          <w:highlight w:val="none"/>
          <w:lang w:val="en-US" w:eastAsia="zh-CN"/>
        </w:rPr>
        <w:t>5</w:t>
      </w:r>
      <w:r>
        <w:rPr>
          <w:rFonts w:ascii="Times New Roman" w:hAnsi="Times New Roman" w:cs="Times New Roman"/>
          <w:snapToGrid w:val="0"/>
          <w:color w:val="auto"/>
          <w:kern w:val="0"/>
          <w:sz w:val="21"/>
          <w:szCs w:val="21"/>
          <w:highlight w:val="none"/>
        </w:rPr>
        <w:t xml:space="preserve"> 项目土壤监测点布设一览表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2166"/>
        <w:gridCol w:w="1384"/>
        <w:gridCol w:w="1086"/>
        <w:gridCol w:w="3239"/>
      </w:tblGrid>
      <w:tr w14:paraId="4BC4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2925F405">
            <w:pPr>
              <w:widowControl/>
              <w:adjustRightInd w:val="0"/>
              <w:snapToGrid w:val="0"/>
              <w:jc w:val="center"/>
              <w:rPr>
                <w:snapToGrid w:val="0"/>
                <w:color w:val="auto"/>
                <w:kern w:val="0"/>
                <w:szCs w:val="21"/>
                <w:highlight w:val="none"/>
                <w:lang w:val="zh-CN"/>
              </w:rPr>
            </w:pPr>
            <w:r>
              <w:rPr>
                <w:snapToGrid w:val="0"/>
                <w:color w:val="auto"/>
                <w:kern w:val="0"/>
                <w:szCs w:val="21"/>
                <w:highlight w:val="none"/>
                <w:lang w:val="zh-CN"/>
              </w:rPr>
              <w:t>编号</w:t>
            </w:r>
          </w:p>
        </w:tc>
        <w:tc>
          <w:tcPr>
            <w:tcW w:w="1271" w:type="pct"/>
            <w:vAlign w:val="center"/>
          </w:tcPr>
          <w:p w14:paraId="3F93287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点位名称</w:t>
            </w:r>
          </w:p>
        </w:tc>
        <w:tc>
          <w:tcPr>
            <w:tcW w:w="812" w:type="pct"/>
            <w:vAlign w:val="center"/>
          </w:tcPr>
          <w:p w14:paraId="100E7B8A">
            <w:pPr>
              <w:widowControl/>
              <w:adjustRightInd w:val="0"/>
              <w:snapToGrid w:val="0"/>
              <w:jc w:val="center"/>
              <w:rPr>
                <w:snapToGrid w:val="0"/>
                <w:color w:val="auto"/>
                <w:kern w:val="0"/>
                <w:szCs w:val="21"/>
                <w:highlight w:val="none"/>
                <w:lang w:val="zh-CN"/>
              </w:rPr>
            </w:pPr>
            <w:r>
              <w:rPr>
                <w:snapToGrid w:val="0"/>
                <w:color w:val="auto"/>
                <w:kern w:val="0"/>
                <w:szCs w:val="21"/>
                <w:highlight w:val="none"/>
                <w:lang w:val="zh-CN"/>
              </w:rPr>
              <w:t>监测点位置</w:t>
            </w:r>
          </w:p>
        </w:tc>
        <w:tc>
          <w:tcPr>
            <w:tcW w:w="637" w:type="pct"/>
            <w:vAlign w:val="center"/>
          </w:tcPr>
          <w:p w14:paraId="4966C7D3">
            <w:pPr>
              <w:widowControl/>
              <w:adjustRightInd w:val="0"/>
              <w:snapToGrid w:val="0"/>
              <w:jc w:val="center"/>
              <w:rPr>
                <w:snapToGrid w:val="0"/>
                <w:color w:val="auto"/>
                <w:kern w:val="0"/>
                <w:szCs w:val="21"/>
                <w:highlight w:val="none"/>
                <w:lang w:val="zh-CN"/>
              </w:rPr>
            </w:pPr>
            <w:r>
              <w:rPr>
                <w:rFonts w:hint="eastAsia"/>
                <w:snapToGrid w:val="0"/>
                <w:color w:val="auto"/>
                <w:kern w:val="0"/>
                <w:szCs w:val="21"/>
                <w:highlight w:val="none"/>
                <w:lang w:val="zh-CN"/>
              </w:rPr>
              <w:t>类型</w:t>
            </w:r>
          </w:p>
        </w:tc>
        <w:tc>
          <w:tcPr>
            <w:tcW w:w="1900" w:type="pct"/>
            <w:vAlign w:val="center"/>
          </w:tcPr>
          <w:p w14:paraId="194934E1">
            <w:pPr>
              <w:widowControl/>
              <w:adjustRightInd w:val="0"/>
              <w:snapToGrid w:val="0"/>
              <w:jc w:val="center"/>
              <w:rPr>
                <w:snapToGrid w:val="0"/>
                <w:color w:val="auto"/>
                <w:kern w:val="0"/>
                <w:szCs w:val="21"/>
                <w:highlight w:val="none"/>
                <w:lang w:val="zh-CN"/>
              </w:rPr>
            </w:pPr>
            <w:r>
              <w:rPr>
                <w:snapToGrid w:val="0"/>
                <w:color w:val="auto"/>
                <w:kern w:val="0"/>
                <w:szCs w:val="21"/>
                <w:highlight w:val="none"/>
                <w:lang w:val="zh-CN"/>
              </w:rPr>
              <w:t>监测项目</w:t>
            </w:r>
          </w:p>
        </w:tc>
      </w:tr>
      <w:tr w14:paraId="3886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34FF2DD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zh-CN"/>
              </w:rPr>
              <w:t>T</w:t>
            </w:r>
            <w:r>
              <w:rPr>
                <w:snapToGrid w:val="0"/>
                <w:color w:val="auto"/>
                <w:kern w:val="0"/>
                <w:szCs w:val="21"/>
                <w:highlight w:val="none"/>
                <w:lang w:val="zh-CN"/>
              </w:rPr>
              <w:t>1</w:t>
            </w:r>
          </w:p>
        </w:tc>
        <w:tc>
          <w:tcPr>
            <w:tcW w:w="1271" w:type="pct"/>
            <w:vAlign w:val="center"/>
          </w:tcPr>
          <w:p w14:paraId="6EC4005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发酵车间</w:t>
            </w:r>
          </w:p>
        </w:tc>
        <w:tc>
          <w:tcPr>
            <w:tcW w:w="812" w:type="pct"/>
            <w:vMerge w:val="restart"/>
            <w:vAlign w:val="center"/>
          </w:tcPr>
          <w:p w14:paraId="784046AC">
            <w:pPr>
              <w:widowControl/>
              <w:adjustRightInd w:val="0"/>
              <w:snapToGrid w:val="0"/>
              <w:jc w:val="center"/>
              <w:rPr>
                <w:snapToGrid w:val="0"/>
                <w:color w:val="auto"/>
                <w:kern w:val="0"/>
                <w:szCs w:val="21"/>
                <w:highlight w:val="none"/>
                <w:lang w:val="zh-CN"/>
              </w:rPr>
            </w:pPr>
            <w:r>
              <w:rPr>
                <w:snapToGrid w:val="0"/>
                <w:color w:val="auto"/>
                <w:kern w:val="0"/>
                <w:szCs w:val="21"/>
                <w:highlight w:val="none"/>
                <w:lang w:val="zh-CN"/>
              </w:rPr>
              <w:t>厂区内</w:t>
            </w:r>
          </w:p>
        </w:tc>
        <w:tc>
          <w:tcPr>
            <w:tcW w:w="637" w:type="pct"/>
            <w:vAlign w:val="center"/>
          </w:tcPr>
          <w:p w14:paraId="45ACB820">
            <w:pPr>
              <w:widowControl/>
              <w:adjustRightInd w:val="0"/>
              <w:snapToGrid w:val="0"/>
              <w:jc w:val="center"/>
              <w:rPr>
                <w:snapToGrid w:val="0"/>
                <w:color w:val="auto"/>
                <w:kern w:val="0"/>
                <w:szCs w:val="21"/>
                <w:highlight w:val="none"/>
                <w:lang w:val="zh-CN"/>
              </w:rPr>
            </w:pPr>
            <w:r>
              <w:rPr>
                <w:snapToGrid w:val="0"/>
                <w:color w:val="auto"/>
                <w:kern w:val="0"/>
                <w:szCs w:val="21"/>
                <w:highlight w:val="none"/>
                <w:lang w:val="zh-CN"/>
              </w:rPr>
              <w:t>表层样</w:t>
            </w:r>
          </w:p>
        </w:tc>
        <w:tc>
          <w:tcPr>
            <w:tcW w:w="1900" w:type="pct"/>
            <w:vAlign w:val="center"/>
          </w:tcPr>
          <w:p w14:paraId="774EB3B7">
            <w:pPr>
              <w:widowControl/>
              <w:adjustRightInd w:val="0"/>
              <w:snapToGrid w:val="0"/>
              <w:jc w:val="center"/>
              <w:rPr>
                <w:snapToGrid w:val="0"/>
                <w:color w:val="auto"/>
                <w:kern w:val="0"/>
                <w:szCs w:val="21"/>
                <w:highlight w:val="none"/>
                <w:lang w:val="zh-CN"/>
              </w:rPr>
            </w:pPr>
            <w:r>
              <w:rPr>
                <w:rFonts w:hint="eastAsia"/>
                <w:snapToGrid w:val="0"/>
                <w:color w:val="auto"/>
                <w:kern w:val="0"/>
                <w:szCs w:val="21"/>
                <w:highlight w:val="none"/>
              </w:rPr>
              <w:t>基本因子45项+pH+石油烃</w:t>
            </w:r>
            <w:r>
              <w:rPr>
                <w:color w:val="auto"/>
                <w:spacing w:val="-11"/>
                <w:sz w:val="21"/>
                <w:highlight w:val="none"/>
              </w:rPr>
              <w:t>（C</w:t>
            </w:r>
            <w:r>
              <w:rPr>
                <w:color w:val="auto"/>
                <w:spacing w:val="-11"/>
                <w:sz w:val="21"/>
                <w:highlight w:val="none"/>
                <w:vertAlign w:val="subscript"/>
              </w:rPr>
              <w:t>10</w:t>
            </w:r>
            <w:r>
              <w:rPr>
                <w:color w:val="auto"/>
                <w:spacing w:val="-11"/>
                <w:sz w:val="21"/>
                <w:highlight w:val="none"/>
              </w:rPr>
              <w:t>-C</w:t>
            </w:r>
            <w:r>
              <w:rPr>
                <w:color w:val="auto"/>
                <w:spacing w:val="-11"/>
                <w:sz w:val="21"/>
                <w:highlight w:val="none"/>
                <w:vertAlign w:val="subscript"/>
              </w:rPr>
              <w:t>40</w:t>
            </w:r>
            <w:r>
              <w:rPr>
                <w:color w:val="auto"/>
                <w:spacing w:val="-11"/>
                <w:sz w:val="21"/>
                <w:highlight w:val="none"/>
              </w:rPr>
              <w:t>）</w:t>
            </w:r>
          </w:p>
        </w:tc>
      </w:tr>
      <w:tr w14:paraId="4799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782CDF45">
            <w:pPr>
              <w:widowControl/>
              <w:adjustRightInd w:val="0"/>
              <w:snapToGrid w:val="0"/>
              <w:jc w:val="center"/>
              <w:rPr>
                <w:snapToGrid w:val="0"/>
                <w:color w:val="auto"/>
                <w:kern w:val="0"/>
                <w:szCs w:val="21"/>
                <w:highlight w:val="none"/>
                <w:lang w:val="zh-CN"/>
              </w:rPr>
            </w:pPr>
            <w:r>
              <w:rPr>
                <w:rFonts w:hint="eastAsia"/>
                <w:snapToGrid w:val="0"/>
                <w:color w:val="auto"/>
                <w:kern w:val="0"/>
                <w:szCs w:val="21"/>
                <w:highlight w:val="none"/>
                <w:lang w:val="zh-CN"/>
              </w:rPr>
              <w:t>T</w:t>
            </w:r>
            <w:r>
              <w:rPr>
                <w:rFonts w:hint="eastAsia"/>
                <w:snapToGrid w:val="0"/>
                <w:color w:val="auto"/>
                <w:kern w:val="0"/>
                <w:szCs w:val="21"/>
                <w:highlight w:val="none"/>
              </w:rPr>
              <w:t>2</w:t>
            </w:r>
          </w:p>
        </w:tc>
        <w:tc>
          <w:tcPr>
            <w:tcW w:w="1271" w:type="pct"/>
            <w:vAlign w:val="center"/>
          </w:tcPr>
          <w:p w14:paraId="2F076B7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烷烃罐区</w:t>
            </w:r>
          </w:p>
        </w:tc>
        <w:tc>
          <w:tcPr>
            <w:tcW w:w="812" w:type="pct"/>
            <w:vMerge w:val="continue"/>
            <w:vAlign w:val="center"/>
          </w:tcPr>
          <w:p w14:paraId="04F5297F">
            <w:pPr>
              <w:widowControl/>
              <w:adjustRightInd w:val="0"/>
              <w:snapToGrid w:val="0"/>
              <w:jc w:val="center"/>
              <w:rPr>
                <w:snapToGrid w:val="0"/>
                <w:color w:val="auto"/>
                <w:kern w:val="0"/>
                <w:szCs w:val="21"/>
                <w:highlight w:val="none"/>
                <w:lang w:val="zh-CN"/>
              </w:rPr>
            </w:pPr>
          </w:p>
        </w:tc>
        <w:tc>
          <w:tcPr>
            <w:tcW w:w="637" w:type="pct"/>
            <w:vMerge w:val="restart"/>
            <w:vAlign w:val="center"/>
          </w:tcPr>
          <w:p w14:paraId="00FB85E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柱状样</w:t>
            </w:r>
          </w:p>
        </w:tc>
        <w:tc>
          <w:tcPr>
            <w:tcW w:w="1900" w:type="pct"/>
            <w:vAlign w:val="center"/>
          </w:tcPr>
          <w:p w14:paraId="55E5EC0A">
            <w:pPr>
              <w:widowControl/>
              <w:adjustRightInd w:val="0"/>
              <w:snapToGrid w:val="0"/>
              <w:jc w:val="center"/>
              <w:rPr>
                <w:snapToGrid w:val="0"/>
                <w:color w:val="auto"/>
                <w:kern w:val="0"/>
                <w:szCs w:val="21"/>
                <w:highlight w:val="none"/>
              </w:rPr>
            </w:pPr>
            <w:r>
              <w:rPr>
                <w:snapToGrid w:val="0"/>
                <w:color w:val="auto"/>
                <w:kern w:val="0"/>
                <w:szCs w:val="21"/>
                <w:highlight w:val="none"/>
              </w:rPr>
              <w:t>pH、石油烃</w:t>
            </w:r>
            <w:r>
              <w:rPr>
                <w:color w:val="auto"/>
                <w:spacing w:val="-11"/>
                <w:sz w:val="21"/>
                <w:highlight w:val="none"/>
              </w:rPr>
              <w:t>（C</w:t>
            </w:r>
            <w:r>
              <w:rPr>
                <w:color w:val="auto"/>
                <w:spacing w:val="-11"/>
                <w:sz w:val="21"/>
                <w:highlight w:val="none"/>
                <w:vertAlign w:val="subscript"/>
              </w:rPr>
              <w:t>10</w:t>
            </w:r>
            <w:r>
              <w:rPr>
                <w:color w:val="auto"/>
                <w:spacing w:val="-11"/>
                <w:sz w:val="21"/>
                <w:highlight w:val="none"/>
              </w:rPr>
              <w:t>-C</w:t>
            </w:r>
            <w:r>
              <w:rPr>
                <w:color w:val="auto"/>
                <w:spacing w:val="-11"/>
                <w:sz w:val="21"/>
                <w:highlight w:val="none"/>
                <w:vertAlign w:val="subscript"/>
              </w:rPr>
              <w:t>40</w:t>
            </w:r>
            <w:r>
              <w:rPr>
                <w:color w:val="auto"/>
                <w:spacing w:val="-11"/>
                <w:sz w:val="21"/>
                <w:highlight w:val="none"/>
              </w:rPr>
              <w:t>）</w:t>
            </w:r>
          </w:p>
        </w:tc>
      </w:tr>
      <w:tr w14:paraId="5BD2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1D96E51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zh-CN"/>
              </w:rPr>
              <w:t>T</w:t>
            </w:r>
            <w:r>
              <w:rPr>
                <w:rFonts w:hint="eastAsia"/>
                <w:snapToGrid w:val="0"/>
                <w:color w:val="auto"/>
                <w:kern w:val="0"/>
                <w:szCs w:val="21"/>
                <w:highlight w:val="none"/>
              </w:rPr>
              <w:t>3</w:t>
            </w:r>
          </w:p>
        </w:tc>
        <w:tc>
          <w:tcPr>
            <w:tcW w:w="1271" w:type="pct"/>
            <w:vAlign w:val="center"/>
          </w:tcPr>
          <w:p w14:paraId="74A2C25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提取车间</w:t>
            </w:r>
          </w:p>
        </w:tc>
        <w:tc>
          <w:tcPr>
            <w:tcW w:w="812" w:type="pct"/>
            <w:vMerge w:val="continue"/>
            <w:vAlign w:val="center"/>
          </w:tcPr>
          <w:p w14:paraId="32D38277">
            <w:pPr>
              <w:widowControl/>
              <w:adjustRightInd w:val="0"/>
              <w:snapToGrid w:val="0"/>
              <w:jc w:val="center"/>
              <w:rPr>
                <w:snapToGrid w:val="0"/>
                <w:color w:val="auto"/>
                <w:kern w:val="0"/>
                <w:szCs w:val="21"/>
                <w:highlight w:val="none"/>
                <w:lang w:val="zh-CN"/>
              </w:rPr>
            </w:pPr>
          </w:p>
        </w:tc>
        <w:tc>
          <w:tcPr>
            <w:tcW w:w="637" w:type="pct"/>
            <w:vMerge w:val="continue"/>
            <w:vAlign w:val="center"/>
          </w:tcPr>
          <w:p w14:paraId="1A199C01">
            <w:pPr>
              <w:widowControl/>
              <w:adjustRightInd w:val="0"/>
              <w:snapToGrid w:val="0"/>
              <w:jc w:val="center"/>
              <w:rPr>
                <w:snapToGrid w:val="0"/>
                <w:color w:val="auto"/>
                <w:kern w:val="0"/>
                <w:szCs w:val="21"/>
                <w:highlight w:val="none"/>
              </w:rPr>
            </w:pPr>
          </w:p>
        </w:tc>
        <w:tc>
          <w:tcPr>
            <w:tcW w:w="1900" w:type="pct"/>
            <w:vAlign w:val="center"/>
          </w:tcPr>
          <w:p w14:paraId="33DFAA9A">
            <w:pPr>
              <w:widowControl/>
              <w:adjustRightInd w:val="0"/>
              <w:snapToGrid w:val="0"/>
              <w:jc w:val="center"/>
              <w:rPr>
                <w:snapToGrid w:val="0"/>
                <w:color w:val="auto"/>
                <w:kern w:val="0"/>
                <w:szCs w:val="21"/>
                <w:highlight w:val="none"/>
              </w:rPr>
            </w:pPr>
            <w:r>
              <w:rPr>
                <w:snapToGrid w:val="0"/>
                <w:color w:val="auto"/>
                <w:kern w:val="0"/>
                <w:szCs w:val="21"/>
                <w:highlight w:val="none"/>
              </w:rPr>
              <w:t>pH、石油烃</w:t>
            </w:r>
            <w:r>
              <w:rPr>
                <w:color w:val="auto"/>
                <w:spacing w:val="-11"/>
                <w:sz w:val="21"/>
                <w:highlight w:val="none"/>
              </w:rPr>
              <w:t>（C</w:t>
            </w:r>
            <w:r>
              <w:rPr>
                <w:color w:val="auto"/>
                <w:spacing w:val="-11"/>
                <w:sz w:val="21"/>
                <w:highlight w:val="none"/>
                <w:vertAlign w:val="subscript"/>
              </w:rPr>
              <w:t>10</w:t>
            </w:r>
            <w:r>
              <w:rPr>
                <w:color w:val="auto"/>
                <w:spacing w:val="-11"/>
                <w:sz w:val="21"/>
                <w:highlight w:val="none"/>
              </w:rPr>
              <w:t>-C</w:t>
            </w:r>
            <w:r>
              <w:rPr>
                <w:color w:val="auto"/>
                <w:spacing w:val="-11"/>
                <w:sz w:val="21"/>
                <w:highlight w:val="none"/>
                <w:vertAlign w:val="subscript"/>
              </w:rPr>
              <w:t>40</w:t>
            </w:r>
            <w:r>
              <w:rPr>
                <w:color w:val="auto"/>
                <w:spacing w:val="-11"/>
                <w:sz w:val="21"/>
                <w:highlight w:val="none"/>
              </w:rPr>
              <w:t>）</w:t>
            </w:r>
          </w:p>
        </w:tc>
      </w:tr>
      <w:tr w14:paraId="27F7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3CC47DB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zh-CN"/>
              </w:rPr>
              <w:t>T</w:t>
            </w:r>
            <w:r>
              <w:rPr>
                <w:rFonts w:hint="eastAsia"/>
                <w:snapToGrid w:val="0"/>
                <w:color w:val="auto"/>
                <w:kern w:val="0"/>
                <w:szCs w:val="21"/>
                <w:highlight w:val="none"/>
              </w:rPr>
              <w:t>4</w:t>
            </w:r>
          </w:p>
        </w:tc>
        <w:tc>
          <w:tcPr>
            <w:tcW w:w="1271" w:type="pct"/>
            <w:vAlign w:val="center"/>
          </w:tcPr>
          <w:p w14:paraId="7753C57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提取车间罐区</w:t>
            </w:r>
          </w:p>
        </w:tc>
        <w:tc>
          <w:tcPr>
            <w:tcW w:w="812" w:type="pct"/>
            <w:vMerge w:val="continue"/>
            <w:vAlign w:val="center"/>
          </w:tcPr>
          <w:p w14:paraId="69930756">
            <w:pPr>
              <w:widowControl/>
              <w:adjustRightInd w:val="0"/>
              <w:snapToGrid w:val="0"/>
              <w:jc w:val="center"/>
              <w:rPr>
                <w:snapToGrid w:val="0"/>
                <w:color w:val="auto"/>
                <w:kern w:val="0"/>
                <w:szCs w:val="21"/>
                <w:highlight w:val="none"/>
                <w:lang w:val="zh-CN"/>
              </w:rPr>
            </w:pPr>
          </w:p>
        </w:tc>
        <w:tc>
          <w:tcPr>
            <w:tcW w:w="637" w:type="pct"/>
            <w:vMerge w:val="continue"/>
            <w:vAlign w:val="center"/>
          </w:tcPr>
          <w:p w14:paraId="60CB39F7">
            <w:pPr>
              <w:widowControl/>
              <w:adjustRightInd w:val="0"/>
              <w:snapToGrid w:val="0"/>
              <w:jc w:val="center"/>
              <w:rPr>
                <w:snapToGrid w:val="0"/>
                <w:color w:val="auto"/>
                <w:kern w:val="0"/>
                <w:szCs w:val="21"/>
                <w:highlight w:val="none"/>
                <w:lang w:val="zh-CN"/>
              </w:rPr>
            </w:pPr>
          </w:p>
        </w:tc>
        <w:tc>
          <w:tcPr>
            <w:tcW w:w="1900" w:type="pct"/>
            <w:vAlign w:val="center"/>
          </w:tcPr>
          <w:p w14:paraId="77E2BAFA">
            <w:pPr>
              <w:widowControl/>
              <w:adjustRightInd w:val="0"/>
              <w:snapToGrid w:val="0"/>
              <w:jc w:val="center"/>
              <w:rPr>
                <w:snapToGrid w:val="0"/>
                <w:color w:val="auto"/>
                <w:kern w:val="0"/>
                <w:szCs w:val="21"/>
                <w:highlight w:val="none"/>
                <w:lang w:val="zh-CN"/>
              </w:rPr>
            </w:pPr>
            <w:r>
              <w:rPr>
                <w:snapToGrid w:val="0"/>
                <w:color w:val="auto"/>
                <w:kern w:val="0"/>
                <w:szCs w:val="21"/>
                <w:highlight w:val="none"/>
              </w:rPr>
              <w:t>pH、石油烃</w:t>
            </w:r>
            <w:r>
              <w:rPr>
                <w:color w:val="auto"/>
                <w:spacing w:val="-11"/>
                <w:sz w:val="21"/>
                <w:highlight w:val="none"/>
              </w:rPr>
              <w:t>（C</w:t>
            </w:r>
            <w:r>
              <w:rPr>
                <w:color w:val="auto"/>
                <w:spacing w:val="-11"/>
                <w:sz w:val="21"/>
                <w:highlight w:val="none"/>
                <w:vertAlign w:val="subscript"/>
              </w:rPr>
              <w:t>10</w:t>
            </w:r>
            <w:r>
              <w:rPr>
                <w:color w:val="auto"/>
                <w:spacing w:val="-11"/>
                <w:sz w:val="21"/>
                <w:highlight w:val="none"/>
              </w:rPr>
              <w:t>-C</w:t>
            </w:r>
            <w:r>
              <w:rPr>
                <w:color w:val="auto"/>
                <w:spacing w:val="-11"/>
                <w:sz w:val="21"/>
                <w:highlight w:val="none"/>
                <w:vertAlign w:val="subscript"/>
              </w:rPr>
              <w:t>40</w:t>
            </w:r>
            <w:r>
              <w:rPr>
                <w:color w:val="auto"/>
                <w:spacing w:val="-11"/>
                <w:sz w:val="21"/>
                <w:highlight w:val="none"/>
              </w:rPr>
              <w:t>）</w:t>
            </w:r>
          </w:p>
        </w:tc>
      </w:tr>
      <w:tr w14:paraId="16AA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787D6DF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zh-CN"/>
              </w:rPr>
              <w:t>T</w:t>
            </w:r>
            <w:r>
              <w:rPr>
                <w:rFonts w:hint="eastAsia"/>
                <w:snapToGrid w:val="0"/>
                <w:color w:val="auto"/>
                <w:kern w:val="0"/>
                <w:szCs w:val="21"/>
                <w:highlight w:val="none"/>
              </w:rPr>
              <w:t>5</w:t>
            </w:r>
          </w:p>
        </w:tc>
        <w:tc>
          <w:tcPr>
            <w:tcW w:w="1271" w:type="pct"/>
            <w:vAlign w:val="center"/>
          </w:tcPr>
          <w:p w14:paraId="1A266AA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项目区外上风向</w:t>
            </w:r>
          </w:p>
        </w:tc>
        <w:tc>
          <w:tcPr>
            <w:tcW w:w="812" w:type="pct"/>
            <w:vMerge w:val="restart"/>
            <w:vAlign w:val="center"/>
          </w:tcPr>
          <w:p w14:paraId="3D8F8D80">
            <w:pPr>
              <w:widowControl/>
              <w:adjustRightInd w:val="0"/>
              <w:snapToGrid w:val="0"/>
              <w:jc w:val="center"/>
              <w:rPr>
                <w:snapToGrid w:val="0"/>
                <w:color w:val="auto"/>
                <w:kern w:val="0"/>
                <w:szCs w:val="21"/>
                <w:highlight w:val="none"/>
              </w:rPr>
            </w:pPr>
            <w:r>
              <w:rPr>
                <w:snapToGrid w:val="0"/>
                <w:color w:val="auto"/>
                <w:kern w:val="0"/>
                <w:szCs w:val="21"/>
                <w:highlight w:val="none"/>
                <w:lang w:val="zh-CN"/>
              </w:rPr>
              <w:t>厂区</w:t>
            </w:r>
            <w:r>
              <w:rPr>
                <w:rFonts w:hint="eastAsia"/>
                <w:snapToGrid w:val="0"/>
                <w:color w:val="auto"/>
                <w:kern w:val="0"/>
                <w:szCs w:val="21"/>
                <w:highlight w:val="none"/>
              </w:rPr>
              <w:t>外</w:t>
            </w:r>
            <w:r>
              <w:rPr>
                <w:rFonts w:hint="eastAsia"/>
                <w:snapToGrid w:val="0"/>
                <w:color w:val="auto"/>
                <w:kern w:val="0"/>
                <w:szCs w:val="21"/>
                <w:highlight w:val="none"/>
                <w:lang w:val="en-US" w:eastAsia="zh-CN"/>
              </w:rPr>
              <w:t>200范围内</w:t>
            </w:r>
          </w:p>
        </w:tc>
        <w:tc>
          <w:tcPr>
            <w:tcW w:w="637" w:type="pct"/>
            <w:vMerge w:val="restart"/>
            <w:vAlign w:val="center"/>
          </w:tcPr>
          <w:p w14:paraId="2C1D2855">
            <w:pPr>
              <w:widowControl/>
              <w:adjustRightInd w:val="0"/>
              <w:snapToGrid w:val="0"/>
              <w:jc w:val="center"/>
              <w:rPr>
                <w:snapToGrid w:val="0"/>
                <w:color w:val="auto"/>
                <w:kern w:val="0"/>
                <w:szCs w:val="21"/>
                <w:highlight w:val="none"/>
                <w:lang w:val="zh-CN"/>
              </w:rPr>
            </w:pPr>
            <w:r>
              <w:rPr>
                <w:snapToGrid w:val="0"/>
                <w:color w:val="auto"/>
                <w:kern w:val="0"/>
                <w:szCs w:val="21"/>
                <w:highlight w:val="none"/>
                <w:lang w:val="zh-CN"/>
              </w:rPr>
              <w:t>表层样</w:t>
            </w:r>
          </w:p>
        </w:tc>
        <w:tc>
          <w:tcPr>
            <w:tcW w:w="1900" w:type="pct"/>
            <w:vAlign w:val="center"/>
          </w:tcPr>
          <w:p w14:paraId="2DF138E5">
            <w:pPr>
              <w:widowControl/>
              <w:adjustRightInd w:val="0"/>
              <w:snapToGrid w:val="0"/>
              <w:jc w:val="center"/>
              <w:rPr>
                <w:snapToGrid w:val="0"/>
                <w:color w:val="auto"/>
                <w:kern w:val="0"/>
                <w:szCs w:val="21"/>
                <w:highlight w:val="none"/>
              </w:rPr>
            </w:pPr>
            <w:r>
              <w:rPr>
                <w:snapToGrid w:val="0"/>
                <w:color w:val="auto"/>
                <w:kern w:val="0"/>
                <w:szCs w:val="21"/>
                <w:highlight w:val="none"/>
              </w:rPr>
              <w:t>pH、石油烃</w:t>
            </w:r>
            <w:r>
              <w:rPr>
                <w:color w:val="auto"/>
                <w:spacing w:val="-11"/>
                <w:sz w:val="21"/>
                <w:highlight w:val="none"/>
              </w:rPr>
              <w:t>（C</w:t>
            </w:r>
            <w:r>
              <w:rPr>
                <w:color w:val="auto"/>
                <w:spacing w:val="-11"/>
                <w:sz w:val="21"/>
                <w:highlight w:val="none"/>
                <w:vertAlign w:val="subscript"/>
              </w:rPr>
              <w:t>10</w:t>
            </w:r>
            <w:r>
              <w:rPr>
                <w:color w:val="auto"/>
                <w:spacing w:val="-11"/>
                <w:sz w:val="21"/>
                <w:highlight w:val="none"/>
              </w:rPr>
              <w:t>-C</w:t>
            </w:r>
            <w:r>
              <w:rPr>
                <w:color w:val="auto"/>
                <w:spacing w:val="-11"/>
                <w:sz w:val="21"/>
                <w:highlight w:val="none"/>
                <w:vertAlign w:val="subscript"/>
              </w:rPr>
              <w:t>40</w:t>
            </w:r>
            <w:r>
              <w:rPr>
                <w:color w:val="auto"/>
                <w:spacing w:val="-11"/>
                <w:sz w:val="21"/>
                <w:highlight w:val="none"/>
              </w:rPr>
              <w:t>）</w:t>
            </w:r>
          </w:p>
        </w:tc>
      </w:tr>
      <w:tr w14:paraId="0D83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Align w:val="center"/>
          </w:tcPr>
          <w:p w14:paraId="016F234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zh-CN"/>
              </w:rPr>
              <w:t>T</w:t>
            </w:r>
            <w:r>
              <w:rPr>
                <w:rFonts w:hint="eastAsia"/>
                <w:snapToGrid w:val="0"/>
                <w:color w:val="auto"/>
                <w:kern w:val="0"/>
                <w:szCs w:val="21"/>
                <w:highlight w:val="none"/>
              </w:rPr>
              <w:t>6</w:t>
            </w:r>
          </w:p>
        </w:tc>
        <w:tc>
          <w:tcPr>
            <w:tcW w:w="1271" w:type="pct"/>
            <w:vAlign w:val="center"/>
          </w:tcPr>
          <w:p w14:paraId="05C1C65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项目区外下风向</w:t>
            </w:r>
          </w:p>
        </w:tc>
        <w:tc>
          <w:tcPr>
            <w:tcW w:w="812" w:type="pct"/>
            <w:vMerge w:val="continue"/>
            <w:vAlign w:val="center"/>
          </w:tcPr>
          <w:p w14:paraId="02C5C4CE">
            <w:pPr>
              <w:widowControl/>
              <w:adjustRightInd w:val="0"/>
              <w:snapToGrid w:val="0"/>
              <w:jc w:val="center"/>
              <w:rPr>
                <w:snapToGrid w:val="0"/>
                <w:color w:val="auto"/>
                <w:kern w:val="0"/>
                <w:szCs w:val="21"/>
                <w:highlight w:val="none"/>
                <w:lang w:val="zh-CN"/>
              </w:rPr>
            </w:pPr>
          </w:p>
        </w:tc>
        <w:tc>
          <w:tcPr>
            <w:tcW w:w="637" w:type="pct"/>
            <w:vMerge w:val="continue"/>
            <w:vAlign w:val="center"/>
          </w:tcPr>
          <w:p w14:paraId="12C2A900">
            <w:pPr>
              <w:widowControl/>
              <w:adjustRightInd w:val="0"/>
              <w:snapToGrid w:val="0"/>
              <w:jc w:val="center"/>
              <w:rPr>
                <w:snapToGrid w:val="0"/>
                <w:color w:val="auto"/>
                <w:kern w:val="0"/>
                <w:szCs w:val="21"/>
                <w:highlight w:val="none"/>
                <w:lang w:val="zh-CN"/>
              </w:rPr>
            </w:pPr>
          </w:p>
        </w:tc>
        <w:tc>
          <w:tcPr>
            <w:tcW w:w="1900" w:type="pct"/>
            <w:vAlign w:val="center"/>
          </w:tcPr>
          <w:p w14:paraId="6CB67860">
            <w:pPr>
              <w:widowControl/>
              <w:adjustRightInd w:val="0"/>
              <w:snapToGrid w:val="0"/>
              <w:jc w:val="center"/>
              <w:rPr>
                <w:snapToGrid w:val="0"/>
                <w:color w:val="auto"/>
                <w:kern w:val="0"/>
                <w:szCs w:val="21"/>
                <w:highlight w:val="none"/>
              </w:rPr>
            </w:pPr>
            <w:r>
              <w:rPr>
                <w:snapToGrid w:val="0"/>
                <w:color w:val="auto"/>
                <w:kern w:val="0"/>
                <w:szCs w:val="21"/>
                <w:highlight w:val="none"/>
              </w:rPr>
              <w:t>pH、石油烃</w:t>
            </w:r>
            <w:r>
              <w:rPr>
                <w:color w:val="auto"/>
                <w:spacing w:val="-11"/>
                <w:sz w:val="21"/>
                <w:highlight w:val="none"/>
              </w:rPr>
              <w:t>（C</w:t>
            </w:r>
            <w:r>
              <w:rPr>
                <w:color w:val="auto"/>
                <w:spacing w:val="-11"/>
                <w:sz w:val="21"/>
                <w:highlight w:val="none"/>
                <w:vertAlign w:val="subscript"/>
              </w:rPr>
              <w:t>10</w:t>
            </w:r>
            <w:r>
              <w:rPr>
                <w:color w:val="auto"/>
                <w:spacing w:val="-11"/>
                <w:sz w:val="21"/>
                <w:highlight w:val="none"/>
              </w:rPr>
              <w:t>-C</w:t>
            </w:r>
            <w:r>
              <w:rPr>
                <w:color w:val="auto"/>
                <w:spacing w:val="-11"/>
                <w:sz w:val="21"/>
                <w:highlight w:val="none"/>
                <w:vertAlign w:val="subscript"/>
              </w:rPr>
              <w:t>40</w:t>
            </w:r>
            <w:r>
              <w:rPr>
                <w:color w:val="auto"/>
                <w:spacing w:val="-11"/>
                <w:sz w:val="21"/>
                <w:highlight w:val="none"/>
              </w:rPr>
              <w:t>）</w:t>
            </w:r>
          </w:p>
        </w:tc>
      </w:tr>
    </w:tbl>
    <w:p w14:paraId="28F9DA5C">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（2）</w:t>
      </w:r>
      <w:r>
        <w:rPr>
          <w:snapToGrid w:val="0"/>
          <w:color w:val="auto"/>
          <w:kern w:val="0"/>
          <w:sz w:val="24"/>
          <w:highlight w:val="none"/>
        </w:rPr>
        <w:t>监测时间和监测单位</w:t>
      </w:r>
    </w:p>
    <w:p w14:paraId="0829942E">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实测数据</w:t>
      </w:r>
      <w:r>
        <w:rPr>
          <w:snapToGrid w:val="0"/>
          <w:color w:val="auto"/>
          <w:kern w:val="0"/>
          <w:sz w:val="24"/>
          <w:highlight w:val="none"/>
        </w:rPr>
        <w:t>现场</w:t>
      </w:r>
      <w:r>
        <w:rPr>
          <w:rFonts w:hint="eastAsia"/>
          <w:snapToGrid w:val="0"/>
          <w:color w:val="auto"/>
          <w:kern w:val="0"/>
          <w:sz w:val="24"/>
          <w:highlight w:val="none"/>
        </w:rPr>
        <w:t>取样</w:t>
      </w:r>
      <w:r>
        <w:rPr>
          <w:snapToGrid w:val="0"/>
          <w:color w:val="auto"/>
          <w:kern w:val="0"/>
          <w:sz w:val="24"/>
          <w:highlight w:val="none"/>
        </w:rPr>
        <w:t>时间为</w:t>
      </w:r>
      <w:r>
        <w:rPr>
          <w:rFonts w:hint="eastAsia"/>
          <w:snapToGrid w:val="0"/>
          <w:color w:val="auto"/>
          <w:kern w:val="0"/>
          <w:sz w:val="24"/>
          <w:highlight w:val="none"/>
          <w:lang w:eastAsia="zh-CN"/>
        </w:rPr>
        <w:t>2026年</w:t>
      </w:r>
      <w:r>
        <w:rPr>
          <w:rFonts w:hint="eastAsia"/>
          <w:snapToGrid w:val="0"/>
          <w:color w:val="auto"/>
          <w:kern w:val="0"/>
          <w:sz w:val="24"/>
          <w:highlight w:val="none"/>
          <w:lang w:val="en-US" w:eastAsia="zh-CN"/>
        </w:rPr>
        <w:t>8月7日</w:t>
      </w:r>
      <w:r>
        <w:rPr>
          <w:snapToGrid w:val="0"/>
          <w:color w:val="auto"/>
          <w:kern w:val="0"/>
          <w:sz w:val="24"/>
          <w:highlight w:val="none"/>
        </w:rPr>
        <w:t>，监测单位为</w:t>
      </w:r>
      <w:r>
        <w:rPr>
          <w:rFonts w:hint="eastAsia"/>
          <w:snapToGrid w:val="0"/>
          <w:color w:val="auto"/>
          <w:kern w:val="0"/>
          <w:sz w:val="24"/>
          <w:highlight w:val="none"/>
          <w:lang w:val="en-US" w:eastAsia="zh-CN"/>
        </w:rPr>
        <w:t>新疆锡水金山环境科技有限公司</w:t>
      </w:r>
      <w:r>
        <w:rPr>
          <w:snapToGrid w:val="0"/>
          <w:color w:val="auto"/>
          <w:kern w:val="0"/>
          <w:sz w:val="24"/>
          <w:highlight w:val="none"/>
        </w:rPr>
        <w:t>。</w:t>
      </w:r>
    </w:p>
    <w:p w14:paraId="2D26A96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（3）监测方法</w:t>
      </w:r>
    </w:p>
    <w:p w14:paraId="6E10DC0A">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采样及分析方法根据《土壤环境质量</w:t>
      </w:r>
      <w:r>
        <w:rPr>
          <w:snapToGrid w:val="0"/>
          <w:color w:val="auto"/>
          <w:kern w:val="0"/>
          <w:sz w:val="24"/>
          <w:highlight w:val="none"/>
        </w:rPr>
        <w:t xml:space="preserve"> </w:t>
      </w:r>
      <w:r>
        <w:rPr>
          <w:rFonts w:hint="eastAsia"/>
          <w:snapToGrid w:val="0"/>
          <w:color w:val="auto"/>
          <w:kern w:val="0"/>
          <w:sz w:val="24"/>
          <w:highlight w:val="none"/>
        </w:rPr>
        <w:t>建设用地土壤污染风险管控标准（试行）》（</w:t>
      </w:r>
      <w:r>
        <w:rPr>
          <w:snapToGrid w:val="0"/>
          <w:color w:val="auto"/>
          <w:kern w:val="0"/>
          <w:sz w:val="24"/>
          <w:highlight w:val="none"/>
        </w:rPr>
        <w:t>GB36600-2018</w:t>
      </w:r>
      <w:r>
        <w:rPr>
          <w:rFonts w:hint="eastAsia"/>
          <w:snapToGrid w:val="0"/>
          <w:color w:val="auto"/>
          <w:kern w:val="0"/>
          <w:sz w:val="24"/>
          <w:highlight w:val="none"/>
        </w:rPr>
        <w:t>）的要求进行，表层样取样深度：0～</w:t>
      </w:r>
      <w:r>
        <w:rPr>
          <w:snapToGrid w:val="0"/>
          <w:color w:val="auto"/>
          <w:kern w:val="0"/>
          <w:sz w:val="24"/>
          <w:highlight w:val="none"/>
        </w:rPr>
        <w:t>0.2</w:t>
      </w:r>
      <w:r>
        <w:rPr>
          <w:rFonts w:hint="eastAsia"/>
          <w:snapToGrid w:val="0"/>
          <w:color w:val="auto"/>
          <w:kern w:val="0"/>
          <w:sz w:val="24"/>
          <w:highlight w:val="none"/>
        </w:rPr>
        <w:t>m；柱状样点取样深度：0～0.5m、0.5～1.5m、1.5～3m分别取一个样。</w:t>
      </w:r>
    </w:p>
    <w:p w14:paraId="46ABD3AC">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w:t>
      </w:r>
      <w:r>
        <w:rPr>
          <w:snapToGrid w:val="0"/>
          <w:color w:val="auto"/>
          <w:kern w:val="0"/>
          <w:sz w:val="24"/>
          <w:highlight w:val="none"/>
        </w:rPr>
        <w:t>评价标准</w:t>
      </w:r>
    </w:p>
    <w:p w14:paraId="02934DFF">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建设用地土壤环境评价标准采用《土壤环境质量 建设用地土壤污染风险管控标准</w:t>
      </w:r>
      <w:r>
        <w:rPr>
          <w:rFonts w:hint="eastAsia"/>
          <w:snapToGrid w:val="0"/>
          <w:color w:val="auto"/>
          <w:kern w:val="0"/>
          <w:sz w:val="24"/>
          <w:highlight w:val="none"/>
          <w:lang w:val="en-US" w:eastAsia="zh-CN"/>
        </w:rPr>
        <w:t>（试行）</w:t>
      </w:r>
      <w:r>
        <w:rPr>
          <w:snapToGrid w:val="0"/>
          <w:color w:val="auto"/>
          <w:kern w:val="0"/>
          <w:sz w:val="24"/>
          <w:highlight w:val="none"/>
        </w:rPr>
        <w:t>》（GB36600-2018）中表1建设用地土壤污染风险第二类筛选值作为评价标准。</w:t>
      </w:r>
    </w:p>
    <w:p w14:paraId="20C5C004">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（5）</w:t>
      </w:r>
      <w:r>
        <w:rPr>
          <w:snapToGrid w:val="0"/>
          <w:color w:val="auto"/>
          <w:kern w:val="0"/>
          <w:sz w:val="24"/>
          <w:highlight w:val="none"/>
        </w:rPr>
        <w:t>评价方法</w:t>
      </w:r>
    </w:p>
    <w:p w14:paraId="3F9492DD">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土壤环境质量现状采用单因子评价方法评价，计算公式如下：</w:t>
      </w:r>
    </w:p>
    <w:p w14:paraId="197A61B3">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P</w:t>
      </w:r>
      <w:r>
        <w:rPr>
          <w:snapToGrid w:val="0"/>
          <w:color w:val="auto"/>
          <w:kern w:val="0"/>
          <w:sz w:val="24"/>
          <w:highlight w:val="none"/>
          <w:vertAlign w:val="subscript"/>
        </w:rPr>
        <w:t>i</w:t>
      </w:r>
      <w:r>
        <w:rPr>
          <w:snapToGrid w:val="0"/>
          <w:color w:val="auto"/>
          <w:kern w:val="0"/>
          <w:sz w:val="24"/>
          <w:highlight w:val="none"/>
        </w:rPr>
        <w:t>=C</w:t>
      </w:r>
      <w:r>
        <w:rPr>
          <w:snapToGrid w:val="0"/>
          <w:color w:val="auto"/>
          <w:kern w:val="0"/>
          <w:sz w:val="24"/>
          <w:highlight w:val="none"/>
          <w:vertAlign w:val="subscript"/>
        </w:rPr>
        <w:t>i</w:t>
      </w:r>
      <w:r>
        <w:rPr>
          <w:snapToGrid w:val="0"/>
          <w:color w:val="auto"/>
          <w:kern w:val="0"/>
          <w:sz w:val="24"/>
          <w:highlight w:val="none"/>
        </w:rPr>
        <w:t>/S</w:t>
      </w:r>
      <w:r>
        <w:rPr>
          <w:snapToGrid w:val="0"/>
          <w:color w:val="auto"/>
          <w:kern w:val="0"/>
          <w:sz w:val="24"/>
          <w:highlight w:val="none"/>
          <w:vertAlign w:val="subscript"/>
        </w:rPr>
        <w:t>i</w:t>
      </w:r>
    </w:p>
    <w:p w14:paraId="0DBDC8F3">
      <w:pPr>
        <w:widowControl/>
        <w:adjustRightInd w:val="0"/>
        <w:snapToGrid w:val="0"/>
        <w:spacing w:line="360" w:lineRule="auto"/>
        <w:ind w:firstLine="480" w:firstLineChars="200"/>
        <w:rPr>
          <w:rFonts w:hint="eastAsia" w:eastAsia="宋体"/>
          <w:snapToGrid w:val="0"/>
          <w:color w:val="auto"/>
          <w:kern w:val="0"/>
          <w:sz w:val="24"/>
          <w:highlight w:val="none"/>
          <w:lang w:eastAsia="zh-CN"/>
        </w:rPr>
      </w:pPr>
      <w:r>
        <w:rPr>
          <w:snapToGrid w:val="0"/>
          <w:color w:val="auto"/>
          <w:kern w:val="0"/>
          <w:sz w:val="24"/>
          <w:highlight w:val="none"/>
        </w:rPr>
        <w:t>式中</w:t>
      </w:r>
      <w:r>
        <w:rPr>
          <w:rFonts w:hint="eastAsia"/>
          <w:snapToGrid w:val="0"/>
          <w:color w:val="auto"/>
          <w:kern w:val="0"/>
          <w:sz w:val="24"/>
          <w:highlight w:val="none"/>
          <w:lang w:eastAsia="zh-CN"/>
        </w:rPr>
        <w:t>：</w:t>
      </w:r>
    </w:p>
    <w:p w14:paraId="253EB5E2">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P</w:t>
      </w:r>
      <w:r>
        <w:rPr>
          <w:snapToGrid w:val="0"/>
          <w:color w:val="auto"/>
          <w:kern w:val="0"/>
          <w:sz w:val="24"/>
          <w:highlight w:val="none"/>
          <w:vertAlign w:val="subscript"/>
        </w:rPr>
        <w:t>i</w:t>
      </w:r>
      <w:r>
        <w:rPr>
          <w:snapToGrid w:val="0"/>
          <w:color w:val="auto"/>
          <w:kern w:val="0"/>
          <w:sz w:val="24"/>
          <w:highlight w:val="none"/>
        </w:rPr>
        <w:t>——土壤中污染物i的污染指数；</w:t>
      </w:r>
    </w:p>
    <w:p w14:paraId="4770E2FC">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C</w:t>
      </w:r>
      <w:r>
        <w:rPr>
          <w:snapToGrid w:val="0"/>
          <w:color w:val="auto"/>
          <w:kern w:val="0"/>
          <w:sz w:val="24"/>
          <w:highlight w:val="none"/>
          <w:vertAlign w:val="subscript"/>
        </w:rPr>
        <w:t>i</w:t>
      </w:r>
      <w:r>
        <w:rPr>
          <w:snapToGrid w:val="0"/>
          <w:color w:val="auto"/>
          <w:kern w:val="0"/>
          <w:sz w:val="24"/>
          <w:highlight w:val="none"/>
        </w:rPr>
        <w:t>——土壤中污染物i的实测含量（mg/kg）；</w:t>
      </w:r>
    </w:p>
    <w:p w14:paraId="34DC5ADB">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S</w:t>
      </w:r>
      <w:r>
        <w:rPr>
          <w:snapToGrid w:val="0"/>
          <w:color w:val="auto"/>
          <w:kern w:val="0"/>
          <w:sz w:val="24"/>
          <w:highlight w:val="none"/>
          <w:vertAlign w:val="subscript"/>
        </w:rPr>
        <w:t>i</w:t>
      </w:r>
      <w:r>
        <w:rPr>
          <w:snapToGrid w:val="0"/>
          <w:color w:val="auto"/>
          <w:kern w:val="0"/>
          <w:sz w:val="24"/>
          <w:highlight w:val="none"/>
        </w:rPr>
        <w:t>——土壤污染物的评价标准（mg/kg）。</w:t>
      </w:r>
    </w:p>
    <w:p w14:paraId="1622B337">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（6）分析方法</w:t>
      </w:r>
    </w:p>
    <w:p w14:paraId="0DF286DF">
      <w:pPr>
        <w:adjustRightInd w:val="0"/>
        <w:snapToGrid w:val="0"/>
        <w:spacing w:line="360" w:lineRule="auto"/>
        <w:ind w:firstLine="480" w:firstLineChars="200"/>
        <w:rPr>
          <w:color w:val="auto"/>
          <w:sz w:val="24"/>
          <w:highlight w:val="none"/>
        </w:rPr>
      </w:pPr>
      <w:r>
        <w:rPr>
          <w:color w:val="auto"/>
          <w:sz w:val="24"/>
          <w:highlight w:val="none"/>
        </w:rPr>
        <w:t>土壤环境监测和分析方法见表</w:t>
      </w:r>
      <w:r>
        <w:rPr>
          <w:rFonts w:hint="eastAsia"/>
          <w:color w:val="auto"/>
          <w:sz w:val="24"/>
          <w:highlight w:val="none"/>
        </w:rPr>
        <w:t>5.3-1</w:t>
      </w:r>
      <w:r>
        <w:rPr>
          <w:rFonts w:hint="eastAsia"/>
          <w:color w:val="auto"/>
          <w:sz w:val="24"/>
          <w:highlight w:val="none"/>
          <w:lang w:val="en-US" w:eastAsia="zh-CN"/>
        </w:rPr>
        <w:t>6</w:t>
      </w:r>
      <w:r>
        <w:rPr>
          <w:color w:val="auto"/>
          <w:sz w:val="24"/>
          <w:highlight w:val="none"/>
        </w:rPr>
        <w:t>。</w:t>
      </w:r>
    </w:p>
    <w:p w14:paraId="6F809B92">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表5.3-1</w:t>
      </w:r>
      <w:r>
        <w:rPr>
          <w:rFonts w:hint="eastAsia" w:ascii="Times New Roman" w:hAnsi="Times New Roman" w:cs="Times New Roman"/>
          <w:snapToGrid w:val="0"/>
          <w:color w:val="auto"/>
          <w:kern w:val="0"/>
          <w:sz w:val="21"/>
          <w:szCs w:val="21"/>
          <w:highlight w:val="none"/>
          <w:lang w:val="en-US" w:eastAsia="zh-CN"/>
        </w:rPr>
        <w:t>6</w:t>
      </w:r>
      <w:r>
        <w:rPr>
          <w:rFonts w:hint="eastAsia" w:ascii="Times New Roman" w:hAnsi="Times New Roman" w:cs="Times New Roman"/>
          <w:snapToGrid w:val="0"/>
          <w:color w:val="auto"/>
          <w:kern w:val="0"/>
          <w:sz w:val="21"/>
          <w:szCs w:val="21"/>
          <w:highlight w:val="none"/>
        </w:rPr>
        <w:t xml:space="preserve"> 土壤环境监测分析方法</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661"/>
        <w:gridCol w:w="5447"/>
        <w:gridCol w:w="1158"/>
      </w:tblGrid>
      <w:tr w14:paraId="5FA5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3A175402">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检测</w:t>
            </w:r>
            <w:r>
              <w:rPr>
                <w:rFonts w:ascii="Times New Roman" w:hAnsi="Times New Roman" w:eastAsia="宋体" w:cs="Times New Roman"/>
                <w:bCs w:val="0"/>
                <w:snapToGrid w:val="0"/>
                <w:color w:val="auto"/>
                <w:kern w:val="0"/>
                <w:sz w:val="21"/>
                <w:szCs w:val="21"/>
                <w:highlight w:val="none"/>
              </w:rPr>
              <w:t>项目</w:t>
            </w:r>
          </w:p>
        </w:tc>
        <w:tc>
          <w:tcPr>
            <w:tcW w:w="0" w:type="auto"/>
            <w:tcBorders>
              <w:tl2br w:val="nil"/>
              <w:tr2bl w:val="nil"/>
            </w:tcBorders>
            <w:shd w:val="clear" w:color="auto" w:fill="auto"/>
            <w:vAlign w:val="center"/>
          </w:tcPr>
          <w:p w14:paraId="20B71B04">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分析</w:t>
            </w:r>
            <w:r>
              <w:rPr>
                <w:rFonts w:ascii="Times New Roman" w:hAnsi="Times New Roman" w:eastAsia="宋体" w:cs="Times New Roman"/>
                <w:bCs w:val="0"/>
                <w:snapToGrid w:val="0"/>
                <w:color w:val="auto"/>
                <w:kern w:val="0"/>
                <w:sz w:val="21"/>
                <w:szCs w:val="21"/>
                <w:highlight w:val="none"/>
              </w:rPr>
              <w:t>方法及依据</w:t>
            </w:r>
          </w:p>
        </w:tc>
        <w:tc>
          <w:tcPr>
            <w:tcW w:w="0" w:type="auto"/>
            <w:tcBorders>
              <w:tl2br w:val="nil"/>
              <w:tr2bl w:val="nil"/>
            </w:tcBorders>
            <w:shd w:val="clear" w:color="auto" w:fill="auto"/>
            <w:vAlign w:val="center"/>
          </w:tcPr>
          <w:p w14:paraId="59D390C8">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检出限</w:t>
            </w:r>
          </w:p>
        </w:tc>
      </w:tr>
      <w:tr w14:paraId="4A3D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7E02DEF8">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pH</w:t>
            </w:r>
          </w:p>
        </w:tc>
        <w:tc>
          <w:tcPr>
            <w:tcW w:w="0" w:type="auto"/>
            <w:tcBorders>
              <w:tl2br w:val="nil"/>
              <w:tr2bl w:val="nil"/>
            </w:tcBorders>
            <w:shd w:val="clear" w:color="auto" w:fill="auto"/>
            <w:vAlign w:val="center"/>
          </w:tcPr>
          <w:p w14:paraId="04AC5A86">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土壤</w:t>
            </w:r>
            <w:r>
              <w:rPr>
                <w:rFonts w:ascii="Times New Roman" w:hAnsi="Times New Roman" w:eastAsia="宋体" w:cs="Times New Roman"/>
                <w:bCs w:val="0"/>
                <w:snapToGrid w:val="0"/>
                <w:color w:val="auto"/>
                <w:kern w:val="0"/>
                <w:sz w:val="21"/>
                <w:szCs w:val="21"/>
                <w:highlight w:val="none"/>
              </w:rPr>
              <w:t>p</w:t>
            </w:r>
            <w:r>
              <w:rPr>
                <w:rFonts w:hint="eastAsia" w:ascii="Times New Roman" w:hAnsi="Times New Roman" w:eastAsia="宋体" w:cs="Times New Roman"/>
                <w:bCs w:val="0"/>
                <w:snapToGrid w:val="0"/>
                <w:color w:val="auto"/>
                <w:kern w:val="0"/>
                <w:sz w:val="21"/>
                <w:szCs w:val="21"/>
                <w:highlight w:val="none"/>
              </w:rPr>
              <w:t>H值的测定 电位法 HJ962-2018</w:t>
            </w:r>
          </w:p>
        </w:tc>
        <w:tc>
          <w:tcPr>
            <w:tcW w:w="0" w:type="auto"/>
            <w:tcBorders>
              <w:tl2br w:val="nil"/>
              <w:tr2bl w:val="nil"/>
            </w:tcBorders>
            <w:shd w:val="clear" w:color="auto" w:fill="auto"/>
            <w:vAlign w:val="center"/>
          </w:tcPr>
          <w:p w14:paraId="5ACB413B">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w:t>
            </w:r>
          </w:p>
        </w:tc>
      </w:tr>
      <w:tr w14:paraId="4FA2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22E613B1">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石油烃（C</w:t>
            </w:r>
            <w:r>
              <w:rPr>
                <w:rFonts w:hint="eastAsia" w:ascii="Times New Roman" w:hAnsi="Times New Roman" w:eastAsia="宋体" w:cs="Times New Roman"/>
                <w:bCs w:val="0"/>
                <w:snapToGrid w:val="0"/>
                <w:color w:val="auto"/>
                <w:kern w:val="0"/>
                <w:sz w:val="21"/>
                <w:szCs w:val="21"/>
                <w:highlight w:val="none"/>
                <w:vertAlign w:val="subscript"/>
              </w:rPr>
              <w:t>10</w:t>
            </w:r>
            <w:r>
              <w:rPr>
                <w:rFonts w:hint="eastAsia" w:ascii="Times New Roman" w:hAnsi="Times New Roman" w:eastAsia="宋体" w:cs="Times New Roman"/>
                <w:bCs w:val="0"/>
                <w:snapToGrid w:val="0"/>
                <w:color w:val="auto"/>
                <w:kern w:val="0"/>
                <w:sz w:val="21"/>
                <w:szCs w:val="21"/>
                <w:highlight w:val="none"/>
              </w:rPr>
              <w:t>-C</w:t>
            </w:r>
            <w:r>
              <w:rPr>
                <w:rFonts w:hint="eastAsia" w:ascii="Times New Roman" w:hAnsi="Times New Roman" w:eastAsia="宋体" w:cs="Times New Roman"/>
                <w:bCs w:val="0"/>
                <w:snapToGrid w:val="0"/>
                <w:color w:val="auto"/>
                <w:kern w:val="0"/>
                <w:sz w:val="21"/>
                <w:szCs w:val="21"/>
                <w:highlight w:val="none"/>
                <w:vertAlign w:val="subscript"/>
              </w:rPr>
              <w:t>40</w:t>
            </w:r>
            <w:r>
              <w:rPr>
                <w:rFonts w:hint="eastAsia" w:ascii="Times New Roman" w:hAnsi="Times New Roman" w:eastAsia="宋体" w:cs="Times New Roman"/>
                <w:bCs w:val="0"/>
                <w:snapToGrid w:val="0"/>
                <w:color w:val="auto"/>
                <w:kern w:val="0"/>
                <w:sz w:val="21"/>
                <w:szCs w:val="21"/>
                <w:highlight w:val="none"/>
              </w:rPr>
              <w:t>）</w:t>
            </w:r>
          </w:p>
        </w:tc>
        <w:tc>
          <w:tcPr>
            <w:tcW w:w="0" w:type="auto"/>
            <w:tcBorders>
              <w:tl2br w:val="nil"/>
              <w:tr2bl w:val="nil"/>
            </w:tcBorders>
            <w:shd w:val="clear" w:color="auto" w:fill="auto"/>
            <w:vAlign w:val="center"/>
          </w:tcPr>
          <w:p w14:paraId="1FA0A7E4">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土壤和沉积物 石油烃（C</w:t>
            </w:r>
            <w:r>
              <w:rPr>
                <w:rFonts w:hint="eastAsia" w:ascii="Times New Roman" w:hAnsi="Times New Roman" w:eastAsia="宋体" w:cs="Times New Roman"/>
                <w:bCs w:val="0"/>
                <w:snapToGrid w:val="0"/>
                <w:color w:val="auto"/>
                <w:kern w:val="0"/>
                <w:sz w:val="21"/>
                <w:szCs w:val="21"/>
                <w:highlight w:val="none"/>
                <w:vertAlign w:val="subscript"/>
              </w:rPr>
              <w:t>10</w:t>
            </w:r>
            <w:r>
              <w:rPr>
                <w:rFonts w:hint="eastAsia" w:ascii="Times New Roman" w:hAnsi="Times New Roman" w:eastAsia="宋体" w:cs="Times New Roman"/>
                <w:bCs w:val="0"/>
                <w:snapToGrid w:val="0"/>
                <w:color w:val="auto"/>
                <w:kern w:val="0"/>
                <w:sz w:val="21"/>
                <w:szCs w:val="21"/>
                <w:highlight w:val="none"/>
              </w:rPr>
              <w:t>-C</w:t>
            </w:r>
            <w:r>
              <w:rPr>
                <w:rFonts w:hint="eastAsia" w:ascii="Times New Roman" w:hAnsi="Times New Roman" w:eastAsia="宋体" w:cs="Times New Roman"/>
                <w:bCs w:val="0"/>
                <w:snapToGrid w:val="0"/>
                <w:color w:val="auto"/>
                <w:kern w:val="0"/>
                <w:sz w:val="21"/>
                <w:szCs w:val="21"/>
                <w:highlight w:val="none"/>
                <w:vertAlign w:val="subscript"/>
              </w:rPr>
              <w:t>40</w:t>
            </w:r>
            <w:r>
              <w:rPr>
                <w:rFonts w:hint="eastAsia" w:ascii="Times New Roman" w:hAnsi="Times New Roman" w:eastAsia="宋体" w:cs="Times New Roman"/>
                <w:bCs w:val="0"/>
                <w:snapToGrid w:val="0"/>
                <w:color w:val="auto"/>
                <w:kern w:val="0"/>
                <w:sz w:val="21"/>
                <w:szCs w:val="21"/>
                <w:highlight w:val="none"/>
              </w:rPr>
              <w:t>）的测定 气相色谱法</w:t>
            </w:r>
            <w:r>
              <w:rPr>
                <w:rFonts w:ascii="Times New Roman" w:hAnsi="Times New Roman" w:eastAsia="宋体" w:cs="Times New Roman"/>
                <w:bCs w:val="0"/>
                <w:snapToGrid w:val="0"/>
                <w:color w:val="auto"/>
                <w:kern w:val="0"/>
                <w:sz w:val="21"/>
                <w:szCs w:val="21"/>
                <w:highlight w:val="none"/>
              </w:rPr>
              <w:t>HJ</w:t>
            </w:r>
            <w:r>
              <w:rPr>
                <w:rFonts w:hint="eastAsia" w:ascii="Times New Roman" w:hAnsi="Times New Roman" w:eastAsia="宋体" w:cs="Times New Roman"/>
                <w:bCs w:val="0"/>
                <w:snapToGrid w:val="0"/>
                <w:color w:val="auto"/>
                <w:kern w:val="0"/>
                <w:sz w:val="21"/>
                <w:szCs w:val="21"/>
                <w:highlight w:val="none"/>
              </w:rPr>
              <w:t>1021-2019</w:t>
            </w:r>
          </w:p>
        </w:tc>
        <w:tc>
          <w:tcPr>
            <w:tcW w:w="0" w:type="auto"/>
            <w:tcBorders>
              <w:tl2br w:val="nil"/>
              <w:tr2bl w:val="nil"/>
            </w:tcBorders>
            <w:shd w:val="clear" w:color="auto" w:fill="auto"/>
            <w:vAlign w:val="center"/>
          </w:tcPr>
          <w:p w14:paraId="3DDC3E81">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6</w:t>
            </w:r>
            <w:r>
              <w:rPr>
                <w:rFonts w:ascii="Times New Roman" w:hAnsi="Times New Roman" w:eastAsia="宋体" w:cs="Times New Roman"/>
                <w:bCs w:val="0"/>
                <w:snapToGrid w:val="0"/>
                <w:color w:val="auto"/>
                <w:kern w:val="0"/>
                <w:sz w:val="21"/>
                <w:szCs w:val="21"/>
                <w:highlight w:val="none"/>
              </w:rPr>
              <w:t>mg/</w:t>
            </w:r>
            <w:r>
              <w:rPr>
                <w:rFonts w:hint="eastAsia" w:ascii="Times New Roman" w:hAnsi="Times New Roman" w:eastAsia="宋体" w:cs="Times New Roman"/>
                <w:bCs w:val="0"/>
                <w:snapToGrid w:val="0"/>
                <w:color w:val="auto"/>
                <w:kern w:val="0"/>
                <w:sz w:val="21"/>
                <w:szCs w:val="21"/>
                <w:highlight w:val="none"/>
              </w:rPr>
              <w:t>kg</w:t>
            </w:r>
          </w:p>
        </w:tc>
      </w:tr>
      <w:tr w14:paraId="3736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07AD9BDF">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阳离子交换量</w:t>
            </w:r>
          </w:p>
        </w:tc>
        <w:tc>
          <w:tcPr>
            <w:tcW w:w="0" w:type="auto"/>
            <w:tcBorders>
              <w:tl2br w:val="nil"/>
              <w:tr2bl w:val="nil"/>
            </w:tcBorders>
            <w:shd w:val="clear" w:color="auto" w:fill="auto"/>
            <w:vAlign w:val="center"/>
          </w:tcPr>
          <w:p w14:paraId="2DF89544">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土壤阳离子交换量的测定 三氯化六氨合钴浸提-分光光度法 HJ889-2017</w:t>
            </w:r>
          </w:p>
        </w:tc>
        <w:tc>
          <w:tcPr>
            <w:tcW w:w="0" w:type="auto"/>
            <w:tcBorders>
              <w:tl2br w:val="nil"/>
              <w:tr2bl w:val="nil"/>
            </w:tcBorders>
            <w:shd w:val="clear" w:color="auto" w:fill="auto"/>
            <w:vAlign w:val="center"/>
          </w:tcPr>
          <w:p w14:paraId="7318668E">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0.8cmol</w:t>
            </w:r>
            <w:r>
              <w:rPr>
                <w:rFonts w:hint="eastAsia" w:ascii="Times New Roman" w:hAnsi="Times New Roman" w:eastAsia="宋体" w:cs="Times New Roman"/>
                <w:bCs w:val="0"/>
                <w:snapToGrid w:val="0"/>
                <w:color w:val="auto"/>
                <w:kern w:val="0"/>
                <w:sz w:val="21"/>
                <w:szCs w:val="21"/>
                <w:highlight w:val="none"/>
                <w:vertAlign w:val="superscript"/>
              </w:rPr>
              <w:t>＋</w:t>
            </w:r>
            <w:r>
              <w:rPr>
                <w:rFonts w:hint="eastAsia" w:ascii="Times New Roman" w:hAnsi="Times New Roman" w:eastAsia="宋体" w:cs="Times New Roman"/>
                <w:bCs w:val="0"/>
                <w:snapToGrid w:val="0"/>
                <w:color w:val="auto"/>
                <w:kern w:val="0"/>
                <w:sz w:val="21"/>
                <w:szCs w:val="21"/>
                <w:highlight w:val="none"/>
              </w:rPr>
              <w:t>/kg</w:t>
            </w:r>
          </w:p>
        </w:tc>
      </w:tr>
      <w:tr w14:paraId="045E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7EE0F0C5">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氧化还原电位</w:t>
            </w:r>
          </w:p>
        </w:tc>
        <w:tc>
          <w:tcPr>
            <w:tcW w:w="0" w:type="auto"/>
            <w:tcBorders>
              <w:tl2br w:val="nil"/>
              <w:tr2bl w:val="nil"/>
            </w:tcBorders>
            <w:shd w:val="clear" w:color="auto" w:fill="auto"/>
            <w:vAlign w:val="center"/>
          </w:tcPr>
          <w:p w14:paraId="2D2550C0">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土壤氧化还原电位的测定 电位法HJ746-2015</w:t>
            </w:r>
          </w:p>
        </w:tc>
        <w:tc>
          <w:tcPr>
            <w:tcW w:w="0" w:type="auto"/>
            <w:tcBorders>
              <w:tl2br w:val="nil"/>
              <w:tr2bl w:val="nil"/>
            </w:tcBorders>
            <w:shd w:val="clear" w:color="auto" w:fill="auto"/>
            <w:vAlign w:val="center"/>
          </w:tcPr>
          <w:p w14:paraId="23835713">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w:t>
            </w:r>
          </w:p>
        </w:tc>
      </w:tr>
      <w:tr w14:paraId="42FD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148C6472">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渗滤率</w:t>
            </w:r>
          </w:p>
        </w:tc>
        <w:tc>
          <w:tcPr>
            <w:tcW w:w="0" w:type="auto"/>
            <w:tcBorders>
              <w:tl2br w:val="nil"/>
              <w:tr2bl w:val="nil"/>
            </w:tcBorders>
            <w:shd w:val="clear" w:color="auto" w:fill="auto"/>
            <w:vAlign w:val="center"/>
          </w:tcPr>
          <w:p w14:paraId="766F854C">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森林土壤渗滤率的测定 LY/T1218-1999</w:t>
            </w:r>
          </w:p>
        </w:tc>
        <w:tc>
          <w:tcPr>
            <w:tcW w:w="0" w:type="auto"/>
            <w:tcBorders>
              <w:tl2br w:val="nil"/>
              <w:tr2bl w:val="nil"/>
            </w:tcBorders>
            <w:shd w:val="clear" w:color="auto" w:fill="auto"/>
            <w:vAlign w:val="center"/>
          </w:tcPr>
          <w:p w14:paraId="3DCB1406">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w:t>
            </w:r>
          </w:p>
        </w:tc>
      </w:tr>
      <w:tr w14:paraId="779B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61EED638">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土壤容重</w:t>
            </w:r>
          </w:p>
        </w:tc>
        <w:tc>
          <w:tcPr>
            <w:tcW w:w="0" w:type="auto"/>
            <w:tcBorders>
              <w:tl2br w:val="nil"/>
              <w:tr2bl w:val="nil"/>
            </w:tcBorders>
            <w:shd w:val="clear" w:color="auto" w:fill="auto"/>
            <w:vAlign w:val="center"/>
          </w:tcPr>
          <w:p w14:paraId="6611ABEE">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土壤检测 第4部分：土壤容重的测定</w:t>
            </w:r>
            <w:r>
              <w:rPr>
                <w:rFonts w:hint="eastAsia" w:ascii="Times New Roman" w:hAnsi="Times New Roman" w:eastAsia="宋体" w:cs="Times New Roman"/>
                <w:bCs w:val="0"/>
                <w:snapToGrid w:val="0"/>
                <w:color w:val="auto"/>
                <w:kern w:val="0"/>
                <w:sz w:val="21"/>
                <w:szCs w:val="21"/>
                <w:highlight w:val="none"/>
              </w:rPr>
              <w:t xml:space="preserve"> </w:t>
            </w:r>
            <w:r>
              <w:rPr>
                <w:rFonts w:ascii="Times New Roman" w:hAnsi="Times New Roman" w:eastAsia="宋体" w:cs="Times New Roman"/>
                <w:bCs w:val="0"/>
                <w:snapToGrid w:val="0"/>
                <w:color w:val="auto"/>
                <w:kern w:val="0"/>
                <w:sz w:val="21"/>
                <w:szCs w:val="21"/>
                <w:highlight w:val="none"/>
              </w:rPr>
              <w:t>NY/T 1121.4-2006</w:t>
            </w:r>
          </w:p>
        </w:tc>
        <w:tc>
          <w:tcPr>
            <w:tcW w:w="0" w:type="auto"/>
            <w:tcBorders>
              <w:tl2br w:val="nil"/>
              <w:tr2bl w:val="nil"/>
            </w:tcBorders>
            <w:shd w:val="clear" w:color="auto" w:fill="auto"/>
            <w:vAlign w:val="center"/>
          </w:tcPr>
          <w:p w14:paraId="3FF0CBED">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w:t>
            </w:r>
          </w:p>
        </w:tc>
      </w:tr>
      <w:tr w14:paraId="1CC5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24831024">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总孔隙度</w:t>
            </w:r>
          </w:p>
        </w:tc>
        <w:tc>
          <w:tcPr>
            <w:tcW w:w="0" w:type="auto"/>
            <w:tcBorders>
              <w:tl2br w:val="nil"/>
              <w:tr2bl w:val="nil"/>
            </w:tcBorders>
            <w:shd w:val="clear" w:color="auto" w:fill="auto"/>
            <w:vAlign w:val="center"/>
          </w:tcPr>
          <w:p w14:paraId="3EE7C655">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森林土壤水分-物理性质的测定LY/T1215-1999</w:t>
            </w:r>
          </w:p>
        </w:tc>
        <w:tc>
          <w:tcPr>
            <w:tcW w:w="0" w:type="auto"/>
            <w:tcBorders>
              <w:tl2br w:val="nil"/>
              <w:tr2bl w:val="nil"/>
            </w:tcBorders>
            <w:shd w:val="clear" w:color="auto" w:fill="auto"/>
            <w:vAlign w:val="center"/>
          </w:tcPr>
          <w:p w14:paraId="11921389">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w:t>
            </w:r>
          </w:p>
        </w:tc>
      </w:tr>
      <w:tr w14:paraId="76D6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47B47D31">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汞</w:t>
            </w:r>
          </w:p>
        </w:tc>
        <w:tc>
          <w:tcPr>
            <w:tcW w:w="0" w:type="auto"/>
            <w:tcBorders>
              <w:tl2br w:val="nil"/>
              <w:tr2bl w:val="nil"/>
            </w:tcBorders>
            <w:shd w:val="clear" w:color="auto" w:fill="auto"/>
            <w:vAlign w:val="center"/>
          </w:tcPr>
          <w:p w14:paraId="1A4A90CD">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土壤和沉积物 汞、砷、硒、铋、锑的测定  微波消解</w:t>
            </w:r>
            <w:r>
              <w:rPr>
                <w:rFonts w:hint="eastAsia" w:ascii="Times New Roman" w:hAnsi="Times New Roman" w:eastAsia="宋体" w:cs="Times New Roman"/>
                <w:bCs w:val="0"/>
                <w:snapToGrid w:val="0"/>
                <w:color w:val="auto"/>
                <w:kern w:val="0"/>
                <w:sz w:val="21"/>
                <w:szCs w:val="21"/>
                <w:highlight w:val="none"/>
              </w:rPr>
              <w:t>/</w:t>
            </w:r>
            <w:r>
              <w:rPr>
                <w:rFonts w:ascii="Times New Roman" w:hAnsi="Times New Roman" w:eastAsia="宋体" w:cs="Times New Roman"/>
                <w:bCs w:val="0"/>
                <w:snapToGrid w:val="0"/>
                <w:color w:val="auto"/>
                <w:kern w:val="0"/>
                <w:sz w:val="21"/>
                <w:szCs w:val="21"/>
                <w:highlight w:val="none"/>
              </w:rPr>
              <w:t>原子荧光法HJ 680-2013</w:t>
            </w:r>
          </w:p>
        </w:tc>
        <w:tc>
          <w:tcPr>
            <w:tcW w:w="0" w:type="auto"/>
            <w:tcBorders>
              <w:tl2br w:val="nil"/>
              <w:tr2bl w:val="nil"/>
            </w:tcBorders>
            <w:shd w:val="clear" w:color="auto" w:fill="auto"/>
            <w:vAlign w:val="center"/>
          </w:tcPr>
          <w:p w14:paraId="6A6A2BD2">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0.002mg/kg</w:t>
            </w:r>
          </w:p>
        </w:tc>
      </w:tr>
      <w:tr w14:paraId="774A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67723865">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砷</w:t>
            </w:r>
          </w:p>
        </w:tc>
        <w:tc>
          <w:tcPr>
            <w:tcW w:w="0" w:type="auto"/>
            <w:tcBorders>
              <w:tl2br w:val="nil"/>
              <w:tr2bl w:val="nil"/>
            </w:tcBorders>
            <w:shd w:val="clear" w:color="auto" w:fill="auto"/>
            <w:vAlign w:val="center"/>
          </w:tcPr>
          <w:p w14:paraId="0E527693">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土壤和沉积物 12种金属元素的测定 王水提取-电感耦合等离子体质谱法HJ 803-2016</w:t>
            </w:r>
          </w:p>
        </w:tc>
        <w:tc>
          <w:tcPr>
            <w:tcW w:w="0" w:type="auto"/>
            <w:tcBorders>
              <w:tl2br w:val="nil"/>
              <w:tr2bl w:val="nil"/>
            </w:tcBorders>
            <w:shd w:val="clear" w:color="auto" w:fill="auto"/>
            <w:vAlign w:val="center"/>
          </w:tcPr>
          <w:p w14:paraId="22F608C5">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0.</w:t>
            </w:r>
            <w:r>
              <w:rPr>
                <w:rFonts w:hint="eastAsia" w:ascii="Times New Roman" w:hAnsi="Times New Roman" w:eastAsia="宋体" w:cs="Times New Roman"/>
                <w:bCs w:val="0"/>
                <w:snapToGrid w:val="0"/>
                <w:color w:val="auto"/>
                <w:kern w:val="0"/>
                <w:sz w:val="21"/>
                <w:szCs w:val="21"/>
                <w:highlight w:val="none"/>
                <w:lang w:val="en-US" w:eastAsia="zh-CN"/>
              </w:rPr>
              <w:t>6</w:t>
            </w:r>
            <w:r>
              <w:rPr>
                <w:rFonts w:ascii="Times New Roman" w:hAnsi="Times New Roman" w:eastAsia="宋体" w:cs="Times New Roman"/>
                <w:bCs w:val="0"/>
                <w:snapToGrid w:val="0"/>
                <w:color w:val="auto"/>
                <w:kern w:val="0"/>
                <w:sz w:val="21"/>
                <w:szCs w:val="21"/>
                <w:highlight w:val="none"/>
              </w:rPr>
              <w:t>mg/kg</w:t>
            </w:r>
          </w:p>
        </w:tc>
      </w:tr>
      <w:tr w14:paraId="7BAB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6654E6EC">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镉</w:t>
            </w:r>
          </w:p>
        </w:tc>
        <w:tc>
          <w:tcPr>
            <w:tcW w:w="0" w:type="auto"/>
            <w:tcBorders>
              <w:tl2br w:val="nil"/>
              <w:tr2bl w:val="nil"/>
            </w:tcBorders>
            <w:shd w:val="clear" w:color="auto" w:fill="auto"/>
            <w:vAlign w:val="center"/>
          </w:tcPr>
          <w:p w14:paraId="222F36A0">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土壤和沉积物 12种金属元素的测定 王水提取-电感耦合等离子体质谱法HJ 803-2016</w:t>
            </w:r>
          </w:p>
        </w:tc>
        <w:tc>
          <w:tcPr>
            <w:tcW w:w="0" w:type="auto"/>
            <w:tcBorders>
              <w:tl2br w:val="nil"/>
              <w:tr2bl w:val="nil"/>
            </w:tcBorders>
            <w:shd w:val="clear" w:color="auto" w:fill="auto"/>
            <w:vAlign w:val="center"/>
          </w:tcPr>
          <w:p w14:paraId="7042BEE7">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0.0</w:t>
            </w:r>
            <w:r>
              <w:rPr>
                <w:rFonts w:hint="eastAsia" w:ascii="Times New Roman" w:hAnsi="Times New Roman" w:eastAsia="宋体" w:cs="Times New Roman"/>
                <w:bCs w:val="0"/>
                <w:snapToGrid w:val="0"/>
                <w:color w:val="auto"/>
                <w:kern w:val="0"/>
                <w:sz w:val="21"/>
                <w:szCs w:val="21"/>
                <w:highlight w:val="none"/>
                <w:lang w:val="en-US" w:eastAsia="zh-CN"/>
              </w:rPr>
              <w:t>7</w:t>
            </w:r>
            <w:r>
              <w:rPr>
                <w:rFonts w:ascii="Times New Roman" w:hAnsi="Times New Roman" w:eastAsia="宋体" w:cs="Times New Roman"/>
                <w:bCs w:val="0"/>
                <w:snapToGrid w:val="0"/>
                <w:color w:val="auto"/>
                <w:kern w:val="0"/>
                <w:sz w:val="21"/>
                <w:szCs w:val="21"/>
                <w:highlight w:val="none"/>
              </w:rPr>
              <w:t>mg/kg</w:t>
            </w:r>
          </w:p>
        </w:tc>
      </w:tr>
      <w:tr w14:paraId="2639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2085D063">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铜</w:t>
            </w:r>
          </w:p>
        </w:tc>
        <w:tc>
          <w:tcPr>
            <w:tcW w:w="0" w:type="auto"/>
            <w:tcBorders>
              <w:tl2br w:val="nil"/>
              <w:tr2bl w:val="nil"/>
            </w:tcBorders>
            <w:shd w:val="clear" w:color="auto" w:fill="auto"/>
            <w:vAlign w:val="center"/>
          </w:tcPr>
          <w:p w14:paraId="7AB6E448">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土壤和沉积物 12种金属元素的测定 王水提取-电感耦合等离子体质谱法HJ 803-2016</w:t>
            </w:r>
          </w:p>
        </w:tc>
        <w:tc>
          <w:tcPr>
            <w:tcW w:w="0" w:type="auto"/>
            <w:tcBorders>
              <w:tl2br w:val="nil"/>
              <w:tr2bl w:val="nil"/>
            </w:tcBorders>
            <w:shd w:val="clear" w:color="auto" w:fill="auto"/>
            <w:vAlign w:val="center"/>
          </w:tcPr>
          <w:p w14:paraId="1700B770">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lang w:val="en-US" w:eastAsia="zh-CN"/>
              </w:rPr>
              <w:t>0.5</w:t>
            </w:r>
            <w:r>
              <w:rPr>
                <w:rFonts w:ascii="Times New Roman" w:hAnsi="Times New Roman" w:eastAsia="宋体" w:cs="Times New Roman"/>
                <w:bCs w:val="0"/>
                <w:snapToGrid w:val="0"/>
                <w:color w:val="auto"/>
                <w:kern w:val="0"/>
                <w:sz w:val="21"/>
                <w:szCs w:val="21"/>
                <w:highlight w:val="none"/>
              </w:rPr>
              <w:t>mg/kg</w:t>
            </w:r>
          </w:p>
        </w:tc>
      </w:tr>
      <w:tr w14:paraId="3AF3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205A0092">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铅</w:t>
            </w:r>
          </w:p>
        </w:tc>
        <w:tc>
          <w:tcPr>
            <w:tcW w:w="0" w:type="auto"/>
            <w:tcBorders>
              <w:tl2br w:val="nil"/>
              <w:tr2bl w:val="nil"/>
            </w:tcBorders>
            <w:shd w:val="clear" w:color="auto" w:fill="auto"/>
            <w:vAlign w:val="center"/>
          </w:tcPr>
          <w:p w14:paraId="7A25612F">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土壤和沉积物 12种金属元素的测定 王水提取-电感耦合等离子体质谱法HJ 803-2016</w:t>
            </w:r>
          </w:p>
        </w:tc>
        <w:tc>
          <w:tcPr>
            <w:tcW w:w="0" w:type="auto"/>
            <w:tcBorders>
              <w:tl2br w:val="nil"/>
              <w:tr2bl w:val="nil"/>
            </w:tcBorders>
            <w:shd w:val="clear" w:color="auto" w:fill="auto"/>
            <w:vAlign w:val="center"/>
          </w:tcPr>
          <w:p w14:paraId="4871531F">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lang w:val="en-US" w:eastAsia="zh-CN"/>
              </w:rPr>
              <w:t>2</w:t>
            </w:r>
            <w:r>
              <w:rPr>
                <w:rFonts w:ascii="Times New Roman" w:hAnsi="Times New Roman" w:eastAsia="宋体" w:cs="Times New Roman"/>
                <w:bCs w:val="0"/>
                <w:snapToGrid w:val="0"/>
                <w:color w:val="auto"/>
                <w:kern w:val="0"/>
                <w:sz w:val="21"/>
                <w:szCs w:val="21"/>
                <w:highlight w:val="none"/>
              </w:rPr>
              <w:t>mg/kg</w:t>
            </w:r>
          </w:p>
        </w:tc>
      </w:tr>
      <w:tr w14:paraId="2A1C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3ACC6AD1">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六价铬</w:t>
            </w:r>
          </w:p>
        </w:tc>
        <w:tc>
          <w:tcPr>
            <w:tcW w:w="0" w:type="auto"/>
            <w:tcBorders>
              <w:tl2br w:val="nil"/>
              <w:tr2bl w:val="nil"/>
            </w:tcBorders>
            <w:shd w:val="clear" w:color="auto" w:fill="auto"/>
            <w:vAlign w:val="center"/>
          </w:tcPr>
          <w:p w14:paraId="70B08D57">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土壤和沉积物 六价铬的测定 碱溶液提取-火焰</w:t>
            </w:r>
            <w:r>
              <w:rPr>
                <w:rFonts w:ascii="Times New Roman" w:hAnsi="Times New Roman" w:eastAsia="宋体" w:cs="Times New Roman"/>
                <w:bCs w:val="0"/>
                <w:snapToGrid w:val="0"/>
                <w:color w:val="auto"/>
                <w:kern w:val="0"/>
                <w:sz w:val="21"/>
                <w:szCs w:val="21"/>
                <w:highlight w:val="none"/>
              </w:rPr>
              <w:t>原子吸收分光光度</w:t>
            </w:r>
            <w:r>
              <w:rPr>
                <w:rFonts w:hint="eastAsia" w:ascii="Times New Roman" w:hAnsi="Times New Roman" w:eastAsia="宋体" w:cs="Times New Roman"/>
                <w:bCs w:val="0"/>
                <w:snapToGrid w:val="0"/>
                <w:color w:val="auto"/>
                <w:kern w:val="0"/>
                <w:sz w:val="21"/>
                <w:szCs w:val="21"/>
                <w:highlight w:val="none"/>
              </w:rPr>
              <w:t>法HJ1082-2019</w:t>
            </w:r>
          </w:p>
        </w:tc>
        <w:tc>
          <w:tcPr>
            <w:tcW w:w="0" w:type="auto"/>
            <w:tcBorders>
              <w:tl2br w:val="nil"/>
              <w:tr2bl w:val="nil"/>
            </w:tcBorders>
            <w:shd w:val="clear" w:color="auto" w:fill="auto"/>
            <w:vAlign w:val="center"/>
          </w:tcPr>
          <w:p w14:paraId="270F4FCC">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0.5mg/kg</w:t>
            </w:r>
          </w:p>
        </w:tc>
      </w:tr>
      <w:tr w14:paraId="253D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0" w:type="auto"/>
            <w:tcBorders>
              <w:tl2br w:val="nil"/>
              <w:tr2bl w:val="nil"/>
            </w:tcBorders>
            <w:shd w:val="clear" w:color="auto" w:fill="auto"/>
            <w:vAlign w:val="center"/>
          </w:tcPr>
          <w:p w14:paraId="50C64092">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rPr>
              <w:t>镍</w:t>
            </w:r>
          </w:p>
        </w:tc>
        <w:tc>
          <w:tcPr>
            <w:tcW w:w="0" w:type="auto"/>
            <w:tcBorders>
              <w:tl2br w:val="nil"/>
              <w:tr2bl w:val="nil"/>
            </w:tcBorders>
            <w:shd w:val="clear" w:color="auto" w:fill="auto"/>
            <w:vAlign w:val="center"/>
          </w:tcPr>
          <w:p w14:paraId="70A439AB">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土壤和沉积物 12种金属元素的测定 王水提取-电感耦合等离子体质谱法HJ 803-2016</w:t>
            </w:r>
          </w:p>
        </w:tc>
        <w:tc>
          <w:tcPr>
            <w:tcW w:w="0" w:type="auto"/>
            <w:tcBorders>
              <w:tl2br w:val="nil"/>
              <w:tr2bl w:val="nil"/>
            </w:tcBorders>
            <w:shd w:val="clear" w:color="auto" w:fill="auto"/>
            <w:vAlign w:val="center"/>
          </w:tcPr>
          <w:p w14:paraId="7B4F88B9">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snapToGrid w:val="0"/>
                <w:color w:val="auto"/>
                <w:kern w:val="0"/>
                <w:sz w:val="21"/>
                <w:szCs w:val="21"/>
                <w:highlight w:val="none"/>
                <w:lang w:val="en-US" w:eastAsia="zh-CN"/>
              </w:rPr>
              <w:t>2</w:t>
            </w:r>
            <w:r>
              <w:rPr>
                <w:rFonts w:ascii="Times New Roman" w:hAnsi="Times New Roman" w:eastAsia="宋体" w:cs="Times New Roman"/>
                <w:bCs w:val="0"/>
                <w:snapToGrid w:val="0"/>
                <w:color w:val="auto"/>
                <w:kern w:val="0"/>
                <w:sz w:val="21"/>
                <w:szCs w:val="21"/>
                <w:highlight w:val="none"/>
              </w:rPr>
              <w:t>mg/kg</w:t>
            </w:r>
          </w:p>
        </w:tc>
      </w:tr>
      <w:tr w14:paraId="27A8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4C2F3B69">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氯乙烯</w:t>
            </w:r>
          </w:p>
        </w:tc>
        <w:tc>
          <w:tcPr>
            <w:tcW w:w="5447" w:type="dxa"/>
            <w:tcBorders>
              <w:tl2br w:val="nil"/>
              <w:tr2bl w:val="nil"/>
            </w:tcBorders>
            <w:shd w:val="clear" w:color="auto" w:fill="auto"/>
            <w:vAlign w:val="center"/>
          </w:tcPr>
          <w:p w14:paraId="067490F2">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278DBCA9">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1.0</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43A9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29EA9C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1,1-二氯乙烯</w:t>
            </w:r>
          </w:p>
        </w:tc>
        <w:tc>
          <w:tcPr>
            <w:tcW w:w="5447" w:type="dxa"/>
            <w:tcBorders>
              <w:tl2br w:val="nil"/>
              <w:tr2bl w:val="nil"/>
            </w:tcBorders>
            <w:shd w:val="clear" w:color="auto" w:fill="auto"/>
            <w:vAlign w:val="center"/>
          </w:tcPr>
          <w:p w14:paraId="04485CA1">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536AB52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1.0</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0C5A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6618A15">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二氯甲烷</w:t>
            </w:r>
          </w:p>
        </w:tc>
        <w:tc>
          <w:tcPr>
            <w:tcW w:w="5447" w:type="dxa"/>
            <w:tcBorders>
              <w:tl2br w:val="nil"/>
              <w:tr2bl w:val="nil"/>
            </w:tcBorders>
            <w:shd w:val="clear" w:color="auto" w:fill="auto"/>
            <w:vAlign w:val="center"/>
          </w:tcPr>
          <w:p w14:paraId="46A09B9A">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563C3451">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1.5</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4742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0DBBCEBF">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反-1,2-二氯乙烯</w:t>
            </w:r>
          </w:p>
        </w:tc>
        <w:tc>
          <w:tcPr>
            <w:tcW w:w="5447" w:type="dxa"/>
            <w:tcBorders>
              <w:tl2br w:val="nil"/>
              <w:tr2bl w:val="nil"/>
            </w:tcBorders>
            <w:shd w:val="clear" w:color="auto" w:fill="auto"/>
            <w:vAlign w:val="center"/>
          </w:tcPr>
          <w:p w14:paraId="791F2CC7">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4B1BF43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1.4</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36D6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4FCEC72D">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1,1-二氯乙烷</w:t>
            </w:r>
          </w:p>
        </w:tc>
        <w:tc>
          <w:tcPr>
            <w:tcW w:w="5447" w:type="dxa"/>
            <w:tcBorders>
              <w:tl2br w:val="nil"/>
              <w:tr2bl w:val="nil"/>
            </w:tcBorders>
            <w:shd w:val="clear" w:color="auto" w:fill="auto"/>
            <w:vAlign w:val="center"/>
          </w:tcPr>
          <w:p w14:paraId="05E8CA0C">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3F77B29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605A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3D62BEB4">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顺-1,2-二氯乙烯</w:t>
            </w:r>
          </w:p>
        </w:tc>
        <w:tc>
          <w:tcPr>
            <w:tcW w:w="5447" w:type="dxa"/>
            <w:tcBorders>
              <w:tl2br w:val="nil"/>
              <w:tr2bl w:val="nil"/>
            </w:tcBorders>
            <w:shd w:val="clear" w:color="auto" w:fill="auto"/>
            <w:vAlign w:val="center"/>
          </w:tcPr>
          <w:p w14:paraId="2BE5E3F6">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2C6575FC">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1.3</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6E45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749A1D5A">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氯仿</w:t>
            </w:r>
          </w:p>
        </w:tc>
        <w:tc>
          <w:tcPr>
            <w:tcW w:w="5447" w:type="dxa"/>
            <w:tcBorders>
              <w:tl2br w:val="nil"/>
              <w:tr2bl w:val="nil"/>
            </w:tcBorders>
            <w:shd w:val="clear" w:color="auto" w:fill="auto"/>
            <w:vAlign w:val="center"/>
          </w:tcPr>
          <w:p w14:paraId="4CCCFE6E">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42DBFF6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1.1</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53B2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5F530AD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1,1,1-三氯乙烷</w:t>
            </w:r>
          </w:p>
        </w:tc>
        <w:tc>
          <w:tcPr>
            <w:tcW w:w="5447" w:type="dxa"/>
            <w:tcBorders>
              <w:tl2br w:val="nil"/>
              <w:tr2bl w:val="nil"/>
            </w:tcBorders>
            <w:shd w:val="clear" w:color="auto" w:fill="auto"/>
            <w:vAlign w:val="center"/>
          </w:tcPr>
          <w:p w14:paraId="711F38C2">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1FE6A778">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1.3</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09C3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0882C52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四氯化碳</w:t>
            </w:r>
          </w:p>
        </w:tc>
        <w:tc>
          <w:tcPr>
            <w:tcW w:w="5447" w:type="dxa"/>
            <w:tcBorders>
              <w:tl2br w:val="nil"/>
              <w:tr2bl w:val="nil"/>
            </w:tcBorders>
            <w:shd w:val="clear" w:color="auto" w:fill="auto"/>
            <w:vAlign w:val="center"/>
          </w:tcPr>
          <w:p w14:paraId="368BC8CA">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639A094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1.3</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6C3A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2D6AE5F">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 xml:space="preserve">1,2-二氯乙烷 </w:t>
            </w:r>
          </w:p>
        </w:tc>
        <w:tc>
          <w:tcPr>
            <w:tcW w:w="5447" w:type="dxa"/>
            <w:tcBorders>
              <w:tl2br w:val="nil"/>
              <w:tr2bl w:val="nil"/>
            </w:tcBorders>
            <w:shd w:val="clear" w:color="auto" w:fill="auto"/>
            <w:vAlign w:val="center"/>
          </w:tcPr>
          <w:p w14:paraId="0AD419E3">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2F3849DB">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1.3</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10E5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47D829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苯</w:t>
            </w:r>
          </w:p>
        </w:tc>
        <w:tc>
          <w:tcPr>
            <w:tcW w:w="5447" w:type="dxa"/>
            <w:tcBorders>
              <w:tl2br w:val="nil"/>
              <w:tr2bl w:val="nil"/>
            </w:tcBorders>
            <w:shd w:val="clear" w:color="auto" w:fill="auto"/>
            <w:vAlign w:val="center"/>
          </w:tcPr>
          <w:p w14:paraId="16CE590D">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16BC5D0F">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1.9</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7B6F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27C3ABA">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三氯乙烯</w:t>
            </w:r>
          </w:p>
        </w:tc>
        <w:tc>
          <w:tcPr>
            <w:tcW w:w="5447" w:type="dxa"/>
            <w:tcBorders>
              <w:tl2br w:val="nil"/>
              <w:tr2bl w:val="nil"/>
            </w:tcBorders>
            <w:shd w:val="clear" w:color="auto" w:fill="auto"/>
            <w:vAlign w:val="center"/>
          </w:tcPr>
          <w:p w14:paraId="48D40C49">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244ACBD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0752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14FAA1C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1,2-二氯丙烷</w:t>
            </w:r>
          </w:p>
        </w:tc>
        <w:tc>
          <w:tcPr>
            <w:tcW w:w="5447" w:type="dxa"/>
            <w:tcBorders>
              <w:tl2br w:val="nil"/>
              <w:tr2bl w:val="nil"/>
            </w:tcBorders>
            <w:shd w:val="clear" w:color="auto" w:fill="auto"/>
            <w:vAlign w:val="center"/>
          </w:tcPr>
          <w:p w14:paraId="49CFE596">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79B1338B">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1.1</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706F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014ED3D9">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甲苯</w:t>
            </w:r>
          </w:p>
        </w:tc>
        <w:tc>
          <w:tcPr>
            <w:tcW w:w="5447" w:type="dxa"/>
            <w:tcBorders>
              <w:tl2br w:val="nil"/>
              <w:tr2bl w:val="nil"/>
            </w:tcBorders>
            <w:shd w:val="clear" w:color="auto" w:fill="auto"/>
            <w:vAlign w:val="center"/>
          </w:tcPr>
          <w:p w14:paraId="2BF864EF">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291DA0A9">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1.3</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363C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06FEA57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1,1,2-三氯乙烷</w:t>
            </w:r>
          </w:p>
        </w:tc>
        <w:tc>
          <w:tcPr>
            <w:tcW w:w="5447" w:type="dxa"/>
            <w:tcBorders>
              <w:tl2br w:val="nil"/>
              <w:tr2bl w:val="nil"/>
            </w:tcBorders>
            <w:shd w:val="clear" w:color="auto" w:fill="auto"/>
            <w:vAlign w:val="center"/>
          </w:tcPr>
          <w:p w14:paraId="437D3B6A">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75C041C5">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1BC7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46B80FEA">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四氯乙烯</w:t>
            </w:r>
          </w:p>
        </w:tc>
        <w:tc>
          <w:tcPr>
            <w:tcW w:w="5447" w:type="dxa"/>
            <w:tcBorders>
              <w:tl2br w:val="nil"/>
              <w:tr2bl w:val="nil"/>
            </w:tcBorders>
            <w:shd w:val="clear" w:color="auto" w:fill="auto"/>
            <w:vAlign w:val="center"/>
          </w:tcPr>
          <w:p w14:paraId="0A55DE36">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014D19F4">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1.4</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084E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04B4724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eastAsia="zh-CN"/>
              </w:rPr>
              <w:t>氯苯</w:t>
            </w:r>
          </w:p>
        </w:tc>
        <w:tc>
          <w:tcPr>
            <w:tcW w:w="5447" w:type="dxa"/>
            <w:tcBorders>
              <w:tl2br w:val="nil"/>
              <w:tr2bl w:val="nil"/>
            </w:tcBorders>
            <w:shd w:val="clear" w:color="auto" w:fill="auto"/>
            <w:vAlign w:val="center"/>
          </w:tcPr>
          <w:p w14:paraId="4112B315">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31DCA80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1C19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664402F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1,1,1,2-四氯乙烷</w:t>
            </w:r>
          </w:p>
        </w:tc>
        <w:tc>
          <w:tcPr>
            <w:tcW w:w="5447" w:type="dxa"/>
            <w:tcBorders>
              <w:tl2br w:val="nil"/>
              <w:tr2bl w:val="nil"/>
            </w:tcBorders>
            <w:shd w:val="clear" w:color="auto" w:fill="auto"/>
            <w:vAlign w:val="center"/>
          </w:tcPr>
          <w:p w14:paraId="63019BA6">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66C6CEDC">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56C4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B40B5CC">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eastAsia="zh-CN"/>
              </w:rPr>
              <w:t>乙苯</w:t>
            </w:r>
          </w:p>
        </w:tc>
        <w:tc>
          <w:tcPr>
            <w:tcW w:w="5447" w:type="dxa"/>
            <w:tcBorders>
              <w:tl2br w:val="nil"/>
              <w:tr2bl w:val="nil"/>
            </w:tcBorders>
            <w:shd w:val="clear" w:color="auto" w:fill="auto"/>
            <w:vAlign w:val="center"/>
          </w:tcPr>
          <w:p w14:paraId="7562A9A3">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64F6BCDB">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405F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59851F18">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间,对-二甲苯</w:t>
            </w:r>
          </w:p>
        </w:tc>
        <w:tc>
          <w:tcPr>
            <w:tcW w:w="5447" w:type="dxa"/>
            <w:tcBorders>
              <w:tl2br w:val="nil"/>
              <w:tr2bl w:val="nil"/>
            </w:tcBorders>
            <w:shd w:val="clear" w:color="auto" w:fill="auto"/>
            <w:vAlign w:val="center"/>
          </w:tcPr>
          <w:p w14:paraId="3E97C7F0">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341E6AA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7CD9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DCB32F8">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邻-二甲苯</w:t>
            </w:r>
          </w:p>
        </w:tc>
        <w:tc>
          <w:tcPr>
            <w:tcW w:w="5447" w:type="dxa"/>
            <w:tcBorders>
              <w:tl2br w:val="nil"/>
              <w:tr2bl w:val="nil"/>
            </w:tcBorders>
            <w:shd w:val="clear" w:color="auto" w:fill="auto"/>
            <w:vAlign w:val="center"/>
          </w:tcPr>
          <w:p w14:paraId="04ADC02B">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4B65215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3292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08DBB428">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eastAsia="zh-CN"/>
              </w:rPr>
              <w:t>苯乙烯</w:t>
            </w:r>
          </w:p>
        </w:tc>
        <w:tc>
          <w:tcPr>
            <w:tcW w:w="5447" w:type="dxa"/>
            <w:tcBorders>
              <w:tl2br w:val="nil"/>
              <w:tr2bl w:val="nil"/>
            </w:tcBorders>
            <w:shd w:val="clear" w:color="auto" w:fill="auto"/>
            <w:vAlign w:val="center"/>
          </w:tcPr>
          <w:p w14:paraId="55B66312">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3A83661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1.1</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4BA3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CB81F6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1,1,2,2-四氯乙烷</w:t>
            </w:r>
          </w:p>
        </w:tc>
        <w:tc>
          <w:tcPr>
            <w:tcW w:w="5447" w:type="dxa"/>
            <w:tcBorders>
              <w:tl2br w:val="nil"/>
              <w:tr2bl w:val="nil"/>
            </w:tcBorders>
            <w:shd w:val="clear" w:color="auto" w:fill="auto"/>
            <w:vAlign w:val="center"/>
          </w:tcPr>
          <w:p w14:paraId="3A9DC871">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19DD48DD">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353B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1E2CA535">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1,2,3-三氯丙烷</w:t>
            </w:r>
          </w:p>
        </w:tc>
        <w:tc>
          <w:tcPr>
            <w:tcW w:w="5447" w:type="dxa"/>
            <w:tcBorders>
              <w:tl2br w:val="nil"/>
              <w:tr2bl w:val="nil"/>
            </w:tcBorders>
            <w:shd w:val="clear" w:color="auto" w:fill="auto"/>
            <w:vAlign w:val="center"/>
          </w:tcPr>
          <w:p w14:paraId="125CA855">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55A9367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1.2</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621B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7916620E">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1,4-二氯苯</w:t>
            </w:r>
          </w:p>
        </w:tc>
        <w:tc>
          <w:tcPr>
            <w:tcW w:w="5447" w:type="dxa"/>
            <w:tcBorders>
              <w:tl2br w:val="nil"/>
              <w:tr2bl w:val="nil"/>
            </w:tcBorders>
            <w:shd w:val="clear" w:color="auto" w:fill="auto"/>
            <w:vAlign w:val="center"/>
          </w:tcPr>
          <w:p w14:paraId="18F1F988">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0904EC3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1.5</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0BD7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65A57CD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1,2-二氯苯</w:t>
            </w:r>
          </w:p>
        </w:tc>
        <w:tc>
          <w:tcPr>
            <w:tcW w:w="5447" w:type="dxa"/>
            <w:tcBorders>
              <w:tl2br w:val="nil"/>
              <w:tr2bl w:val="nil"/>
            </w:tcBorders>
            <w:shd w:val="clear" w:color="auto" w:fill="auto"/>
            <w:vAlign w:val="center"/>
          </w:tcPr>
          <w:p w14:paraId="46F3C821">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5F42F15A">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1.5</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438A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3C3D7C2E">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氯甲烷</w:t>
            </w:r>
          </w:p>
        </w:tc>
        <w:tc>
          <w:tcPr>
            <w:tcW w:w="5447" w:type="dxa"/>
            <w:tcBorders>
              <w:tl2br w:val="nil"/>
              <w:tr2bl w:val="nil"/>
            </w:tcBorders>
            <w:shd w:val="clear" w:color="auto" w:fill="auto"/>
            <w:vAlign w:val="center"/>
          </w:tcPr>
          <w:p w14:paraId="0ABF67B5">
            <w:pPr>
              <w:keepNext w:val="0"/>
              <w:keepLines w:val="0"/>
              <w:pageBreakBefore w:val="0"/>
              <w:kinsoku/>
              <w:wordWrap/>
              <w:overflowPunct/>
              <w:topLinePunct w:val="0"/>
              <w:autoSpaceDE/>
              <w:autoSpaceDN/>
              <w:bidi w:val="0"/>
              <w:adjustRightInd w:val="0"/>
              <w:snapToGrid w:val="0"/>
              <w:spacing w:beforeAutospacing="0" w:afterAutospacing="0"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土壤和沉积物 挥发性有机物的测定 吹扫捕集/气相色谱—质谱法 HJ 605-2011</w:t>
            </w:r>
          </w:p>
        </w:tc>
        <w:tc>
          <w:tcPr>
            <w:tcW w:w="1158" w:type="dxa"/>
            <w:tcBorders>
              <w:tl2br w:val="nil"/>
              <w:tr2bl w:val="nil"/>
            </w:tcBorders>
            <w:shd w:val="clear" w:color="auto" w:fill="auto"/>
            <w:vAlign w:val="center"/>
          </w:tcPr>
          <w:p w14:paraId="544AB37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bidi="ar-SA"/>
              </w:rPr>
              <w:t>1.0</w:t>
            </w:r>
            <w:r>
              <w:rPr>
                <w:rFonts w:hint="default" w:ascii="Times New Roman" w:hAnsi="Times New Roman" w:eastAsia="宋体" w:cs="Times New Roman"/>
                <w:bCs w:val="0"/>
                <w:color w:val="auto"/>
                <w:kern w:val="0"/>
                <w:sz w:val="21"/>
                <w:szCs w:val="21"/>
                <w:highlight w:val="none"/>
                <w:lang w:eastAsia="zh-CN"/>
              </w:rPr>
              <w:t>μ</w:t>
            </w:r>
            <w:r>
              <w:rPr>
                <w:rFonts w:hint="default" w:ascii="Times New Roman" w:hAnsi="Times New Roman" w:eastAsia="宋体" w:cs="Times New Roman"/>
                <w:bCs w:val="0"/>
                <w:color w:val="auto"/>
                <w:kern w:val="0"/>
                <w:sz w:val="21"/>
                <w:szCs w:val="21"/>
                <w:highlight w:val="none"/>
              </w:rPr>
              <w:t>g/</w:t>
            </w:r>
            <w:r>
              <w:rPr>
                <w:rFonts w:hint="default" w:ascii="Times New Roman" w:hAnsi="Times New Roman" w:eastAsia="宋体" w:cs="Times New Roman"/>
                <w:bCs w:val="0"/>
                <w:color w:val="auto"/>
                <w:kern w:val="0"/>
                <w:sz w:val="21"/>
                <w:szCs w:val="21"/>
                <w:highlight w:val="none"/>
                <w:lang w:val="en-US" w:eastAsia="zh-CN"/>
              </w:rPr>
              <w:t>kg</w:t>
            </w:r>
          </w:p>
        </w:tc>
      </w:tr>
      <w:tr w14:paraId="2455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474EEFF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硝基苯</w:t>
            </w:r>
          </w:p>
        </w:tc>
        <w:tc>
          <w:tcPr>
            <w:tcW w:w="5447" w:type="dxa"/>
            <w:tcBorders>
              <w:tl2br w:val="nil"/>
              <w:tr2bl w:val="nil"/>
            </w:tcBorders>
            <w:shd w:val="clear" w:color="auto" w:fill="auto"/>
            <w:vAlign w:val="center"/>
          </w:tcPr>
          <w:p w14:paraId="00773C9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4282CC5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0.09</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5A7E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DD14675">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eastAsia="zh-CN"/>
              </w:rPr>
              <w:t>苯胺</w:t>
            </w:r>
          </w:p>
        </w:tc>
        <w:tc>
          <w:tcPr>
            <w:tcW w:w="5447" w:type="dxa"/>
            <w:tcBorders>
              <w:tl2br w:val="nil"/>
              <w:tr2bl w:val="nil"/>
            </w:tcBorders>
            <w:shd w:val="clear" w:color="auto" w:fill="auto"/>
            <w:vAlign w:val="center"/>
          </w:tcPr>
          <w:p w14:paraId="6F5FDA7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443CBEBE">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3.78</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089B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4D99E50E">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2-氯</w:t>
            </w:r>
            <w:r>
              <w:rPr>
                <w:rFonts w:hint="eastAsia" w:ascii="Times New Roman" w:hAnsi="Times New Roman" w:eastAsia="宋体" w:cs="Times New Roman"/>
                <w:bCs w:val="0"/>
                <w:color w:val="auto"/>
                <w:kern w:val="0"/>
                <w:sz w:val="21"/>
                <w:szCs w:val="21"/>
                <w:highlight w:val="none"/>
                <w:lang w:val="en-US" w:eastAsia="zh-CN"/>
              </w:rPr>
              <w:t>苯</w:t>
            </w:r>
            <w:r>
              <w:rPr>
                <w:rFonts w:hint="default" w:ascii="Times New Roman" w:hAnsi="Times New Roman" w:eastAsia="宋体" w:cs="Times New Roman"/>
                <w:bCs w:val="0"/>
                <w:color w:val="auto"/>
                <w:kern w:val="0"/>
                <w:sz w:val="21"/>
                <w:szCs w:val="21"/>
                <w:highlight w:val="none"/>
                <w:lang w:val="en-US" w:eastAsia="zh-CN"/>
              </w:rPr>
              <w:t>酚</w:t>
            </w:r>
          </w:p>
        </w:tc>
        <w:tc>
          <w:tcPr>
            <w:tcW w:w="5447" w:type="dxa"/>
            <w:tcBorders>
              <w:tl2br w:val="nil"/>
              <w:tr2bl w:val="nil"/>
            </w:tcBorders>
            <w:shd w:val="clear" w:color="auto" w:fill="auto"/>
            <w:vAlign w:val="center"/>
          </w:tcPr>
          <w:p w14:paraId="5076841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6DA742F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0.06</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0A68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1ED5C88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苯并[a]蒽</w:t>
            </w:r>
          </w:p>
        </w:tc>
        <w:tc>
          <w:tcPr>
            <w:tcW w:w="5447" w:type="dxa"/>
            <w:tcBorders>
              <w:tl2br w:val="nil"/>
              <w:tr2bl w:val="nil"/>
            </w:tcBorders>
            <w:shd w:val="clear" w:color="auto" w:fill="auto"/>
            <w:vAlign w:val="center"/>
          </w:tcPr>
          <w:p w14:paraId="4B137F1A">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4F908118">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0.1</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0856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6ACEC3B1">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 xml:space="preserve">苯并[a]芘 </w:t>
            </w:r>
          </w:p>
        </w:tc>
        <w:tc>
          <w:tcPr>
            <w:tcW w:w="5447" w:type="dxa"/>
            <w:tcBorders>
              <w:tl2br w:val="nil"/>
              <w:tr2bl w:val="nil"/>
            </w:tcBorders>
            <w:shd w:val="clear" w:color="auto" w:fill="auto"/>
            <w:vAlign w:val="center"/>
          </w:tcPr>
          <w:p w14:paraId="6C7004AF">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6B87BBDB">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0.1</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56EC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1E6F1D3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苯并[b]荧蒽</w:t>
            </w:r>
          </w:p>
        </w:tc>
        <w:tc>
          <w:tcPr>
            <w:tcW w:w="5447" w:type="dxa"/>
            <w:tcBorders>
              <w:tl2br w:val="nil"/>
              <w:tr2bl w:val="nil"/>
            </w:tcBorders>
            <w:shd w:val="clear" w:color="auto" w:fill="auto"/>
            <w:vAlign w:val="center"/>
          </w:tcPr>
          <w:p w14:paraId="4C12601B">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32BEB51F">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0.2</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48CB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2269896D">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苯并[k]荧蒽</w:t>
            </w:r>
          </w:p>
        </w:tc>
        <w:tc>
          <w:tcPr>
            <w:tcW w:w="5447" w:type="dxa"/>
            <w:tcBorders>
              <w:tl2br w:val="nil"/>
              <w:tr2bl w:val="nil"/>
            </w:tcBorders>
            <w:shd w:val="clear" w:color="auto" w:fill="auto"/>
            <w:vAlign w:val="center"/>
          </w:tcPr>
          <w:p w14:paraId="08834A00">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457629BD">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0.1</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76CF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1368B187">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䓛</w:t>
            </w:r>
          </w:p>
        </w:tc>
        <w:tc>
          <w:tcPr>
            <w:tcW w:w="5447" w:type="dxa"/>
            <w:tcBorders>
              <w:tl2br w:val="nil"/>
              <w:tr2bl w:val="nil"/>
            </w:tcBorders>
            <w:shd w:val="clear" w:color="auto" w:fill="auto"/>
            <w:vAlign w:val="center"/>
          </w:tcPr>
          <w:p w14:paraId="09964931">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3C3682C9">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0.1</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5D38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11D4AC4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二苯并[a,h]蒽</w:t>
            </w:r>
          </w:p>
        </w:tc>
        <w:tc>
          <w:tcPr>
            <w:tcW w:w="5447" w:type="dxa"/>
            <w:tcBorders>
              <w:tl2br w:val="nil"/>
              <w:tr2bl w:val="nil"/>
            </w:tcBorders>
            <w:shd w:val="clear" w:color="auto" w:fill="auto"/>
            <w:vAlign w:val="center"/>
          </w:tcPr>
          <w:p w14:paraId="3FA12E32">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2A8525C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0.1</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790C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4E5D8349">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茚并[1,2,3-cd]芘</w:t>
            </w:r>
          </w:p>
        </w:tc>
        <w:tc>
          <w:tcPr>
            <w:tcW w:w="5447" w:type="dxa"/>
            <w:tcBorders>
              <w:tl2br w:val="nil"/>
              <w:tr2bl w:val="nil"/>
            </w:tcBorders>
            <w:shd w:val="clear" w:color="auto" w:fill="auto"/>
            <w:vAlign w:val="center"/>
          </w:tcPr>
          <w:p w14:paraId="7286022C">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33BEEAFD">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0.1</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r w14:paraId="55D3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1661" w:type="dxa"/>
            <w:tcBorders>
              <w:tl2br w:val="nil"/>
              <w:tr2bl w:val="nil"/>
            </w:tcBorders>
            <w:shd w:val="clear" w:color="auto" w:fill="auto"/>
            <w:vAlign w:val="center"/>
          </w:tcPr>
          <w:p w14:paraId="697BFA33">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lang w:val="en-US" w:eastAsia="zh-CN"/>
              </w:rPr>
              <w:t xml:space="preserve">萘 </w:t>
            </w:r>
          </w:p>
        </w:tc>
        <w:tc>
          <w:tcPr>
            <w:tcW w:w="5447" w:type="dxa"/>
            <w:tcBorders>
              <w:tl2br w:val="nil"/>
              <w:tr2bl w:val="nil"/>
            </w:tcBorders>
            <w:shd w:val="clear" w:color="auto" w:fill="auto"/>
            <w:vAlign w:val="center"/>
          </w:tcPr>
          <w:p w14:paraId="2AEFE0A6">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土壤和沉积物 半挥发性有机物的测定 气相色谱 -质谱法HJ 834-2017</w:t>
            </w:r>
          </w:p>
        </w:tc>
        <w:tc>
          <w:tcPr>
            <w:tcW w:w="1158" w:type="dxa"/>
            <w:tcBorders>
              <w:tl2br w:val="nil"/>
              <w:tr2bl w:val="nil"/>
            </w:tcBorders>
            <w:shd w:val="clear" w:color="auto" w:fill="auto"/>
            <w:vAlign w:val="center"/>
          </w:tcPr>
          <w:p w14:paraId="043DB271">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ascii="Times New Roman" w:hAnsi="Times New Roman" w:eastAsia="宋体" w:cs="Times New Roman"/>
                <w:bCs w:val="0"/>
                <w:snapToGrid w:val="0"/>
                <w:color w:val="auto"/>
                <w:kern w:val="0"/>
                <w:sz w:val="21"/>
                <w:szCs w:val="21"/>
                <w:highlight w:val="none"/>
              </w:rPr>
            </w:pPr>
            <w:r>
              <w:rPr>
                <w:rFonts w:hint="default" w:ascii="Times New Roman" w:hAnsi="Times New Roman" w:eastAsia="宋体" w:cs="Times New Roman"/>
                <w:bCs w:val="0"/>
                <w:color w:val="auto"/>
                <w:kern w:val="0"/>
                <w:sz w:val="21"/>
                <w:szCs w:val="21"/>
                <w:highlight w:val="none"/>
                <w:lang w:val="en-US" w:eastAsia="zh-CN"/>
              </w:rPr>
              <w:t>0.</w:t>
            </w:r>
            <w:r>
              <w:rPr>
                <w:rFonts w:hint="eastAsia" w:ascii="Times New Roman" w:hAnsi="Times New Roman" w:eastAsia="宋体" w:cs="Times New Roman"/>
                <w:bCs w:val="0"/>
                <w:color w:val="auto"/>
                <w:kern w:val="0"/>
                <w:sz w:val="21"/>
                <w:szCs w:val="21"/>
                <w:highlight w:val="none"/>
                <w:lang w:val="en-US" w:eastAsia="zh-CN"/>
              </w:rPr>
              <w:t>09</w:t>
            </w:r>
            <w:r>
              <w:rPr>
                <w:rFonts w:hint="default" w:ascii="Times New Roman" w:hAnsi="Times New Roman" w:eastAsia="宋体" w:cs="Times New Roman"/>
                <w:bCs w:val="0"/>
                <w:color w:val="auto"/>
                <w:kern w:val="0"/>
                <w:sz w:val="21"/>
                <w:szCs w:val="21"/>
                <w:highlight w:val="none"/>
              </w:rPr>
              <w:t>mg/</w:t>
            </w:r>
            <w:r>
              <w:rPr>
                <w:rFonts w:hint="default" w:ascii="Times New Roman" w:hAnsi="Times New Roman" w:eastAsia="宋体" w:cs="Times New Roman"/>
                <w:bCs w:val="0"/>
                <w:color w:val="auto"/>
                <w:kern w:val="0"/>
                <w:sz w:val="21"/>
                <w:szCs w:val="21"/>
                <w:highlight w:val="none"/>
                <w:lang w:val="en-US" w:eastAsia="zh-CN"/>
              </w:rPr>
              <w:t>kg</w:t>
            </w:r>
          </w:p>
        </w:tc>
      </w:tr>
    </w:tbl>
    <w:p w14:paraId="48916E69">
      <w:pPr>
        <w:widowControl/>
        <w:adjustRightInd w:val="0"/>
        <w:snapToGrid w:val="0"/>
        <w:spacing w:line="360" w:lineRule="auto"/>
        <w:ind w:firstLine="480" w:firstLineChars="200"/>
        <w:rPr>
          <w:snapToGrid w:val="0"/>
          <w:color w:val="auto"/>
          <w:kern w:val="0"/>
          <w:sz w:val="24"/>
          <w:highlight w:val="none"/>
          <w:lang w:bidi="ar"/>
        </w:rPr>
      </w:pPr>
      <w:r>
        <w:rPr>
          <w:rFonts w:hint="eastAsia"/>
          <w:snapToGrid w:val="0"/>
          <w:color w:val="auto"/>
          <w:kern w:val="0"/>
          <w:sz w:val="24"/>
          <w:highlight w:val="none"/>
          <w:lang w:bidi="ar"/>
        </w:rPr>
        <w:t>（7）监测及评价结果</w:t>
      </w:r>
    </w:p>
    <w:p w14:paraId="3316CDCB">
      <w:pPr>
        <w:widowControl/>
        <w:adjustRightInd w:val="0"/>
        <w:snapToGrid w:val="0"/>
        <w:spacing w:line="360" w:lineRule="auto"/>
        <w:ind w:firstLine="480" w:firstLineChars="200"/>
        <w:rPr>
          <w:snapToGrid w:val="0"/>
          <w:color w:val="auto"/>
          <w:kern w:val="0"/>
          <w:sz w:val="24"/>
          <w:highlight w:val="none"/>
          <w:lang w:bidi="ar"/>
        </w:rPr>
      </w:pPr>
      <w:r>
        <w:rPr>
          <w:rFonts w:hint="eastAsia"/>
          <w:snapToGrid w:val="0"/>
          <w:color w:val="auto"/>
          <w:kern w:val="0"/>
          <w:sz w:val="24"/>
          <w:highlight w:val="none"/>
          <w:lang w:bidi="ar"/>
        </w:rPr>
        <w:t>此次环评土壤质量现状监测结果见表5.3-1</w:t>
      </w:r>
      <w:r>
        <w:rPr>
          <w:rFonts w:hint="eastAsia"/>
          <w:snapToGrid w:val="0"/>
          <w:color w:val="auto"/>
          <w:kern w:val="0"/>
          <w:sz w:val="24"/>
          <w:highlight w:val="none"/>
          <w:lang w:val="en-US" w:eastAsia="zh-CN" w:bidi="ar"/>
        </w:rPr>
        <w:t>7</w:t>
      </w:r>
      <w:r>
        <w:rPr>
          <w:rFonts w:hint="eastAsia"/>
          <w:snapToGrid w:val="0"/>
          <w:color w:val="auto"/>
          <w:kern w:val="0"/>
          <w:sz w:val="24"/>
          <w:highlight w:val="none"/>
          <w:lang w:bidi="ar"/>
        </w:rPr>
        <w:t>和表5.3-1</w:t>
      </w:r>
      <w:r>
        <w:rPr>
          <w:rFonts w:hint="eastAsia"/>
          <w:snapToGrid w:val="0"/>
          <w:color w:val="auto"/>
          <w:kern w:val="0"/>
          <w:sz w:val="24"/>
          <w:highlight w:val="none"/>
          <w:lang w:val="en-US" w:eastAsia="zh-CN" w:bidi="ar"/>
        </w:rPr>
        <w:t>8</w:t>
      </w:r>
      <w:r>
        <w:rPr>
          <w:rFonts w:hint="eastAsia"/>
          <w:snapToGrid w:val="0"/>
          <w:color w:val="auto"/>
          <w:kern w:val="0"/>
          <w:sz w:val="24"/>
          <w:highlight w:val="none"/>
          <w:lang w:bidi="ar"/>
        </w:rPr>
        <w:t>。</w:t>
      </w:r>
    </w:p>
    <w:p w14:paraId="180F1EE4">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表5.3-1</w:t>
      </w:r>
      <w:r>
        <w:rPr>
          <w:rFonts w:hint="eastAsia" w:ascii="Times New Roman" w:hAnsi="Times New Roman" w:cs="Times New Roman"/>
          <w:snapToGrid w:val="0"/>
          <w:color w:val="auto"/>
          <w:kern w:val="0"/>
          <w:sz w:val="21"/>
          <w:szCs w:val="21"/>
          <w:highlight w:val="none"/>
          <w:lang w:val="en-US" w:eastAsia="zh-CN"/>
        </w:rPr>
        <w:t>7</w:t>
      </w:r>
      <w:r>
        <w:rPr>
          <w:rFonts w:hint="eastAsia" w:ascii="Times New Roman" w:hAnsi="Times New Roman" w:cs="Times New Roman"/>
          <w:snapToGrid w:val="0"/>
          <w:color w:val="auto"/>
          <w:kern w:val="0"/>
          <w:sz w:val="21"/>
          <w:szCs w:val="21"/>
          <w:highlight w:val="none"/>
        </w:rPr>
        <w:t xml:space="preserve"> 建设用地土壤环境质量现状监测结果一览表   单位mg/kg</w:t>
      </w:r>
    </w:p>
    <w:tbl>
      <w:tblPr>
        <w:tblStyle w:val="56"/>
        <w:tblW w:w="4998" w:type="pct"/>
        <w:jc w:val="center"/>
        <w:tblLayout w:type="autofit"/>
        <w:tblCellMar>
          <w:top w:w="15" w:type="dxa"/>
          <w:left w:w="15" w:type="dxa"/>
          <w:bottom w:w="15" w:type="dxa"/>
          <w:right w:w="15" w:type="dxa"/>
        </w:tblCellMar>
      </w:tblPr>
      <w:tblGrid>
        <w:gridCol w:w="581"/>
        <w:gridCol w:w="2202"/>
        <w:gridCol w:w="3299"/>
        <w:gridCol w:w="1124"/>
        <w:gridCol w:w="1127"/>
      </w:tblGrid>
      <w:tr w14:paraId="154600D9">
        <w:tblPrEx>
          <w:tblCellMar>
            <w:top w:w="15" w:type="dxa"/>
            <w:left w:w="15" w:type="dxa"/>
            <w:bottom w:w="15" w:type="dxa"/>
            <w:right w:w="15" w:type="dxa"/>
          </w:tblCellMar>
        </w:tblPrEx>
        <w:trPr>
          <w:tblHeader/>
          <w:jc w:val="center"/>
        </w:trPr>
        <w:tc>
          <w:tcPr>
            <w:tcW w:w="349" w:type="pct"/>
            <w:vMerge w:val="restart"/>
            <w:tcBorders>
              <w:top w:val="single" w:color="auto" w:sz="4" w:space="0"/>
              <w:left w:val="single" w:color="auto" w:sz="4" w:space="0"/>
              <w:right w:val="single" w:color="auto" w:sz="4" w:space="0"/>
            </w:tcBorders>
            <w:vAlign w:val="center"/>
          </w:tcPr>
          <w:p w14:paraId="421BC3F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编号</w:t>
            </w:r>
          </w:p>
        </w:tc>
        <w:tc>
          <w:tcPr>
            <w:tcW w:w="1321" w:type="pct"/>
            <w:vMerge w:val="restart"/>
            <w:tcBorders>
              <w:top w:val="single" w:color="auto" w:sz="4" w:space="0"/>
              <w:left w:val="single" w:color="auto" w:sz="4" w:space="0"/>
              <w:right w:val="single" w:color="auto" w:sz="4" w:space="0"/>
            </w:tcBorders>
            <w:vAlign w:val="center"/>
          </w:tcPr>
          <w:p w14:paraId="507A1D2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监测因子</w:t>
            </w:r>
          </w:p>
        </w:tc>
        <w:tc>
          <w:tcPr>
            <w:tcW w:w="1979" w:type="pct"/>
            <w:tcBorders>
              <w:top w:val="single" w:color="auto" w:sz="4" w:space="0"/>
              <w:left w:val="single" w:color="auto" w:sz="4" w:space="0"/>
              <w:bottom w:val="single" w:color="auto" w:sz="4" w:space="0"/>
              <w:right w:val="single" w:color="auto" w:sz="4" w:space="0"/>
            </w:tcBorders>
            <w:vAlign w:val="center"/>
          </w:tcPr>
          <w:p w14:paraId="3B5E25C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标准值</w:t>
            </w:r>
          </w:p>
        </w:tc>
        <w:tc>
          <w:tcPr>
            <w:tcW w:w="1350" w:type="pct"/>
            <w:gridSpan w:val="2"/>
            <w:tcBorders>
              <w:top w:val="single" w:color="auto" w:sz="4" w:space="0"/>
              <w:left w:val="single" w:color="auto" w:sz="4" w:space="0"/>
              <w:bottom w:val="single" w:color="auto" w:sz="4" w:space="0"/>
              <w:right w:val="single" w:color="auto" w:sz="4" w:space="0"/>
            </w:tcBorders>
            <w:vAlign w:val="center"/>
          </w:tcPr>
          <w:p w14:paraId="5BCA7D5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T1</w:t>
            </w:r>
          </w:p>
        </w:tc>
      </w:tr>
      <w:tr w14:paraId="2137C04D">
        <w:tblPrEx>
          <w:tblCellMar>
            <w:top w:w="15" w:type="dxa"/>
            <w:left w:w="15" w:type="dxa"/>
            <w:bottom w:w="15" w:type="dxa"/>
            <w:right w:w="15" w:type="dxa"/>
          </w:tblCellMar>
        </w:tblPrEx>
        <w:trPr>
          <w:trHeight w:val="90" w:hRule="atLeast"/>
          <w:tblHeader/>
          <w:jc w:val="center"/>
        </w:trPr>
        <w:tc>
          <w:tcPr>
            <w:tcW w:w="349" w:type="pct"/>
            <w:vMerge w:val="continue"/>
            <w:tcBorders>
              <w:left w:val="single" w:color="auto" w:sz="4" w:space="0"/>
              <w:right w:val="single" w:color="auto" w:sz="4" w:space="0"/>
            </w:tcBorders>
            <w:vAlign w:val="center"/>
          </w:tcPr>
          <w:p w14:paraId="644AC2F6">
            <w:pPr>
              <w:pStyle w:val="768"/>
              <w:adjustRightInd w:val="0"/>
              <w:snapToGrid w:val="0"/>
              <w:rPr>
                <w:rFonts w:cs="Times New Roman"/>
                <w:snapToGrid w:val="0"/>
                <w:color w:val="auto"/>
                <w:kern w:val="0"/>
                <w:szCs w:val="21"/>
                <w:highlight w:val="none"/>
              </w:rPr>
            </w:pPr>
          </w:p>
        </w:tc>
        <w:tc>
          <w:tcPr>
            <w:tcW w:w="1321" w:type="pct"/>
            <w:vMerge w:val="continue"/>
            <w:tcBorders>
              <w:left w:val="single" w:color="auto" w:sz="4" w:space="0"/>
              <w:right w:val="single" w:color="auto" w:sz="4" w:space="0"/>
            </w:tcBorders>
            <w:vAlign w:val="center"/>
          </w:tcPr>
          <w:p w14:paraId="3AF2F58C">
            <w:pPr>
              <w:pStyle w:val="768"/>
              <w:adjustRightInd w:val="0"/>
              <w:snapToGrid w:val="0"/>
              <w:rPr>
                <w:rFonts w:cs="Times New Roman"/>
                <w:snapToGrid w:val="0"/>
                <w:color w:val="auto"/>
                <w:kern w:val="0"/>
                <w:szCs w:val="21"/>
                <w:highlight w:val="none"/>
              </w:rPr>
            </w:pPr>
          </w:p>
        </w:tc>
        <w:tc>
          <w:tcPr>
            <w:tcW w:w="1979" w:type="pct"/>
            <w:tcBorders>
              <w:top w:val="single" w:color="auto" w:sz="4" w:space="0"/>
              <w:left w:val="single" w:color="auto" w:sz="4" w:space="0"/>
              <w:right w:val="single" w:color="auto" w:sz="4" w:space="0"/>
            </w:tcBorders>
            <w:vAlign w:val="center"/>
          </w:tcPr>
          <w:p w14:paraId="72F00A8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建设用地第二类用地筛选值</w:t>
            </w:r>
          </w:p>
        </w:tc>
        <w:tc>
          <w:tcPr>
            <w:tcW w:w="674" w:type="pct"/>
            <w:tcBorders>
              <w:top w:val="single" w:color="auto" w:sz="4" w:space="0"/>
              <w:left w:val="single" w:color="auto" w:sz="4" w:space="0"/>
              <w:right w:val="single" w:color="auto" w:sz="4" w:space="0"/>
            </w:tcBorders>
            <w:vAlign w:val="center"/>
          </w:tcPr>
          <w:p w14:paraId="10FFF18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监测结果</w:t>
            </w:r>
          </w:p>
        </w:tc>
        <w:tc>
          <w:tcPr>
            <w:tcW w:w="675" w:type="pct"/>
            <w:tcBorders>
              <w:top w:val="single" w:color="auto" w:sz="4" w:space="0"/>
              <w:left w:val="single" w:color="auto" w:sz="4" w:space="0"/>
              <w:bottom w:val="single" w:color="auto" w:sz="4" w:space="0"/>
              <w:right w:val="single" w:color="auto" w:sz="4" w:space="0"/>
            </w:tcBorders>
            <w:vAlign w:val="center"/>
          </w:tcPr>
          <w:p w14:paraId="45C3292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评价结果</w:t>
            </w:r>
          </w:p>
        </w:tc>
      </w:tr>
      <w:tr w14:paraId="72D1E9B0">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E3DAB0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w:t>
            </w:r>
          </w:p>
        </w:tc>
        <w:tc>
          <w:tcPr>
            <w:tcW w:w="1321" w:type="pct"/>
            <w:tcBorders>
              <w:top w:val="single" w:color="auto" w:sz="4" w:space="0"/>
              <w:left w:val="single" w:color="auto" w:sz="4" w:space="0"/>
              <w:bottom w:val="single" w:color="auto" w:sz="4" w:space="0"/>
              <w:right w:val="single" w:color="auto" w:sz="4" w:space="0"/>
            </w:tcBorders>
            <w:vAlign w:val="center"/>
          </w:tcPr>
          <w:p w14:paraId="605BFFD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pH值</w:t>
            </w:r>
          </w:p>
        </w:tc>
        <w:tc>
          <w:tcPr>
            <w:tcW w:w="1979" w:type="pct"/>
            <w:tcBorders>
              <w:top w:val="single" w:color="auto" w:sz="4" w:space="0"/>
              <w:left w:val="single" w:color="auto" w:sz="4" w:space="0"/>
              <w:bottom w:val="single" w:color="auto" w:sz="4" w:space="0"/>
              <w:right w:val="single" w:color="auto" w:sz="4" w:space="0"/>
            </w:tcBorders>
            <w:vAlign w:val="center"/>
          </w:tcPr>
          <w:p w14:paraId="4F834EF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w:t>
            </w:r>
          </w:p>
        </w:tc>
        <w:tc>
          <w:tcPr>
            <w:tcW w:w="674" w:type="pct"/>
            <w:tcBorders>
              <w:top w:val="single" w:color="auto" w:sz="4" w:space="0"/>
              <w:left w:val="single" w:color="auto" w:sz="4" w:space="0"/>
              <w:bottom w:val="single" w:color="auto" w:sz="4" w:space="0"/>
              <w:right w:val="single" w:color="auto" w:sz="4" w:space="0"/>
            </w:tcBorders>
            <w:vAlign w:val="center"/>
          </w:tcPr>
          <w:p w14:paraId="57AE4126">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8.32</w:t>
            </w:r>
          </w:p>
        </w:tc>
        <w:tc>
          <w:tcPr>
            <w:tcW w:w="675" w:type="pct"/>
            <w:tcBorders>
              <w:top w:val="single" w:color="auto" w:sz="4" w:space="0"/>
              <w:left w:val="single" w:color="auto" w:sz="4" w:space="0"/>
              <w:bottom w:val="single" w:color="auto" w:sz="4" w:space="0"/>
              <w:right w:val="single" w:color="auto" w:sz="4" w:space="0"/>
            </w:tcBorders>
            <w:vAlign w:val="center"/>
          </w:tcPr>
          <w:p w14:paraId="29B0BFA9">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w:t>
            </w:r>
          </w:p>
        </w:tc>
      </w:tr>
      <w:tr w14:paraId="6DE67E6B">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6C5DA8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w:t>
            </w:r>
          </w:p>
        </w:tc>
        <w:tc>
          <w:tcPr>
            <w:tcW w:w="1321" w:type="pct"/>
            <w:tcBorders>
              <w:top w:val="single" w:color="auto" w:sz="4" w:space="0"/>
              <w:left w:val="single" w:color="auto" w:sz="4" w:space="0"/>
              <w:bottom w:val="single" w:color="auto" w:sz="4" w:space="0"/>
              <w:right w:val="single" w:color="auto" w:sz="4" w:space="0"/>
            </w:tcBorders>
            <w:vAlign w:val="center"/>
          </w:tcPr>
          <w:p w14:paraId="424CE40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石油烃（C</w:t>
            </w:r>
            <w:r>
              <w:rPr>
                <w:rFonts w:hint="eastAsia" w:cs="Times New Roman"/>
                <w:snapToGrid w:val="0"/>
                <w:color w:val="auto"/>
                <w:kern w:val="0"/>
                <w:szCs w:val="21"/>
                <w:highlight w:val="none"/>
                <w:vertAlign w:val="subscript"/>
              </w:rPr>
              <w:t>10</w:t>
            </w:r>
            <w:r>
              <w:rPr>
                <w:rFonts w:hint="eastAsia" w:cs="Times New Roman"/>
                <w:snapToGrid w:val="0"/>
                <w:color w:val="auto"/>
                <w:kern w:val="0"/>
                <w:szCs w:val="21"/>
                <w:highlight w:val="none"/>
              </w:rPr>
              <w:t>-C</w:t>
            </w:r>
            <w:r>
              <w:rPr>
                <w:rFonts w:hint="eastAsia" w:cs="Times New Roman"/>
                <w:snapToGrid w:val="0"/>
                <w:color w:val="auto"/>
                <w:kern w:val="0"/>
                <w:szCs w:val="21"/>
                <w:highlight w:val="none"/>
                <w:vertAlign w:val="subscript"/>
              </w:rPr>
              <w:t>40</w:t>
            </w:r>
            <w:r>
              <w:rPr>
                <w:rFonts w:hint="eastAsia" w:cs="Times New Roman"/>
                <w:snapToGrid w:val="0"/>
                <w:color w:val="auto"/>
                <w:kern w:val="0"/>
                <w:szCs w:val="21"/>
                <w:highlight w:val="none"/>
              </w:rPr>
              <w:t>）</w:t>
            </w:r>
          </w:p>
        </w:tc>
        <w:tc>
          <w:tcPr>
            <w:tcW w:w="1979" w:type="pct"/>
            <w:tcBorders>
              <w:top w:val="single" w:color="auto" w:sz="4" w:space="0"/>
              <w:left w:val="single" w:color="auto" w:sz="4" w:space="0"/>
              <w:bottom w:val="single" w:color="auto" w:sz="4" w:space="0"/>
              <w:right w:val="single" w:color="auto" w:sz="4" w:space="0"/>
            </w:tcBorders>
            <w:vAlign w:val="center"/>
          </w:tcPr>
          <w:p w14:paraId="0500DC5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4500</w:t>
            </w:r>
          </w:p>
        </w:tc>
        <w:tc>
          <w:tcPr>
            <w:tcW w:w="674" w:type="pct"/>
            <w:tcBorders>
              <w:top w:val="single" w:color="auto" w:sz="4" w:space="0"/>
              <w:left w:val="single" w:color="auto" w:sz="4" w:space="0"/>
              <w:bottom w:val="single" w:color="auto" w:sz="4" w:space="0"/>
              <w:right w:val="single" w:color="auto" w:sz="4" w:space="0"/>
            </w:tcBorders>
            <w:vAlign w:val="center"/>
          </w:tcPr>
          <w:p w14:paraId="32A115A4">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27</w:t>
            </w:r>
          </w:p>
        </w:tc>
        <w:tc>
          <w:tcPr>
            <w:tcW w:w="675" w:type="pct"/>
            <w:tcBorders>
              <w:top w:val="single" w:color="auto" w:sz="4" w:space="0"/>
              <w:left w:val="single" w:color="auto" w:sz="4" w:space="0"/>
              <w:bottom w:val="single" w:color="auto" w:sz="4" w:space="0"/>
              <w:right w:val="single" w:color="auto" w:sz="4" w:space="0"/>
            </w:tcBorders>
            <w:vAlign w:val="center"/>
          </w:tcPr>
          <w:p w14:paraId="6F256E16">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0.006</w:t>
            </w:r>
          </w:p>
        </w:tc>
      </w:tr>
      <w:tr w14:paraId="7F998B33">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6A60EB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w:t>
            </w:r>
          </w:p>
        </w:tc>
        <w:tc>
          <w:tcPr>
            <w:tcW w:w="1321" w:type="pct"/>
            <w:tcBorders>
              <w:top w:val="single" w:color="auto" w:sz="4" w:space="0"/>
              <w:left w:val="single" w:color="auto" w:sz="4" w:space="0"/>
              <w:bottom w:val="single" w:color="auto" w:sz="4" w:space="0"/>
              <w:right w:val="single" w:color="auto" w:sz="4" w:space="0"/>
            </w:tcBorders>
            <w:vAlign w:val="center"/>
          </w:tcPr>
          <w:p w14:paraId="1A0DE006">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氯乙烯</w:t>
            </w:r>
          </w:p>
        </w:tc>
        <w:tc>
          <w:tcPr>
            <w:tcW w:w="1979" w:type="pct"/>
            <w:tcBorders>
              <w:top w:val="single" w:color="auto" w:sz="4" w:space="0"/>
              <w:left w:val="single" w:color="auto" w:sz="4" w:space="0"/>
              <w:bottom w:val="single" w:color="auto" w:sz="4" w:space="0"/>
              <w:right w:val="single" w:color="auto" w:sz="4" w:space="0"/>
            </w:tcBorders>
            <w:vAlign w:val="center"/>
          </w:tcPr>
          <w:p w14:paraId="641D9AB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0.43</w:t>
            </w:r>
          </w:p>
        </w:tc>
        <w:tc>
          <w:tcPr>
            <w:tcW w:w="674" w:type="pct"/>
            <w:tcBorders>
              <w:top w:val="single" w:color="auto" w:sz="4" w:space="0"/>
              <w:left w:val="single" w:color="auto" w:sz="4" w:space="0"/>
              <w:bottom w:val="single" w:color="auto" w:sz="4" w:space="0"/>
              <w:right w:val="single" w:color="auto" w:sz="4" w:space="0"/>
            </w:tcBorders>
            <w:vAlign w:val="center"/>
          </w:tcPr>
          <w:p w14:paraId="21A8DF89">
            <w:pPr>
              <w:pStyle w:val="768"/>
              <w:adjustRightInd w:val="0"/>
              <w:snapToGrid w:val="0"/>
              <w:rPr>
                <w:rFonts w:hint="eastAsia"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未检出</w:t>
            </w:r>
          </w:p>
        </w:tc>
        <w:tc>
          <w:tcPr>
            <w:tcW w:w="675" w:type="pct"/>
            <w:tcBorders>
              <w:top w:val="single" w:color="auto" w:sz="4" w:space="0"/>
              <w:left w:val="single" w:color="auto" w:sz="4" w:space="0"/>
              <w:bottom w:val="single" w:color="auto" w:sz="4" w:space="0"/>
              <w:right w:val="single" w:color="auto" w:sz="4" w:space="0"/>
            </w:tcBorders>
            <w:vAlign w:val="center"/>
          </w:tcPr>
          <w:p w14:paraId="0AD9EE7F">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w:t>
            </w:r>
          </w:p>
        </w:tc>
      </w:tr>
      <w:tr w14:paraId="37FE5AAF">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1EA9B41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w:t>
            </w:r>
          </w:p>
        </w:tc>
        <w:tc>
          <w:tcPr>
            <w:tcW w:w="1321" w:type="pct"/>
            <w:tcBorders>
              <w:top w:val="single" w:color="auto" w:sz="4" w:space="0"/>
              <w:left w:val="single" w:color="auto" w:sz="4" w:space="0"/>
              <w:bottom w:val="single" w:color="auto" w:sz="4" w:space="0"/>
              <w:right w:val="single" w:color="auto" w:sz="4" w:space="0"/>
            </w:tcBorders>
            <w:vAlign w:val="center"/>
          </w:tcPr>
          <w:p w14:paraId="36444C17">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1,1-二氯乙烯</w:t>
            </w:r>
          </w:p>
        </w:tc>
        <w:tc>
          <w:tcPr>
            <w:tcW w:w="1979" w:type="pct"/>
            <w:tcBorders>
              <w:top w:val="single" w:color="auto" w:sz="4" w:space="0"/>
              <w:left w:val="single" w:color="auto" w:sz="4" w:space="0"/>
              <w:bottom w:val="single" w:color="auto" w:sz="4" w:space="0"/>
              <w:right w:val="single" w:color="auto" w:sz="4" w:space="0"/>
            </w:tcBorders>
            <w:vAlign w:val="center"/>
          </w:tcPr>
          <w:p w14:paraId="5D18370A">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66</w:t>
            </w:r>
          </w:p>
        </w:tc>
        <w:tc>
          <w:tcPr>
            <w:tcW w:w="1112" w:type="dxa"/>
            <w:tcBorders>
              <w:top w:val="single" w:color="auto" w:sz="4" w:space="0"/>
              <w:left w:val="single" w:color="auto" w:sz="4" w:space="0"/>
              <w:bottom w:val="single" w:color="auto" w:sz="4" w:space="0"/>
              <w:right w:val="single" w:color="auto" w:sz="4" w:space="0"/>
            </w:tcBorders>
            <w:vAlign w:val="center"/>
          </w:tcPr>
          <w:p w14:paraId="1D752B1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76EFEA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7FF17A10">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F79C84E">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w:t>
            </w:r>
          </w:p>
        </w:tc>
        <w:tc>
          <w:tcPr>
            <w:tcW w:w="1321" w:type="pct"/>
            <w:tcBorders>
              <w:top w:val="single" w:color="auto" w:sz="4" w:space="0"/>
              <w:left w:val="single" w:color="auto" w:sz="4" w:space="0"/>
              <w:bottom w:val="single" w:color="auto" w:sz="4" w:space="0"/>
              <w:right w:val="single" w:color="auto" w:sz="4" w:space="0"/>
            </w:tcBorders>
            <w:vAlign w:val="center"/>
          </w:tcPr>
          <w:p w14:paraId="1780B86C">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二氯甲烷</w:t>
            </w:r>
          </w:p>
        </w:tc>
        <w:tc>
          <w:tcPr>
            <w:tcW w:w="1979" w:type="pct"/>
            <w:tcBorders>
              <w:top w:val="single" w:color="auto" w:sz="4" w:space="0"/>
              <w:left w:val="single" w:color="auto" w:sz="4" w:space="0"/>
              <w:bottom w:val="single" w:color="auto" w:sz="4" w:space="0"/>
              <w:right w:val="single" w:color="auto" w:sz="4" w:space="0"/>
            </w:tcBorders>
            <w:vAlign w:val="center"/>
          </w:tcPr>
          <w:p w14:paraId="0C0BF23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616</w:t>
            </w:r>
          </w:p>
        </w:tc>
        <w:tc>
          <w:tcPr>
            <w:tcW w:w="1112" w:type="dxa"/>
            <w:tcBorders>
              <w:top w:val="single" w:color="auto" w:sz="4" w:space="0"/>
              <w:left w:val="single" w:color="auto" w:sz="4" w:space="0"/>
              <w:bottom w:val="single" w:color="auto" w:sz="4" w:space="0"/>
              <w:right w:val="single" w:color="auto" w:sz="4" w:space="0"/>
            </w:tcBorders>
            <w:vAlign w:val="center"/>
          </w:tcPr>
          <w:p w14:paraId="54D5B74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25D6DA0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4CB81FD7">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2FBA674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w:t>
            </w:r>
          </w:p>
        </w:tc>
        <w:tc>
          <w:tcPr>
            <w:tcW w:w="1321" w:type="pct"/>
            <w:tcBorders>
              <w:top w:val="single" w:color="auto" w:sz="4" w:space="0"/>
              <w:left w:val="single" w:color="auto" w:sz="4" w:space="0"/>
              <w:bottom w:val="single" w:color="auto" w:sz="4" w:space="0"/>
              <w:right w:val="single" w:color="auto" w:sz="4" w:space="0"/>
            </w:tcBorders>
            <w:vAlign w:val="center"/>
          </w:tcPr>
          <w:p w14:paraId="6A41D9AA">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反-1,2-二氯乙烯</w:t>
            </w:r>
          </w:p>
        </w:tc>
        <w:tc>
          <w:tcPr>
            <w:tcW w:w="1979" w:type="pct"/>
            <w:tcBorders>
              <w:top w:val="single" w:color="auto" w:sz="4" w:space="0"/>
              <w:left w:val="single" w:color="auto" w:sz="4" w:space="0"/>
              <w:bottom w:val="single" w:color="auto" w:sz="4" w:space="0"/>
              <w:right w:val="single" w:color="auto" w:sz="4" w:space="0"/>
            </w:tcBorders>
            <w:vAlign w:val="center"/>
          </w:tcPr>
          <w:p w14:paraId="3B9D9B1E">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54</w:t>
            </w:r>
          </w:p>
        </w:tc>
        <w:tc>
          <w:tcPr>
            <w:tcW w:w="1112" w:type="dxa"/>
            <w:tcBorders>
              <w:top w:val="single" w:color="auto" w:sz="4" w:space="0"/>
              <w:left w:val="single" w:color="auto" w:sz="4" w:space="0"/>
              <w:bottom w:val="single" w:color="auto" w:sz="4" w:space="0"/>
              <w:right w:val="single" w:color="auto" w:sz="4" w:space="0"/>
            </w:tcBorders>
            <w:vAlign w:val="center"/>
          </w:tcPr>
          <w:p w14:paraId="603F5FA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E2301F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4603DF9">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192B61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7</w:t>
            </w:r>
          </w:p>
        </w:tc>
        <w:tc>
          <w:tcPr>
            <w:tcW w:w="1321" w:type="pct"/>
            <w:tcBorders>
              <w:top w:val="single" w:color="auto" w:sz="4" w:space="0"/>
              <w:left w:val="single" w:color="auto" w:sz="4" w:space="0"/>
              <w:bottom w:val="single" w:color="auto" w:sz="4" w:space="0"/>
              <w:right w:val="single" w:color="auto" w:sz="4" w:space="0"/>
            </w:tcBorders>
            <w:vAlign w:val="center"/>
          </w:tcPr>
          <w:p w14:paraId="10CB4A45">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1,1-二氯乙烷</w:t>
            </w:r>
          </w:p>
        </w:tc>
        <w:tc>
          <w:tcPr>
            <w:tcW w:w="1979" w:type="pct"/>
            <w:tcBorders>
              <w:top w:val="single" w:color="auto" w:sz="4" w:space="0"/>
              <w:left w:val="single" w:color="auto" w:sz="4" w:space="0"/>
              <w:bottom w:val="single" w:color="auto" w:sz="4" w:space="0"/>
              <w:right w:val="single" w:color="auto" w:sz="4" w:space="0"/>
            </w:tcBorders>
            <w:vAlign w:val="center"/>
          </w:tcPr>
          <w:p w14:paraId="631BB47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9</w:t>
            </w:r>
          </w:p>
        </w:tc>
        <w:tc>
          <w:tcPr>
            <w:tcW w:w="1112" w:type="dxa"/>
            <w:tcBorders>
              <w:top w:val="single" w:color="auto" w:sz="4" w:space="0"/>
              <w:left w:val="single" w:color="auto" w:sz="4" w:space="0"/>
              <w:bottom w:val="single" w:color="auto" w:sz="4" w:space="0"/>
              <w:right w:val="single" w:color="auto" w:sz="4" w:space="0"/>
            </w:tcBorders>
            <w:vAlign w:val="center"/>
          </w:tcPr>
          <w:p w14:paraId="78D248B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54A722E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0B44CF76">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7C4965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8</w:t>
            </w:r>
          </w:p>
        </w:tc>
        <w:tc>
          <w:tcPr>
            <w:tcW w:w="1321" w:type="pct"/>
            <w:tcBorders>
              <w:top w:val="single" w:color="auto" w:sz="4" w:space="0"/>
              <w:left w:val="single" w:color="auto" w:sz="4" w:space="0"/>
              <w:bottom w:val="single" w:color="auto" w:sz="4" w:space="0"/>
              <w:right w:val="single" w:color="auto" w:sz="4" w:space="0"/>
            </w:tcBorders>
            <w:vAlign w:val="center"/>
          </w:tcPr>
          <w:p w14:paraId="445927B1">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顺-1,2-二氯乙烯</w:t>
            </w:r>
          </w:p>
        </w:tc>
        <w:tc>
          <w:tcPr>
            <w:tcW w:w="1979" w:type="pct"/>
            <w:tcBorders>
              <w:top w:val="single" w:color="auto" w:sz="4" w:space="0"/>
              <w:left w:val="single" w:color="auto" w:sz="4" w:space="0"/>
              <w:bottom w:val="single" w:color="auto" w:sz="4" w:space="0"/>
              <w:right w:val="single" w:color="auto" w:sz="4" w:space="0"/>
            </w:tcBorders>
            <w:vAlign w:val="center"/>
          </w:tcPr>
          <w:p w14:paraId="2028AE2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596</w:t>
            </w:r>
          </w:p>
        </w:tc>
        <w:tc>
          <w:tcPr>
            <w:tcW w:w="1112" w:type="dxa"/>
            <w:tcBorders>
              <w:top w:val="single" w:color="auto" w:sz="4" w:space="0"/>
              <w:left w:val="single" w:color="auto" w:sz="4" w:space="0"/>
              <w:bottom w:val="single" w:color="auto" w:sz="4" w:space="0"/>
              <w:right w:val="single" w:color="auto" w:sz="4" w:space="0"/>
            </w:tcBorders>
            <w:vAlign w:val="center"/>
          </w:tcPr>
          <w:p w14:paraId="6487CC4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0B27BC6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5D35C7A6">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D2AFBE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9</w:t>
            </w:r>
          </w:p>
        </w:tc>
        <w:tc>
          <w:tcPr>
            <w:tcW w:w="1321" w:type="pct"/>
            <w:tcBorders>
              <w:top w:val="single" w:color="auto" w:sz="4" w:space="0"/>
              <w:left w:val="single" w:color="auto" w:sz="4" w:space="0"/>
              <w:bottom w:val="single" w:color="auto" w:sz="4" w:space="0"/>
              <w:right w:val="single" w:color="auto" w:sz="4" w:space="0"/>
            </w:tcBorders>
            <w:vAlign w:val="center"/>
          </w:tcPr>
          <w:p w14:paraId="3B728EBF">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氯仿</w:t>
            </w:r>
          </w:p>
        </w:tc>
        <w:tc>
          <w:tcPr>
            <w:tcW w:w="1979" w:type="pct"/>
            <w:tcBorders>
              <w:top w:val="single" w:color="auto" w:sz="4" w:space="0"/>
              <w:left w:val="single" w:color="auto" w:sz="4" w:space="0"/>
              <w:bottom w:val="single" w:color="auto" w:sz="4" w:space="0"/>
              <w:right w:val="single" w:color="auto" w:sz="4" w:space="0"/>
            </w:tcBorders>
            <w:vAlign w:val="center"/>
          </w:tcPr>
          <w:p w14:paraId="3673F83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0.9</w:t>
            </w:r>
          </w:p>
        </w:tc>
        <w:tc>
          <w:tcPr>
            <w:tcW w:w="1112" w:type="dxa"/>
            <w:tcBorders>
              <w:top w:val="single" w:color="auto" w:sz="4" w:space="0"/>
              <w:left w:val="single" w:color="auto" w:sz="4" w:space="0"/>
              <w:bottom w:val="single" w:color="auto" w:sz="4" w:space="0"/>
              <w:right w:val="single" w:color="auto" w:sz="4" w:space="0"/>
            </w:tcBorders>
            <w:vAlign w:val="center"/>
          </w:tcPr>
          <w:p w14:paraId="67BE62E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2E73F3F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617E0C7F">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BC72F6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10</w:t>
            </w:r>
          </w:p>
        </w:tc>
        <w:tc>
          <w:tcPr>
            <w:tcW w:w="1321" w:type="pct"/>
            <w:tcBorders>
              <w:top w:val="single" w:color="auto" w:sz="4" w:space="0"/>
              <w:left w:val="single" w:color="auto" w:sz="4" w:space="0"/>
              <w:bottom w:val="single" w:color="auto" w:sz="4" w:space="0"/>
              <w:right w:val="single" w:color="auto" w:sz="4" w:space="0"/>
            </w:tcBorders>
            <w:vAlign w:val="center"/>
          </w:tcPr>
          <w:p w14:paraId="5F8FBEF4">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1,1,1-三氯乙烷</w:t>
            </w:r>
          </w:p>
        </w:tc>
        <w:tc>
          <w:tcPr>
            <w:tcW w:w="1979" w:type="pct"/>
            <w:tcBorders>
              <w:top w:val="single" w:color="auto" w:sz="4" w:space="0"/>
              <w:left w:val="single" w:color="auto" w:sz="4" w:space="0"/>
              <w:bottom w:val="single" w:color="auto" w:sz="4" w:space="0"/>
              <w:right w:val="single" w:color="auto" w:sz="4" w:space="0"/>
            </w:tcBorders>
            <w:vAlign w:val="center"/>
          </w:tcPr>
          <w:p w14:paraId="7A96D89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840</w:t>
            </w:r>
          </w:p>
        </w:tc>
        <w:tc>
          <w:tcPr>
            <w:tcW w:w="1112" w:type="dxa"/>
            <w:tcBorders>
              <w:top w:val="single" w:color="auto" w:sz="4" w:space="0"/>
              <w:left w:val="single" w:color="auto" w:sz="4" w:space="0"/>
              <w:bottom w:val="single" w:color="auto" w:sz="4" w:space="0"/>
              <w:right w:val="single" w:color="auto" w:sz="4" w:space="0"/>
            </w:tcBorders>
            <w:vAlign w:val="center"/>
          </w:tcPr>
          <w:p w14:paraId="381050E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4501E53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42BB47F">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A62DF9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11</w:t>
            </w:r>
          </w:p>
        </w:tc>
        <w:tc>
          <w:tcPr>
            <w:tcW w:w="1321" w:type="pct"/>
            <w:tcBorders>
              <w:top w:val="single" w:color="auto" w:sz="4" w:space="0"/>
              <w:left w:val="single" w:color="auto" w:sz="4" w:space="0"/>
              <w:bottom w:val="single" w:color="auto" w:sz="4" w:space="0"/>
              <w:right w:val="single" w:color="auto" w:sz="4" w:space="0"/>
            </w:tcBorders>
            <w:vAlign w:val="center"/>
          </w:tcPr>
          <w:p w14:paraId="4CE56227">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四氯化碳</w:t>
            </w:r>
          </w:p>
        </w:tc>
        <w:tc>
          <w:tcPr>
            <w:tcW w:w="1979" w:type="pct"/>
            <w:tcBorders>
              <w:top w:val="single" w:color="auto" w:sz="4" w:space="0"/>
              <w:left w:val="single" w:color="auto" w:sz="4" w:space="0"/>
              <w:bottom w:val="single" w:color="auto" w:sz="4" w:space="0"/>
              <w:right w:val="single" w:color="auto" w:sz="4" w:space="0"/>
            </w:tcBorders>
            <w:vAlign w:val="center"/>
          </w:tcPr>
          <w:p w14:paraId="559F0F6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2.8</w:t>
            </w:r>
          </w:p>
        </w:tc>
        <w:tc>
          <w:tcPr>
            <w:tcW w:w="1112" w:type="dxa"/>
            <w:tcBorders>
              <w:top w:val="single" w:color="auto" w:sz="4" w:space="0"/>
              <w:left w:val="single" w:color="auto" w:sz="4" w:space="0"/>
              <w:bottom w:val="single" w:color="auto" w:sz="4" w:space="0"/>
              <w:right w:val="single" w:color="auto" w:sz="4" w:space="0"/>
            </w:tcBorders>
            <w:vAlign w:val="center"/>
          </w:tcPr>
          <w:p w14:paraId="0FD9967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5EE6A1F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0EABEE0C">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BBF686E">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12</w:t>
            </w:r>
          </w:p>
        </w:tc>
        <w:tc>
          <w:tcPr>
            <w:tcW w:w="1321" w:type="pct"/>
            <w:tcBorders>
              <w:top w:val="single" w:color="auto" w:sz="4" w:space="0"/>
              <w:left w:val="single" w:color="auto" w:sz="4" w:space="0"/>
              <w:bottom w:val="single" w:color="auto" w:sz="4" w:space="0"/>
              <w:right w:val="single" w:color="auto" w:sz="4" w:space="0"/>
            </w:tcBorders>
            <w:vAlign w:val="center"/>
          </w:tcPr>
          <w:p w14:paraId="7EFE463C">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 xml:space="preserve">1,2-二氯乙烷 </w:t>
            </w:r>
          </w:p>
        </w:tc>
        <w:tc>
          <w:tcPr>
            <w:tcW w:w="1979" w:type="pct"/>
            <w:tcBorders>
              <w:top w:val="single" w:color="auto" w:sz="4" w:space="0"/>
              <w:left w:val="single" w:color="auto" w:sz="4" w:space="0"/>
              <w:bottom w:val="single" w:color="auto" w:sz="4" w:space="0"/>
              <w:right w:val="single" w:color="auto" w:sz="4" w:space="0"/>
            </w:tcBorders>
            <w:vAlign w:val="center"/>
          </w:tcPr>
          <w:p w14:paraId="512FB89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w:t>
            </w:r>
          </w:p>
        </w:tc>
        <w:tc>
          <w:tcPr>
            <w:tcW w:w="1112" w:type="dxa"/>
            <w:tcBorders>
              <w:top w:val="single" w:color="auto" w:sz="4" w:space="0"/>
              <w:left w:val="single" w:color="auto" w:sz="4" w:space="0"/>
              <w:bottom w:val="single" w:color="auto" w:sz="4" w:space="0"/>
              <w:right w:val="single" w:color="auto" w:sz="4" w:space="0"/>
            </w:tcBorders>
            <w:vAlign w:val="center"/>
          </w:tcPr>
          <w:p w14:paraId="2A3A6E5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417F258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3CE10C76">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9E1405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13</w:t>
            </w:r>
          </w:p>
        </w:tc>
        <w:tc>
          <w:tcPr>
            <w:tcW w:w="1321" w:type="pct"/>
            <w:tcBorders>
              <w:top w:val="single" w:color="auto" w:sz="4" w:space="0"/>
              <w:left w:val="single" w:color="auto" w:sz="4" w:space="0"/>
              <w:bottom w:val="single" w:color="auto" w:sz="4" w:space="0"/>
              <w:right w:val="single" w:color="auto" w:sz="4" w:space="0"/>
            </w:tcBorders>
            <w:vAlign w:val="center"/>
          </w:tcPr>
          <w:p w14:paraId="1FE51E18">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苯</w:t>
            </w:r>
          </w:p>
        </w:tc>
        <w:tc>
          <w:tcPr>
            <w:tcW w:w="1979" w:type="pct"/>
            <w:tcBorders>
              <w:top w:val="single" w:color="auto" w:sz="4" w:space="0"/>
              <w:left w:val="single" w:color="auto" w:sz="4" w:space="0"/>
              <w:bottom w:val="single" w:color="auto" w:sz="4" w:space="0"/>
              <w:right w:val="single" w:color="auto" w:sz="4" w:space="0"/>
            </w:tcBorders>
            <w:vAlign w:val="center"/>
          </w:tcPr>
          <w:p w14:paraId="0E300D7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w:t>
            </w:r>
          </w:p>
        </w:tc>
        <w:tc>
          <w:tcPr>
            <w:tcW w:w="1112" w:type="dxa"/>
            <w:tcBorders>
              <w:top w:val="single" w:color="auto" w:sz="4" w:space="0"/>
              <w:left w:val="single" w:color="auto" w:sz="4" w:space="0"/>
              <w:bottom w:val="single" w:color="auto" w:sz="4" w:space="0"/>
              <w:right w:val="single" w:color="auto" w:sz="4" w:space="0"/>
            </w:tcBorders>
            <w:vAlign w:val="center"/>
          </w:tcPr>
          <w:p w14:paraId="3EDEBBB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B2F821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6E315651">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B3DE62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14</w:t>
            </w:r>
          </w:p>
        </w:tc>
        <w:tc>
          <w:tcPr>
            <w:tcW w:w="1321" w:type="pct"/>
            <w:tcBorders>
              <w:top w:val="single" w:color="auto" w:sz="4" w:space="0"/>
              <w:left w:val="single" w:color="auto" w:sz="4" w:space="0"/>
              <w:bottom w:val="single" w:color="auto" w:sz="4" w:space="0"/>
              <w:right w:val="single" w:color="auto" w:sz="4" w:space="0"/>
            </w:tcBorders>
            <w:vAlign w:val="center"/>
          </w:tcPr>
          <w:p w14:paraId="00B6F5EE">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三氯乙烯</w:t>
            </w:r>
          </w:p>
        </w:tc>
        <w:tc>
          <w:tcPr>
            <w:tcW w:w="1979" w:type="pct"/>
            <w:tcBorders>
              <w:top w:val="single" w:color="auto" w:sz="4" w:space="0"/>
              <w:left w:val="single" w:color="auto" w:sz="4" w:space="0"/>
              <w:bottom w:val="single" w:color="auto" w:sz="4" w:space="0"/>
              <w:right w:val="single" w:color="auto" w:sz="4" w:space="0"/>
            </w:tcBorders>
            <w:vAlign w:val="center"/>
          </w:tcPr>
          <w:p w14:paraId="00C11E4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2.8</w:t>
            </w:r>
          </w:p>
        </w:tc>
        <w:tc>
          <w:tcPr>
            <w:tcW w:w="1112" w:type="dxa"/>
            <w:tcBorders>
              <w:top w:val="single" w:color="auto" w:sz="4" w:space="0"/>
              <w:left w:val="single" w:color="auto" w:sz="4" w:space="0"/>
              <w:bottom w:val="single" w:color="auto" w:sz="4" w:space="0"/>
              <w:right w:val="single" w:color="auto" w:sz="4" w:space="0"/>
            </w:tcBorders>
            <w:vAlign w:val="center"/>
          </w:tcPr>
          <w:p w14:paraId="0694450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077D2C3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C3B2A38">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9D2332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w:t>
            </w:r>
          </w:p>
        </w:tc>
        <w:tc>
          <w:tcPr>
            <w:tcW w:w="1321" w:type="pct"/>
            <w:tcBorders>
              <w:top w:val="single" w:color="auto" w:sz="4" w:space="0"/>
              <w:left w:val="single" w:color="auto" w:sz="4" w:space="0"/>
              <w:bottom w:val="single" w:color="auto" w:sz="4" w:space="0"/>
              <w:right w:val="single" w:color="auto" w:sz="4" w:space="0"/>
            </w:tcBorders>
            <w:vAlign w:val="center"/>
          </w:tcPr>
          <w:p w14:paraId="7C7CFE74">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1,2-二氯丙烷</w:t>
            </w:r>
          </w:p>
        </w:tc>
        <w:tc>
          <w:tcPr>
            <w:tcW w:w="1979" w:type="pct"/>
            <w:tcBorders>
              <w:top w:val="single" w:color="auto" w:sz="4" w:space="0"/>
              <w:left w:val="single" w:color="auto" w:sz="4" w:space="0"/>
              <w:bottom w:val="single" w:color="auto" w:sz="4" w:space="0"/>
              <w:right w:val="single" w:color="auto" w:sz="4" w:space="0"/>
            </w:tcBorders>
            <w:vAlign w:val="center"/>
          </w:tcPr>
          <w:p w14:paraId="3B47234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w:t>
            </w:r>
          </w:p>
        </w:tc>
        <w:tc>
          <w:tcPr>
            <w:tcW w:w="1112" w:type="dxa"/>
            <w:tcBorders>
              <w:top w:val="single" w:color="auto" w:sz="4" w:space="0"/>
              <w:left w:val="single" w:color="auto" w:sz="4" w:space="0"/>
              <w:bottom w:val="single" w:color="auto" w:sz="4" w:space="0"/>
              <w:right w:val="single" w:color="auto" w:sz="4" w:space="0"/>
            </w:tcBorders>
            <w:vAlign w:val="center"/>
          </w:tcPr>
          <w:p w14:paraId="5960EFC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22FCD1A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0C213993">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21AA65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16</w:t>
            </w:r>
          </w:p>
        </w:tc>
        <w:tc>
          <w:tcPr>
            <w:tcW w:w="1321" w:type="pct"/>
            <w:tcBorders>
              <w:top w:val="single" w:color="auto" w:sz="4" w:space="0"/>
              <w:left w:val="single" w:color="auto" w:sz="4" w:space="0"/>
              <w:bottom w:val="single" w:color="auto" w:sz="4" w:space="0"/>
              <w:right w:val="single" w:color="auto" w:sz="4" w:space="0"/>
            </w:tcBorders>
            <w:vAlign w:val="center"/>
          </w:tcPr>
          <w:p w14:paraId="729059CB">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 xml:space="preserve">甲苯 </w:t>
            </w:r>
          </w:p>
        </w:tc>
        <w:tc>
          <w:tcPr>
            <w:tcW w:w="1979" w:type="pct"/>
            <w:tcBorders>
              <w:top w:val="single" w:color="auto" w:sz="4" w:space="0"/>
              <w:left w:val="single" w:color="auto" w:sz="4" w:space="0"/>
              <w:bottom w:val="single" w:color="auto" w:sz="4" w:space="0"/>
              <w:right w:val="single" w:color="auto" w:sz="4" w:space="0"/>
            </w:tcBorders>
            <w:vAlign w:val="center"/>
          </w:tcPr>
          <w:p w14:paraId="5981EE5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1200</w:t>
            </w:r>
          </w:p>
        </w:tc>
        <w:tc>
          <w:tcPr>
            <w:tcW w:w="1112" w:type="dxa"/>
            <w:tcBorders>
              <w:top w:val="single" w:color="auto" w:sz="4" w:space="0"/>
              <w:left w:val="single" w:color="auto" w:sz="4" w:space="0"/>
              <w:bottom w:val="single" w:color="auto" w:sz="4" w:space="0"/>
              <w:right w:val="single" w:color="auto" w:sz="4" w:space="0"/>
            </w:tcBorders>
            <w:vAlign w:val="center"/>
          </w:tcPr>
          <w:p w14:paraId="6F5ABDA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06E9D5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71757594">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2A1471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17</w:t>
            </w:r>
          </w:p>
        </w:tc>
        <w:tc>
          <w:tcPr>
            <w:tcW w:w="1321" w:type="pct"/>
            <w:tcBorders>
              <w:top w:val="single" w:color="auto" w:sz="4" w:space="0"/>
              <w:left w:val="single" w:color="auto" w:sz="4" w:space="0"/>
              <w:bottom w:val="single" w:color="auto" w:sz="4" w:space="0"/>
              <w:right w:val="single" w:color="auto" w:sz="4" w:space="0"/>
            </w:tcBorders>
            <w:vAlign w:val="center"/>
          </w:tcPr>
          <w:p w14:paraId="4766CC43">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1,1,2-三氯乙烷</w:t>
            </w:r>
          </w:p>
        </w:tc>
        <w:tc>
          <w:tcPr>
            <w:tcW w:w="1979" w:type="pct"/>
            <w:tcBorders>
              <w:top w:val="single" w:color="auto" w:sz="4" w:space="0"/>
              <w:left w:val="single" w:color="auto" w:sz="4" w:space="0"/>
              <w:bottom w:val="single" w:color="auto" w:sz="4" w:space="0"/>
              <w:right w:val="single" w:color="auto" w:sz="4" w:space="0"/>
            </w:tcBorders>
            <w:vAlign w:val="center"/>
          </w:tcPr>
          <w:p w14:paraId="42125B5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2.8</w:t>
            </w:r>
          </w:p>
        </w:tc>
        <w:tc>
          <w:tcPr>
            <w:tcW w:w="1112" w:type="dxa"/>
            <w:tcBorders>
              <w:top w:val="single" w:color="auto" w:sz="4" w:space="0"/>
              <w:left w:val="single" w:color="auto" w:sz="4" w:space="0"/>
              <w:bottom w:val="single" w:color="auto" w:sz="4" w:space="0"/>
              <w:right w:val="single" w:color="auto" w:sz="4" w:space="0"/>
            </w:tcBorders>
            <w:vAlign w:val="center"/>
          </w:tcPr>
          <w:p w14:paraId="5B80944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728B075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089AFDC">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458144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18</w:t>
            </w:r>
          </w:p>
        </w:tc>
        <w:tc>
          <w:tcPr>
            <w:tcW w:w="1321" w:type="pct"/>
            <w:tcBorders>
              <w:top w:val="single" w:color="auto" w:sz="4" w:space="0"/>
              <w:left w:val="single" w:color="auto" w:sz="4" w:space="0"/>
              <w:bottom w:val="single" w:color="auto" w:sz="4" w:space="0"/>
              <w:right w:val="single" w:color="auto" w:sz="4" w:space="0"/>
            </w:tcBorders>
            <w:vAlign w:val="center"/>
          </w:tcPr>
          <w:p w14:paraId="7A3604F1">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四氯乙烯</w:t>
            </w:r>
          </w:p>
        </w:tc>
        <w:tc>
          <w:tcPr>
            <w:tcW w:w="1979" w:type="pct"/>
            <w:tcBorders>
              <w:top w:val="single" w:color="auto" w:sz="4" w:space="0"/>
              <w:left w:val="single" w:color="auto" w:sz="4" w:space="0"/>
              <w:bottom w:val="single" w:color="auto" w:sz="4" w:space="0"/>
              <w:right w:val="single" w:color="auto" w:sz="4" w:space="0"/>
            </w:tcBorders>
            <w:vAlign w:val="center"/>
          </w:tcPr>
          <w:p w14:paraId="35D7282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53</w:t>
            </w:r>
          </w:p>
        </w:tc>
        <w:tc>
          <w:tcPr>
            <w:tcW w:w="1112" w:type="dxa"/>
            <w:tcBorders>
              <w:top w:val="single" w:color="auto" w:sz="4" w:space="0"/>
              <w:left w:val="single" w:color="auto" w:sz="4" w:space="0"/>
              <w:bottom w:val="single" w:color="auto" w:sz="4" w:space="0"/>
              <w:right w:val="single" w:color="auto" w:sz="4" w:space="0"/>
            </w:tcBorders>
            <w:vAlign w:val="center"/>
          </w:tcPr>
          <w:p w14:paraId="7AA4651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3130DBC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4A466A54">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708016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19</w:t>
            </w:r>
          </w:p>
        </w:tc>
        <w:tc>
          <w:tcPr>
            <w:tcW w:w="1321" w:type="pct"/>
            <w:tcBorders>
              <w:top w:val="single" w:color="auto" w:sz="4" w:space="0"/>
              <w:left w:val="single" w:color="auto" w:sz="4" w:space="0"/>
              <w:bottom w:val="single" w:color="auto" w:sz="4" w:space="0"/>
              <w:right w:val="single" w:color="auto" w:sz="4" w:space="0"/>
            </w:tcBorders>
            <w:vAlign w:val="center"/>
          </w:tcPr>
          <w:p w14:paraId="262507F3">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氯苯</w:t>
            </w:r>
          </w:p>
        </w:tc>
        <w:tc>
          <w:tcPr>
            <w:tcW w:w="1979" w:type="pct"/>
            <w:tcBorders>
              <w:top w:val="single" w:color="auto" w:sz="4" w:space="0"/>
              <w:left w:val="single" w:color="auto" w:sz="4" w:space="0"/>
              <w:bottom w:val="single" w:color="auto" w:sz="4" w:space="0"/>
              <w:right w:val="single" w:color="auto" w:sz="4" w:space="0"/>
            </w:tcBorders>
            <w:vAlign w:val="center"/>
          </w:tcPr>
          <w:p w14:paraId="0440D32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270</w:t>
            </w:r>
          </w:p>
        </w:tc>
        <w:tc>
          <w:tcPr>
            <w:tcW w:w="1112" w:type="dxa"/>
            <w:tcBorders>
              <w:top w:val="single" w:color="auto" w:sz="4" w:space="0"/>
              <w:left w:val="single" w:color="auto" w:sz="4" w:space="0"/>
              <w:bottom w:val="single" w:color="auto" w:sz="4" w:space="0"/>
              <w:right w:val="single" w:color="auto" w:sz="4" w:space="0"/>
            </w:tcBorders>
            <w:vAlign w:val="center"/>
          </w:tcPr>
          <w:p w14:paraId="0A97431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39AACFE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69AA5683">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9C90C9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20</w:t>
            </w:r>
          </w:p>
        </w:tc>
        <w:tc>
          <w:tcPr>
            <w:tcW w:w="1321" w:type="pct"/>
            <w:tcBorders>
              <w:top w:val="single" w:color="auto" w:sz="4" w:space="0"/>
              <w:left w:val="single" w:color="auto" w:sz="4" w:space="0"/>
              <w:bottom w:val="single" w:color="auto" w:sz="4" w:space="0"/>
              <w:right w:val="single" w:color="auto" w:sz="4" w:space="0"/>
            </w:tcBorders>
            <w:vAlign w:val="center"/>
          </w:tcPr>
          <w:p w14:paraId="3373C0FC">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1,1,1,2-四氯乙烷</w:t>
            </w:r>
          </w:p>
        </w:tc>
        <w:tc>
          <w:tcPr>
            <w:tcW w:w="1979" w:type="pct"/>
            <w:tcBorders>
              <w:top w:val="single" w:color="auto" w:sz="4" w:space="0"/>
              <w:left w:val="single" w:color="auto" w:sz="4" w:space="0"/>
              <w:bottom w:val="single" w:color="auto" w:sz="4" w:space="0"/>
              <w:right w:val="single" w:color="auto" w:sz="4" w:space="0"/>
            </w:tcBorders>
            <w:vAlign w:val="center"/>
          </w:tcPr>
          <w:p w14:paraId="26A2AEC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10</w:t>
            </w:r>
          </w:p>
        </w:tc>
        <w:tc>
          <w:tcPr>
            <w:tcW w:w="1112" w:type="dxa"/>
            <w:tcBorders>
              <w:top w:val="single" w:color="auto" w:sz="4" w:space="0"/>
              <w:left w:val="single" w:color="auto" w:sz="4" w:space="0"/>
              <w:bottom w:val="single" w:color="auto" w:sz="4" w:space="0"/>
              <w:right w:val="single" w:color="auto" w:sz="4" w:space="0"/>
            </w:tcBorders>
            <w:vAlign w:val="center"/>
          </w:tcPr>
          <w:p w14:paraId="2B7C39C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898574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7B29B0B8">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C08BB1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21</w:t>
            </w:r>
          </w:p>
        </w:tc>
        <w:tc>
          <w:tcPr>
            <w:tcW w:w="1321" w:type="pct"/>
            <w:tcBorders>
              <w:top w:val="single" w:color="auto" w:sz="4" w:space="0"/>
              <w:left w:val="single" w:color="auto" w:sz="4" w:space="0"/>
              <w:bottom w:val="single" w:color="auto" w:sz="4" w:space="0"/>
              <w:right w:val="single" w:color="auto" w:sz="4" w:space="0"/>
            </w:tcBorders>
            <w:vAlign w:val="center"/>
          </w:tcPr>
          <w:p w14:paraId="56F7B2E7">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乙苯</w:t>
            </w:r>
          </w:p>
        </w:tc>
        <w:tc>
          <w:tcPr>
            <w:tcW w:w="1979" w:type="pct"/>
            <w:tcBorders>
              <w:top w:val="single" w:color="auto" w:sz="4" w:space="0"/>
              <w:left w:val="single" w:color="auto" w:sz="4" w:space="0"/>
              <w:bottom w:val="single" w:color="auto" w:sz="4" w:space="0"/>
              <w:right w:val="single" w:color="auto" w:sz="4" w:space="0"/>
            </w:tcBorders>
            <w:vAlign w:val="center"/>
          </w:tcPr>
          <w:p w14:paraId="0A35742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28</w:t>
            </w:r>
          </w:p>
        </w:tc>
        <w:tc>
          <w:tcPr>
            <w:tcW w:w="1112" w:type="dxa"/>
            <w:tcBorders>
              <w:top w:val="single" w:color="auto" w:sz="4" w:space="0"/>
              <w:left w:val="single" w:color="auto" w:sz="4" w:space="0"/>
              <w:bottom w:val="single" w:color="auto" w:sz="4" w:space="0"/>
              <w:right w:val="single" w:color="auto" w:sz="4" w:space="0"/>
            </w:tcBorders>
            <w:vAlign w:val="center"/>
          </w:tcPr>
          <w:p w14:paraId="25607F4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B6737F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6464EE0F">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3AE71B8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22</w:t>
            </w:r>
          </w:p>
        </w:tc>
        <w:tc>
          <w:tcPr>
            <w:tcW w:w="1321" w:type="pct"/>
            <w:tcBorders>
              <w:top w:val="single" w:color="auto" w:sz="4" w:space="0"/>
              <w:left w:val="single" w:color="auto" w:sz="4" w:space="0"/>
              <w:bottom w:val="single" w:color="auto" w:sz="4" w:space="0"/>
              <w:right w:val="single" w:color="auto" w:sz="4" w:space="0"/>
            </w:tcBorders>
            <w:vAlign w:val="center"/>
          </w:tcPr>
          <w:p w14:paraId="4269702C">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间,对-二甲苯</w:t>
            </w:r>
          </w:p>
        </w:tc>
        <w:tc>
          <w:tcPr>
            <w:tcW w:w="1979" w:type="pct"/>
            <w:tcBorders>
              <w:top w:val="single" w:color="auto" w:sz="4" w:space="0"/>
              <w:left w:val="single" w:color="auto" w:sz="4" w:space="0"/>
              <w:bottom w:val="single" w:color="auto" w:sz="4" w:space="0"/>
              <w:right w:val="single" w:color="auto" w:sz="4" w:space="0"/>
            </w:tcBorders>
            <w:vAlign w:val="center"/>
          </w:tcPr>
          <w:p w14:paraId="6B7BBCC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570</w:t>
            </w:r>
          </w:p>
        </w:tc>
        <w:tc>
          <w:tcPr>
            <w:tcW w:w="1112" w:type="dxa"/>
            <w:tcBorders>
              <w:top w:val="single" w:color="auto" w:sz="4" w:space="0"/>
              <w:left w:val="single" w:color="auto" w:sz="4" w:space="0"/>
              <w:bottom w:val="single" w:color="auto" w:sz="4" w:space="0"/>
              <w:right w:val="single" w:color="auto" w:sz="4" w:space="0"/>
            </w:tcBorders>
            <w:vAlign w:val="center"/>
          </w:tcPr>
          <w:p w14:paraId="5E2F87E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85A065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0C644ED2">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4138905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23</w:t>
            </w:r>
          </w:p>
        </w:tc>
        <w:tc>
          <w:tcPr>
            <w:tcW w:w="1321" w:type="pct"/>
            <w:tcBorders>
              <w:top w:val="single" w:color="auto" w:sz="4" w:space="0"/>
              <w:left w:val="single" w:color="auto" w:sz="4" w:space="0"/>
              <w:bottom w:val="single" w:color="auto" w:sz="4" w:space="0"/>
              <w:right w:val="single" w:color="auto" w:sz="4" w:space="0"/>
            </w:tcBorders>
            <w:vAlign w:val="center"/>
          </w:tcPr>
          <w:p w14:paraId="151099B9">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 xml:space="preserve">邻-二甲苯 </w:t>
            </w:r>
          </w:p>
        </w:tc>
        <w:tc>
          <w:tcPr>
            <w:tcW w:w="1979" w:type="pct"/>
            <w:tcBorders>
              <w:top w:val="single" w:color="auto" w:sz="4" w:space="0"/>
              <w:left w:val="single" w:color="auto" w:sz="4" w:space="0"/>
              <w:bottom w:val="single" w:color="auto" w:sz="4" w:space="0"/>
              <w:right w:val="single" w:color="auto" w:sz="4" w:space="0"/>
            </w:tcBorders>
            <w:vAlign w:val="center"/>
          </w:tcPr>
          <w:p w14:paraId="2434415E">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640</w:t>
            </w:r>
          </w:p>
        </w:tc>
        <w:tc>
          <w:tcPr>
            <w:tcW w:w="1112" w:type="dxa"/>
            <w:tcBorders>
              <w:top w:val="single" w:color="auto" w:sz="4" w:space="0"/>
              <w:left w:val="single" w:color="auto" w:sz="4" w:space="0"/>
              <w:bottom w:val="single" w:color="auto" w:sz="4" w:space="0"/>
              <w:right w:val="single" w:color="auto" w:sz="4" w:space="0"/>
            </w:tcBorders>
            <w:vAlign w:val="center"/>
          </w:tcPr>
          <w:p w14:paraId="3186FF5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DA83D4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464A1049">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1572DE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24</w:t>
            </w:r>
          </w:p>
        </w:tc>
        <w:tc>
          <w:tcPr>
            <w:tcW w:w="1321" w:type="pct"/>
            <w:tcBorders>
              <w:top w:val="single" w:color="auto" w:sz="4" w:space="0"/>
              <w:left w:val="single" w:color="auto" w:sz="4" w:space="0"/>
              <w:bottom w:val="single" w:color="auto" w:sz="4" w:space="0"/>
              <w:right w:val="single" w:color="auto" w:sz="4" w:space="0"/>
            </w:tcBorders>
            <w:vAlign w:val="center"/>
          </w:tcPr>
          <w:p w14:paraId="78718DC8">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苯乙烯</w:t>
            </w:r>
          </w:p>
        </w:tc>
        <w:tc>
          <w:tcPr>
            <w:tcW w:w="1979" w:type="pct"/>
            <w:tcBorders>
              <w:top w:val="single" w:color="auto" w:sz="4" w:space="0"/>
              <w:left w:val="single" w:color="auto" w:sz="4" w:space="0"/>
              <w:bottom w:val="single" w:color="auto" w:sz="4" w:space="0"/>
              <w:right w:val="single" w:color="auto" w:sz="4" w:space="0"/>
            </w:tcBorders>
            <w:vAlign w:val="center"/>
          </w:tcPr>
          <w:p w14:paraId="4BDC370A">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1290</w:t>
            </w:r>
          </w:p>
        </w:tc>
        <w:tc>
          <w:tcPr>
            <w:tcW w:w="1112" w:type="dxa"/>
            <w:tcBorders>
              <w:top w:val="single" w:color="auto" w:sz="4" w:space="0"/>
              <w:left w:val="single" w:color="auto" w:sz="4" w:space="0"/>
              <w:bottom w:val="single" w:color="auto" w:sz="4" w:space="0"/>
              <w:right w:val="single" w:color="auto" w:sz="4" w:space="0"/>
            </w:tcBorders>
            <w:vAlign w:val="center"/>
          </w:tcPr>
          <w:p w14:paraId="0E88E8A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216F89F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0AE8CDC7">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3C3B55E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25</w:t>
            </w:r>
          </w:p>
        </w:tc>
        <w:tc>
          <w:tcPr>
            <w:tcW w:w="1321" w:type="pct"/>
            <w:tcBorders>
              <w:top w:val="single" w:color="auto" w:sz="4" w:space="0"/>
              <w:left w:val="single" w:color="auto" w:sz="4" w:space="0"/>
              <w:bottom w:val="single" w:color="auto" w:sz="4" w:space="0"/>
              <w:right w:val="single" w:color="auto" w:sz="4" w:space="0"/>
            </w:tcBorders>
            <w:vAlign w:val="center"/>
          </w:tcPr>
          <w:p w14:paraId="384740A3">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1,1,2,2-四氯乙烷</w:t>
            </w:r>
          </w:p>
        </w:tc>
        <w:tc>
          <w:tcPr>
            <w:tcW w:w="1979" w:type="pct"/>
            <w:tcBorders>
              <w:top w:val="single" w:color="auto" w:sz="4" w:space="0"/>
              <w:left w:val="single" w:color="auto" w:sz="4" w:space="0"/>
              <w:bottom w:val="single" w:color="auto" w:sz="4" w:space="0"/>
              <w:right w:val="single" w:color="auto" w:sz="4" w:space="0"/>
            </w:tcBorders>
            <w:vAlign w:val="center"/>
          </w:tcPr>
          <w:p w14:paraId="017980BE">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6.8</w:t>
            </w:r>
          </w:p>
        </w:tc>
        <w:tc>
          <w:tcPr>
            <w:tcW w:w="1112" w:type="dxa"/>
            <w:tcBorders>
              <w:top w:val="single" w:color="auto" w:sz="4" w:space="0"/>
              <w:left w:val="single" w:color="auto" w:sz="4" w:space="0"/>
              <w:bottom w:val="single" w:color="auto" w:sz="4" w:space="0"/>
              <w:right w:val="single" w:color="auto" w:sz="4" w:space="0"/>
            </w:tcBorders>
            <w:vAlign w:val="center"/>
          </w:tcPr>
          <w:p w14:paraId="0D7DAAD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D9837D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4C15506E">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4B2ED6D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26</w:t>
            </w:r>
          </w:p>
        </w:tc>
        <w:tc>
          <w:tcPr>
            <w:tcW w:w="1321" w:type="pct"/>
            <w:tcBorders>
              <w:top w:val="single" w:color="auto" w:sz="4" w:space="0"/>
              <w:left w:val="single" w:color="auto" w:sz="4" w:space="0"/>
              <w:bottom w:val="single" w:color="auto" w:sz="4" w:space="0"/>
              <w:right w:val="single" w:color="auto" w:sz="4" w:space="0"/>
            </w:tcBorders>
            <w:vAlign w:val="center"/>
          </w:tcPr>
          <w:p w14:paraId="41C3F4F0">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1,2,3-三氯丙烷</w:t>
            </w:r>
          </w:p>
        </w:tc>
        <w:tc>
          <w:tcPr>
            <w:tcW w:w="1979" w:type="pct"/>
            <w:tcBorders>
              <w:top w:val="single" w:color="auto" w:sz="4" w:space="0"/>
              <w:left w:val="single" w:color="auto" w:sz="4" w:space="0"/>
              <w:bottom w:val="single" w:color="auto" w:sz="4" w:space="0"/>
              <w:right w:val="single" w:color="auto" w:sz="4" w:space="0"/>
            </w:tcBorders>
            <w:vAlign w:val="center"/>
          </w:tcPr>
          <w:p w14:paraId="50ACFC8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0.5</w:t>
            </w:r>
          </w:p>
        </w:tc>
        <w:tc>
          <w:tcPr>
            <w:tcW w:w="1112" w:type="dxa"/>
            <w:tcBorders>
              <w:top w:val="single" w:color="auto" w:sz="4" w:space="0"/>
              <w:left w:val="single" w:color="auto" w:sz="4" w:space="0"/>
              <w:bottom w:val="single" w:color="auto" w:sz="4" w:space="0"/>
              <w:right w:val="single" w:color="auto" w:sz="4" w:space="0"/>
            </w:tcBorders>
            <w:vAlign w:val="center"/>
          </w:tcPr>
          <w:p w14:paraId="317243A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02A7D9E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44464080">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3BFA4B6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27</w:t>
            </w:r>
          </w:p>
        </w:tc>
        <w:tc>
          <w:tcPr>
            <w:tcW w:w="1321" w:type="pct"/>
            <w:tcBorders>
              <w:top w:val="single" w:color="auto" w:sz="4" w:space="0"/>
              <w:left w:val="single" w:color="auto" w:sz="4" w:space="0"/>
              <w:bottom w:val="single" w:color="auto" w:sz="4" w:space="0"/>
              <w:right w:val="single" w:color="auto" w:sz="4" w:space="0"/>
            </w:tcBorders>
            <w:vAlign w:val="center"/>
          </w:tcPr>
          <w:p w14:paraId="655E32F7">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1,4-二氯苯</w:t>
            </w:r>
          </w:p>
        </w:tc>
        <w:tc>
          <w:tcPr>
            <w:tcW w:w="1979" w:type="pct"/>
            <w:tcBorders>
              <w:top w:val="single" w:color="auto" w:sz="4" w:space="0"/>
              <w:left w:val="single" w:color="auto" w:sz="4" w:space="0"/>
              <w:bottom w:val="single" w:color="auto" w:sz="4" w:space="0"/>
              <w:right w:val="single" w:color="auto" w:sz="4" w:space="0"/>
            </w:tcBorders>
            <w:vAlign w:val="center"/>
          </w:tcPr>
          <w:p w14:paraId="0B505E5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20</w:t>
            </w:r>
          </w:p>
        </w:tc>
        <w:tc>
          <w:tcPr>
            <w:tcW w:w="1112" w:type="dxa"/>
            <w:tcBorders>
              <w:top w:val="single" w:color="auto" w:sz="4" w:space="0"/>
              <w:left w:val="single" w:color="auto" w:sz="4" w:space="0"/>
              <w:bottom w:val="single" w:color="auto" w:sz="4" w:space="0"/>
              <w:right w:val="single" w:color="auto" w:sz="4" w:space="0"/>
            </w:tcBorders>
            <w:vAlign w:val="center"/>
          </w:tcPr>
          <w:p w14:paraId="787344A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B9D687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028CB24">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E6FE83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28</w:t>
            </w:r>
          </w:p>
        </w:tc>
        <w:tc>
          <w:tcPr>
            <w:tcW w:w="1321" w:type="pct"/>
            <w:tcBorders>
              <w:top w:val="single" w:color="auto" w:sz="4" w:space="0"/>
              <w:left w:val="single" w:color="auto" w:sz="4" w:space="0"/>
              <w:bottom w:val="single" w:color="auto" w:sz="4" w:space="0"/>
              <w:right w:val="single" w:color="auto" w:sz="4" w:space="0"/>
            </w:tcBorders>
            <w:vAlign w:val="center"/>
          </w:tcPr>
          <w:p w14:paraId="16EB7315">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1,2-二氯苯</w:t>
            </w:r>
          </w:p>
        </w:tc>
        <w:tc>
          <w:tcPr>
            <w:tcW w:w="1979" w:type="pct"/>
            <w:tcBorders>
              <w:top w:val="single" w:color="auto" w:sz="4" w:space="0"/>
              <w:left w:val="single" w:color="auto" w:sz="4" w:space="0"/>
              <w:bottom w:val="single" w:color="auto" w:sz="4" w:space="0"/>
              <w:right w:val="single" w:color="auto" w:sz="4" w:space="0"/>
            </w:tcBorders>
            <w:vAlign w:val="center"/>
          </w:tcPr>
          <w:p w14:paraId="0F5000B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560</w:t>
            </w:r>
          </w:p>
        </w:tc>
        <w:tc>
          <w:tcPr>
            <w:tcW w:w="1112" w:type="dxa"/>
            <w:tcBorders>
              <w:top w:val="single" w:color="auto" w:sz="4" w:space="0"/>
              <w:left w:val="single" w:color="auto" w:sz="4" w:space="0"/>
              <w:bottom w:val="single" w:color="auto" w:sz="4" w:space="0"/>
              <w:right w:val="single" w:color="auto" w:sz="4" w:space="0"/>
            </w:tcBorders>
            <w:vAlign w:val="center"/>
          </w:tcPr>
          <w:p w14:paraId="10E910F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31FADA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5908E68F">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27F2DA0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29</w:t>
            </w:r>
          </w:p>
        </w:tc>
        <w:tc>
          <w:tcPr>
            <w:tcW w:w="1321" w:type="pct"/>
            <w:tcBorders>
              <w:top w:val="single" w:color="auto" w:sz="4" w:space="0"/>
              <w:left w:val="single" w:color="auto" w:sz="4" w:space="0"/>
              <w:bottom w:val="single" w:color="auto" w:sz="4" w:space="0"/>
              <w:right w:val="single" w:color="auto" w:sz="4" w:space="0"/>
            </w:tcBorders>
            <w:vAlign w:val="center"/>
          </w:tcPr>
          <w:p w14:paraId="257BEACF">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 xml:space="preserve">氯甲烷 </w:t>
            </w:r>
          </w:p>
        </w:tc>
        <w:tc>
          <w:tcPr>
            <w:tcW w:w="1979" w:type="pct"/>
            <w:tcBorders>
              <w:top w:val="single" w:color="auto" w:sz="4" w:space="0"/>
              <w:left w:val="single" w:color="auto" w:sz="4" w:space="0"/>
              <w:bottom w:val="single" w:color="auto" w:sz="4" w:space="0"/>
              <w:right w:val="single" w:color="auto" w:sz="4" w:space="0"/>
            </w:tcBorders>
            <w:vAlign w:val="center"/>
          </w:tcPr>
          <w:p w14:paraId="1A7C68A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37</w:t>
            </w:r>
          </w:p>
        </w:tc>
        <w:tc>
          <w:tcPr>
            <w:tcW w:w="1112" w:type="dxa"/>
            <w:tcBorders>
              <w:top w:val="single" w:color="auto" w:sz="4" w:space="0"/>
              <w:left w:val="single" w:color="auto" w:sz="4" w:space="0"/>
              <w:bottom w:val="single" w:color="auto" w:sz="4" w:space="0"/>
              <w:right w:val="single" w:color="auto" w:sz="4" w:space="0"/>
            </w:tcBorders>
            <w:vAlign w:val="center"/>
          </w:tcPr>
          <w:p w14:paraId="5B234C6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7B4D558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25C7D7E7">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7FFC23D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30</w:t>
            </w:r>
          </w:p>
        </w:tc>
        <w:tc>
          <w:tcPr>
            <w:tcW w:w="1321" w:type="pct"/>
            <w:tcBorders>
              <w:top w:val="single" w:color="auto" w:sz="4" w:space="0"/>
              <w:left w:val="single" w:color="auto" w:sz="4" w:space="0"/>
              <w:bottom w:val="single" w:color="auto" w:sz="4" w:space="0"/>
              <w:right w:val="single" w:color="auto" w:sz="4" w:space="0"/>
            </w:tcBorders>
            <w:vAlign w:val="center"/>
          </w:tcPr>
          <w:p w14:paraId="2BEAABE0">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硝基苯</w:t>
            </w:r>
          </w:p>
        </w:tc>
        <w:tc>
          <w:tcPr>
            <w:tcW w:w="1979" w:type="pct"/>
            <w:tcBorders>
              <w:top w:val="single" w:color="auto" w:sz="4" w:space="0"/>
              <w:left w:val="single" w:color="auto" w:sz="4" w:space="0"/>
              <w:bottom w:val="single" w:color="auto" w:sz="4" w:space="0"/>
              <w:right w:val="single" w:color="auto" w:sz="4" w:space="0"/>
            </w:tcBorders>
            <w:vAlign w:val="center"/>
          </w:tcPr>
          <w:p w14:paraId="75941BC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76</w:t>
            </w:r>
          </w:p>
        </w:tc>
        <w:tc>
          <w:tcPr>
            <w:tcW w:w="1112" w:type="dxa"/>
            <w:tcBorders>
              <w:top w:val="single" w:color="auto" w:sz="4" w:space="0"/>
              <w:left w:val="single" w:color="auto" w:sz="4" w:space="0"/>
              <w:bottom w:val="single" w:color="auto" w:sz="4" w:space="0"/>
              <w:right w:val="single" w:color="auto" w:sz="4" w:space="0"/>
            </w:tcBorders>
            <w:vAlign w:val="center"/>
          </w:tcPr>
          <w:p w14:paraId="71FC1F2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0E0303C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4A131FEA">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374279E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31</w:t>
            </w:r>
          </w:p>
        </w:tc>
        <w:tc>
          <w:tcPr>
            <w:tcW w:w="1321" w:type="pct"/>
            <w:tcBorders>
              <w:top w:val="single" w:color="auto" w:sz="4" w:space="0"/>
              <w:left w:val="single" w:color="auto" w:sz="4" w:space="0"/>
              <w:bottom w:val="single" w:color="auto" w:sz="4" w:space="0"/>
              <w:right w:val="single" w:color="auto" w:sz="4" w:space="0"/>
            </w:tcBorders>
            <w:vAlign w:val="center"/>
          </w:tcPr>
          <w:p w14:paraId="25B2ACF5">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苯胺</w:t>
            </w:r>
          </w:p>
        </w:tc>
        <w:tc>
          <w:tcPr>
            <w:tcW w:w="1979" w:type="pct"/>
            <w:tcBorders>
              <w:top w:val="single" w:color="auto" w:sz="4" w:space="0"/>
              <w:left w:val="single" w:color="auto" w:sz="4" w:space="0"/>
              <w:bottom w:val="single" w:color="auto" w:sz="4" w:space="0"/>
              <w:right w:val="single" w:color="auto" w:sz="4" w:space="0"/>
            </w:tcBorders>
            <w:vAlign w:val="center"/>
          </w:tcPr>
          <w:p w14:paraId="3AA43BC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260</w:t>
            </w:r>
          </w:p>
        </w:tc>
        <w:tc>
          <w:tcPr>
            <w:tcW w:w="1112" w:type="dxa"/>
            <w:tcBorders>
              <w:top w:val="single" w:color="auto" w:sz="4" w:space="0"/>
              <w:left w:val="single" w:color="auto" w:sz="4" w:space="0"/>
              <w:bottom w:val="single" w:color="auto" w:sz="4" w:space="0"/>
              <w:right w:val="single" w:color="auto" w:sz="4" w:space="0"/>
            </w:tcBorders>
            <w:vAlign w:val="center"/>
          </w:tcPr>
          <w:p w14:paraId="2A7E6FE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6CCBDCA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3AFC516E">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32AB32E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32</w:t>
            </w:r>
          </w:p>
        </w:tc>
        <w:tc>
          <w:tcPr>
            <w:tcW w:w="1321" w:type="pct"/>
            <w:tcBorders>
              <w:top w:val="single" w:color="auto" w:sz="4" w:space="0"/>
              <w:left w:val="single" w:color="auto" w:sz="4" w:space="0"/>
              <w:bottom w:val="single" w:color="auto" w:sz="4" w:space="0"/>
              <w:right w:val="single" w:color="auto" w:sz="4" w:space="0"/>
            </w:tcBorders>
            <w:vAlign w:val="center"/>
          </w:tcPr>
          <w:p w14:paraId="31DDFBBF">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2-氯</w:t>
            </w:r>
            <w:r>
              <w:rPr>
                <w:rFonts w:hint="eastAsia" w:cs="Times New Roman"/>
                <w:snapToGrid w:val="0"/>
                <w:color w:val="auto"/>
                <w:kern w:val="0"/>
                <w:szCs w:val="21"/>
                <w:highlight w:val="none"/>
              </w:rPr>
              <w:t>苯</w:t>
            </w:r>
            <w:r>
              <w:rPr>
                <w:rFonts w:cs="Times New Roman"/>
                <w:snapToGrid w:val="0"/>
                <w:color w:val="auto"/>
                <w:kern w:val="0"/>
                <w:szCs w:val="21"/>
                <w:highlight w:val="none"/>
              </w:rPr>
              <w:t>酚</w:t>
            </w:r>
          </w:p>
        </w:tc>
        <w:tc>
          <w:tcPr>
            <w:tcW w:w="1979" w:type="pct"/>
            <w:tcBorders>
              <w:top w:val="single" w:color="auto" w:sz="4" w:space="0"/>
              <w:left w:val="single" w:color="auto" w:sz="4" w:space="0"/>
              <w:bottom w:val="single" w:color="auto" w:sz="4" w:space="0"/>
              <w:right w:val="single" w:color="auto" w:sz="4" w:space="0"/>
            </w:tcBorders>
            <w:vAlign w:val="center"/>
          </w:tcPr>
          <w:p w14:paraId="1FE59CF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2256</w:t>
            </w:r>
          </w:p>
        </w:tc>
        <w:tc>
          <w:tcPr>
            <w:tcW w:w="1112" w:type="dxa"/>
            <w:tcBorders>
              <w:top w:val="single" w:color="auto" w:sz="4" w:space="0"/>
              <w:left w:val="single" w:color="auto" w:sz="4" w:space="0"/>
              <w:bottom w:val="single" w:color="auto" w:sz="4" w:space="0"/>
              <w:right w:val="single" w:color="auto" w:sz="4" w:space="0"/>
            </w:tcBorders>
            <w:vAlign w:val="center"/>
          </w:tcPr>
          <w:p w14:paraId="4F67A03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40C90AB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7F65795">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14F2DDE">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33</w:t>
            </w:r>
          </w:p>
        </w:tc>
        <w:tc>
          <w:tcPr>
            <w:tcW w:w="1321" w:type="pct"/>
            <w:tcBorders>
              <w:top w:val="single" w:color="auto" w:sz="4" w:space="0"/>
              <w:left w:val="single" w:color="auto" w:sz="4" w:space="0"/>
              <w:bottom w:val="single" w:color="auto" w:sz="4" w:space="0"/>
              <w:right w:val="single" w:color="auto" w:sz="4" w:space="0"/>
            </w:tcBorders>
            <w:vAlign w:val="center"/>
          </w:tcPr>
          <w:p w14:paraId="7A0A79A3">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苯并[a]蒽</w:t>
            </w:r>
          </w:p>
        </w:tc>
        <w:tc>
          <w:tcPr>
            <w:tcW w:w="1979" w:type="pct"/>
            <w:tcBorders>
              <w:top w:val="single" w:color="auto" w:sz="4" w:space="0"/>
              <w:left w:val="single" w:color="auto" w:sz="4" w:space="0"/>
              <w:bottom w:val="single" w:color="auto" w:sz="4" w:space="0"/>
              <w:right w:val="single" w:color="auto" w:sz="4" w:space="0"/>
            </w:tcBorders>
            <w:vAlign w:val="center"/>
          </w:tcPr>
          <w:p w14:paraId="3399A20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w:t>
            </w:r>
          </w:p>
        </w:tc>
        <w:tc>
          <w:tcPr>
            <w:tcW w:w="1112" w:type="dxa"/>
            <w:tcBorders>
              <w:top w:val="single" w:color="auto" w:sz="4" w:space="0"/>
              <w:left w:val="single" w:color="auto" w:sz="4" w:space="0"/>
              <w:bottom w:val="single" w:color="auto" w:sz="4" w:space="0"/>
              <w:right w:val="single" w:color="auto" w:sz="4" w:space="0"/>
            </w:tcBorders>
            <w:vAlign w:val="center"/>
          </w:tcPr>
          <w:p w14:paraId="21E2E63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E1DC99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5750C055">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01D01D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34</w:t>
            </w:r>
          </w:p>
        </w:tc>
        <w:tc>
          <w:tcPr>
            <w:tcW w:w="1321" w:type="pct"/>
            <w:tcBorders>
              <w:top w:val="single" w:color="auto" w:sz="4" w:space="0"/>
              <w:left w:val="single" w:color="auto" w:sz="4" w:space="0"/>
              <w:bottom w:val="single" w:color="auto" w:sz="4" w:space="0"/>
              <w:right w:val="single" w:color="auto" w:sz="4" w:space="0"/>
            </w:tcBorders>
            <w:vAlign w:val="center"/>
          </w:tcPr>
          <w:p w14:paraId="25489924">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 xml:space="preserve">苯并[a]芘 </w:t>
            </w:r>
          </w:p>
        </w:tc>
        <w:tc>
          <w:tcPr>
            <w:tcW w:w="1979" w:type="pct"/>
            <w:tcBorders>
              <w:top w:val="single" w:color="auto" w:sz="4" w:space="0"/>
              <w:left w:val="single" w:color="auto" w:sz="4" w:space="0"/>
              <w:bottom w:val="single" w:color="auto" w:sz="4" w:space="0"/>
              <w:right w:val="single" w:color="auto" w:sz="4" w:space="0"/>
            </w:tcBorders>
            <w:vAlign w:val="center"/>
          </w:tcPr>
          <w:p w14:paraId="1C27D60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w:t>
            </w:r>
          </w:p>
        </w:tc>
        <w:tc>
          <w:tcPr>
            <w:tcW w:w="1112" w:type="dxa"/>
            <w:tcBorders>
              <w:top w:val="single" w:color="auto" w:sz="4" w:space="0"/>
              <w:left w:val="single" w:color="auto" w:sz="4" w:space="0"/>
              <w:bottom w:val="single" w:color="auto" w:sz="4" w:space="0"/>
              <w:right w:val="single" w:color="auto" w:sz="4" w:space="0"/>
            </w:tcBorders>
            <w:vAlign w:val="center"/>
          </w:tcPr>
          <w:p w14:paraId="1016F06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0D2793B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BC23C67">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2AF2A8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35</w:t>
            </w:r>
          </w:p>
        </w:tc>
        <w:tc>
          <w:tcPr>
            <w:tcW w:w="1321" w:type="pct"/>
            <w:tcBorders>
              <w:top w:val="single" w:color="auto" w:sz="4" w:space="0"/>
              <w:left w:val="single" w:color="auto" w:sz="4" w:space="0"/>
              <w:bottom w:val="single" w:color="auto" w:sz="4" w:space="0"/>
              <w:right w:val="single" w:color="auto" w:sz="4" w:space="0"/>
            </w:tcBorders>
            <w:vAlign w:val="center"/>
          </w:tcPr>
          <w:p w14:paraId="36FFA8AE">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苯并[b]荧蒽</w:t>
            </w:r>
          </w:p>
        </w:tc>
        <w:tc>
          <w:tcPr>
            <w:tcW w:w="1979" w:type="pct"/>
            <w:tcBorders>
              <w:top w:val="single" w:color="auto" w:sz="4" w:space="0"/>
              <w:left w:val="single" w:color="auto" w:sz="4" w:space="0"/>
              <w:bottom w:val="single" w:color="auto" w:sz="4" w:space="0"/>
              <w:right w:val="single" w:color="auto" w:sz="4" w:space="0"/>
            </w:tcBorders>
            <w:vAlign w:val="center"/>
          </w:tcPr>
          <w:p w14:paraId="60D17A2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w:t>
            </w:r>
          </w:p>
        </w:tc>
        <w:tc>
          <w:tcPr>
            <w:tcW w:w="1112" w:type="dxa"/>
            <w:tcBorders>
              <w:top w:val="single" w:color="auto" w:sz="4" w:space="0"/>
              <w:left w:val="single" w:color="auto" w:sz="4" w:space="0"/>
              <w:bottom w:val="single" w:color="auto" w:sz="4" w:space="0"/>
              <w:right w:val="single" w:color="auto" w:sz="4" w:space="0"/>
            </w:tcBorders>
            <w:vAlign w:val="center"/>
          </w:tcPr>
          <w:p w14:paraId="30BF167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489F680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02AF7071">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0A522E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36</w:t>
            </w:r>
          </w:p>
        </w:tc>
        <w:tc>
          <w:tcPr>
            <w:tcW w:w="1321" w:type="pct"/>
            <w:tcBorders>
              <w:top w:val="single" w:color="auto" w:sz="4" w:space="0"/>
              <w:left w:val="single" w:color="auto" w:sz="4" w:space="0"/>
              <w:bottom w:val="single" w:color="auto" w:sz="4" w:space="0"/>
              <w:right w:val="single" w:color="auto" w:sz="4" w:space="0"/>
            </w:tcBorders>
            <w:vAlign w:val="center"/>
          </w:tcPr>
          <w:p w14:paraId="3454C96B">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苯并[k]荧蒽</w:t>
            </w:r>
          </w:p>
        </w:tc>
        <w:tc>
          <w:tcPr>
            <w:tcW w:w="1979" w:type="pct"/>
            <w:tcBorders>
              <w:top w:val="single" w:color="auto" w:sz="4" w:space="0"/>
              <w:left w:val="single" w:color="auto" w:sz="4" w:space="0"/>
              <w:bottom w:val="single" w:color="auto" w:sz="4" w:space="0"/>
              <w:right w:val="single" w:color="auto" w:sz="4" w:space="0"/>
            </w:tcBorders>
            <w:vAlign w:val="center"/>
          </w:tcPr>
          <w:p w14:paraId="0AEC7E5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151</w:t>
            </w:r>
          </w:p>
        </w:tc>
        <w:tc>
          <w:tcPr>
            <w:tcW w:w="1112" w:type="dxa"/>
            <w:tcBorders>
              <w:top w:val="single" w:color="auto" w:sz="4" w:space="0"/>
              <w:left w:val="single" w:color="auto" w:sz="4" w:space="0"/>
              <w:bottom w:val="single" w:color="auto" w:sz="4" w:space="0"/>
              <w:right w:val="single" w:color="auto" w:sz="4" w:space="0"/>
            </w:tcBorders>
            <w:vAlign w:val="center"/>
          </w:tcPr>
          <w:p w14:paraId="504BF0F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BDDCAF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61463C04">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22E8B23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37</w:t>
            </w:r>
          </w:p>
        </w:tc>
        <w:tc>
          <w:tcPr>
            <w:tcW w:w="1321" w:type="pct"/>
            <w:tcBorders>
              <w:top w:val="single" w:color="auto" w:sz="4" w:space="0"/>
              <w:left w:val="single" w:color="auto" w:sz="4" w:space="0"/>
              <w:bottom w:val="single" w:color="auto" w:sz="4" w:space="0"/>
              <w:right w:val="single" w:color="auto" w:sz="4" w:space="0"/>
            </w:tcBorders>
            <w:vAlign w:val="center"/>
          </w:tcPr>
          <w:p w14:paraId="782E4122">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䓛</w:t>
            </w:r>
          </w:p>
        </w:tc>
        <w:tc>
          <w:tcPr>
            <w:tcW w:w="1979" w:type="pct"/>
            <w:tcBorders>
              <w:top w:val="single" w:color="auto" w:sz="4" w:space="0"/>
              <w:left w:val="single" w:color="auto" w:sz="4" w:space="0"/>
              <w:bottom w:val="single" w:color="auto" w:sz="4" w:space="0"/>
              <w:right w:val="single" w:color="auto" w:sz="4" w:space="0"/>
            </w:tcBorders>
            <w:vAlign w:val="center"/>
          </w:tcPr>
          <w:p w14:paraId="026FA39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1293</w:t>
            </w:r>
          </w:p>
        </w:tc>
        <w:tc>
          <w:tcPr>
            <w:tcW w:w="1112" w:type="dxa"/>
            <w:tcBorders>
              <w:top w:val="single" w:color="auto" w:sz="4" w:space="0"/>
              <w:left w:val="single" w:color="auto" w:sz="4" w:space="0"/>
              <w:bottom w:val="single" w:color="auto" w:sz="4" w:space="0"/>
              <w:right w:val="single" w:color="auto" w:sz="4" w:space="0"/>
            </w:tcBorders>
            <w:vAlign w:val="center"/>
          </w:tcPr>
          <w:p w14:paraId="73F84843">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4110ED7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348349BD">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0BBF013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38</w:t>
            </w:r>
          </w:p>
        </w:tc>
        <w:tc>
          <w:tcPr>
            <w:tcW w:w="1321" w:type="pct"/>
            <w:tcBorders>
              <w:top w:val="single" w:color="auto" w:sz="4" w:space="0"/>
              <w:left w:val="single" w:color="auto" w:sz="4" w:space="0"/>
              <w:bottom w:val="single" w:color="auto" w:sz="4" w:space="0"/>
              <w:right w:val="single" w:color="auto" w:sz="4" w:space="0"/>
            </w:tcBorders>
            <w:vAlign w:val="center"/>
          </w:tcPr>
          <w:p w14:paraId="093E9232">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二苯并[a,h]蒽</w:t>
            </w:r>
          </w:p>
        </w:tc>
        <w:tc>
          <w:tcPr>
            <w:tcW w:w="1979" w:type="pct"/>
            <w:tcBorders>
              <w:top w:val="single" w:color="auto" w:sz="4" w:space="0"/>
              <w:left w:val="single" w:color="auto" w:sz="4" w:space="0"/>
              <w:bottom w:val="single" w:color="auto" w:sz="4" w:space="0"/>
              <w:right w:val="single" w:color="auto" w:sz="4" w:space="0"/>
            </w:tcBorders>
            <w:vAlign w:val="center"/>
          </w:tcPr>
          <w:p w14:paraId="6D6498E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w:t>
            </w:r>
          </w:p>
        </w:tc>
        <w:tc>
          <w:tcPr>
            <w:tcW w:w="1112" w:type="dxa"/>
            <w:tcBorders>
              <w:top w:val="single" w:color="auto" w:sz="4" w:space="0"/>
              <w:left w:val="single" w:color="auto" w:sz="4" w:space="0"/>
              <w:bottom w:val="single" w:color="auto" w:sz="4" w:space="0"/>
              <w:right w:val="single" w:color="auto" w:sz="4" w:space="0"/>
            </w:tcBorders>
            <w:vAlign w:val="center"/>
          </w:tcPr>
          <w:p w14:paraId="1F66F2A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75C48FA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8EE87C2">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4DA76CF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39</w:t>
            </w:r>
          </w:p>
        </w:tc>
        <w:tc>
          <w:tcPr>
            <w:tcW w:w="1321" w:type="pct"/>
            <w:tcBorders>
              <w:top w:val="single" w:color="auto" w:sz="4" w:space="0"/>
              <w:left w:val="single" w:color="auto" w:sz="4" w:space="0"/>
              <w:bottom w:val="single" w:color="auto" w:sz="4" w:space="0"/>
              <w:right w:val="single" w:color="auto" w:sz="4" w:space="0"/>
            </w:tcBorders>
            <w:vAlign w:val="center"/>
          </w:tcPr>
          <w:p w14:paraId="37816BA5">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茚并[1,2,3-cd]芘</w:t>
            </w:r>
          </w:p>
        </w:tc>
        <w:tc>
          <w:tcPr>
            <w:tcW w:w="1979" w:type="pct"/>
            <w:tcBorders>
              <w:top w:val="single" w:color="auto" w:sz="4" w:space="0"/>
              <w:left w:val="single" w:color="auto" w:sz="4" w:space="0"/>
              <w:bottom w:val="single" w:color="auto" w:sz="4" w:space="0"/>
              <w:right w:val="single" w:color="auto" w:sz="4" w:space="0"/>
            </w:tcBorders>
            <w:vAlign w:val="center"/>
          </w:tcPr>
          <w:p w14:paraId="1463A3F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15</w:t>
            </w:r>
          </w:p>
        </w:tc>
        <w:tc>
          <w:tcPr>
            <w:tcW w:w="1112" w:type="dxa"/>
            <w:tcBorders>
              <w:top w:val="single" w:color="auto" w:sz="4" w:space="0"/>
              <w:left w:val="single" w:color="auto" w:sz="4" w:space="0"/>
              <w:bottom w:val="single" w:color="auto" w:sz="4" w:space="0"/>
              <w:right w:val="single" w:color="auto" w:sz="4" w:space="0"/>
            </w:tcBorders>
            <w:vAlign w:val="center"/>
          </w:tcPr>
          <w:p w14:paraId="5875C90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1E25952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1D7E698A">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87E84E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40</w:t>
            </w:r>
          </w:p>
        </w:tc>
        <w:tc>
          <w:tcPr>
            <w:tcW w:w="1321" w:type="pct"/>
            <w:tcBorders>
              <w:top w:val="single" w:color="auto" w:sz="4" w:space="0"/>
              <w:left w:val="single" w:color="auto" w:sz="4" w:space="0"/>
              <w:bottom w:val="single" w:color="auto" w:sz="4" w:space="0"/>
              <w:right w:val="single" w:color="auto" w:sz="4" w:space="0"/>
            </w:tcBorders>
            <w:vAlign w:val="center"/>
          </w:tcPr>
          <w:p w14:paraId="40AB2AE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 xml:space="preserve">萘 </w:t>
            </w:r>
          </w:p>
        </w:tc>
        <w:tc>
          <w:tcPr>
            <w:tcW w:w="1979" w:type="pct"/>
            <w:tcBorders>
              <w:top w:val="single" w:color="auto" w:sz="4" w:space="0"/>
              <w:left w:val="single" w:color="auto" w:sz="4" w:space="0"/>
              <w:bottom w:val="single" w:color="auto" w:sz="4" w:space="0"/>
              <w:right w:val="single" w:color="auto" w:sz="4" w:space="0"/>
            </w:tcBorders>
            <w:vAlign w:val="center"/>
          </w:tcPr>
          <w:p w14:paraId="06FA349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70</w:t>
            </w:r>
          </w:p>
        </w:tc>
        <w:tc>
          <w:tcPr>
            <w:tcW w:w="1112" w:type="dxa"/>
            <w:tcBorders>
              <w:top w:val="single" w:color="auto" w:sz="4" w:space="0"/>
              <w:left w:val="single" w:color="auto" w:sz="4" w:space="0"/>
              <w:bottom w:val="single" w:color="auto" w:sz="4" w:space="0"/>
              <w:right w:val="single" w:color="auto" w:sz="4" w:space="0"/>
            </w:tcBorders>
            <w:vAlign w:val="center"/>
          </w:tcPr>
          <w:p w14:paraId="4E8EDF1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72D08BF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72EA1911">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4D3D81DA">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41</w:t>
            </w:r>
          </w:p>
        </w:tc>
        <w:tc>
          <w:tcPr>
            <w:tcW w:w="1321" w:type="pct"/>
            <w:tcBorders>
              <w:top w:val="single" w:color="auto" w:sz="4" w:space="0"/>
              <w:left w:val="single" w:color="auto" w:sz="4" w:space="0"/>
              <w:bottom w:val="single" w:color="auto" w:sz="4" w:space="0"/>
              <w:right w:val="single" w:color="auto" w:sz="4" w:space="0"/>
            </w:tcBorders>
            <w:vAlign w:val="center"/>
          </w:tcPr>
          <w:p w14:paraId="64470F4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砷</w:t>
            </w:r>
          </w:p>
        </w:tc>
        <w:tc>
          <w:tcPr>
            <w:tcW w:w="1979" w:type="pct"/>
            <w:tcBorders>
              <w:top w:val="single" w:color="auto" w:sz="4" w:space="0"/>
              <w:left w:val="single" w:color="auto" w:sz="4" w:space="0"/>
              <w:bottom w:val="single" w:color="auto" w:sz="4" w:space="0"/>
              <w:right w:val="single" w:color="auto" w:sz="4" w:space="0"/>
            </w:tcBorders>
            <w:vAlign w:val="center"/>
          </w:tcPr>
          <w:p w14:paraId="31903DA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60</w:t>
            </w:r>
          </w:p>
        </w:tc>
        <w:tc>
          <w:tcPr>
            <w:tcW w:w="674" w:type="pct"/>
            <w:tcBorders>
              <w:top w:val="single" w:color="auto" w:sz="4" w:space="0"/>
              <w:left w:val="single" w:color="auto" w:sz="4" w:space="0"/>
              <w:bottom w:val="single" w:color="auto" w:sz="4" w:space="0"/>
              <w:right w:val="single" w:color="auto" w:sz="4" w:space="0"/>
            </w:tcBorders>
            <w:vAlign w:val="center"/>
          </w:tcPr>
          <w:p w14:paraId="25F4E13A">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7.0</w:t>
            </w:r>
          </w:p>
        </w:tc>
        <w:tc>
          <w:tcPr>
            <w:tcW w:w="675" w:type="pct"/>
            <w:tcBorders>
              <w:top w:val="single" w:color="auto" w:sz="4" w:space="0"/>
              <w:left w:val="single" w:color="auto" w:sz="4" w:space="0"/>
              <w:bottom w:val="single" w:color="auto" w:sz="4" w:space="0"/>
              <w:right w:val="single" w:color="auto" w:sz="4" w:space="0"/>
            </w:tcBorders>
            <w:vAlign w:val="center"/>
          </w:tcPr>
          <w:p w14:paraId="6448F520">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0.117</w:t>
            </w:r>
          </w:p>
        </w:tc>
      </w:tr>
      <w:tr w14:paraId="107DD607">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1919BB4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42</w:t>
            </w:r>
          </w:p>
        </w:tc>
        <w:tc>
          <w:tcPr>
            <w:tcW w:w="1321" w:type="pct"/>
            <w:tcBorders>
              <w:top w:val="single" w:color="auto" w:sz="4" w:space="0"/>
              <w:left w:val="single" w:color="auto" w:sz="4" w:space="0"/>
              <w:bottom w:val="single" w:color="auto" w:sz="4" w:space="0"/>
              <w:right w:val="single" w:color="auto" w:sz="4" w:space="0"/>
            </w:tcBorders>
            <w:vAlign w:val="center"/>
          </w:tcPr>
          <w:p w14:paraId="2F9E93B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铅</w:t>
            </w:r>
          </w:p>
        </w:tc>
        <w:tc>
          <w:tcPr>
            <w:tcW w:w="1979" w:type="pct"/>
            <w:tcBorders>
              <w:top w:val="single" w:color="auto" w:sz="4" w:space="0"/>
              <w:left w:val="single" w:color="auto" w:sz="4" w:space="0"/>
              <w:bottom w:val="single" w:color="auto" w:sz="4" w:space="0"/>
              <w:right w:val="single" w:color="auto" w:sz="4" w:space="0"/>
            </w:tcBorders>
            <w:vAlign w:val="center"/>
          </w:tcPr>
          <w:p w14:paraId="723B5C3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800</w:t>
            </w:r>
          </w:p>
        </w:tc>
        <w:tc>
          <w:tcPr>
            <w:tcW w:w="674" w:type="pct"/>
            <w:tcBorders>
              <w:top w:val="single" w:color="auto" w:sz="4" w:space="0"/>
              <w:left w:val="single" w:color="auto" w:sz="4" w:space="0"/>
              <w:bottom w:val="single" w:color="auto" w:sz="4" w:space="0"/>
              <w:right w:val="single" w:color="auto" w:sz="4" w:space="0"/>
            </w:tcBorders>
            <w:vAlign w:val="center"/>
          </w:tcPr>
          <w:p w14:paraId="40D2FACE">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12</w:t>
            </w:r>
          </w:p>
        </w:tc>
        <w:tc>
          <w:tcPr>
            <w:tcW w:w="675" w:type="pct"/>
            <w:tcBorders>
              <w:top w:val="single" w:color="auto" w:sz="4" w:space="0"/>
              <w:left w:val="single" w:color="auto" w:sz="4" w:space="0"/>
              <w:bottom w:val="single" w:color="auto" w:sz="4" w:space="0"/>
              <w:right w:val="single" w:color="auto" w:sz="4" w:space="0"/>
            </w:tcBorders>
            <w:vAlign w:val="center"/>
          </w:tcPr>
          <w:p w14:paraId="43CB32B1">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0.015</w:t>
            </w:r>
          </w:p>
        </w:tc>
      </w:tr>
      <w:tr w14:paraId="57EBE4A1">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6A160C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43</w:t>
            </w:r>
          </w:p>
        </w:tc>
        <w:tc>
          <w:tcPr>
            <w:tcW w:w="1321" w:type="pct"/>
            <w:tcBorders>
              <w:top w:val="single" w:color="auto" w:sz="4" w:space="0"/>
              <w:left w:val="single" w:color="auto" w:sz="4" w:space="0"/>
              <w:bottom w:val="single" w:color="auto" w:sz="4" w:space="0"/>
              <w:right w:val="single" w:color="auto" w:sz="4" w:space="0"/>
            </w:tcBorders>
            <w:vAlign w:val="center"/>
          </w:tcPr>
          <w:p w14:paraId="06558ABA">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汞</w:t>
            </w:r>
          </w:p>
        </w:tc>
        <w:tc>
          <w:tcPr>
            <w:tcW w:w="1979" w:type="pct"/>
            <w:tcBorders>
              <w:top w:val="single" w:color="auto" w:sz="4" w:space="0"/>
              <w:left w:val="single" w:color="auto" w:sz="4" w:space="0"/>
              <w:bottom w:val="single" w:color="auto" w:sz="4" w:space="0"/>
              <w:right w:val="single" w:color="auto" w:sz="4" w:space="0"/>
            </w:tcBorders>
            <w:vAlign w:val="center"/>
          </w:tcPr>
          <w:p w14:paraId="08A90EB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38</w:t>
            </w:r>
          </w:p>
        </w:tc>
        <w:tc>
          <w:tcPr>
            <w:tcW w:w="674" w:type="pct"/>
            <w:tcBorders>
              <w:top w:val="single" w:color="auto" w:sz="4" w:space="0"/>
              <w:left w:val="single" w:color="auto" w:sz="4" w:space="0"/>
              <w:bottom w:val="single" w:color="auto" w:sz="4" w:space="0"/>
              <w:right w:val="single" w:color="auto" w:sz="4" w:space="0"/>
            </w:tcBorders>
            <w:vAlign w:val="center"/>
          </w:tcPr>
          <w:p w14:paraId="4B90CF95">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0.126</w:t>
            </w:r>
          </w:p>
        </w:tc>
        <w:tc>
          <w:tcPr>
            <w:tcW w:w="675" w:type="pct"/>
            <w:tcBorders>
              <w:top w:val="single" w:color="auto" w:sz="4" w:space="0"/>
              <w:left w:val="single" w:color="auto" w:sz="4" w:space="0"/>
              <w:bottom w:val="single" w:color="auto" w:sz="4" w:space="0"/>
              <w:right w:val="single" w:color="auto" w:sz="4" w:space="0"/>
            </w:tcBorders>
            <w:vAlign w:val="center"/>
          </w:tcPr>
          <w:p w14:paraId="2AE85E18">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0.003</w:t>
            </w:r>
          </w:p>
        </w:tc>
      </w:tr>
      <w:tr w14:paraId="67CF7C09">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21CE46D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44</w:t>
            </w:r>
          </w:p>
        </w:tc>
        <w:tc>
          <w:tcPr>
            <w:tcW w:w="1321" w:type="pct"/>
            <w:tcBorders>
              <w:top w:val="single" w:color="auto" w:sz="4" w:space="0"/>
              <w:left w:val="single" w:color="auto" w:sz="4" w:space="0"/>
              <w:bottom w:val="single" w:color="auto" w:sz="4" w:space="0"/>
              <w:right w:val="single" w:color="auto" w:sz="4" w:space="0"/>
            </w:tcBorders>
            <w:vAlign w:val="center"/>
          </w:tcPr>
          <w:p w14:paraId="7115BAB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镉</w:t>
            </w:r>
          </w:p>
        </w:tc>
        <w:tc>
          <w:tcPr>
            <w:tcW w:w="1979" w:type="pct"/>
            <w:tcBorders>
              <w:top w:val="single" w:color="auto" w:sz="4" w:space="0"/>
              <w:left w:val="single" w:color="auto" w:sz="4" w:space="0"/>
              <w:bottom w:val="single" w:color="auto" w:sz="4" w:space="0"/>
              <w:right w:val="single" w:color="auto" w:sz="4" w:space="0"/>
            </w:tcBorders>
            <w:vAlign w:val="center"/>
          </w:tcPr>
          <w:p w14:paraId="0D1615E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65</w:t>
            </w:r>
          </w:p>
        </w:tc>
        <w:tc>
          <w:tcPr>
            <w:tcW w:w="1112" w:type="dxa"/>
            <w:tcBorders>
              <w:top w:val="single" w:color="auto" w:sz="4" w:space="0"/>
              <w:left w:val="single" w:color="auto" w:sz="4" w:space="0"/>
              <w:bottom w:val="single" w:color="auto" w:sz="4" w:space="0"/>
              <w:right w:val="single" w:color="auto" w:sz="4" w:space="0"/>
            </w:tcBorders>
            <w:vAlign w:val="center"/>
          </w:tcPr>
          <w:p w14:paraId="54F20EC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0DB7A60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r w14:paraId="65232E40">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63ECF6A6">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45</w:t>
            </w:r>
          </w:p>
        </w:tc>
        <w:tc>
          <w:tcPr>
            <w:tcW w:w="1321" w:type="pct"/>
            <w:tcBorders>
              <w:top w:val="single" w:color="auto" w:sz="4" w:space="0"/>
              <w:left w:val="single" w:color="auto" w:sz="4" w:space="0"/>
              <w:bottom w:val="single" w:color="auto" w:sz="4" w:space="0"/>
              <w:right w:val="single" w:color="auto" w:sz="4" w:space="0"/>
            </w:tcBorders>
            <w:vAlign w:val="center"/>
          </w:tcPr>
          <w:p w14:paraId="601963E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铜</w:t>
            </w:r>
          </w:p>
        </w:tc>
        <w:tc>
          <w:tcPr>
            <w:tcW w:w="1979" w:type="pct"/>
            <w:tcBorders>
              <w:top w:val="single" w:color="auto" w:sz="4" w:space="0"/>
              <w:left w:val="single" w:color="auto" w:sz="4" w:space="0"/>
              <w:bottom w:val="single" w:color="auto" w:sz="4" w:space="0"/>
              <w:right w:val="single" w:color="auto" w:sz="4" w:space="0"/>
            </w:tcBorders>
            <w:vAlign w:val="center"/>
          </w:tcPr>
          <w:p w14:paraId="53B67B1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18000</w:t>
            </w:r>
          </w:p>
        </w:tc>
        <w:tc>
          <w:tcPr>
            <w:tcW w:w="674" w:type="pct"/>
            <w:tcBorders>
              <w:top w:val="single" w:color="auto" w:sz="4" w:space="0"/>
              <w:left w:val="single" w:color="auto" w:sz="4" w:space="0"/>
              <w:bottom w:val="single" w:color="auto" w:sz="4" w:space="0"/>
              <w:right w:val="single" w:color="auto" w:sz="4" w:space="0"/>
            </w:tcBorders>
            <w:vAlign w:val="center"/>
          </w:tcPr>
          <w:p w14:paraId="40D3CBFB">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26.3</w:t>
            </w:r>
          </w:p>
        </w:tc>
        <w:tc>
          <w:tcPr>
            <w:tcW w:w="675" w:type="pct"/>
            <w:tcBorders>
              <w:top w:val="single" w:color="auto" w:sz="4" w:space="0"/>
              <w:left w:val="single" w:color="auto" w:sz="4" w:space="0"/>
              <w:bottom w:val="single" w:color="auto" w:sz="4" w:space="0"/>
              <w:right w:val="single" w:color="auto" w:sz="4" w:space="0"/>
            </w:tcBorders>
            <w:vAlign w:val="center"/>
          </w:tcPr>
          <w:p w14:paraId="4A6C38E3">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0.001</w:t>
            </w:r>
          </w:p>
        </w:tc>
      </w:tr>
      <w:tr w14:paraId="46EE5B09">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1DF726CB">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46</w:t>
            </w:r>
          </w:p>
        </w:tc>
        <w:tc>
          <w:tcPr>
            <w:tcW w:w="1321" w:type="pct"/>
            <w:tcBorders>
              <w:top w:val="single" w:color="auto" w:sz="4" w:space="0"/>
              <w:left w:val="single" w:color="auto" w:sz="4" w:space="0"/>
              <w:bottom w:val="single" w:color="auto" w:sz="4" w:space="0"/>
              <w:right w:val="single" w:color="auto" w:sz="4" w:space="0"/>
            </w:tcBorders>
            <w:vAlign w:val="center"/>
          </w:tcPr>
          <w:p w14:paraId="6F0BDB89">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镍</w:t>
            </w:r>
          </w:p>
        </w:tc>
        <w:tc>
          <w:tcPr>
            <w:tcW w:w="1979" w:type="pct"/>
            <w:tcBorders>
              <w:top w:val="single" w:color="auto" w:sz="4" w:space="0"/>
              <w:left w:val="single" w:color="auto" w:sz="4" w:space="0"/>
              <w:bottom w:val="single" w:color="auto" w:sz="4" w:space="0"/>
              <w:right w:val="single" w:color="auto" w:sz="4" w:space="0"/>
            </w:tcBorders>
            <w:vAlign w:val="center"/>
          </w:tcPr>
          <w:p w14:paraId="230CE57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900</w:t>
            </w:r>
          </w:p>
        </w:tc>
        <w:tc>
          <w:tcPr>
            <w:tcW w:w="674" w:type="pct"/>
            <w:tcBorders>
              <w:top w:val="single" w:color="auto" w:sz="4" w:space="0"/>
              <w:left w:val="single" w:color="auto" w:sz="4" w:space="0"/>
              <w:bottom w:val="single" w:color="auto" w:sz="4" w:space="0"/>
              <w:right w:val="single" w:color="auto" w:sz="4" w:space="0"/>
            </w:tcBorders>
            <w:vAlign w:val="center"/>
          </w:tcPr>
          <w:p w14:paraId="1803B8E2">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26</w:t>
            </w:r>
          </w:p>
        </w:tc>
        <w:tc>
          <w:tcPr>
            <w:tcW w:w="675" w:type="pct"/>
            <w:tcBorders>
              <w:top w:val="single" w:color="auto" w:sz="4" w:space="0"/>
              <w:left w:val="single" w:color="auto" w:sz="4" w:space="0"/>
              <w:bottom w:val="single" w:color="auto" w:sz="4" w:space="0"/>
              <w:right w:val="single" w:color="auto" w:sz="4" w:space="0"/>
            </w:tcBorders>
            <w:vAlign w:val="center"/>
          </w:tcPr>
          <w:p w14:paraId="530BCA12">
            <w:pPr>
              <w:pStyle w:val="768"/>
              <w:adjustRightInd w:val="0"/>
              <w:snapToGrid w:val="0"/>
              <w:rPr>
                <w:rFonts w:hint="default"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0.029</w:t>
            </w:r>
          </w:p>
        </w:tc>
      </w:tr>
      <w:tr w14:paraId="33B05024">
        <w:tblPrEx>
          <w:tblCellMar>
            <w:top w:w="15" w:type="dxa"/>
            <w:left w:w="15" w:type="dxa"/>
            <w:bottom w:w="15" w:type="dxa"/>
            <w:right w:w="15" w:type="dxa"/>
          </w:tblCellMar>
        </w:tblPrEx>
        <w:trPr>
          <w:jc w:val="center"/>
        </w:trPr>
        <w:tc>
          <w:tcPr>
            <w:tcW w:w="349" w:type="pct"/>
            <w:tcBorders>
              <w:top w:val="single" w:color="auto" w:sz="4" w:space="0"/>
              <w:left w:val="single" w:color="auto" w:sz="4" w:space="0"/>
              <w:bottom w:val="single" w:color="auto" w:sz="4" w:space="0"/>
              <w:right w:val="single" w:color="auto" w:sz="4" w:space="0"/>
            </w:tcBorders>
            <w:vAlign w:val="center"/>
          </w:tcPr>
          <w:p w14:paraId="50A680A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47</w:t>
            </w:r>
          </w:p>
        </w:tc>
        <w:tc>
          <w:tcPr>
            <w:tcW w:w="1321" w:type="pct"/>
            <w:tcBorders>
              <w:top w:val="single" w:color="auto" w:sz="4" w:space="0"/>
              <w:left w:val="single" w:color="auto" w:sz="4" w:space="0"/>
              <w:bottom w:val="single" w:color="auto" w:sz="4" w:space="0"/>
              <w:right w:val="single" w:color="auto" w:sz="4" w:space="0"/>
            </w:tcBorders>
            <w:vAlign w:val="center"/>
          </w:tcPr>
          <w:p w14:paraId="0B80FC0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六价铬</w:t>
            </w:r>
          </w:p>
        </w:tc>
        <w:tc>
          <w:tcPr>
            <w:tcW w:w="1979" w:type="pct"/>
            <w:tcBorders>
              <w:top w:val="single" w:color="auto" w:sz="4" w:space="0"/>
              <w:left w:val="single" w:color="auto" w:sz="4" w:space="0"/>
              <w:bottom w:val="single" w:color="auto" w:sz="4" w:space="0"/>
              <w:right w:val="single" w:color="auto" w:sz="4" w:space="0"/>
            </w:tcBorders>
            <w:vAlign w:val="center"/>
          </w:tcPr>
          <w:p w14:paraId="24BABCF5">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5.7</w:t>
            </w:r>
          </w:p>
        </w:tc>
        <w:tc>
          <w:tcPr>
            <w:tcW w:w="1112" w:type="dxa"/>
            <w:tcBorders>
              <w:top w:val="single" w:color="auto" w:sz="4" w:space="0"/>
              <w:left w:val="single" w:color="auto" w:sz="4" w:space="0"/>
              <w:bottom w:val="single" w:color="auto" w:sz="4" w:space="0"/>
              <w:right w:val="single" w:color="auto" w:sz="4" w:space="0"/>
            </w:tcBorders>
            <w:vAlign w:val="center"/>
          </w:tcPr>
          <w:p w14:paraId="76D7454F">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未检出</w:t>
            </w:r>
          </w:p>
        </w:tc>
        <w:tc>
          <w:tcPr>
            <w:tcW w:w="1115" w:type="dxa"/>
            <w:tcBorders>
              <w:top w:val="single" w:color="auto" w:sz="4" w:space="0"/>
              <w:left w:val="single" w:color="auto" w:sz="4" w:space="0"/>
              <w:bottom w:val="single" w:color="auto" w:sz="4" w:space="0"/>
              <w:right w:val="single" w:color="auto" w:sz="4" w:space="0"/>
            </w:tcBorders>
            <w:vAlign w:val="center"/>
          </w:tcPr>
          <w:p w14:paraId="50241F2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lang w:val="en-US" w:eastAsia="zh-CN"/>
              </w:rPr>
              <w:t>0</w:t>
            </w:r>
          </w:p>
        </w:tc>
      </w:tr>
    </w:tbl>
    <w:p w14:paraId="215021BD">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before="157"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表5.4-1</w:t>
      </w:r>
      <w:r>
        <w:rPr>
          <w:rFonts w:hint="eastAsia" w:ascii="Times New Roman" w:hAnsi="Times New Roman" w:cs="Times New Roman"/>
          <w:snapToGrid w:val="0"/>
          <w:color w:val="auto"/>
          <w:kern w:val="0"/>
          <w:sz w:val="21"/>
          <w:szCs w:val="21"/>
          <w:highlight w:val="none"/>
          <w:lang w:val="en-US" w:eastAsia="zh-CN"/>
        </w:rPr>
        <w:t>8</w:t>
      </w:r>
      <w:r>
        <w:rPr>
          <w:rFonts w:hint="eastAsia" w:ascii="Times New Roman" w:hAnsi="Times New Roman" w:cs="Times New Roman"/>
          <w:snapToGrid w:val="0"/>
          <w:color w:val="auto"/>
          <w:kern w:val="0"/>
          <w:sz w:val="21"/>
          <w:szCs w:val="21"/>
          <w:highlight w:val="none"/>
        </w:rPr>
        <w:t xml:space="preserve"> 建设用地土壤环境质量现状监测结果一览表    单位mg/kg</w:t>
      </w:r>
    </w:p>
    <w:tbl>
      <w:tblPr>
        <w:tblStyle w:val="56"/>
        <w:tblW w:w="0" w:type="auto"/>
        <w:jc w:val="center"/>
        <w:tblLayout w:type="fixed"/>
        <w:tblCellMar>
          <w:top w:w="15" w:type="dxa"/>
          <w:left w:w="15" w:type="dxa"/>
          <w:bottom w:w="15" w:type="dxa"/>
          <w:right w:w="15" w:type="dxa"/>
        </w:tblCellMar>
      </w:tblPr>
      <w:tblGrid>
        <w:gridCol w:w="210"/>
        <w:gridCol w:w="931"/>
        <w:gridCol w:w="516"/>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314"/>
      </w:tblGrid>
      <w:tr w14:paraId="5B953EE2">
        <w:tblPrEx>
          <w:tblCellMar>
            <w:top w:w="15" w:type="dxa"/>
            <w:left w:w="15" w:type="dxa"/>
            <w:bottom w:w="15" w:type="dxa"/>
            <w:right w:w="15" w:type="dxa"/>
          </w:tblCellMar>
        </w:tblPrEx>
        <w:trPr>
          <w:jc w:val="center"/>
        </w:trPr>
        <w:tc>
          <w:tcPr>
            <w:tcW w:w="210" w:type="dxa"/>
            <w:vMerge w:val="restart"/>
            <w:tcBorders>
              <w:top w:val="single" w:color="auto" w:sz="4" w:space="0"/>
              <w:left w:val="single" w:color="auto" w:sz="4" w:space="0"/>
              <w:right w:val="single" w:color="auto" w:sz="4" w:space="0"/>
            </w:tcBorders>
            <w:vAlign w:val="center"/>
          </w:tcPr>
          <w:p w14:paraId="27C7C6E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编号</w:t>
            </w:r>
          </w:p>
        </w:tc>
        <w:tc>
          <w:tcPr>
            <w:tcW w:w="931" w:type="dxa"/>
            <w:vMerge w:val="restart"/>
            <w:tcBorders>
              <w:top w:val="single" w:color="auto" w:sz="4" w:space="0"/>
              <w:left w:val="single" w:color="auto" w:sz="4" w:space="0"/>
              <w:right w:val="single" w:color="auto" w:sz="4" w:space="0"/>
            </w:tcBorders>
            <w:vAlign w:val="center"/>
          </w:tcPr>
          <w:p w14:paraId="650EC1E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监测因子</w:t>
            </w:r>
          </w:p>
        </w:tc>
        <w:tc>
          <w:tcPr>
            <w:tcW w:w="516" w:type="dxa"/>
            <w:tcBorders>
              <w:top w:val="single" w:color="auto" w:sz="4" w:space="0"/>
              <w:left w:val="single" w:color="auto" w:sz="4" w:space="0"/>
              <w:right w:val="single" w:color="auto" w:sz="4" w:space="0"/>
            </w:tcBorders>
            <w:vAlign w:val="center"/>
          </w:tcPr>
          <w:p w14:paraId="2FBF9AC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标准值</w:t>
            </w:r>
          </w:p>
        </w:tc>
        <w:tc>
          <w:tcPr>
            <w:tcW w:w="1794" w:type="dxa"/>
            <w:gridSpan w:val="6"/>
            <w:tcBorders>
              <w:top w:val="single" w:color="auto" w:sz="4" w:space="0"/>
              <w:left w:val="single" w:color="auto" w:sz="4" w:space="0"/>
              <w:right w:val="single" w:color="auto" w:sz="4" w:space="0"/>
            </w:tcBorders>
            <w:vAlign w:val="center"/>
          </w:tcPr>
          <w:p w14:paraId="3428E59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T2</w:t>
            </w:r>
          </w:p>
        </w:tc>
        <w:tc>
          <w:tcPr>
            <w:tcW w:w="1794" w:type="dxa"/>
            <w:gridSpan w:val="6"/>
            <w:tcBorders>
              <w:top w:val="single" w:color="auto" w:sz="4" w:space="0"/>
              <w:left w:val="single" w:color="auto" w:sz="4" w:space="0"/>
              <w:right w:val="single" w:color="auto" w:sz="4" w:space="0"/>
            </w:tcBorders>
            <w:vAlign w:val="center"/>
          </w:tcPr>
          <w:p w14:paraId="54CD036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T3</w:t>
            </w:r>
          </w:p>
        </w:tc>
        <w:tc>
          <w:tcPr>
            <w:tcW w:w="1794" w:type="dxa"/>
            <w:gridSpan w:val="6"/>
            <w:tcBorders>
              <w:top w:val="single" w:color="auto" w:sz="4" w:space="0"/>
              <w:left w:val="single" w:color="auto" w:sz="4" w:space="0"/>
              <w:right w:val="single" w:color="auto" w:sz="4" w:space="0"/>
            </w:tcBorders>
            <w:vAlign w:val="center"/>
          </w:tcPr>
          <w:p w14:paraId="63FC3346">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T4</w:t>
            </w:r>
          </w:p>
        </w:tc>
        <w:tc>
          <w:tcPr>
            <w:tcW w:w="598" w:type="dxa"/>
            <w:gridSpan w:val="2"/>
            <w:tcBorders>
              <w:top w:val="single" w:color="auto" w:sz="4" w:space="0"/>
              <w:left w:val="single" w:color="auto" w:sz="4" w:space="0"/>
              <w:right w:val="single" w:color="auto" w:sz="4" w:space="0"/>
            </w:tcBorders>
            <w:vAlign w:val="center"/>
          </w:tcPr>
          <w:p w14:paraId="5B87D5E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T5</w:t>
            </w:r>
          </w:p>
        </w:tc>
        <w:tc>
          <w:tcPr>
            <w:tcW w:w="613" w:type="dxa"/>
            <w:gridSpan w:val="2"/>
            <w:tcBorders>
              <w:top w:val="single" w:color="auto" w:sz="4" w:space="0"/>
              <w:left w:val="single" w:color="auto" w:sz="4" w:space="0"/>
              <w:right w:val="single" w:color="auto" w:sz="4" w:space="0"/>
            </w:tcBorders>
            <w:vAlign w:val="center"/>
          </w:tcPr>
          <w:p w14:paraId="707002B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T6</w:t>
            </w:r>
          </w:p>
        </w:tc>
      </w:tr>
      <w:tr w14:paraId="0EC3F357">
        <w:tblPrEx>
          <w:tblCellMar>
            <w:top w:w="15" w:type="dxa"/>
            <w:left w:w="15" w:type="dxa"/>
            <w:bottom w:w="15" w:type="dxa"/>
            <w:right w:w="15" w:type="dxa"/>
          </w:tblCellMar>
        </w:tblPrEx>
        <w:trPr>
          <w:jc w:val="center"/>
        </w:trPr>
        <w:tc>
          <w:tcPr>
            <w:tcW w:w="210" w:type="dxa"/>
            <w:vMerge w:val="continue"/>
            <w:tcBorders>
              <w:left w:val="single" w:color="auto" w:sz="4" w:space="0"/>
              <w:right w:val="single" w:color="auto" w:sz="4" w:space="0"/>
            </w:tcBorders>
            <w:vAlign w:val="center"/>
          </w:tcPr>
          <w:p w14:paraId="502AA708">
            <w:pPr>
              <w:widowControl/>
              <w:adjustRightInd w:val="0"/>
              <w:snapToGrid w:val="0"/>
              <w:jc w:val="center"/>
              <w:rPr>
                <w:snapToGrid w:val="0"/>
                <w:color w:val="auto"/>
                <w:kern w:val="0"/>
                <w:szCs w:val="21"/>
                <w:highlight w:val="none"/>
              </w:rPr>
            </w:pPr>
          </w:p>
        </w:tc>
        <w:tc>
          <w:tcPr>
            <w:tcW w:w="931" w:type="dxa"/>
            <w:vMerge w:val="continue"/>
            <w:tcBorders>
              <w:left w:val="single" w:color="auto" w:sz="4" w:space="0"/>
              <w:right w:val="single" w:color="auto" w:sz="4" w:space="0"/>
            </w:tcBorders>
            <w:vAlign w:val="center"/>
          </w:tcPr>
          <w:p w14:paraId="1AD82201">
            <w:pPr>
              <w:widowControl/>
              <w:adjustRightInd w:val="0"/>
              <w:snapToGrid w:val="0"/>
              <w:jc w:val="center"/>
              <w:rPr>
                <w:snapToGrid w:val="0"/>
                <w:color w:val="auto"/>
                <w:kern w:val="0"/>
                <w:szCs w:val="21"/>
                <w:highlight w:val="none"/>
              </w:rPr>
            </w:pPr>
          </w:p>
        </w:tc>
        <w:tc>
          <w:tcPr>
            <w:tcW w:w="516" w:type="dxa"/>
            <w:vMerge w:val="restart"/>
            <w:tcBorders>
              <w:top w:val="single" w:color="auto" w:sz="4" w:space="0"/>
              <w:left w:val="single" w:color="auto" w:sz="4" w:space="0"/>
              <w:right w:val="single" w:color="auto" w:sz="4" w:space="0"/>
            </w:tcBorders>
            <w:vAlign w:val="center"/>
          </w:tcPr>
          <w:p w14:paraId="2A63ED8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建设用地第二类用地筛选值</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5942622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37c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5B9EC2B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112c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5EE59BF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176c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3A92670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32c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3AB0B77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120c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59C2D00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186c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595567E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29c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4C20A21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124c</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6DE7177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177</w:t>
            </w:r>
            <w:r>
              <w:rPr>
                <w:rFonts w:hint="eastAsia"/>
                <w:snapToGrid w:val="0"/>
                <w:color w:val="auto"/>
                <w:kern w:val="0"/>
                <w:szCs w:val="21"/>
                <w:highlight w:val="none"/>
              </w:rPr>
              <w:t>m</w:t>
            </w:r>
          </w:p>
        </w:tc>
        <w:tc>
          <w:tcPr>
            <w:tcW w:w="598" w:type="dxa"/>
            <w:gridSpan w:val="2"/>
            <w:tcBorders>
              <w:top w:val="single" w:color="auto" w:sz="4" w:space="0"/>
              <w:left w:val="single" w:color="auto" w:sz="4" w:space="0"/>
              <w:bottom w:val="single" w:color="auto" w:sz="4" w:space="0"/>
              <w:right w:val="single" w:color="auto" w:sz="4" w:space="0"/>
            </w:tcBorders>
            <w:vAlign w:val="center"/>
          </w:tcPr>
          <w:p w14:paraId="02A2C0D5">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17</w:t>
            </w:r>
            <w:r>
              <w:rPr>
                <w:rFonts w:hint="eastAsia"/>
                <w:snapToGrid w:val="0"/>
                <w:color w:val="auto"/>
                <w:kern w:val="0"/>
                <w:szCs w:val="21"/>
                <w:highlight w:val="none"/>
              </w:rPr>
              <w:t>m</w:t>
            </w:r>
          </w:p>
        </w:tc>
        <w:tc>
          <w:tcPr>
            <w:tcW w:w="613" w:type="dxa"/>
            <w:gridSpan w:val="2"/>
            <w:tcBorders>
              <w:top w:val="single" w:color="auto" w:sz="4" w:space="0"/>
              <w:left w:val="single" w:color="auto" w:sz="4" w:space="0"/>
              <w:bottom w:val="single" w:color="auto" w:sz="4" w:space="0"/>
              <w:right w:val="single" w:color="auto" w:sz="4" w:space="0"/>
            </w:tcBorders>
            <w:vAlign w:val="center"/>
          </w:tcPr>
          <w:p w14:paraId="4333F08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19</w:t>
            </w:r>
            <w:r>
              <w:rPr>
                <w:rFonts w:hint="eastAsia"/>
                <w:snapToGrid w:val="0"/>
                <w:color w:val="auto"/>
                <w:kern w:val="0"/>
                <w:szCs w:val="21"/>
                <w:highlight w:val="none"/>
              </w:rPr>
              <w:t>m</w:t>
            </w:r>
          </w:p>
        </w:tc>
      </w:tr>
      <w:tr w14:paraId="08D56B00">
        <w:tblPrEx>
          <w:tblCellMar>
            <w:top w:w="15" w:type="dxa"/>
            <w:left w:w="15" w:type="dxa"/>
            <w:bottom w:w="15" w:type="dxa"/>
            <w:right w:w="15" w:type="dxa"/>
          </w:tblCellMar>
        </w:tblPrEx>
        <w:trPr>
          <w:jc w:val="center"/>
        </w:trPr>
        <w:tc>
          <w:tcPr>
            <w:tcW w:w="210" w:type="dxa"/>
            <w:vMerge w:val="continue"/>
            <w:tcBorders>
              <w:left w:val="single" w:color="auto" w:sz="4" w:space="0"/>
              <w:bottom w:val="single" w:color="auto" w:sz="4" w:space="0"/>
              <w:right w:val="single" w:color="auto" w:sz="4" w:space="0"/>
            </w:tcBorders>
            <w:vAlign w:val="center"/>
          </w:tcPr>
          <w:p w14:paraId="376E1037">
            <w:pPr>
              <w:widowControl/>
              <w:adjustRightInd w:val="0"/>
              <w:snapToGrid w:val="0"/>
              <w:jc w:val="center"/>
              <w:rPr>
                <w:snapToGrid w:val="0"/>
                <w:color w:val="auto"/>
                <w:kern w:val="0"/>
                <w:szCs w:val="21"/>
                <w:highlight w:val="none"/>
              </w:rPr>
            </w:pPr>
          </w:p>
        </w:tc>
        <w:tc>
          <w:tcPr>
            <w:tcW w:w="931" w:type="dxa"/>
            <w:vMerge w:val="continue"/>
            <w:tcBorders>
              <w:left w:val="single" w:color="auto" w:sz="4" w:space="0"/>
              <w:bottom w:val="single" w:color="auto" w:sz="4" w:space="0"/>
              <w:right w:val="single" w:color="auto" w:sz="4" w:space="0"/>
            </w:tcBorders>
            <w:vAlign w:val="center"/>
          </w:tcPr>
          <w:p w14:paraId="60C4D99D">
            <w:pPr>
              <w:widowControl/>
              <w:adjustRightInd w:val="0"/>
              <w:snapToGrid w:val="0"/>
              <w:jc w:val="center"/>
              <w:rPr>
                <w:snapToGrid w:val="0"/>
                <w:color w:val="auto"/>
                <w:kern w:val="0"/>
                <w:szCs w:val="21"/>
                <w:highlight w:val="none"/>
              </w:rPr>
            </w:pPr>
          </w:p>
        </w:tc>
        <w:tc>
          <w:tcPr>
            <w:tcW w:w="516" w:type="dxa"/>
            <w:vMerge w:val="continue"/>
            <w:tcBorders>
              <w:left w:val="single" w:color="auto" w:sz="4" w:space="0"/>
              <w:right w:val="single" w:color="auto" w:sz="4" w:space="0"/>
            </w:tcBorders>
            <w:vAlign w:val="center"/>
          </w:tcPr>
          <w:p w14:paraId="3534E040">
            <w:pPr>
              <w:widowControl/>
              <w:adjustRightInd w:val="0"/>
              <w:snapToGrid w:val="0"/>
              <w:jc w:val="center"/>
              <w:rPr>
                <w:snapToGrid w:val="0"/>
                <w:color w:val="auto"/>
                <w:kern w:val="0"/>
                <w:szCs w:val="21"/>
                <w:highlight w:val="none"/>
              </w:rPr>
            </w:pPr>
          </w:p>
        </w:tc>
        <w:tc>
          <w:tcPr>
            <w:tcW w:w="299" w:type="dxa"/>
            <w:tcBorders>
              <w:top w:val="single" w:color="auto" w:sz="4" w:space="0"/>
              <w:left w:val="single" w:color="auto" w:sz="4" w:space="0"/>
              <w:bottom w:val="single" w:color="auto" w:sz="4" w:space="0"/>
              <w:right w:val="single" w:color="auto" w:sz="4" w:space="0"/>
            </w:tcBorders>
            <w:vAlign w:val="center"/>
          </w:tcPr>
          <w:p w14:paraId="3065C49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29C0925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4D4AF4B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3C4449E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0D9FD42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486E51FE">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3DC26FB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401D946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40FF6160">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2D24218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38E0EF84">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4EF23A7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4175A13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0ECB79AB">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1CCE54C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5D18ED3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1FFEAAE1">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6839439F">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184CC2E2">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299" w:type="dxa"/>
            <w:tcBorders>
              <w:top w:val="single" w:color="auto" w:sz="4" w:space="0"/>
              <w:left w:val="single" w:color="auto" w:sz="4" w:space="0"/>
              <w:bottom w:val="single" w:color="auto" w:sz="4" w:space="0"/>
              <w:right w:val="single" w:color="auto" w:sz="4" w:space="0"/>
            </w:tcBorders>
            <w:vAlign w:val="center"/>
          </w:tcPr>
          <w:p w14:paraId="46F9682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c>
          <w:tcPr>
            <w:tcW w:w="299" w:type="dxa"/>
            <w:tcBorders>
              <w:top w:val="single" w:color="auto" w:sz="4" w:space="0"/>
              <w:left w:val="single" w:color="auto" w:sz="4" w:space="0"/>
              <w:bottom w:val="single" w:color="auto" w:sz="4" w:space="0"/>
              <w:right w:val="single" w:color="auto" w:sz="4" w:space="0"/>
            </w:tcBorders>
            <w:vAlign w:val="center"/>
          </w:tcPr>
          <w:p w14:paraId="07D1E34C">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监测结果</w:t>
            </w:r>
          </w:p>
        </w:tc>
        <w:tc>
          <w:tcPr>
            <w:tcW w:w="314" w:type="dxa"/>
            <w:tcBorders>
              <w:top w:val="single" w:color="auto" w:sz="4" w:space="0"/>
              <w:left w:val="single" w:color="auto" w:sz="4" w:space="0"/>
              <w:bottom w:val="single" w:color="auto" w:sz="4" w:space="0"/>
              <w:right w:val="single" w:color="auto" w:sz="4" w:space="0"/>
            </w:tcBorders>
            <w:vAlign w:val="center"/>
          </w:tcPr>
          <w:p w14:paraId="1FC619BA">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评价结果</w:t>
            </w:r>
          </w:p>
        </w:tc>
      </w:tr>
      <w:tr w14:paraId="719F40A4">
        <w:tblPrEx>
          <w:tblCellMar>
            <w:top w:w="15" w:type="dxa"/>
            <w:left w:w="15" w:type="dxa"/>
            <w:bottom w:w="15" w:type="dxa"/>
            <w:right w:w="15" w:type="dxa"/>
          </w:tblCellMar>
        </w:tblPrEx>
        <w:trPr>
          <w:jc w:val="center"/>
        </w:trPr>
        <w:tc>
          <w:tcPr>
            <w:tcW w:w="210" w:type="dxa"/>
            <w:tcBorders>
              <w:top w:val="single" w:color="auto" w:sz="4" w:space="0"/>
              <w:left w:val="single" w:color="auto" w:sz="4" w:space="0"/>
              <w:bottom w:val="single" w:color="auto" w:sz="4" w:space="0"/>
              <w:right w:val="single" w:color="auto" w:sz="4" w:space="0"/>
            </w:tcBorders>
            <w:vAlign w:val="center"/>
          </w:tcPr>
          <w:p w14:paraId="07DB0B6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1</w:t>
            </w:r>
          </w:p>
        </w:tc>
        <w:tc>
          <w:tcPr>
            <w:tcW w:w="931" w:type="dxa"/>
            <w:tcBorders>
              <w:top w:val="single" w:color="auto" w:sz="4" w:space="0"/>
              <w:left w:val="single" w:color="auto" w:sz="4" w:space="0"/>
              <w:bottom w:val="single" w:color="auto" w:sz="4" w:space="0"/>
              <w:right w:val="single" w:color="auto" w:sz="4" w:space="0"/>
            </w:tcBorders>
            <w:vAlign w:val="center"/>
          </w:tcPr>
          <w:p w14:paraId="6333232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pH值</w:t>
            </w:r>
          </w:p>
        </w:tc>
        <w:tc>
          <w:tcPr>
            <w:tcW w:w="516" w:type="dxa"/>
            <w:tcBorders>
              <w:top w:val="single" w:color="auto" w:sz="4" w:space="0"/>
              <w:left w:val="single" w:color="auto" w:sz="4" w:space="0"/>
              <w:bottom w:val="single" w:color="auto" w:sz="4" w:space="0"/>
              <w:right w:val="single" w:color="auto" w:sz="4" w:space="0"/>
            </w:tcBorders>
            <w:vAlign w:val="center"/>
          </w:tcPr>
          <w:p w14:paraId="2C9E10FC">
            <w:pPr>
              <w:widowControl/>
              <w:adjustRightInd w:val="0"/>
              <w:snapToGrid w:val="0"/>
              <w:jc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vAlign w:val="center"/>
          </w:tcPr>
          <w:p w14:paraId="654755B3">
            <w:pPr>
              <w:keepNext w:val="0"/>
              <w:keepLines w:val="0"/>
              <w:widowControl/>
              <w:suppressLineNumbers w:val="0"/>
              <w:jc w:val="center"/>
              <w:textAlignment w:val="center"/>
              <w:rPr>
                <w:rFonts w:hint="default" w:eastAsia="宋体"/>
                <w:snapToGrid w:val="0"/>
                <w:color w:val="auto"/>
                <w:spacing w:val="-20"/>
                <w:w w:val="80"/>
                <w:kern w:val="0"/>
                <w:sz w:val="21"/>
                <w:szCs w:val="21"/>
                <w:highlight w:val="none"/>
                <w:lang w:val="en-US" w:eastAsia="zh-CN"/>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8.14</w:t>
            </w:r>
          </w:p>
        </w:tc>
        <w:tc>
          <w:tcPr>
            <w:tcW w:w="299" w:type="dxa"/>
            <w:tcBorders>
              <w:top w:val="single" w:color="auto" w:sz="4" w:space="0"/>
              <w:left w:val="single" w:color="auto" w:sz="4" w:space="0"/>
              <w:bottom w:val="single" w:color="auto" w:sz="4" w:space="0"/>
              <w:right w:val="single" w:color="auto" w:sz="4" w:space="0"/>
            </w:tcBorders>
            <w:vAlign w:val="center"/>
          </w:tcPr>
          <w:p w14:paraId="39BC0783">
            <w:pPr>
              <w:keepNext w:val="0"/>
              <w:keepLines w:val="0"/>
              <w:widowControl/>
              <w:suppressLineNumbers w:val="0"/>
              <w:jc w:val="center"/>
              <w:textAlignment w:val="center"/>
              <w:rPr>
                <w:rFonts w:hint="default" w:eastAsia="宋体"/>
                <w:snapToGrid w:val="0"/>
                <w:color w:val="auto"/>
                <w:spacing w:val="-20"/>
                <w:w w:val="80"/>
                <w:kern w:val="0"/>
                <w:sz w:val="21"/>
                <w:szCs w:val="21"/>
                <w:highlight w:val="none"/>
                <w:lang w:val="en-US" w:eastAsia="zh-CN"/>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vAlign w:val="center"/>
          </w:tcPr>
          <w:p w14:paraId="10814ACC">
            <w:pPr>
              <w:keepNext w:val="0"/>
              <w:keepLines w:val="0"/>
              <w:widowControl/>
              <w:suppressLineNumbers w:val="0"/>
              <w:jc w:val="center"/>
              <w:textAlignment w:val="center"/>
              <w:rPr>
                <w:snapToGrid w:val="0"/>
                <w:color w:val="auto"/>
                <w:spacing w:val="-20"/>
                <w:w w:val="80"/>
                <w:kern w:val="0"/>
                <w:sz w:val="21"/>
                <w:szCs w:val="21"/>
                <w:highlight w:val="none"/>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8.16</w:t>
            </w:r>
          </w:p>
        </w:tc>
        <w:tc>
          <w:tcPr>
            <w:tcW w:w="299" w:type="dxa"/>
            <w:tcBorders>
              <w:top w:val="single" w:color="auto" w:sz="4" w:space="0"/>
              <w:left w:val="single" w:color="auto" w:sz="4" w:space="0"/>
              <w:bottom w:val="single" w:color="auto" w:sz="4" w:space="0"/>
              <w:right w:val="single" w:color="auto" w:sz="4" w:space="0"/>
            </w:tcBorders>
            <w:vAlign w:val="center"/>
          </w:tcPr>
          <w:p w14:paraId="3803630E">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09A621E2">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8.14</w:t>
            </w:r>
          </w:p>
        </w:tc>
        <w:tc>
          <w:tcPr>
            <w:tcW w:w="299" w:type="dxa"/>
            <w:tcBorders>
              <w:top w:val="single" w:color="auto" w:sz="4" w:space="0"/>
              <w:left w:val="single" w:color="auto" w:sz="4" w:space="0"/>
              <w:bottom w:val="single" w:color="auto" w:sz="4" w:space="0"/>
              <w:right w:val="single" w:color="auto" w:sz="4" w:space="0"/>
            </w:tcBorders>
            <w:vAlign w:val="center"/>
          </w:tcPr>
          <w:p w14:paraId="61BAFB78">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5EF0CDC7">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8.08</w:t>
            </w:r>
          </w:p>
        </w:tc>
        <w:tc>
          <w:tcPr>
            <w:tcW w:w="299" w:type="dxa"/>
            <w:tcBorders>
              <w:top w:val="single" w:color="auto" w:sz="4" w:space="0"/>
              <w:left w:val="single" w:color="auto" w:sz="4" w:space="0"/>
              <w:bottom w:val="single" w:color="auto" w:sz="4" w:space="0"/>
              <w:right w:val="single" w:color="auto" w:sz="4" w:space="0"/>
            </w:tcBorders>
            <w:vAlign w:val="center"/>
          </w:tcPr>
          <w:p w14:paraId="76007D11">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52504787">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8.1</w:t>
            </w:r>
          </w:p>
        </w:tc>
        <w:tc>
          <w:tcPr>
            <w:tcW w:w="299" w:type="dxa"/>
            <w:tcBorders>
              <w:top w:val="single" w:color="auto" w:sz="4" w:space="0"/>
              <w:left w:val="single" w:color="auto" w:sz="4" w:space="0"/>
              <w:bottom w:val="single" w:color="auto" w:sz="4" w:space="0"/>
              <w:right w:val="single" w:color="auto" w:sz="4" w:space="0"/>
            </w:tcBorders>
            <w:vAlign w:val="center"/>
          </w:tcPr>
          <w:p w14:paraId="5158C444">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137BB84C">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8.07</w:t>
            </w:r>
          </w:p>
        </w:tc>
        <w:tc>
          <w:tcPr>
            <w:tcW w:w="299" w:type="dxa"/>
            <w:tcBorders>
              <w:top w:val="single" w:color="auto" w:sz="4" w:space="0"/>
              <w:left w:val="single" w:color="auto" w:sz="4" w:space="0"/>
              <w:bottom w:val="single" w:color="auto" w:sz="4" w:space="0"/>
              <w:right w:val="single" w:color="auto" w:sz="4" w:space="0"/>
            </w:tcBorders>
            <w:vAlign w:val="center"/>
          </w:tcPr>
          <w:p w14:paraId="24DA03E1">
            <w:pPr>
              <w:keepNext w:val="0"/>
              <w:keepLines w:val="0"/>
              <w:widowControl/>
              <w:suppressLineNumbers w:val="0"/>
              <w:jc w:val="center"/>
              <w:textAlignment w:val="center"/>
              <w:rPr>
                <w:rFonts w:hint="eastAsia" w:eastAsia="宋体"/>
                <w:snapToGrid w:val="0"/>
                <w:color w:val="auto"/>
                <w:spacing w:val="-20"/>
                <w:w w:val="80"/>
                <w:kern w:val="0"/>
                <w:sz w:val="21"/>
                <w:szCs w:val="21"/>
                <w:highlight w:val="none"/>
                <w:lang w:val="en-US" w:eastAsia="zh-CN"/>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591FB206">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8.4</w:t>
            </w:r>
          </w:p>
        </w:tc>
        <w:tc>
          <w:tcPr>
            <w:tcW w:w="299" w:type="dxa"/>
            <w:tcBorders>
              <w:top w:val="single" w:color="auto" w:sz="4" w:space="0"/>
              <w:left w:val="single" w:color="auto" w:sz="4" w:space="0"/>
              <w:bottom w:val="single" w:color="auto" w:sz="4" w:space="0"/>
              <w:right w:val="single" w:color="auto" w:sz="4" w:space="0"/>
            </w:tcBorders>
            <w:vAlign w:val="center"/>
          </w:tcPr>
          <w:p w14:paraId="5279947A">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6810E12F">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8.39</w:t>
            </w:r>
          </w:p>
        </w:tc>
        <w:tc>
          <w:tcPr>
            <w:tcW w:w="299" w:type="dxa"/>
            <w:tcBorders>
              <w:top w:val="single" w:color="auto" w:sz="4" w:space="0"/>
              <w:left w:val="single" w:color="auto" w:sz="4" w:space="0"/>
              <w:bottom w:val="single" w:color="auto" w:sz="4" w:space="0"/>
              <w:right w:val="single" w:color="auto" w:sz="4" w:space="0"/>
            </w:tcBorders>
            <w:vAlign w:val="center"/>
          </w:tcPr>
          <w:p w14:paraId="2D67355C">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13E665FA">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8.38</w:t>
            </w:r>
          </w:p>
        </w:tc>
        <w:tc>
          <w:tcPr>
            <w:tcW w:w="299" w:type="dxa"/>
            <w:tcBorders>
              <w:top w:val="single" w:color="auto" w:sz="4" w:space="0"/>
              <w:left w:val="single" w:color="auto" w:sz="4" w:space="0"/>
              <w:bottom w:val="single" w:color="auto" w:sz="4" w:space="0"/>
              <w:right w:val="single" w:color="auto" w:sz="4" w:space="0"/>
            </w:tcBorders>
            <w:vAlign w:val="center"/>
          </w:tcPr>
          <w:p w14:paraId="14078091">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2EAB7C04">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8.21</w:t>
            </w:r>
          </w:p>
        </w:tc>
        <w:tc>
          <w:tcPr>
            <w:tcW w:w="299" w:type="dxa"/>
            <w:tcBorders>
              <w:top w:val="single" w:color="auto" w:sz="4" w:space="0"/>
              <w:left w:val="single" w:color="auto" w:sz="4" w:space="0"/>
              <w:bottom w:val="single" w:color="auto" w:sz="4" w:space="0"/>
              <w:right w:val="single" w:color="auto" w:sz="4" w:space="0"/>
            </w:tcBorders>
            <w:vAlign w:val="center"/>
          </w:tcPr>
          <w:p w14:paraId="58391058">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32ECC767">
            <w:pPr>
              <w:keepNext w:val="0"/>
              <w:keepLines w:val="0"/>
              <w:widowControl/>
              <w:suppressLineNumbers w:val="0"/>
              <w:jc w:val="center"/>
              <w:textAlignment w:val="center"/>
              <w:rPr>
                <w:rFonts w:ascii="Times New Roman" w:hAnsi="Times New Roman" w:eastAsia="宋体" w:cs="Times New Roman"/>
                <w:snapToGrid w:val="0"/>
                <w:color w:val="auto"/>
                <w:spacing w:val="-20"/>
                <w:w w:val="80"/>
                <w:kern w:val="0"/>
                <w:sz w:val="21"/>
                <w:szCs w:val="21"/>
                <w:highlight w:val="none"/>
                <w:lang w:val="en-US" w:eastAsia="zh-CN" w:bidi="ar-SA"/>
              </w:rPr>
            </w:pPr>
            <w:r>
              <w:rPr>
                <w:rFonts w:hint="default" w:ascii="Times New Roman" w:hAnsi="Times New Roman" w:eastAsia="宋体" w:cs="Times New Roman"/>
                <w:i w:val="0"/>
                <w:iCs w:val="0"/>
                <w:color w:val="auto"/>
                <w:spacing w:val="-20"/>
                <w:w w:val="80"/>
                <w:kern w:val="0"/>
                <w:sz w:val="21"/>
                <w:szCs w:val="21"/>
                <w:highlight w:val="none"/>
                <w:u w:val="none"/>
                <w:lang w:val="en-US" w:eastAsia="zh-CN" w:bidi="ar"/>
              </w:rPr>
              <w:t>8.12</w:t>
            </w:r>
          </w:p>
        </w:tc>
        <w:tc>
          <w:tcPr>
            <w:tcW w:w="314" w:type="dxa"/>
            <w:tcBorders>
              <w:top w:val="single" w:color="auto" w:sz="4" w:space="0"/>
              <w:left w:val="single" w:color="auto" w:sz="4" w:space="0"/>
              <w:bottom w:val="single" w:color="auto" w:sz="4" w:space="0"/>
              <w:right w:val="single" w:color="auto" w:sz="4" w:space="0"/>
            </w:tcBorders>
            <w:vAlign w:val="center"/>
          </w:tcPr>
          <w:p w14:paraId="597DA222">
            <w:pPr>
              <w:keepNext w:val="0"/>
              <w:keepLines w:val="0"/>
              <w:widowControl/>
              <w:suppressLineNumbers w:val="0"/>
              <w:jc w:val="center"/>
              <w:textAlignment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w:t>
            </w:r>
          </w:p>
        </w:tc>
      </w:tr>
      <w:tr w14:paraId="0A1F4B85">
        <w:tblPrEx>
          <w:tblCellMar>
            <w:top w:w="15" w:type="dxa"/>
            <w:left w:w="15" w:type="dxa"/>
            <w:bottom w:w="15" w:type="dxa"/>
            <w:right w:w="15" w:type="dxa"/>
          </w:tblCellMar>
        </w:tblPrEx>
        <w:trPr>
          <w:jc w:val="center"/>
        </w:trPr>
        <w:tc>
          <w:tcPr>
            <w:tcW w:w="210" w:type="dxa"/>
            <w:tcBorders>
              <w:top w:val="single" w:color="auto" w:sz="4" w:space="0"/>
              <w:left w:val="single" w:color="auto" w:sz="4" w:space="0"/>
              <w:bottom w:val="single" w:color="auto" w:sz="4" w:space="0"/>
              <w:right w:val="single" w:color="auto" w:sz="4" w:space="0"/>
            </w:tcBorders>
            <w:vAlign w:val="center"/>
          </w:tcPr>
          <w:p w14:paraId="189FB797">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2</w:t>
            </w:r>
          </w:p>
        </w:tc>
        <w:tc>
          <w:tcPr>
            <w:tcW w:w="931" w:type="dxa"/>
            <w:tcBorders>
              <w:top w:val="single" w:color="auto" w:sz="4" w:space="0"/>
              <w:left w:val="single" w:color="auto" w:sz="4" w:space="0"/>
              <w:bottom w:val="single" w:color="auto" w:sz="4" w:space="0"/>
              <w:right w:val="single" w:color="auto" w:sz="4" w:space="0"/>
            </w:tcBorders>
            <w:vAlign w:val="center"/>
          </w:tcPr>
          <w:p w14:paraId="2898522A">
            <w:pPr>
              <w:widowControl/>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石油烃</w:t>
            </w:r>
            <w:r>
              <w:rPr>
                <w:rFonts w:hint="eastAsia"/>
                <w:snapToGrid w:val="0"/>
                <w:color w:val="auto"/>
                <w:kern w:val="0"/>
                <w:szCs w:val="21"/>
                <w:highlight w:val="none"/>
                <w:lang w:val="en-US" w:eastAsia="zh-CN"/>
              </w:rPr>
              <w:t>(</w:t>
            </w:r>
            <w:r>
              <w:rPr>
                <w:rFonts w:hint="eastAsia"/>
                <w:snapToGrid w:val="0"/>
                <w:color w:val="auto"/>
                <w:kern w:val="0"/>
                <w:szCs w:val="21"/>
                <w:highlight w:val="none"/>
              </w:rPr>
              <w:t>C</w:t>
            </w:r>
            <w:r>
              <w:rPr>
                <w:rFonts w:hint="eastAsia"/>
                <w:snapToGrid w:val="0"/>
                <w:color w:val="auto"/>
                <w:kern w:val="0"/>
                <w:szCs w:val="21"/>
                <w:highlight w:val="none"/>
                <w:vertAlign w:val="subscript"/>
              </w:rPr>
              <w:t>10</w:t>
            </w:r>
            <w:r>
              <w:rPr>
                <w:rFonts w:hint="eastAsia"/>
                <w:snapToGrid w:val="0"/>
                <w:color w:val="auto"/>
                <w:kern w:val="0"/>
                <w:szCs w:val="21"/>
                <w:highlight w:val="none"/>
              </w:rPr>
              <w:t>-C</w:t>
            </w:r>
            <w:r>
              <w:rPr>
                <w:rFonts w:hint="eastAsia"/>
                <w:snapToGrid w:val="0"/>
                <w:color w:val="auto"/>
                <w:kern w:val="0"/>
                <w:szCs w:val="21"/>
                <w:highlight w:val="none"/>
                <w:vertAlign w:val="subscript"/>
              </w:rPr>
              <w:t>4</w:t>
            </w:r>
            <w:r>
              <w:rPr>
                <w:rFonts w:hint="eastAsia"/>
                <w:snapToGrid w:val="0"/>
                <w:color w:val="auto"/>
                <w:kern w:val="0"/>
                <w:szCs w:val="21"/>
                <w:highlight w:val="none"/>
                <w:vertAlign w:val="subscript"/>
                <w:lang w:val="en-US" w:eastAsia="zh-CN"/>
              </w:rPr>
              <w:t>)</w:t>
            </w:r>
          </w:p>
        </w:tc>
        <w:tc>
          <w:tcPr>
            <w:tcW w:w="516" w:type="dxa"/>
            <w:tcBorders>
              <w:top w:val="single" w:color="auto" w:sz="4" w:space="0"/>
              <w:left w:val="single" w:color="auto" w:sz="4" w:space="0"/>
              <w:bottom w:val="single" w:color="auto" w:sz="4" w:space="0"/>
              <w:right w:val="single" w:color="auto" w:sz="4" w:space="0"/>
            </w:tcBorders>
            <w:vAlign w:val="center"/>
          </w:tcPr>
          <w:p w14:paraId="5BDB57F6">
            <w:pPr>
              <w:widowControl/>
              <w:adjustRightInd w:val="0"/>
              <w:snapToGrid w:val="0"/>
              <w:jc w:val="center"/>
              <w:rPr>
                <w:snapToGrid w:val="0"/>
                <w:color w:val="auto"/>
                <w:spacing w:val="-20"/>
                <w:w w:val="80"/>
                <w:kern w:val="0"/>
                <w:sz w:val="21"/>
                <w:szCs w:val="21"/>
                <w:highlight w:val="none"/>
              </w:rPr>
            </w:pPr>
            <w:r>
              <w:rPr>
                <w:rFonts w:hint="eastAsia"/>
                <w:snapToGrid w:val="0"/>
                <w:color w:val="auto"/>
                <w:spacing w:val="-20"/>
                <w:w w:val="80"/>
                <w:kern w:val="0"/>
                <w:sz w:val="21"/>
                <w:szCs w:val="21"/>
                <w:highlight w:val="none"/>
              </w:rPr>
              <w:t>4500</w:t>
            </w:r>
          </w:p>
        </w:tc>
        <w:tc>
          <w:tcPr>
            <w:tcW w:w="299" w:type="dxa"/>
            <w:tcBorders>
              <w:top w:val="single" w:color="auto" w:sz="4" w:space="0"/>
              <w:left w:val="single" w:color="auto" w:sz="4" w:space="0"/>
              <w:bottom w:val="single" w:color="auto" w:sz="4" w:space="0"/>
              <w:right w:val="single" w:color="auto" w:sz="4" w:space="0"/>
            </w:tcBorders>
            <w:vAlign w:val="center"/>
          </w:tcPr>
          <w:p w14:paraId="36D2F8C3">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27</w:t>
            </w:r>
          </w:p>
        </w:tc>
        <w:tc>
          <w:tcPr>
            <w:tcW w:w="299" w:type="dxa"/>
            <w:tcBorders>
              <w:top w:val="single" w:color="auto" w:sz="4" w:space="0"/>
              <w:left w:val="single" w:color="auto" w:sz="4" w:space="0"/>
              <w:bottom w:val="single" w:color="auto" w:sz="4" w:space="0"/>
              <w:right w:val="single" w:color="auto" w:sz="4" w:space="0"/>
            </w:tcBorders>
            <w:vAlign w:val="center"/>
          </w:tcPr>
          <w:p w14:paraId="62F80F82">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0.006</w:t>
            </w:r>
          </w:p>
        </w:tc>
        <w:tc>
          <w:tcPr>
            <w:tcW w:w="299" w:type="dxa"/>
            <w:tcBorders>
              <w:top w:val="single" w:color="auto" w:sz="4" w:space="0"/>
              <w:left w:val="single" w:color="auto" w:sz="4" w:space="0"/>
              <w:bottom w:val="single" w:color="auto" w:sz="4" w:space="0"/>
              <w:right w:val="single" w:color="auto" w:sz="4" w:space="0"/>
            </w:tcBorders>
            <w:vAlign w:val="center"/>
          </w:tcPr>
          <w:p w14:paraId="0C977466">
            <w:pPr>
              <w:keepNext w:val="0"/>
              <w:keepLines w:val="0"/>
              <w:widowControl/>
              <w:suppressLineNumbers w:val="0"/>
              <w:jc w:val="center"/>
              <w:textAlignment w:val="center"/>
              <w:rPr>
                <w:snapToGrid w:val="0"/>
                <w:color w:val="auto"/>
                <w:spacing w:val="-23"/>
                <w:w w:val="75"/>
                <w:kern w:val="0"/>
                <w:sz w:val="21"/>
                <w:szCs w:val="21"/>
                <w:highlight w:val="none"/>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32</w:t>
            </w:r>
          </w:p>
        </w:tc>
        <w:tc>
          <w:tcPr>
            <w:tcW w:w="299" w:type="dxa"/>
            <w:tcBorders>
              <w:top w:val="single" w:color="auto" w:sz="4" w:space="0"/>
              <w:left w:val="single" w:color="auto" w:sz="4" w:space="0"/>
              <w:bottom w:val="single" w:color="auto" w:sz="4" w:space="0"/>
              <w:right w:val="single" w:color="auto" w:sz="4" w:space="0"/>
            </w:tcBorders>
            <w:vAlign w:val="center"/>
          </w:tcPr>
          <w:p w14:paraId="564B3646">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0.007</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68683DDE">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32</w:t>
            </w:r>
          </w:p>
        </w:tc>
        <w:tc>
          <w:tcPr>
            <w:tcW w:w="299" w:type="dxa"/>
            <w:tcBorders>
              <w:top w:val="single" w:color="auto" w:sz="4" w:space="0"/>
              <w:left w:val="single" w:color="auto" w:sz="4" w:space="0"/>
              <w:bottom w:val="single" w:color="auto" w:sz="4" w:space="0"/>
              <w:right w:val="single" w:color="auto" w:sz="4" w:space="0"/>
            </w:tcBorders>
            <w:vAlign w:val="center"/>
          </w:tcPr>
          <w:p w14:paraId="45A9E80B">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0.007</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2E54E8DA">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30</w:t>
            </w:r>
          </w:p>
        </w:tc>
        <w:tc>
          <w:tcPr>
            <w:tcW w:w="299" w:type="dxa"/>
            <w:tcBorders>
              <w:top w:val="single" w:color="auto" w:sz="4" w:space="0"/>
              <w:left w:val="single" w:color="auto" w:sz="4" w:space="0"/>
              <w:bottom w:val="single" w:color="auto" w:sz="4" w:space="0"/>
              <w:right w:val="single" w:color="auto" w:sz="4" w:space="0"/>
            </w:tcBorders>
            <w:vAlign w:val="center"/>
          </w:tcPr>
          <w:p w14:paraId="0AD138E0">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0.007</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773CF254">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39</w:t>
            </w:r>
          </w:p>
        </w:tc>
        <w:tc>
          <w:tcPr>
            <w:tcW w:w="299" w:type="dxa"/>
            <w:tcBorders>
              <w:top w:val="single" w:color="auto" w:sz="4" w:space="0"/>
              <w:left w:val="single" w:color="auto" w:sz="4" w:space="0"/>
              <w:bottom w:val="single" w:color="auto" w:sz="4" w:space="0"/>
              <w:right w:val="single" w:color="auto" w:sz="4" w:space="0"/>
            </w:tcBorders>
            <w:vAlign w:val="center"/>
          </w:tcPr>
          <w:p w14:paraId="5FCCDA13">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0.009</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52B7601A">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41</w:t>
            </w:r>
          </w:p>
        </w:tc>
        <w:tc>
          <w:tcPr>
            <w:tcW w:w="299" w:type="dxa"/>
            <w:tcBorders>
              <w:top w:val="single" w:color="auto" w:sz="4" w:space="0"/>
              <w:left w:val="single" w:color="auto" w:sz="4" w:space="0"/>
              <w:bottom w:val="single" w:color="auto" w:sz="4" w:space="0"/>
              <w:right w:val="single" w:color="auto" w:sz="4" w:space="0"/>
            </w:tcBorders>
            <w:vAlign w:val="center"/>
          </w:tcPr>
          <w:p w14:paraId="572CB701">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0.009</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05B1950E">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33</w:t>
            </w:r>
          </w:p>
        </w:tc>
        <w:tc>
          <w:tcPr>
            <w:tcW w:w="299" w:type="dxa"/>
            <w:tcBorders>
              <w:top w:val="single" w:color="auto" w:sz="4" w:space="0"/>
              <w:left w:val="single" w:color="auto" w:sz="4" w:space="0"/>
              <w:bottom w:val="single" w:color="auto" w:sz="4" w:space="0"/>
              <w:right w:val="single" w:color="auto" w:sz="4" w:space="0"/>
            </w:tcBorders>
            <w:vAlign w:val="center"/>
          </w:tcPr>
          <w:p w14:paraId="7B3B0E78">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0.007</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699496A7">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32</w:t>
            </w:r>
          </w:p>
        </w:tc>
        <w:tc>
          <w:tcPr>
            <w:tcW w:w="299" w:type="dxa"/>
            <w:tcBorders>
              <w:top w:val="single" w:color="auto" w:sz="4" w:space="0"/>
              <w:left w:val="single" w:color="auto" w:sz="4" w:space="0"/>
              <w:bottom w:val="single" w:color="auto" w:sz="4" w:space="0"/>
              <w:right w:val="single" w:color="auto" w:sz="4" w:space="0"/>
            </w:tcBorders>
            <w:vAlign w:val="center"/>
          </w:tcPr>
          <w:p w14:paraId="4C9DFB30">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0.007</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00AD3954">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37</w:t>
            </w:r>
          </w:p>
        </w:tc>
        <w:tc>
          <w:tcPr>
            <w:tcW w:w="299" w:type="dxa"/>
            <w:tcBorders>
              <w:top w:val="single" w:color="auto" w:sz="4" w:space="0"/>
              <w:left w:val="single" w:color="auto" w:sz="4" w:space="0"/>
              <w:bottom w:val="single" w:color="auto" w:sz="4" w:space="0"/>
              <w:right w:val="single" w:color="auto" w:sz="4" w:space="0"/>
            </w:tcBorders>
            <w:vAlign w:val="center"/>
          </w:tcPr>
          <w:p w14:paraId="4250A005">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0.008</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1BA15112">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26</w:t>
            </w:r>
          </w:p>
        </w:tc>
        <w:tc>
          <w:tcPr>
            <w:tcW w:w="299" w:type="dxa"/>
            <w:tcBorders>
              <w:top w:val="single" w:color="auto" w:sz="4" w:space="0"/>
              <w:left w:val="single" w:color="auto" w:sz="4" w:space="0"/>
              <w:bottom w:val="single" w:color="auto" w:sz="4" w:space="0"/>
              <w:right w:val="single" w:color="auto" w:sz="4" w:space="0"/>
            </w:tcBorders>
            <w:vAlign w:val="center"/>
          </w:tcPr>
          <w:p w14:paraId="38074C89">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0.006</w:t>
            </w:r>
          </w:p>
        </w:tc>
        <w:tc>
          <w:tcPr>
            <w:tcW w:w="299" w:type="dxa"/>
            <w:tcBorders>
              <w:top w:val="single" w:color="auto" w:sz="4" w:space="0"/>
              <w:left w:val="single" w:color="auto" w:sz="4" w:space="0"/>
              <w:bottom w:val="single" w:color="auto" w:sz="4" w:space="0"/>
              <w:right w:val="single" w:color="auto" w:sz="4" w:space="0"/>
            </w:tcBorders>
            <w:shd w:val="clear" w:color="auto" w:fill="auto"/>
            <w:vAlign w:val="center"/>
          </w:tcPr>
          <w:p w14:paraId="6CFB1DD7">
            <w:pPr>
              <w:keepNext w:val="0"/>
              <w:keepLines w:val="0"/>
              <w:widowControl/>
              <w:suppressLineNumbers w:val="0"/>
              <w:jc w:val="center"/>
              <w:textAlignment w:val="center"/>
              <w:rPr>
                <w:rFonts w:ascii="Times New Roman" w:hAnsi="Times New Roman" w:eastAsia="宋体" w:cs="Times New Roman"/>
                <w:snapToGrid w:val="0"/>
                <w:color w:val="auto"/>
                <w:spacing w:val="-23"/>
                <w:w w:val="75"/>
                <w:kern w:val="0"/>
                <w:sz w:val="21"/>
                <w:szCs w:val="21"/>
                <w:highlight w:val="none"/>
                <w:lang w:val="en-US" w:eastAsia="zh-CN" w:bidi="ar-SA"/>
              </w:rPr>
            </w:pPr>
            <w:r>
              <w:rPr>
                <w:rFonts w:hint="default" w:ascii="Times New Roman" w:hAnsi="Times New Roman" w:eastAsia="宋体" w:cs="Times New Roman"/>
                <w:i w:val="0"/>
                <w:iCs w:val="0"/>
                <w:color w:val="auto"/>
                <w:spacing w:val="-23"/>
                <w:w w:val="75"/>
                <w:kern w:val="0"/>
                <w:sz w:val="21"/>
                <w:szCs w:val="21"/>
                <w:highlight w:val="none"/>
                <w:u w:val="none"/>
                <w:lang w:val="en-US" w:eastAsia="zh-CN" w:bidi="ar"/>
              </w:rPr>
              <w:t>40</w:t>
            </w:r>
          </w:p>
        </w:tc>
        <w:tc>
          <w:tcPr>
            <w:tcW w:w="314" w:type="dxa"/>
            <w:tcBorders>
              <w:top w:val="single" w:color="auto" w:sz="4" w:space="0"/>
              <w:left w:val="single" w:color="auto" w:sz="4" w:space="0"/>
              <w:bottom w:val="single" w:color="auto" w:sz="4" w:space="0"/>
              <w:right w:val="single" w:color="auto" w:sz="4" w:space="0"/>
            </w:tcBorders>
            <w:vAlign w:val="center"/>
          </w:tcPr>
          <w:p w14:paraId="64F9996D">
            <w:pPr>
              <w:keepNext w:val="0"/>
              <w:keepLines w:val="0"/>
              <w:widowControl/>
              <w:suppressLineNumbers w:val="0"/>
              <w:jc w:val="center"/>
              <w:textAlignment w:val="center"/>
              <w:rPr>
                <w:rFonts w:hint="default" w:eastAsia="宋体"/>
                <w:snapToGrid w:val="0"/>
                <w:color w:val="auto"/>
                <w:spacing w:val="-23"/>
                <w:w w:val="75"/>
                <w:kern w:val="0"/>
                <w:sz w:val="21"/>
                <w:szCs w:val="21"/>
                <w:highlight w:val="none"/>
                <w:lang w:val="en-US" w:eastAsia="zh-CN"/>
              </w:rPr>
            </w:pPr>
            <w:r>
              <w:rPr>
                <w:rFonts w:hint="eastAsia"/>
                <w:snapToGrid w:val="0"/>
                <w:color w:val="auto"/>
                <w:spacing w:val="-23"/>
                <w:w w:val="75"/>
                <w:kern w:val="0"/>
                <w:sz w:val="21"/>
                <w:szCs w:val="21"/>
                <w:highlight w:val="none"/>
                <w:lang w:val="en-US" w:eastAsia="zh-CN"/>
              </w:rPr>
              <w:t>0.009</w:t>
            </w:r>
          </w:p>
        </w:tc>
      </w:tr>
    </w:tbl>
    <w:p w14:paraId="62E0AE39">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snapToGrid w:val="0"/>
          <w:color w:val="auto"/>
          <w:kern w:val="0"/>
          <w:sz w:val="24"/>
          <w:highlight w:val="none"/>
        </w:rPr>
        <w:t>由</w:t>
      </w:r>
      <w:r>
        <w:rPr>
          <w:rFonts w:hint="eastAsia"/>
          <w:snapToGrid w:val="0"/>
          <w:color w:val="auto"/>
          <w:kern w:val="0"/>
          <w:sz w:val="24"/>
          <w:highlight w:val="none"/>
        </w:rPr>
        <w:t>监测结果可以看出</w:t>
      </w:r>
      <w:r>
        <w:rPr>
          <w:snapToGrid w:val="0"/>
          <w:color w:val="auto"/>
          <w:kern w:val="0"/>
          <w:sz w:val="24"/>
          <w:highlight w:val="none"/>
        </w:rPr>
        <w:t>，</w:t>
      </w:r>
      <w:r>
        <w:rPr>
          <w:rFonts w:hint="eastAsia"/>
          <w:snapToGrid w:val="0"/>
          <w:color w:val="auto"/>
          <w:kern w:val="0"/>
          <w:sz w:val="24"/>
          <w:highlight w:val="none"/>
        </w:rPr>
        <w:t>项目区及周边</w:t>
      </w:r>
      <w:r>
        <w:rPr>
          <w:snapToGrid w:val="0"/>
          <w:color w:val="auto"/>
          <w:kern w:val="0"/>
          <w:sz w:val="24"/>
          <w:highlight w:val="none"/>
        </w:rPr>
        <w:t>区域土壤监测项目均能够满足《土壤环境质量建设用地土壤污染风险管控标准</w:t>
      </w:r>
      <w:r>
        <w:rPr>
          <w:rFonts w:hint="eastAsia" w:ascii="Times New Roman" w:hAnsi="Times New Roman" w:eastAsia="宋体" w:cs="Times New Roman"/>
          <w:snapToGrid w:val="0"/>
          <w:color w:val="auto"/>
          <w:kern w:val="0"/>
          <w:sz w:val="24"/>
          <w:highlight w:val="none"/>
          <w:lang w:val="en-US" w:eastAsia="zh-CN"/>
        </w:rPr>
        <w:t>（试行）</w:t>
      </w:r>
      <w:r>
        <w:rPr>
          <w:rFonts w:ascii="Times New Roman" w:hAnsi="Times New Roman" w:eastAsia="宋体" w:cs="Times New Roman"/>
          <w:snapToGrid w:val="0"/>
          <w:color w:val="auto"/>
          <w:kern w:val="0"/>
          <w:sz w:val="24"/>
          <w:highlight w:val="none"/>
        </w:rPr>
        <w:t>》（</w:t>
      </w:r>
      <w:r>
        <w:rPr>
          <w:snapToGrid w:val="0"/>
          <w:color w:val="auto"/>
          <w:kern w:val="0"/>
          <w:sz w:val="24"/>
          <w:highlight w:val="none"/>
        </w:rPr>
        <w:t>GB36600-2018）中表1第二类用地筛选值标准，说明项目区土壤环境质量良好。</w:t>
      </w:r>
    </w:p>
    <w:p w14:paraId="145290F1">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2" w:firstLineChars="200"/>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5.3.5.2土壤环境理化特性调查</w:t>
      </w:r>
    </w:p>
    <w:p w14:paraId="3F35B037">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土壤监测点</w:t>
      </w:r>
      <w:r>
        <w:rPr>
          <w:rFonts w:hint="eastAsia"/>
          <w:snapToGrid w:val="0"/>
          <w:color w:val="auto"/>
          <w:kern w:val="0"/>
          <w:sz w:val="24"/>
          <w:highlight w:val="none"/>
          <w:lang w:val="en-US" w:eastAsia="zh-CN"/>
        </w:rPr>
        <w:t>T1</w:t>
      </w:r>
      <w:r>
        <w:rPr>
          <w:snapToGrid w:val="0"/>
          <w:color w:val="auto"/>
          <w:kern w:val="0"/>
          <w:sz w:val="24"/>
          <w:highlight w:val="none"/>
        </w:rPr>
        <w:t>土壤理化性质见表</w:t>
      </w:r>
      <w:r>
        <w:rPr>
          <w:rFonts w:hint="eastAsia"/>
          <w:snapToGrid w:val="0"/>
          <w:color w:val="auto"/>
          <w:kern w:val="0"/>
          <w:sz w:val="24"/>
          <w:highlight w:val="none"/>
        </w:rPr>
        <w:t>5.3-1</w:t>
      </w:r>
      <w:r>
        <w:rPr>
          <w:rFonts w:hint="eastAsia"/>
          <w:snapToGrid w:val="0"/>
          <w:color w:val="auto"/>
          <w:kern w:val="0"/>
          <w:sz w:val="24"/>
          <w:highlight w:val="none"/>
          <w:lang w:val="en-US" w:eastAsia="zh-CN"/>
        </w:rPr>
        <w:t>9</w:t>
      </w:r>
      <w:r>
        <w:rPr>
          <w:snapToGrid w:val="0"/>
          <w:color w:val="auto"/>
          <w:kern w:val="0"/>
          <w:sz w:val="24"/>
          <w:highlight w:val="none"/>
        </w:rPr>
        <w:t>。</w:t>
      </w:r>
    </w:p>
    <w:p w14:paraId="59274D95">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表5.3-1</w:t>
      </w:r>
      <w:r>
        <w:rPr>
          <w:rFonts w:hint="eastAsia" w:ascii="Times New Roman" w:hAnsi="Times New Roman" w:cs="Times New Roman"/>
          <w:snapToGrid w:val="0"/>
          <w:color w:val="auto"/>
          <w:kern w:val="0"/>
          <w:sz w:val="21"/>
          <w:szCs w:val="21"/>
          <w:highlight w:val="none"/>
          <w:lang w:val="en-US" w:eastAsia="zh-CN"/>
        </w:rPr>
        <w:t>9</w:t>
      </w:r>
      <w:r>
        <w:rPr>
          <w:rFonts w:hint="eastAsia" w:ascii="Times New Roman" w:hAnsi="Times New Roman" w:cs="Times New Roman"/>
          <w:snapToGrid w:val="0"/>
          <w:color w:val="auto"/>
          <w:kern w:val="0"/>
          <w:sz w:val="21"/>
          <w:szCs w:val="21"/>
          <w:highlight w:val="none"/>
        </w:rPr>
        <w:t xml:space="preserve"> 土壤理化性质调查结果</w:t>
      </w:r>
    </w:p>
    <w:tbl>
      <w:tblPr>
        <w:tblStyle w:val="57"/>
        <w:tblW w:w="5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7"/>
        <w:gridCol w:w="2678"/>
        <w:gridCol w:w="1667"/>
        <w:gridCol w:w="1313"/>
        <w:gridCol w:w="1538"/>
      </w:tblGrid>
      <w:tr w14:paraId="46F3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 w:hRule="atLeast"/>
          <w:jc w:val="center"/>
        </w:trPr>
        <w:tc>
          <w:tcPr>
            <w:tcW w:w="2305" w:type="pct"/>
            <w:gridSpan w:val="2"/>
            <w:vAlign w:val="center"/>
          </w:tcPr>
          <w:p w14:paraId="2FD32672">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采样日期</w:t>
            </w:r>
          </w:p>
        </w:tc>
        <w:tc>
          <w:tcPr>
            <w:tcW w:w="994" w:type="pct"/>
            <w:vAlign w:val="center"/>
          </w:tcPr>
          <w:p w14:paraId="4E6035D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lang w:eastAsia="zh-CN"/>
              </w:rPr>
              <w:t>2026年</w:t>
            </w:r>
            <w:r>
              <w:rPr>
                <w:rFonts w:hint="eastAsia" w:eastAsia="Times New Roman"/>
                <w:snapToGrid w:val="0"/>
                <w:color w:val="auto"/>
                <w:kern w:val="0"/>
                <w:szCs w:val="21"/>
                <w:highlight w:val="none"/>
                <w:lang w:val="en-US" w:eastAsia="zh-CN"/>
              </w:rPr>
              <w:t>8月7日</w:t>
            </w:r>
          </w:p>
        </w:tc>
        <w:tc>
          <w:tcPr>
            <w:tcW w:w="783" w:type="pct"/>
            <w:vAlign w:val="center"/>
          </w:tcPr>
          <w:p w14:paraId="006E767A">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分析日期</w:t>
            </w:r>
          </w:p>
        </w:tc>
        <w:tc>
          <w:tcPr>
            <w:tcW w:w="917" w:type="pct"/>
            <w:vAlign w:val="center"/>
          </w:tcPr>
          <w:p w14:paraId="4A0F5FA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lang w:eastAsia="zh-CN"/>
              </w:rPr>
              <w:t>2026年</w:t>
            </w:r>
            <w:r>
              <w:rPr>
                <w:rFonts w:hint="eastAsia" w:eastAsia="Times New Roman"/>
                <w:snapToGrid w:val="0"/>
                <w:color w:val="auto"/>
                <w:kern w:val="0"/>
                <w:szCs w:val="21"/>
                <w:highlight w:val="none"/>
                <w:lang w:val="en-US" w:eastAsia="zh-CN"/>
              </w:rPr>
              <w:t>8月7日-8月10日</w:t>
            </w:r>
          </w:p>
        </w:tc>
      </w:tr>
      <w:tr w14:paraId="0D8B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305" w:type="pct"/>
            <w:gridSpan w:val="2"/>
            <w:vAlign w:val="center"/>
          </w:tcPr>
          <w:p w14:paraId="7FDB2AED">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采样点位</w:t>
            </w:r>
            <w:r>
              <w:rPr>
                <w:rFonts w:hint="eastAsia" w:eastAsia="Times New Roman"/>
                <w:snapToGrid w:val="0"/>
                <w:color w:val="auto"/>
                <w:kern w:val="0"/>
                <w:szCs w:val="21"/>
                <w:highlight w:val="none"/>
              </w:rPr>
              <w:t>坐标</w:t>
            </w:r>
          </w:p>
        </w:tc>
        <w:tc>
          <w:tcPr>
            <w:tcW w:w="2694" w:type="pct"/>
            <w:gridSpan w:val="3"/>
            <w:vAlign w:val="center"/>
          </w:tcPr>
          <w:p w14:paraId="622B6F5F">
            <w:pPr>
              <w:widowControl/>
              <w:adjustRightInd w:val="0"/>
              <w:snapToGrid w:val="0"/>
              <w:jc w:val="center"/>
              <w:rPr>
                <w:rFonts w:eastAsia="Times New Roman"/>
                <w:snapToGrid w:val="0"/>
                <w:color w:val="auto"/>
                <w:kern w:val="0"/>
                <w:szCs w:val="21"/>
                <w:highlight w:val="none"/>
                <w:lang w:val="de-DE"/>
              </w:rPr>
            </w:pPr>
            <w:r>
              <w:rPr>
                <w:rFonts w:hint="default" w:eastAsia="Times New Roman"/>
                <w:snapToGrid w:val="0"/>
                <w:color w:val="auto"/>
                <w:kern w:val="0"/>
                <w:szCs w:val="21"/>
                <w:highlight w:val="none"/>
                <w:lang w:val="de-DE" w:eastAsia="zh-CN"/>
              </w:rPr>
              <w:t>E</w:t>
            </w:r>
            <w:r>
              <w:rPr>
                <w:rFonts w:hint="eastAsia" w:eastAsia="Times New Roman"/>
                <w:snapToGrid w:val="0"/>
                <w:color w:val="auto"/>
                <w:kern w:val="0"/>
                <w:szCs w:val="21"/>
                <w:highlight w:val="none"/>
                <w:lang w:val="de-DE" w:eastAsia="zh-CN"/>
              </w:rPr>
              <w:t>：84</w:t>
            </w:r>
            <w:r>
              <w:rPr>
                <w:rFonts w:hint="default" w:eastAsia="Times New Roman"/>
                <w:snapToGrid w:val="0"/>
                <w:color w:val="auto"/>
                <w:kern w:val="0"/>
                <w:szCs w:val="21"/>
                <w:highlight w:val="none"/>
                <w:lang w:val="de-DE" w:eastAsia="zh-CN"/>
              </w:rPr>
              <w:t>°</w:t>
            </w:r>
            <w:r>
              <w:rPr>
                <w:rFonts w:hint="eastAsia" w:eastAsia="Times New Roman"/>
                <w:snapToGrid w:val="0"/>
                <w:color w:val="auto"/>
                <w:kern w:val="0"/>
                <w:szCs w:val="21"/>
                <w:highlight w:val="none"/>
                <w:lang w:val="de-DE" w:eastAsia="zh-CN"/>
              </w:rPr>
              <w:t>16</w:t>
            </w:r>
            <w:r>
              <w:rPr>
                <w:rFonts w:hint="default" w:eastAsia="Times New Roman"/>
                <w:snapToGrid w:val="0"/>
                <w:color w:val="auto"/>
                <w:kern w:val="0"/>
                <w:szCs w:val="21"/>
                <w:highlight w:val="none"/>
                <w:lang w:val="de-DE" w:eastAsia="zh-CN"/>
              </w:rPr>
              <w:t>′</w:t>
            </w:r>
            <w:r>
              <w:rPr>
                <w:rFonts w:hint="eastAsia" w:eastAsia="Times New Roman"/>
                <w:snapToGrid w:val="0"/>
                <w:color w:val="auto"/>
                <w:kern w:val="0"/>
                <w:szCs w:val="21"/>
                <w:highlight w:val="none"/>
                <w:lang w:val="de-DE" w:eastAsia="zh-CN"/>
              </w:rPr>
              <w:t>28.08</w:t>
            </w:r>
            <w:r>
              <w:rPr>
                <w:rFonts w:hint="default" w:eastAsia="Times New Roman"/>
                <w:snapToGrid w:val="0"/>
                <w:color w:val="auto"/>
                <w:kern w:val="0"/>
                <w:szCs w:val="21"/>
                <w:highlight w:val="none"/>
                <w:lang w:val="de-DE" w:eastAsia="zh-CN"/>
              </w:rPr>
              <w:t>″</w:t>
            </w:r>
            <w:r>
              <w:rPr>
                <w:rFonts w:hint="eastAsia" w:eastAsia="Times New Roman"/>
                <w:snapToGrid w:val="0"/>
                <w:color w:val="auto"/>
                <w:kern w:val="0"/>
                <w:szCs w:val="21"/>
                <w:highlight w:val="none"/>
                <w:lang w:val="de-DE" w:eastAsia="zh-CN"/>
              </w:rPr>
              <w:t>，</w:t>
            </w:r>
            <w:r>
              <w:rPr>
                <w:rFonts w:hint="default" w:eastAsia="Times New Roman"/>
                <w:snapToGrid w:val="0"/>
                <w:color w:val="auto"/>
                <w:kern w:val="0"/>
                <w:szCs w:val="21"/>
                <w:highlight w:val="none"/>
                <w:lang w:val="de-DE" w:eastAsia="zh-CN"/>
              </w:rPr>
              <w:t>N</w:t>
            </w:r>
            <w:r>
              <w:rPr>
                <w:rFonts w:hint="eastAsia" w:eastAsia="Times New Roman"/>
                <w:snapToGrid w:val="0"/>
                <w:color w:val="auto"/>
                <w:kern w:val="0"/>
                <w:szCs w:val="21"/>
                <w:highlight w:val="none"/>
                <w:lang w:val="de-DE" w:eastAsia="zh-CN"/>
              </w:rPr>
              <w:t>：44</w:t>
            </w:r>
            <w:r>
              <w:rPr>
                <w:rFonts w:hint="default" w:eastAsia="Times New Roman"/>
                <w:snapToGrid w:val="0"/>
                <w:color w:val="auto"/>
                <w:kern w:val="0"/>
                <w:szCs w:val="21"/>
                <w:highlight w:val="none"/>
                <w:lang w:val="de-DE" w:eastAsia="zh-CN"/>
              </w:rPr>
              <w:t>°</w:t>
            </w:r>
            <w:r>
              <w:rPr>
                <w:rFonts w:hint="eastAsia" w:eastAsia="Times New Roman"/>
                <w:snapToGrid w:val="0"/>
                <w:color w:val="auto"/>
                <w:kern w:val="0"/>
                <w:szCs w:val="21"/>
                <w:highlight w:val="none"/>
                <w:lang w:val="de-DE" w:eastAsia="zh-CN"/>
              </w:rPr>
              <w:t>20</w:t>
            </w:r>
            <w:r>
              <w:rPr>
                <w:rFonts w:hint="default" w:eastAsia="Times New Roman"/>
                <w:snapToGrid w:val="0"/>
                <w:color w:val="auto"/>
                <w:kern w:val="0"/>
                <w:szCs w:val="21"/>
                <w:highlight w:val="none"/>
                <w:lang w:val="de-DE" w:eastAsia="zh-CN"/>
              </w:rPr>
              <w:t>′</w:t>
            </w:r>
            <w:r>
              <w:rPr>
                <w:rFonts w:hint="eastAsia" w:eastAsia="Times New Roman"/>
                <w:snapToGrid w:val="0"/>
                <w:color w:val="auto"/>
                <w:kern w:val="0"/>
                <w:szCs w:val="21"/>
                <w:highlight w:val="none"/>
                <w:lang w:val="de-DE" w:eastAsia="zh-CN"/>
              </w:rPr>
              <w:t>2.94</w:t>
            </w:r>
            <w:r>
              <w:rPr>
                <w:rFonts w:hint="default" w:eastAsia="Times New Roman"/>
                <w:snapToGrid w:val="0"/>
                <w:color w:val="auto"/>
                <w:kern w:val="0"/>
                <w:szCs w:val="21"/>
                <w:highlight w:val="none"/>
                <w:lang w:val="de-DE" w:eastAsia="zh-CN"/>
              </w:rPr>
              <w:t>″</w:t>
            </w:r>
          </w:p>
        </w:tc>
      </w:tr>
      <w:tr w14:paraId="5158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305" w:type="pct"/>
            <w:gridSpan w:val="2"/>
            <w:vAlign w:val="center"/>
          </w:tcPr>
          <w:p w14:paraId="659579F7">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采样深度/层次</w:t>
            </w:r>
          </w:p>
        </w:tc>
        <w:tc>
          <w:tcPr>
            <w:tcW w:w="2694" w:type="pct"/>
            <w:gridSpan w:val="3"/>
            <w:vAlign w:val="center"/>
          </w:tcPr>
          <w:p w14:paraId="2AFFE0C3">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18cm</w:t>
            </w:r>
          </w:p>
        </w:tc>
      </w:tr>
      <w:tr w14:paraId="4682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restart"/>
            <w:vAlign w:val="center"/>
          </w:tcPr>
          <w:p w14:paraId="32E99FCA">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现场记录</w:t>
            </w:r>
          </w:p>
        </w:tc>
        <w:tc>
          <w:tcPr>
            <w:tcW w:w="1596" w:type="pct"/>
            <w:vAlign w:val="center"/>
          </w:tcPr>
          <w:p w14:paraId="352265A0">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颜色</w:t>
            </w:r>
          </w:p>
        </w:tc>
        <w:tc>
          <w:tcPr>
            <w:tcW w:w="2694" w:type="pct"/>
            <w:gridSpan w:val="3"/>
            <w:vAlign w:val="center"/>
          </w:tcPr>
          <w:p w14:paraId="3904904F">
            <w:pPr>
              <w:widowControl/>
              <w:jc w:val="center"/>
              <w:textAlignment w:val="center"/>
              <w:rPr>
                <w:rFonts w:eastAsia="Times New Roman"/>
                <w:snapToGrid w:val="0"/>
                <w:color w:val="auto"/>
                <w:kern w:val="0"/>
                <w:szCs w:val="21"/>
                <w:highlight w:val="none"/>
              </w:rPr>
            </w:pPr>
            <w:r>
              <w:rPr>
                <w:rFonts w:hint="eastAsia" w:cs="Times New Roman"/>
                <w:bCs/>
                <w:color w:val="auto"/>
                <w:kern w:val="0"/>
                <w:szCs w:val="21"/>
                <w:highlight w:val="none"/>
                <w:lang w:val="en-US" w:eastAsia="zh-CN" w:bidi="ar"/>
              </w:rPr>
              <w:t>灰白色</w:t>
            </w:r>
          </w:p>
        </w:tc>
      </w:tr>
      <w:tr w14:paraId="0181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125AA271">
            <w:pPr>
              <w:widowControl/>
              <w:adjustRightInd w:val="0"/>
              <w:snapToGrid w:val="0"/>
              <w:jc w:val="center"/>
              <w:rPr>
                <w:rFonts w:eastAsia="Times New Roman"/>
                <w:snapToGrid w:val="0"/>
                <w:color w:val="auto"/>
                <w:kern w:val="0"/>
                <w:szCs w:val="21"/>
                <w:highlight w:val="none"/>
              </w:rPr>
            </w:pPr>
          </w:p>
        </w:tc>
        <w:tc>
          <w:tcPr>
            <w:tcW w:w="1596" w:type="pct"/>
            <w:vAlign w:val="center"/>
          </w:tcPr>
          <w:p w14:paraId="1DEB4FD6">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土壤结构</w:t>
            </w:r>
          </w:p>
        </w:tc>
        <w:tc>
          <w:tcPr>
            <w:tcW w:w="2694" w:type="pct"/>
            <w:gridSpan w:val="3"/>
            <w:vAlign w:val="center"/>
          </w:tcPr>
          <w:p w14:paraId="201B63C2">
            <w:pPr>
              <w:jc w:val="center"/>
              <w:rPr>
                <w:rFonts w:eastAsia="Times New Roman"/>
                <w:snapToGrid w:val="0"/>
                <w:color w:val="auto"/>
                <w:kern w:val="0"/>
                <w:szCs w:val="21"/>
                <w:highlight w:val="none"/>
              </w:rPr>
            </w:pPr>
            <w:r>
              <w:rPr>
                <w:rFonts w:hint="eastAsia" w:cs="Times New Roman"/>
                <w:bCs/>
                <w:color w:val="auto"/>
                <w:kern w:val="2"/>
                <w:sz w:val="21"/>
                <w:szCs w:val="21"/>
                <w:highlight w:val="none"/>
                <w:lang w:val="en-US" w:eastAsia="zh-CN" w:bidi="ar-SA"/>
              </w:rPr>
              <w:t>粒状</w:t>
            </w:r>
          </w:p>
        </w:tc>
      </w:tr>
      <w:tr w14:paraId="0988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037CBA48">
            <w:pPr>
              <w:widowControl/>
              <w:adjustRightInd w:val="0"/>
              <w:snapToGrid w:val="0"/>
              <w:jc w:val="center"/>
              <w:rPr>
                <w:rFonts w:eastAsia="Times New Roman"/>
                <w:snapToGrid w:val="0"/>
                <w:color w:val="auto"/>
                <w:kern w:val="0"/>
                <w:szCs w:val="21"/>
                <w:highlight w:val="none"/>
              </w:rPr>
            </w:pPr>
          </w:p>
        </w:tc>
        <w:tc>
          <w:tcPr>
            <w:tcW w:w="1596" w:type="pct"/>
            <w:vAlign w:val="center"/>
          </w:tcPr>
          <w:p w14:paraId="06F3B478">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土壤质地</w:t>
            </w:r>
          </w:p>
        </w:tc>
        <w:tc>
          <w:tcPr>
            <w:tcW w:w="2694" w:type="pct"/>
            <w:gridSpan w:val="3"/>
            <w:vAlign w:val="center"/>
          </w:tcPr>
          <w:p w14:paraId="4D12D5A2">
            <w:pPr>
              <w:jc w:val="center"/>
              <w:rPr>
                <w:rFonts w:eastAsia="Times New Roman"/>
                <w:snapToGrid w:val="0"/>
                <w:color w:val="auto"/>
                <w:kern w:val="0"/>
                <w:szCs w:val="21"/>
                <w:highlight w:val="none"/>
              </w:rPr>
            </w:pPr>
            <w:r>
              <w:rPr>
                <w:rFonts w:hint="eastAsia" w:cs="Times New Roman"/>
                <w:bCs/>
                <w:color w:val="auto"/>
                <w:kern w:val="2"/>
                <w:sz w:val="21"/>
                <w:szCs w:val="21"/>
                <w:highlight w:val="none"/>
                <w:lang w:val="en-US" w:eastAsia="zh-CN" w:bidi="ar-SA"/>
              </w:rPr>
              <w:t>砂土</w:t>
            </w:r>
          </w:p>
        </w:tc>
      </w:tr>
      <w:tr w14:paraId="29C1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7DEDB8C2">
            <w:pPr>
              <w:widowControl/>
              <w:adjustRightInd w:val="0"/>
              <w:snapToGrid w:val="0"/>
              <w:jc w:val="center"/>
              <w:rPr>
                <w:rFonts w:eastAsia="Times New Roman"/>
                <w:snapToGrid w:val="0"/>
                <w:color w:val="auto"/>
                <w:kern w:val="0"/>
                <w:szCs w:val="21"/>
                <w:highlight w:val="none"/>
              </w:rPr>
            </w:pPr>
          </w:p>
        </w:tc>
        <w:tc>
          <w:tcPr>
            <w:tcW w:w="1596" w:type="pct"/>
            <w:vAlign w:val="center"/>
          </w:tcPr>
          <w:p w14:paraId="51100D56">
            <w:pPr>
              <w:widowControl/>
              <w:adjustRightInd w:val="0"/>
              <w:snapToGrid w:val="0"/>
              <w:jc w:val="center"/>
              <w:rPr>
                <w:rFonts w:eastAsia="Times New Roman"/>
                <w:snapToGrid w:val="0"/>
                <w:color w:val="auto"/>
                <w:kern w:val="0"/>
                <w:szCs w:val="21"/>
                <w:highlight w:val="none"/>
              </w:rPr>
            </w:pPr>
            <w:r>
              <w:rPr>
                <w:rFonts w:eastAsia="Times New Roman"/>
                <w:snapToGrid w:val="0"/>
                <w:color w:val="auto"/>
                <w:kern w:val="0"/>
                <w:szCs w:val="21"/>
                <w:highlight w:val="none"/>
              </w:rPr>
              <w:t>砂砾含量</w:t>
            </w:r>
            <w:r>
              <w:rPr>
                <w:rFonts w:hint="eastAsia" w:eastAsia="Times New Roman"/>
                <w:snapToGrid w:val="0"/>
                <w:color w:val="auto"/>
                <w:kern w:val="0"/>
                <w:szCs w:val="21"/>
                <w:highlight w:val="none"/>
              </w:rPr>
              <w:t>（%）</w:t>
            </w:r>
          </w:p>
        </w:tc>
        <w:tc>
          <w:tcPr>
            <w:tcW w:w="2694" w:type="pct"/>
            <w:gridSpan w:val="3"/>
            <w:vAlign w:val="center"/>
          </w:tcPr>
          <w:p w14:paraId="29E99307">
            <w:pPr>
              <w:jc w:val="center"/>
              <w:rPr>
                <w:rFonts w:eastAsia="Times New Roman"/>
                <w:snapToGrid w:val="0"/>
                <w:color w:val="auto"/>
                <w:kern w:val="0"/>
                <w:szCs w:val="21"/>
                <w:highlight w:val="none"/>
              </w:rPr>
            </w:pPr>
            <w:r>
              <w:rPr>
                <w:rFonts w:hint="eastAsia" w:cs="Times New Roman"/>
                <w:bCs/>
                <w:color w:val="auto"/>
                <w:kern w:val="2"/>
                <w:sz w:val="21"/>
                <w:szCs w:val="21"/>
                <w:highlight w:val="none"/>
                <w:lang w:val="en-US" w:eastAsia="zh-CN" w:bidi="ar-SA"/>
              </w:rPr>
              <w:t>50</w:t>
            </w:r>
          </w:p>
        </w:tc>
      </w:tr>
      <w:tr w14:paraId="68A4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2657CC4C">
            <w:pPr>
              <w:widowControl/>
              <w:adjustRightInd w:val="0"/>
              <w:snapToGrid w:val="0"/>
              <w:jc w:val="center"/>
              <w:rPr>
                <w:rFonts w:eastAsia="Times New Roman"/>
                <w:snapToGrid w:val="0"/>
                <w:color w:val="auto"/>
                <w:kern w:val="0"/>
                <w:szCs w:val="21"/>
                <w:highlight w:val="none"/>
              </w:rPr>
            </w:pPr>
          </w:p>
        </w:tc>
        <w:tc>
          <w:tcPr>
            <w:tcW w:w="1596" w:type="pct"/>
            <w:vAlign w:val="center"/>
          </w:tcPr>
          <w:p w14:paraId="3F602F4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其他异物</w:t>
            </w:r>
          </w:p>
        </w:tc>
        <w:tc>
          <w:tcPr>
            <w:tcW w:w="2694" w:type="pct"/>
            <w:gridSpan w:val="3"/>
            <w:vAlign w:val="center"/>
          </w:tcPr>
          <w:p w14:paraId="58EAC5FE">
            <w:pPr>
              <w:jc w:val="center"/>
              <w:rPr>
                <w:rFonts w:eastAsia="Times New Roman"/>
                <w:snapToGrid w:val="0"/>
                <w:color w:val="auto"/>
                <w:kern w:val="0"/>
                <w:szCs w:val="21"/>
                <w:highlight w:val="none"/>
              </w:rPr>
            </w:pPr>
            <w:r>
              <w:rPr>
                <w:rFonts w:hint="eastAsia" w:cs="Times New Roman"/>
                <w:bCs/>
                <w:color w:val="auto"/>
                <w:szCs w:val="21"/>
                <w:highlight w:val="none"/>
                <w:lang w:val="en-US" w:eastAsia="zh-CN"/>
              </w:rPr>
              <w:t>5%</w:t>
            </w:r>
          </w:p>
        </w:tc>
      </w:tr>
      <w:tr w14:paraId="57E1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restart"/>
            <w:vAlign w:val="center"/>
          </w:tcPr>
          <w:p w14:paraId="6CA86FE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实验室测定</w:t>
            </w:r>
          </w:p>
        </w:tc>
        <w:tc>
          <w:tcPr>
            <w:tcW w:w="1596" w:type="pct"/>
            <w:vAlign w:val="center"/>
          </w:tcPr>
          <w:p w14:paraId="29604E1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pH（无量纲）</w:t>
            </w:r>
          </w:p>
        </w:tc>
        <w:tc>
          <w:tcPr>
            <w:tcW w:w="2694" w:type="pct"/>
            <w:gridSpan w:val="3"/>
            <w:vAlign w:val="center"/>
          </w:tcPr>
          <w:p w14:paraId="09974AEA">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8.32</w:t>
            </w:r>
          </w:p>
        </w:tc>
      </w:tr>
      <w:tr w14:paraId="1FDF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42778807">
            <w:pPr>
              <w:widowControl/>
              <w:adjustRightInd w:val="0"/>
              <w:snapToGrid w:val="0"/>
              <w:jc w:val="center"/>
              <w:rPr>
                <w:rFonts w:eastAsia="Times New Roman"/>
                <w:snapToGrid w:val="0"/>
                <w:color w:val="auto"/>
                <w:kern w:val="0"/>
                <w:szCs w:val="21"/>
                <w:highlight w:val="none"/>
              </w:rPr>
            </w:pPr>
          </w:p>
        </w:tc>
        <w:tc>
          <w:tcPr>
            <w:tcW w:w="1596" w:type="pct"/>
            <w:vAlign w:val="center"/>
          </w:tcPr>
          <w:p w14:paraId="755A658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阳离子交换量（cmol</w:t>
            </w:r>
            <w:r>
              <w:rPr>
                <w:rFonts w:hint="eastAsia" w:eastAsia="Times New Roman"/>
                <w:snapToGrid w:val="0"/>
                <w:color w:val="auto"/>
                <w:kern w:val="0"/>
                <w:szCs w:val="21"/>
                <w:highlight w:val="none"/>
                <w:vertAlign w:val="superscript"/>
              </w:rPr>
              <w:t>＋</w:t>
            </w:r>
            <w:r>
              <w:rPr>
                <w:rFonts w:hint="eastAsia" w:eastAsia="Times New Roman"/>
                <w:snapToGrid w:val="0"/>
                <w:color w:val="auto"/>
                <w:kern w:val="0"/>
                <w:szCs w:val="21"/>
                <w:highlight w:val="none"/>
              </w:rPr>
              <w:t>/kg）</w:t>
            </w:r>
          </w:p>
        </w:tc>
        <w:tc>
          <w:tcPr>
            <w:tcW w:w="2694" w:type="pct"/>
            <w:gridSpan w:val="3"/>
            <w:vAlign w:val="center"/>
          </w:tcPr>
          <w:p w14:paraId="6EDC1525">
            <w:pPr>
              <w:jc w:val="center"/>
              <w:rPr>
                <w:rFonts w:eastAsia="Times New Roman"/>
                <w:snapToGrid w:val="0"/>
                <w:color w:val="auto"/>
                <w:kern w:val="0"/>
                <w:szCs w:val="21"/>
                <w:highlight w:val="none"/>
              </w:rPr>
            </w:pPr>
            <w:r>
              <w:rPr>
                <w:rFonts w:hint="eastAsia" w:cs="Times New Roman"/>
                <w:bCs/>
                <w:color w:val="auto"/>
                <w:szCs w:val="21"/>
                <w:highlight w:val="none"/>
                <w:lang w:val="en-US" w:eastAsia="zh-CN"/>
              </w:rPr>
              <w:t>7.28</w:t>
            </w:r>
          </w:p>
        </w:tc>
      </w:tr>
      <w:tr w14:paraId="1A65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66437B35">
            <w:pPr>
              <w:widowControl/>
              <w:adjustRightInd w:val="0"/>
              <w:snapToGrid w:val="0"/>
              <w:jc w:val="center"/>
              <w:rPr>
                <w:rFonts w:eastAsia="Times New Roman"/>
                <w:snapToGrid w:val="0"/>
                <w:color w:val="auto"/>
                <w:kern w:val="0"/>
                <w:szCs w:val="21"/>
                <w:highlight w:val="none"/>
              </w:rPr>
            </w:pPr>
          </w:p>
        </w:tc>
        <w:tc>
          <w:tcPr>
            <w:tcW w:w="1596" w:type="pct"/>
            <w:vAlign w:val="center"/>
          </w:tcPr>
          <w:p w14:paraId="107C2C3C">
            <w:pPr>
              <w:widowControl/>
              <w:adjustRightInd w:val="0"/>
              <w:snapToGrid w:val="0"/>
              <w:jc w:val="center"/>
              <w:rPr>
                <w:rFonts w:hint="eastAsia" w:eastAsia="宋体"/>
                <w:snapToGrid w:val="0"/>
                <w:color w:val="auto"/>
                <w:kern w:val="0"/>
                <w:szCs w:val="21"/>
                <w:highlight w:val="none"/>
                <w:lang w:eastAsia="zh-CN"/>
              </w:rPr>
            </w:pPr>
            <w:r>
              <w:rPr>
                <w:rFonts w:hint="eastAsia" w:eastAsia="Times New Roman"/>
                <w:snapToGrid w:val="0"/>
                <w:color w:val="auto"/>
                <w:kern w:val="0"/>
                <w:szCs w:val="21"/>
                <w:highlight w:val="none"/>
              </w:rPr>
              <w:t>渗滤率</w:t>
            </w:r>
            <w:r>
              <w:rPr>
                <w:rFonts w:hint="eastAsia" w:eastAsia="宋体"/>
                <w:snapToGrid w:val="0"/>
                <w:color w:val="auto"/>
                <w:kern w:val="0"/>
                <w:szCs w:val="21"/>
                <w:highlight w:val="none"/>
                <w:lang w:eastAsia="zh-CN"/>
              </w:rPr>
              <w:t>（</w:t>
            </w:r>
            <w:r>
              <w:rPr>
                <w:rFonts w:hint="eastAsia" w:eastAsia="Times New Roman"/>
                <w:snapToGrid w:val="0"/>
                <w:color w:val="auto"/>
                <w:kern w:val="0"/>
                <w:szCs w:val="21"/>
                <w:highlight w:val="none"/>
              </w:rPr>
              <w:t>mm/min</w:t>
            </w:r>
            <w:r>
              <w:rPr>
                <w:rFonts w:hint="eastAsia" w:eastAsia="宋体"/>
                <w:snapToGrid w:val="0"/>
                <w:color w:val="auto"/>
                <w:kern w:val="0"/>
                <w:szCs w:val="21"/>
                <w:highlight w:val="none"/>
                <w:lang w:eastAsia="zh-CN"/>
              </w:rPr>
              <w:t>）</w:t>
            </w:r>
          </w:p>
        </w:tc>
        <w:tc>
          <w:tcPr>
            <w:tcW w:w="2694" w:type="pct"/>
            <w:gridSpan w:val="3"/>
            <w:vAlign w:val="center"/>
          </w:tcPr>
          <w:p w14:paraId="2DD00D1C">
            <w:pPr>
              <w:jc w:val="center"/>
              <w:rPr>
                <w:rFonts w:eastAsia="Times New Roman"/>
                <w:snapToGrid w:val="0"/>
                <w:color w:val="auto"/>
                <w:kern w:val="0"/>
                <w:szCs w:val="21"/>
                <w:highlight w:val="none"/>
              </w:rPr>
            </w:pPr>
            <w:r>
              <w:rPr>
                <w:rFonts w:hint="eastAsia" w:cs="Times New Roman"/>
                <w:bCs/>
                <w:color w:val="auto"/>
                <w:szCs w:val="21"/>
                <w:highlight w:val="none"/>
                <w:lang w:val="en-US" w:eastAsia="zh-CN"/>
              </w:rPr>
              <w:t>0.432</w:t>
            </w:r>
          </w:p>
        </w:tc>
      </w:tr>
      <w:tr w14:paraId="0FCD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4837DB6F">
            <w:pPr>
              <w:widowControl/>
              <w:adjustRightInd w:val="0"/>
              <w:snapToGrid w:val="0"/>
              <w:jc w:val="center"/>
              <w:rPr>
                <w:rFonts w:eastAsia="Times New Roman"/>
                <w:snapToGrid w:val="0"/>
                <w:color w:val="auto"/>
                <w:kern w:val="0"/>
                <w:szCs w:val="21"/>
                <w:highlight w:val="none"/>
              </w:rPr>
            </w:pPr>
          </w:p>
        </w:tc>
        <w:tc>
          <w:tcPr>
            <w:tcW w:w="1596" w:type="pct"/>
            <w:vAlign w:val="center"/>
          </w:tcPr>
          <w:p w14:paraId="44829354">
            <w:pPr>
              <w:widowControl/>
              <w:adjustRightInd w:val="0"/>
              <w:snapToGrid w:val="0"/>
              <w:jc w:val="center"/>
              <w:rPr>
                <w:rFonts w:hint="eastAsia" w:eastAsia="宋体"/>
                <w:snapToGrid w:val="0"/>
                <w:color w:val="auto"/>
                <w:kern w:val="0"/>
                <w:szCs w:val="21"/>
                <w:highlight w:val="none"/>
                <w:lang w:eastAsia="zh-CN"/>
              </w:rPr>
            </w:pPr>
            <w:r>
              <w:rPr>
                <w:rFonts w:hint="eastAsia" w:eastAsia="Times New Roman"/>
                <w:snapToGrid w:val="0"/>
                <w:color w:val="auto"/>
                <w:kern w:val="0"/>
                <w:szCs w:val="21"/>
                <w:highlight w:val="none"/>
              </w:rPr>
              <w:t>土壤容重</w:t>
            </w:r>
            <w:r>
              <w:rPr>
                <w:rFonts w:hint="eastAsia" w:eastAsia="宋体"/>
                <w:snapToGrid w:val="0"/>
                <w:color w:val="auto"/>
                <w:kern w:val="0"/>
                <w:szCs w:val="21"/>
                <w:highlight w:val="none"/>
                <w:lang w:eastAsia="zh-CN"/>
              </w:rPr>
              <w:t>（</w:t>
            </w:r>
            <w:r>
              <w:rPr>
                <w:rFonts w:hint="eastAsia" w:eastAsia="Times New Roman"/>
                <w:snapToGrid w:val="0"/>
                <w:color w:val="auto"/>
                <w:kern w:val="0"/>
                <w:szCs w:val="21"/>
                <w:highlight w:val="none"/>
              </w:rPr>
              <w:t>g/cm</w:t>
            </w:r>
            <w:r>
              <w:rPr>
                <w:rFonts w:hint="eastAsia" w:eastAsia="Times New Roman"/>
                <w:snapToGrid w:val="0"/>
                <w:color w:val="auto"/>
                <w:kern w:val="0"/>
                <w:szCs w:val="21"/>
                <w:highlight w:val="none"/>
                <w:vertAlign w:val="superscript"/>
              </w:rPr>
              <w:t>3</w:t>
            </w:r>
            <w:r>
              <w:rPr>
                <w:rFonts w:hint="eastAsia" w:eastAsia="宋体"/>
                <w:snapToGrid w:val="0"/>
                <w:color w:val="auto"/>
                <w:kern w:val="0"/>
                <w:szCs w:val="21"/>
                <w:highlight w:val="none"/>
                <w:lang w:eastAsia="zh-CN"/>
              </w:rPr>
              <w:t>）</w:t>
            </w:r>
          </w:p>
        </w:tc>
        <w:tc>
          <w:tcPr>
            <w:tcW w:w="2694" w:type="pct"/>
            <w:gridSpan w:val="3"/>
            <w:vAlign w:val="center"/>
          </w:tcPr>
          <w:p w14:paraId="7C3E4FA2">
            <w:pPr>
              <w:jc w:val="center"/>
              <w:rPr>
                <w:rFonts w:eastAsia="Times New Roman"/>
                <w:snapToGrid w:val="0"/>
                <w:color w:val="auto"/>
                <w:kern w:val="0"/>
                <w:szCs w:val="21"/>
                <w:highlight w:val="none"/>
              </w:rPr>
            </w:pPr>
            <w:r>
              <w:rPr>
                <w:rFonts w:hint="eastAsia" w:cs="Times New Roman"/>
                <w:bCs/>
                <w:color w:val="auto"/>
                <w:szCs w:val="21"/>
                <w:highlight w:val="none"/>
                <w:lang w:val="en-US" w:eastAsia="zh-CN"/>
              </w:rPr>
              <w:t>1.33</w:t>
            </w:r>
          </w:p>
        </w:tc>
      </w:tr>
      <w:tr w14:paraId="3DB9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1E61D12F">
            <w:pPr>
              <w:widowControl/>
              <w:adjustRightInd w:val="0"/>
              <w:snapToGrid w:val="0"/>
              <w:jc w:val="center"/>
              <w:rPr>
                <w:rFonts w:eastAsia="Times New Roman"/>
                <w:snapToGrid w:val="0"/>
                <w:color w:val="auto"/>
                <w:kern w:val="0"/>
                <w:szCs w:val="21"/>
                <w:highlight w:val="none"/>
              </w:rPr>
            </w:pPr>
          </w:p>
        </w:tc>
        <w:tc>
          <w:tcPr>
            <w:tcW w:w="1596" w:type="pct"/>
            <w:vAlign w:val="center"/>
          </w:tcPr>
          <w:p w14:paraId="3F98A69D">
            <w:pPr>
              <w:widowControl/>
              <w:adjustRightInd w:val="0"/>
              <w:snapToGrid w:val="0"/>
              <w:jc w:val="center"/>
              <w:rPr>
                <w:rFonts w:hint="eastAsia" w:eastAsia="宋体"/>
                <w:snapToGrid w:val="0"/>
                <w:color w:val="auto"/>
                <w:kern w:val="0"/>
                <w:szCs w:val="21"/>
                <w:highlight w:val="none"/>
                <w:lang w:eastAsia="zh-CN"/>
              </w:rPr>
            </w:pPr>
            <w:r>
              <w:rPr>
                <w:rFonts w:hint="eastAsia" w:eastAsia="Times New Roman"/>
                <w:snapToGrid w:val="0"/>
                <w:color w:val="auto"/>
                <w:kern w:val="0"/>
                <w:szCs w:val="21"/>
                <w:highlight w:val="none"/>
              </w:rPr>
              <w:t>总孔隙度</w:t>
            </w:r>
            <w:r>
              <w:rPr>
                <w:rFonts w:hint="eastAsia" w:eastAsia="宋体"/>
                <w:snapToGrid w:val="0"/>
                <w:color w:val="auto"/>
                <w:kern w:val="0"/>
                <w:szCs w:val="21"/>
                <w:highlight w:val="none"/>
                <w:lang w:eastAsia="zh-CN"/>
              </w:rPr>
              <w:t>（</w:t>
            </w:r>
            <w:r>
              <w:rPr>
                <w:rFonts w:hint="eastAsia" w:eastAsia="Times New Roman"/>
                <w:snapToGrid w:val="0"/>
                <w:color w:val="auto"/>
                <w:kern w:val="0"/>
                <w:szCs w:val="21"/>
                <w:highlight w:val="none"/>
              </w:rPr>
              <w:t>%</w:t>
            </w:r>
            <w:r>
              <w:rPr>
                <w:rFonts w:hint="eastAsia" w:eastAsia="宋体"/>
                <w:snapToGrid w:val="0"/>
                <w:color w:val="auto"/>
                <w:kern w:val="0"/>
                <w:szCs w:val="21"/>
                <w:highlight w:val="none"/>
                <w:lang w:eastAsia="zh-CN"/>
              </w:rPr>
              <w:t>）</w:t>
            </w:r>
          </w:p>
        </w:tc>
        <w:tc>
          <w:tcPr>
            <w:tcW w:w="2694" w:type="pct"/>
            <w:gridSpan w:val="3"/>
            <w:vAlign w:val="center"/>
          </w:tcPr>
          <w:p w14:paraId="0FB2339B">
            <w:pPr>
              <w:jc w:val="center"/>
              <w:rPr>
                <w:rFonts w:eastAsia="Times New Roman"/>
                <w:snapToGrid w:val="0"/>
                <w:color w:val="auto"/>
                <w:kern w:val="0"/>
                <w:szCs w:val="21"/>
                <w:highlight w:val="none"/>
              </w:rPr>
            </w:pPr>
            <w:r>
              <w:rPr>
                <w:rFonts w:hint="eastAsia" w:cs="Times New Roman"/>
                <w:bCs/>
                <w:color w:val="auto"/>
                <w:szCs w:val="21"/>
                <w:highlight w:val="none"/>
                <w:lang w:val="en-US" w:eastAsia="zh-CN"/>
              </w:rPr>
              <w:t>36.1</w:t>
            </w:r>
          </w:p>
        </w:tc>
      </w:tr>
      <w:tr w14:paraId="41BE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708" w:type="pct"/>
            <w:vMerge w:val="continue"/>
            <w:vAlign w:val="center"/>
          </w:tcPr>
          <w:p w14:paraId="616F4F9C">
            <w:pPr>
              <w:widowControl/>
              <w:adjustRightInd w:val="0"/>
              <w:snapToGrid w:val="0"/>
              <w:jc w:val="center"/>
              <w:rPr>
                <w:rFonts w:eastAsia="Times New Roman"/>
                <w:snapToGrid w:val="0"/>
                <w:color w:val="auto"/>
                <w:kern w:val="0"/>
                <w:szCs w:val="21"/>
                <w:highlight w:val="none"/>
              </w:rPr>
            </w:pPr>
          </w:p>
        </w:tc>
        <w:tc>
          <w:tcPr>
            <w:tcW w:w="1596" w:type="pct"/>
            <w:vAlign w:val="center"/>
          </w:tcPr>
          <w:p w14:paraId="5DEC2195">
            <w:pPr>
              <w:widowControl/>
              <w:adjustRightInd w:val="0"/>
              <w:snapToGrid w:val="0"/>
              <w:jc w:val="center"/>
              <w:rPr>
                <w:rFonts w:hint="eastAsia" w:eastAsia="Times New Roman"/>
                <w:snapToGrid w:val="0"/>
                <w:color w:val="auto"/>
                <w:kern w:val="0"/>
                <w:szCs w:val="21"/>
                <w:highlight w:val="none"/>
              </w:rPr>
            </w:pPr>
            <w:r>
              <w:rPr>
                <w:rFonts w:hint="eastAsia" w:eastAsia="Times New Roman"/>
                <w:snapToGrid w:val="0"/>
                <w:color w:val="auto"/>
                <w:kern w:val="0"/>
                <w:szCs w:val="21"/>
                <w:highlight w:val="none"/>
              </w:rPr>
              <w:t>氧化还原电位</w:t>
            </w:r>
            <w:r>
              <w:rPr>
                <w:rFonts w:hint="eastAsia" w:eastAsia="宋体"/>
                <w:snapToGrid w:val="0"/>
                <w:color w:val="auto"/>
                <w:kern w:val="0"/>
                <w:szCs w:val="21"/>
                <w:highlight w:val="none"/>
                <w:lang w:eastAsia="zh-CN"/>
              </w:rPr>
              <w:t>（</w:t>
            </w:r>
            <w:r>
              <w:rPr>
                <w:rFonts w:hint="eastAsia" w:eastAsia="Times New Roman"/>
                <w:snapToGrid w:val="0"/>
                <w:color w:val="auto"/>
                <w:kern w:val="0"/>
                <w:szCs w:val="21"/>
                <w:highlight w:val="none"/>
              </w:rPr>
              <w:t>mv</w:t>
            </w:r>
            <w:r>
              <w:rPr>
                <w:rFonts w:hint="eastAsia" w:eastAsia="宋体"/>
                <w:snapToGrid w:val="0"/>
                <w:color w:val="auto"/>
                <w:kern w:val="0"/>
                <w:szCs w:val="21"/>
                <w:highlight w:val="none"/>
                <w:lang w:eastAsia="zh-CN"/>
              </w:rPr>
              <w:t>）</w:t>
            </w:r>
          </w:p>
        </w:tc>
        <w:tc>
          <w:tcPr>
            <w:tcW w:w="2694" w:type="pct"/>
            <w:gridSpan w:val="3"/>
            <w:vAlign w:val="center"/>
          </w:tcPr>
          <w:p w14:paraId="2A13A031">
            <w:pPr>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420</w:t>
            </w:r>
          </w:p>
        </w:tc>
      </w:tr>
    </w:tbl>
    <w:p w14:paraId="054690A0">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5.3.6生态质量现状调查及评价</w:t>
      </w:r>
    </w:p>
    <w:p w14:paraId="57C4701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5.3.6.1生态功能区划</w:t>
      </w:r>
    </w:p>
    <w:p w14:paraId="4C13A65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按照《新疆维吾尔自治区生态功能区划》，项目区位于乌苏市化工产业集中区，生态功能区划属于Ⅱ准噶尔盆地温带干旱荒漠与绿洲生态功能区-Ⅱ</w:t>
      </w:r>
      <w:r>
        <w:rPr>
          <w:rFonts w:hint="eastAsia"/>
          <w:snapToGrid w:val="0"/>
          <w:color w:val="auto"/>
          <w:kern w:val="0"/>
          <w:sz w:val="24"/>
          <w:highlight w:val="none"/>
          <w:vertAlign w:val="subscript"/>
        </w:rPr>
        <w:t>5</w:t>
      </w:r>
      <w:r>
        <w:rPr>
          <w:rFonts w:hint="eastAsia"/>
          <w:snapToGrid w:val="0"/>
          <w:color w:val="auto"/>
          <w:kern w:val="0"/>
          <w:sz w:val="24"/>
          <w:highlight w:val="none"/>
        </w:rPr>
        <w:t>准噶尔盆地南部荒漠绿洲农业生态区-26乌苏-石河子-昌吉城镇与绿洲农业生态区。</w:t>
      </w:r>
    </w:p>
    <w:p w14:paraId="7EAC9167">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5.3-</w:t>
      </w:r>
      <w:r>
        <w:rPr>
          <w:rFonts w:hint="eastAsia" w:ascii="Times New Roman" w:hAnsi="Times New Roman" w:cs="Times New Roman"/>
          <w:snapToGrid w:val="0"/>
          <w:color w:val="auto"/>
          <w:kern w:val="0"/>
          <w:sz w:val="21"/>
          <w:szCs w:val="21"/>
          <w:highlight w:val="none"/>
          <w:lang w:val="en-US" w:eastAsia="zh-CN"/>
        </w:rPr>
        <w:t>20</w:t>
      </w:r>
      <w:r>
        <w:rPr>
          <w:rFonts w:hint="eastAsia" w:ascii="Times New Roman" w:hAnsi="Times New Roman" w:cs="Times New Roman"/>
          <w:snapToGrid w:val="0"/>
          <w:color w:val="auto"/>
          <w:kern w:val="0"/>
          <w:sz w:val="21"/>
          <w:szCs w:val="21"/>
          <w:highlight w:val="none"/>
        </w:rPr>
        <w:t xml:space="preserve"> 项目所属区域生态功能区划分表</w:t>
      </w:r>
    </w:p>
    <w:tbl>
      <w:tblPr>
        <w:tblStyle w:val="7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6524"/>
      </w:tblGrid>
      <w:tr w14:paraId="068A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6B37FC34">
            <w:pPr>
              <w:adjustRightInd w:val="0"/>
              <w:snapToGrid w:val="0"/>
              <w:jc w:val="center"/>
              <w:rPr>
                <w:snapToGrid w:val="0"/>
                <w:color w:val="auto"/>
                <w:kern w:val="0"/>
                <w:szCs w:val="21"/>
                <w:highlight w:val="none"/>
              </w:rPr>
            </w:pPr>
            <w:r>
              <w:rPr>
                <w:snapToGrid w:val="0"/>
                <w:color w:val="auto"/>
                <w:kern w:val="0"/>
                <w:szCs w:val="21"/>
                <w:highlight w:val="none"/>
              </w:rPr>
              <w:t>项目</w:t>
            </w:r>
          </w:p>
        </w:tc>
        <w:tc>
          <w:tcPr>
            <w:tcW w:w="6502" w:type="dxa"/>
            <w:shd w:val="clear" w:color="auto" w:fill="auto"/>
          </w:tcPr>
          <w:p w14:paraId="690EFD29">
            <w:pPr>
              <w:adjustRightInd w:val="0"/>
              <w:snapToGrid w:val="0"/>
              <w:jc w:val="center"/>
              <w:rPr>
                <w:snapToGrid w:val="0"/>
                <w:color w:val="auto"/>
                <w:kern w:val="0"/>
                <w:szCs w:val="21"/>
                <w:highlight w:val="none"/>
              </w:rPr>
            </w:pPr>
            <w:r>
              <w:rPr>
                <w:snapToGrid w:val="0"/>
                <w:color w:val="auto"/>
                <w:kern w:val="0"/>
                <w:szCs w:val="21"/>
                <w:highlight w:val="none"/>
              </w:rPr>
              <w:t>区划</w:t>
            </w:r>
          </w:p>
        </w:tc>
      </w:tr>
      <w:tr w14:paraId="541F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3E233CEF">
            <w:pPr>
              <w:adjustRightInd w:val="0"/>
              <w:snapToGrid w:val="0"/>
              <w:jc w:val="center"/>
              <w:rPr>
                <w:snapToGrid w:val="0"/>
                <w:color w:val="auto"/>
                <w:kern w:val="0"/>
                <w:szCs w:val="21"/>
                <w:highlight w:val="none"/>
              </w:rPr>
            </w:pPr>
            <w:r>
              <w:rPr>
                <w:snapToGrid w:val="0"/>
                <w:color w:val="auto"/>
                <w:kern w:val="0"/>
                <w:szCs w:val="21"/>
                <w:highlight w:val="none"/>
              </w:rPr>
              <w:t>生态区</w:t>
            </w:r>
          </w:p>
        </w:tc>
        <w:tc>
          <w:tcPr>
            <w:tcW w:w="6502" w:type="dxa"/>
            <w:shd w:val="clear" w:color="auto" w:fill="auto"/>
          </w:tcPr>
          <w:p w14:paraId="26601E74">
            <w:pPr>
              <w:adjustRightInd w:val="0"/>
              <w:snapToGrid w:val="0"/>
              <w:jc w:val="center"/>
              <w:rPr>
                <w:snapToGrid w:val="0"/>
                <w:color w:val="auto"/>
                <w:kern w:val="0"/>
                <w:szCs w:val="21"/>
                <w:highlight w:val="none"/>
              </w:rPr>
            </w:pPr>
            <w:r>
              <w:rPr>
                <w:snapToGrid w:val="0"/>
                <w:color w:val="auto"/>
                <w:kern w:val="0"/>
                <w:szCs w:val="21"/>
                <w:highlight w:val="none"/>
              </w:rPr>
              <w:t>Ⅱ准噶尔盆地温带干旱荒漠与绿洲生态功能区</w:t>
            </w:r>
          </w:p>
        </w:tc>
      </w:tr>
      <w:tr w14:paraId="49F8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7ACA6457">
            <w:pPr>
              <w:adjustRightInd w:val="0"/>
              <w:snapToGrid w:val="0"/>
              <w:jc w:val="center"/>
              <w:rPr>
                <w:snapToGrid w:val="0"/>
                <w:color w:val="auto"/>
                <w:kern w:val="0"/>
                <w:szCs w:val="21"/>
                <w:highlight w:val="none"/>
              </w:rPr>
            </w:pPr>
            <w:r>
              <w:rPr>
                <w:snapToGrid w:val="0"/>
                <w:color w:val="auto"/>
                <w:kern w:val="0"/>
                <w:szCs w:val="21"/>
                <w:highlight w:val="none"/>
              </w:rPr>
              <w:t>生态亚区</w:t>
            </w:r>
          </w:p>
        </w:tc>
        <w:tc>
          <w:tcPr>
            <w:tcW w:w="6502" w:type="dxa"/>
            <w:shd w:val="clear" w:color="auto" w:fill="auto"/>
          </w:tcPr>
          <w:p w14:paraId="3177DAC2">
            <w:pPr>
              <w:adjustRightInd w:val="0"/>
              <w:snapToGrid w:val="0"/>
              <w:jc w:val="center"/>
              <w:rPr>
                <w:snapToGrid w:val="0"/>
                <w:color w:val="auto"/>
                <w:kern w:val="0"/>
                <w:szCs w:val="21"/>
                <w:highlight w:val="none"/>
              </w:rPr>
            </w:pPr>
            <w:r>
              <w:rPr>
                <w:snapToGrid w:val="0"/>
                <w:color w:val="auto"/>
                <w:kern w:val="0"/>
                <w:szCs w:val="21"/>
                <w:highlight w:val="none"/>
              </w:rPr>
              <w:t>Ⅱ</w:t>
            </w:r>
            <w:r>
              <w:rPr>
                <w:snapToGrid w:val="0"/>
                <w:color w:val="auto"/>
                <w:kern w:val="0"/>
                <w:szCs w:val="21"/>
                <w:highlight w:val="none"/>
                <w:vertAlign w:val="subscript"/>
              </w:rPr>
              <w:t>5</w:t>
            </w:r>
            <w:r>
              <w:rPr>
                <w:snapToGrid w:val="0"/>
                <w:color w:val="auto"/>
                <w:kern w:val="0"/>
                <w:szCs w:val="21"/>
                <w:highlight w:val="none"/>
              </w:rPr>
              <w:t>准噶尔盆地南部荒漠绿洲农业生态区</w:t>
            </w:r>
          </w:p>
        </w:tc>
      </w:tr>
      <w:tr w14:paraId="6A78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76C89D1C">
            <w:pPr>
              <w:adjustRightInd w:val="0"/>
              <w:snapToGrid w:val="0"/>
              <w:jc w:val="center"/>
              <w:rPr>
                <w:snapToGrid w:val="0"/>
                <w:color w:val="auto"/>
                <w:kern w:val="0"/>
                <w:szCs w:val="21"/>
                <w:highlight w:val="none"/>
              </w:rPr>
            </w:pPr>
            <w:r>
              <w:rPr>
                <w:snapToGrid w:val="0"/>
                <w:color w:val="auto"/>
                <w:kern w:val="0"/>
                <w:szCs w:val="21"/>
                <w:highlight w:val="none"/>
              </w:rPr>
              <w:t>生态功能区</w:t>
            </w:r>
          </w:p>
        </w:tc>
        <w:tc>
          <w:tcPr>
            <w:tcW w:w="6502" w:type="dxa"/>
            <w:shd w:val="clear" w:color="auto" w:fill="auto"/>
          </w:tcPr>
          <w:p w14:paraId="5432C8B1">
            <w:pPr>
              <w:adjustRightInd w:val="0"/>
              <w:snapToGrid w:val="0"/>
              <w:jc w:val="center"/>
              <w:rPr>
                <w:snapToGrid w:val="0"/>
                <w:color w:val="auto"/>
                <w:kern w:val="0"/>
                <w:szCs w:val="21"/>
                <w:highlight w:val="none"/>
              </w:rPr>
            </w:pPr>
            <w:r>
              <w:rPr>
                <w:snapToGrid w:val="0"/>
                <w:color w:val="auto"/>
                <w:kern w:val="0"/>
                <w:szCs w:val="21"/>
                <w:highlight w:val="none"/>
              </w:rPr>
              <w:t>26乌苏-石河子-昌吉城镇与绿洲农业生态区</w:t>
            </w:r>
          </w:p>
        </w:tc>
      </w:tr>
      <w:tr w14:paraId="6B0A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24AD23B9">
            <w:pPr>
              <w:adjustRightInd w:val="0"/>
              <w:snapToGrid w:val="0"/>
              <w:jc w:val="center"/>
              <w:rPr>
                <w:snapToGrid w:val="0"/>
                <w:color w:val="auto"/>
                <w:kern w:val="0"/>
                <w:szCs w:val="21"/>
                <w:highlight w:val="none"/>
              </w:rPr>
            </w:pPr>
            <w:r>
              <w:rPr>
                <w:snapToGrid w:val="0"/>
                <w:color w:val="auto"/>
                <w:kern w:val="0"/>
                <w:szCs w:val="21"/>
                <w:highlight w:val="none"/>
              </w:rPr>
              <w:t>主要生态服务功能</w:t>
            </w:r>
          </w:p>
        </w:tc>
        <w:tc>
          <w:tcPr>
            <w:tcW w:w="6502" w:type="dxa"/>
            <w:shd w:val="clear" w:color="auto" w:fill="auto"/>
          </w:tcPr>
          <w:p w14:paraId="7C971E94">
            <w:pPr>
              <w:adjustRightInd w:val="0"/>
              <w:snapToGrid w:val="0"/>
              <w:jc w:val="center"/>
              <w:rPr>
                <w:snapToGrid w:val="0"/>
                <w:color w:val="auto"/>
                <w:kern w:val="0"/>
                <w:szCs w:val="21"/>
                <w:highlight w:val="none"/>
              </w:rPr>
            </w:pPr>
            <w:r>
              <w:rPr>
                <w:snapToGrid w:val="0"/>
                <w:color w:val="auto"/>
                <w:kern w:val="0"/>
                <w:szCs w:val="21"/>
                <w:highlight w:val="none"/>
              </w:rPr>
              <w:t>工农畜产品生产、人居环境、荒漠化控制</w:t>
            </w:r>
          </w:p>
        </w:tc>
      </w:tr>
      <w:tr w14:paraId="052B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443BB645">
            <w:pPr>
              <w:pStyle w:val="768"/>
              <w:rPr>
                <w:rFonts w:cs="Times New Roman"/>
                <w:snapToGrid w:val="0"/>
                <w:color w:val="auto"/>
                <w:kern w:val="0"/>
                <w:szCs w:val="21"/>
                <w:highlight w:val="none"/>
              </w:rPr>
            </w:pPr>
            <w:r>
              <w:rPr>
                <w:color w:val="auto"/>
                <w:highlight w:val="none"/>
              </w:rPr>
              <w:t>主要生态环境问题</w:t>
            </w:r>
          </w:p>
        </w:tc>
        <w:tc>
          <w:tcPr>
            <w:tcW w:w="6502" w:type="dxa"/>
            <w:shd w:val="clear" w:color="auto" w:fill="auto"/>
            <w:vAlign w:val="center"/>
          </w:tcPr>
          <w:p w14:paraId="4B9B6B2C">
            <w:pPr>
              <w:pStyle w:val="768"/>
              <w:rPr>
                <w:rFonts w:cs="Times New Roman"/>
                <w:snapToGrid w:val="0"/>
                <w:color w:val="auto"/>
                <w:kern w:val="0"/>
                <w:szCs w:val="21"/>
                <w:highlight w:val="none"/>
              </w:rPr>
            </w:pPr>
            <w:r>
              <w:rPr>
                <w:color w:val="auto"/>
                <w:highlight w:val="none"/>
              </w:rPr>
              <w:t>地下水超采、荒漠植被退化、土地荒漠化与盐渍化、大气和水质及土壤污染、良田减少、绿洲外围受到沙漠化威胁</w:t>
            </w:r>
          </w:p>
        </w:tc>
      </w:tr>
      <w:tr w14:paraId="0624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1557AB5C">
            <w:pPr>
              <w:pStyle w:val="768"/>
              <w:rPr>
                <w:rFonts w:cs="Times New Roman"/>
                <w:snapToGrid w:val="0"/>
                <w:color w:val="auto"/>
                <w:kern w:val="0"/>
                <w:szCs w:val="21"/>
                <w:highlight w:val="none"/>
              </w:rPr>
            </w:pPr>
            <w:r>
              <w:rPr>
                <w:color w:val="auto"/>
                <w:highlight w:val="none"/>
              </w:rPr>
              <w:t>主要生态敏感因子、敏感程度</w:t>
            </w:r>
          </w:p>
        </w:tc>
        <w:tc>
          <w:tcPr>
            <w:tcW w:w="6502" w:type="dxa"/>
            <w:shd w:val="clear" w:color="auto" w:fill="auto"/>
            <w:vAlign w:val="center"/>
          </w:tcPr>
          <w:p w14:paraId="2DBD308A">
            <w:pPr>
              <w:pStyle w:val="768"/>
              <w:rPr>
                <w:rFonts w:cs="Times New Roman"/>
                <w:snapToGrid w:val="0"/>
                <w:color w:val="auto"/>
                <w:kern w:val="0"/>
                <w:szCs w:val="21"/>
                <w:highlight w:val="none"/>
              </w:rPr>
            </w:pPr>
            <w:r>
              <w:rPr>
                <w:color w:val="auto"/>
                <w:highlight w:val="none"/>
              </w:rPr>
              <w:t>生物多样性及其生境中度敏感，土壤盐渍化轻度敏感</w:t>
            </w:r>
          </w:p>
        </w:tc>
      </w:tr>
      <w:tr w14:paraId="1DFA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76DEEC07">
            <w:pPr>
              <w:pStyle w:val="768"/>
              <w:rPr>
                <w:rFonts w:cs="Times New Roman"/>
                <w:snapToGrid w:val="0"/>
                <w:color w:val="auto"/>
                <w:kern w:val="0"/>
                <w:szCs w:val="21"/>
                <w:highlight w:val="none"/>
              </w:rPr>
            </w:pPr>
            <w:r>
              <w:rPr>
                <w:color w:val="auto"/>
                <w:highlight w:val="none"/>
              </w:rPr>
              <w:t>主要保护目标</w:t>
            </w:r>
          </w:p>
        </w:tc>
        <w:tc>
          <w:tcPr>
            <w:tcW w:w="6502" w:type="dxa"/>
            <w:shd w:val="clear" w:color="auto" w:fill="auto"/>
            <w:vAlign w:val="center"/>
          </w:tcPr>
          <w:p w14:paraId="6A9C3ED0">
            <w:pPr>
              <w:pStyle w:val="768"/>
              <w:rPr>
                <w:rFonts w:cs="Times New Roman"/>
                <w:snapToGrid w:val="0"/>
                <w:color w:val="auto"/>
                <w:kern w:val="0"/>
                <w:szCs w:val="21"/>
                <w:highlight w:val="none"/>
              </w:rPr>
            </w:pPr>
            <w:r>
              <w:rPr>
                <w:color w:val="auto"/>
                <w:highlight w:val="none"/>
              </w:rPr>
              <w:t>保护绿洲农田、保护城市大气和水环境质量、保护荒漠植被、保护农田土壤环境质量</w:t>
            </w:r>
          </w:p>
        </w:tc>
      </w:tr>
      <w:tr w14:paraId="791B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0E7C0B1F">
            <w:pPr>
              <w:pStyle w:val="768"/>
              <w:rPr>
                <w:rFonts w:cs="Times New Roman"/>
                <w:snapToGrid w:val="0"/>
                <w:color w:val="auto"/>
                <w:kern w:val="0"/>
                <w:szCs w:val="21"/>
                <w:highlight w:val="none"/>
              </w:rPr>
            </w:pPr>
            <w:r>
              <w:rPr>
                <w:color w:val="auto"/>
                <w:highlight w:val="none"/>
              </w:rPr>
              <w:t>主要保护措施</w:t>
            </w:r>
          </w:p>
        </w:tc>
        <w:tc>
          <w:tcPr>
            <w:tcW w:w="6502" w:type="dxa"/>
            <w:shd w:val="clear" w:color="auto" w:fill="auto"/>
            <w:vAlign w:val="center"/>
          </w:tcPr>
          <w:p w14:paraId="734CB8F6">
            <w:pPr>
              <w:pStyle w:val="768"/>
              <w:rPr>
                <w:rFonts w:cs="Times New Roman"/>
                <w:snapToGrid w:val="0"/>
                <w:color w:val="auto"/>
                <w:kern w:val="0"/>
                <w:szCs w:val="21"/>
                <w:highlight w:val="none"/>
              </w:rPr>
            </w:pPr>
            <w:r>
              <w:rPr>
                <w:color w:val="auto"/>
                <w:highlight w:val="none"/>
              </w:rPr>
              <w:t>节水灌溉、严格控制地下水开采、污染物达标排放、提高城镇建设规划水平、控制城镇建设用地、荒漠草场禁牧休牧、完善防护林体系、加强农田投入品的使用管理</w:t>
            </w:r>
          </w:p>
        </w:tc>
      </w:tr>
      <w:tr w14:paraId="2594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992" w:type="dxa"/>
            <w:shd w:val="clear" w:color="auto" w:fill="auto"/>
            <w:vAlign w:val="center"/>
          </w:tcPr>
          <w:p w14:paraId="4F9460B3">
            <w:pPr>
              <w:pStyle w:val="768"/>
              <w:rPr>
                <w:rFonts w:cs="Times New Roman"/>
                <w:snapToGrid w:val="0"/>
                <w:color w:val="auto"/>
                <w:kern w:val="0"/>
                <w:szCs w:val="21"/>
                <w:highlight w:val="none"/>
              </w:rPr>
            </w:pPr>
            <w:r>
              <w:rPr>
                <w:color w:val="auto"/>
                <w:highlight w:val="none"/>
              </w:rPr>
              <w:t>适宜发展方向</w:t>
            </w:r>
          </w:p>
        </w:tc>
        <w:tc>
          <w:tcPr>
            <w:tcW w:w="6502" w:type="dxa"/>
            <w:shd w:val="clear" w:color="auto" w:fill="auto"/>
            <w:vAlign w:val="center"/>
          </w:tcPr>
          <w:p w14:paraId="4281F848">
            <w:pPr>
              <w:pStyle w:val="768"/>
              <w:rPr>
                <w:rFonts w:cs="Times New Roman"/>
                <w:snapToGrid w:val="0"/>
                <w:color w:val="auto"/>
                <w:kern w:val="0"/>
                <w:szCs w:val="21"/>
                <w:highlight w:val="none"/>
              </w:rPr>
            </w:pPr>
            <w:r>
              <w:rPr>
                <w:color w:val="auto"/>
                <w:highlight w:val="none"/>
              </w:rPr>
              <w:t>发展优质高效农牧业，美化城市环境，建设健康、稳定的城乡生态系统与人居环境</w:t>
            </w:r>
          </w:p>
        </w:tc>
      </w:tr>
    </w:tbl>
    <w:p w14:paraId="1407F515">
      <w:pPr>
        <w:bidi w:val="0"/>
        <w:rPr>
          <w:rFonts w:hint="eastAsia"/>
          <w:color w:val="auto"/>
          <w:highlight w:val="none"/>
          <w:lang w:val="en-US" w:eastAsia="zh-CN"/>
        </w:rPr>
      </w:pPr>
    </w:p>
    <w:p w14:paraId="1FFFE2E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5.3.6.2土地利用类型</w:t>
      </w:r>
    </w:p>
    <w:p w14:paraId="4D8E8126">
      <w:pPr>
        <w:pStyle w:val="15"/>
        <w:widowControl/>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hint="eastAsia" w:ascii="Times New Roman" w:hAnsi="Times New Roman" w:cs="Times New Roman"/>
          <w:color w:val="auto"/>
          <w:kern w:val="0"/>
          <w:sz w:val="24"/>
          <w:highlight w:val="none"/>
        </w:rPr>
        <w:t>根据现状调查及收集有关资料，项目区土地利用类型单一，为工业园区用地。</w:t>
      </w:r>
    </w:p>
    <w:p w14:paraId="0DA3B2D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5.3.6.3土壤类型</w:t>
      </w:r>
    </w:p>
    <w:p w14:paraId="6BBE9C6C">
      <w:pPr>
        <w:pStyle w:val="15"/>
        <w:widowControl/>
        <w:adjustRightInd w:val="0"/>
        <w:snapToGrid w:val="0"/>
        <w:spacing w:line="360" w:lineRule="auto"/>
        <w:ind w:firstLine="480" w:firstLineChars="200"/>
        <w:rPr>
          <w:rFonts w:ascii="Times New Roman" w:hAnsi="Times New Roman" w:cs="Times New Roman"/>
          <w:color w:val="auto"/>
          <w:kern w:val="0"/>
          <w:sz w:val="24"/>
          <w:highlight w:val="none"/>
        </w:rPr>
      </w:pPr>
      <w:r>
        <w:rPr>
          <w:rFonts w:hint="eastAsia" w:ascii="Times New Roman" w:hAnsi="Times New Roman" w:cs="Times New Roman"/>
          <w:color w:val="auto"/>
          <w:kern w:val="0"/>
          <w:sz w:val="24"/>
          <w:highlight w:val="none"/>
        </w:rPr>
        <w:t>乌苏市主要是第四纪沉积物形成的荒漠灰钙土和砾石灰棕色荒漠土，地表为灰黑色砾砂，表层发育良好的灰色或浅灰色多孔状结皮，其下为褐棕色或浅紧实层，多呈块状或团块状结构，再下为石膏与盐分聚集层。腐殖质积累不明显，土壤呈碱性或强碱性反应。园区所处区域土壤大部分以淡棕钙土为主。</w:t>
      </w:r>
    </w:p>
    <w:p w14:paraId="51CEAE4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5.3.6.4植被类型</w:t>
      </w:r>
    </w:p>
    <w:p w14:paraId="0A8E5A50">
      <w:pPr>
        <w:widowControl/>
        <w:adjustRightInd w:val="0"/>
        <w:snapToGrid w:val="0"/>
        <w:spacing w:line="360" w:lineRule="auto"/>
        <w:ind w:firstLine="480" w:firstLineChars="200"/>
        <w:rPr>
          <w:color w:val="auto"/>
          <w:kern w:val="0"/>
          <w:sz w:val="24"/>
          <w:highlight w:val="none"/>
        </w:rPr>
      </w:pPr>
      <w:r>
        <w:rPr>
          <w:color w:val="auto"/>
          <w:kern w:val="0"/>
          <w:sz w:val="24"/>
          <w:highlight w:val="none"/>
        </w:rPr>
        <w:t>乌苏市的林地覆盖率为9.1%，林地面积按全市人口平均为0.73hm</w:t>
      </w:r>
      <w:r>
        <w:rPr>
          <w:color w:val="auto"/>
          <w:kern w:val="0"/>
          <w:sz w:val="24"/>
          <w:highlight w:val="none"/>
          <w:vertAlign w:val="superscript"/>
        </w:rPr>
        <w:t>2</w:t>
      </w:r>
      <w:r>
        <w:rPr>
          <w:color w:val="auto"/>
          <w:kern w:val="0"/>
          <w:sz w:val="24"/>
          <w:highlight w:val="none"/>
        </w:rPr>
        <w:t>。乌苏市的牧草地占全市面积的47.24%，其中山区草地占全市面积的20%，低山丘陵草地占29.2%，沙丘</w:t>
      </w:r>
      <w:r>
        <w:rPr>
          <w:rFonts w:hint="eastAsia"/>
          <w:color w:val="auto"/>
          <w:kern w:val="0"/>
          <w:sz w:val="24"/>
          <w:highlight w:val="none"/>
          <w:lang w:eastAsia="zh-CN"/>
        </w:rPr>
        <w:t>草地</w:t>
      </w:r>
      <w:r>
        <w:rPr>
          <w:color w:val="auto"/>
          <w:kern w:val="0"/>
          <w:sz w:val="24"/>
          <w:highlight w:val="none"/>
        </w:rPr>
        <w:t>占9.5%。</w:t>
      </w:r>
      <w:r>
        <w:rPr>
          <w:rFonts w:hint="eastAsia"/>
          <w:color w:val="auto"/>
          <w:kern w:val="0"/>
          <w:sz w:val="24"/>
          <w:highlight w:val="none"/>
        </w:rPr>
        <w:t>乌苏市</w:t>
      </w:r>
      <w:r>
        <w:rPr>
          <w:color w:val="auto"/>
          <w:kern w:val="0"/>
          <w:sz w:val="24"/>
          <w:highlight w:val="none"/>
        </w:rPr>
        <w:t>所在区域平原区天然林有杨树、榆树、沙枣树和其它灌木，人工林主要树种以杨树、柳树、榆树、沙枣树等乡土树种为主。山区森林</w:t>
      </w:r>
      <w:r>
        <w:rPr>
          <w:rFonts w:hint="eastAsia"/>
          <w:color w:val="auto"/>
          <w:kern w:val="0"/>
          <w:sz w:val="24"/>
          <w:highlight w:val="none"/>
          <w:lang w:eastAsia="zh-CN"/>
        </w:rPr>
        <w:t>以雪岭云杉为主</w:t>
      </w:r>
      <w:r>
        <w:rPr>
          <w:color w:val="auto"/>
          <w:kern w:val="0"/>
          <w:sz w:val="24"/>
          <w:highlight w:val="none"/>
        </w:rPr>
        <w:t>，约占80%以上。</w:t>
      </w:r>
      <w:r>
        <w:rPr>
          <w:rFonts w:hint="eastAsia"/>
          <w:color w:val="auto"/>
          <w:kern w:val="0"/>
          <w:sz w:val="24"/>
          <w:highlight w:val="none"/>
        </w:rPr>
        <w:t>山前倾斜平原的上部为蒿类荒漠，北部的冲积平原地带为盐柴类灌木和半灌木荒漠，局部地区为沙生植被，在牧业生产上被作为春秋场放牧利用。四棵树以北还保留有大面积的低地草甸植被。</w:t>
      </w:r>
    </w:p>
    <w:p w14:paraId="797583A0">
      <w:pPr>
        <w:pStyle w:val="15"/>
        <w:widowControl/>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hint="eastAsia" w:ascii="Times New Roman" w:hAnsi="Times New Roman" w:cs="Times New Roman"/>
          <w:color w:val="auto"/>
          <w:kern w:val="0"/>
          <w:sz w:val="24"/>
          <w:highlight w:val="none"/>
        </w:rPr>
        <w:t>乌苏工业园区</w:t>
      </w:r>
      <w:r>
        <w:rPr>
          <w:rFonts w:ascii="Times New Roman" w:hAnsi="Times New Roman" w:cs="Times New Roman"/>
          <w:color w:val="auto"/>
          <w:kern w:val="0"/>
          <w:sz w:val="24"/>
          <w:highlight w:val="none"/>
        </w:rPr>
        <w:t>区域林草覆盖率约为</w:t>
      </w:r>
      <w:r>
        <w:rPr>
          <w:rFonts w:hint="eastAsia" w:ascii="Times New Roman" w:hAnsi="Times New Roman" w:cs="Times New Roman"/>
          <w:color w:val="auto"/>
          <w:kern w:val="0"/>
          <w:sz w:val="24"/>
          <w:highlight w:val="none"/>
        </w:rPr>
        <w:t>5</w:t>
      </w:r>
      <w:r>
        <w:rPr>
          <w:rFonts w:ascii="Times New Roman" w:hAnsi="Times New Roman" w:cs="Times New Roman"/>
          <w:color w:val="auto"/>
          <w:kern w:val="0"/>
          <w:sz w:val="24"/>
          <w:highlight w:val="none"/>
        </w:rPr>
        <w:t>%左右</w:t>
      </w:r>
      <w:r>
        <w:rPr>
          <w:rFonts w:hint="eastAsia" w:ascii="Times New Roman" w:hAnsi="Times New Roman" w:cs="Times New Roman"/>
          <w:color w:val="auto"/>
          <w:kern w:val="0"/>
          <w:sz w:val="24"/>
          <w:highlight w:val="none"/>
        </w:rPr>
        <w:t>，</w:t>
      </w:r>
      <w:r>
        <w:rPr>
          <w:rFonts w:ascii="Times New Roman" w:hAnsi="Times New Roman" w:cs="Times New Roman"/>
          <w:color w:val="auto"/>
          <w:kern w:val="0"/>
          <w:sz w:val="24"/>
          <w:highlight w:val="none"/>
        </w:rPr>
        <w:t>主要为荒漠草原植被，以藜科植物为主，有角果藜、</w:t>
      </w:r>
      <w:r>
        <w:rPr>
          <w:rFonts w:hint="eastAsia" w:ascii="Times New Roman" w:hAnsi="Times New Roman" w:cs="Times New Roman"/>
          <w:color w:val="auto"/>
          <w:kern w:val="0"/>
          <w:sz w:val="24"/>
          <w:highlight w:val="none"/>
        </w:rPr>
        <w:t>蒿</w:t>
      </w:r>
      <w:r>
        <w:rPr>
          <w:rFonts w:ascii="Times New Roman" w:hAnsi="Times New Roman" w:cs="Times New Roman"/>
          <w:color w:val="auto"/>
          <w:kern w:val="0"/>
          <w:sz w:val="24"/>
          <w:highlight w:val="none"/>
        </w:rPr>
        <w:t>类、丛生禾草类，夹杂着梭梭、琵琶柴</w:t>
      </w:r>
      <w:r>
        <w:rPr>
          <w:rFonts w:hint="eastAsia" w:ascii="Times New Roman" w:hAnsi="Times New Roman" w:cs="Times New Roman"/>
          <w:color w:val="auto"/>
          <w:kern w:val="0"/>
          <w:sz w:val="24"/>
          <w:highlight w:val="none"/>
        </w:rPr>
        <w:t>等</w:t>
      </w:r>
      <w:r>
        <w:rPr>
          <w:rFonts w:ascii="Times New Roman" w:hAnsi="Times New Roman" w:cs="Times New Roman"/>
          <w:color w:val="auto"/>
          <w:kern w:val="0"/>
          <w:sz w:val="24"/>
          <w:highlight w:val="none"/>
        </w:rPr>
        <w:t>。</w:t>
      </w:r>
    </w:p>
    <w:p w14:paraId="2B0092F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5.3.6.5动物类型</w:t>
      </w:r>
    </w:p>
    <w:p w14:paraId="598B49E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乌苏市区域有草原动物、绿洲动物、荒漠动物活动，常见鸟类有云雀、凤头百灵、麻雀、小嘴乌鸦等；兽类中以跳鼠、沙鼠较常见。园区周围由于</w:t>
      </w:r>
      <w:r>
        <w:rPr>
          <w:snapToGrid w:val="0"/>
          <w:color w:val="auto"/>
          <w:kern w:val="0"/>
          <w:sz w:val="24"/>
          <w:highlight w:val="none"/>
        </w:rPr>
        <w:t>受人为活动影响</w:t>
      </w:r>
      <w:r>
        <w:rPr>
          <w:rFonts w:hint="eastAsia"/>
          <w:snapToGrid w:val="0"/>
          <w:color w:val="auto"/>
          <w:kern w:val="0"/>
          <w:sz w:val="24"/>
          <w:highlight w:val="none"/>
          <w:lang w:eastAsia="zh-CN"/>
        </w:rPr>
        <w:t>，园</w:t>
      </w:r>
      <w:r>
        <w:rPr>
          <w:snapToGrid w:val="0"/>
          <w:color w:val="auto"/>
          <w:kern w:val="0"/>
          <w:sz w:val="24"/>
          <w:highlight w:val="none"/>
        </w:rPr>
        <w:t>区内野生动物很少，只有一些常见的小型野生种类，如乌鸦、麻雀、燕子、沙鼠、野兔等活动。</w:t>
      </w:r>
    </w:p>
    <w:p w14:paraId="1AFD2A6C">
      <w:pPr>
        <w:pStyle w:val="2"/>
        <w:keepNext w:val="0"/>
        <w:widowControl/>
        <w:adjustRightInd w:val="0"/>
        <w:snapToGrid w:val="0"/>
        <w:spacing w:before="0" w:after="0"/>
        <w:ind w:firstLine="480"/>
        <w:rPr>
          <w:rFonts w:hint="eastAsia" w:ascii="Times New Roman" w:hAnsi="Times New Roman" w:cs="Times New Roman"/>
          <w:snapToGrid w:val="0"/>
          <w:color w:val="auto"/>
          <w:kern w:val="0"/>
          <w:szCs w:val="44"/>
          <w:highlight w:val="none"/>
          <w:lang w:val="en-US" w:eastAsia="zh-CN"/>
        </w:rPr>
      </w:pPr>
      <w:r>
        <w:rPr>
          <w:rFonts w:ascii="Times New Roman" w:hAnsi="Times New Roman" w:cs="Times New Roman"/>
          <w:b w:val="0"/>
          <w:bCs w:val="0"/>
          <w:snapToGrid w:val="0"/>
          <w:color w:val="auto"/>
          <w:kern w:val="0"/>
          <w:sz w:val="24"/>
          <w:szCs w:val="24"/>
          <w:highlight w:val="none"/>
        </w:rPr>
        <w:br w:type="page"/>
      </w:r>
      <w:bookmarkEnd w:id="105"/>
      <w:bookmarkEnd w:id="106"/>
      <w:bookmarkEnd w:id="107"/>
      <w:bookmarkEnd w:id="108"/>
      <w:bookmarkEnd w:id="109"/>
      <w:bookmarkEnd w:id="110"/>
      <w:bookmarkEnd w:id="111"/>
      <w:bookmarkEnd w:id="112"/>
      <w:bookmarkStart w:id="113" w:name="_Toc24885"/>
      <w:bookmarkStart w:id="114" w:name="_Toc4338"/>
      <w:bookmarkStart w:id="115" w:name="_Toc319402970"/>
      <w:bookmarkStart w:id="116" w:name="_Toc390713412"/>
      <w:bookmarkStart w:id="117" w:name="_Toc313433761"/>
      <w:r>
        <w:rPr>
          <w:rFonts w:hint="eastAsia" w:ascii="Times New Roman" w:hAnsi="Times New Roman" w:cs="Times New Roman"/>
          <w:snapToGrid w:val="0"/>
          <w:color w:val="auto"/>
          <w:kern w:val="0"/>
          <w:szCs w:val="44"/>
          <w:highlight w:val="none"/>
        </w:rPr>
        <w:t xml:space="preserve">6  </w:t>
      </w:r>
      <w:r>
        <w:rPr>
          <w:rFonts w:hint="eastAsia" w:ascii="Times New Roman" w:hAnsi="Times New Roman" w:cs="Times New Roman"/>
          <w:snapToGrid w:val="0"/>
          <w:color w:val="auto"/>
          <w:kern w:val="0"/>
          <w:szCs w:val="44"/>
          <w:highlight w:val="none"/>
          <w:lang w:val="en-US" w:eastAsia="zh-CN"/>
        </w:rPr>
        <w:t>生态</w:t>
      </w:r>
      <w:bookmarkEnd w:id="113"/>
      <w:r>
        <w:rPr>
          <w:rFonts w:hint="eastAsia" w:ascii="Times New Roman" w:hAnsi="Times New Roman" w:cs="Times New Roman"/>
          <w:snapToGrid w:val="0"/>
          <w:color w:val="auto"/>
          <w:kern w:val="0"/>
          <w:szCs w:val="44"/>
          <w:highlight w:val="none"/>
          <w:lang w:val="en-US" w:eastAsia="zh-CN"/>
        </w:rPr>
        <w:t>环境影响预测与评价</w:t>
      </w:r>
      <w:bookmarkEnd w:id="114"/>
    </w:p>
    <w:bookmarkEnd w:id="115"/>
    <w:bookmarkEnd w:id="116"/>
    <w:bookmarkEnd w:id="117"/>
    <w:p w14:paraId="60326612">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118" w:name="_Toc3576"/>
      <w:bookmarkStart w:id="119" w:name="_Toc327365492"/>
      <w:bookmarkStart w:id="120" w:name="_Toc1939"/>
      <w:bookmarkStart w:id="121" w:name="_Toc4575"/>
      <w:r>
        <w:rPr>
          <w:rFonts w:hint="eastAsia" w:ascii="Times New Roman" w:hAnsi="Times New Roman" w:cs="Times New Roman"/>
          <w:b w:val="0"/>
          <w:bCs w:val="0"/>
          <w:snapToGrid w:val="0"/>
          <w:color w:val="auto"/>
          <w:kern w:val="0"/>
          <w:sz w:val="28"/>
          <w:szCs w:val="28"/>
          <w:highlight w:val="none"/>
          <w:lang w:val="en-US" w:eastAsia="zh-CN"/>
        </w:rPr>
        <w:t>6.1</w:t>
      </w:r>
      <w:bookmarkEnd w:id="118"/>
      <w:bookmarkEnd w:id="119"/>
      <w:r>
        <w:rPr>
          <w:rFonts w:hint="eastAsia" w:ascii="Times New Roman" w:hAnsi="Times New Roman" w:cs="Times New Roman"/>
          <w:b w:val="0"/>
          <w:bCs w:val="0"/>
          <w:snapToGrid w:val="0"/>
          <w:color w:val="auto"/>
          <w:kern w:val="0"/>
          <w:sz w:val="28"/>
          <w:szCs w:val="28"/>
          <w:highlight w:val="none"/>
          <w:lang w:val="en-US" w:eastAsia="zh-CN"/>
        </w:rPr>
        <w:t>施工期生态环境影响分析与评价</w:t>
      </w:r>
      <w:bookmarkEnd w:id="120"/>
      <w:bookmarkEnd w:id="121"/>
    </w:p>
    <w:p w14:paraId="448FC16C">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rPr>
        <w:t>6.1.1施工期大气环境影响分析与评价</w:t>
      </w:r>
    </w:p>
    <w:p w14:paraId="40D613A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6.1.1.1施工扬尘</w:t>
      </w:r>
    </w:p>
    <w:p w14:paraId="1B65995F">
      <w:pPr>
        <w:pStyle w:val="15"/>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施工扬尘主要来自：地基处理、土地平整；建筑材料的装卸、运输和堆放；混凝土拌合过程；施工垃圾的堆放扬尘；以及施工车辆行驶扬尘等。据类比调查表明，运输、建筑材料的运输装卸和混凝土拌和的扬尘最为严重。</w:t>
      </w:r>
    </w:p>
    <w:p w14:paraId="2B2FD67C">
      <w:pPr>
        <w:pStyle w:val="15"/>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运输及装卸车辆行驶造成的扬尘约占扬尘总量的60%，如遇干旱无雨季节，加上大风，施工扬尘将更为严重。车辆行驶产生的扬尘，在完全干燥情况下，可按下列经验公式计算：</w:t>
      </w:r>
    </w:p>
    <w:p w14:paraId="1CD2FCDF">
      <w:pPr>
        <w:pStyle w:val="15"/>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pict>
          <v:shape id="_x0000_s1274" o:spid="_x0000_s1274" o:spt="75" type="#_x0000_t75" style="position:absolute;left:0pt;margin-left:61.5pt;margin-top:0.6pt;height:20.8pt;width:189.6pt;mso-wrap-distance-bottom:0pt;mso-wrap-distance-top:0pt;z-index:-251633664;mso-width-relative:page;mso-height-relative:page;" o:ole="t" filled="f" coordsize="21600,21600">
            <v:path/>
            <v:fill on="f" focussize="0,0"/>
            <v:stroke/>
            <v:imagedata r:id="rId24" o:title=""/>
            <o:lock v:ext="edit" aspectratio="t"/>
            <w10:wrap type="topAndBottom"/>
          </v:shape>
          <o:OLEObject Type="Embed" ProgID="Equation.3" ShapeID="_x0000_s1274" DrawAspect="Content" ObjectID="_1468075726" r:id="rId23">
            <o:LockedField>false</o:LockedField>
          </o:OLEObject>
        </w:pict>
      </w:r>
      <w:r>
        <w:rPr>
          <w:rFonts w:hint="eastAsia" w:ascii="Times New Roman" w:hAnsi="Times New Roman" w:cs="Times New Roman"/>
          <w:snapToGrid w:val="0"/>
          <w:color w:val="auto"/>
          <w:kern w:val="0"/>
          <w:sz w:val="24"/>
          <w:highlight w:val="none"/>
        </w:rPr>
        <w:t>式中：Q——汽车行驶的扬尘，kg/km•辆；</w:t>
      </w:r>
    </w:p>
    <w:p w14:paraId="1A17BCAC">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V——汽车速度，km/h；</w:t>
      </w:r>
    </w:p>
    <w:p w14:paraId="47266233">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W——汽车载重量，t；</w:t>
      </w:r>
    </w:p>
    <w:p w14:paraId="6098CC35">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P——道路表面粉尘量，kg/m</w:t>
      </w:r>
      <w:r>
        <w:rPr>
          <w:rFonts w:hint="eastAsia" w:ascii="Times New Roman" w:hAnsi="Times New Roman" w:cs="Times New Roman"/>
          <w:snapToGrid w:val="0"/>
          <w:color w:val="auto"/>
          <w:kern w:val="0"/>
          <w:sz w:val="24"/>
          <w:highlight w:val="none"/>
          <w:vertAlign w:val="superscript"/>
        </w:rPr>
        <w:t>2</w:t>
      </w:r>
      <w:r>
        <w:rPr>
          <w:rFonts w:hint="eastAsia" w:ascii="Times New Roman" w:hAnsi="Times New Roman" w:cs="Times New Roman"/>
          <w:snapToGrid w:val="0"/>
          <w:color w:val="auto"/>
          <w:kern w:val="0"/>
          <w:sz w:val="24"/>
          <w:highlight w:val="none"/>
        </w:rPr>
        <w:t>。</w:t>
      </w:r>
    </w:p>
    <w:p w14:paraId="796EFB18">
      <w:pPr>
        <w:pStyle w:val="15"/>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公式表明，车辆行驶产生的扬尘与道路路面及车辆行驶速度有关。表6.1-1为一辆10t卡车，通过一段长度为1km的路面时，不同路面清洁程度，不同行驶速度情况下的扬尘量。</w:t>
      </w:r>
    </w:p>
    <w:p w14:paraId="1027BB72">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6</w:t>
      </w:r>
      <w:r>
        <w:rPr>
          <w:b/>
          <w:bCs/>
          <w:snapToGrid w:val="0"/>
          <w:color w:val="auto"/>
          <w:kern w:val="0"/>
          <w:szCs w:val="21"/>
          <w:highlight w:val="none"/>
        </w:rPr>
        <w:t>.1-1 不同车速和地面清洁程度时的汽车扬尘   单位：kg/辆</w:t>
      </w:r>
      <w:r>
        <w:rPr>
          <w:b/>
          <w:bCs/>
          <w:snapToGrid w:val="0"/>
          <w:color w:val="auto"/>
          <w:kern w:val="0"/>
          <w:szCs w:val="21"/>
          <w:highlight w:val="none"/>
          <w:cs/>
        </w:rPr>
        <w:t>•</w:t>
      </w:r>
      <w:r>
        <w:rPr>
          <w:b/>
          <w:bCs/>
          <w:snapToGrid w:val="0"/>
          <w:color w:val="auto"/>
          <w:kern w:val="0"/>
          <w:szCs w:val="21"/>
          <w:highlight w:val="none"/>
        </w:rPr>
        <w:t>km</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099"/>
        <w:gridCol w:w="1071"/>
        <w:gridCol w:w="1071"/>
        <w:gridCol w:w="1070"/>
        <w:gridCol w:w="1070"/>
        <w:gridCol w:w="1070"/>
        <w:gridCol w:w="1070"/>
      </w:tblGrid>
      <w:tr w14:paraId="6916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2092" w:type="dxa"/>
            <w:vMerge w:val="restart"/>
            <w:tcBorders>
              <w:tl2br w:val="single" w:color="auto" w:sz="4" w:space="0"/>
            </w:tcBorders>
            <w:shd w:val="clear" w:color="auto" w:fill="auto"/>
            <w:vAlign w:val="center"/>
          </w:tcPr>
          <w:p w14:paraId="79B52200">
            <w:pPr>
              <w:pStyle w:val="150"/>
              <w:snapToGrid w:val="0"/>
              <w:spacing w:after="0" w:line="240" w:lineRule="auto"/>
              <w:jc w:val="both"/>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 xml:space="preserve">       路面尘土量</w:t>
            </w:r>
          </w:p>
          <w:p w14:paraId="41D7E01A">
            <w:pPr>
              <w:pStyle w:val="150"/>
              <w:snapToGrid w:val="0"/>
              <w:spacing w:after="0" w:line="240" w:lineRule="auto"/>
              <w:jc w:val="both"/>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车速</w:t>
            </w:r>
          </w:p>
        </w:tc>
        <w:tc>
          <w:tcPr>
            <w:tcW w:w="1067" w:type="dxa"/>
            <w:shd w:val="clear" w:color="auto" w:fill="auto"/>
            <w:vAlign w:val="center"/>
          </w:tcPr>
          <w:p w14:paraId="54386A2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w:t>
            </w:r>
          </w:p>
        </w:tc>
        <w:tc>
          <w:tcPr>
            <w:tcW w:w="1067" w:type="dxa"/>
            <w:shd w:val="clear" w:color="auto" w:fill="auto"/>
            <w:vAlign w:val="center"/>
          </w:tcPr>
          <w:p w14:paraId="3367EE1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w:t>
            </w:r>
          </w:p>
        </w:tc>
        <w:tc>
          <w:tcPr>
            <w:tcW w:w="1067" w:type="dxa"/>
            <w:shd w:val="clear" w:color="auto" w:fill="auto"/>
            <w:vAlign w:val="center"/>
          </w:tcPr>
          <w:p w14:paraId="1F1E45F7">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0.3</w:t>
            </w:r>
          </w:p>
        </w:tc>
        <w:tc>
          <w:tcPr>
            <w:tcW w:w="1067" w:type="dxa"/>
            <w:shd w:val="clear" w:color="auto" w:fill="auto"/>
            <w:vAlign w:val="center"/>
          </w:tcPr>
          <w:p w14:paraId="44732C7F">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0.4</w:t>
            </w:r>
          </w:p>
        </w:tc>
        <w:tc>
          <w:tcPr>
            <w:tcW w:w="1067" w:type="dxa"/>
            <w:shd w:val="clear" w:color="auto" w:fill="auto"/>
            <w:vAlign w:val="center"/>
          </w:tcPr>
          <w:p w14:paraId="5A719707">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0.5</w:t>
            </w:r>
          </w:p>
        </w:tc>
        <w:tc>
          <w:tcPr>
            <w:tcW w:w="1067" w:type="dxa"/>
            <w:shd w:val="clear" w:color="auto" w:fill="auto"/>
            <w:vAlign w:val="center"/>
          </w:tcPr>
          <w:p w14:paraId="0333A66C">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1.0</w:t>
            </w:r>
          </w:p>
        </w:tc>
      </w:tr>
      <w:tr w14:paraId="2246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2092" w:type="dxa"/>
            <w:vMerge w:val="continue"/>
            <w:tcBorders>
              <w:tl2br w:val="single" w:color="auto" w:sz="4" w:space="0"/>
            </w:tcBorders>
            <w:shd w:val="clear" w:color="auto" w:fill="auto"/>
            <w:vAlign w:val="center"/>
          </w:tcPr>
          <w:p w14:paraId="6F798A33">
            <w:pPr>
              <w:pStyle w:val="150"/>
              <w:snapToGrid w:val="0"/>
              <w:spacing w:after="0" w:line="240" w:lineRule="auto"/>
              <w:jc w:val="both"/>
              <w:textAlignment w:val="center"/>
              <w:rPr>
                <w:rFonts w:ascii="Times New Roman" w:hAnsi="Times New Roman" w:cs="Times New Roman"/>
                <w:snapToGrid w:val="0"/>
                <w:color w:val="auto"/>
                <w:kern w:val="0"/>
                <w:highlight w:val="none"/>
              </w:rPr>
            </w:pPr>
          </w:p>
        </w:tc>
        <w:tc>
          <w:tcPr>
            <w:tcW w:w="1067" w:type="dxa"/>
            <w:tcBorders>
              <w:top w:val="single" w:color="auto" w:sz="4" w:space="0"/>
            </w:tcBorders>
            <w:shd w:val="clear" w:color="auto" w:fill="auto"/>
            <w:vAlign w:val="center"/>
          </w:tcPr>
          <w:p w14:paraId="73819CC9">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kg/m</w:t>
            </w:r>
            <w:r>
              <w:rPr>
                <w:rFonts w:ascii="Times New Roman" w:hAnsi="Times New Roman" w:cs="Times New Roman"/>
                <w:snapToGrid w:val="0"/>
                <w:color w:val="auto"/>
                <w:kern w:val="0"/>
                <w:highlight w:val="none"/>
                <w:vertAlign w:val="superscript"/>
              </w:rPr>
              <w:t>2</w:t>
            </w:r>
          </w:p>
        </w:tc>
        <w:tc>
          <w:tcPr>
            <w:tcW w:w="1067" w:type="dxa"/>
            <w:shd w:val="clear" w:color="auto" w:fill="auto"/>
            <w:vAlign w:val="center"/>
          </w:tcPr>
          <w:p w14:paraId="27D2FD86">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kg/m</w:t>
            </w:r>
            <w:r>
              <w:rPr>
                <w:rFonts w:ascii="Times New Roman" w:hAnsi="Times New Roman" w:cs="Times New Roman"/>
                <w:snapToGrid w:val="0"/>
                <w:color w:val="auto"/>
                <w:kern w:val="0"/>
                <w:highlight w:val="none"/>
                <w:vertAlign w:val="superscript"/>
              </w:rPr>
              <w:t>2</w:t>
            </w:r>
          </w:p>
        </w:tc>
        <w:tc>
          <w:tcPr>
            <w:tcW w:w="1067" w:type="dxa"/>
            <w:shd w:val="clear" w:color="auto" w:fill="auto"/>
            <w:vAlign w:val="center"/>
          </w:tcPr>
          <w:p w14:paraId="7CF3BFD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kg/m</w:t>
            </w:r>
            <w:r>
              <w:rPr>
                <w:rFonts w:ascii="Times New Roman" w:hAnsi="Times New Roman" w:cs="Times New Roman"/>
                <w:snapToGrid w:val="0"/>
                <w:color w:val="auto"/>
                <w:kern w:val="0"/>
                <w:highlight w:val="none"/>
                <w:vertAlign w:val="superscript"/>
              </w:rPr>
              <w:t>2</w:t>
            </w:r>
          </w:p>
        </w:tc>
        <w:tc>
          <w:tcPr>
            <w:tcW w:w="1067" w:type="dxa"/>
            <w:shd w:val="clear" w:color="auto" w:fill="auto"/>
            <w:vAlign w:val="center"/>
          </w:tcPr>
          <w:p w14:paraId="370ABA98">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kg/m</w:t>
            </w:r>
            <w:r>
              <w:rPr>
                <w:rFonts w:ascii="Times New Roman" w:hAnsi="Times New Roman" w:cs="Times New Roman"/>
                <w:snapToGrid w:val="0"/>
                <w:color w:val="auto"/>
                <w:kern w:val="0"/>
                <w:highlight w:val="none"/>
                <w:vertAlign w:val="superscript"/>
              </w:rPr>
              <w:t>2</w:t>
            </w:r>
          </w:p>
        </w:tc>
        <w:tc>
          <w:tcPr>
            <w:tcW w:w="1067" w:type="dxa"/>
            <w:shd w:val="clear" w:color="auto" w:fill="auto"/>
            <w:vAlign w:val="center"/>
          </w:tcPr>
          <w:p w14:paraId="20A99949">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kg/m</w:t>
            </w:r>
            <w:r>
              <w:rPr>
                <w:rFonts w:ascii="Times New Roman" w:hAnsi="Times New Roman" w:cs="Times New Roman"/>
                <w:snapToGrid w:val="0"/>
                <w:color w:val="auto"/>
                <w:kern w:val="0"/>
                <w:highlight w:val="none"/>
                <w:vertAlign w:val="superscript"/>
              </w:rPr>
              <w:t>2</w:t>
            </w:r>
          </w:p>
        </w:tc>
        <w:tc>
          <w:tcPr>
            <w:tcW w:w="1067" w:type="dxa"/>
            <w:shd w:val="clear" w:color="auto" w:fill="auto"/>
            <w:vAlign w:val="center"/>
          </w:tcPr>
          <w:p w14:paraId="10848979">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kg/m</w:t>
            </w:r>
            <w:r>
              <w:rPr>
                <w:rFonts w:ascii="Times New Roman" w:hAnsi="Times New Roman" w:cs="Times New Roman"/>
                <w:snapToGrid w:val="0"/>
                <w:color w:val="auto"/>
                <w:kern w:val="0"/>
                <w:highlight w:val="none"/>
                <w:vertAlign w:val="superscript"/>
              </w:rPr>
              <w:t>2</w:t>
            </w:r>
            <w:r>
              <w:rPr>
                <w:rFonts w:ascii="Times New Roman" w:hAnsi="Times New Roman" w:cs="Times New Roman"/>
                <w:snapToGrid w:val="0"/>
                <w:color w:val="auto"/>
                <w:kern w:val="0"/>
                <w:highlight w:val="none"/>
              </w:rPr>
              <w:t>·</w:t>
            </w:r>
          </w:p>
        </w:tc>
      </w:tr>
      <w:tr w14:paraId="3878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2092" w:type="dxa"/>
            <w:shd w:val="clear" w:color="auto" w:fill="auto"/>
            <w:vAlign w:val="center"/>
          </w:tcPr>
          <w:p w14:paraId="26428B5C">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5（km/h）</w:t>
            </w:r>
          </w:p>
        </w:tc>
        <w:tc>
          <w:tcPr>
            <w:tcW w:w="1067" w:type="dxa"/>
            <w:shd w:val="clear" w:color="auto" w:fill="auto"/>
            <w:vAlign w:val="center"/>
          </w:tcPr>
          <w:p w14:paraId="1BA79537">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0.051056</w:t>
            </w:r>
          </w:p>
        </w:tc>
        <w:tc>
          <w:tcPr>
            <w:tcW w:w="1067" w:type="dxa"/>
            <w:shd w:val="clear" w:color="auto" w:fill="auto"/>
            <w:vAlign w:val="center"/>
          </w:tcPr>
          <w:p w14:paraId="56A0090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0.085865</w:t>
            </w:r>
          </w:p>
        </w:tc>
        <w:tc>
          <w:tcPr>
            <w:tcW w:w="1067" w:type="dxa"/>
            <w:shd w:val="clear" w:color="auto" w:fill="auto"/>
            <w:vAlign w:val="center"/>
          </w:tcPr>
          <w:p w14:paraId="5879BC28">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0.116382</w:t>
            </w:r>
          </w:p>
        </w:tc>
        <w:tc>
          <w:tcPr>
            <w:tcW w:w="1067" w:type="dxa"/>
            <w:shd w:val="clear" w:color="auto" w:fill="auto"/>
            <w:vAlign w:val="center"/>
          </w:tcPr>
          <w:p w14:paraId="133B6D3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0.144408</w:t>
            </w:r>
          </w:p>
        </w:tc>
        <w:tc>
          <w:tcPr>
            <w:tcW w:w="1067" w:type="dxa"/>
            <w:shd w:val="clear" w:color="auto" w:fill="auto"/>
            <w:vAlign w:val="center"/>
          </w:tcPr>
          <w:p w14:paraId="5B860E9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0.170715</w:t>
            </w:r>
          </w:p>
        </w:tc>
        <w:tc>
          <w:tcPr>
            <w:tcW w:w="1067" w:type="dxa"/>
            <w:shd w:val="clear" w:color="auto" w:fill="auto"/>
            <w:vAlign w:val="center"/>
          </w:tcPr>
          <w:p w14:paraId="4A02904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0.287108</w:t>
            </w:r>
          </w:p>
        </w:tc>
      </w:tr>
      <w:tr w14:paraId="5723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2092" w:type="dxa"/>
            <w:shd w:val="clear" w:color="auto" w:fill="auto"/>
            <w:vAlign w:val="center"/>
          </w:tcPr>
          <w:p w14:paraId="7BC852D4">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10（km/h）</w:t>
            </w:r>
          </w:p>
        </w:tc>
        <w:tc>
          <w:tcPr>
            <w:tcW w:w="1067" w:type="dxa"/>
            <w:shd w:val="clear" w:color="auto" w:fill="auto"/>
            <w:vAlign w:val="center"/>
          </w:tcPr>
          <w:p w14:paraId="096F48E4">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0.102112</w:t>
            </w:r>
          </w:p>
        </w:tc>
        <w:tc>
          <w:tcPr>
            <w:tcW w:w="1067" w:type="dxa"/>
            <w:shd w:val="clear" w:color="auto" w:fill="auto"/>
            <w:vAlign w:val="center"/>
          </w:tcPr>
          <w:p w14:paraId="137974A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0.171731</w:t>
            </w:r>
          </w:p>
        </w:tc>
        <w:tc>
          <w:tcPr>
            <w:tcW w:w="1067" w:type="dxa"/>
            <w:shd w:val="clear" w:color="auto" w:fill="auto"/>
            <w:vAlign w:val="center"/>
          </w:tcPr>
          <w:p w14:paraId="3C176FC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0.232764</w:t>
            </w:r>
          </w:p>
        </w:tc>
        <w:tc>
          <w:tcPr>
            <w:tcW w:w="1067" w:type="dxa"/>
            <w:shd w:val="clear" w:color="auto" w:fill="auto"/>
            <w:vAlign w:val="center"/>
          </w:tcPr>
          <w:p w14:paraId="0F0DF4D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0.288815</w:t>
            </w:r>
          </w:p>
        </w:tc>
        <w:tc>
          <w:tcPr>
            <w:tcW w:w="1067" w:type="dxa"/>
            <w:shd w:val="clear" w:color="auto" w:fill="auto"/>
            <w:vAlign w:val="center"/>
          </w:tcPr>
          <w:p w14:paraId="6DEF6D5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0.341431</w:t>
            </w:r>
          </w:p>
        </w:tc>
        <w:tc>
          <w:tcPr>
            <w:tcW w:w="1067" w:type="dxa"/>
            <w:shd w:val="clear" w:color="auto" w:fill="auto"/>
            <w:vAlign w:val="center"/>
          </w:tcPr>
          <w:p w14:paraId="0AC4256A">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0.574216</w:t>
            </w:r>
          </w:p>
        </w:tc>
      </w:tr>
      <w:tr w14:paraId="6D51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2092" w:type="dxa"/>
            <w:shd w:val="clear" w:color="auto" w:fill="auto"/>
            <w:vAlign w:val="center"/>
          </w:tcPr>
          <w:p w14:paraId="359BAE34">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15（km/h）</w:t>
            </w:r>
          </w:p>
        </w:tc>
        <w:tc>
          <w:tcPr>
            <w:tcW w:w="1067" w:type="dxa"/>
            <w:shd w:val="clear" w:color="auto" w:fill="auto"/>
            <w:vAlign w:val="center"/>
          </w:tcPr>
          <w:p w14:paraId="1DF7438E">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0.153167</w:t>
            </w:r>
          </w:p>
        </w:tc>
        <w:tc>
          <w:tcPr>
            <w:tcW w:w="1067" w:type="dxa"/>
            <w:shd w:val="clear" w:color="auto" w:fill="auto"/>
            <w:vAlign w:val="center"/>
          </w:tcPr>
          <w:p w14:paraId="3DA1559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0.257596</w:t>
            </w:r>
          </w:p>
        </w:tc>
        <w:tc>
          <w:tcPr>
            <w:tcW w:w="1067" w:type="dxa"/>
            <w:shd w:val="clear" w:color="auto" w:fill="auto"/>
            <w:vAlign w:val="center"/>
          </w:tcPr>
          <w:p w14:paraId="19AFD5E9">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0.349146</w:t>
            </w:r>
          </w:p>
        </w:tc>
        <w:tc>
          <w:tcPr>
            <w:tcW w:w="1067" w:type="dxa"/>
            <w:shd w:val="clear" w:color="auto" w:fill="auto"/>
            <w:vAlign w:val="center"/>
          </w:tcPr>
          <w:p w14:paraId="6FA1EC6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0.433223</w:t>
            </w:r>
          </w:p>
        </w:tc>
        <w:tc>
          <w:tcPr>
            <w:tcW w:w="1067" w:type="dxa"/>
            <w:shd w:val="clear" w:color="auto" w:fill="auto"/>
            <w:vAlign w:val="center"/>
          </w:tcPr>
          <w:p w14:paraId="6E00C12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0.512146</w:t>
            </w:r>
          </w:p>
        </w:tc>
        <w:tc>
          <w:tcPr>
            <w:tcW w:w="1067" w:type="dxa"/>
            <w:shd w:val="clear" w:color="auto" w:fill="auto"/>
            <w:vAlign w:val="center"/>
          </w:tcPr>
          <w:p w14:paraId="64DCF7B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0.861323</w:t>
            </w:r>
          </w:p>
        </w:tc>
      </w:tr>
      <w:tr w14:paraId="0E5E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2092" w:type="dxa"/>
            <w:shd w:val="clear" w:color="auto" w:fill="auto"/>
            <w:vAlign w:val="center"/>
          </w:tcPr>
          <w:p w14:paraId="081B8334">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25（km/h）</w:t>
            </w:r>
          </w:p>
        </w:tc>
        <w:tc>
          <w:tcPr>
            <w:tcW w:w="1067" w:type="dxa"/>
            <w:shd w:val="clear" w:color="auto" w:fill="auto"/>
            <w:vAlign w:val="center"/>
          </w:tcPr>
          <w:p w14:paraId="18CD7F0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0.255279</w:t>
            </w:r>
          </w:p>
        </w:tc>
        <w:tc>
          <w:tcPr>
            <w:tcW w:w="1067" w:type="dxa"/>
            <w:shd w:val="clear" w:color="auto" w:fill="auto"/>
            <w:vAlign w:val="center"/>
          </w:tcPr>
          <w:p w14:paraId="66D38D5C">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0.429326</w:t>
            </w:r>
          </w:p>
        </w:tc>
        <w:tc>
          <w:tcPr>
            <w:tcW w:w="1067" w:type="dxa"/>
            <w:shd w:val="clear" w:color="auto" w:fill="auto"/>
            <w:vAlign w:val="center"/>
          </w:tcPr>
          <w:p w14:paraId="6B24596E">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0.58191</w:t>
            </w:r>
          </w:p>
        </w:tc>
        <w:tc>
          <w:tcPr>
            <w:tcW w:w="1067" w:type="dxa"/>
            <w:shd w:val="clear" w:color="auto" w:fill="auto"/>
            <w:vAlign w:val="center"/>
          </w:tcPr>
          <w:p w14:paraId="5E420546">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0.722038</w:t>
            </w:r>
          </w:p>
        </w:tc>
        <w:tc>
          <w:tcPr>
            <w:tcW w:w="1067" w:type="dxa"/>
            <w:shd w:val="clear" w:color="auto" w:fill="auto"/>
            <w:vAlign w:val="center"/>
          </w:tcPr>
          <w:p w14:paraId="32498A9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0.853577</w:t>
            </w:r>
          </w:p>
        </w:tc>
        <w:tc>
          <w:tcPr>
            <w:tcW w:w="1067" w:type="dxa"/>
            <w:shd w:val="clear" w:color="auto" w:fill="auto"/>
            <w:vAlign w:val="center"/>
          </w:tcPr>
          <w:p w14:paraId="519C0DB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1.435539</w:t>
            </w:r>
          </w:p>
        </w:tc>
      </w:tr>
    </w:tbl>
    <w:p w14:paraId="21C92267">
      <w:pPr>
        <w:pStyle w:val="15"/>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可见，在同样路面清洁程度条件下，车速越快，扬尘量越大；而在同样车速情况下，路面越脏，则扬尘量越大。因此，限速行驶及保持路面的清洁是减少汽车扬尘的有效手段。</w:t>
      </w:r>
    </w:p>
    <w:p w14:paraId="0B842593">
      <w:pPr>
        <w:pStyle w:val="15"/>
        <w:adjustRightInd w:val="0"/>
        <w:snapToGrid w:val="0"/>
        <w:spacing w:line="360" w:lineRule="auto"/>
        <w:ind w:firstLine="456" w:firstLineChars="200"/>
        <w:rPr>
          <w:rFonts w:ascii="Times New Roman" w:hAnsi="Times New Roman" w:cs="Times New Roman"/>
          <w:snapToGrid w:val="0"/>
          <w:color w:val="auto"/>
          <w:spacing w:val="-6"/>
          <w:kern w:val="0"/>
          <w:sz w:val="24"/>
          <w:highlight w:val="none"/>
        </w:rPr>
      </w:pPr>
      <w:r>
        <w:rPr>
          <w:rFonts w:hint="eastAsia" w:ascii="Times New Roman" w:hAnsi="Times New Roman" w:cs="Times New Roman"/>
          <w:snapToGrid w:val="0"/>
          <w:color w:val="auto"/>
          <w:spacing w:val="-6"/>
          <w:kern w:val="0"/>
          <w:sz w:val="24"/>
          <w:highlight w:val="none"/>
          <w:lang w:val="en-US" w:eastAsia="zh-CN"/>
        </w:rPr>
        <w:t>根据</w:t>
      </w:r>
      <w:r>
        <w:rPr>
          <w:rFonts w:ascii="Times New Roman" w:hAnsi="Times New Roman" w:cs="Times New Roman"/>
          <w:snapToGrid w:val="0"/>
          <w:color w:val="auto"/>
          <w:spacing w:val="-6"/>
          <w:kern w:val="0"/>
          <w:sz w:val="24"/>
          <w:highlight w:val="none"/>
        </w:rPr>
        <w:t>施工需要，一些建材需露天堆放；一些施工点表层土需人工开挖、堆放，在气候干燥又有风的情况下，也会产生扬尘，其扬尘可按堆场起尘的经验公式计算：</w:t>
      </w:r>
    </w:p>
    <w:p w14:paraId="206538DF">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object>
          <v:shape id="_x0000_i1025" o:spt="75" type="#_x0000_t75" style="height:23pt;width:147pt;" o:ole="t" filled="f" coordsize="21600,21600">
            <v:path/>
            <v:fill on="f" focussize="0,0"/>
            <v:stroke/>
            <v:imagedata r:id="rId26" o:title=""/>
            <o:lock v:ext="edit" aspectratio="t"/>
            <w10:wrap type="none"/>
            <w10:anchorlock/>
          </v:shape>
          <o:OLEObject Type="Embed" ProgID="Equation.3" ShapeID="_x0000_i1025" DrawAspect="Content" ObjectID="_1468075727" r:id="rId25">
            <o:LockedField>false</o:LockedField>
          </o:OLEObject>
        </w:object>
      </w:r>
    </w:p>
    <w:p w14:paraId="2EA27D36">
      <w:pPr>
        <w:pStyle w:val="15"/>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其中：Q——起尘量，kg/t•a；</w:t>
      </w:r>
    </w:p>
    <w:p w14:paraId="11C2E29B">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V</w:t>
      </w:r>
      <w:r>
        <w:rPr>
          <w:rFonts w:ascii="Times New Roman" w:hAnsi="Times New Roman" w:cs="Times New Roman"/>
          <w:snapToGrid w:val="0"/>
          <w:color w:val="auto"/>
          <w:kern w:val="0"/>
          <w:sz w:val="24"/>
          <w:highlight w:val="none"/>
          <w:vertAlign w:val="subscript"/>
        </w:rPr>
        <w:t>50</w:t>
      </w:r>
      <w:r>
        <w:rPr>
          <w:rFonts w:ascii="Times New Roman" w:hAnsi="Times New Roman" w:cs="Times New Roman"/>
          <w:snapToGrid w:val="0"/>
          <w:color w:val="auto"/>
          <w:kern w:val="0"/>
          <w:sz w:val="24"/>
          <w:highlight w:val="none"/>
        </w:rPr>
        <w:t>——距地面50 m处风速，m/s；</w:t>
      </w:r>
    </w:p>
    <w:p w14:paraId="1E6076E4">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V</w:t>
      </w:r>
      <w:r>
        <w:rPr>
          <w:rFonts w:ascii="Times New Roman" w:hAnsi="Times New Roman" w:cs="Times New Roman"/>
          <w:snapToGrid w:val="0"/>
          <w:color w:val="auto"/>
          <w:kern w:val="0"/>
          <w:sz w:val="24"/>
          <w:highlight w:val="none"/>
          <w:vertAlign w:val="subscript"/>
        </w:rPr>
        <w:t>0</w:t>
      </w:r>
      <w:r>
        <w:rPr>
          <w:rFonts w:ascii="Times New Roman" w:hAnsi="Times New Roman" w:cs="Times New Roman"/>
          <w:snapToGrid w:val="0"/>
          <w:color w:val="auto"/>
          <w:kern w:val="0"/>
          <w:sz w:val="24"/>
          <w:highlight w:val="none"/>
        </w:rPr>
        <w:t>——起尘风速，m/s；</w:t>
      </w:r>
    </w:p>
    <w:p w14:paraId="6DF74907">
      <w:pPr>
        <w:pStyle w:val="15"/>
        <w:adjustRightInd w:val="0"/>
        <w:snapToGrid w:val="0"/>
        <w:spacing w:line="360" w:lineRule="auto"/>
        <w:ind w:firstLine="1200" w:firstLineChars="5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W——尘粒的含水率，%。</w:t>
      </w:r>
    </w:p>
    <w:p w14:paraId="6886652C">
      <w:pPr>
        <w:pStyle w:val="15"/>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这类扬尘量大小与作业时风速、起尘风速V</w:t>
      </w:r>
      <w:r>
        <w:rPr>
          <w:rFonts w:ascii="Times New Roman" w:hAnsi="Times New Roman" w:cs="Times New Roman"/>
          <w:snapToGrid w:val="0"/>
          <w:color w:val="auto"/>
          <w:kern w:val="0"/>
          <w:sz w:val="24"/>
          <w:highlight w:val="none"/>
          <w:vertAlign w:val="subscript"/>
        </w:rPr>
        <w:t>0</w:t>
      </w:r>
      <w:r>
        <w:rPr>
          <w:rFonts w:ascii="Times New Roman" w:hAnsi="Times New Roman" w:cs="Times New Roman"/>
          <w:snapToGrid w:val="0"/>
          <w:color w:val="auto"/>
          <w:kern w:val="0"/>
          <w:sz w:val="24"/>
          <w:highlight w:val="none"/>
        </w:rPr>
        <w:t>和尘粒含水率等因素有关，因此，避免在大风天气进行土地开挖和回填作业，减少开挖土方的露天堆放时间尽量随挖随填，且保证一定的含水率是抑制这类扬尘的有效手段。</w:t>
      </w:r>
    </w:p>
    <w:p w14:paraId="731E8AFA">
      <w:pPr>
        <w:pStyle w:val="15"/>
        <w:adjustRightInd w:val="0"/>
        <w:snapToGrid w:val="0"/>
        <w:spacing w:line="360" w:lineRule="auto"/>
        <w:ind w:firstLine="480" w:firstLineChars="200"/>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尘粒在空气中的传播扩散情况与风速等气象条件有关，也与尘粒本身的沉降速度有关。以沙尘为例，不同粒径的尘粒的沉降速度见表</w:t>
      </w:r>
      <w:r>
        <w:rPr>
          <w:rFonts w:hint="eastAsia" w:ascii="Times New Roman" w:hAnsi="Times New Roman" w:cs="Times New Roman"/>
          <w:snapToGrid w:val="0"/>
          <w:color w:val="auto"/>
          <w:kern w:val="0"/>
          <w:sz w:val="24"/>
          <w:highlight w:val="none"/>
        </w:rPr>
        <w:t>6.1-2</w:t>
      </w:r>
      <w:r>
        <w:rPr>
          <w:rFonts w:ascii="Times New Roman" w:hAnsi="Times New Roman" w:cs="Times New Roman"/>
          <w:snapToGrid w:val="0"/>
          <w:color w:val="auto"/>
          <w:kern w:val="0"/>
          <w:sz w:val="24"/>
          <w:highlight w:val="none"/>
        </w:rPr>
        <w:t>。</w:t>
      </w:r>
    </w:p>
    <w:p w14:paraId="659B3EB3">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6</w:t>
      </w:r>
      <w:r>
        <w:rPr>
          <w:b/>
          <w:bCs/>
          <w:snapToGrid w:val="0"/>
          <w:color w:val="auto"/>
          <w:kern w:val="0"/>
          <w:szCs w:val="21"/>
          <w:highlight w:val="none"/>
        </w:rPr>
        <w:t>.1-2 不同粒径的尘粒的沉降速度</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883"/>
        <w:gridCol w:w="978"/>
        <w:gridCol w:w="942"/>
        <w:gridCol w:w="921"/>
        <w:gridCol w:w="922"/>
        <w:gridCol w:w="1014"/>
        <w:gridCol w:w="921"/>
        <w:gridCol w:w="941"/>
      </w:tblGrid>
      <w:tr w14:paraId="4FB9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1883" w:type="dxa"/>
            <w:shd w:val="clear" w:color="auto" w:fill="auto"/>
            <w:vAlign w:val="center"/>
          </w:tcPr>
          <w:p w14:paraId="21D5C848">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粒径（μm）</w:t>
            </w:r>
          </w:p>
        </w:tc>
        <w:tc>
          <w:tcPr>
            <w:tcW w:w="978" w:type="dxa"/>
            <w:shd w:val="clear" w:color="auto" w:fill="auto"/>
            <w:vAlign w:val="center"/>
          </w:tcPr>
          <w:p w14:paraId="317A903D">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10</w:t>
            </w:r>
          </w:p>
        </w:tc>
        <w:tc>
          <w:tcPr>
            <w:tcW w:w="942" w:type="dxa"/>
            <w:shd w:val="clear" w:color="auto" w:fill="auto"/>
            <w:vAlign w:val="center"/>
          </w:tcPr>
          <w:p w14:paraId="34A3449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20</w:t>
            </w:r>
          </w:p>
        </w:tc>
        <w:tc>
          <w:tcPr>
            <w:tcW w:w="921" w:type="dxa"/>
            <w:shd w:val="clear" w:color="auto" w:fill="auto"/>
            <w:vAlign w:val="center"/>
          </w:tcPr>
          <w:p w14:paraId="3662EC2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30</w:t>
            </w:r>
          </w:p>
        </w:tc>
        <w:tc>
          <w:tcPr>
            <w:tcW w:w="922" w:type="dxa"/>
            <w:shd w:val="clear" w:color="auto" w:fill="auto"/>
            <w:vAlign w:val="center"/>
          </w:tcPr>
          <w:p w14:paraId="3B4AF3DC">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40</w:t>
            </w:r>
          </w:p>
        </w:tc>
        <w:tc>
          <w:tcPr>
            <w:tcW w:w="1014" w:type="dxa"/>
            <w:shd w:val="clear" w:color="auto" w:fill="auto"/>
            <w:vAlign w:val="center"/>
          </w:tcPr>
          <w:p w14:paraId="031746EA">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50</w:t>
            </w:r>
          </w:p>
        </w:tc>
        <w:tc>
          <w:tcPr>
            <w:tcW w:w="921" w:type="dxa"/>
            <w:shd w:val="clear" w:color="auto" w:fill="auto"/>
            <w:vAlign w:val="center"/>
          </w:tcPr>
          <w:p w14:paraId="5F2FA246">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60</w:t>
            </w:r>
          </w:p>
        </w:tc>
        <w:tc>
          <w:tcPr>
            <w:tcW w:w="941" w:type="dxa"/>
            <w:shd w:val="clear" w:color="auto" w:fill="auto"/>
            <w:vAlign w:val="center"/>
          </w:tcPr>
          <w:p w14:paraId="524814E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70</w:t>
            </w:r>
          </w:p>
        </w:tc>
      </w:tr>
      <w:tr w14:paraId="477A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1883" w:type="dxa"/>
            <w:shd w:val="clear" w:color="auto" w:fill="auto"/>
            <w:vAlign w:val="center"/>
          </w:tcPr>
          <w:p w14:paraId="76B83ED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沉降速度（m/s）</w:t>
            </w:r>
          </w:p>
        </w:tc>
        <w:tc>
          <w:tcPr>
            <w:tcW w:w="978" w:type="dxa"/>
            <w:shd w:val="clear" w:color="auto" w:fill="auto"/>
            <w:vAlign w:val="center"/>
          </w:tcPr>
          <w:p w14:paraId="72B33378">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0.003</w:t>
            </w:r>
          </w:p>
        </w:tc>
        <w:tc>
          <w:tcPr>
            <w:tcW w:w="942" w:type="dxa"/>
            <w:shd w:val="clear" w:color="auto" w:fill="auto"/>
            <w:vAlign w:val="center"/>
          </w:tcPr>
          <w:p w14:paraId="18B3396D">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0.012</w:t>
            </w:r>
          </w:p>
        </w:tc>
        <w:tc>
          <w:tcPr>
            <w:tcW w:w="921" w:type="dxa"/>
            <w:shd w:val="clear" w:color="auto" w:fill="auto"/>
            <w:vAlign w:val="center"/>
          </w:tcPr>
          <w:p w14:paraId="75C4417A">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0.027</w:t>
            </w:r>
          </w:p>
        </w:tc>
        <w:tc>
          <w:tcPr>
            <w:tcW w:w="922" w:type="dxa"/>
            <w:shd w:val="clear" w:color="auto" w:fill="auto"/>
            <w:vAlign w:val="center"/>
          </w:tcPr>
          <w:p w14:paraId="615D0474">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0.048</w:t>
            </w:r>
          </w:p>
        </w:tc>
        <w:tc>
          <w:tcPr>
            <w:tcW w:w="1014" w:type="dxa"/>
            <w:shd w:val="clear" w:color="auto" w:fill="auto"/>
            <w:vAlign w:val="center"/>
          </w:tcPr>
          <w:p w14:paraId="7AE11B9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0.075</w:t>
            </w:r>
          </w:p>
        </w:tc>
        <w:tc>
          <w:tcPr>
            <w:tcW w:w="921" w:type="dxa"/>
            <w:shd w:val="clear" w:color="auto" w:fill="auto"/>
            <w:vAlign w:val="center"/>
          </w:tcPr>
          <w:p w14:paraId="051E772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0.108</w:t>
            </w:r>
          </w:p>
        </w:tc>
        <w:tc>
          <w:tcPr>
            <w:tcW w:w="941" w:type="dxa"/>
            <w:shd w:val="clear" w:color="auto" w:fill="auto"/>
            <w:vAlign w:val="center"/>
          </w:tcPr>
          <w:p w14:paraId="03E92DA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0.147</w:t>
            </w:r>
          </w:p>
        </w:tc>
      </w:tr>
      <w:tr w14:paraId="6E12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1883" w:type="dxa"/>
            <w:shd w:val="clear" w:color="auto" w:fill="auto"/>
            <w:vAlign w:val="center"/>
          </w:tcPr>
          <w:p w14:paraId="5ACB291E">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粒径（μm）</w:t>
            </w:r>
          </w:p>
        </w:tc>
        <w:tc>
          <w:tcPr>
            <w:tcW w:w="978" w:type="dxa"/>
            <w:shd w:val="clear" w:color="auto" w:fill="auto"/>
            <w:vAlign w:val="center"/>
          </w:tcPr>
          <w:p w14:paraId="5482D2A6">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80</w:t>
            </w:r>
          </w:p>
        </w:tc>
        <w:tc>
          <w:tcPr>
            <w:tcW w:w="942" w:type="dxa"/>
            <w:shd w:val="clear" w:color="auto" w:fill="auto"/>
            <w:vAlign w:val="center"/>
          </w:tcPr>
          <w:p w14:paraId="3B91126E">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90</w:t>
            </w:r>
          </w:p>
        </w:tc>
        <w:tc>
          <w:tcPr>
            <w:tcW w:w="921" w:type="dxa"/>
            <w:shd w:val="clear" w:color="auto" w:fill="auto"/>
            <w:vAlign w:val="center"/>
          </w:tcPr>
          <w:p w14:paraId="5CDA4537">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100</w:t>
            </w:r>
          </w:p>
        </w:tc>
        <w:tc>
          <w:tcPr>
            <w:tcW w:w="922" w:type="dxa"/>
            <w:shd w:val="clear" w:color="auto" w:fill="auto"/>
            <w:vAlign w:val="center"/>
          </w:tcPr>
          <w:p w14:paraId="27958D8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150</w:t>
            </w:r>
          </w:p>
        </w:tc>
        <w:tc>
          <w:tcPr>
            <w:tcW w:w="1014" w:type="dxa"/>
            <w:shd w:val="clear" w:color="auto" w:fill="auto"/>
            <w:vAlign w:val="center"/>
          </w:tcPr>
          <w:p w14:paraId="3F4514A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200</w:t>
            </w:r>
          </w:p>
        </w:tc>
        <w:tc>
          <w:tcPr>
            <w:tcW w:w="921" w:type="dxa"/>
            <w:shd w:val="clear" w:color="auto" w:fill="auto"/>
            <w:vAlign w:val="center"/>
          </w:tcPr>
          <w:p w14:paraId="4A742A0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250</w:t>
            </w:r>
          </w:p>
        </w:tc>
        <w:tc>
          <w:tcPr>
            <w:tcW w:w="941" w:type="dxa"/>
            <w:shd w:val="clear" w:color="auto" w:fill="auto"/>
            <w:vAlign w:val="center"/>
          </w:tcPr>
          <w:p w14:paraId="1C54ED7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350</w:t>
            </w:r>
          </w:p>
        </w:tc>
      </w:tr>
      <w:tr w14:paraId="4BC1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1883" w:type="dxa"/>
            <w:shd w:val="clear" w:color="auto" w:fill="auto"/>
            <w:vAlign w:val="center"/>
          </w:tcPr>
          <w:p w14:paraId="5131FBD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沉降速度（m/s）</w:t>
            </w:r>
          </w:p>
        </w:tc>
        <w:tc>
          <w:tcPr>
            <w:tcW w:w="978" w:type="dxa"/>
            <w:shd w:val="clear" w:color="auto" w:fill="auto"/>
            <w:vAlign w:val="center"/>
          </w:tcPr>
          <w:p w14:paraId="011FCF2D">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0.158</w:t>
            </w:r>
          </w:p>
        </w:tc>
        <w:tc>
          <w:tcPr>
            <w:tcW w:w="942" w:type="dxa"/>
            <w:shd w:val="clear" w:color="auto" w:fill="auto"/>
            <w:vAlign w:val="center"/>
          </w:tcPr>
          <w:p w14:paraId="3AF566B6">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0.170</w:t>
            </w:r>
          </w:p>
        </w:tc>
        <w:tc>
          <w:tcPr>
            <w:tcW w:w="921" w:type="dxa"/>
            <w:shd w:val="clear" w:color="auto" w:fill="auto"/>
            <w:vAlign w:val="center"/>
          </w:tcPr>
          <w:p w14:paraId="1483DDBE">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0.182</w:t>
            </w:r>
          </w:p>
        </w:tc>
        <w:tc>
          <w:tcPr>
            <w:tcW w:w="922" w:type="dxa"/>
            <w:shd w:val="clear" w:color="auto" w:fill="auto"/>
            <w:vAlign w:val="center"/>
          </w:tcPr>
          <w:p w14:paraId="383B16B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0.239</w:t>
            </w:r>
          </w:p>
        </w:tc>
        <w:tc>
          <w:tcPr>
            <w:tcW w:w="1014" w:type="dxa"/>
            <w:shd w:val="clear" w:color="auto" w:fill="auto"/>
            <w:vAlign w:val="center"/>
          </w:tcPr>
          <w:p w14:paraId="2272FDC8">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0.804</w:t>
            </w:r>
          </w:p>
        </w:tc>
        <w:tc>
          <w:tcPr>
            <w:tcW w:w="921" w:type="dxa"/>
            <w:shd w:val="clear" w:color="auto" w:fill="auto"/>
            <w:vAlign w:val="center"/>
          </w:tcPr>
          <w:p w14:paraId="515B0DE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1.005</w:t>
            </w:r>
          </w:p>
        </w:tc>
        <w:tc>
          <w:tcPr>
            <w:tcW w:w="941" w:type="dxa"/>
            <w:shd w:val="clear" w:color="auto" w:fill="auto"/>
            <w:vAlign w:val="center"/>
          </w:tcPr>
          <w:p w14:paraId="7C72325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1.829</w:t>
            </w:r>
          </w:p>
        </w:tc>
      </w:tr>
      <w:tr w14:paraId="6F4A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1883" w:type="dxa"/>
            <w:shd w:val="clear" w:color="auto" w:fill="auto"/>
            <w:vAlign w:val="center"/>
          </w:tcPr>
          <w:p w14:paraId="338E0BD9">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粒径（μm）</w:t>
            </w:r>
          </w:p>
        </w:tc>
        <w:tc>
          <w:tcPr>
            <w:tcW w:w="978" w:type="dxa"/>
            <w:shd w:val="clear" w:color="auto" w:fill="auto"/>
            <w:vAlign w:val="center"/>
          </w:tcPr>
          <w:p w14:paraId="0C741666">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450</w:t>
            </w:r>
          </w:p>
        </w:tc>
        <w:tc>
          <w:tcPr>
            <w:tcW w:w="942" w:type="dxa"/>
            <w:shd w:val="clear" w:color="auto" w:fill="auto"/>
            <w:vAlign w:val="center"/>
          </w:tcPr>
          <w:p w14:paraId="139FBEB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550</w:t>
            </w:r>
          </w:p>
        </w:tc>
        <w:tc>
          <w:tcPr>
            <w:tcW w:w="921" w:type="dxa"/>
            <w:shd w:val="clear" w:color="auto" w:fill="auto"/>
            <w:vAlign w:val="center"/>
          </w:tcPr>
          <w:p w14:paraId="5962292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650</w:t>
            </w:r>
          </w:p>
        </w:tc>
        <w:tc>
          <w:tcPr>
            <w:tcW w:w="922" w:type="dxa"/>
            <w:shd w:val="clear" w:color="auto" w:fill="auto"/>
            <w:vAlign w:val="center"/>
          </w:tcPr>
          <w:p w14:paraId="3E1DA433">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750</w:t>
            </w:r>
          </w:p>
        </w:tc>
        <w:tc>
          <w:tcPr>
            <w:tcW w:w="1014" w:type="dxa"/>
            <w:shd w:val="clear" w:color="auto" w:fill="auto"/>
            <w:vAlign w:val="center"/>
          </w:tcPr>
          <w:p w14:paraId="04F9E251">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850</w:t>
            </w:r>
          </w:p>
        </w:tc>
        <w:tc>
          <w:tcPr>
            <w:tcW w:w="921" w:type="dxa"/>
            <w:shd w:val="clear" w:color="auto" w:fill="auto"/>
            <w:vAlign w:val="center"/>
          </w:tcPr>
          <w:p w14:paraId="240460E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950</w:t>
            </w:r>
          </w:p>
        </w:tc>
        <w:tc>
          <w:tcPr>
            <w:tcW w:w="941" w:type="dxa"/>
            <w:shd w:val="clear" w:color="auto" w:fill="auto"/>
            <w:vAlign w:val="center"/>
          </w:tcPr>
          <w:p w14:paraId="0771584B">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1050</w:t>
            </w:r>
          </w:p>
        </w:tc>
      </w:tr>
      <w:tr w14:paraId="0E9D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blHeader/>
          <w:jc w:val="center"/>
        </w:trPr>
        <w:tc>
          <w:tcPr>
            <w:tcW w:w="1883" w:type="dxa"/>
            <w:shd w:val="clear" w:color="auto" w:fill="auto"/>
            <w:vAlign w:val="center"/>
          </w:tcPr>
          <w:p w14:paraId="26E3CC2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沉降速度（m/s）</w:t>
            </w:r>
          </w:p>
        </w:tc>
        <w:tc>
          <w:tcPr>
            <w:tcW w:w="978" w:type="dxa"/>
            <w:shd w:val="clear" w:color="auto" w:fill="auto"/>
            <w:vAlign w:val="center"/>
          </w:tcPr>
          <w:p w14:paraId="455D2DA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2.211</w:t>
            </w:r>
          </w:p>
        </w:tc>
        <w:tc>
          <w:tcPr>
            <w:tcW w:w="942" w:type="dxa"/>
            <w:shd w:val="clear" w:color="auto" w:fill="auto"/>
            <w:vAlign w:val="center"/>
          </w:tcPr>
          <w:p w14:paraId="719B9A0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2.614</w:t>
            </w:r>
          </w:p>
        </w:tc>
        <w:tc>
          <w:tcPr>
            <w:tcW w:w="921" w:type="dxa"/>
            <w:shd w:val="clear" w:color="auto" w:fill="auto"/>
            <w:vAlign w:val="center"/>
          </w:tcPr>
          <w:p w14:paraId="1D72772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3.016</w:t>
            </w:r>
          </w:p>
        </w:tc>
        <w:tc>
          <w:tcPr>
            <w:tcW w:w="922" w:type="dxa"/>
            <w:shd w:val="clear" w:color="auto" w:fill="auto"/>
            <w:vAlign w:val="center"/>
          </w:tcPr>
          <w:p w14:paraId="13C7E862">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3.418</w:t>
            </w:r>
          </w:p>
        </w:tc>
        <w:tc>
          <w:tcPr>
            <w:tcW w:w="1014" w:type="dxa"/>
            <w:shd w:val="clear" w:color="auto" w:fill="auto"/>
            <w:vAlign w:val="center"/>
          </w:tcPr>
          <w:p w14:paraId="2C648635">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3.820</w:t>
            </w:r>
          </w:p>
        </w:tc>
        <w:tc>
          <w:tcPr>
            <w:tcW w:w="921" w:type="dxa"/>
            <w:shd w:val="clear" w:color="auto" w:fill="auto"/>
            <w:vAlign w:val="center"/>
          </w:tcPr>
          <w:p w14:paraId="7D629520">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4.222</w:t>
            </w:r>
          </w:p>
        </w:tc>
        <w:tc>
          <w:tcPr>
            <w:tcW w:w="941" w:type="dxa"/>
            <w:shd w:val="clear" w:color="auto" w:fill="auto"/>
            <w:vAlign w:val="center"/>
          </w:tcPr>
          <w:p w14:paraId="5B67106E">
            <w:pPr>
              <w:pStyle w:val="150"/>
              <w:snapToGrid w:val="0"/>
              <w:spacing w:after="0" w:line="240" w:lineRule="auto"/>
              <w:textAlignment w:val="center"/>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4.624</w:t>
            </w:r>
          </w:p>
        </w:tc>
      </w:tr>
    </w:tbl>
    <w:p w14:paraId="25A385E5">
      <w:pPr>
        <w:pStyle w:val="15"/>
        <w:adjustRightInd w:val="0"/>
        <w:snapToGrid w:val="0"/>
        <w:spacing w:before="156" w:beforeLines="50"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由</w:t>
      </w:r>
      <w:r>
        <w:rPr>
          <w:rFonts w:hint="eastAsia" w:ascii="Times New Roman" w:hAnsi="Times New Roman" w:cs="Times New Roman" w:eastAsiaTheme="minorEastAsia"/>
          <w:snapToGrid w:val="0"/>
          <w:color w:val="auto"/>
          <w:kern w:val="0"/>
          <w:sz w:val="24"/>
          <w:highlight w:val="none"/>
        </w:rPr>
        <w:t>上表</w:t>
      </w:r>
      <w:r>
        <w:rPr>
          <w:rFonts w:ascii="Times New Roman" w:hAnsi="Times New Roman" w:cs="Times New Roman" w:eastAsiaTheme="minorEastAsia"/>
          <w:snapToGrid w:val="0"/>
          <w:color w:val="auto"/>
          <w:kern w:val="0"/>
          <w:sz w:val="24"/>
          <w:highlight w:val="none"/>
        </w:rPr>
        <w:t>可知，尘粒的沉降速度随粒径的增大而迅速增大。当粒径为250μm时，沉降速度为1.005 m/s，因此可以认为当尘粒大于250μm时，主要影响范围在扬尘点下风向近距离范围内，而真正对外环境产生影响的是一些微小尘粒。根据现场的气候情况不同，其影响范围也有所不同。</w:t>
      </w:r>
    </w:p>
    <w:p w14:paraId="3E49C27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6.1.1.2施工扬尘控制措施</w:t>
      </w:r>
    </w:p>
    <w:p w14:paraId="445BD573">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据经验值估算，施工场地、施工道路在自然风作用下产生的扬尘所影响的范围在100m以内。如果在施工期间对车辆行驶的路面实施洒水抑尘，每天洒水4-5次，可使扬尘减少</w:t>
      </w:r>
      <w:r>
        <w:rPr>
          <w:rFonts w:hint="eastAsia" w:ascii="Times New Roman" w:hAnsi="Times New Roman" w:cs="Times New Roman" w:eastAsiaTheme="minorEastAsia"/>
          <w:snapToGrid w:val="0"/>
          <w:color w:val="auto"/>
          <w:kern w:val="0"/>
          <w:sz w:val="24"/>
          <w:highlight w:val="none"/>
        </w:rPr>
        <w:t>70%～80%</w:t>
      </w:r>
      <w:r>
        <w:rPr>
          <w:rFonts w:ascii="Times New Roman" w:hAnsi="Times New Roman" w:cs="Times New Roman" w:eastAsiaTheme="minorEastAsia"/>
          <w:snapToGrid w:val="0"/>
          <w:color w:val="auto"/>
          <w:kern w:val="0"/>
          <w:sz w:val="24"/>
          <w:highlight w:val="none"/>
        </w:rPr>
        <w:t>左右，施工场地洒水抑尘的</w:t>
      </w:r>
      <w:r>
        <w:rPr>
          <w:rFonts w:hint="eastAsia" w:ascii="Times New Roman" w:hAnsi="Times New Roman" w:cs="Times New Roman" w:eastAsiaTheme="minorEastAsia"/>
          <w:snapToGrid w:val="0"/>
          <w:color w:val="auto"/>
          <w:kern w:val="0"/>
          <w:sz w:val="24"/>
          <w:highlight w:val="none"/>
        </w:rPr>
        <w:t>类比试验</w:t>
      </w:r>
      <w:r>
        <w:rPr>
          <w:rFonts w:ascii="Times New Roman" w:hAnsi="Times New Roman" w:cs="Times New Roman" w:eastAsiaTheme="minorEastAsia"/>
          <w:snapToGrid w:val="0"/>
          <w:color w:val="auto"/>
          <w:kern w:val="0"/>
          <w:sz w:val="24"/>
          <w:highlight w:val="none"/>
        </w:rPr>
        <w:t>结</w:t>
      </w:r>
      <w:r>
        <w:rPr>
          <w:rFonts w:hint="eastAsia" w:ascii="Times New Roman" w:hAnsi="Times New Roman" w:cs="Times New Roman" w:eastAsiaTheme="minorEastAsia"/>
          <w:snapToGrid w:val="0"/>
          <w:color w:val="auto"/>
          <w:kern w:val="0"/>
          <w:sz w:val="24"/>
          <w:highlight w:val="none"/>
        </w:rPr>
        <w:t>果见</w:t>
      </w:r>
      <w:r>
        <w:rPr>
          <w:rFonts w:ascii="Times New Roman" w:hAnsi="Times New Roman" w:cs="Times New Roman" w:eastAsiaTheme="minorEastAsia"/>
          <w:snapToGrid w:val="0"/>
          <w:color w:val="auto"/>
          <w:kern w:val="0"/>
          <w:sz w:val="24"/>
          <w:highlight w:val="none"/>
        </w:rPr>
        <w:t>表</w:t>
      </w:r>
      <w:r>
        <w:rPr>
          <w:rFonts w:hint="eastAsia" w:ascii="Times New Roman" w:hAnsi="Times New Roman" w:cs="Times New Roman" w:eastAsiaTheme="minorEastAsia"/>
          <w:snapToGrid w:val="0"/>
          <w:color w:val="auto"/>
          <w:kern w:val="0"/>
          <w:sz w:val="24"/>
          <w:highlight w:val="none"/>
        </w:rPr>
        <w:t>6.1-3</w:t>
      </w:r>
      <w:r>
        <w:rPr>
          <w:rFonts w:ascii="Times New Roman" w:hAnsi="Times New Roman" w:cs="Times New Roman" w:eastAsiaTheme="minorEastAsia"/>
          <w:snapToGrid w:val="0"/>
          <w:color w:val="auto"/>
          <w:kern w:val="0"/>
          <w:sz w:val="24"/>
          <w:highlight w:val="none"/>
        </w:rPr>
        <w:t>。</w:t>
      </w:r>
    </w:p>
    <w:p w14:paraId="3A7F24F3">
      <w:pPr>
        <w:adjustRightInd w:val="0"/>
        <w:snapToGrid w:val="0"/>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rPr>
        <w:t>6.1-3</w:t>
      </w:r>
      <w:r>
        <w:rPr>
          <w:b/>
          <w:bCs/>
          <w:snapToGrid w:val="0"/>
          <w:color w:val="auto"/>
          <w:kern w:val="0"/>
          <w:szCs w:val="21"/>
          <w:highlight w:val="none"/>
        </w:rPr>
        <w:t xml:space="preserve"> 施工场地洒水抑尘的试验结果</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57" w:type="dxa"/>
          <w:left w:w="108" w:type="dxa"/>
          <w:bottom w:w="57" w:type="dxa"/>
          <w:right w:w="108" w:type="dxa"/>
        </w:tblCellMar>
      </w:tblPr>
      <w:tblGrid>
        <w:gridCol w:w="1562"/>
        <w:gridCol w:w="876"/>
        <w:gridCol w:w="1216"/>
        <w:gridCol w:w="1217"/>
        <w:gridCol w:w="1217"/>
        <w:gridCol w:w="1217"/>
        <w:gridCol w:w="1217"/>
      </w:tblGrid>
      <w:tr w14:paraId="3819985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57" w:type="dxa"/>
            <w:left w:w="108" w:type="dxa"/>
            <w:bottom w:w="57" w:type="dxa"/>
            <w:right w:w="108" w:type="dxa"/>
          </w:tblCellMar>
        </w:tblPrEx>
        <w:trPr>
          <w:trHeight w:val="283" w:hRule="atLeast"/>
          <w:tblHeader/>
          <w:jc w:val="center"/>
        </w:trPr>
        <w:tc>
          <w:tcPr>
            <w:tcW w:w="2430" w:type="dxa"/>
            <w:gridSpan w:val="2"/>
            <w:tcBorders>
              <w:bottom w:val="single" w:color="auto" w:sz="2" w:space="0"/>
            </w:tcBorders>
            <w:shd w:val="clear" w:color="auto" w:fill="auto"/>
            <w:vAlign w:val="center"/>
          </w:tcPr>
          <w:p w14:paraId="3047D4BA">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距离（m）</w:t>
            </w:r>
          </w:p>
        </w:tc>
        <w:tc>
          <w:tcPr>
            <w:tcW w:w="1212" w:type="dxa"/>
            <w:tcBorders>
              <w:bottom w:val="single" w:color="auto" w:sz="2" w:space="0"/>
            </w:tcBorders>
            <w:shd w:val="clear" w:color="auto" w:fill="auto"/>
            <w:vAlign w:val="center"/>
          </w:tcPr>
          <w:p w14:paraId="17C6B551">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5</w:t>
            </w:r>
          </w:p>
        </w:tc>
        <w:tc>
          <w:tcPr>
            <w:tcW w:w="1213" w:type="dxa"/>
            <w:tcBorders>
              <w:bottom w:val="single" w:color="auto" w:sz="2" w:space="0"/>
            </w:tcBorders>
            <w:shd w:val="clear" w:color="auto" w:fill="auto"/>
            <w:vAlign w:val="center"/>
          </w:tcPr>
          <w:p w14:paraId="1949DA4A">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20</w:t>
            </w:r>
          </w:p>
        </w:tc>
        <w:tc>
          <w:tcPr>
            <w:tcW w:w="1213" w:type="dxa"/>
            <w:tcBorders>
              <w:bottom w:val="single" w:color="auto" w:sz="2" w:space="0"/>
            </w:tcBorders>
            <w:shd w:val="clear" w:color="auto" w:fill="auto"/>
            <w:vAlign w:val="center"/>
          </w:tcPr>
          <w:p w14:paraId="0AF7FA67">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50</w:t>
            </w:r>
          </w:p>
        </w:tc>
        <w:tc>
          <w:tcPr>
            <w:tcW w:w="1213" w:type="dxa"/>
            <w:tcBorders>
              <w:bottom w:val="single" w:color="auto" w:sz="2" w:space="0"/>
            </w:tcBorders>
            <w:shd w:val="clear" w:color="auto" w:fill="auto"/>
            <w:vAlign w:val="center"/>
          </w:tcPr>
          <w:p w14:paraId="45F77B49">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100</w:t>
            </w:r>
          </w:p>
        </w:tc>
        <w:tc>
          <w:tcPr>
            <w:tcW w:w="1213" w:type="dxa"/>
            <w:tcBorders>
              <w:bottom w:val="single" w:color="auto" w:sz="2" w:space="0"/>
            </w:tcBorders>
            <w:shd w:val="clear" w:color="auto" w:fill="auto"/>
            <w:vAlign w:val="center"/>
          </w:tcPr>
          <w:p w14:paraId="684B371E">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200</w:t>
            </w:r>
          </w:p>
        </w:tc>
      </w:tr>
      <w:tr w14:paraId="4B029F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57" w:type="dxa"/>
            <w:left w:w="108" w:type="dxa"/>
            <w:bottom w:w="57" w:type="dxa"/>
            <w:right w:w="108" w:type="dxa"/>
          </w:tblCellMar>
        </w:tblPrEx>
        <w:trPr>
          <w:trHeight w:val="283" w:hRule="atLeast"/>
          <w:tblHeader/>
          <w:jc w:val="center"/>
        </w:trPr>
        <w:tc>
          <w:tcPr>
            <w:tcW w:w="1557" w:type="dxa"/>
            <w:vMerge w:val="restart"/>
            <w:tcBorders>
              <w:top w:val="single" w:color="auto" w:sz="2" w:space="0"/>
              <w:bottom w:val="single" w:color="auto" w:sz="2" w:space="0"/>
            </w:tcBorders>
            <w:vAlign w:val="center"/>
          </w:tcPr>
          <w:p w14:paraId="13AC3C91">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TSP小时值（mg/Nm</w:t>
            </w:r>
            <w:r>
              <w:rPr>
                <w:rFonts w:ascii="Times New Roman" w:hAnsi="Times New Roman" w:cs="Times New Roman"/>
                <w:snapToGrid w:val="0"/>
                <w:color w:val="auto"/>
                <w:highlight w:val="none"/>
                <w:vertAlign w:val="superscript"/>
              </w:rPr>
              <w:t>3</w:t>
            </w:r>
            <w:r>
              <w:rPr>
                <w:rFonts w:ascii="Times New Roman" w:hAnsi="Times New Roman" w:cs="Times New Roman"/>
                <w:snapToGrid w:val="0"/>
                <w:color w:val="auto"/>
                <w:highlight w:val="none"/>
              </w:rPr>
              <w:t>）</w:t>
            </w:r>
          </w:p>
        </w:tc>
        <w:tc>
          <w:tcPr>
            <w:tcW w:w="873" w:type="dxa"/>
            <w:tcBorders>
              <w:top w:val="single" w:color="auto" w:sz="2" w:space="0"/>
              <w:bottom w:val="single" w:color="auto" w:sz="2" w:space="0"/>
            </w:tcBorders>
            <w:vAlign w:val="center"/>
          </w:tcPr>
          <w:p w14:paraId="6DFE754D">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不洒水</w:t>
            </w:r>
          </w:p>
        </w:tc>
        <w:tc>
          <w:tcPr>
            <w:tcW w:w="1212" w:type="dxa"/>
            <w:tcBorders>
              <w:top w:val="single" w:color="auto" w:sz="2" w:space="0"/>
              <w:bottom w:val="single" w:color="auto" w:sz="2" w:space="0"/>
            </w:tcBorders>
            <w:vAlign w:val="center"/>
          </w:tcPr>
          <w:p w14:paraId="62DE8F79">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11.03</w:t>
            </w:r>
          </w:p>
        </w:tc>
        <w:tc>
          <w:tcPr>
            <w:tcW w:w="1213" w:type="dxa"/>
            <w:tcBorders>
              <w:top w:val="single" w:color="auto" w:sz="2" w:space="0"/>
              <w:bottom w:val="single" w:color="auto" w:sz="2" w:space="0"/>
            </w:tcBorders>
            <w:vAlign w:val="center"/>
          </w:tcPr>
          <w:p w14:paraId="6C3845C4">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2.89</w:t>
            </w:r>
          </w:p>
        </w:tc>
        <w:tc>
          <w:tcPr>
            <w:tcW w:w="1213" w:type="dxa"/>
            <w:tcBorders>
              <w:top w:val="single" w:color="auto" w:sz="2" w:space="0"/>
              <w:bottom w:val="single" w:color="auto" w:sz="2" w:space="0"/>
            </w:tcBorders>
            <w:vAlign w:val="center"/>
          </w:tcPr>
          <w:p w14:paraId="3A09A4D1">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1.15</w:t>
            </w:r>
          </w:p>
        </w:tc>
        <w:tc>
          <w:tcPr>
            <w:tcW w:w="1213" w:type="dxa"/>
            <w:tcBorders>
              <w:top w:val="single" w:color="auto" w:sz="2" w:space="0"/>
              <w:bottom w:val="single" w:color="auto" w:sz="2" w:space="0"/>
            </w:tcBorders>
            <w:vAlign w:val="center"/>
          </w:tcPr>
          <w:p w14:paraId="50FB3252">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0.86</w:t>
            </w:r>
          </w:p>
        </w:tc>
        <w:tc>
          <w:tcPr>
            <w:tcW w:w="1213" w:type="dxa"/>
            <w:tcBorders>
              <w:top w:val="single" w:color="auto" w:sz="2" w:space="0"/>
              <w:bottom w:val="single" w:color="auto" w:sz="2" w:space="0"/>
            </w:tcBorders>
            <w:vAlign w:val="center"/>
          </w:tcPr>
          <w:p w14:paraId="6AEDA353">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0.56</w:t>
            </w:r>
          </w:p>
        </w:tc>
      </w:tr>
      <w:tr w14:paraId="4A93B5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57" w:type="dxa"/>
            <w:left w:w="108" w:type="dxa"/>
            <w:bottom w:w="57" w:type="dxa"/>
            <w:right w:w="108" w:type="dxa"/>
          </w:tblCellMar>
        </w:tblPrEx>
        <w:trPr>
          <w:trHeight w:val="283" w:hRule="atLeast"/>
          <w:tblHeader/>
          <w:jc w:val="center"/>
        </w:trPr>
        <w:tc>
          <w:tcPr>
            <w:tcW w:w="1557" w:type="dxa"/>
            <w:vMerge w:val="continue"/>
            <w:tcBorders>
              <w:top w:val="single" w:color="auto" w:sz="2" w:space="0"/>
              <w:bottom w:val="single" w:color="auto" w:sz="2" w:space="0"/>
            </w:tcBorders>
            <w:vAlign w:val="center"/>
          </w:tcPr>
          <w:p w14:paraId="65CB2644">
            <w:pPr>
              <w:pStyle w:val="150"/>
              <w:snapToGrid w:val="0"/>
              <w:spacing w:after="0" w:line="240" w:lineRule="auto"/>
              <w:textAlignment w:val="center"/>
              <w:rPr>
                <w:rFonts w:ascii="Times New Roman" w:hAnsi="Times New Roman" w:cs="Times New Roman"/>
                <w:snapToGrid w:val="0"/>
                <w:color w:val="auto"/>
                <w:highlight w:val="none"/>
              </w:rPr>
            </w:pPr>
          </w:p>
        </w:tc>
        <w:tc>
          <w:tcPr>
            <w:tcW w:w="873" w:type="dxa"/>
            <w:tcBorders>
              <w:top w:val="single" w:color="auto" w:sz="2" w:space="0"/>
              <w:bottom w:val="single" w:color="auto" w:sz="2" w:space="0"/>
            </w:tcBorders>
            <w:vAlign w:val="center"/>
          </w:tcPr>
          <w:p w14:paraId="63ACC344">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洒水</w:t>
            </w:r>
          </w:p>
        </w:tc>
        <w:tc>
          <w:tcPr>
            <w:tcW w:w="1212" w:type="dxa"/>
            <w:tcBorders>
              <w:top w:val="single" w:color="auto" w:sz="2" w:space="0"/>
              <w:bottom w:val="single" w:color="auto" w:sz="2" w:space="0"/>
            </w:tcBorders>
            <w:vAlign w:val="center"/>
          </w:tcPr>
          <w:p w14:paraId="29076C11">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2.11</w:t>
            </w:r>
          </w:p>
        </w:tc>
        <w:tc>
          <w:tcPr>
            <w:tcW w:w="1213" w:type="dxa"/>
            <w:tcBorders>
              <w:top w:val="single" w:color="auto" w:sz="2" w:space="0"/>
              <w:bottom w:val="single" w:color="auto" w:sz="2" w:space="0"/>
            </w:tcBorders>
            <w:vAlign w:val="center"/>
          </w:tcPr>
          <w:p w14:paraId="244804CA">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1.40</w:t>
            </w:r>
          </w:p>
        </w:tc>
        <w:tc>
          <w:tcPr>
            <w:tcW w:w="1213" w:type="dxa"/>
            <w:tcBorders>
              <w:top w:val="single" w:color="auto" w:sz="2" w:space="0"/>
              <w:bottom w:val="single" w:color="auto" w:sz="2" w:space="0"/>
            </w:tcBorders>
            <w:vAlign w:val="center"/>
          </w:tcPr>
          <w:p w14:paraId="4C5CC936">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0.68</w:t>
            </w:r>
          </w:p>
        </w:tc>
        <w:tc>
          <w:tcPr>
            <w:tcW w:w="1213" w:type="dxa"/>
            <w:tcBorders>
              <w:top w:val="single" w:color="auto" w:sz="2" w:space="0"/>
              <w:bottom w:val="single" w:color="auto" w:sz="2" w:space="0"/>
            </w:tcBorders>
            <w:vAlign w:val="center"/>
          </w:tcPr>
          <w:p w14:paraId="709DC625">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0.60</w:t>
            </w:r>
          </w:p>
        </w:tc>
        <w:tc>
          <w:tcPr>
            <w:tcW w:w="1213" w:type="dxa"/>
            <w:tcBorders>
              <w:top w:val="single" w:color="auto" w:sz="2" w:space="0"/>
              <w:bottom w:val="single" w:color="auto" w:sz="2" w:space="0"/>
            </w:tcBorders>
            <w:vAlign w:val="center"/>
          </w:tcPr>
          <w:p w14:paraId="0D6FD216">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0.29</w:t>
            </w:r>
          </w:p>
        </w:tc>
      </w:tr>
      <w:tr w14:paraId="466AD00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57" w:type="dxa"/>
            <w:left w:w="108" w:type="dxa"/>
            <w:bottom w:w="57" w:type="dxa"/>
            <w:right w:w="108" w:type="dxa"/>
          </w:tblCellMar>
        </w:tblPrEx>
        <w:trPr>
          <w:trHeight w:val="283" w:hRule="atLeast"/>
          <w:tblHeader/>
          <w:jc w:val="center"/>
        </w:trPr>
        <w:tc>
          <w:tcPr>
            <w:tcW w:w="2430" w:type="dxa"/>
            <w:gridSpan w:val="2"/>
            <w:tcBorders>
              <w:top w:val="single" w:color="auto" w:sz="2" w:space="0"/>
            </w:tcBorders>
            <w:vAlign w:val="center"/>
          </w:tcPr>
          <w:p w14:paraId="06359E0C">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除尘率（%）</w:t>
            </w:r>
          </w:p>
        </w:tc>
        <w:tc>
          <w:tcPr>
            <w:tcW w:w="1212" w:type="dxa"/>
            <w:tcBorders>
              <w:top w:val="single" w:color="auto" w:sz="2" w:space="0"/>
            </w:tcBorders>
            <w:vAlign w:val="center"/>
          </w:tcPr>
          <w:p w14:paraId="63B56F40">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81</w:t>
            </w:r>
          </w:p>
        </w:tc>
        <w:tc>
          <w:tcPr>
            <w:tcW w:w="1213" w:type="dxa"/>
            <w:tcBorders>
              <w:top w:val="single" w:color="auto" w:sz="2" w:space="0"/>
            </w:tcBorders>
            <w:vAlign w:val="center"/>
          </w:tcPr>
          <w:p w14:paraId="42340B7C">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52</w:t>
            </w:r>
          </w:p>
        </w:tc>
        <w:tc>
          <w:tcPr>
            <w:tcW w:w="1213" w:type="dxa"/>
            <w:tcBorders>
              <w:top w:val="single" w:color="auto" w:sz="2" w:space="0"/>
            </w:tcBorders>
            <w:vAlign w:val="center"/>
          </w:tcPr>
          <w:p w14:paraId="25628127">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41</w:t>
            </w:r>
          </w:p>
        </w:tc>
        <w:tc>
          <w:tcPr>
            <w:tcW w:w="1213" w:type="dxa"/>
            <w:tcBorders>
              <w:top w:val="single" w:color="auto" w:sz="2" w:space="0"/>
            </w:tcBorders>
            <w:vAlign w:val="center"/>
          </w:tcPr>
          <w:p w14:paraId="07EC30C4">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30</w:t>
            </w:r>
          </w:p>
        </w:tc>
        <w:tc>
          <w:tcPr>
            <w:tcW w:w="1213" w:type="dxa"/>
            <w:tcBorders>
              <w:top w:val="single" w:color="auto" w:sz="2" w:space="0"/>
            </w:tcBorders>
            <w:vAlign w:val="center"/>
          </w:tcPr>
          <w:p w14:paraId="767B93C7">
            <w:pPr>
              <w:pStyle w:val="150"/>
              <w:snapToGrid w:val="0"/>
              <w:spacing w:after="0" w:line="240" w:lineRule="auto"/>
              <w:textAlignment w:val="center"/>
              <w:rPr>
                <w:rFonts w:ascii="Times New Roman" w:hAnsi="Times New Roman" w:cs="Times New Roman"/>
                <w:snapToGrid w:val="0"/>
                <w:color w:val="auto"/>
                <w:highlight w:val="none"/>
              </w:rPr>
            </w:pPr>
            <w:r>
              <w:rPr>
                <w:rFonts w:ascii="Times New Roman" w:hAnsi="Times New Roman" w:cs="Times New Roman"/>
                <w:snapToGrid w:val="0"/>
                <w:color w:val="auto"/>
                <w:highlight w:val="none"/>
              </w:rPr>
              <w:t>48</w:t>
            </w:r>
          </w:p>
        </w:tc>
      </w:tr>
    </w:tbl>
    <w:p w14:paraId="05C1D82E">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由</w:t>
      </w:r>
      <w:r>
        <w:rPr>
          <w:rFonts w:hint="eastAsia" w:ascii="Times New Roman" w:hAnsi="Times New Roman" w:cs="Times New Roman" w:eastAsiaTheme="minorEastAsia"/>
          <w:snapToGrid w:val="0"/>
          <w:color w:val="auto"/>
          <w:kern w:val="0"/>
          <w:sz w:val="24"/>
          <w:highlight w:val="none"/>
        </w:rPr>
        <w:t>上表</w:t>
      </w:r>
      <w:r>
        <w:rPr>
          <w:rFonts w:ascii="Times New Roman" w:hAnsi="Times New Roman" w:cs="Times New Roman" w:eastAsiaTheme="minorEastAsia"/>
          <w:snapToGrid w:val="0"/>
          <w:color w:val="auto"/>
          <w:kern w:val="0"/>
          <w:sz w:val="24"/>
          <w:highlight w:val="none"/>
        </w:rPr>
        <w:t>可知：实施每天洒水4～5次进行抑尘，可有效地控制施工扬尘，可将TSP污染距离缩小到20～50m范围</w:t>
      </w:r>
      <w:r>
        <w:rPr>
          <w:rFonts w:hint="eastAsia" w:ascii="Times New Roman" w:hAnsi="Times New Roman" w:cs="Times New Roman" w:eastAsiaTheme="minorEastAsia"/>
          <w:snapToGrid w:val="0"/>
          <w:color w:val="auto"/>
          <w:kern w:val="0"/>
          <w:sz w:val="24"/>
          <w:highlight w:val="none"/>
        </w:rPr>
        <w:t>，对周边环境影响较小。</w:t>
      </w:r>
    </w:p>
    <w:p w14:paraId="39CEE3A2">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hint="eastAsia" w:ascii="Times New Roman" w:hAnsi="Times New Roman" w:cs="Times New Roman" w:eastAsiaTheme="minorEastAsia"/>
          <w:snapToGrid w:val="0"/>
          <w:color w:val="auto"/>
          <w:kern w:val="0"/>
          <w:sz w:val="24"/>
          <w:highlight w:val="none"/>
        </w:rPr>
        <w:t>为减小项目施工扬尘对周边环境的影响，评价</w:t>
      </w:r>
      <w:r>
        <w:rPr>
          <w:rFonts w:ascii="Times New Roman" w:hAnsi="Times New Roman" w:cs="Times New Roman" w:eastAsiaTheme="minorEastAsia"/>
          <w:snapToGrid w:val="0"/>
          <w:color w:val="auto"/>
          <w:kern w:val="0"/>
          <w:sz w:val="24"/>
          <w:highlight w:val="none"/>
        </w:rPr>
        <w:t>对施工单位提出如下要求：</w:t>
      </w:r>
    </w:p>
    <w:p w14:paraId="49B5F1E0">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1）建设单位指定专人负责施工现场扬尘污染措施的实施和监督。施工工地出入口必须设立环境保护监督牌。必须注明项目名称、建设单位、施工单位、防治扬尘污染现场监督员姓名和联系电话、项目工程、环保措施、举报电话等内容，做好项目施工期的环境保护，文明施工</w:t>
      </w:r>
      <w:r>
        <w:rPr>
          <w:rFonts w:hint="eastAsia" w:ascii="Times New Roman" w:hAnsi="Times New Roman" w:cs="Times New Roman" w:eastAsiaTheme="minorEastAsia"/>
          <w:snapToGrid w:val="0"/>
          <w:color w:val="auto"/>
          <w:kern w:val="0"/>
          <w:sz w:val="24"/>
          <w:highlight w:val="none"/>
        </w:rPr>
        <w:t>。</w:t>
      </w:r>
    </w:p>
    <w:p w14:paraId="77CE93CF">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2）合理安排施工工期；施工</w:t>
      </w:r>
      <w:r>
        <w:rPr>
          <w:rFonts w:hint="eastAsia" w:ascii="Times New Roman" w:hAnsi="Times New Roman" w:cs="Times New Roman" w:eastAsiaTheme="minorEastAsia"/>
          <w:snapToGrid w:val="0"/>
          <w:color w:val="auto"/>
          <w:kern w:val="0"/>
          <w:sz w:val="24"/>
          <w:highlight w:val="none"/>
        </w:rPr>
        <w:t>场地</w:t>
      </w:r>
      <w:r>
        <w:rPr>
          <w:rFonts w:ascii="Times New Roman" w:hAnsi="Times New Roman" w:cs="Times New Roman" w:eastAsiaTheme="minorEastAsia"/>
          <w:snapToGrid w:val="0"/>
          <w:color w:val="auto"/>
          <w:kern w:val="0"/>
          <w:sz w:val="24"/>
          <w:highlight w:val="none"/>
        </w:rPr>
        <w:t>应定期洒水，特别是旱季施工；施工现场周边设置符合要求</w:t>
      </w:r>
      <w:r>
        <w:rPr>
          <w:rFonts w:hint="eastAsia" w:ascii="Times New Roman" w:hAnsi="Times New Roman" w:cs="Times New Roman" w:eastAsiaTheme="minorEastAsia"/>
          <w:snapToGrid w:val="0"/>
          <w:color w:val="auto"/>
          <w:kern w:val="0"/>
          <w:sz w:val="24"/>
          <w:highlight w:val="none"/>
        </w:rPr>
        <w:t>的围栏</w:t>
      </w:r>
      <w:r>
        <w:rPr>
          <w:rFonts w:ascii="Times New Roman" w:hAnsi="Times New Roman" w:cs="Times New Roman" w:eastAsiaTheme="minorEastAsia"/>
          <w:snapToGrid w:val="0"/>
          <w:color w:val="auto"/>
          <w:kern w:val="0"/>
          <w:sz w:val="24"/>
          <w:highlight w:val="none"/>
        </w:rPr>
        <w:t>；竣工后要及时清理场地。对于建设施工阶段的车辆和机械扬尘，采取洒水抑尘；洒水次数根据天气状况而定，一般每天洒水1～2次，若遇大风或干燥天气可适当增加洒水次数，遇雨天则不必洒水。施工场地洒水量对扬尘的影响很大，场地洒水后，扬尘量将降低28%～75%，可大大减少扬尘对环境的影响。</w:t>
      </w:r>
    </w:p>
    <w:p w14:paraId="46B46870">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3）对施工区周围的道路进行清扫，减少粉尘和二次扬尘的产生。</w:t>
      </w:r>
    </w:p>
    <w:p w14:paraId="6ABC73FF">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4）对于装运含尘物料的运输车辆进行密封运输，严格控制和规范车辆运输量和方式，容易产生粉尘的物料装载高度不得超过车辆两边和尾部的挡板和</w:t>
      </w:r>
      <w:r>
        <w:rPr>
          <w:rFonts w:hint="eastAsia" w:ascii="Times New Roman" w:hAnsi="Times New Roman" w:cs="Times New Roman" w:eastAsiaTheme="minorEastAsia"/>
          <w:snapToGrid w:val="0"/>
          <w:color w:val="auto"/>
          <w:kern w:val="0"/>
          <w:sz w:val="24"/>
          <w:highlight w:val="none"/>
        </w:rPr>
        <w:t>篷布</w:t>
      </w:r>
      <w:r>
        <w:rPr>
          <w:rFonts w:ascii="Times New Roman" w:hAnsi="Times New Roman" w:cs="Times New Roman" w:eastAsiaTheme="minorEastAsia"/>
          <w:snapToGrid w:val="0"/>
          <w:color w:val="auto"/>
          <w:kern w:val="0"/>
          <w:sz w:val="24"/>
          <w:highlight w:val="none"/>
        </w:rPr>
        <w:t>，严格控制物料</w:t>
      </w:r>
      <w:r>
        <w:rPr>
          <w:rFonts w:hint="eastAsia" w:ascii="Times New Roman" w:hAnsi="Times New Roman" w:cs="Times New Roman" w:eastAsiaTheme="minorEastAsia"/>
          <w:snapToGrid w:val="0"/>
          <w:color w:val="auto"/>
          <w:kern w:val="0"/>
          <w:sz w:val="24"/>
          <w:highlight w:val="none"/>
        </w:rPr>
        <w:t>的洒落</w:t>
      </w:r>
      <w:r>
        <w:rPr>
          <w:rFonts w:ascii="Times New Roman" w:hAnsi="Times New Roman" w:cs="Times New Roman" w:eastAsiaTheme="minorEastAsia"/>
          <w:snapToGrid w:val="0"/>
          <w:color w:val="auto"/>
          <w:kern w:val="0"/>
          <w:sz w:val="24"/>
          <w:highlight w:val="none"/>
        </w:rPr>
        <w:t>；尽量选择对周围环境影响较小的运输路线。</w:t>
      </w:r>
    </w:p>
    <w:p w14:paraId="7D411ACC">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5）限制施工区内运输车辆的速度，卡车在施工场地的车速控制在10km/h，推土机的速度控制在8km/h内。对运输过程中散落在路面上的泥土要及时清扫，以减少运行过程中的扬尘。</w:t>
      </w:r>
    </w:p>
    <w:p w14:paraId="27F7CF7F">
      <w:pPr>
        <w:pStyle w:val="15"/>
        <w:adjustRightInd w:val="0"/>
        <w:snapToGrid w:val="0"/>
        <w:spacing w:line="360" w:lineRule="auto"/>
        <w:ind w:firstLine="456" w:firstLineChars="200"/>
        <w:rPr>
          <w:rFonts w:hint="eastAsia" w:ascii="Times New Roman" w:hAnsi="Times New Roman" w:eastAsia="宋体" w:cs="Times New Roman"/>
          <w:snapToGrid w:val="0"/>
          <w:color w:val="auto"/>
          <w:spacing w:val="-6"/>
          <w:kern w:val="0"/>
          <w:sz w:val="24"/>
          <w:highlight w:val="none"/>
          <w:lang w:val="en-US" w:eastAsia="zh-CN"/>
        </w:rPr>
      </w:pPr>
      <w:r>
        <w:rPr>
          <w:rFonts w:hint="eastAsia" w:ascii="Times New Roman" w:hAnsi="Times New Roman" w:eastAsia="宋体" w:cs="Times New Roman"/>
          <w:snapToGrid w:val="0"/>
          <w:color w:val="auto"/>
          <w:spacing w:val="-6"/>
          <w:kern w:val="0"/>
          <w:sz w:val="24"/>
          <w:highlight w:val="none"/>
          <w:lang w:val="en-US" w:eastAsia="zh-CN"/>
        </w:rPr>
        <w:t>6）施工现场应设置稳固、整齐、美观并符合安全标准要求的连续封闭式围挡，对于特殊地点无法设置围挡、围栏及防溢座的，应设置警示牌，严禁敞开式作业。</w:t>
      </w:r>
    </w:p>
    <w:p w14:paraId="6FD60FC2">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7）施工现场必须做到</w:t>
      </w:r>
      <w:r>
        <w:rPr>
          <w:rFonts w:hint="eastAsia" w:ascii="Times New Roman" w:hAnsi="Times New Roman" w:cs="Times New Roman" w:eastAsiaTheme="minorEastAsia"/>
          <w:snapToGrid w:val="0"/>
          <w:color w:val="auto"/>
          <w:kern w:val="0"/>
          <w:sz w:val="24"/>
          <w:highlight w:val="none"/>
        </w:rPr>
        <w:t>“</w:t>
      </w:r>
      <w:r>
        <w:rPr>
          <w:rFonts w:ascii="Times New Roman" w:hAnsi="Times New Roman" w:cs="Times New Roman" w:eastAsiaTheme="minorEastAsia"/>
          <w:snapToGrid w:val="0"/>
          <w:color w:val="auto"/>
          <w:kern w:val="0"/>
          <w:sz w:val="24"/>
          <w:highlight w:val="none"/>
        </w:rPr>
        <w:t>6个100%</w:t>
      </w:r>
      <w:r>
        <w:rPr>
          <w:rFonts w:hint="eastAsia" w:ascii="Times New Roman" w:hAnsi="Times New Roman" w:cs="Times New Roman" w:eastAsiaTheme="minorEastAsia"/>
          <w:snapToGrid w:val="0"/>
          <w:color w:val="auto"/>
          <w:kern w:val="0"/>
          <w:sz w:val="24"/>
          <w:highlight w:val="none"/>
        </w:rPr>
        <w:t>”</w:t>
      </w:r>
      <w:r>
        <w:rPr>
          <w:rFonts w:ascii="Times New Roman" w:hAnsi="Times New Roman" w:cs="Times New Roman" w:eastAsiaTheme="minorEastAsia"/>
          <w:snapToGrid w:val="0"/>
          <w:color w:val="auto"/>
          <w:kern w:val="0"/>
          <w:sz w:val="24"/>
          <w:highlight w:val="none"/>
        </w:rPr>
        <w:t>，即施工现场100%围挡、工地砂土100%覆盖、工地路面100%硬化、拆除工程100%洒水降尘、出工地车辆100%冲净车轮车身、暂不开发的场地100%绿化。</w:t>
      </w:r>
    </w:p>
    <w:p w14:paraId="1CDD6376">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8）易起尘物料采取袋装、覆盖等措施，严禁高空</w:t>
      </w:r>
      <w:r>
        <w:rPr>
          <w:rFonts w:hint="eastAsia" w:ascii="Times New Roman" w:hAnsi="Times New Roman" w:cs="Times New Roman" w:eastAsiaTheme="minorEastAsia"/>
          <w:snapToGrid w:val="0"/>
          <w:color w:val="auto"/>
          <w:kern w:val="0"/>
          <w:sz w:val="24"/>
          <w:highlight w:val="none"/>
        </w:rPr>
        <w:t>抛洒</w:t>
      </w:r>
      <w:r>
        <w:rPr>
          <w:rFonts w:ascii="Times New Roman" w:hAnsi="Times New Roman" w:cs="Times New Roman" w:eastAsiaTheme="minorEastAsia"/>
          <w:snapToGrid w:val="0"/>
          <w:color w:val="auto"/>
          <w:kern w:val="0"/>
          <w:sz w:val="24"/>
          <w:highlight w:val="none"/>
        </w:rPr>
        <w:t>作业，施工过程中使用水泥、石灰、砂石、涂料、铺装材料等易产生扬尘的建筑材料，应采取密闭存储、设置围挡或堆砌围墙、采用防尘布苫盖或其他有效的防尘措施。</w:t>
      </w:r>
    </w:p>
    <w:p w14:paraId="390E5CED">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9）施工期尽量避开大风、大雨天气，对施工作业面应边施工、边洒水，尽可能降低或避免对区域的扬尘污染。</w:t>
      </w:r>
    </w:p>
    <w:p w14:paraId="5AA9D457">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10）建筑垃圾送至</w:t>
      </w:r>
      <w:r>
        <w:rPr>
          <w:rFonts w:hint="eastAsia" w:ascii="Times New Roman" w:hAnsi="Times New Roman" w:cs="Times New Roman" w:eastAsiaTheme="minorEastAsia"/>
          <w:snapToGrid w:val="0"/>
          <w:color w:val="auto"/>
          <w:kern w:val="0"/>
          <w:sz w:val="24"/>
          <w:highlight w:val="none"/>
        </w:rPr>
        <w:t>市政部门指定的位置处置</w:t>
      </w:r>
      <w:r>
        <w:rPr>
          <w:rFonts w:ascii="Times New Roman" w:hAnsi="Times New Roman" w:cs="Times New Roman" w:eastAsiaTheme="minorEastAsia"/>
          <w:snapToGrid w:val="0"/>
          <w:color w:val="auto"/>
          <w:kern w:val="0"/>
          <w:sz w:val="24"/>
          <w:highlight w:val="none"/>
        </w:rPr>
        <w:t>。</w:t>
      </w:r>
    </w:p>
    <w:p w14:paraId="3F7D6925">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11）粉尘、扬尘和燃油产生的污染物对人体健康有害，对受影响的施工人员应做好劳动保护，特别是材料加工、运输粉尘较大的施工场地更应做好防护措施，配备必要的劳保用品。</w:t>
      </w:r>
    </w:p>
    <w:p w14:paraId="54AC897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6.1.1.3施工机械尾气</w:t>
      </w:r>
    </w:p>
    <w:p w14:paraId="5B99FE70">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尾气污染产生的主要决定因素为燃料油种类、设备机械性能、作业方式和风力、风向等，根据类比分析，设备机械性能、作业方式的影响程度最大。</w:t>
      </w:r>
    </w:p>
    <w:p w14:paraId="2F2DB258">
      <w:pPr>
        <w:pStyle w:val="15"/>
        <w:adjustRightInd w:val="0"/>
        <w:snapToGrid w:val="0"/>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施工机械所排放的废气在空间上和时间上具有较集中的特点，在</w:t>
      </w:r>
      <w:r>
        <w:rPr>
          <w:rFonts w:hint="eastAsia" w:ascii="Times New Roman" w:hAnsi="Times New Roman" w:cs="Times New Roman" w:eastAsiaTheme="minorEastAsia"/>
          <w:snapToGrid w:val="0"/>
          <w:color w:val="auto"/>
          <w:kern w:val="0"/>
          <w:sz w:val="24"/>
          <w:highlight w:val="none"/>
        </w:rPr>
        <w:t>局部</w:t>
      </w:r>
      <w:r>
        <w:rPr>
          <w:rFonts w:ascii="Times New Roman" w:hAnsi="Times New Roman" w:cs="Times New Roman" w:eastAsiaTheme="minorEastAsia"/>
          <w:snapToGrid w:val="0"/>
          <w:color w:val="auto"/>
          <w:kern w:val="0"/>
          <w:sz w:val="24"/>
          <w:highlight w:val="none"/>
        </w:rPr>
        <w:t>范围内污染物的浓度较高。在施工现场，会有如挖掘机、载重卡车等施工机械大量进入。运输车辆和部分施工机械在怠速、减速和加速时产生的污染最为严重。经调查，在一般气象条件下，平均风速为1.9m/s时，建筑工地的CO、NOx和烃类物质的浓度为其上风向的5.4~6.0倍，其中CO、NOx 和烃类物质的影响范围在其下风向可达100m，影响范围内的NOx、CO 和烃类物质的浓度均值分别为0.216mg/Nm</w:t>
      </w:r>
      <w:r>
        <w:rPr>
          <w:rFonts w:ascii="Times New Roman" w:hAnsi="Times New Roman" w:cs="Times New Roman" w:eastAsiaTheme="minorEastAsia"/>
          <w:snapToGrid w:val="0"/>
          <w:color w:val="auto"/>
          <w:kern w:val="0"/>
          <w:sz w:val="24"/>
          <w:highlight w:val="none"/>
          <w:vertAlign w:val="superscript"/>
        </w:rPr>
        <w:t>3</w:t>
      </w:r>
      <w:r>
        <w:rPr>
          <w:rFonts w:ascii="Times New Roman" w:hAnsi="Times New Roman" w:cs="Times New Roman" w:eastAsiaTheme="minorEastAsia"/>
          <w:snapToGrid w:val="0"/>
          <w:color w:val="auto"/>
          <w:kern w:val="0"/>
          <w:sz w:val="24"/>
          <w:highlight w:val="none"/>
        </w:rPr>
        <w:t>、10.03mg/Nm</w:t>
      </w:r>
      <w:r>
        <w:rPr>
          <w:rFonts w:ascii="Times New Roman" w:hAnsi="Times New Roman" w:cs="Times New Roman" w:eastAsiaTheme="minorEastAsia"/>
          <w:snapToGrid w:val="0"/>
          <w:color w:val="auto"/>
          <w:kern w:val="0"/>
          <w:sz w:val="24"/>
          <w:highlight w:val="none"/>
          <w:vertAlign w:val="superscript"/>
        </w:rPr>
        <w:t>3</w:t>
      </w:r>
      <w:r>
        <w:rPr>
          <w:rFonts w:ascii="Times New Roman" w:hAnsi="Times New Roman" w:cs="Times New Roman" w:eastAsiaTheme="minorEastAsia"/>
          <w:snapToGrid w:val="0"/>
          <w:color w:val="auto"/>
          <w:kern w:val="0"/>
          <w:sz w:val="24"/>
          <w:highlight w:val="none"/>
        </w:rPr>
        <w:t>、1.05mg/Nm</w:t>
      </w:r>
      <w:r>
        <w:rPr>
          <w:rFonts w:ascii="Times New Roman" w:hAnsi="Times New Roman" w:cs="Times New Roman" w:eastAsiaTheme="minorEastAsia"/>
          <w:snapToGrid w:val="0"/>
          <w:color w:val="auto"/>
          <w:kern w:val="0"/>
          <w:sz w:val="24"/>
          <w:highlight w:val="none"/>
          <w:vertAlign w:val="superscript"/>
        </w:rPr>
        <w:t>3</w:t>
      </w:r>
      <w:r>
        <w:rPr>
          <w:rFonts w:ascii="Times New Roman" w:hAnsi="Times New Roman" w:cs="Times New Roman" w:eastAsiaTheme="minorEastAsia"/>
          <w:snapToGrid w:val="0"/>
          <w:color w:val="auto"/>
          <w:kern w:val="0"/>
          <w:sz w:val="24"/>
          <w:highlight w:val="none"/>
        </w:rPr>
        <w:t>，NOx 和CO 是《环境空气质量标准》中二级标准值的2.2倍和2.5倍。烃类物质不超标（我国无该污染物的环境质量标准，参照以色列</w:t>
      </w:r>
      <w:r>
        <w:rPr>
          <w:rFonts w:hint="eastAsia" w:ascii="Times New Roman" w:hAnsi="Times New Roman" w:cs="Times New Roman" w:eastAsiaTheme="minorEastAsia"/>
          <w:snapToGrid w:val="0"/>
          <w:color w:val="auto"/>
          <w:kern w:val="0"/>
          <w:sz w:val="24"/>
          <w:highlight w:val="none"/>
        </w:rPr>
        <w:t>国家</w:t>
      </w:r>
      <w:r>
        <w:rPr>
          <w:rFonts w:ascii="Times New Roman" w:hAnsi="Times New Roman" w:cs="Times New Roman" w:eastAsiaTheme="minorEastAsia"/>
          <w:snapToGrid w:val="0"/>
          <w:color w:val="auto"/>
          <w:kern w:val="0"/>
          <w:sz w:val="24"/>
          <w:highlight w:val="none"/>
        </w:rPr>
        <w:t>标准4.0mg/Nm</w:t>
      </w:r>
      <w:r>
        <w:rPr>
          <w:rFonts w:ascii="Times New Roman" w:hAnsi="Times New Roman" w:cs="Times New Roman" w:eastAsiaTheme="minorEastAsia"/>
          <w:snapToGrid w:val="0"/>
          <w:color w:val="auto"/>
          <w:kern w:val="0"/>
          <w:sz w:val="24"/>
          <w:highlight w:val="none"/>
          <w:vertAlign w:val="superscript"/>
        </w:rPr>
        <w:t>3</w:t>
      </w:r>
      <w:r>
        <w:rPr>
          <w:rFonts w:ascii="Times New Roman" w:hAnsi="Times New Roman" w:cs="Times New Roman" w:eastAsiaTheme="minorEastAsia"/>
          <w:snapToGrid w:val="0"/>
          <w:color w:val="auto"/>
          <w:kern w:val="0"/>
          <w:sz w:val="24"/>
          <w:highlight w:val="none"/>
        </w:rPr>
        <w:t>）。当有围栏时，在同等气象条件下，其影响距离可缩短30%，为70m</w:t>
      </w:r>
      <w:r>
        <w:rPr>
          <w:rFonts w:hint="eastAsia" w:ascii="Times New Roman" w:hAnsi="Times New Roman" w:cs="Times New Roman" w:eastAsiaTheme="minorEastAsia"/>
          <w:snapToGrid w:val="0"/>
          <w:color w:val="auto"/>
          <w:kern w:val="0"/>
          <w:sz w:val="24"/>
          <w:highlight w:val="none"/>
        </w:rPr>
        <w:t>。</w:t>
      </w:r>
    </w:p>
    <w:p w14:paraId="0DC6FCDE">
      <w:pPr>
        <w:pStyle w:val="15"/>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Times New Roman" w:hAnsi="Times New Roman" w:eastAsia="宋体" w:cs="Times New Roman"/>
          <w:snapToGrid w:val="0"/>
          <w:color w:val="auto"/>
          <w:spacing w:val="-6"/>
          <w:kern w:val="0"/>
          <w:sz w:val="24"/>
          <w:highlight w:val="none"/>
          <w:lang w:val="en-US" w:eastAsia="zh-CN"/>
        </w:rPr>
      </w:pPr>
      <w:r>
        <w:rPr>
          <w:rFonts w:hint="eastAsia" w:ascii="Times New Roman" w:hAnsi="Times New Roman" w:eastAsia="宋体" w:cs="Times New Roman"/>
          <w:snapToGrid w:val="0"/>
          <w:color w:val="auto"/>
          <w:spacing w:val="-6"/>
          <w:kern w:val="0"/>
          <w:sz w:val="24"/>
          <w:highlight w:val="none"/>
          <w:lang w:val="en-US" w:eastAsia="zh-CN"/>
        </w:rPr>
        <w:t>为减小项目施工机械废气对周边环境的影响，评价对施工单位提出如下要求：</w:t>
      </w:r>
    </w:p>
    <w:p w14:paraId="1FF3BA1F">
      <w:pPr>
        <w:pStyle w:val="1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eastAsiaTheme="minorEastAsia"/>
          <w:snapToGrid w:val="0"/>
          <w:color w:val="auto"/>
          <w:kern w:val="0"/>
          <w:sz w:val="24"/>
          <w:highlight w:val="none"/>
        </w:rPr>
      </w:pPr>
      <w:r>
        <w:rPr>
          <w:rFonts w:hint="eastAsia" w:ascii="Times New Roman" w:hAnsi="Times New Roman" w:cs="Times New Roman" w:eastAsiaTheme="minorEastAsia"/>
          <w:snapToGrid w:val="0"/>
          <w:color w:val="auto"/>
          <w:kern w:val="0"/>
          <w:sz w:val="24"/>
          <w:highlight w:val="none"/>
        </w:rPr>
        <w:t>1）项目施工机械采用的燃料必须是符合最新国家标准的燃油，禁止使用劣质燃油。</w:t>
      </w:r>
    </w:p>
    <w:p w14:paraId="392D6E06">
      <w:pPr>
        <w:pStyle w:val="1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2）</w:t>
      </w:r>
      <w:r>
        <w:rPr>
          <w:rFonts w:hint="eastAsia" w:ascii="Times New Roman" w:hAnsi="Times New Roman" w:cs="Times New Roman" w:eastAsiaTheme="minorEastAsia"/>
          <w:snapToGrid w:val="0"/>
          <w:color w:val="auto"/>
          <w:kern w:val="0"/>
          <w:sz w:val="24"/>
          <w:highlight w:val="none"/>
        </w:rPr>
        <w:t>不得采用老旧、报废施工机械，施工场地内施工机械须安装尾气净化器，保证尾气排放能够满足当地汽车排气污染监督管理办法。</w:t>
      </w:r>
    </w:p>
    <w:p w14:paraId="2D71C2F8">
      <w:pPr>
        <w:pStyle w:val="1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3）</w:t>
      </w:r>
      <w:r>
        <w:rPr>
          <w:rFonts w:hint="eastAsia" w:ascii="Times New Roman" w:hAnsi="Times New Roman" w:cs="Times New Roman" w:eastAsiaTheme="minorEastAsia"/>
          <w:snapToGrid w:val="0"/>
          <w:color w:val="auto"/>
          <w:kern w:val="0"/>
          <w:sz w:val="24"/>
          <w:highlight w:val="none"/>
        </w:rPr>
        <w:t>施工期间加强机械管理，严禁机械超载运行，对于故障机械应及时修理，禁止“带病”运行。</w:t>
      </w:r>
    </w:p>
    <w:p w14:paraId="78CDC2BC">
      <w:pPr>
        <w:pStyle w:val="1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4）</w:t>
      </w:r>
      <w:r>
        <w:rPr>
          <w:rFonts w:hint="eastAsia" w:ascii="Times New Roman" w:hAnsi="Times New Roman" w:cs="Times New Roman" w:eastAsiaTheme="minorEastAsia"/>
          <w:snapToGrid w:val="0"/>
          <w:color w:val="auto"/>
          <w:kern w:val="0"/>
          <w:sz w:val="24"/>
          <w:highlight w:val="none"/>
        </w:rPr>
        <w:t>严格限制施工机械运行路线，不得在施工围挡外布置施工机械</w:t>
      </w:r>
      <w:r>
        <w:rPr>
          <w:rFonts w:ascii="Times New Roman" w:hAnsi="Times New Roman" w:cs="Times New Roman" w:eastAsiaTheme="minorEastAsia"/>
          <w:snapToGrid w:val="0"/>
          <w:color w:val="auto"/>
          <w:kern w:val="0"/>
          <w:sz w:val="24"/>
          <w:highlight w:val="none"/>
        </w:rPr>
        <w:t>。</w:t>
      </w:r>
    </w:p>
    <w:p w14:paraId="0FC522E6">
      <w:pPr>
        <w:pStyle w:val="1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综上所述，本项目施工期在采取以上防治措施后，项目施工期大气污染物对外环境影响较小，施工期的大气环境污染为短暂影响，伴随施工期的结束而消失。</w:t>
      </w:r>
    </w:p>
    <w:p w14:paraId="5F807679">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rPr>
      </w:pPr>
      <w:r>
        <w:rPr>
          <w:rFonts w:hint="eastAsia" w:ascii="Times New Roman" w:hAnsi="Times New Roman" w:cs="Times New Roman"/>
          <w:snapToGrid w:val="0"/>
          <w:color w:val="auto"/>
          <w:spacing w:val="0"/>
          <w:kern w:val="0"/>
          <w:szCs w:val="24"/>
          <w:highlight w:val="none"/>
          <w:lang w:val="en-US" w:eastAsia="zh-CN"/>
        </w:rPr>
        <w:t>6</w:t>
      </w:r>
      <w:r>
        <w:rPr>
          <w:rFonts w:hint="eastAsia" w:ascii="Times New Roman" w:hAnsi="Times New Roman" w:cs="Times New Roman"/>
          <w:snapToGrid w:val="0"/>
          <w:color w:val="auto"/>
          <w:spacing w:val="0"/>
          <w:kern w:val="0"/>
          <w:szCs w:val="24"/>
          <w:highlight w:val="none"/>
        </w:rPr>
        <w:t>.1.2施工废水对环境的影响分析与评价</w:t>
      </w:r>
      <w:bookmarkStart w:id="122" w:name="_Toc454899371"/>
    </w:p>
    <w:p w14:paraId="452AC5A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项目施工期间产生的废水主要为施工人员生活污水、施工废水。</w:t>
      </w:r>
    </w:p>
    <w:p w14:paraId="5F82833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（1）生活污水</w:t>
      </w:r>
    </w:p>
    <w:p w14:paraId="03C180F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施工人员日常生活产生生活污水，施工人员生活用水量按每人每天50L计污水排放系数0.8，高峰时施工人员按每日用工50人计算，则生活污水量最高约2m</w:t>
      </w:r>
      <w:r>
        <w:rPr>
          <w:rFonts w:hint="eastAsia"/>
          <w:snapToGrid w:val="0"/>
          <w:color w:val="auto"/>
          <w:kern w:val="0"/>
          <w:sz w:val="24"/>
          <w:highlight w:val="none"/>
          <w:vertAlign w:val="superscript"/>
        </w:rPr>
        <w:t>3</w:t>
      </w:r>
      <w:r>
        <w:rPr>
          <w:rFonts w:hint="eastAsia"/>
          <w:snapToGrid w:val="0"/>
          <w:color w:val="auto"/>
          <w:kern w:val="0"/>
          <w:sz w:val="24"/>
          <w:highlight w:val="none"/>
        </w:rPr>
        <w:t>/d，主要污染物有COD、BOD和氨氮等，污染物成分较为简单，</w:t>
      </w:r>
      <w:r>
        <w:rPr>
          <w:rFonts w:hint="eastAsia"/>
          <w:snapToGrid w:val="0"/>
          <w:color w:val="auto"/>
          <w:kern w:val="0"/>
          <w:sz w:val="24"/>
          <w:highlight w:val="none"/>
          <w:lang w:val="en-US" w:eastAsia="zh-CN"/>
        </w:rPr>
        <w:t>依托现有污水处理站生化段处理后</w:t>
      </w:r>
      <w:r>
        <w:rPr>
          <w:rFonts w:hint="eastAsia"/>
          <w:snapToGrid w:val="0"/>
          <w:color w:val="auto"/>
          <w:kern w:val="0"/>
          <w:sz w:val="24"/>
          <w:highlight w:val="none"/>
        </w:rPr>
        <w:t>排入西区污水处理厂</w:t>
      </w:r>
      <w:r>
        <w:rPr>
          <w:rFonts w:hint="eastAsia"/>
          <w:snapToGrid w:val="0"/>
          <w:color w:val="auto"/>
          <w:kern w:val="0"/>
          <w:sz w:val="24"/>
          <w:highlight w:val="none"/>
          <w:lang w:val="en-US" w:eastAsia="zh-CN"/>
        </w:rPr>
        <w:t>一</w:t>
      </w:r>
      <w:r>
        <w:rPr>
          <w:rFonts w:hint="eastAsia"/>
          <w:snapToGrid w:val="0"/>
          <w:color w:val="auto"/>
          <w:kern w:val="0"/>
          <w:sz w:val="24"/>
          <w:highlight w:val="none"/>
        </w:rPr>
        <w:t>期</w:t>
      </w:r>
      <w:r>
        <w:rPr>
          <w:rFonts w:hint="eastAsia"/>
          <w:snapToGrid w:val="0"/>
          <w:color w:val="auto"/>
          <w:kern w:val="0"/>
          <w:sz w:val="24"/>
          <w:highlight w:val="none"/>
          <w:lang w:val="en-US" w:eastAsia="zh-CN"/>
        </w:rPr>
        <w:t>工程处理</w:t>
      </w:r>
      <w:r>
        <w:rPr>
          <w:rFonts w:hint="eastAsia"/>
          <w:snapToGrid w:val="0"/>
          <w:color w:val="auto"/>
          <w:kern w:val="0"/>
          <w:sz w:val="24"/>
          <w:highlight w:val="none"/>
        </w:rPr>
        <w:t>。</w:t>
      </w:r>
    </w:p>
    <w:p w14:paraId="0FC9690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（2）施工废水</w:t>
      </w:r>
    </w:p>
    <w:p w14:paraId="4FC4F46A">
      <w:pPr>
        <w:pStyle w:val="15"/>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default" w:ascii="Times New Roman" w:hAnsi="Times New Roman" w:eastAsia="宋体" w:cs="Times New Roman"/>
          <w:snapToGrid w:val="0"/>
          <w:color w:val="auto"/>
          <w:spacing w:val="-6"/>
          <w:kern w:val="0"/>
          <w:sz w:val="24"/>
          <w:highlight w:val="none"/>
          <w:lang w:val="en-US" w:eastAsia="zh-CN"/>
        </w:rPr>
      </w:pPr>
      <w:r>
        <w:rPr>
          <w:rFonts w:hint="eastAsia" w:ascii="Times New Roman" w:hAnsi="Times New Roman" w:eastAsia="宋体" w:cs="Times New Roman"/>
          <w:snapToGrid w:val="0"/>
          <w:color w:val="auto"/>
          <w:spacing w:val="-6"/>
          <w:kern w:val="0"/>
          <w:sz w:val="24"/>
          <w:highlight w:val="none"/>
          <w:lang w:val="en-US" w:eastAsia="zh-CN"/>
        </w:rPr>
        <w:t>本项目建设过程采用商品混凝土，由商品混凝土公司负责配送，商品混凝土运输车辆不在厂区清洗。因此项目施工废水主要为混凝土结构养护废水以及车辆冲洗废水。施工期间在施工场地设置临时沉淀池用于收集施工期间产生的施工废水，废水经沉淀池澄清后可用于施工场地洒水降尘，不外排，对周边环境的影响不大。</w:t>
      </w:r>
    </w:p>
    <w:p w14:paraId="3FBB266A">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ascii="Times New Roman" w:hAnsi="Times New Roman" w:eastAsia="宋体" w:cs="Times New Roman"/>
          <w:snapToGrid w:val="0"/>
          <w:color w:val="auto"/>
          <w:szCs w:val="24"/>
          <w:highlight w:val="none"/>
        </w:rPr>
        <w:t>为减小施工废水对周边环境的影响，施工单位应做到：</w:t>
      </w:r>
    </w:p>
    <w:p w14:paraId="133B4BE5">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①工程施工期间，施工单位应对排水进行收集处理，严禁乱排、乱流污染道路、环境</w:t>
      </w:r>
      <w:r>
        <w:rPr>
          <w:rFonts w:ascii="Times New Roman" w:hAnsi="Times New Roman" w:eastAsia="宋体" w:cs="Times New Roman"/>
          <w:snapToGrid w:val="0"/>
          <w:color w:val="auto"/>
          <w:szCs w:val="24"/>
          <w:highlight w:val="none"/>
        </w:rPr>
        <w:t>。</w:t>
      </w:r>
    </w:p>
    <w:p w14:paraId="7920C665">
      <w:pPr>
        <w:pStyle w:val="15"/>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Times New Roman" w:hAnsi="Times New Roman" w:eastAsia="宋体" w:cs="Times New Roman"/>
          <w:snapToGrid w:val="0"/>
          <w:color w:val="auto"/>
          <w:spacing w:val="-6"/>
          <w:kern w:val="0"/>
          <w:sz w:val="24"/>
          <w:highlight w:val="none"/>
          <w:lang w:val="en-US" w:eastAsia="zh-CN"/>
        </w:rPr>
      </w:pPr>
      <w:r>
        <w:rPr>
          <w:rFonts w:hint="eastAsia" w:ascii="Times New Roman" w:hAnsi="Times New Roman" w:eastAsia="宋体" w:cs="Times New Roman"/>
          <w:snapToGrid w:val="0"/>
          <w:color w:val="auto"/>
          <w:spacing w:val="-6"/>
          <w:kern w:val="0"/>
          <w:sz w:val="24"/>
          <w:highlight w:val="none"/>
          <w:lang w:val="en-US" w:eastAsia="zh-CN"/>
        </w:rPr>
        <w:t>②加强施工机械设备的维修保养，避免在施工过程中燃料油的跑、冒、滴、漏。</w:t>
      </w:r>
    </w:p>
    <w:p w14:paraId="1F954AFD">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③在施工泥浆产生点以及输送系统的冲洗废水应设置临时沉沙池，含泥沙雨水、泥浆水经沉沙池沉淀后回用到生产中</w:t>
      </w:r>
      <w:r>
        <w:rPr>
          <w:rFonts w:ascii="Times New Roman" w:hAnsi="Times New Roman" w:eastAsia="宋体" w:cs="Times New Roman"/>
          <w:snapToGrid w:val="0"/>
          <w:color w:val="auto"/>
          <w:szCs w:val="24"/>
          <w:highlight w:val="none"/>
        </w:rPr>
        <w:t>。</w:t>
      </w:r>
    </w:p>
    <w:p w14:paraId="4F17799A">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④施工时产生的泥浆水未经处理不得随意排放，不得污染现场及周围环境</w:t>
      </w:r>
      <w:r>
        <w:rPr>
          <w:rFonts w:ascii="Times New Roman" w:hAnsi="Times New Roman" w:eastAsia="宋体" w:cs="Times New Roman"/>
          <w:snapToGrid w:val="0"/>
          <w:color w:val="auto"/>
          <w:szCs w:val="24"/>
          <w:highlight w:val="none"/>
        </w:rPr>
        <w:t>。</w:t>
      </w:r>
    </w:p>
    <w:p w14:paraId="2E84807C">
      <w:pPr>
        <w:pStyle w:val="15"/>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Times New Roman" w:hAnsi="Times New Roman" w:eastAsia="宋体" w:cs="Times New Roman"/>
          <w:snapToGrid w:val="0"/>
          <w:color w:val="auto"/>
          <w:spacing w:val="-6"/>
          <w:kern w:val="0"/>
          <w:sz w:val="24"/>
          <w:highlight w:val="none"/>
          <w:lang w:val="en-US" w:eastAsia="zh-CN"/>
        </w:rPr>
      </w:pPr>
      <w:r>
        <w:rPr>
          <w:rFonts w:hint="eastAsia" w:ascii="Times New Roman" w:hAnsi="Times New Roman" w:eastAsia="宋体" w:cs="Times New Roman"/>
          <w:snapToGrid w:val="0"/>
          <w:color w:val="auto"/>
          <w:spacing w:val="-6"/>
          <w:kern w:val="0"/>
          <w:sz w:val="24"/>
          <w:highlight w:val="none"/>
          <w:lang w:val="en-US" w:eastAsia="zh-CN"/>
        </w:rPr>
        <w:t>⑤不得随意在施工区域内冲洗汽车，对施工机械进行检修和清洗时必须定点，清洗污水应根据废水性质进行隔渣、隔油和沉淀处理，用于施工区的洒水降尘。</w:t>
      </w:r>
    </w:p>
    <w:p w14:paraId="55CC55E3">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⑥施工人员的生活污水</w:t>
      </w:r>
      <w:r>
        <w:rPr>
          <w:rFonts w:ascii="Times New Roman" w:hAnsi="Times New Roman" w:eastAsia="宋体" w:cs="Times New Roman"/>
          <w:snapToGrid w:val="0"/>
          <w:color w:val="auto"/>
          <w:szCs w:val="24"/>
          <w:highlight w:val="none"/>
        </w:rPr>
        <w:t>通过厂区现有管网送入废水处理设施处理</w:t>
      </w:r>
      <w:r>
        <w:rPr>
          <w:rFonts w:hint="default" w:ascii="Times New Roman" w:hAnsi="Times New Roman" w:eastAsia="宋体" w:cs="Times New Roman"/>
          <w:snapToGrid w:val="0"/>
          <w:color w:val="auto"/>
          <w:szCs w:val="24"/>
          <w:highlight w:val="none"/>
        </w:rPr>
        <w:t>，不得随地倾倒，以防污染地下水。</w:t>
      </w:r>
    </w:p>
    <w:p w14:paraId="25C7696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6.1.3施工期声环境影响分析</w:t>
      </w:r>
      <w:bookmarkEnd w:id="122"/>
      <w:r>
        <w:rPr>
          <w:rFonts w:hint="eastAsia" w:ascii="Times New Roman" w:hAnsi="Times New Roman" w:cs="Times New Roman"/>
          <w:snapToGrid w:val="0"/>
          <w:color w:val="auto"/>
          <w:spacing w:val="0"/>
          <w:kern w:val="0"/>
          <w:szCs w:val="24"/>
          <w:highlight w:val="none"/>
          <w:lang w:val="en-US" w:eastAsia="zh-CN"/>
        </w:rPr>
        <w:t>与评价</w:t>
      </w:r>
    </w:p>
    <w:p w14:paraId="5AEC07D8">
      <w:pPr>
        <w:adjustRightInd w:val="0"/>
        <w:snapToGrid w:val="0"/>
        <w:spacing w:line="360" w:lineRule="auto"/>
        <w:ind w:firstLine="480" w:firstLineChars="200"/>
        <w:rPr>
          <w:snapToGrid w:val="0"/>
          <w:color w:val="auto"/>
          <w:kern w:val="0"/>
          <w:sz w:val="24"/>
          <w:highlight w:val="none"/>
        </w:rPr>
      </w:pPr>
      <w:bookmarkStart w:id="123" w:name="_Toc309715403"/>
      <w:r>
        <w:rPr>
          <w:rFonts w:hint="eastAsia"/>
          <w:snapToGrid w:val="0"/>
          <w:color w:val="auto"/>
          <w:kern w:val="0"/>
          <w:sz w:val="24"/>
          <w:highlight w:val="none"/>
        </w:rPr>
        <w:t>（1）噪声源强</w:t>
      </w:r>
    </w:p>
    <w:p w14:paraId="0923E7E2">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施工中的噪声主要来源于施工机械设备，大多为不连续性噪声。</w:t>
      </w:r>
      <w:r>
        <w:rPr>
          <w:rFonts w:ascii="Times New Roman" w:hAnsi="Times New Roman" w:eastAsia="宋体" w:cs="Times New Roman"/>
          <w:snapToGrid w:val="0"/>
          <w:color w:val="auto"/>
          <w:szCs w:val="24"/>
          <w:highlight w:val="none"/>
        </w:rPr>
        <w:t>根据《环境噪声与振动控制工程设计导则》（HJ2034-2013）附录A，项目</w:t>
      </w:r>
      <w:r>
        <w:rPr>
          <w:rFonts w:hint="default" w:ascii="Times New Roman" w:hAnsi="Times New Roman" w:eastAsia="宋体" w:cs="Times New Roman"/>
          <w:snapToGrid w:val="0"/>
          <w:color w:val="auto"/>
          <w:szCs w:val="24"/>
          <w:highlight w:val="none"/>
        </w:rPr>
        <w:t>施工中的主要设备噪声见表</w:t>
      </w:r>
      <w:r>
        <w:rPr>
          <w:rFonts w:ascii="Times New Roman" w:hAnsi="Times New Roman" w:eastAsia="宋体" w:cs="Times New Roman"/>
          <w:snapToGrid w:val="0"/>
          <w:color w:val="auto"/>
          <w:szCs w:val="24"/>
          <w:highlight w:val="none"/>
        </w:rPr>
        <w:t>6.1-4</w:t>
      </w:r>
      <w:r>
        <w:rPr>
          <w:rFonts w:hint="default" w:ascii="Times New Roman" w:hAnsi="Times New Roman" w:eastAsia="宋体" w:cs="Times New Roman"/>
          <w:snapToGrid w:val="0"/>
          <w:color w:val="auto"/>
          <w:szCs w:val="24"/>
          <w:highlight w:val="none"/>
        </w:rPr>
        <w:t>。</w:t>
      </w:r>
    </w:p>
    <w:p w14:paraId="65A5366F">
      <w:pPr>
        <w:adjustRightInd w:val="0"/>
        <w:snapToGrid w:val="0"/>
        <w:jc w:val="center"/>
        <w:rPr>
          <w:b/>
          <w:bCs/>
          <w:snapToGrid w:val="0"/>
          <w:color w:val="auto"/>
          <w:kern w:val="0"/>
          <w:szCs w:val="21"/>
          <w:highlight w:val="none"/>
        </w:rPr>
      </w:pPr>
      <w:r>
        <w:rPr>
          <w:rFonts w:hint="eastAsia"/>
          <w:b/>
          <w:bCs/>
          <w:snapToGrid w:val="0"/>
          <w:color w:val="auto"/>
          <w:kern w:val="0"/>
          <w:szCs w:val="21"/>
          <w:highlight w:val="none"/>
        </w:rPr>
        <w:t>表6.1-4 施工期主要设备噪声源强</w:t>
      </w:r>
    </w:p>
    <w:tbl>
      <w:tblPr>
        <w:tblStyle w:val="5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1236"/>
        <w:gridCol w:w="1348"/>
        <w:gridCol w:w="1786"/>
        <w:gridCol w:w="1236"/>
        <w:gridCol w:w="1348"/>
      </w:tblGrid>
      <w:tr w14:paraId="44CE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0B0CBD4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施工设备名称</w:t>
            </w:r>
          </w:p>
        </w:tc>
        <w:tc>
          <w:tcPr>
            <w:tcW w:w="725" w:type="pct"/>
            <w:vAlign w:val="center"/>
          </w:tcPr>
          <w:p w14:paraId="1DF3E5A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距声源5m</w:t>
            </w:r>
          </w:p>
        </w:tc>
        <w:tc>
          <w:tcPr>
            <w:tcW w:w="791" w:type="pct"/>
            <w:vAlign w:val="center"/>
          </w:tcPr>
          <w:p w14:paraId="1B9A25D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距声源10m</w:t>
            </w:r>
          </w:p>
        </w:tc>
        <w:tc>
          <w:tcPr>
            <w:tcW w:w="1048" w:type="pct"/>
            <w:vAlign w:val="center"/>
          </w:tcPr>
          <w:p w14:paraId="4DB6982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施工设备名称</w:t>
            </w:r>
          </w:p>
        </w:tc>
        <w:tc>
          <w:tcPr>
            <w:tcW w:w="725" w:type="pct"/>
            <w:vAlign w:val="center"/>
          </w:tcPr>
          <w:p w14:paraId="4E2819A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距声源5m</w:t>
            </w:r>
          </w:p>
        </w:tc>
        <w:tc>
          <w:tcPr>
            <w:tcW w:w="791" w:type="pct"/>
            <w:vAlign w:val="center"/>
          </w:tcPr>
          <w:p w14:paraId="71C268D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距声源10m</w:t>
            </w:r>
          </w:p>
        </w:tc>
      </w:tr>
      <w:tr w14:paraId="42AF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0984E72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液压挖掘机</w:t>
            </w:r>
          </w:p>
        </w:tc>
        <w:tc>
          <w:tcPr>
            <w:tcW w:w="725" w:type="pct"/>
            <w:vAlign w:val="center"/>
          </w:tcPr>
          <w:p w14:paraId="0B4DB5A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82～90</w:t>
            </w:r>
          </w:p>
        </w:tc>
        <w:tc>
          <w:tcPr>
            <w:tcW w:w="791" w:type="pct"/>
            <w:vAlign w:val="center"/>
          </w:tcPr>
          <w:p w14:paraId="5FF95FE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78～86</w:t>
            </w:r>
          </w:p>
        </w:tc>
        <w:tc>
          <w:tcPr>
            <w:tcW w:w="1048" w:type="pct"/>
            <w:vAlign w:val="center"/>
          </w:tcPr>
          <w:p w14:paraId="6E32733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振动夯锤</w:t>
            </w:r>
          </w:p>
        </w:tc>
        <w:tc>
          <w:tcPr>
            <w:tcW w:w="725" w:type="pct"/>
            <w:vAlign w:val="center"/>
          </w:tcPr>
          <w:p w14:paraId="170E53F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92～100</w:t>
            </w:r>
          </w:p>
        </w:tc>
        <w:tc>
          <w:tcPr>
            <w:tcW w:w="791" w:type="pct"/>
            <w:vAlign w:val="center"/>
          </w:tcPr>
          <w:p w14:paraId="2F84AC4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86～94</w:t>
            </w:r>
          </w:p>
        </w:tc>
      </w:tr>
      <w:tr w14:paraId="72E8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01A8AEB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电动挖掘机</w:t>
            </w:r>
          </w:p>
        </w:tc>
        <w:tc>
          <w:tcPr>
            <w:tcW w:w="725" w:type="pct"/>
            <w:vAlign w:val="center"/>
          </w:tcPr>
          <w:p w14:paraId="493625A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80～86</w:t>
            </w:r>
          </w:p>
        </w:tc>
        <w:tc>
          <w:tcPr>
            <w:tcW w:w="791" w:type="pct"/>
            <w:vAlign w:val="center"/>
          </w:tcPr>
          <w:p w14:paraId="1E2BD70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75～83</w:t>
            </w:r>
          </w:p>
        </w:tc>
        <w:tc>
          <w:tcPr>
            <w:tcW w:w="1048" w:type="pct"/>
            <w:vAlign w:val="center"/>
          </w:tcPr>
          <w:p w14:paraId="682B6A2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打桩机</w:t>
            </w:r>
          </w:p>
        </w:tc>
        <w:tc>
          <w:tcPr>
            <w:tcW w:w="725" w:type="pct"/>
            <w:vAlign w:val="center"/>
          </w:tcPr>
          <w:p w14:paraId="545E69D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100～110</w:t>
            </w:r>
          </w:p>
        </w:tc>
        <w:tc>
          <w:tcPr>
            <w:tcW w:w="791" w:type="pct"/>
            <w:vAlign w:val="center"/>
          </w:tcPr>
          <w:p w14:paraId="55796F7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95～105</w:t>
            </w:r>
          </w:p>
        </w:tc>
      </w:tr>
      <w:tr w14:paraId="331E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2A2DAB3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轮式装载机</w:t>
            </w:r>
          </w:p>
        </w:tc>
        <w:tc>
          <w:tcPr>
            <w:tcW w:w="725" w:type="pct"/>
            <w:vAlign w:val="center"/>
          </w:tcPr>
          <w:p w14:paraId="542BEFA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90～95</w:t>
            </w:r>
          </w:p>
        </w:tc>
        <w:tc>
          <w:tcPr>
            <w:tcW w:w="791" w:type="pct"/>
            <w:vAlign w:val="center"/>
          </w:tcPr>
          <w:p w14:paraId="1D1AF7B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85～91</w:t>
            </w:r>
          </w:p>
        </w:tc>
        <w:tc>
          <w:tcPr>
            <w:tcW w:w="1048" w:type="pct"/>
            <w:vAlign w:val="center"/>
          </w:tcPr>
          <w:p w14:paraId="186F733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静力压桩机</w:t>
            </w:r>
          </w:p>
        </w:tc>
        <w:tc>
          <w:tcPr>
            <w:tcW w:w="725" w:type="pct"/>
            <w:vAlign w:val="center"/>
          </w:tcPr>
          <w:p w14:paraId="75258C6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70～75</w:t>
            </w:r>
          </w:p>
        </w:tc>
        <w:tc>
          <w:tcPr>
            <w:tcW w:w="791" w:type="pct"/>
            <w:vAlign w:val="center"/>
          </w:tcPr>
          <w:p w14:paraId="5D59ED4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68～73</w:t>
            </w:r>
          </w:p>
        </w:tc>
      </w:tr>
      <w:tr w14:paraId="441D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5C536F9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推土机</w:t>
            </w:r>
          </w:p>
        </w:tc>
        <w:tc>
          <w:tcPr>
            <w:tcW w:w="725" w:type="pct"/>
            <w:vAlign w:val="center"/>
          </w:tcPr>
          <w:p w14:paraId="3180B19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83～88</w:t>
            </w:r>
          </w:p>
        </w:tc>
        <w:tc>
          <w:tcPr>
            <w:tcW w:w="791" w:type="pct"/>
            <w:vAlign w:val="center"/>
          </w:tcPr>
          <w:p w14:paraId="15906D2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80～85</w:t>
            </w:r>
          </w:p>
        </w:tc>
        <w:tc>
          <w:tcPr>
            <w:tcW w:w="1048" w:type="pct"/>
            <w:vAlign w:val="center"/>
          </w:tcPr>
          <w:p w14:paraId="1C2B0D8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风镐</w:t>
            </w:r>
          </w:p>
        </w:tc>
        <w:tc>
          <w:tcPr>
            <w:tcW w:w="725" w:type="pct"/>
            <w:vAlign w:val="center"/>
          </w:tcPr>
          <w:p w14:paraId="423D48E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88～92</w:t>
            </w:r>
          </w:p>
        </w:tc>
        <w:tc>
          <w:tcPr>
            <w:tcW w:w="791" w:type="pct"/>
            <w:vAlign w:val="center"/>
          </w:tcPr>
          <w:p w14:paraId="3115529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83～87</w:t>
            </w:r>
          </w:p>
        </w:tc>
      </w:tr>
      <w:tr w14:paraId="2F3E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65ED658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移动式发电机</w:t>
            </w:r>
          </w:p>
        </w:tc>
        <w:tc>
          <w:tcPr>
            <w:tcW w:w="725" w:type="pct"/>
            <w:vAlign w:val="center"/>
          </w:tcPr>
          <w:p w14:paraId="3131F0A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95～102</w:t>
            </w:r>
          </w:p>
        </w:tc>
        <w:tc>
          <w:tcPr>
            <w:tcW w:w="791" w:type="pct"/>
            <w:vAlign w:val="center"/>
          </w:tcPr>
          <w:p w14:paraId="5E0627A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90～98</w:t>
            </w:r>
          </w:p>
        </w:tc>
        <w:tc>
          <w:tcPr>
            <w:tcW w:w="1048" w:type="pct"/>
            <w:vAlign w:val="center"/>
          </w:tcPr>
          <w:p w14:paraId="26A91F3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混凝土输送泵</w:t>
            </w:r>
          </w:p>
        </w:tc>
        <w:tc>
          <w:tcPr>
            <w:tcW w:w="725" w:type="pct"/>
            <w:vAlign w:val="center"/>
          </w:tcPr>
          <w:p w14:paraId="0FA0AA5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88～95</w:t>
            </w:r>
          </w:p>
        </w:tc>
        <w:tc>
          <w:tcPr>
            <w:tcW w:w="791" w:type="pct"/>
            <w:vAlign w:val="center"/>
          </w:tcPr>
          <w:p w14:paraId="42847B9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84～90</w:t>
            </w:r>
          </w:p>
        </w:tc>
      </w:tr>
      <w:tr w14:paraId="5574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322C3D5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各类压路机</w:t>
            </w:r>
          </w:p>
        </w:tc>
        <w:tc>
          <w:tcPr>
            <w:tcW w:w="725" w:type="pct"/>
            <w:vAlign w:val="center"/>
          </w:tcPr>
          <w:p w14:paraId="1D32373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80～90</w:t>
            </w:r>
          </w:p>
        </w:tc>
        <w:tc>
          <w:tcPr>
            <w:tcW w:w="791" w:type="pct"/>
            <w:vAlign w:val="center"/>
          </w:tcPr>
          <w:p w14:paraId="31907F6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76～86</w:t>
            </w:r>
          </w:p>
        </w:tc>
        <w:tc>
          <w:tcPr>
            <w:tcW w:w="1048" w:type="pct"/>
            <w:vAlign w:val="center"/>
          </w:tcPr>
          <w:p w14:paraId="1FFBB7B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商砼搅拌车</w:t>
            </w:r>
          </w:p>
        </w:tc>
        <w:tc>
          <w:tcPr>
            <w:tcW w:w="725" w:type="pct"/>
            <w:vAlign w:val="center"/>
          </w:tcPr>
          <w:p w14:paraId="162DB31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85～90</w:t>
            </w:r>
          </w:p>
        </w:tc>
        <w:tc>
          <w:tcPr>
            <w:tcW w:w="791" w:type="pct"/>
            <w:vAlign w:val="center"/>
          </w:tcPr>
          <w:p w14:paraId="24DA9F7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82～84</w:t>
            </w:r>
          </w:p>
        </w:tc>
      </w:tr>
      <w:tr w14:paraId="7FC8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0B9D254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重型运输车</w:t>
            </w:r>
          </w:p>
        </w:tc>
        <w:tc>
          <w:tcPr>
            <w:tcW w:w="725" w:type="pct"/>
            <w:vAlign w:val="center"/>
          </w:tcPr>
          <w:p w14:paraId="507B996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82～90</w:t>
            </w:r>
          </w:p>
        </w:tc>
        <w:tc>
          <w:tcPr>
            <w:tcW w:w="791" w:type="pct"/>
            <w:vAlign w:val="center"/>
          </w:tcPr>
          <w:p w14:paraId="607EDAF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78～86</w:t>
            </w:r>
          </w:p>
        </w:tc>
        <w:tc>
          <w:tcPr>
            <w:tcW w:w="1048" w:type="pct"/>
            <w:vAlign w:val="center"/>
          </w:tcPr>
          <w:p w14:paraId="52C5B63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混凝土振捣器</w:t>
            </w:r>
          </w:p>
        </w:tc>
        <w:tc>
          <w:tcPr>
            <w:tcW w:w="725" w:type="pct"/>
            <w:vAlign w:val="center"/>
          </w:tcPr>
          <w:p w14:paraId="3F529E4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80～88</w:t>
            </w:r>
          </w:p>
        </w:tc>
        <w:tc>
          <w:tcPr>
            <w:tcW w:w="791" w:type="pct"/>
            <w:vAlign w:val="center"/>
          </w:tcPr>
          <w:p w14:paraId="5EE58F1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75～84</w:t>
            </w:r>
          </w:p>
        </w:tc>
      </w:tr>
      <w:tr w14:paraId="6D24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48A60A2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木工电锯</w:t>
            </w:r>
          </w:p>
        </w:tc>
        <w:tc>
          <w:tcPr>
            <w:tcW w:w="725" w:type="pct"/>
            <w:vAlign w:val="center"/>
          </w:tcPr>
          <w:p w14:paraId="4AC07D9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93～99</w:t>
            </w:r>
          </w:p>
        </w:tc>
        <w:tc>
          <w:tcPr>
            <w:tcW w:w="791" w:type="pct"/>
            <w:vAlign w:val="center"/>
          </w:tcPr>
          <w:p w14:paraId="0441C61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90～95</w:t>
            </w:r>
          </w:p>
        </w:tc>
        <w:tc>
          <w:tcPr>
            <w:tcW w:w="1048" w:type="pct"/>
            <w:vAlign w:val="center"/>
          </w:tcPr>
          <w:p w14:paraId="6DD5105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云石机、角磨机</w:t>
            </w:r>
          </w:p>
        </w:tc>
        <w:tc>
          <w:tcPr>
            <w:tcW w:w="725" w:type="pct"/>
            <w:vAlign w:val="center"/>
          </w:tcPr>
          <w:p w14:paraId="066CFA8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90～96</w:t>
            </w:r>
          </w:p>
        </w:tc>
        <w:tc>
          <w:tcPr>
            <w:tcW w:w="791" w:type="pct"/>
            <w:vAlign w:val="center"/>
          </w:tcPr>
          <w:p w14:paraId="67D5D64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84～90</w:t>
            </w:r>
          </w:p>
        </w:tc>
      </w:tr>
      <w:tr w14:paraId="7F2B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pct"/>
            <w:vAlign w:val="center"/>
          </w:tcPr>
          <w:p w14:paraId="157F295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电锤</w:t>
            </w:r>
          </w:p>
        </w:tc>
        <w:tc>
          <w:tcPr>
            <w:tcW w:w="725" w:type="pct"/>
            <w:vAlign w:val="center"/>
          </w:tcPr>
          <w:p w14:paraId="09DCBA6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100～105</w:t>
            </w:r>
          </w:p>
        </w:tc>
        <w:tc>
          <w:tcPr>
            <w:tcW w:w="791" w:type="pct"/>
            <w:vAlign w:val="center"/>
          </w:tcPr>
          <w:p w14:paraId="52EB68C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95～99</w:t>
            </w:r>
          </w:p>
        </w:tc>
        <w:tc>
          <w:tcPr>
            <w:tcW w:w="1048" w:type="pct"/>
            <w:vAlign w:val="center"/>
          </w:tcPr>
          <w:p w14:paraId="2DD575A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空压机</w:t>
            </w:r>
          </w:p>
        </w:tc>
        <w:tc>
          <w:tcPr>
            <w:tcW w:w="725" w:type="pct"/>
            <w:vAlign w:val="center"/>
          </w:tcPr>
          <w:p w14:paraId="43E4B47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88～92</w:t>
            </w:r>
          </w:p>
        </w:tc>
        <w:tc>
          <w:tcPr>
            <w:tcW w:w="791" w:type="pct"/>
            <w:vAlign w:val="center"/>
          </w:tcPr>
          <w:p w14:paraId="6100056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83～88</w:t>
            </w:r>
          </w:p>
        </w:tc>
      </w:tr>
    </w:tbl>
    <w:p w14:paraId="172B35DA">
      <w:pPr>
        <w:pStyle w:val="23"/>
        <w:autoSpaceDE/>
        <w:autoSpaceDN/>
        <w:snapToGrid w:val="0"/>
        <w:spacing w:before="156" w:beforeLines="50"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由上表可以看出，施工设备属强噪声源，且位于室外，无有效的控制措施。</w:t>
      </w:r>
    </w:p>
    <w:p w14:paraId="2C480857">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ascii="Times New Roman" w:hAnsi="Times New Roman" w:eastAsia="宋体" w:cs="Times New Roman"/>
          <w:snapToGrid w:val="0"/>
          <w:color w:val="auto"/>
          <w:szCs w:val="24"/>
          <w:highlight w:val="none"/>
        </w:rPr>
        <w:t>（2）</w:t>
      </w:r>
      <w:r>
        <w:rPr>
          <w:rFonts w:ascii="Times New Roman" w:hAnsi="Times New Roman"/>
          <w:bCs/>
          <w:snapToGrid w:val="0"/>
          <w:color w:val="auto"/>
          <w:szCs w:val="28"/>
          <w:highlight w:val="none"/>
          <w:lang w:bidi="en-US"/>
        </w:rPr>
        <w:t>施工噪声影响分析</w:t>
      </w:r>
    </w:p>
    <w:p w14:paraId="5BB9A465">
      <w:pPr>
        <w:adjustRightInd w:val="0"/>
        <w:snapToGrid w:val="0"/>
        <w:spacing w:line="360" w:lineRule="auto"/>
        <w:ind w:firstLine="480" w:firstLineChars="200"/>
        <w:rPr>
          <w:rFonts w:ascii="宋体" w:hAnsi="宋体"/>
          <w:color w:val="auto"/>
          <w:sz w:val="24"/>
          <w:highlight w:val="none"/>
        </w:rPr>
      </w:pPr>
      <w:r>
        <w:rPr>
          <w:rFonts w:ascii="宋体" w:hAnsi="宋体"/>
          <w:color w:val="auto"/>
          <w:sz w:val="24"/>
          <w:highlight w:val="none"/>
        </w:rPr>
        <w:t>施工期各种噪声源多为点源，按点声源衰减模式计算施工机械噪声的距离，计算公式为：</w:t>
      </w:r>
    </w:p>
    <w:p w14:paraId="7C4F374E">
      <w:pPr>
        <w:adjustRightInd w:val="0"/>
        <w:snapToGrid w:val="0"/>
        <w:spacing w:line="360" w:lineRule="auto"/>
        <w:ind w:firstLine="457" w:firstLineChars="176"/>
        <w:rPr>
          <w:color w:val="auto"/>
          <w:sz w:val="26"/>
          <w:highlight w:val="none"/>
        </w:rPr>
      </w:pPr>
      <w:r>
        <w:rPr>
          <w:rFonts w:hint="eastAsia"/>
          <w:color w:val="auto"/>
          <w:sz w:val="26"/>
          <w:highlight w:val="none"/>
        </w:rPr>
        <w:t xml:space="preserve">     </w:t>
      </w:r>
      <w:r>
        <w:rPr>
          <w:color w:val="auto"/>
          <w:sz w:val="26"/>
          <w:highlight w:val="none"/>
        </w:rPr>
        <w:drawing>
          <wp:inline distT="0" distB="0" distL="114300" distR="114300">
            <wp:extent cx="2029460" cy="259080"/>
            <wp:effectExtent l="0" t="0" r="8890" b="698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7"/>
                    <a:stretch>
                      <a:fillRect/>
                    </a:stretch>
                  </pic:blipFill>
                  <pic:spPr>
                    <a:xfrm>
                      <a:off x="0" y="0"/>
                      <a:ext cx="2029460" cy="259080"/>
                    </a:xfrm>
                    <a:prstGeom prst="rect">
                      <a:avLst/>
                    </a:prstGeom>
                    <a:noFill/>
                    <a:ln>
                      <a:noFill/>
                    </a:ln>
                  </pic:spPr>
                </pic:pic>
              </a:graphicData>
            </a:graphic>
          </wp:inline>
        </w:drawing>
      </w:r>
    </w:p>
    <w:p w14:paraId="533DF850">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式中：L</w:t>
      </w:r>
      <w:r>
        <w:rPr>
          <w:snapToGrid w:val="0"/>
          <w:color w:val="auto"/>
          <w:kern w:val="0"/>
          <w:sz w:val="24"/>
          <w:highlight w:val="none"/>
          <w:vertAlign w:val="subscript"/>
        </w:rPr>
        <w:t>1</w:t>
      </w:r>
      <w:r>
        <w:rPr>
          <w:snapToGrid w:val="0"/>
          <w:color w:val="auto"/>
          <w:kern w:val="0"/>
          <w:sz w:val="24"/>
          <w:highlight w:val="none"/>
        </w:rPr>
        <w:t>、L</w:t>
      </w:r>
      <w:r>
        <w:rPr>
          <w:snapToGrid w:val="0"/>
          <w:color w:val="auto"/>
          <w:kern w:val="0"/>
          <w:sz w:val="24"/>
          <w:highlight w:val="none"/>
          <w:vertAlign w:val="subscript"/>
        </w:rPr>
        <w:t>2</w:t>
      </w:r>
      <w:r>
        <w:rPr>
          <w:snapToGrid w:val="0"/>
          <w:color w:val="auto"/>
          <w:kern w:val="0"/>
          <w:sz w:val="24"/>
          <w:highlight w:val="none"/>
        </w:rPr>
        <w:t>——为距声源r</w:t>
      </w:r>
      <w:r>
        <w:rPr>
          <w:snapToGrid w:val="0"/>
          <w:color w:val="auto"/>
          <w:kern w:val="0"/>
          <w:sz w:val="24"/>
          <w:highlight w:val="none"/>
          <w:vertAlign w:val="subscript"/>
        </w:rPr>
        <w:t>1</w:t>
      </w:r>
      <w:r>
        <w:rPr>
          <w:snapToGrid w:val="0"/>
          <w:color w:val="auto"/>
          <w:kern w:val="0"/>
          <w:sz w:val="24"/>
          <w:highlight w:val="none"/>
        </w:rPr>
        <w:t>，r</w:t>
      </w:r>
      <w:r>
        <w:rPr>
          <w:snapToGrid w:val="0"/>
          <w:color w:val="auto"/>
          <w:kern w:val="0"/>
          <w:sz w:val="24"/>
          <w:highlight w:val="none"/>
          <w:vertAlign w:val="subscript"/>
        </w:rPr>
        <w:t>2</w:t>
      </w:r>
      <w:r>
        <w:rPr>
          <w:snapToGrid w:val="0"/>
          <w:color w:val="auto"/>
          <w:kern w:val="0"/>
          <w:sz w:val="24"/>
          <w:highlight w:val="none"/>
        </w:rPr>
        <w:t>处声级值，dB（A）；</w:t>
      </w:r>
    </w:p>
    <w:p w14:paraId="344EE79F">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r</w:t>
      </w:r>
      <w:r>
        <w:rPr>
          <w:snapToGrid w:val="0"/>
          <w:color w:val="auto"/>
          <w:kern w:val="0"/>
          <w:sz w:val="24"/>
          <w:highlight w:val="none"/>
          <w:vertAlign w:val="subscript"/>
        </w:rPr>
        <w:t>1</w:t>
      </w:r>
      <w:r>
        <w:rPr>
          <w:snapToGrid w:val="0"/>
          <w:color w:val="auto"/>
          <w:kern w:val="0"/>
          <w:sz w:val="24"/>
          <w:highlight w:val="none"/>
        </w:rPr>
        <w:t>、r</w:t>
      </w:r>
      <w:r>
        <w:rPr>
          <w:snapToGrid w:val="0"/>
          <w:color w:val="auto"/>
          <w:kern w:val="0"/>
          <w:sz w:val="24"/>
          <w:highlight w:val="none"/>
          <w:vertAlign w:val="subscript"/>
        </w:rPr>
        <w:t>2</w:t>
      </w:r>
      <w:r>
        <w:rPr>
          <w:snapToGrid w:val="0"/>
          <w:color w:val="auto"/>
          <w:kern w:val="0"/>
          <w:sz w:val="24"/>
          <w:highlight w:val="none"/>
        </w:rPr>
        <w:t>——为距点源的距离，m；</w:t>
      </w:r>
    </w:p>
    <w:p w14:paraId="40339177">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ΔL——为其它衰减作用的噪声级，dB（A）。</w:t>
      </w:r>
    </w:p>
    <w:p w14:paraId="2835FF4B">
      <w:pPr>
        <w:adjustRightInd w:val="0"/>
        <w:snapToGrid w:val="0"/>
        <w:spacing w:line="360" w:lineRule="auto"/>
        <w:ind w:firstLine="480" w:firstLineChars="200"/>
        <w:rPr>
          <w:color w:val="auto"/>
          <w:sz w:val="24"/>
          <w:highlight w:val="none"/>
        </w:rPr>
      </w:pPr>
      <w:r>
        <w:rPr>
          <w:rFonts w:hAnsi="宋体"/>
          <w:color w:val="auto"/>
          <w:sz w:val="24"/>
          <w:highlight w:val="none"/>
        </w:rPr>
        <w:t>预测结果见表</w:t>
      </w:r>
      <w:r>
        <w:rPr>
          <w:rFonts w:hint="eastAsia"/>
          <w:color w:val="auto"/>
          <w:sz w:val="24"/>
          <w:highlight w:val="none"/>
        </w:rPr>
        <w:t>6.1-5</w:t>
      </w:r>
      <w:r>
        <w:rPr>
          <w:rFonts w:hAnsi="宋体"/>
          <w:color w:val="auto"/>
          <w:sz w:val="24"/>
          <w:highlight w:val="none"/>
        </w:rPr>
        <w:t>。</w:t>
      </w:r>
    </w:p>
    <w:p w14:paraId="6B5EA118">
      <w:pPr>
        <w:adjustRightInd w:val="0"/>
        <w:snapToGrid w:val="0"/>
        <w:jc w:val="center"/>
        <w:rPr>
          <w:b/>
          <w:bCs/>
          <w:snapToGrid w:val="0"/>
          <w:color w:val="auto"/>
          <w:kern w:val="0"/>
          <w:szCs w:val="21"/>
          <w:highlight w:val="none"/>
        </w:rPr>
      </w:pPr>
      <w:r>
        <w:rPr>
          <w:rFonts w:hint="eastAsia"/>
          <w:b/>
          <w:bCs/>
          <w:snapToGrid w:val="0"/>
          <w:color w:val="auto"/>
          <w:kern w:val="0"/>
          <w:szCs w:val="21"/>
          <w:highlight w:val="none"/>
        </w:rPr>
        <w:t>表6.1-5 施工期噪声预测结果</w:t>
      </w:r>
    </w:p>
    <w:tbl>
      <w:tblPr>
        <w:tblStyle w:val="5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6"/>
        <w:gridCol w:w="713"/>
        <w:gridCol w:w="888"/>
        <w:gridCol w:w="888"/>
        <w:gridCol w:w="888"/>
        <w:gridCol w:w="888"/>
        <w:gridCol w:w="889"/>
        <w:gridCol w:w="889"/>
      </w:tblGrid>
      <w:tr w14:paraId="7638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62FD6B48">
            <w:pPr>
              <w:widowControl/>
              <w:adjustRightInd w:val="0"/>
              <w:snapToGrid w:val="0"/>
              <w:jc w:val="right"/>
              <w:rPr>
                <w:rFonts w:eastAsia="Times New Roman"/>
                <w:snapToGrid w:val="0"/>
                <w:color w:val="auto"/>
                <w:kern w:val="0"/>
                <w:szCs w:val="21"/>
                <w:highlight w:val="none"/>
              </w:rPr>
            </w:pPr>
            <w:r>
              <w:rPr>
                <w:rFonts w:eastAsia="Times New Roman"/>
                <w:snapToGrid w:val="0"/>
                <w:color w:val="auto"/>
                <w:kern w:val="0"/>
                <w:szCs w:val="21"/>
                <w:highlight w:val="none"/>
              </w:rPr>
              <mc:AlternateContent>
                <mc:Choice Requires="wps">
                  <w:drawing>
                    <wp:anchor distT="0" distB="0" distL="114300" distR="114300" simplePos="0" relativeHeight="251673600" behindDoc="0" locked="0" layoutInCell="1" allowOverlap="1">
                      <wp:simplePos x="0" y="0"/>
                      <wp:positionH relativeFrom="column">
                        <wp:posOffset>-60960</wp:posOffset>
                      </wp:positionH>
                      <wp:positionV relativeFrom="paragraph">
                        <wp:posOffset>9525</wp:posOffset>
                      </wp:positionV>
                      <wp:extent cx="1543685" cy="341630"/>
                      <wp:effectExtent l="1270" t="4445" r="17145" b="15875"/>
                      <wp:wrapNone/>
                      <wp:docPr id="59" name="直接连接符 59"/>
                      <wp:cNvGraphicFramePr/>
                      <a:graphic xmlns:a="http://schemas.openxmlformats.org/drawingml/2006/main">
                        <a:graphicData uri="http://schemas.microsoft.com/office/word/2010/wordprocessingShape">
                          <wps:wsp>
                            <wps:cNvCnPr/>
                            <wps:spPr>
                              <a:xfrm>
                                <a:off x="875030" y="2025015"/>
                                <a:ext cx="1543685" cy="34163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8pt;margin-top:0.75pt;height:26.9pt;width:121.55pt;z-index:251673600;mso-width-relative:page;mso-height-relative:page;" filled="f" stroked="t" coordsize="21600,21600" o:gfxdata="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&#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I50cB1gAAAAcBAAAPAAAAAAAAAAEAIAAAACIAAABk&#10;cnMvZG93bnJldi54bWxQSwECFAAUAAAACACHTuJADnTMgQgCAADlAwAADgAAAAAAAAABACAAAAAl&#10;AQAAZHJzL2Uyb0RvYy54bWxQSwUGAAAAAAYABgBZAQAAnwUAAAAA&#10;">
                      <v:fill on="f" focussize="0,0"/>
                      <v:stroke weight="0.5pt" color="#000000 [3200]" miterlimit="8" joinstyle="miter"/>
                      <v:imagedata o:title=""/>
                      <o:lock v:ext="edit" aspectratio="f"/>
                    </v:line>
                  </w:pict>
                </mc:Fallback>
              </mc:AlternateContent>
            </w:r>
            <w:r>
              <w:rPr>
                <w:rFonts w:hint="eastAsia" w:eastAsia="Times New Roman"/>
                <w:snapToGrid w:val="0"/>
                <w:color w:val="auto"/>
                <w:kern w:val="0"/>
                <w:szCs w:val="21"/>
                <w:highlight w:val="none"/>
              </w:rPr>
              <w:t xml:space="preserve">       距离</w:t>
            </w:r>
          </w:p>
          <w:p w14:paraId="6870FC6F">
            <w:pPr>
              <w:widowControl/>
              <w:adjustRightInd w:val="0"/>
              <w:snapToGrid w:val="0"/>
              <w:jc w:val="left"/>
              <w:rPr>
                <w:rFonts w:eastAsia="Times New Roman"/>
                <w:snapToGrid w:val="0"/>
                <w:color w:val="auto"/>
                <w:kern w:val="0"/>
                <w:szCs w:val="21"/>
                <w:highlight w:val="none"/>
              </w:rPr>
            </w:pPr>
            <w:r>
              <w:rPr>
                <w:rFonts w:hint="eastAsia" w:eastAsia="Times New Roman"/>
                <w:snapToGrid w:val="0"/>
                <w:color w:val="auto"/>
                <w:kern w:val="0"/>
                <w:szCs w:val="21"/>
                <w:highlight w:val="none"/>
              </w:rPr>
              <w:t>设备名称</w:t>
            </w:r>
          </w:p>
        </w:tc>
        <w:tc>
          <w:tcPr>
            <w:tcW w:w="418" w:type="pct"/>
            <w:tcBorders>
              <w:tl2br w:val="nil"/>
              <w:tr2bl w:val="nil"/>
            </w:tcBorders>
            <w:vAlign w:val="center"/>
          </w:tcPr>
          <w:p w14:paraId="4FEF4C1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50</w:t>
            </w:r>
          </w:p>
        </w:tc>
        <w:tc>
          <w:tcPr>
            <w:tcW w:w="521" w:type="pct"/>
            <w:tcBorders>
              <w:tl2br w:val="nil"/>
              <w:tr2bl w:val="nil"/>
            </w:tcBorders>
            <w:vAlign w:val="center"/>
          </w:tcPr>
          <w:p w14:paraId="6F1E598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100</w:t>
            </w:r>
          </w:p>
        </w:tc>
        <w:tc>
          <w:tcPr>
            <w:tcW w:w="521" w:type="pct"/>
            <w:tcBorders>
              <w:tl2br w:val="nil"/>
              <w:tr2bl w:val="nil"/>
            </w:tcBorders>
            <w:vAlign w:val="center"/>
          </w:tcPr>
          <w:p w14:paraId="22E809B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150</w:t>
            </w:r>
          </w:p>
        </w:tc>
        <w:tc>
          <w:tcPr>
            <w:tcW w:w="521" w:type="pct"/>
            <w:tcBorders>
              <w:tl2br w:val="nil"/>
              <w:tr2bl w:val="nil"/>
            </w:tcBorders>
            <w:vAlign w:val="center"/>
          </w:tcPr>
          <w:p w14:paraId="032EF9F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200</w:t>
            </w:r>
          </w:p>
        </w:tc>
        <w:tc>
          <w:tcPr>
            <w:tcW w:w="521" w:type="pct"/>
            <w:tcBorders>
              <w:tl2br w:val="nil"/>
              <w:tr2bl w:val="nil"/>
            </w:tcBorders>
            <w:vAlign w:val="center"/>
          </w:tcPr>
          <w:p w14:paraId="423F965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250</w:t>
            </w:r>
          </w:p>
        </w:tc>
        <w:tc>
          <w:tcPr>
            <w:tcW w:w="521" w:type="pct"/>
            <w:tcBorders>
              <w:tl2br w:val="nil"/>
              <w:tr2bl w:val="nil"/>
            </w:tcBorders>
            <w:vAlign w:val="center"/>
          </w:tcPr>
          <w:p w14:paraId="014F929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300</w:t>
            </w:r>
          </w:p>
        </w:tc>
        <w:tc>
          <w:tcPr>
            <w:tcW w:w="521" w:type="pct"/>
            <w:tcBorders>
              <w:tl2br w:val="nil"/>
              <w:tr2bl w:val="nil"/>
            </w:tcBorders>
            <w:vAlign w:val="center"/>
          </w:tcPr>
          <w:p w14:paraId="0B7DC7C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400</w:t>
            </w:r>
          </w:p>
        </w:tc>
      </w:tr>
      <w:tr w14:paraId="4AFF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7F769D7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液压挖掘机</w:t>
            </w:r>
          </w:p>
        </w:tc>
        <w:tc>
          <w:tcPr>
            <w:tcW w:w="418" w:type="pct"/>
            <w:tcBorders>
              <w:tl2br w:val="nil"/>
              <w:tr2bl w:val="nil"/>
            </w:tcBorders>
            <w:vAlign w:val="center"/>
          </w:tcPr>
          <w:p w14:paraId="1240D07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1D11E99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c>
          <w:tcPr>
            <w:tcW w:w="521" w:type="pct"/>
            <w:tcBorders>
              <w:tl2br w:val="nil"/>
              <w:tr2bl w:val="nil"/>
            </w:tcBorders>
            <w:vAlign w:val="center"/>
          </w:tcPr>
          <w:p w14:paraId="3F61344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2D03A85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35781C3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71874ED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7EAE3FD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r>
      <w:tr w14:paraId="3114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5838012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电动挖掘机</w:t>
            </w:r>
          </w:p>
        </w:tc>
        <w:tc>
          <w:tcPr>
            <w:tcW w:w="418" w:type="pct"/>
            <w:tcBorders>
              <w:tl2br w:val="nil"/>
              <w:tr2bl w:val="nil"/>
            </w:tcBorders>
            <w:vAlign w:val="center"/>
          </w:tcPr>
          <w:p w14:paraId="3D0E6C2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66</w:t>
            </w:r>
          </w:p>
        </w:tc>
        <w:tc>
          <w:tcPr>
            <w:tcW w:w="521" w:type="pct"/>
            <w:tcBorders>
              <w:tl2br w:val="nil"/>
              <w:tr2bl w:val="nil"/>
            </w:tcBorders>
            <w:vAlign w:val="center"/>
          </w:tcPr>
          <w:p w14:paraId="6E702E3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307BE29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2171D4F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1DBE161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c>
          <w:tcPr>
            <w:tcW w:w="521" w:type="pct"/>
            <w:tcBorders>
              <w:tl2br w:val="nil"/>
              <w:tr2bl w:val="nil"/>
            </w:tcBorders>
            <w:vAlign w:val="center"/>
          </w:tcPr>
          <w:p w14:paraId="291BD32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50</w:t>
            </w:r>
          </w:p>
        </w:tc>
        <w:tc>
          <w:tcPr>
            <w:tcW w:w="521" w:type="pct"/>
            <w:tcBorders>
              <w:tl2br w:val="nil"/>
              <w:tr2bl w:val="nil"/>
            </w:tcBorders>
            <w:vAlign w:val="center"/>
          </w:tcPr>
          <w:p w14:paraId="664CDEC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48</w:t>
            </w:r>
          </w:p>
        </w:tc>
      </w:tr>
      <w:tr w14:paraId="66BC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2357C00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轮式装载机</w:t>
            </w:r>
          </w:p>
        </w:tc>
        <w:tc>
          <w:tcPr>
            <w:tcW w:w="418" w:type="pct"/>
            <w:tcBorders>
              <w:tl2br w:val="nil"/>
              <w:tr2bl w:val="nil"/>
            </w:tcBorders>
            <w:vAlign w:val="center"/>
          </w:tcPr>
          <w:p w14:paraId="5DF94E3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75</w:t>
            </w:r>
          </w:p>
        </w:tc>
        <w:tc>
          <w:tcPr>
            <w:tcW w:w="521" w:type="pct"/>
            <w:tcBorders>
              <w:tl2br w:val="nil"/>
              <w:tr2bl w:val="nil"/>
            </w:tcBorders>
            <w:vAlign w:val="center"/>
          </w:tcPr>
          <w:p w14:paraId="64122AE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69</w:t>
            </w:r>
          </w:p>
        </w:tc>
        <w:tc>
          <w:tcPr>
            <w:tcW w:w="521" w:type="pct"/>
            <w:tcBorders>
              <w:tl2br w:val="nil"/>
              <w:tr2bl w:val="nil"/>
            </w:tcBorders>
            <w:vAlign w:val="center"/>
          </w:tcPr>
          <w:p w14:paraId="6E0217D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65</w:t>
            </w:r>
          </w:p>
        </w:tc>
        <w:tc>
          <w:tcPr>
            <w:tcW w:w="521" w:type="pct"/>
            <w:tcBorders>
              <w:tl2br w:val="nil"/>
              <w:tr2bl w:val="nil"/>
            </w:tcBorders>
            <w:vAlign w:val="center"/>
          </w:tcPr>
          <w:p w14:paraId="23DFAE5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63</w:t>
            </w:r>
          </w:p>
        </w:tc>
        <w:tc>
          <w:tcPr>
            <w:tcW w:w="521" w:type="pct"/>
            <w:tcBorders>
              <w:tl2br w:val="nil"/>
              <w:tr2bl w:val="nil"/>
            </w:tcBorders>
            <w:vAlign w:val="center"/>
          </w:tcPr>
          <w:p w14:paraId="655B798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61</w:t>
            </w:r>
          </w:p>
        </w:tc>
        <w:tc>
          <w:tcPr>
            <w:tcW w:w="521" w:type="pct"/>
            <w:tcBorders>
              <w:tl2br w:val="nil"/>
              <w:tr2bl w:val="nil"/>
            </w:tcBorders>
            <w:vAlign w:val="center"/>
          </w:tcPr>
          <w:p w14:paraId="303595C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59</w:t>
            </w:r>
          </w:p>
        </w:tc>
        <w:tc>
          <w:tcPr>
            <w:tcW w:w="521" w:type="pct"/>
            <w:tcBorders>
              <w:tl2br w:val="nil"/>
              <w:tr2bl w:val="nil"/>
            </w:tcBorders>
            <w:vAlign w:val="center"/>
          </w:tcPr>
          <w:p w14:paraId="3F2DCE1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57</w:t>
            </w:r>
          </w:p>
        </w:tc>
      </w:tr>
      <w:tr w14:paraId="0537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2052AC3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推土机</w:t>
            </w:r>
          </w:p>
        </w:tc>
        <w:tc>
          <w:tcPr>
            <w:tcW w:w="418" w:type="pct"/>
            <w:tcBorders>
              <w:tl2br w:val="nil"/>
              <w:tr2bl w:val="nil"/>
            </w:tcBorders>
            <w:vAlign w:val="center"/>
          </w:tcPr>
          <w:p w14:paraId="31B3572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68</w:t>
            </w:r>
          </w:p>
        </w:tc>
        <w:tc>
          <w:tcPr>
            <w:tcW w:w="521" w:type="pct"/>
            <w:tcBorders>
              <w:tl2br w:val="nil"/>
              <w:tr2bl w:val="nil"/>
            </w:tcBorders>
            <w:vAlign w:val="center"/>
          </w:tcPr>
          <w:p w14:paraId="3008519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62</w:t>
            </w:r>
          </w:p>
        </w:tc>
        <w:tc>
          <w:tcPr>
            <w:tcW w:w="521" w:type="pct"/>
            <w:tcBorders>
              <w:tl2br w:val="nil"/>
              <w:tr2bl w:val="nil"/>
            </w:tcBorders>
            <w:vAlign w:val="center"/>
          </w:tcPr>
          <w:p w14:paraId="325602C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0E9C16E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5D041C9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6B5F24C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c>
          <w:tcPr>
            <w:tcW w:w="521" w:type="pct"/>
            <w:tcBorders>
              <w:tl2br w:val="nil"/>
              <w:tr2bl w:val="nil"/>
            </w:tcBorders>
            <w:vAlign w:val="center"/>
          </w:tcPr>
          <w:p w14:paraId="714AC84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50</w:t>
            </w:r>
          </w:p>
        </w:tc>
      </w:tr>
      <w:tr w14:paraId="570D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1684649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移动式发电机</w:t>
            </w:r>
          </w:p>
        </w:tc>
        <w:tc>
          <w:tcPr>
            <w:tcW w:w="418" w:type="pct"/>
            <w:tcBorders>
              <w:tl2br w:val="nil"/>
              <w:tr2bl w:val="nil"/>
            </w:tcBorders>
            <w:vAlign w:val="center"/>
          </w:tcPr>
          <w:p w14:paraId="2C3DABE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82</w:t>
            </w:r>
          </w:p>
        </w:tc>
        <w:tc>
          <w:tcPr>
            <w:tcW w:w="521" w:type="pct"/>
            <w:tcBorders>
              <w:tl2br w:val="nil"/>
              <w:tr2bl w:val="nil"/>
            </w:tcBorders>
            <w:vAlign w:val="center"/>
          </w:tcPr>
          <w:p w14:paraId="78EC53E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76</w:t>
            </w:r>
          </w:p>
        </w:tc>
        <w:tc>
          <w:tcPr>
            <w:tcW w:w="521" w:type="pct"/>
            <w:tcBorders>
              <w:tl2br w:val="nil"/>
              <w:tr2bl w:val="nil"/>
            </w:tcBorders>
            <w:vAlign w:val="center"/>
          </w:tcPr>
          <w:p w14:paraId="29CA9B6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72</w:t>
            </w:r>
          </w:p>
        </w:tc>
        <w:tc>
          <w:tcPr>
            <w:tcW w:w="521" w:type="pct"/>
            <w:tcBorders>
              <w:tl2br w:val="nil"/>
              <w:tr2bl w:val="nil"/>
            </w:tcBorders>
            <w:vAlign w:val="center"/>
          </w:tcPr>
          <w:p w14:paraId="57465BF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01321EB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68</w:t>
            </w:r>
          </w:p>
        </w:tc>
        <w:tc>
          <w:tcPr>
            <w:tcW w:w="521" w:type="pct"/>
            <w:tcBorders>
              <w:tl2br w:val="nil"/>
              <w:tr2bl w:val="nil"/>
            </w:tcBorders>
            <w:vAlign w:val="center"/>
          </w:tcPr>
          <w:p w14:paraId="4FF9143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66</w:t>
            </w:r>
          </w:p>
        </w:tc>
        <w:tc>
          <w:tcPr>
            <w:tcW w:w="521" w:type="pct"/>
            <w:tcBorders>
              <w:tl2br w:val="nil"/>
              <w:tr2bl w:val="nil"/>
            </w:tcBorders>
            <w:vAlign w:val="center"/>
          </w:tcPr>
          <w:p w14:paraId="6284EC3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r>
      <w:tr w14:paraId="209D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239C1F9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各类压路机</w:t>
            </w:r>
          </w:p>
        </w:tc>
        <w:tc>
          <w:tcPr>
            <w:tcW w:w="418" w:type="pct"/>
            <w:tcBorders>
              <w:tl2br w:val="nil"/>
              <w:tr2bl w:val="nil"/>
            </w:tcBorders>
            <w:vAlign w:val="center"/>
          </w:tcPr>
          <w:p w14:paraId="1F6F3A7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08D5D8A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c>
          <w:tcPr>
            <w:tcW w:w="521" w:type="pct"/>
            <w:tcBorders>
              <w:tl2br w:val="nil"/>
              <w:tr2bl w:val="nil"/>
            </w:tcBorders>
            <w:vAlign w:val="center"/>
          </w:tcPr>
          <w:p w14:paraId="5373A98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2AA1873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64D76FB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5DC8472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7683313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r>
      <w:tr w14:paraId="5C62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6BEF73B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重型运输车</w:t>
            </w:r>
          </w:p>
        </w:tc>
        <w:tc>
          <w:tcPr>
            <w:tcW w:w="418" w:type="pct"/>
            <w:tcBorders>
              <w:tl2br w:val="nil"/>
              <w:tr2bl w:val="nil"/>
            </w:tcBorders>
            <w:vAlign w:val="center"/>
          </w:tcPr>
          <w:p w14:paraId="261A07D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37AA4CF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c>
          <w:tcPr>
            <w:tcW w:w="521" w:type="pct"/>
            <w:tcBorders>
              <w:tl2br w:val="nil"/>
              <w:tr2bl w:val="nil"/>
            </w:tcBorders>
            <w:vAlign w:val="center"/>
          </w:tcPr>
          <w:p w14:paraId="4934422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2A94679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72C1924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53CD557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0C3A480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r>
      <w:tr w14:paraId="66B0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43D5BAA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木工电锯</w:t>
            </w:r>
          </w:p>
        </w:tc>
        <w:tc>
          <w:tcPr>
            <w:tcW w:w="418" w:type="pct"/>
            <w:tcBorders>
              <w:tl2br w:val="nil"/>
              <w:tr2bl w:val="nil"/>
            </w:tcBorders>
            <w:vAlign w:val="center"/>
          </w:tcPr>
          <w:p w14:paraId="0E626AD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79</w:t>
            </w:r>
          </w:p>
        </w:tc>
        <w:tc>
          <w:tcPr>
            <w:tcW w:w="521" w:type="pct"/>
            <w:tcBorders>
              <w:tl2br w:val="nil"/>
              <w:tr2bl w:val="nil"/>
            </w:tcBorders>
            <w:vAlign w:val="center"/>
          </w:tcPr>
          <w:p w14:paraId="6849183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73</w:t>
            </w:r>
          </w:p>
        </w:tc>
        <w:tc>
          <w:tcPr>
            <w:tcW w:w="521" w:type="pct"/>
            <w:tcBorders>
              <w:tl2br w:val="nil"/>
              <w:tr2bl w:val="nil"/>
            </w:tcBorders>
            <w:vAlign w:val="center"/>
          </w:tcPr>
          <w:p w14:paraId="162CE38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69</w:t>
            </w:r>
          </w:p>
        </w:tc>
        <w:tc>
          <w:tcPr>
            <w:tcW w:w="521" w:type="pct"/>
            <w:tcBorders>
              <w:tl2br w:val="nil"/>
              <w:tr2bl w:val="nil"/>
            </w:tcBorders>
            <w:vAlign w:val="center"/>
          </w:tcPr>
          <w:p w14:paraId="7800424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67</w:t>
            </w:r>
          </w:p>
        </w:tc>
        <w:tc>
          <w:tcPr>
            <w:tcW w:w="521" w:type="pct"/>
            <w:tcBorders>
              <w:tl2br w:val="nil"/>
              <w:tr2bl w:val="nil"/>
            </w:tcBorders>
            <w:vAlign w:val="center"/>
          </w:tcPr>
          <w:p w14:paraId="1F7C013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65</w:t>
            </w:r>
          </w:p>
        </w:tc>
        <w:tc>
          <w:tcPr>
            <w:tcW w:w="521" w:type="pct"/>
            <w:tcBorders>
              <w:tl2br w:val="nil"/>
              <w:tr2bl w:val="nil"/>
            </w:tcBorders>
            <w:vAlign w:val="center"/>
          </w:tcPr>
          <w:p w14:paraId="63D8E28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63</w:t>
            </w:r>
          </w:p>
        </w:tc>
        <w:tc>
          <w:tcPr>
            <w:tcW w:w="521" w:type="pct"/>
            <w:tcBorders>
              <w:tl2br w:val="nil"/>
              <w:tr2bl w:val="nil"/>
            </w:tcBorders>
            <w:vAlign w:val="center"/>
          </w:tcPr>
          <w:p w14:paraId="0F51737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61</w:t>
            </w:r>
          </w:p>
        </w:tc>
      </w:tr>
      <w:tr w14:paraId="6AF3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4AAD7FE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电锤</w:t>
            </w:r>
          </w:p>
        </w:tc>
        <w:tc>
          <w:tcPr>
            <w:tcW w:w="418" w:type="pct"/>
            <w:tcBorders>
              <w:tl2br w:val="nil"/>
              <w:tr2bl w:val="nil"/>
            </w:tcBorders>
            <w:vAlign w:val="center"/>
          </w:tcPr>
          <w:p w14:paraId="774559E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85</w:t>
            </w:r>
          </w:p>
        </w:tc>
        <w:tc>
          <w:tcPr>
            <w:tcW w:w="521" w:type="pct"/>
            <w:tcBorders>
              <w:tl2br w:val="nil"/>
              <w:tr2bl w:val="nil"/>
            </w:tcBorders>
            <w:vAlign w:val="center"/>
          </w:tcPr>
          <w:p w14:paraId="6FAA0C4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79</w:t>
            </w:r>
          </w:p>
        </w:tc>
        <w:tc>
          <w:tcPr>
            <w:tcW w:w="521" w:type="pct"/>
            <w:tcBorders>
              <w:tl2br w:val="nil"/>
              <w:tr2bl w:val="nil"/>
            </w:tcBorders>
            <w:vAlign w:val="center"/>
          </w:tcPr>
          <w:p w14:paraId="315BD3C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75</w:t>
            </w:r>
          </w:p>
        </w:tc>
        <w:tc>
          <w:tcPr>
            <w:tcW w:w="521" w:type="pct"/>
            <w:tcBorders>
              <w:tl2br w:val="nil"/>
              <w:tr2bl w:val="nil"/>
            </w:tcBorders>
            <w:vAlign w:val="center"/>
          </w:tcPr>
          <w:p w14:paraId="11C8E7C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73</w:t>
            </w:r>
          </w:p>
        </w:tc>
        <w:tc>
          <w:tcPr>
            <w:tcW w:w="521" w:type="pct"/>
            <w:tcBorders>
              <w:tl2br w:val="nil"/>
              <w:tr2bl w:val="nil"/>
            </w:tcBorders>
            <w:vAlign w:val="center"/>
          </w:tcPr>
          <w:p w14:paraId="3D0E6D0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71</w:t>
            </w:r>
          </w:p>
        </w:tc>
        <w:tc>
          <w:tcPr>
            <w:tcW w:w="521" w:type="pct"/>
            <w:tcBorders>
              <w:tl2br w:val="nil"/>
              <w:tr2bl w:val="nil"/>
            </w:tcBorders>
            <w:vAlign w:val="center"/>
          </w:tcPr>
          <w:p w14:paraId="0741E5C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69</w:t>
            </w:r>
          </w:p>
        </w:tc>
        <w:tc>
          <w:tcPr>
            <w:tcW w:w="521" w:type="pct"/>
            <w:tcBorders>
              <w:tl2br w:val="nil"/>
              <w:tr2bl w:val="nil"/>
            </w:tcBorders>
            <w:vAlign w:val="center"/>
          </w:tcPr>
          <w:p w14:paraId="7F77D8F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67</w:t>
            </w:r>
          </w:p>
        </w:tc>
      </w:tr>
      <w:tr w14:paraId="70F5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7050D10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振动夯锤</w:t>
            </w:r>
          </w:p>
        </w:tc>
        <w:tc>
          <w:tcPr>
            <w:tcW w:w="418" w:type="pct"/>
            <w:tcBorders>
              <w:tl2br w:val="nil"/>
              <w:tr2bl w:val="nil"/>
            </w:tcBorders>
            <w:vAlign w:val="center"/>
          </w:tcPr>
          <w:p w14:paraId="1672ACF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80</w:t>
            </w:r>
          </w:p>
        </w:tc>
        <w:tc>
          <w:tcPr>
            <w:tcW w:w="521" w:type="pct"/>
            <w:tcBorders>
              <w:tl2br w:val="nil"/>
              <w:tr2bl w:val="nil"/>
            </w:tcBorders>
            <w:vAlign w:val="center"/>
          </w:tcPr>
          <w:p w14:paraId="55B4AE8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74</w:t>
            </w:r>
          </w:p>
        </w:tc>
        <w:tc>
          <w:tcPr>
            <w:tcW w:w="521" w:type="pct"/>
            <w:tcBorders>
              <w:tl2br w:val="nil"/>
              <w:tr2bl w:val="nil"/>
            </w:tcBorders>
            <w:vAlign w:val="center"/>
          </w:tcPr>
          <w:p w14:paraId="5CD45B3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153470B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68</w:t>
            </w:r>
          </w:p>
        </w:tc>
        <w:tc>
          <w:tcPr>
            <w:tcW w:w="521" w:type="pct"/>
            <w:tcBorders>
              <w:tl2br w:val="nil"/>
              <w:tr2bl w:val="nil"/>
            </w:tcBorders>
            <w:vAlign w:val="center"/>
          </w:tcPr>
          <w:p w14:paraId="13AC67A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66</w:t>
            </w:r>
          </w:p>
        </w:tc>
        <w:tc>
          <w:tcPr>
            <w:tcW w:w="521" w:type="pct"/>
            <w:tcBorders>
              <w:tl2br w:val="nil"/>
              <w:tr2bl w:val="nil"/>
            </w:tcBorders>
            <w:vAlign w:val="center"/>
          </w:tcPr>
          <w:p w14:paraId="64F8D90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c>
          <w:tcPr>
            <w:tcW w:w="521" w:type="pct"/>
            <w:tcBorders>
              <w:tl2br w:val="nil"/>
              <w:tr2bl w:val="nil"/>
            </w:tcBorders>
            <w:vAlign w:val="center"/>
          </w:tcPr>
          <w:p w14:paraId="780EFA8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62</w:t>
            </w:r>
          </w:p>
        </w:tc>
      </w:tr>
      <w:tr w14:paraId="6B5D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4BF8131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打桩机</w:t>
            </w:r>
          </w:p>
        </w:tc>
        <w:tc>
          <w:tcPr>
            <w:tcW w:w="418" w:type="pct"/>
            <w:tcBorders>
              <w:tl2br w:val="nil"/>
              <w:tr2bl w:val="nil"/>
            </w:tcBorders>
            <w:vAlign w:val="center"/>
          </w:tcPr>
          <w:p w14:paraId="0705216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90</w:t>
            </w:r>
          </w:p>
        </w:tc>
        <w:tc>
          <w:tcPr>
            <w:tcW w:w="521" w:type="pct"/>
            <w:tcBorders>
              <w:tl2br w:val="nil"/>
              <w:tr2bl w:val="nil"/>
            </w:tcBorders>
            <w:vAlign w:val="center"/>
          </w:tcPr>
          <w:p w14:paraId="25A7E22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84</w:t>
            </w:r>
          </w:p>
        </w:tc>
        <w:tc>
          <w:tcPr>
            <w:tcW w:w="521" w:type="pct"/>
            <w:tcBorders>
              <w:tl2br w:val="nil"/>
              <w:tr2bl w:val="nil"/>
            </w:tcBorders>
            <w:vAlign w:val="center"/>
          </w:tcPr>
          <w:p w14:paraId="3F588C3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80</w:t>
            </w:r>
          </w:p>
        </w:tc>
        <w:tc>
          <w:tcPr>
            <w:tcW w:w="521" w:type="pct"/>
            <w:tcBorders>
              <w:tl2br w:val="nil"/>
              <w:tr2bl w:val="nil"/>
            </w:tcBorders>
            <w:vAlign w:val="center"/>
          </w:tcPr>
          <w:p w14:paraId="6C0162F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78</w:t>
            </w:r>
          </w:p>
        </w:tc>
        <w:tc>
          <w:tcPr>
            <w:tcW w:w="521" w:type="pct"/>
            <w:tcBorders>
              <w:tl2br w:val="nil"/>
              <w:tr2bl w:val="nil"/>
            </w:tcBorders>
            <w:vAlign w:val="center"/>
          </w:tcPr>
          <w:p w14:paraId="7006ECD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76</w:t>
            </w:r>
          </w:p>
        </w:tc>
        <w:tc>
          <w:tcPr>
            <w:tcW w:w="521" w:type="pct"/>
            <w:tcBorders>
              <w:tl2br w:val="nil"/>
              <w:tr2bl w:val="nil"/>
            </w:tcBorders>
            <w:vAlign w:val="center"/>
          </w:tcPr>
          <w:p w14:paraId="398F4C3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74</w:t>
            </w:r>
          </w:p>
        </w:tc>
        <w:tc>
          <w:tcPr>
            <w:tcW w:w="521" w:type="pct"/>
            <w:tcBorders>
              <w:tl2br w:val="nil"/>
              <w:tr2bl w:val="nil"/>
            </w:tcBorders>
            <w:vAlign w:val="center"/>
          </w:tcPr>
          <w:p w14:paraId="1DE5B41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72</w:t>
            </w:r>
          </w:p>
        </w:tc>
      </w:tr>
      <w:tr w14:paraId="3256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383BD1F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静力压桩机</w:t>
            </w:r>
          </w:p>
        </w:tc>
        <w:tc>
          <w:tcPr>
            <w:tcW w:w="418" w:type="pct"/>
            <w:tcBorders>
              <w:tl2br w:val="nil"/>
              <w:tr2bl w:val="nil"/>
            </w:tcBorders>
            <w:vAlign w:val="center"/>
          </w:tcPr>
          <w:p w14:paraId="39A8566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55</w:t>
            </w:r>
          </w:p>
        </w:tc>
        <w:tc>
          <w:tcPr>
            <w:tcW w:w="521" w:type="pct"/>
            <w:tcBorders>
              <w:tl2br w:val="nil"/>
              <w:tr2bl w:val="nil"/>
            </w:tcBorders>
            <w:vAlign w:val="center"/>
          </w:tcPr>
          <w:p w14:paraId="2537DBE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49</w:t>
            </w:r>
          </w:p>
        </w:tc>
        <w:tc>
          <w:tcPr>
            <w:tcW w:w="521" w:type="pct"/>
            <w:tcBorders>
              <w:tl2br w:val="nil"/>
              <w:tr2bl w:val="nil"/>
            </w:tcBorders>
            <w:vAlign w:val="center"/>
          </w:tcPr>
          <w:p w14:paraId="0F06C23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45</w:t>
            </w:r>
          </w:p>
        </w:tc>
        <w:tc>
          <w:tcPr>
            <w:tcW w:w="521" w:type="pct"/>
            <w:tcBorders>
              <w:tl2br w:val="nil"/>
              <w:tr2bl w:val="nil"/>
            </w:tcBorders>
            <w:vAlign w:val="center"/>
          </w:tcPr>
          <w:p w14:paraId="2F42664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43</w:t>
            </w:r>
          </w:p>
        </w:tc>
        <w:tc>
          <w:tcPr>
            <w:tcW w:w="521" w:type="pct"/>
            <w:tcBorders>
              <w:tl2br w:val="nil"/>
              <w:tr2bl w:val="nil"/>
            </w:tcBorders>
            <w:vAlign w:val="center"/>
          </w:tcPr>
          <w:p w14:paraId="4228ED3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41</w:t>
            </w:r>
          </w:p>
        </w:tc>
        <w:tc>
          <w:tcPr>
            <w:tcW w:w="521" w:type="pct"/>
            <w:tcBorders>
              <w:tl2br w:val="nil"/>
              <w:tr2bl w:val="nil"/>
            </w:tcBorders>
            <w:vAlign w:val="center"/>
          </w:tcPr>
          <w:p w14:paraId="1EC6440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39</w:t>
            </w:r>
          </w:p>
        </w:tc>
        <w:tc>
          <w:tcPr>
            <w:tcW w:w="521" w:type="pct"/>
            <w:tcBorders>
              <w:tl2br w:val="nil"/>
              <w:tr2bl w:val="nil"/>
            </w:tcBorders>
            <w:vAlign w:val="center"/>
          </w:tcPr>
          <w:p w14:paraId="3DC7144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37</w:t>
            </w:r>
          </w:p>
        </w:tc>
      </w:tr>
      <w:tr w14:paraId="4FF9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1C525F3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风镐</w:t>
            </w:r>
          </w:p>
        </w:tc>
        <w:tc>
          <w:tcPr>
            <w:tcW w:w="418" w:type="pct"/>
            <w:tcBorders>
              <w:tl2br w:val="nil"/>
              <w:tr2bl w:val="nil"/>
            </w:tcBorders>
            <w:vAlign w:val="center"/>
          </w:tcPr>
          <w:p w14:paraId="7ACE10F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72</w:t>
            </w:r>
          </w:p>
        </w:tc>
        <w:tc>
          <w:tcPr>
            <w:tcW w:w="521" w:type="pct"/>
            <w:tcBorders>
              <w:tl2br w:val="nil"/>
              <w:tr2bl w:val="nil"/>
            </w:tcBorders>
            <w:vAlign w:val="center"/>
          </w:tcPr>
          <w:p w14:paraId="67E8163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66</w:t>
            </w:r>
          </w:p>
        </w:tc>
        <w:tc>
          <w:tcPr>
            <w:tcW w:w="521" w:type="pct"/>
            <w:tcBorders>
              <w:tl2br w:val="nil"/>
              <w:tr2bl w:val="nil"/>
            </w:tcBorders>
            <w:vAlign w:val="center"/>
          </w:tcPr>
          <w:p w14:paraId="670D1E1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62</w:t>
            </w:r>
          </w:p>
        </w:tc>
        <w:tc>
          <w:tcPr>
            <w:tcW w:w="521" w:type="pct"/>
            <w:tcBorders>
              <w:tl2br w:val="nil"/>
              <w:tr2bl w:val="nil"/>
            </w:tcBorders>
            <w:vAlign w:val="center"/>
          </w:tcPr>
          <w:p w14:paraId="6594883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6CA9C24B">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5A9AA71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10610B2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r>
      <w:tr w14:paraId="3F5C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7C410B8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混凝土输送泵</w:t>
            </w:r>
          </w:p>
        </w:tc>
        <w:tc>
          <w:tcPr>
            <w:tcW w:w="418" w:type="pct"/>
            <w:tcBorders>
              <w:tl2br w:val="nil"/>
              <w:tr2bl w:val="nil"/>
            </w:tcBorders>
            <w:vAlign w:val="center"/>
          </w:tcPr>
          <w:p w14:paraId="7B2830A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75</w:t>
            </w:r>
          </w:p>
        </w:tc>
        <w:tc>
          <w:tcPr>
            <w:tcW w:w="521" w:type="pct"/>
            <w:tcBorders>
              <w:tl2br w:val="nil"/>
              <w:tr2bl w:val="nil"/>
            </w:tcBorders>
            <w:vAlign w:val="center"/>
          </w:tcPr>
          <w:p w14:paraId="7853AE4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69</w:t>
            </w:r>
          </w:p>
        </w:tc>
        <w:tc>
          <w:tcPr>
            <w:tcW w:w="521" w:type="pct"/>
            <w:tcBorders>
              <w:tl2br w:val="nil"/>
              <w:tr2bl w:val="nil"/>
            </w:tcBorders>
            <w:vAlign w:val="center"/>
          </w:tcPr>
          <w:p w14:paraId="15DD8AB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65</w:t>
            </w:r>
          </w:p>
        </w:tc>
        <w:tc>
          <w:tcPr>
            <w:tcW w:w="521" w:type="pct"/>
            <w:tcBorders>
              <w:tl2br w:val="nil"/>
              <w:tr2bl w:val="nil"/>
            </w:tcBorders>
            <w:vAlign w:val="center"/>
          </w:tcPr>
          <w:p w14:paraId="037BC54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63</w:t>
            </w:r>
          </w:p>
        </w:tc>
        <w:tc>
          <w:tcPr>
            <w:tcW w:w="521" w:type="pct"/>
            <w:tcBorders>
              <w:tl2br w:val="nil"/>
              <w:tr2bl w:val="nil"/>
            </w:tcBorders>
            <w:vAlign w:val="center"/>
          </w:tcPr>
          <w:p w14:paraId="251AF94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61</w:t>
            </w:r>
          </w:p>
        </w:tc>
        <w:tc>
          <w:tcPr>
            <w:tcW w:w="521" w:type="pct"/>
            <w:tcBorders>
              <w:tl2br w:val="nil"/>
              <w:tr2bl w:val="nil"/>
            </w:tcBorders>
            <w:vAlign w:val="center"/>
          </w:tcPr>
          <w:p w14:paraId="34B2DF7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59</w:t>
            </w:r>
          </w:p>
        </w:tc>
        <w:tc>
          <w:tcPr>
            <w:tcW w:w="521" w:type="pct"/>
            <w:tcBorders>
              <w:tl2br w:val="nil"/>
              <w:tr2bl w:val="nil"/>
            </w:tcBorders>
            <w:vAlign w:val="center"/>
          </w:tcPr>
          <w:p w14:paraId="3B2A066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57</w:t>
            </w:r>
          </w:p>
        </w:tc>
      </w:tr>
      <w:tr w14:paraId="6E5D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2072260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商砼搅拌车</w:t>
            </w:r>
          </w:p>
        </w:tc>
        <w:tc>
          <w:tcPr>
            <w:tcW w:w="418" w:type="pct"/>
            <w:tcBorders>
              <w:tl2br w:val="nil"/>
              <w:tr2bl w:val="nil"/>
            </w:tcBorders>
            <w:vAlign w:val="center"/>
          </w:tcPr>
          <w:p w14:paraId="5C2D1A0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0581414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c>
          <w:tcPr>
            <w:tcW w:w="521" w:type="pct"/>
            <w:tcBorders>
              <w:tl2br w:val="nil"/>
              <w:tr2bl w:val="nil"/>
            </w:tcBorders>
            <w:vAlign w:val="center"/>
          </w:tcPr>
          <w:p w14:paraId="7CA9EEE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4C0621B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3C98D7F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634F98C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36D2741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r>
      <w:tr w14:paraId="2DE3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27A0CC2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混凝土振捣器</w:t>
            </w:r>
          </w:p>
        </w:tc>
        <w:tc>
          <w:tcPr>
            <w:tcW w:w="418" w:type="pct"/>
            <w:tcBorders>
              <w:tl2br w:val="nil"/>
              <w:tr2bl w:val="nil"/>
            </w:tcBorders>
            <w:vAlign w:val="center"/>
          </w:tcPr>
          <w:p w14:paraId="731AE106">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68</w:t>
            </w:r>
          </w:p>
        </w:tc>
        <w:tc>
          <w:tcPr>
            <w:tcW w:w="521" w:type="pct"/>
            <w:tcBorders>
              <w:tl2br w:val="nil"/>
              <w:tr2bl w:val="nil"/>
            </w:tcBorders>
            <w:vAlign w:val="center"/>
          </w:tcPr>
          <w:p w14:paraId="02CCECB2">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62</w:t>
            </w:r>
          </w:p>
        </w:tc>
        <w:tc>
          <w:tcPr>
            <w:tcW w:w="521" w:type="pct"/>
            <w:tcBorders>
              <w:tl2br w:val="nil"/>
              <w:tr2bl w:val="nil"/>
            </w:tcBorders>
            <w:vAlign w:val="center"/>
          </w:tcPr>
          <w:p w14:paraId="11B31CB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70088515">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2492550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c>
          <w:tcPr>
            <w:tcW w:w="521" w:type="pct"/>
            <w:tcBorders>
              <w:tl2br w:val="nil"/>
              <w:tr2bl w:val="nil"/>
            </w:tcBorders>
            <w:vAlign w:val="center"/>
          </w:tcPr>
          <w:p w14:paraId="308F2E2F">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52</w:t>
            </w:r>
          </w:p>
        </w:tc>
        <w:tc>
          <w:tcPr>
            <w:tcW w:w="521" w:type="pct"/>
            <w:tcBorders>
              <w:tl2br w:val="nil"/>
              <w:tr2bl w:val="nil"/>
            </w:tcBorders>
            <w:vAlign w:val="center"/>
          </w:tcPr>
          <w:p w14:paraId="77271C18">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50</w:t>
            </w:r>
          </w:p>
        </w:tc>
      </w:tr>
      <w:tr w14:paraId="43B8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29D854A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云石机、角磨机</w:t>
            </w:r>
          </w:p>
        </w:tc>
        <w:tc>
          <w:tcPr>
            <w:tcW w:w="418" w:type="pct"/>
            <w:tcBorders>
              <w:tl2br w:val="nil"/>
              <w:tr2bl w:val="nil"/>
            </w:tcBorders>
            <w:vAlign w:val="center"/>
          </w:tcPr>
          <w:p w14:paraId="4A11708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76</w:t>
            </w:r>
          </w:p>
        </w:tc>
        <w:tc>
          <w:tcPr>
            <w:tcW w:w="521" w:type="pct"/>
            <w:tcBorders>
              <w:tl2br w:val="nil"/>
              <w:tr2bl w:val="nil"/>
            </w:tcBorders>
            <w:vAlign w:val="center"/>
          </w:tcPr>
          <w:p w14:paraId="562195B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70</w:t>
            </w:r>
          </w:p>
        </w:tc>
        <w:tc>
          <w:tcPr>
            <w:tcW w:w="521" w:type="pct"/>
            <w:tcBorders>
              <w:tl2br w:val="nil"/>
              <w:tr2bl w:val="nil"/>
            </w:tcBorders>
            <w:vAlign w:val="center"/>
          </w:tcPr>
          <w:p w14:paraId="11035D6E">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66</w:t>
            </w:r>
          </w:p>
        </w:tc>
        <w:tc>
          <w:tcPr>
            <w:tcW w:w="521" w:type="pct"/>
            <w:tcBorders>
              <w:tl2br w:val="nil"/>
              <w:tr2bl w:val="nil"/>
            </w:tcBorders>
            <w:vAlign w:val="center"/>
          </w:tcPr>
          <w:p w14:paraId="464FBFB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64</w:t>
            </w:r>
          </w:p>
        </w:tc>
        <w:tc>
          <w:tcPr>
            <w:tcW w:w="521" w:type="pct"/>
            <w:tcBorders>
              <w:tl2br w:val="nil"/>
              <w:tr2bl w:val="nil"/>
            </w:tcBorders>
            <w:vAlign w:val="center"/>
          </w:tcPr>
          <w:p w14:paraId="6061C7F7">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62</w:t>
            </w:r>
          </w:p>
        </w:tc>
        <w:tc>
          <w:tcPr>
            <w:tcW w:w="521" w:type="pct"/>
            <w:tcBorders>
              <w:tl2br w:val="nil"/>
              <w:tr2bl w:val="nil"/>
            </w:tcBorders>
            <w:vAlign w:val="center"/>
          </w:tcPr>
          <w:p w14:paraId="05B39D3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50D85C6A">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r>
      <w:tr w14:paraId="4D47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2" w:type="pct"/>
            <w:tcBorders>
              <w:tl2br w:val="nil"/>
              <w:tr2bl w:val="nil"/>
            </w:tcBorders>
            <w:vAlign w:val="center"/>
          </w:tcPr>
          <w:p w14:paraId="02AA6843">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空压机</w:t>
            </w:r>
          </w:p>
        </w:tc>
        <w:tc>
          <w:tcPr>
            <w:tcW w:w="418" w:type="pct"/>
            <w:tcBorders>
              <w:tl2br w:val="nil"/>
              <w:tr2bl w:val="nil"/>
            </w:tcBorders>
            <w:vAlign w:val="center"/>
          </w:tcPr>
          <w:p w14:paraId="375E5D3C">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72</w:t>
            </w:r>
          </w:p>
        </w:tc>
        <w:tc>
          <w:tcPr>
            <w:tcW w:w="521" w:type="pct"/>
            <w:tcBorders>
              <w:tl2br w:val="nil"/>
              <w:tr2bl w:val="nil"/>
            </w:tcBorders>
            <w:vAlign w:val="center"/>
          </w:tcPr>
          <w:p w14:paraId="240DF57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66</w:t>
            </w:r>
          </w:p>
        </w:tc>
        <w:tc>
          <w:tcPr>
            <w:tcW w:w="521" w:type="pct"/>
            <w:tcBorders>
              <w:tl2br w:val="nil"/>
              <w:tr2bl w:val="nil"/>
            </w:tcBorders>
            <w:vAlign w:val="center"/>
          </w:tcPr>
          <w:p w14:paraId="70004EE9">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62</w:t>
            </w:r>
          </w:p>
        </w:tc>
        <w:tc>
          <w:tcPr>
            <w:tcW w:w="521" w:type="pct"/>
            <w:tcBorders>
              <w:tl2br w:val="nil"/>
              <w:tr2bl w:val="nil"/>
            </w:tcBorders>
            <w:vAlign w:val="center"/>
          </w:tcPr>
          <w:p w14:paraId="0F426A40">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60</w:t>
            </w:r>
          </w:p>
        </w:tc>
        <w:tc>
          <w:tcPr>
            <w:tcW w:w="521" w:type="pct"/>
            <w:tcBorders>
              <w:tl2br w:val="nil"/>
              <w:tr2bl w:val="nil"/>
            </w:tcBorders>
            <w:vAlign w:val="center"/>
          </w:tcPr>
          <w:p w14:paraId="1E05B974">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58</w:t>
            </w:r>
          </w:p>
        </w:tc>
        <w:tc>
          <w:tcPr>
            <w:tcW w:w="521" w:type="pct"/>
            <w:tcBorders>
              <w:tl2br w:val="nil"/>
              <w:tr2bl w:val="nil"/>
            </w:tcBorders>
            <w:vAlign w:val="center"/>
          </w:tcPr>
          <w:p w14:paraId="180134ED">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56</w:t>
            </w:r>
          </w:p>
        </w:tc>
        <w:tc>
          <w:tcPr>
            <w:tcW w:w="521" w:type="pct"/>
            <w:tcBorders>
              <w:tl2br w:val="nil"/>
              <w:tr2bl w:val="nil"/>
            </w:tcBorders>
            <w:vAlign w:val="center"/>
          </w:tcPr>
          <w:p w14:paraId="6438CCA1">
            <w:pPr>
              <w:widowControl/>
              <w:adjustRightInd w:val="0"/>
              <w:snapToGrid w:val="0"/>
              <w:jc w:val="center"/>
              <w:rPr>
                <w:rFonts w:eastAsia="Times New Roman"/>
                <w:snapToGrid w:val="0"/>
                <w:color w:val="auto"/>
                <w:kern w:val="0"/>
                <w:szCs w:val="21"/>
                <w:highlight w:val="none"/>
              </w:rPr>
            </w:pPr>
            <w:r>
              <w:rPr>
                <w:rFonts w:hint="eastAsia" w:eastAsia="Times New Roman"/>
                <w:snapToGrid w:val="0"/>
                <w:color w:val="auto"/>
                <w:kern w:val="0"/>
                <w:szCs w:val="21"/>
                <w:highlight w:val="none"/>
              </w:rPr>
              <w:t>54</w:t>
            </w:r>
          </w:p>
        </w:tc>
      </w:tr>
    </w:tbl>
    <w:p w14:paraId="481FEF65">
      <w:pPr>
        <w:pStyle w:val="23"/>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rPr>
        <w:t>由表</w:t>
      </w:r>
      <w:r>
        <w:rPr>
          <w:rFonts w:ascii="Times New Roman" w:hAnsi="Times New Roman" w:eastAsia="宋体" w:cs="Times New Roman"/>
          <w:snapToGrid w:val="0"/>
          <w:color w:val="auto"/>
          <w:szCs w:val="24"/>
          <w:highlight w:val="none"/>
        </w:rPr>
        <w:t>6.1-5</w:t>
      </w:r>
      <w:r>
        <w:rPr>
          <w:rFonts w:hint="default" w:ascii="Times New Roman" w:hAnsi="Times New Roman" w:eastAsia="宋体" w:cs="Times New Roman"/>
          <w:snapToGrid w:val="0"/>
          <w:color w:val="auto"/>
          <w:szCs w:val="24"/>
          <w:highlight w:val="none"/>
        </w:rPr>
        <w:t>可以看出，</w:t>
      </w:r>
      <w:r>
        <w:rPr>
          <w:rFonts w:ascii="Times New Roman" w:hAnsi="Times New Roman" w:eastAsia="宋体" w:cs="Times New Roman"/>
          <w:snapToGrid w:val="0"/>
          <w:color w:val="auto"/>
          <w:szCs w:val="24"/>
          <w:highlight w:val="none"/>
        </w:rPr>
        <w:t>项目区距离西厂界约10m，施工期噪声存在</w:t>
      </w:r>
      <w:r>
        <w:rPr>
          <w:rFonts w:hint="default" w:ascii="Times New Roman" w:hAnsi="Times New Roman" w:eastAsia="宋体" w:cs="Times New Roman"/>
          <w:snapToGrid w:val="0"/>
          <w:color w:val="auto"/>
          <w:szCs w:val="24"/>
          <w:highlight w:val="none"/>
        </w:rPr>
        <w:t>超标。</w:t>
      </w:r>
    </w:p>
    <w:p w14:paraId="1FA31796">
      <w:pPr>
        <w:pStyle w:val="15"/>
        <w:keepNext w:val="0"/>
        <w:keepLines w:val="0"/>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Times New Roman" w:hAnsi="Times New Roman" w:eastAsia="宋体" w:cs="Times New Roman"/>
          <w:snapToGrid w:val="0"/>
          <w:color w:val="auto"/>
          <w:spacing w:val="-6"/>
          <w:kern w:val="0"/>
          <w:sz w:val="24"/>
          <w:highlight w:val="none"/>
          <w:lang w:val="en-US" w:eastAsia="zh-CN"/>
        </w:rPr>
      </w:pPr>
      <w:r>
        <w:rPr>
          <w:rFonts w:hint="eastAsia" w:ascii="Times New Roman" w:hAnsi="Times New Roman" w:eastAsia="宋体" w:cs="Times New Roman"/>
          <w:snapToGrid w:val="0"/>
          <w:color w:val="auto"/>
          <w:spacing w:val="-6"/>
          <w:kern w:val="0"/>
          <w:sz w:val="24"/>
          <w:highlight w:val="none"/>
          <w:lang w:val="en-US" w:eastAsia="zh-CN"/>
        </w:rPr>
        <w:t>根据现场调查，项目区周围无居民区，在建设过程中只有施工人员。因此，施工阶段对周围环境无大的不利影响。施工阶段使用中高噪声机械设备，要严格遵守当地环保管理部门制定的施工工地噪声作业规定及要求，并在午休时间和夜间休息时间停止施工，积极采取相应措施降低施工噪声，不会对自身人员造成噪声危害。</w:t>
      </w:r>
    </w:p>
    <w:p w14:paraId="7FAB647D">
      <w:pPr>
        <w:pStyle w:val="23"/>
        <w:spacing w:line="360" w:lineRule="auto"/>
        <w:ind w:firstLine="480" w:firstLineChars="200"/>
        <w:rPr>
          <w:rFonts w:hint="default" w:ascii="Times New Roman" w:cs="Times New Roman"/>
          <w:color w:val="auto"/>
          <w:kern w:val="24"/>
          <w:highlight w:val="none"/>
        </w:rPr>
      </w:pPr>
      <w:r>
        <w:rPr>
          <w:rFonts w:ascii="Times New Roman" w:cs="Times New Roman"/>
          <w:color w:val="auto"/>
          <w:kern w:val="24"/>
          <w:highlight w:val="none"/>
        </w:rPr>
        <w:t>（3）施工噪声防治措施</w:t>
      </w:r>
    </w:p>
    <w:p w14:paraId="0DEFCE13">
      <w:pPr>
        <w:pStyle w:val="23"/>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hint="default" w:ascii="Times New Roman" w:cs="Times New Roman"/>
          <w:color w:val="auto"/>
          <w:kern w:val="24"/>
          <w:highlight w:val="none"/>
        </w:rPr>
        <w:t>本项目施工过程中噪声会对周围环境产生一定的影响。为了控制施工期噪声的影响，本次评价提出如下噪声</w:t>
      </w:r>
      <w:r>
        <w:rPr>
          <w:rFonts w:ascii="Times New Roman" w:cs="Times New Roman"/>
          <w:color w:val="auto"/>
          <w:kern w:val="24"/>
          <w:highlight w:val="none"/>
        </w:rPr>
        <w:t>防治措施</w:t>
      </w:r>
      <w:r>
        <w:rPr>
          <w:rFonts w:hint="default" w:ascii="Times New Roman" w:cs="Times New Roman"/>
          <w:color w:val="auto"/>
          <w:kern w:val="24"/>
          <w:highlight w:val="none"/>
        </w:rPr>
        <w:t>：</w:t>
      </w:r>
    </w:p>
    <w:p w14:paraId="1A3A9D05">
      <w:pPr>
        <w:pStyle w:val="23"/>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hint="default" w:ascii="Times New Roman" w:hAnsi="Times New Roman" w:cs="Times New Roman"/>
          <w:color w:val="auto"/>
          <w:kern w:val="24"/>
          <w:highlight w:val="none"/>
        </w:rPr>
        <w:t>1</w:t>
      </w:r>
      <w:r>
        <w:rPr>
          <w:rFonts w:hint="default" w:ascii="Times New Roman" w:cs="Times New Roman"/>
          <w:color w:val="auto"/>
          <w:kern w:val="24"/>
          <w:highlight w:val="none"/>
        </w:rPr>
        <w:t>）合理布置施工场地，安排施工方式，控制环境噪声污染。</w:t>
      </w:r>
    </w:p>
    <w:p w14:paraId="56157300">
      <w:pPr>
        <w:pStyle w:val="23"/>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hint="default" w:ascii="Times New Roman" w:hAnsi="Times New Roman" w:cs="Times New Roman"/>
          <w:color w:val="auto"/>
          <w:kern w:val="24"/>
          <w:highlight w:val="none"/>
        </w:rPr>
        <w:t>2</w:t>
      </w:r>
      <w:r>
        <w:rPr>
          <w:rFonts w:hint="default" w:ascii="Times New Roman" w:cs="Times New Roman"/>
          <w:color w:val="auto"/>
          <w:kern w:val="24"/>
          <w:highlight w:val="none"/>
        </w:rPr>
        <w:t>）选用低噪声施工机械，严格限制或禁止使用高噪声设备；</w:t>
      </w:r>
    </w:p>
    <w:p w14:paraId="45F98CD6">
      <w:pPr>
        <w:pStyle w:val="23"/>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ascii="Times New Roman" w:hAnsi="Times New Roman" w:cs="Times New Roman"/>
          <w:color w:val="auto"/>
          <w:kern w:val="24"/>
          <w:highlight w:val="none"/>
        </w:rPr>
        <w:t>3</w:t>
      </w:r>
      <w:r>
        <w:rPr>
          <w:rFonts w:hint="default" w:ascii="Times New Roman" w:cs="Times New Roman"/>
          <w:color w:val="auto"/>
          <w:kern w:val="24"/>
          <w:highlight w:val="none"/>
        </w:rPr>
        <w:t>）严格操作规程，加强施工机械管理，降低人为噪声影响。</w:t>
      </w:r>
    </w:p>
    <w:p w14:paraId="77AD75EE">
      <w:pPr>
        <w:pStyle w:val="23"/>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ascii="Times New Roman" w:hAnsi="Times New Roman" w:cs="Times New Roman"/>
          <w:color w:val="auto"/>
          <w:kern w:val="24"/>
          <w:highlight w:val="none"/>
        </w:rPr>
        <w:t>4</w:t>
      </w:r>
      <w:r>
        <w:rPr>
          <w:rFonts w:hint="default" w:ascii="Times New Roman" w:cs="Times New Roman"/>
          <w:color w:val="auto"/>
          <w:kern w:val="24"/>
          <w:highlight w:val="none"/>
        </w:rPr>
        <w:t>）采取有效的隔音、基础减振、消声措施，降低噪声级。</w:t>
      </w:r>
    </w:p>
    <w:p w14:paraId="11141EF4">
      <w:pPr>
        <w:pStyle w:val="23"/>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ascii="Times New Roman" w:hAnsi="Times New Roman" w:cs="Times New Roman"/>
          <w:color w:val="auto"/>
          <w:kern w:val="24"/>
          <w:highlight w:val="none"/>
        </w:rPr>
        <w:t>5</w:t>
      </w:r>
      <w:r>
        <w:rPr>
          <w:rFonts w:hint="default" w:ascii="Times New Roman" w:cs="Times New Roman"/>
          <w:color w:val="auto"/>
          <w:kern w:val="24"/>
          <w:highlight w:val="none"/>
        </w:rPr>
        <w:t>）合理安排工期，严格控制施工时段。</w:t>
      </w:r>
    </w:p>
    <w:p w14:paraId="276F403B">
      <w:pPr>
        <w:pStyle w:val="23"/>
        <w:autoSpaceDE/>
        <w:autoSpaceDN/>
        <w:snapToGrid w:val="0"/>
        <w:spacing w:line="360" w:lineRule="auto"/>
        <w:ind w:firstLine="480" w:firstLineChars="200"/>
        <w:rPr>
          <w:rFonts w:hint="default" w:ascii="Times New Roman" w:hAnsi="Times New Roman" w:eastAsia="宋体" w:cs="Times New Roman"/>
          <w:color w:val="auto"/>
          <w:kern w:val="24"/>
          <w:szCs w:val="24"/>
          <w:highlight w:val="none"/>
        </w:rPr>
      </w:pPr>
      <w:r>
        <w:rPr>
          <w:rFonts w:ascii="Times New Roman" w:hAnsi="Times New Roman" w:eastAsia="宋体" w:cs="Times New Roman"/>
          <w:color w:val="auto"/>
          <w:kern w:val="24"/>
          <w:szCs w:val="24"/>
          <w:highlight w:val="none"/>
        </w:rPr>
        <w:t>6</w:t>
      </w:r>
      <w:r>
        <w:rPr>
          <w:rFonts w:hint="default" w:ascii="Times New Roman" w:hAnsi="Times New Roman" w:eastAsia="宋体" w:cs="Times New Roman"/>
          <w:color w:val="auto"/>
          <w:kern w:val="24"/>
          <w:szCs w:val="24"/>
          <w:highlight w:val="none"/>
        </w:rPr>
        <w:t>）限制作业时间，禁止夜间施工，避免造成环境噪声污染。</w:t>
      </w:r>
    </w:p>
    <w:p w14:paraId="4B327930">
      <w:pPr>
        <w:pStyle w:val="23"/>
        <w:widowControl/>
        <w:autoSpaceDE/>
        <w:autoSpaceDN/>
        <w:snapToGrid w:val="0"/>
        <w:spacing w:line="360" w:lineRule="auto"/>
        <w:ind w:firstLine="480" w:firstLineChars="200"/>
        <w:rPr>
          <w:rFonts w:hint="default" w:ascii="Times New Roman" w:hAnsi="Times New Roman" w:cs="Times New Roman"/>
          <w:color w:val="auto"/>
          <w:kern w:val="24"/>
          <w:highlight w:val="none"/>
        </w:rPr>
      </w:pPr>
      <w:r>
        <w:rPr>
          <w:rFonts w:ascii="Times New Roman" w:hAnsi="Times New Roman" w:cs="Times New Roman"/>
          <w:color w:val="auto"/>
          <w:kern w:val="24"/>
          <w:highlight w:val="none"/>
        </w:rPr>
        <w:t>因本项目距离西侧厂界约10m，施工期西侧厂界噪声存在超标，项目区周围无居民区，在建设过程中只有施工人员，采取相应措施降低施工噪声，增加人员防护，对人员影响较小。</w:t>
      </w:r>
    </w:p>
    <w:bookmarkEnd w:id="123"/>
    <w:p w14:paraId="5804641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124" w:name="_Toc245882765"/>
      <w:bookmarkStart w:id="125" w:name="_Toc395138417"/>
      <w:bookmarkStart w:id="126" w:name="_Toc454899372"/>
      <w:r>
        <w:rPr>
          <w:rFonts w:hint="eastAsia" w:ascii="Times New Roman" w:hAnsi="Times New Roman" w:cs="Times New Roman"/>
          <w:snapToGrid w:val="0"/>
          <w:color w:val="auto"/>
          <w:spacing w:val="0"/>
          <w:kern w:val="0"/>
          <w:szCs w:val="24"/>
          <w:highlight w:val="none"/>
          <w:lang w:val="en-US" w:eastAsia="zh-CN"/>
        </w:rPr>
        <w:t>6.1.4施工期固体废物对环境影响分析</w:t>
      </w:r>
      <w:bookmarkEnd w:id="124"/>
      <w:bookmarkEnd w:id="125"/>
      <w:bookmarkEnd w:id="126"/>
      <w:r>
        <w:rPr>
          <w:rFonts w:hint="eastAsia" w:ascii="Times New Roman" w:hAnsi="Times New Roman" w:cs="Times New Roman"/>
          <w:snapToGrid w:val="0"/>
          <w:color w:val="auto"/>
          <w:spacing w:val="0"/>
          <w:kern w:val="0"/>
          <w:szCs w:val="24"/>
          <w:highlight w:val="none"/>
          <w:lang w:val="en-US" w:eastAsia="zh-CN"/>
        </w:rPr>
        <w:t>与评价</w:t>
      </w:r>
    </w:p>
    <w:p w14:paraId="5D300AE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施工过程中固体废物主要为项目产生的建筑垃圾及施工人员生活垃圾。</w:t>
      </w:r>
    </w:p>
    <w:p w14:paraId="65F0182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w:t>
      </w:r>
      <w:r>
        <w:rPr>
          <w:snapToGrid w:val="0"/>
          <w:color w:val="auto"/>
          <w:kern w:val="0"/>
          <w:sz w:val="24"/>
          <w:highlight w:val="none"/>
        </w:rPr>
        <w:t>1</w:t>
      </w:r>
      <w:r>
        <w:rPr>
          <w:rFonts w:hint="eastAsia"/>
          <w:snapToGrid w:val="0"/>
          <w:color w:val="auto"/>
          <w:kern w:val="0"/>
          <w:sz w:val="24"/>
          <w:highlight w:val="none"/>
        </w:rPr>
        <w:t>）建筑垃圾</w:t>
      </w:r>
    </w:p>
    <w:p w14:paraId="5462338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项目施工过程主要包括地面平整、厂房建设、设备搬运安装等过程。地面平整工程会产生工程渣土等；厂房建设及设备搬运安装过程会产生工程</w:t>
      </w:r>
      <w:r>
        <w:rPr>
          <w:snapToGrid w:val="0"/>
          <w:color w:val="auto"/>
          <w:kern w:val="0"/>
          <w:sz w:val="24"/>
          <w:highlight w:val="none"/>
        </w:rPr>
        <w:t>弃料、废混凝土块、</w:t>
      </w:r>
      <w:r>
        <w:rPr>
          <w:rFonts w:hint="eastAsia"/>
          <w:snapToGrid w:val="0"/>
          <w:color w:val="auto"/>
          <w:kern w:val="0"/>
          <w:sz w:val="24"/>
          <w:highlight w:val="none"/>
        </w:rPr>
        <w:t>废</w:t>
      </w:r>
      <w:r>
        <w:rPr>
          <w:snapToGrid w:val="0"/>
          <w:color w:val="auto"/>
          <w:kern w:val="0"/>
          <w:sz w:val="24"/>
          <w:highlight w:val="none"/>
        </w:rPr>
        <w:t>钢筋、</w:t>
      </w:r>
      <w:r>
        <w:rPr>
          <w:rFonts w:hint="eastAsia"/>
          <w:snapToGrid w:val="0"/>
          <w:color w:val="auto"/>
          <w:kern w:val="0"/>
          <w:sz w:val="24"/>
          <w:highlight w:val="none"/>
        </w:rPr>
        <w:t>各种废钢配件、金属管线废料、废纸板箱、废金属捆扎带、废木材等。</w:t>
      </w:r>
    </w:p>
    <w:p w14:paraId="596DCCD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项目施工中产生的建筑垃圾采用分类收集的方式进行收集，对可再生利用部分收集后交废物收购站处理，不可再生部分收集后清运至城市管理主管部门指定的建筑垃圾填埋场填埋。</w:t>
      </w:r>
    </w:p>
    <w:p w14:paraId="489DB52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（2）生活垃圾</w:t>
      </w:r>
    </w:p>
    <w:p w14:paraId="0704E69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高峰时施工人员按100人计算，生活垃圾按每人每天产生量0.5kg计算，产生量为50kg/d，生活垃圾经分类、统一收集后集中存放，委托环卫部门清运处理。</w:t>
      </w:r>
    </w:p>
    <w:p w14:paraId="33DDAE28">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ascii="Times New Roman" w:hAnsi="Times New Roman" w:eastAsia="宋体" w:cs="Times New Roman"/>
          <w:snapToGrid w:val="0"/>
          <w:color w:val="auto"/>
          <w:szCs w:val="24"/>
          <w:highlight w:val="none"/>
        </w:rPr>
        <w:t>综上，项目施工期固废去向明确、合理处置，对环境影响较小。</w:t>
      </w:r>
    </w:p>
    <w:p w14:paraId="40B1BC5D">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6.1.5施工期生态环境影响分析与评价</w:t>
      </w:r>
    </w:p>
    <w:p w14:paraId="2943798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6.1.5.1占地影响</w:t>
      </w:r>
    </w:p>
    <w:p w14:paraId="05764D1D">
      <w:pPr>
        <w:pStyle w:val="23"/>
        <w:widowControl/>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hint="default" w:ascii="Times New Roman" w:hAnsi="Times New Roman" w:eastAsia="宋体" w:cs="Times New Roman"/>
          <w:snapToGrid w:val="0"/>
          <w:color w:val="auto"/>
          <w:szCs w:val="24"/>
          <w:highlight w:val="none"/>
          <w:lang w:val="zh-TW"/>
        </w:rPr>
        <w:t>项目占地包括永久性占地和临时性占用，永久性占地改变了原有土地使用功能，原有植被大部分不复存在。施工作业时的临时占地，由于施工人员及施工机械对地表植被的践踏、碾压等外力因素，破坏了原有土壤结构及性能，降低了</w:t>
      </w:r>
      <w:r>
        <w:rPr>
          <w:rFonts w:ascii="Times New Roman" w:hAnsi="Times New Roman" w:eastAsia="宋体" w:cs="Times New Roman"/>
          <w:snapToGrid w:val="0"/>
          <w:color w:val="auto"/>
          <w:szCs w:val="24"/>
          <w:highlight w:val="none"/>
          <w:lang w:val="zh-TW"/>
        </w:rPr>
        <w:t>土壤肥力，</w:t>
      </w:r>
      <w:r>
        <w:rPr>
          <w:rFonts w:hint="default" w:ascii="Times New Roman" w:hAnsi="Times New Roman" w:eastAsia="宋体" w:cs="Times New Roman"/>
          <w:snapToGrid w:val="0"/>
          <w:color w:val="auto"/>
          <w:szCs w:val="24"/>
          <w:highlight w:val="none"/>
          <w:lang w:val="zh-TW"/>
        </w:rPr>
        <w:t>严重影响了原有的地表形态、土壤结构和理化性质，在项目结束后也难以恢复原有形态及生产力。</w:t>
      </w:r>
      <w:r>
        <w:rPr>
          <w:rFonts w:ascii="Times New Roman" w:hAnsi="Times New Roman" w:eastAsia="宋体" w:cs="Times New Roman"/>
          <w:snapToGrid w:val="0"/>
          <w:color w:val="auto"/>
          <w:szCs w:val="24"/>
          <w:highlight w:val="none"/>
        </w:rPr>
        <w:t>但临时性占地的影响是暂时的，施工结束后，可以消除影响，恢复土地的原有功能。</w:t>
      </w:r>
    </w:p>
    <w:p w14:paraId="4B63A64A">
      <w:pPr>
        <w:pStyle w:val="23"/>
        <w:widowControl/>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lang w:val="zh-TW"/>
        </w:rPr>
      </w:pPr>
      <w:r>
        <w:rPr>
          <w:rFonts w:hint="default" w:ascii="Times New Roman" w:hAnsi="Times New Roman" w:eastAsia="宋体" w:cs="Times New Roman"/>
          <w:snapToGrid w:val="0"/>
          <w:color w:val="auto"/>
          <w:szCs w:val="24"/>
          <w:highlight w:val="none"/>
          <w:lang w:val="zh-TW"/>
        </w:rPr>
        <w:t>施工期前对有肥力的剥离表层土分层堆放并保存好，采取分层开挖、分层堆放、分层填埋等措施后，对土壤环境影响较小。</w:t>
      </w:r>
    </w:p>
    <w:p w14:paraId="1F397AF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6.1.5.2对植被的影响分析</w:t>
      </w:r>
    </w:p>
    <w:p w14:paraId="3AEE5C6C">
      <w:pPr>
        <w:widowControl/>
        <w:adjustRightInd w:val="0"/>
        <w:snapToGrid w:val="0"/>
        <w:spacing w:line="360" w:lineRule="auto"/>
        <w:ind w:firstLine="480" w:firstLineChars="200"/>
        <w:rPr>
          <w:color w:val="auto"/>
          <w:kern w:val="0"/>
          <w:sz w:val="24"/>
          <w:highlight w:val="none"/>
        </w:rPr>
      </w:pPr>
      <w:r>
        <w:rPr>
          <w:color w:val="auto"/>
          <w:kern w:val="0"/>
          <w:sz w:val="24"/>
          <w:highlight w:val="none"/>
          <w:lang w:val="zh-TW"/>
        </w:rPr>
        <w:t>项目</w:t>
      </w:r>
      <w:r>
        <w:rPr>
          <w:rFonts w:hint="eastAsia"/>
          <w:color w:val="auto"/>
          <w:kern w:val="0"/>
          <w:sz w:val="24"/>
          <w:highlight w:val="none"/>
        </w:rPr>
        <w:t>施工期建设</w:t>
      </w:r>
      <w:r>
        <w:rPr>
          <w:color w:val="auto"/>
          <w:kern w:val="0"/>
          <w:sz w:val="24"/>
          <w:highlight w:val="none"/>
          <w:lang w:val="zh-TW"/>
        </w:rPr>
        <w:t>将不可避免</w:t>
      </w:r>
      <w:r>
        <w:rPr>
          <w:rFonts w:hint="eastAsia"/>
          <w:color w:val="auto"/>
          <w:kern w:val="0"/>
          <w:sz w:val="24"/>
          <w:highlight w:val="none"/>
          <w:lang w:val="zh-TW" w:eastAsia="zh-CN"/>
        </w:rPr>
        <w:t>地</w:t>
      </w:r>
      <w:r>
        <w:rPr>
          <w:color w:val="auto"/>
          <w:kern w:val="0"/>
          <w:sz w:val="24"/>
          <w:highlight w:val="none"/>
          <w:lang w:val="zh-TW"/>
        </w:rPr>
        <w:t>破坏、扰动原地形地貌和植被；建设占地对区域植被的破坏是永久性的，这部分植被将永远失去生产能力，从而降低该区域植被覆盖率和生物多样性，造成植被生物量的减少。</w:t>
      </w:r>
      <w:r>
        <w:rPr>
          <w:rFonts w:hint="eastAsia"/>
          <w:color w:val="auto"/>
          <w:kern w:val="0"/>
          <w:sz w:val="24"/>
          <w:highlight w:val="none"/>
        </w:rPr>
        <w:t>同时</w:t>
      </w:r>
      <w:r>
        <w:rPr>
          <w:color w:val="auto"/>
          <w:kern w:val="0"/>
          <w:sz w:val="24"/>
          <w:highlight w:val="none"/>
        </w:rPr>
        <w:t>施工机械与运输车辆的活动及人员</w:t>
      </w:r>
      <w:r>
        <w:rPr>
          <w:rFonts w:hint="eastAsia"/>
          <w:color w:val="auto"/>
          <w:kern w:val="0"/>
          <w:sz w:val="24"/>
          <w:highlight w:val="none"/>
          <w:lang w:eastAsia="zh-CN"/>
        </w:rPr>
        <w:t>踩踏</w:t>
      </w:r>
      <w:r>
        <w:rPr>
          <w:rFonts w:hint="eastAsia"/>
          <w:color w:val="auto"/>
          <w:kern w:val="0"/>
          <w:sz w:val="24"/>
          <w:highlight w:val="none"/>
        </w:rPr>
        <w:t>会对</w:t>
      </w:r>
      <w:r>
        <w:rPr>
          <w:color w:val="auto"/>
          <w:kern w:val="0"/>
          <w:sz w:val="24"/>
          <w:highlight w:val="none"/>
        </w:rPr>
        <w:t>临时占地区域周围的植被</w:t>
      </w:r>
      <w:r>
        <w:rPr>
          <w:rFonts w:hint="eastAsia"/>
          <w:color w:val="auto"/>
          <w:kern w:val="0"/>
          <w:sz w:val="24"/>
          <w:highlight w:val="none"/>
        </w:rPr>
        <w:t>造成</w:t>
      </w:r>
      <w:r>
        <w:rPr>
          <w:color w:val="auto"/>
          <w:kern w:val="0"/>
          <w:sz w:val="24"/>
          <w:highlight w:val="none"/>
        </w:rPr>
        <w:t>不同程度的破坏和影响。</w:t>
      </w:r>
    </w:p>
    <w:p w14:paraId="6F31A99E">
      <w:pPr>
        <w:widowControl/>
        <w:adjustRightInd w:val="0"/>
        <w:snapToGrid w:val="0"/>
        <w:spacing w:line="360" w:lineRule="auto"/>
        <w:ind w:firstLine="480" w:firstLineChars="200"/>
        <w:rPr>
          <w:snapToGrid w:val="0"/>
          <w:color w:val="auto"/>
          <w:kern w:val="0"/>
          <w:sz w:val="24"/>
          <w:highlight w:val="none"/>
        </w:rPr>
      </w:pPr>
      <w:r>
        <w:rPr>
          <w:color w:val="auto"/>
          <w:kern w:val="0"/>
          <w:sz w:val="24"/>
          <w:highlight w:val="none"/>
        </w:rPr>
        <w:t>本项目在</w:t>
      </w:r>
      <w:r>
        <w:rPr>
          <w:rFonts w:hint="eastAsia"/>
          <w:color w:val="auto"/>
          <w:kern w:val="0"/>
          <w:sz w:val="24"/>
          <w:highlight w:val="none"/>
          <w:lang w:val="fr-FR"/>
        </w:rPr>
        <w:t>乌苏市</w:t>
      </w:r>
      <w:r>
        <w:rPr>
          <w:rFonts w:hint="eastAsia"/>
          <w:color w:val="auto"/>
          <w:kern w:val="0"/>
          <w:sz w:val="24"/>
          <w:highlight w:val="none"/>
        </w:rPr>
        <w:t>化工产业集中区凯赛（乌苏）生物材料有限公司</w:t>
      </w:r>
      <w:r>
        <w:rPr>
          <w:color w:val="auto"/>
          <w:kern w:val="0"/>
          <w:sz w:val="24"/>
          <w:highlight w:val="none"/>
        </w:rPr>
        <w:t>厂区</w:t>
      </w:r>
      <w:r>
        <w:rPr>
          <w:rFonts w:hint="eastAsia"/>
          <w:color w:val="auto"/>
          <w:kern w:val="0"/>
          <w:sz w:val="24"/>
          <w:highlight w:val="none"/>
        </w:rPr>
        <w:t>内建设</w:t>
      </w:r>
      <w:r>
        <w:rPr>
          <w:color w:val="auto"/>
          <w:kern w:val="0"/>
          <w:sz w:val="24"/>
          <w:highlight w:val="none"/>
        </w:rPr>
        <w:t>，</w:t>
      </w:r>
      <w:r>
        <w:rPr>
          <w:rFonts w:hint="eastAsia"/>
          <w:color w:val="auto"/>
          <w:kern w:val="0"/>
          <w:sz w:val="24"/>
          <w:highlight w:val="none"/>
        </w:rPr>
        <w:t>项目区域内</w:t>
      </w:r>
      <w:r>
        <w:rPr>
          <w:color w:val="auto"/>
          <w:kern w:val="0"/>
          <w:sz w:val="24"/>
          <w:highlight w:val="none"/>
        </w:rPr>
        <w:t>永久占地所导致的植被生物量损失非常小。因项</w:t>
      </w:r>
      <w:r>
        <w:rPr>
          <w:rFonts w:hint="eastAsia"/>
          <w:color w:val="auto"/>
          <w:kern w:val="0"/>
          <w:sz w:val="24"/>
          <w:highlight w:val="none"/>
          <w:lang w:eastAsia="zh-CN"/>
        </w:rPr>
        <w:t>目现</w:t>
      </w:r>
      <w:r>
        <w:rPr>
          <w:color w:val="auto"/>
          <w:kern w:val="0"/>
          <w:sz w:val="24"/>
          <w:highlight w:val="none"/>
        </w:rPr>
        <w:t>场施工等活动，导致生物量下降的影响可通过绿化和人工植被进行补偿。</w:t>
      </w:r>
    </w:p>
    <w:p w14:paraId="475D1A3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6.1.5.3对动物的影响分析</w:t>
      </w:r>
    </w:p>
    <w:p w14:paraId="2B4488ED">
      <w:pPr>
        <w:pStyle w:val="23"/>
        <w:autoSpaceDE/>
        <w:autoSpaceDN/>
        <w:snapToGrid w:val="0"/>
        <w:spacing w:line="360" w:lineRule="auto"/>
        <w:ind w:firstLine="480" w:firstLineChars="200"/>
        <w:rPr>
          <w:rFonts w:hint="default" w:ascii="Times New Roman" w:hAnsi="Times New Roman" w:eastAsia="宋体" w:cs="Times New Roman"/>
          <w:snapToGrid w:val="0"/>
          <w:color w:val="auto"/>
          <w:szCs w:val="24"/>
          <w:highlight w:val="none"/>
        </w:rPr>
      </w:pPr>
      <w:r>
        <w:rPr>
          <w:rFonts w:ascii="Times New Roman" w:hAnsi="Times New Roman" w:eastAsia="宋体" w:cs="Times New Roman"/>
          <w:snapToGrid w:val="0"/>
          <w:color w:val="auto"/>
          <w:szCs w:val="24"/>
          <w:highlight w:val="none"/>
        </w:rPr>
        <w:t>施工期对陆生动物的直接影响是施工人员集中活动和工程施工过程对动物的惊扰；间接影响主要是项目建设破坏植被和土壤，造成部分陆生动物栖息地的丧失。施工区为现有厂区内工业用地，受人类频繁活动影响，区域内几无动物栖息地。因此，施工期对这些动物的生存影响较小。</w:t>
      </w:r>
    </w:p>
    <w:p w14:paraId="4D87582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6.1.5.4对水土流失的影响分析</w:t>
      </w:r>
    </w:p>
    <w:p w14:paraId="3B48963F">
      <w:pPr>
        <w:widowControl/>
        <w:adjustRightInd w:val="0"/>
        <w:snapToGrid w:val="0"/>
        <w:spacing w:line="360" w:lineRule="auto"/>
        <w:ind w:firstLine="480" w:firstLineChars="200"/>
        <w:textAlignment w:val="baseline"/>
        <w:rPr>
          <w:snapToGrid w:val="0"/>
          <w:color w:val="auto"/>
          <w:kern w:val="0"/>
          <w:sz w:val="24"/>
          <w:highlight w:val="none"/>
          <w:lang w:val="zh-TW"/>
        </w:rPr>
      </w:pPr>
      <w:r>
        <w:rPr>
          <w:snapToGrid w:val="0"/>
          <w:color w:val="auto"/>
          <w:kern w:val="0"/>
          <w:sz w:val="24"/>
          <w:highlight w:val="none"/>
          <w:lang w:val="zh-TW"/>
        </w:rPr>
        <w:t>施工期水土流失的主要原因是地表开挖和弃土填埋等。施工期主要为生产车间建构筑物的土建工程，土石方量相对较小，产生的弃土、弃渣就地回填平整，道路等易产生扬尘的部位定期洒水降尘，要求对车辆加强管理，施工现场禁止随意碾压。在采取了防范措施后，基本不会产生大面积水土流失</w:t>
      </w:r>
      <w:r>
        <w:rPr>
          <w:rFonts w:hint="eastAsia"/>
          <w:snapToGrid w:val="0"/>
          <w:color w:val="auto"/>
          <w:kern w:val="0"/>
          <w:sz w:val="24"/>
          <w:highlight w:val="none"/>
          <w:lang w:val="zh-TW"/>
        </w:rPr>
        <w:t>。</w:t>
      </w:r>
    </w:p>
    <w:p w14:paraId="50FFD8C4">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r>
        <w:rPr>
          <w:rFonts w:hint="eastAsia" w:ascii="Times New Roman" w:hAnsi="Times New Roman" w:eastAsia="宋体"/>
          <w:b w:val="0"/>
          <w:bCs w:val="0"/>
          <w:snapToGrid w:val="0"/>
          <w:color w:val="auto"/>
          <w:kern w:val="0"/>
          <w:sz w:val="24"/>
          <w:szCs w:val="24"/>
          <w:highlight w:val="none"/>
        </w:rPr>
        <w:br w:type="page"/>
      </w:r>
      <w:bookmarkStart w:id="127" w:name="_Toc1837"/>
      <w:bookmarkStart w:id="128" w:name="_Toc821"/>
      <w:r>
        <w:rPr>
          <w:rFonts w:hint="eastAsia" w:ascii="Times New Roman" w:hAnsi="Times New Roman" w:cs="Times New Roman"/>
          <w:b w:val="0"/>
          <w:bCs w:val="0"/>
          <w:snapToGrid w:val="0"/>
          <w:color w:val="auto"/>
          <w:kern w:val="0"/>
          <w:sz w:val="28"/>
          <w:szCs w:val="28"/>
          <w:highlight w:val="none"/>
          <w:lang w:val="en-US" w:eastAsia="zh-CN"/>
        </w:rPr>
        <w:t>6.2运营期生态环境影响预测与评价</w:t>
      </w:r>
      <w:bookmarkEnd w:id="127"/>
      <w:bookmarkEnd w:id="128"/>
    </w:p>
    <w:p w14:paraId="345B168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129" w:name="_Toc309715445"/>
      <w:bookmarkStart w:id="130" w:name="_Toc454899386"/>
      <w:bookmarkStart w:id="131" w:name="_Toc30374"/>
      <w:bookmarkStart w:id="132" w:name="_Toc327365496"/>
      <w:bookmarkStart w:id="133" w:name="_Toc188349464"/>
      <w:bookmarkStart w:id="134" w:name="_Toc146967262"/>
      <w:bookmarkStart w:id="135" w:name="_Toc309715414"/>
      <w:bookmarkStart w:id="136" w:name="_Toc149705161"/>
      <w:r>
        <w:rPr>
          <w:rFonts w:hint="eastAsia" w:ascii="Times New Roman" w:hAnsi="Times New Roman" w:cs="Times New Roman"/>
          <w:snapToGrid w:val="0"/>
          <w:color w:val="auto"/>
          <w:spacing w:val="0"/>
          <w:kern w:val="0"/>
          <w:szCs w:val="24"/>
          <w:highlight w:val="none"/>
          <w:lang w:val="en-US" w:eastAsia="zh-CN"/>
        </w:rPr>
        <w:t>6.2.1运营期大气环境影响预测与评价</w:t>
      </w:r>
    </w:p>
    <w:p w14:paraId="1F0B4987">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根据</w:t>
      </w:r>
      <w:r>
        <w:rPr>
          <w:rFonts w:hint="eastAsia" w:ascii="Times New Roman" w:hAnsi="Times New Roman" w:eastAsia="宋体" w:cs="Times New Roman"/>
          <w:color w:val="auto"/>
          <w:kern w:val="0"/>
          <w:highlight w:val="none"/>
        </w:rPr>
        <w:t>“2.</w:t>
      </w:r>
      <w:r>
        <w:rPr>
          <w:rFonts w:hint="eastAsia" w:ascii="Times New Roman" w:hAnsi="Times New Roman" w:eastAsia="宋体" w:cs="Times New Roman"/>
          <w:color w:val="auto"/>
          <w:kern w:val="0"/>
          <w:highlight w:val="none"/>
          <w:lang w:val="en-US" w:eastAsia="zh-CN"/>
        </w:rPr>
        <w:t>6</w:t>
      </w:r>
      <w:r>
        <w:rPr>
          <w:rFonts w:hint="eastAsia" w:ascii="Times New Roman" w:hAnsi="Times New Roman" w:eastAsia="宋体" w:cs="Times New Roman"/>
          <w:color w:val="auto"/>
          <w:kern w:val="0"/>
          <w:highlight w:val="none"/>
        </w:rPr>
        <w:t>.1.1大气环境评价工作等级”章节分析，本项目大气环境影响评价工作评价等级为一级。</w:t>
      </w:r>
    </w:p>
    <w:p w14:paraId="126102E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6.2.1.1近20年地面气象统计资料</w:t>
      </w:r>
    </w:p>
    <w:p w14:paraId="2C952A99">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lang w:val="zh-CN"/>
        </w:rPr>
      </w:pPr>
      <w:r>
        <w:rPr>
          <w:rFonts w:hint="eastAsia" w:ascii="Times New Roman" w:hAnsi="Times New Roman" w:eastAsia="宋体" w:cs="Times New Roman"/>
          <w:snapToGrid w:val="0"/>
          <w:color w:val="auto"/>
          <w:kern w:val="0"/>
          <w:highlight w:val="none"/>
        </w:rPr>
        <w:t>新疆乌苏市气象站</w:t>
      </w:r>
      <w:r>
        <w:rPr>
          <w:rFonts w:hint="eastAsia" w:ascii="Times New Roman" w:hAnsi="Times New Roman" w:eastAsia="宋体" w:cs="Times New Roman"/>
          <w:snapToGrid w:val="0"/>
          <w:color w:val="auto"/>
          <w:kern w:val="0"/>
          <w:highlight w:val="none"/>
          <w:lang w:val="zh-CN"/>
        </w:rPr>
        <w:t>（东经84.69</w:t>
      </w:r>
      <w:r>
        <w:rPr>
          <w:rFonts w:hint="eastAsia"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lang w:val="zh-CN"/>
        </w:rPr>
        <w:t>，北纬44.43</w:t>
      </w:r>
      <w:r>
        <w:rPr>
          <w:rFonts w:hint="eastAsia"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lang w:val="zh-CN"/>
        </w:rPr>
        <w:t>），位于</w:t>
      </w:r>
      <w:r>
        <w:rPr>
          <w:rFonts w:hint="eastAsia" w:ascii="Times New Roman" w:hAnsi="Times New Roman" w:eastAsia="宋体" w:cs="Times New Roman"/>
          <w:snapToGrid w:val="0"/>
          <w:color w:val="auto"/>
          <w:kern w:val="0"/>
          <w:highlight w:val="none"/>
        </w:rPr>
        <w:t>厂址东北侧约</w:t>
      </w:r>
      <w:r>
        <w:rPr>
          <w:rFonts w:hint="eastAsia" w:ascii="Times New Roman" w:hAnsi="Times New Roman" w:eastAsia="宋体" w:cs="Times New Roman"/>
          <w:snapToGrid w:val="0"/>
          <w:color w:val="auto"/>
          <w:kern w:val="0"/>
          <w:highlight w:val="none"/>
          <w:lang w:val="en-US" w:eastAsia="zh-CN"/>
        </w:rPr>
        <w:t>34</w:t>
      </w:r>
      <w:r>
        <w:rPr>
          <w:rFonts w:hint="eastAsia" w:ascii="Times New Roman" w:hAnsi="Times New Roman" w:eastAsia="宋体" w:cs="Times New Roman"/>
          <w:snapToGrid w:val="0"/>
          <w:color w:val="auto"/>
          <w:kern w:val="0"/>
          <w:highlight w:val="none"/>
        </w:rPr>
        <w:t>km处</w:t>
      </w:r>
      <w:r>
        <w:rPr>
          <w:rFonts w:hint="eastAsia" w:ascii="Times New Roman" w:hAnsi="Times New Roman" w:eastAsia="宋体" w:cs="Times New Roman"/>
          <w:snapToGrid w:val="0"/>
          <w:color w:val="auto"/>
          <w:kern w:val="0"/>
          <w:highlight w:val="none"/>
          <w:lang w:val="zh-CN"/>
        </w:rPr>
        <w:t>，是距项目最近的气象站，站点类型属于</w:t>
      </w:r>
      <w:r>
        <w:rPr>
          <w:rFonts w:hint="eastAsia" w:ascii="Times New Roman" w:hAnsi="Times New Roman" w:eastAsia="宋体" w:cs="Times New Roman"/>
          <w:snapToGrid w:val="0"/>
          <w:color w:val="auto"/>
          <w:kern w:val="0"/>
          <w:highlight w:val="none"/>
        </w:rPr>
        <w:t>市级站</w:t>
      </w:r>
      <w:r>
        <w:rPr>
          <w:rFonts w:hint="eastAsia" w:ascii="Times New Roman" w:hAnsi="Times New Roman" w:eastAsia="宋体" w:cs="Times New Roman"/>
          <w:snapToGrid w:val="0"/>
          <w:color w:val="auto"/>
          <w:kern w:val="0"/>
          <w:highlight w:val="none"/>
          <w:lang w:val="zh-CN"/>
        </w:rPr>
        <w:t>，可以满足气候和一般天气的要求，具有一定代表性。符合《环境影响评价技术导则</w:t>
      </w:r>
      <w:r>
        <w:rPr>
          <w:rFonts w:hint="eastAsia" w:ascii="Times New Roman" w:hAnsi="Times New Roman" w:eastAsia="宋体" w:cs="Times New Roman"/>
          <w:snapToGrid w:val="0"/>
          <w:color w:val="auto"/>
          <w:kern w:val="0"/>
          <w:highlight w:val="none"/>
        </w:rPr>
        <w:t xml:space="preserve"> </w:t>
      </w:r>
      <w:r>
        <w:rPr>
          <w:rFonts w:hint="eastAsia" w:ascii="Times New Roman" w:hAnsi="Times New Roman" w:eastAsia="宋体" w:cs="Times New Roman"/>
          <w:snapToGrid w:val="0"/>
          <w:color w:val="auto"/>
          <w:kern w:val="0"/>
          <w:highlight w:val="none"/>
          <w:lang w:val="zh-CN"/>
        </w:rPr>
        <w:t>大气环境》（HJ2.2-2018）中的有关规定。</w:t>
      </w:r>
    </w:p>
    <w:p w14:paraId="7E6621EA">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本次气候统计分析的基础数据采用新疆乌苏市气象站（51346）</w:t>
      </w:r>
      <w:r>
        <w:rPr>
          <w:rFonts w:hint="eastAsia" w:ascii="Times New Roman" w:hAnsi="Times New Roman" w:eastAsia="宋体" w:cs="Times New Roman"/>
          <w:snapToGrid w:val="0"/>
          <w:color w:val="auto"/>
          <w:kern w:val="0"/>
          <w:highlight w:val="none"/>
          <w:lang w:val="en-US" w:eastAsia="zh-CN"/>
        </w:rPr>
        <w:t>近20</w:t>
      </w:r>
      <w:r>
        <w:rPr>
          <w:rFonts w:hint="eastAsia" w:ascii="Times New Roman" w:hAnsi="Times New Roman" w:eastAsia="宋体" w:cs="Times New Roman"/>
          <w:snapToGrid w:val="0"/>
          <w:color w:val="auto"/>
          <w:kern w:val="0"/>
          <w:highlight w:val="none"/>
        </w:rPr>
        <w:t>年数据，评价区域的常规气象参数见表6.2-1。</w:t>
      </w:r>
    </w:p>
    <w:p w14:paraId="5A47A0A9">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zh-CN"/>
        </w:rPr>
      </w:pPr>
      <w:r>
        <w:rPr>
          <w:rFonts w:hint="eastAsia" w:ascii="Times New Roman" w:hAnsi="Times New Roman" w:cs="Times New Roman"/>
          <w:snapToGrid w:val="0"/>
          <w:color w:val="auto"/>
          <w:kern w:val="0"/>
          <w:sz w:val="21"/>
          <w:szCs w:val="21"/>
          <w:highlight w:val="none"/>
        </w:rPr>
        <w:t xml:space="preserve">表6.2-1 </w:t>
      </w:r>
      <w:r>
        <w:rPr>
          <w:rFonts w:hint="eastAsia" w:ascii="Times New Roman" w:hAnsi="Times New Roman" w:cs="Times New Roman"/>
          <w:snapToGrid w:val="0"/>
          <w:color w:val="auto"/>
          <w:kern w:val="0"/>
          <w:sz w:val="21"/>
          <w:szCs w:val="21"/>
          <w:highlight w:val="none"/>
          <w:lang w:val="zh-CN"/>
        </w:rPr>
        <w:t>评价区域的常规气象参数表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223"/>
        <w:gridCol w:w="2132"/>
        <w:gridCol w:w="2167"/>
      </w:tblGrid>
      <w:tr w14:paraId="3B26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blHeader/>
        </w:trPr>
        <w:tc>
          <w:tcPr>
            <w:tcW w:w="4227" w:type="dxa"/>
            <w:noWrap w:val="0"/>
            <w:vAlign w:val="center"/>
          </w:tcPr>
          <w:p w14:paraId="4C487918">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统计项目</w:t>
            </w:r>
          </w:p>
        </w:tc>
        <w:tc>
          <w:tcPr>
            <w:tcW w:w="2133" w:type="dxa"/>
            <w:noWrap w:val="0"/>
            <w:vAlign w:val="center"/>
          </w:tcPr>
          <w:p w14:paraId="29301FB8">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统计值</w:t>
            </w:r>
          </w:p>
        </w:tc>
        <w:tc>
          <w:tcPr>
            <w:tcW w:w="2169" w:type="dxa"/>
            <w:noWrap w:val="0"/>
            <w:vAlign w:val="center"/>
          </w:tcPr>
          <w:p w14:paraId="31C4FAEA">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极值</w:t>
            </w:r>
          </w:p>
        </w:tc>
      </w:tr>
      <w:tr w14:paraId="556C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25E1804F">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多年平均气温（℃）</w:t>
            </w:r>
          </w:p>
        </w:tc>
        <w:tc>
          <w:tcPr>
            <w:tcW w:w="2133" w:type="dxa"/>
            <w:noWrap w:val="0"/>
            <w:vAlign w:val="center"/>
          </w:tcPr>
          <w:p w14:paraId="3E4AF98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8.85</w:t>
            </w:r>
          </w:p>
        </w:tc>
        <w:tc>
          <w:tcPr>
            <w:tcW w:w="2169" w:type="dxa"/>
            <w:noWrap w:val="0"/>
            <w:vAlign w:val="center"/>
          </w:tcPr>
          <w:p w14:paraId="4D2A990C">
            <w:pPr>
              <w:widowControl/>
              <w:adjustRightInd w:val="0"/>
              <w:snapToGrid w:val="0"/>
              <w:jc w:val="center"/>
              <w:rPr>
                <w:rFonts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1E66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14E80FB1">
            <w:pPr>
              <w:widowControl/>
              <w:adjustRightInd w:val="0"/>
              <w:snapToGrid w:val="0"/>
              <w:jc w:val="center"/>
              <w:rPr>
                <w:rFonts w:eastAsia="宋体"/>
                <w:snapToGrid w:val="0"/>
                <w:color w:val="auto"/>
                <w:kern w:val="0"/>
                <w:szCs w:val="21"/>
                <w:highlight w:val="none"/>
              </w:rPr>
            </w:pPr>
            <w:r>
              <w:rPr>
                <w:rFonts w:hint="eastAsia" w:eastAsia="宋体"/>
                <w:snapToGrid w:val="0"/>
                <w:color w:val="auto"/>
                <w:kern w:val="0"/>
                <w:szCs w:val="21"/>
                <w:highlight w:val="none"/>
              </w:rPr>
              <w:t>多</w:t>
            </w:r>
            <w:r>
              <w:rPr>
                <w:rFonts w:eastAsia="宋体"/>
                <w:snapToGrid w:val="0"/>
                <w:color w:val="auto"/>
                <w:kern w:val="0"/>
                <w:szCs w:val="21"/>
                <w:highlight w:val="none"/>
              </w:rPr>
              <w:t>年</w:t>
            </w:r>
            <w:r>
              <w:rPr>
                <w:rFonts w:hint="eastAsia" w:eastAsia="宋体"/>
                <w:snapToGrid w:val="0"/>
                <w:color w:val="auto"/>
                <w:kern w:val="0"/>
                <w:szCs w:val="21"/>
                <w:highlight w:val="none"/>
              </w:rPr>
              <w:t>平均</w:t>
            </w:r>
            <w:r>
              <w:rPr>
                <w:rFonts w:eastAsia="宋体"/>
                <w:snapToGrid w:val="0"/>
                <w:color w:val="auto"/>
                <w:kern w:val="0"/>
                <w:szCs w:val="21"/>
                <w:highlight w:val="none"/>
              </w:rPr>
              <w:t>最高气温（℃）</w:t>
            </w:r>
          </w:p>
        </w:tc>
        <w:tc>
          <w:tcPr>
            <w:tcW w:w="2133" w:type="dxa"/>
            <w:noWrap w:val="0"/>
            <w:vAlign w:val="center"/>
          </w:tcPr>
          <w:p w14:paraId="6A55D39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39.22</w:t>
            </w:r>
          </w:p>
        </w:tc>
        <w:tc>
          <w:tcPr>
            <w:tcW w:w="2169" w:type="dxa"/>
            <w:noWrap w:val="0"/>
            <w:vAlign w:val="center"/>
          </w:tcPr>
          <w:p w14:paraId="61269B97">
            <w:pPr>
              <w:widowControl/>
              <w:adjustRightInd w:val="0"/>
              <w:snapToGrid w:val="0"/>
              <w:jc w:val="center"/>
              <w:rPr>
                <w:rFonts w:hint="eastAsia" w:eastAsia="宋体"/>
                <w:snapToGrid w:val="0"/>
                <w:color w:val="auto"/>
                <w:kern w:val="0"/>
                <w:szCs w:val="21"/>
                <w:highlight w:val="none"/>
                <w:lang w:val="en-US" w:eastAsia="zh-CN"/>
              </w:rPr>
            </w:pPr>
            <w:r>
              <w:rPr>
                <w:rFonts w:hint="eastAsia" w:eastAsia="宋体"/>
                <w:snapToGrid w:val="0"/>
                <w:color w:val="auto"/>
                <w:kern w:val="0"/>
                <w:szCs w:val="21"/>
                <w:highlight w:val="none"/>
              </w:rPr>
              <w:t>41.</w:t>
            </w:r>
            <w:r>
              <w:rPr>
                <w:rFonts w:hint="eastAsia" w:eastAsia="宋体"/>
                <w:snapToGrid w:val="0"/>
                <w:color w:val="auto"/>
                <w:kern w:val="0"/>
                <w:szCs w:val="21"/>
                <w:highlight w:val="none"/>
                <w:lang w:val="en-US" w:eastAsia="zh-CN"/>
              </w:rPr>
              <w:t>1</w:t>
            </w:r>
          </w:p>
        </w:tc>
      </w:tr>
      <w:tr w14:paraId="2865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48E47BC2">
            <w:pPr>
              <w:widowControl/>
              <w:adjustRightInd w:val="0"/>
              <w:snapToGrid w:val="0"/>
              <w:jc w:val="center"/>
              <w:rPr>
                <w:rFonts w:eastAsia="宋体"/>
                <w:snapToGrid w:val="0"/>
                <w:color w:val="auto"/>
                <w:kern w:val="0"/>
                <w:szCs w:val="21"/>
                <w:highlight w:val="none"/>
              </w:rPr>
            </w:pPr>
            <w:r>
              <w:rPr>
                <w:rFonts w:hint="eastAsia" w:eastAsia="宋体"/>
                <w:snapToGrid w:val="0"/>
                <w:color w:val="auto"/>
                <w:kern w:val="0"/>
                <w:szCs w:val="21"/>
                <w:highlight w:val="none"/>
              </w:rPr>
              <w:t>多</w:t>
            </w:r>
            <w:r>
              <w:rPr>
                <w:rFonts w:eastAsia="宋体"/>
                <w:snapToGrid w:val="0"/>
                <w:color w:val="auto"/>
                <w:kern w:val="0"/>
                <w:szCs w:val="21"/>
                <w:highlight w:val="none"/>
              </w:rPr>
              <w:t>年</w:t>
            </w:r>
            <w:r>
              <w:rPr>
                <w:rFonts w:hint="eastAsia" w:eastAsia="宋体"/>
                <w:snapToGrid w:val="0"/>
                <w:color w:val="auto"/>
                <w:kern w:val="0"/>
                <w:szCs w:val="21"/>
                <w:highlight w:val="none"/>
              </w:rPr>
              <w:t>平均</w:t>
            </w:r>
            <w:r>
              <w:rPr>
                <w:rFonts w:eastAsia="宋体"/>
                <w:snapToGrid w:val="0"/>
                <w:color w:val="auto"/>
                <w:kern w:val="0"/>
                <w:szCs w:val="21"/>
                <w:highlight w:val="none"/>
              </w:rPr>
              <w:t>最低气温（℃）</w:t>
            </w:r>
          </w:p>
        </w:tc>
        <w:tc>
          <w:tcPr>
            <w:tcW w:w="2133" w:type="dxa"/>
            <w:noWrap w:val="0"/>
            <w:vAlign w:val="center"/>
          </w:tcPr>
          <w:p w14:paraId="381E71DF">
            <w:pPr>
              <w:widowControl/>
              <w:adjustRightInd w:val="0"/>
              <w:snapToGrid w:val="0"/>
              <w:jc w:val="center"/>
              <w:rPr>
                <w:rFonts w:hint="default" w:eastAsia="宋体"/>
                <w:snapToGrid w:val="0"/>
                <w:color w:val="auto"/>
                <w:kern w:val="0"/>
                <w:szCs w:val="21"/>
                <w:highlight w:val="none"/>
                <w:lang w:val="en-US" w:eastAsia="zh-CN"/>
              </w:rPr>
            </w:pPr>
            <w:r>
              <w:rPr>
                <w:rFonts w:eastAsia="宋体"/>
                <w:snapToGrid w:val="0"/>
                <w:color w:val="auto"/>
                <w:kern w:val="0"/>
                <w:szCs w:val="21"/>
                <w:highlight w:val="none"/>
              </w:rPr>
              <w:t>-</w:t>
            </w:r>
            <w:r>
              <w:rPr>
                <w:rFonts w:hint="eastAsia" w:eastAsia="宋体"/>
                <w:snapToGrid w:val="0"/>
                <w:color w:val="auto"/>
                <w:kern w:val="0"/>
                <w:szCs w:val="21"/>
                <w:highlight w:val="none"/>
                <w:lang w:val="en-US" w:eastAsia="zh-CN"/>
              </w:rPr>
              <w:t>27.03</w:t>
            </w:r>
          </w:p>
        </w:tc>
        <w:tc>
          <w:tcPr>
            <w:tcW w:w="2169" w:type="dxa"/>
            <w:noWrap w:val="0"/>
            <w:vAlign w:val="center"/>
          </w:tcPr>
          <w:p w14:paraId="4F391A44">
            <w:pPr>
              <w:widowControl/>
              <w:adjustRightInd w:val="0"/>
              <w:snapToGrid w:val="0"/>
              <w:jc w:val="center"/>
              <w:rPr>
                <w:rFonts w:hint="default" w:eastAsia="宋体"/>
                <w:snapToGrid w:val="0"/>
                <w:color w:val="auto"/>
                <w:kern w:val="0"/>
                <w:szCs w:val="21"/>
                <w:highlight w:val="none"/>
                <w:lang w:val="en-US" w:eastAsia="zh-CN"/>
              </w:rPr>
            </w:pPr>
            <w:r>
              <w:rPr>
                <w:rFonts w:eastAsia="宋体"/>
                <w:snapToGrid w:val="0"/>
                <w:color w:val="auto"/>
                <w:kern w:val="0"/>
                <w:szCs w:val="21"/>
                <w:highlight w:val="none"/>
              </w:rPr>
              <w:t>-</w:t>
            </w:r>
            <w:r>
              <w:rPr>
                <w:rFonts w:hint="eastAsia" w:eastAsia="宋体"/>
                <w:snapToGrid w:val="0"/>
                <w:color w:val="auto"/>
                <w:kern w:val="0"/>
                <w:szCs w:val="21"/>
                <w:highlight w:val="none"/>
                <w:lang w:val="en-US" w:eastAsia="zh-CN"/>
              </w:rPr>
              <w:t>31.1</w:t>
            </w:r>
          </w:p>
        </w:tc>
      </w:tr>
      <w:tr w14:paraId="557B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5A19E4E5">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多年平均气压（hPa）</w:t>
            </w:r>
          </w:p>
        </w:tc>
        <w:tc>
          <w:tcPr>
            <w:tcW w:w="2133" w:type="dxa"/>
            <w:noWrap w:val="0"/>
            <w:vAlign w:val="center"/>
          </w:tcPr>
          <w:p w14:paraId="4F916CFA">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963.69</w:t>
            </w:r>
          </w:p>
        </w:tc>
        <w:tc>
          <w:tcPr>
            <w:tcW w:w="2169" w:type="dxa"/>
            <w:noWrap w:val="0"/>
            <w:vAlign w:val="center"/>
          </w:tcPr>
          <w:p w14:paraId="70AA6037">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w:t>
            </w:r>
          </w:p>
        </w:tc>
      </w:tr>
      <w:tr w14:paraId="4CE1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7374E410">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多年平均水汽压（hPa）</w:t>
            </w:r>
          </w:p>
        </w:tc>
        <w:tc>
          <w:tcPr>
            <w:tcW w:w="2133" w:type="dxa"/>
            <w:noWrap w:val="0"/>
            <w:vAlign w:val="center"/>
          </w:tcPr>
          <w:p w14:paraId="1633007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7.16</w:t>
            </w:r>
          </w:p>
        </w:tc>
        <w:tc>
          <w:tcPr>
            <w:tcW w:w="2169" w:type="dxa"/>
            <w:noWrap w:val="0"/>
            <w:vAlign w:val="center"/>
          </w:tcPr>
          <w:p w14:paraId="4E931CCD">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5DB0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592D4C9F">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多年平均相对湿度</w:t>
            </w:r>
            <w:r>
              <w:rPr>
                <w:rFonts w:hint="eastAsia"/>
                <w:snapToGrid w:val="0"/>
                <w:color w:val="auto"/>
                <w:kern w:val="0"/>
                <w:szCs w:val="21"/>
                <w:highlight w:val="none"/>
                <w:lang w:eastAsia="zh-CN"/>
              </w:rPr>
              <w:t>（</w:t>
            </w:r>
            <w:r>
              <w:rPr>
                <w:rFonts w:eastAsia="宋体"/>
                <w:snapToGrid w:val="0"/>
                <w:color w:val="auto"/>
                <w:kern w:val="0"/>
                <w:szCs w:val="21"/>
                <w:highlight w:val="none"/>
              </w:rPr>
              <w:t>%</w:t>
            </w:r>
            <w:r>
              <w:rPr>
                <w:rFonts w:hint="eastAsia"/>
                <w:snapToGrid w:val="0"/>
                <w:color w:val="auto"/>
                <w:kern w:val="0"/>
                <w:szCs w:val="21"/>
                <w:highlight w:val="none"/>
                <w:lang w:eastAsia="zh-CN"/>
              </w:rPr>
              <w:t>）</w:t>
            </w:r>
          </w:p>
        </w:tc>
        <w:tc>
          <w:tcPr>
            <w:tcW w:w="2133" w:type="dxa"/>
            <w:noWrap w:val="0"/>
            <w:vAlign w:val="center"/>
          </w:tcPr>
          <w:p w14:paraId="71A001E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57.39</w:t>
            </w:r>
          </w:p>
        </w:tc>
        <w:tc>
          <w:tcPr>
            <w:tcW w:w="2169" w:type="dxa"/>
            <w:noWrap w:val="0"/>
            <w:vAlign w:val="center"/>
          </w:tcPr>
          <w:p w14:paraId="11F16EF6">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2B40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067B44EC">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多年平均降雨量</w:t>
            </w:r>
            <w:r>
              <w:rPr>
                <w:rFonts w:hint="eastAsia"/>
                <w:snapToGrid w:val="0"/>
                <w:color w:val="auto"/>
                <w:kern w:val="0"/>
                <w:szCs w:val="21"/>
                <w:highlight w:val="none"/>
                <w:lang w:eastAsia="zh-CN"/>
              </w:rPr>
              <w:t>（</w:t>
            </w:r>
            <w:r>
              <w:rPr>
                <w:rFonts w:eastAsia="宋体"/>
                <w:snapToGrid w:val="0"/>
                <w:color w:val="auto"/>
                <w:kern w:val="0"/>
                <w:szCs w:val="21"/>
                <w:highlight w:val="none"/>
              </w:rPr>
              <w:t>mm</w:t>
            </w:r>
            <w:r>
              <w:rPr>
                <w:rFonts w:hint="eastAsia"/>
                <w:snapToGrid w:val="0"/>
                <w:color w:val="auto"/>
                <w:kern w:val="0"/>
                <w:szCs w:val="21"/>
                <w:highlight w:val="none"/>
                <w:lang w:eastAsia="zh-CN"/>
              </w:rPr>
              <w:t>）</w:t>
            </w:r>
          </w:p>
        </w:tc>
        <w:tc>
          <w:tcPr>
            <w:tcW w:w="2133" w:type="dxa"/>
            <w:noWrap w:val="0"/>
            <w:vAlign w:val="center"/>
          </w:tcPr>
          <w:p w14:paraId="107F175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190.9</w:t>
            </w:r>
          </w:p>
        </w:tc>
        <w:tc>
          <w:tcPr>
            <w:tcW w:w="2169" w:type="dxa"/>
            <w:noWrap w:val="0"/>
            <w:vAlign w:val="center"/>
          </w:tcPr>
          <w:p w14:paraId="476FD424">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158E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464AAA89">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多年平均最大日降水量</w:t>
            </w:r>
            <w:r>
              <w:rPr>
                <w:rFonts w:hint="eastAsia"/>
                <w:snapToGrid w:val="0"/>
                <w:color w:val="auto"/>
                <w:kern w:val="0"/>
                <w:szCs w:val="21"/>
                <w:highlight w:val="none"/>
                <w:lang w:eastAsia="zh-CN"/>
              </w:rPr>
              <w:t>（</w:t>
            </w:r>
            <w:r>
              <w:rPr>
                <w:rFonts w:eastAsia="宋体"/>
                <w:snapToGrid w:val="0"/>
                <w:color w:val="auto"/>
                <w:kern w:val="0"/>
                <w:szCs w:val="21"/>
                <w:highlight w:val="none"/>
              </w:rPr>
              <w:t>mm</w:t>
            </w:r>
            <w:r>
              <w:rPr>
                <w:rFonts w:hint="eastAsia"/>
                <w:snapToGrid w:val="0"/>
                <w:color w:val="auto"/>
                <w:kern w:val="0"/>
                <w:szCs w:val="21"/>
                <w:highlight w:val="none"/>
                <w:lang w:eastAsia="zh-CN"/>
              </w:rPr>
              <w:t>）</w:t>
            </w:r>
          </w:p>
        </w:tc>
        <w:tc>
          <w:tcPr>
            <w:tcW w:w="2133" w:type="dxa"/>
            <w:noWrap w:val="0"/>
            <w:vAlign w:val="center"/>
          </w:tcPr>
          <w:p w14:paraId="73AF5F7B">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21.33</w:t>
            </w:r>
          </w:p>
        </w:tc>
        <w:tc>
          <w:tcPr>
            <w:tcW w:w="2169" w:type="dxa"/>
            <w:noWrap w:val="0"/>
            <w:vAlign w:val="center"/>
          </w:tcPr>
          <w:p w14:paraId="7C98E2D8">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41.9</w:t>
            </w:r>
          </w:p>
        </w:tc>
      </w:tr>
      <w:tr w14:paraId="0172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71" w:hRule="atLeast"/>
        </w:trPr>
        <w:tc>
          <w:tcPr>
            <w:tcW w:w="4227" w:type="dxa"/>
            <w:noWrap w:val="0"/>
            <w:vAlign w:val="center"/>
          </w:tcPr>
          <w:p w14:paraId="221F207D">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多年实测极大风速（m/s）</w:t>
            </w:r>
          </w:p>
        </w:tc>
        <w:tc>
          <w:tcPr>
            <w:tcW w:w="2133" w:type="dxa"/>
            <w:noWrap w:val="0"/>
            <w:vAlign w:val="center"/>
          </w:tcPr>
          <w:p w14:paraId="685DC04E">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17.49</w:t>
            </w:r>
          </w:p>
        </w:tc>
        <w:tc>
          <w:tcPr>
            <w:tcW w:w="2169" w:type="dxa"/>
            <w:noWrap w:val="0"/>
            <w:vAlign w:val="center"/>
          </w:tcPr>
          <w:p w14:paraId="363185E9">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21.6</w:t>
            </w:r>
          </w:p>
        </w:tc>
      </w:tr>
      <w:tr w14:paraId="0ABE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18A61997">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多年平均风速（m/s）</w:t>
            </w:r>
          </w:p>
        </w:tc>
        <w:tc>
          <w:tcPr>
            <w:tcW w:w="2133" w:type="dxa"/>
            <w:noWrap w:val="0"/>
            <w:vAlign w:val="center"/>
          </w:tcPr>
          <w:p w14:paraId="1E0D6DBE">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1.58</w:t>
            </w:r>
          </w:p>
        </w:tc>
        <w:tc>
          <w:tcPr>
            <w:tcW w:w="2169" w:type="dxa"/>
            <w:noWrap w:val="0"/>
            <w:vAlign w:val="center"/>
          </w:tcPr>
          <w:p w14:paraId="6030DBB9">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0C95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20C635CF">
            <w:pPr>
              <w:widowControl/>
              <w:adjustRightInd w:val="0"/>
              <w:snapToGrid w:val="0"/>
              <w:jc w:val="center"/>
              <w:rPr>
                <w:rFonts w:hint="eastAsia" w:eastAsia="宋体"/>
                <w:snapToGrid w:val="0"/>
                <w:color w:val="auto"/>
                <w:kern w:val="0"/>
                <w:szCs w:val="21"/>
                <w:highlight w:val="none"/>
                <w:lang w:eastAsia="zh-CN"/>
              </w:rPr>
            </w:pPr>
            <w:r>
              <w:rPr>
                <w:rFonts w:eastAsia="宋体"/>
                <w:snapToGrid w:val="0"/>
                <w:color w:val="auto"/>
                <w:kern w:val="0"/>
                <w:szCs w:val="21"/>
                <w:highlight w:val="none"/>
              </w:rPr>
              <w:t>多年主导风向、风向频率</w:t>
            </w:r>
            <w:r>
              <w:rPr>
                <w:rFonts w:hint="eastAsia"/>
                <w:snapToGrid w:val="0"/>
                <w:color w:val="auto"/>
                <w:kern w:val="0"/>
                <w:szCs w:val="21"/>
                <w:highlight w:val="none"/>
                <w:lang w:eastAsia="zh-CN"/>
              </w:rPr>
              <w:t>（</w:t>
            </w:r>
            <w:r>
              <w:rPr>
                <w:rFonts w:eastAsia="宋体"/>
                <w:snapToGrid w:val="0"/>
                <w:color w:val="auto"/>
                <w:kern w:val="0"/>
                <w:szCs w:val="21"/>
                <w:highlight w:val="none"/>
              </w:rPr>
              <w:t>%</w:t>
            </w:r>
            <w:r>
              <w:rPr>
                <w:rFonts w:hint="eastAsia"/>
                <w:snapToGrid w:val="0"/>
                <w:color w:val="auto"/>
                <w:kern w:val="0"/>
                <w:szCs w:val="21"/>
                <w:highlight w:val="none"/>
                <w:lang w:eastAsia="zh-CN"/>
              </w:rPr>
              <w:t>）</w:t>
            </w:r>
          </w:p>
        </w:tc>
        <w:tc>
          <w:tcPr>
            <w:tcW w:w="2133" w:type="dxa"/>
            <w:noWrap w:val="0"/>
            <w:vAlign w:val="center"/>
          </w:tcPr>
          <w:p w14:paraId="6753345E">
            <w:pPr>
              <w:widowControl/>
              <w:adjustRightInd w:val="0"/>
              <w:snapToGrid w:val="0"/>
              <w:jc w:val="center"/>
              <w:rPr>
                <w:rFonts w:hint="default" w:eastAsia="宋体"/>
                <w:snapToGrid w:val="0"/>
                <w:color w:val="auto"/>
                <w:kern w:val="0"/>
                <w:szCs w:val="21"/>
                <w:highlight w:val="none"/>
                <w:lang w:val="en-US" w:eastAsia="zh-CN"/>
              </w:rPr>
            </w:pPr>
            <w:r>
              <w:rPr>
                <w:rFonts w:eastAsia="宋体"/>
                <w:snapToGrid w:val="0"/>
                <w:color w:val="auto"/>
                <w:kern w:val="0"/>
                <w:szCs w:val="21"/>
                <w:highlight w:val="none"/>
              </w:rPr>
              <w:t>S，</w:t>
            </w:r>
            <w:r>
              <w:rPr>
                <w:rFonts w:hint="eastAsia" w:eastAsia="宋体"/>
                <w:snapToGrid w:val="0"/>
                <w:color w:val="auto"/>
                <w:kern w:val="0"/>
                <w:szCs w:val="21"/>
                <w:highlight w:val="none"/>
              </w:rPr>
              <w:t>1</w:t>
            </w:r>
            <w:r>
              <w:rPr>
                <w:rFonts w:hint="eastAsia" w:eastAsia="宋体"/>
                <w:snapToGrid w:val="0"/>
                <w:color w:val="auto"/>
                <w:kern w:val="0"/>
                <w:szCs w:val="21"/>
                <w:highlight w:val="none"/>
                <w:lang w:val="en-US" w:eastAsia="zh-CN"/>
              </w:rPr>
              <w:t>1.27</w:t>
            </w:r>
          </w:p>
        </w:tc>
        <w:tc>
          <w:tcPr>
            <w:tcW w:w="2169" w:type="dxa"/>
            <w:noWrap w:val="0"/>
            <w:vAlign w:val="center"/>
          </w:tcPr>
          <w:p w14:paraId="17F9EDC2">
            <w:pPr>
              <w:widowControl/>
              <w:adjustRightInd w:val="0"/>
              <w:snapToGrid w:val="0"/>
              <w:jc w:val="center"/>
              <w:rPr>
                <w:rFonts w:hint="eastAsia" w:eastAsia="宋体"/>
                <w:snapToGrid w:val="0"/>
                <w:color w:val="auto"/>
                <w:kern w:val="0"/>
                <w:szCs w:val="21"/>
                <w:highlight w:val="none"/>
                <w:lang w:val="en-US" w:eastAsia="zh-CN"/>
              </w:rPr>
            </w:pPr>
            <w:r>
              <w:rPr>
                <w:rFonts w:eastAsia="宋体"/>
                <w:snapToGrid w:val="0"/>
                <w:color w:val="auto"/>
                <w:kern w:val="0"/>
                <w:szCs w:val="21"/>
                <w:highlight w:val="none"/>
              </w:rPr>
              <w:t>-</w:t>
            </w:r>
          </w:p>
        </w:tc>
      </w:tr>
      <w:tr w14:paraId="7BD1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41179A2D">
            <w:pPr>
              <w:widowControl/>
              <w:adjustRightInd w:val="0"/>
              <w:snapToGrid w:val="0"/>
              <w:jc w:val="center"/>
              <w:rPr>
                <w:rFonts w:eastAsia="宋体"/>
                <w:snapToGrid w:val="0"/>
                <w:color w:val="auto"/>
                <w:kern w:val="0"/>
                <w:szCs w:val="21"/>
                <w:highlight w:val="none"/>
              </w:rPr>
            </w:pPr>
            <w:r>
              <w:rPr>
                <w:rFonts w:eastAsia="宋体"/>
                <w:snapToGrid w:val="0"/>
                <w:color w:val="auto"/>
                <w:kern w:val="0"/>
                <w:szCs w:val="21"/>
                <w:highlight w:val="none"/>
              </w:rPr>
              <w:t>多年静风频率（风速</w:t>
            </w:r>
            <w:r>
              <w:rPr>
                <w:rFonts w:hint="eastAsia"/>
                <w:snapToGrid w:val="0"/>
                <w:color w:val="auto"/>
                <w:kern w:val="0"/>
                <w:szCs w:val="21"/>
                <w:highlight w:val="none"/>
                <w:lang w:val="en-US" w:eastAsia="zh-CN"/>
              </w:rPr>
              <w:t>≤</w:t>
            </w:r>
            <w:r>
              <w:rPr>
                <w:rFonts w:eastAsia="宋体"/>
                <w:snapToGrid w:val="0"/>
                <w:color w:val="auto"/>
                <w:kern w:val="0"/>
                <w:szCs w:val="21"/>
                <w:highlight w:val="none"/>
              </w:rPr>
              <w:t>0.2m/s）（%）</w:t>
            </w:r>
          </w:p>
        </w:tc>
        <w:tc>
          <w:tcPr>
            <w:tcW w:w="2133" w:type="dxa"/>
            <w:noWrap w:val="0"/>
            <w:vAlign w:val="center"/>
          </w:tcPr>
          <w:p w14:paraId="4ABF9717">
            <w:pPr>
              <w:widowControl/>
              <w:adjustRightInd w:val="0"/>
              <w:snapToGrid w:val="0"/>
              <w:jc w:val="center"/>
              <w:rPr>
                <w:rFonts w:hint="default" w:eastAsia="宋体"/>
                <w:snapToGrid w:val="0"/>
                <w:color w:val="auto"/>
                <w:kern w:val="0"/>
                <w:szCs w:val="21"/>
                <w:highlight w:val="none"/>
                <w:lang w:val="en-US" w:eastAsia="zh-CN"/>
              </w:rPr>
            </w:pPr>
            <w:r>
              <w:rPr>
                <w:rFonts w:hint="eastAsia" w:eastAsia="宋体"/>
                <w:snapToGrid w:val="0"/>
                <w:color w:val="auto"/>
                <w:kern w:val="0"/>
                <w:szCs w:val="21"/>
                <w:highlight w:val="none"/>
                <w:lang w:val="en-US" w:eastAsia="zh-CN"/>
              </w:rPr>
              <w:t>3.17</w:t>
            </w:r>
          </w:p>
        </w:tc>
        <w:tc>
          <w:tcPr>
            <w:tcW w:w="2169" w:type="dxa"/>
            <w:noWrap w:val="0"/>
            <w:vAlign w:val="center"/>
          </w:tcPr>
          <w:p w14:paraId="592F3EED">
            <w:pPr>
              <w:widowControl/>
              <w:adjustRightInd w:val="0"/>
              <w:snapToGrid w:val="0"/>
              <w:jc w:val="center"/>
              <w:rPr>
                <w:rFonts w:hint="eastAsia" w:eastAsia="宋体"/>
                <w:snapToGrid w:val="0"/>
                <w:color w:val="auto"/>
                <w:kern w:val="0"/>
                <w:szCs w:val="21"/>
                <w:highlight w:val="none"/>
                <w:lang w:val="en-US" w:eastAsia="zh-CN"/>
              </w:rPr>
            </w:pPr>
            <w:r>
              <w:rPr>
                <w:rFonts w:hint="eastAsia" w:eastAsia="宋体"/>
                <w:snapToGrid w:val="0"/>
                <w:color w:val="auto"/>
                <w:kern w:val="0"/>
                <w:szCs w:val="21"/>
                <w:highlight w:val="none"/>
              </w:rPr>
              <w:t>-</w:t>
            </w:r>
          </w:p>
        </w:tc>
      </w:tr>
      <w:tr w14:paraId="33BC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40" w:hRule="atLeast"/>
        </w:trPr>
        <w:tc>
          <w:tcPr>
            <w:tcW w:w="4227" w:type="dxa"/>
            <w:noWrap w:val="0"/>
            <w:vAlign w:val="center"/>
          </w:tcPr>
          <w:p w14:paraId="63854BF3">
            <w:pPr>
              <w:widowControl/>
              <w:adjustRightInd w:val="0"/>
              <w:snapToGrid w:val="0"/>
              <w:jc w:val="center"/>
              <w:rPr>
                <w:rFonts w:eastAsia="宋体"/>
                <w:snapToGrid w:val="0"/>
                <w:color w:val="auto"/>
                <w:kern w:val="0"/>
                <w:szCs w:val="21"/>
                <w:highlight w:val="none"/>
              </w:rPr>
            </w:pPr>
            <w:r>
              <w:rPr>
                <w:rFonts w:hint="eastAsia" w:eastAsia="宋体"/>
                <w:snapToGrid w:val="0"/>
                <w:color w:val="auto"/>
                <w:kern w:val="0"/>
                <w:szCs w:val="21"/>
                <w:highlight w:val="none"/>
                <w:lang w:val="en-US" w:eastAsia="zh-CN"/>
              </w:rPr>
              <w:t>乌苏</w:t>
            </w:r>
            <w:r>
              <w:rPr>
                <w:rFonts w:hint="eastAsia" w:ascii="Times New Roman" w:hAnsi="Times New Roman" w:eastAsia="宋体" w:cs="Times New Roman"/>
                <w:snapToGrid w:val="0"/>
                <w:color w:val="auto"/>
                <w:kern w:val="0"/>
                <w:szCs w:val="21"/>
                <w:highlight w:val="none"/>
                <w:lang w:val="en-US" w:eastAsia="zh-CN"/>
              </w:rPr>
              <w:t>市</w:t>
            </w:r>
            <w:r>
              <w:rPr>
                <w:rFonts w:hint="eastAsia" w:ascii="Times New Roman" w:hAnsi="Times New Roman" w:eastAsia="宋体" w:cs="Times New Roman"/>
                <w:snapToGrid w:val="0"/>
                <w:color w:val="auto"/>
                <w:kern w:val="0"/>
                <w:szCs w:val="21"/>
                <w:highlight w:val="none"/>
              </w:rPr>
              <w:t>200</w:t>
            </w:r>
            <w:r>
              <w:rPr>
                <w:rFonts w:hint="eastAsia" w:ascii="Times New Roman" w:hAnsi="Times New Roman" w:eastAsia="宋体" w:cs="Times New Roman"/>
                <w:snapToGrid w:val="0"/>
                <w:color w:val="auto"/>
                <w:kern w:val="0"/>
                <w:szCs w:val="21"/>
                <w:highlight w:val="none"/>
                <w:lang w:val="en-US" w:eastAsia="zh-CN"/>
              </w:rPr>
              <w:t>5</w:t>
            </w:r>
            <w:r>
              <w:rPr>
                <w:rFonts w:hint="eastAsia" w:ascii="Times New Roman" w:hAnsi="Times New Roman" w:eastAsia="宋体" w:cs="Times New Roman"/>
                <w:snapToGrid w:val="0"/>
                <w:color w:val="auto"/>
                <w:kern w:val="0"/>
                <w:szCs w:val="21"/>
                <w:highlight w:val="none"/>
              </w:rPr>
              <w:t>-202</w:t>
            </w:r>
            <w:r>
              <w:rPr>
                <w:rFonts w:hint="eastAsia" w:ascii="Times New Roman" w:hAnsi="Times New Roman" w:eastAsia="宋体" w:cs="Times New Roman"/>
                <w:snapToGrid w:val="0"/>
                <w:color w:val="auto"/>
                <w:kern w:val="0"/>
                <w:szCs w:val="21"/>
                <w:highlight w:val="none"/>
                <w:lang w:val="en-US" w:eastAsia="zh-CN"/>
              </w:rPr>
              <w:t>4</w:t>
            </w:r>
            <w:r>
              <w:rPr>
                <w:rFonts w:hint="eastAsia" w:ascii="Times New Roman" w:hAnsi="Times New Roman" w:eastAsia="宋体" w:cs="Times New Roman"/>
                <w:snapToGrid w:val="0"/>
                <w:color w:val="auto"/>
                <w:kern w:val="0"/>
                <w:szCs w:val="21"/>
                <w:highlight w:val="none"/>
              </w:rPr>
              <w:t>年</w:t>
            </w:r>
            <w:r>
              <w:rPr>
                <w:rFonts w:ascii="Times New Roman" w:hAnsi="Times New Roman" w:eastAsia="宋体" w:cs="Times New Roman"/>
                <w:snapToGrid w:val="0"/>
                <w:color w:val="auto"/>
                <w:kern w:val="0"/>
                <w:szCs w:val="21"/>
                <w:highlight w:val="none"/>
              </w:rPr>
              <w:t>风向</w:t>
            </w:r>
            <w:r>
              <w:rPr>
                <w:rFonts w:hint="eastAsia" w:ascii="Times New Roman" w:hAnsi="Times New Roman" w:eastAsia="宋体" w:cs="Times New Roman"/>
                <w:snapToGrid w:val="0"/>
                <w:color w:val="auto"/>
                <w:kern w:val="0"/>
                <w:szCs w:val="21"/>
                <w:highlight w:val="none"/>
              </w:rPr>
              <w:t>频率</w:t>
            </w:r>
            <w:r>
              <w:rPr>
                <w:rFonts w:ascii="Times New Roman" w:hAnsi="Times New Roman" w:eastAsia="宋体" w:cs="Times New Roman"/>
                <w:snapToGrid w:val="0"/>
                <w:color w:val="auto"/>
                <w:kern w:val="0"/>
                <w:szCs w:val="21"/>
                <w:highlight w:val="none"/>
              </w:rPr>
              <w:t>玫瑰图</w:t>
            </w:r>
          </w:p>
        </w:tc>
        <w:tc>
          <w:tcPr>
            <w:tcW w:w="2133" w:type="dxa"/>
            <w:noWrap w:val="0"/>
            <w:vAlign w:val="center"/>
          </w:tcPr>
          <w:p w14:paraId="7607DB33">
            <w:pPr>
              <w:widowControl/>
              <w:adjustRightInd w:val="0"/>
              <w:snapToGrid w:val="0"/>
              <w:jc w:val="center"/>
              <w:rPr>
                <w:rFonts w:hint="eastAsia" w:eastAsia="宋体"/>
                <w:snapToGrid w:val="0"/>
                <w:color w:val="auto"/>
                <w:kern w:val="0"/>
                <w:szCs w:val="21"/>
                <w:highlight w:val="none"/>
                <w:lang w:val="en-US" w:eastAsia="zh-CN"/>
              </w:rPr>
            </w:pPr>
            <w:r>
              <w:rPr>
                <w:rFonts w:hint="eastAsia" w:eastAsia="宋体"/>
                <w:color w:val="auto"/>
                <w:highlight w:val="none"/>
                <w:lang w:eastAsia="zh-CN"/>
              </w:rPr>
              <w:drawing>
                <wp:inline distT="0" distB="0" distL="114300" distR="114300">
                  <wp:extent cx="923925" cy="1062355"/>
                  <wp:effectExtent l="0" t="0" r="9525" b="4445"/>
                  <wp:docPr id="334" name="图片 334" descr="f8dff4e5-6281-437c-9fb2-506df7998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f8dff4e5-6281-437c-9fb2-506df799830e"/>
                          <pic:cNvPicPr>
                            <a:picLocks noChangeAspect="1"/>
                          </pic:cNvPicPr>
                        </pic:nvPicPr>
                        <pic:blipFill>
                          <a:blip r:embed="rId28"/>
                          <a:stretch>
                            <a:fillRect/>
                          </a:stretch>
                        </pic:blipFill>
                        <pic:spPr>
                          <a:xfrm>
                            <a:off x="0" y="0"/>
                            <a:ext cx="923925" cy="1062355"/>
                          </a:xfrm>
                          <a:prstGeom prst="rect">
                            <a:avLst/>
                          </a:prstGeom>
                        </pic:spPr>
                      </pic:pic>
                    </a:graphicData>
                  </a:graphic>
                </wp:inline>
              </w:drawing>
            </w:r>
          </w:p>
        </w:tc>
        <w:tc>
          <w:tcPr>
            <w:tcW w:w="2169" w:type="dxa"/>
            <w:noWrap w:val="0"/>
            <w:vAlign w:val="center"/>
          </w:tcPr>
          <w:p w14:paraId="163A9A16">
            <w:pPr>
              <w:widowControl/>
              <w:adjustRightInd w:val="0"/>
              <w:snapToGrid w:val="0"/>
              <w:jc w:val="center"/>
              <w:rPr>
                <w:rFonts w:hint="eastAsia" w:eastAsia="宋体"/>
                <w:snapToGrid w:val="0"/>
                <w:color w:val="auto"/>
                <w:kern w:val="0"/>
                <w:szCs w:val="21"/>
                <w:highlight w:val="none"/>
              </w:rPr>
            </w:pPr>
          </w:p>
        </w:tc>
      </w:tr>
    </w:tbl>
    <w:p w14:paraId="16F5438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6.2.1.2评价基准年气象资料统计分析</w:t>
      </w:r>
    </w:p>
    <w:p w14:paraId="685C3E29">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本项目地面气象观测资料采用</w:t>
      </w:r>
      <w:r>
        <w:rPr>
          <w:rFonts w:hint="eastAsia" w:ascii="Times New Roman" w:hAnsi="Times New Roman" w:eastAsia="宋体" w:cs="Times New Roman"/>
          <w:snapToGrid w:val="0"/>
          <w:color w:val="auto"/>
          <w:kern w:val="0"/>
          <w:highlight w:val="none"/>
        </w:rPr>
        <w:t>乌苏市</w:t>
      </w:r>
      <w:r>
        <w:rPr>
          <w:rFonts w:ascii="Times New Roman" w:hAnsi="Times New Roman" w:eastAsia="宋体" w:cs="Times New Roman"/>
          <w:snapToGrid w:val="0"/>
          <w:color w:val="auto"/>
          <w:kern w:val="0"/>
          <w:highlight w:val="none"/>
        </w:rPr>
        <w:t>气象观测站</w:t>
      </w:r>
      <w:r>
        <w:rPr>
          <w:rFonts w:hint="eastAsia" w:ascii="Times New Roman" w:hAnsi="Times New Roman" w:eastAsia="宋体" w:cs="Times New Roman"/>
          <w:snapToGrid w:val="0"/>
          <w:color w:val="auto"/>
          <w:kern w:val="0"/>
          <w:highlight w:val="none"/>
        </w:rPr>
        <w:t>资料，气象站地理坐标：东经84.69</w:t>
      </w:r>
      <w:r>
        <w:rPr>
          <w:rFonts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rPr>
        <w:t>，北纬</w:t>
      </w:r>
      <w:r>
        <w:rPr>
          <w:rFonts w:ascii="Times New Roman" w:hAnsi="Times New Roman" w:eastAsia="宋体" w:cs="Times New Roman"/>
          <w:snapToGrid w:val="0"/>
          <w:color w:val="auto"/>
          <w:kern w:val="0"/>
          <w:highlight w:val="none"/>
        </w:rPr>
        <w:t>44</w:t>
      </w:r>
      <w:r>
        <w:rPr>
          <w:rFonts w:hint="eastAsia" w:ascii="Times New Roman" w:hAnsi="Times New Roman" w:eastAsia="宋体" w:cs="Times New Roman"/>
          <w:snapToGrid w:val="0"/>
          <w:color w:val="auto"/>
          <w:kern w:val="0"/>
          <w:highlight w:val="none"/>
        </w:rPr>
        <w:t>.43</w:t>
      </w:r>
      <w:r>
        <w:rPr>
          <w:rFonts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观测项目包括气温、气压、相对湿度、风速和风向、降水、日照等，气象资料可以满足《环境影响评价技术导则 大气环境》（HJ2.2-2018）中的相关要求。</w:t>
      </w:r>
    </w:p>
    <w:p w14:paraId="5E398C8C">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项目地面气象参数采用当地202</w:t>
      </w:r>
      <w:r>
        <w:rPr>
          <w:rFonts w:hint="eastAsia" w:ascii="Times New Roman" w:hAnsi="Times New Roman" w:eastAsia="宋体" w:cs="Times New Roman"/>
          <w:snapToGrid w:val="0"/>
          <w:color w:val="auto"/>
          <w:kern w:val="0"/>
          <w:highlight w:val="none"/>
        </w:rPr>
        <w:t>4</w:t>
      </w:r>
      <w:r>
        <w:rPr>
          <w:rFonts w:ascii="Times New Roman" w:hAnsi="Times New Roman" w:eastAsia="宋体" w:cs="Times New Roman"/>
          <w:snapToGrid w:val="0"/>
          <w:color w:val="auto"/>
          <w:kern w:val="0"/>
          <w:highlight w:val="none"/>
        </w:rPr>
        <w:t>年全年逐日、一日24次地面观测数据。地面气象数据项目包括：风向、风速、总云量、干球温度5项，属于AERMOD预测模式</w:t>
      </w:r>
      <w:r>
        <w:rPr>
          <w:rFonts w:hint="eastAsia" w:ascii="Times New Roman" w:hAnsi="Times New Roman" w:eastAsia="宋体" w:cs="Times New Roman"/>
          <w:snapToGrid w:val="0"/>
          <w:color w:val="auto"/>
          <w:kern w:val="0"/>
          <w:highlight w:val="none"/>
        </w:rPr>
        <w:t>必需</w:t>
      </w:r>
      <w:r>
        <w:rPr>
          <w:rFonts w:ascii="Times New Roman" w:hAnsi="Times New Roman" w:eastAsia="宋体" w:cs="Times New Roman"/>
          <w:snapToGrid w:val="0"/>
          <w:color w:val="auto"/>
          <w:kern w:val="0"/>
          <w:highlight w:val="none"/>
        </w:rPr>
        <w:t>参数。观测气象数据信息表，见表</w:t>
      </w:r>
      <w:r>
        <w:rPr>
          <w:rFonts w:hint="eastAsia" w:ascii="Times New Roman" w:hAnsi="Times New Roman" w:eastAsia="宋体" w:cs="Times New Roman"/>
          <w:snapToGrid w:val="0"/>
          <w:color w:val="auto"/>
          <w:kern w:val="0"/>
          <w:highlight w:val="none"/>
        </w:rPr>
        <w:t>6</w:t>
      </w:r>
      <w:r>
        <w:rPr>
          <w:rFonts w:ascii="Times New Roman" w:hAnsi="Times New Roman" w:eastAsia="宋体" w:cs="Times New Roman"/>
          <w:snapToGrid w:val="0"/>
          <w:color w:val="auto"/>
          <w:kern w:val="0"/>
          <w:highlight w:val="none"/>
        </w:rPr>
        <w:t>.2-</w:t>
      </w:r>
      <w:r>
        <w:rPr>
          <w:rFonts w:hint="eastAsia" w:ascii="Times New Roman" w:hAnsi="Times New Roman" w:eastAsia="宋体" w:cs="Times New Roman"/>
          <w:snapToGrid w:val="0"/>
          <w:color w:val="auto"/>
          <w:kern w:val="0"/>
          <w:highlight w:val="none"/>
        </w:rPr>
        <w:t>2</w:t>
      </w:r>
      <w:r>
        <w:rPr>
          <w:rFonts w:ascii="Times New Roman" w:hAnsi="Times New Roman" w:eastAsia="宋体" w:cs="Times New Roman"/>
          <w:snapToGrid w:val="0"/>
          <w:color w:val="auto"/>
          <w:kern w:val="0"/>
          <w:highlight w:val="none"/>
        </w:rPr>
        <w:t>。</w:t>
      </w:r>
    </w:p>
    <w:p w14:paraId="71F11C8D">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表6.2-2 观测气象站数据信息表</w:t>
      </w:r>
    </w:p>
    <w:tbl>
      <w:tblPr>
        <w:tblStyle w:val="56"/>
        <w:tblW w:w="0" w:type="auto"/>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5" w:type="dxa"/>
          <w:bottom w:w="15" w:type="dxa"/>
          <w:right w:w="15" w:type="dxa"/>
        </w:tblCellMar>
      </w:tblPr>
      <w:tblGrid>
        <w:gridCol w:w="951"/>
        <w:gridCol w:w="870"/>
        <w:gridCol w:w="915"/>
        <w:gridCol w:w="795"/>
        <w:gridCol w:w="795"/>
        <w:gridCol w:w="915"/>
        <w:gridCol w:w="645"/>
        <w:gridCol w:w="933"/>
        <w:gridCol w:w="1629"/>
      </w:tblGrid>
      <w:tr w14:paraId="1351CD5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95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604311B">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气象站名称</w:t>
            </w:r>
          </w:p>
        </w:tc>
        <w:tc>
          <w:tcPr>
            <w:tcW w:w="870"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A1AEDDF">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气象站编号</w:t>
            </w:r>
          </w:p>
        </w:tc>
        <w:tc>
          <w:tcPr>
            <w:tcW w:w="91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C75B47">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气象站等级</w:t>
            </w:r>
          </w:p>
        </w:tc>
        <w:tc>
          <w:tcPr>
            <w:tcW w:w="1590"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58893D4">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气象站坐标</w:t>
            </w:r>
          </w:p>
        </w:tc>
        <w:tc>
          <w:tcPr>
            <w:tcW w:w="91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ACAE719">
            <w:pPr>
              <w:pStyle w:val="678"/>
              <w:widowControl/>
              <w:adjustRightInd w:val="0"/>
              <w:snapToGrid w:val="0"/>
              <w:rPr>
                <w:rFonts w:hint="eastAsia" w:ascii="Times New Roman" w:hAnsi="Times New Roman" w:eastAsia="宋体" w:cs="Times New Roman"/>
                <w:bCs w:val="0"/>
                <w:snapToGrid w:val="0"/>
                <w:color w:val="auto"/>
                <w:kern w:val="0"/>
                <w:highlight w:val="none"/>
                <w:lang w:eastAsia="zh-CN"/>
              </w:rPr>
            </w:pPr>
            <w:r>
              <w:rPr>
                <w:rFonts w:ascii="Times New Roman" w:hAnsi="Times New Roman" w:eastAsia="宋体" w:cs="Times New Roman"/>
                <w:bCs w:val="0"/>
                <w:snapToGrid w:val="0"/>
                <w:color w:val="auto"/>
                <w:kern w:val="0"/>
                <w:highlight w:val="none"/>
              </w:rPr>
              <w:t>相对距离</w:t>
            </w:r>
            <w:r>
              <w:rPr>
                <w:rFonts w:hint="eastAsia" w:ascii="Times New Roman" w:hAnsi="Times New Roman" w:eastAsia="宋体" w:cs="Times New Roman"/>
                <w:bCs w:val="0"/>
                <w:snapToGrid w:val="0"/>
                <w:color w:val="auto"/>
                <w:kern w:val="0"/>
                <w:highlight w:val="none"/>
                <w:lang w:eastAsia="zh-CN"/>
              </w:rPr>
              <w:t>（</w:t>
            </w:r>
            <w:r>
              <w:rPr>
                <w:rFonts w:hint="eastAsia" w:ascii="Times New Roman" w:hAnsi="Times New Roman" w:eastAsia="宋体" w:cs="Times New Roman"/>
                <w:bCs w:val="0"/>
                <w:snapToGrid w:val="0"/>
                <w:color w:val="auto"/>
                <w:kern w:val="0"/>
                <w:highlight w:val="none"/>
              </w:rPr>
              <w:t>k</w:t>
            </w:r>
            <w:r>
              <w:rPr>
                <w:rFonts w:ascii="Times New Roman" w:hAnsi="Times New Roman" w:eastAsia="宋体" w:cs="Times New Roman"/>
                <w:bCs w:val="0"/>
                <w:snapToGrid w:val="0"/>
                <w:color w:val="auto"/>
                <w:kern w:val="0"/>
                <w:highlight w:val="none"/>
              </w:rPr>
              <w:t>m</w:t>
            </w:r>
            <w:r>
              <w:rPr>
                <w:rFonts w:hint="eastAsia" w:ascii="Times New Roman" w:hAnsi="Times New Roman" w:eastAsia="宋体" w:cs="Times New Roman"/>
                <w:bCs w:val="0"/>
                <w:snapToGrid w:val="0"/>
                <w:color w:val="auto"/>
                <w:kern w:val="0"/>
                <w:highlight w:val="none"/>
                <w:lang w:eastAsia="zh-CN"/>
              </w:rPr>
              <w:t>）</w:t>
            </w:r>
          </w:p>
        </w:tc>
        <w:tc>
          <w:tcPr>
            <w:tcW w:w="64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6FB81BA">
            <w:pPr>
              <w:pStyle w:val="678"/>
              <w:widowControl/>
              <w:adjustRightInd w:val="0"/>
              <w:snapToGrid w:val="0"/>
              <w:rPr>
                <w:rFonts w:hint="eastAsia" w:ascii="Times New Roman" w:hAnsi="Times New Roman" w:eastAsia="宋体" w:cs="Times New Roman"/>
                <w:bCs w:val="0"/>
                <w:snapToGrid w:val="0"/>
                <w:color w:val="auto"/>
                <w:kern w:val="0"/>
                <w:highlight w:val="none"/>
                <w:lang w:val="en-US" w:eastAsia="zh-CN"/>
              </w:rPr>
            </w:pPr>
            <w:r>
              <w:rPr>
                <w:rFonts w:hint="eastAsia" w:ascii="Times New Roman" w:hAnsi="Times New Roman" w:eastAsia="宋体" w:cs="Times New Roman"/>
                <w:bCs w:val="0"/>
                <w:snapToGrid w:val="0"/>
                <w:color w:val="auto"/>
                <w:kern w:val="0"/>
                <w:highlight w:val="none"/>
              </w:rPr>
              <w:t>海拔</w:t>
            </w:r>
            <w:r>
              <w:rPr>
                <w:rFonts w:hint="eastAsia" w:ascii="Times New Roman" w:hAnsi="Times New Roman" w:eastAsia="宋体" w:cs="Times New Roman"/>
                <w:bCs w:val="0"/>
                <w:snapToGrid w:val="0"/>
                <w:color w:val="auto"/>
                <w:kern w:val="0"/>
                <w:highlight w:val="none"/>
                <w:lang w:val="en-US" w:eastAsia="zh-CN"/>
              </w:rPr>
              <w:t>(</w:t>
            </w:r>
            <w:r>
              <w:rPr>
                <w:rFonts w:ascii="Times New Roman" w:hAnsi="Times New Roman" w:eastAsia="宋体" w:cs="Times New Roman"/>
                <w:bCs w:val="0"/>
                <w:snapToGrid w:val="0"/>
                <w:color w:val="auto"/>
                <w:kern w:val="0"/>
                <w:highlight w:val="none"/>
              </w:rPr>
              <w:t>m</w:t>
            </w:r>
            <w:r>
              <w:rPr>
                <w:rFonts w:hint="eastAsia" w:ascii="Times New Roman" w:hAnsi="Times New Roman" w:eastAsia="宋体" w:cs="Times New Roman"/>
                <w:bCs w:val="0"/>
                <w:snapToGrid w:val="0"/>
                <w:color w:val="auto"/>
                <w:kern w:val="0"/>
                <w:highlight w:val="none"/>
                <w:lang w:val="en-US" w:eastAsia="zh-CN"/>
              </w:rPr>
              <w:t>)</w:t>
            </w:r>
          </w:p>
        </w:tc>
        <w:tc>
          <w:tcPr>
            <w:tcW w:w="933"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9C452A6">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数据</w:t>
            </w:r>
          </w:p>
          <w:p w14:paraId="7B51910A">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年份</w:t>
            </w:r>
          </w:p>
        </w:tc>
        <w:tc>
          <w:tcPr>
            <w:tcW w:w="1629"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1A82F16">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气象要素</w:t>
            </w:r>
          </w:p>
        </w:tc>
      </w:tr>
      <w:tr w14:paraId="44FE867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2B1988">
            <w:pPr>
              <w:pStyle w:val="678"/>
              <w:widowControl/>
              <w:adjustRightInd w:val="0"/>
              <w:snapToGrid w:val="0"/>
              <w:rPr>
                <w:rFonts w:ascii="Times New Roman" w:hAnsi="Times New Roman" w:eastAsia="宋体" w:cs="Times New Roman"/>
                <w:bCs w:val="0"/>
                <w:snapToGrid w:val="0"/>
                <w:color w:val="auto"/>
                <w:kern w:val="0"/>
                <w:highlight w:val="none"/>
              </w:rPr>
            </w:pPr>
          </w:p>
        </w:tc>
        <w:tc>
          <w:tcPr>
            <w:tcW w:w="8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6EB2C0">
            <w:pPr>
              <w:pStyle w:val="678"/>
              <w:widowControl/>
              <w:adjustRightInd w:val="0"/>
              <w:snapToGrid w:val="0"/>
              <w:rPr>
                <w:rFonts w:ascii="Times New Roman" w:hAnsi="Times New Roman" w:eastAsia="宋体" w:cs="Times New Roman"/>
                <w:bCs w:val="0"/>
                <w:snapToGrid w:val="0"/>
                <w:color w:val="auto"/>
                <w:kern w:val="0"/>
                <w:highlight w:val="none"/>
              </w:rPr>
            </w:pPr>
          </w:p>
        </w:tc>
        <w:tc>
          <w:tcPr>
            <w:tcW w:w="9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22FE32">
            <w:pPr>
              <w:pStyle w:val="678"/>
              <w:widowControl/>
              <w:adjustRightInd w:val="0"/>
              <w:snapToGrid w:val="0"/>
              <w:rPr>
                <w:rFonts w:ascii="Times New Roman" w:hAnsi="Times New Roman" w:eastAsia="宋体" w:cs="Times New Roman"/>
                <w:bCs w:val="0"/>
                <w:snapToGrid w:val="0"/>
                <w:color w:val="auto"/>
                <w:kern w:val="0"/>
                <w:highlight w:val="none"/>
              </w:rPr>
            </w:pPr>
          </w:p>
        </w:tc>
        <w:tc>
          <w:tcPr>
            <w:tcW w:w="7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82F8051">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N</w:t>
            </w:r>
          </w:p>
        </w:tc>
        <w:tc>
          <w:tcPr>
            <w:tcW w:w="7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2B3059A">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E</w:t>
            </w:r>
          </w:p>
        </w:tc>
        <w:tc>
          <w:tcPr>
            <w:tcW w:w="91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6DE85C7">
            <w:pPr>
              <w:pStyle w:val="678"/>
              <w:widowControl/>
              <w:adjustRightInd w:val="0"/>
              <w:snapToGrid w:val="0"/>
              <w:rPr>
                <w:rFonts w:ascii="Times New Roman" w:hAnsi="Times New Roman" w:eastAsia="宋体" w:cs="Times New Roman"/>
                <w:bCs w:val="0"/>
                <w:snapToGrid w:val="0"/>
                <w:color w:val="auto"/>
                <w:kern w:val="0"/>
                <w:highlight w:val="none"/>
              </w:rPr>
            </w:pPr>
          </w:p>
        </w:tc>
        <w:tc>
          <w:tcPr>
            <w:tcW w:w="64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A9A76F5">
            <w:pPr>
              <w:pStyle w:val="678"/>
              <w:widowControl/>
              <w:adjustRightInd w:val="0"/>
              <w:snapToGrid w:val="0"/>
              <w:rPr>
                <w:rFonts w:ascii="Times New Roman" w:hAnsi="Times New Roman" w:eastAsia="宋体" w:cs="Times New Roman"/>
                <w:bCs w:val="0"/>
                <w:snapToGrid w:val="0"/>
                <w:color w:val="auto"/>
                <w:kern w:val="0"/>
                <w:highlight w:val="none"/>
              </w:rPr>
            </w:pPr>
          </w:p>
        </w:tc>
        <w:tc>
          <w:tcPr>
            <w:tcW w:w="933"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1D11FDC">
            <w:pPr>
              <w:pStyle w:val="678"/>
              <w:widowControl/>
              <w:adjustRightInd w:val="0"/>
              <w:snapToGrid w:val="0"/>
              <w:rPr>
                <w:rFonts w:ascii="Times New Roman" w:hAnsi="Times New Roman" w:eastAsia="宋体" w:cs="Times New Roman"/>
                <w:bCs w:val="0"/>
                <w:snapToGrid w:val="0"/>
                <w:color w:val="auto"/>
                <w:kern w:val="0"/>
                <w:highlight w:val="none"/>
              </w:rPr>
            </w:pPr>
          </w:p>
        </w:tc>
        <w:tc>
          <w:tcPr>
            <w:tcW w:w="1629"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031FED3">
            <w:pPr>
              <w:pStyle w:val="678"/>
              <w:widowControl/>
              <w:adjustRightInd w:val="0"/>
              <w:snapToGrid w:val="0"/>
              <w:rPr>
                <w:rFonts w:ascii="Times New Roman" w:hAnsi="Times New Roman" w:eastAsia="宋体" w:cs="Times New Roman"/>
                <w:bCs w:val="0"/>
                <w:snapToGrid w:val="0"/>
                <w:color w:val="auto"/>
                <w:kern w:val="0"/>
                <w:highlight w:val="none"/>
              </w:rPr>
            </w:pPr>
          </w:p>
        </w:tc>
      </w:tr>
      <w:tr w14:paraId="02CDF92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5" w:type="dxa"/>
            <w:bottom w:w="15" w:type="dxa"/>
            <w:right w:w="15" w:type="dxa"/>
          </w:tblCellMar>
        </w:tblPrEx>
        <w:trPr>
          <w:trHeight w:val="340" w:hRule="atLeast"/>
          <w:tblHeader/>
          <w:jc w:val="center"/>
        </w:trPr>
        <w:tc>
          <w:tcPr>
            <w:tcW w:w="95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F49DE3E">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乌苏市气象站</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3D07C7A">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513</w:t>
            </w:r>
            <w:r>
              <w:rPr>
                <w:rFonts w:hint="eastAsia" w:ascii="Times New Roman" w:hAnsi="Times New Roman" w:eastAsia="宋体" w:cs="Times New Roman"/>
                <w:bCs w:val="0"/>
                <w:snapToGrid w:val="0"/>
                <w:color w:val="auto"/>
                <w:kern w:val="0"/>
                <w:highlight w:val="none"/>
              </w:rPr>
              <w:t>4</w:t>
            </w:r>
            <w:r>
              <w:rPr>
                <w:rFonts w:ascii="Times New Roman" w:hAnsi="Times New Roman" w:eastAsia="宋体" w:cs="Times New Roman"/>
                <w:bCs w:val="0"/>
                <w:snapToGrid w:val="0"/>
                <w:color w:val="auto"/>
                <w:kern w:val="0"/>
                <w:highlight w:val="none"/>
              </w:rPr>
              <w:t>6</w:t>
            </w:r>
          </w:p>
        </w:tc>
        <w:tc>
          <w:tcPr>
            <w:tcW w:w="91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53DC9DE">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市级</w:t>
            </w:r>
            <w:r>
              <w:rPr>
                <w:rFonts w:ascii="Times New Roman" w:hAnsi="Times New Roman" w:eastAsia="宋体" w:cs="Times New Roman"/>
                <w:bCs w:val="0"/>
                <w:snapToGrid w:val="0"/>
                <w:color w:val="auto"/>
                <w:kern w:val="0"/>
                <w:highlight w:val="none"/>
              </w:rPr>
              <w:t>站</w:t>
            </w:r>
          </w:p>
        </w:tc>
        <w:tc>
          <w:tcPr>
            <w:tcW w:w="7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E414993">
            <w:pPr>
              <w:pStyle w:val="678"/>
              <w:widowControl/>
              <w:adjustRightInd w:val="0"/>
              <w:snapToGrid w:val="0"/>
              <w:rPr>
                <w:rFonts w:ascii="Times New Roman" w:hAnsi="Times New Roman" w:eastAsia="宋体" w:cs="Times New Roman"/>
                <w:bCs w:val="0"/>
                <w:snapToGrid w:val="0"/>
                <w:color w:val="auto"/>
                <w:kern w:val="0"/>
                <w:highlight w:val="none"/>
              </w:rPr>
            </w:pPr>
            <w:r>
              <w:rPr>
                <w:rFonts w:ascii="Times New Roman" w:hAnsi="Times New Roman" w:eastAsia="宋体" w:cs="Times New Roman"/>
                <w:bCs w:val="0"/>
                <w:snapToGrid w:val="0"/>
                <w:color w:val="auto"/>
                <w:kern w:val="0"/>
                <w:highlight w:val="none"/>
              </w:rPr>
              <w:t>4</w:t>
            </w:r>
            <w:r>
              <w:rPr>
                <w:rFonts w:hint="eastAsia" w:ascii="Times New Roman" w:hAnsi="Times New Roman" w:eastAsia="宋体" w:cs="Times New Roman"/>
                <w:bCs w:val="0"/>
                <w:snapToGrid w:val="0"/>
                <w:color w:val="auto"/>
                <w:kern w:val="0"/>
                <w:highlight w:val="none"/>
              </w:rPr>
              <w:t>4.43</w:t>
            </w:r>
            <w:r>
              <w:rPr>
                <w:rFonts w:ascii="Times New Roman" w:hAnsi="Times New Roman" w:eastAsia="宋体" w:cs="Times New Roman"/>
                <w:bCs w:val="0"/>
                <w:snapToGrid w:val="0"/>
                <w:color w:val="auto"/>
                <w:kern w:val="0"/>
                <w:highlight w:val="none"/>
              </w:rPr>
              <w:t>°</w:t>
            </w:r>
          </w:p>
        </w:tc>
        <w:tc>
          <w:tcPr>
            <w:tcW w:w="7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50FB844">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84.69</w:t>
            </w:r>
            <w:r>
              <w:rPr>
                <w:rFonts w:ascii="Times New Roman" w:hAnsi="Times New Roman" w:eastAsia="宋体" w:cs="Times New Roman"/>
                <w:bCs w:val="0"/>
                <w:snapToGrid w:val="0"/>
                <w:color w:val="auto"/>
                <w:kern w:val="0"/>
                <w:highlight w:val="none"/>
              </w:rPr>
              <w:t>°</w:t>
            </w:r>
          </w:p>
        </w:tc>
        <w:tc>
          <w:tcPr>
            <w:tcW w:w="91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012CE9D">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34</w:t>
            </w:r>
          </w:p>
        </w:tc>
        <w:tc>
          <w:tcPr>
            <w:tcW w:w="64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B0E6F29">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471</w:t>
            </w:r>
          </w:p>
        </w:tc>
        <w:tc>
          <w:tcPr>
            <w:tcW w:w="9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D4DDC74">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2024年</w:t>
            </w:r>
          </w:p>
        </w:tc>
        <w:tc>
          <w:tcPr>
            <w:tcW w:w="162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1FE886C">
            <w:pPr>
              <w:pStyle w:val="678"/>
              <w:widowControl/>
              <w:adjustRightInd w:val="0"/>
              <w:snapToGrid w:val="0"/>
              <w:rPr>
                <w:rFonts w:ascii="Times New Roman" w:hAnsi="Times New Roman" w:eastAsia="宋体" w:cs="Times New Roman"/>
                <w:bCs w:val="0"/>
                <w:snapToGrid w:val="0"/>
                <w:color w:val="auto"/>
                <w:kern w:val="0"/>
                <w:highlight w:val="none"/>
              </w:rPr>
            </w:pPr>
            <w:r>
              <w:rPr>
                <w:rFonts w:hint="eastAsia" w:ascii="Times New Roman" w:hAnsi="Times New Roman" w:eastAsia="宋体" w:cs="Times New Roman"/>
                <w:bCs w:val="0"/>
                <w:snapToGrid w:val="0"/>
                <w:color w:val="auto"/>
                <w:kern w:val="0"/>
                <w:highlight w:val="none"/>
              </w:rPr>
              <w:t>风向、风速、总云、低云、干球温度</w:t>
            </w:r>
          </w:p>
        </w:tc>
      </w:tr>
    </w:tbl>
    <w:p w14:paraId="6D7AE1C5">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lang w:val="zh-CN"/>
        </w:rPr>
      </w:pPr>
      <w:r>
        <w:rPr>
          <w:snapToGrid w:val="0"/>
          <w:color w:val="auto"/>
          <w:kern w:val="0"/>
          <w:sz w:val="24"/>
          <w:highlight w:val="none"/>
          <w:lang w:val="zh-CN"/>
        </w:rPr>
        <w:t>（</w:t>
      </w:r>
      <w:r>
        <w:rPr>
          <w:snapToGrid w:val="0"/>
          <w:color w:val="auto"/>
          <w:kern w:val="0"/>
          <w:sz w:val="24"/>
          <w:highlight w:val="none"/>
        </w:rPr>
        <w:t>1</w:t>
      </w:r>
      <w:r>
        <w:rPr>
          <w:snapToGrid w:val="0"/>
          <w:color w:val="auto"/>
          <w:kern w:val="0"/>
          <w:sz w:val="24"/>
          <w:highlight w:val="none"/>
          <w:lang w:val="zh-CN"/>
        </w:rPr>
        <w:t>）温度</w:t>
      </w:r>
    </w:p>
    <w:p w14:paraId="27BE34C3">
      <w:pPr>
        <w:widowControl/>
        <w:adjustRightInd w:val="0"/>
        <w:snapToGrid w:val="0"/>
        <w:spacing w:line="360" w:lineRule="auto"/>
        <w:ind w:firstLine="480" w:firstLineChars="200"/>
        <w:rPr>
          <w:snapToGrid w:val="0"/>
          <w:color w:val="auto"/>
          <w:kern w:val="0"/>
          <w:sz w:val="24"/>
          <w:highlight w:val="none"/>
          <w:lang w:val="zh-CN"/>
        </w:rPr>
      </w:pPr>
      <w:r>
        <w:rPr>
          <w:snapToGrid w:val="0"/>
          <w:color w:val="auto"/>
          <w:kern w:val="0"/>
          <w:sz w:val="24"/>
          <w:highlight w:val="none"/>
          <w:lang w:val="zh-CN"/>
        </w:rPr>
        <w:t>根据气象站提供的202</w:t>
      </w:r>
      <w:r>
        <w:rPr>
          <w:rFonts w:hint="eastAsia"/>
          <w:snapToGrid w:val="0"/>
          <w:color w:val="auto"/>
          <w:kern w:val="0"/>
          <w:sz w:val="24"/>
          <w:highlight w:val="none"/>
        </w:rPr>
        <w:t>4</w:t>
      </w:r>
      <w:r>
        <w:rPr>
          <w:snapToGrid w:val="0"/>
          <w:color w:val="auto"/>
          <w:kern w:val="0"/>
          <w:sz w:val="24"/>
          <w:highlight w:val="none"/>
          <w:lang w:val="zh-CN"/>
        </w:rPr>
        <w:t>年地面气象观测数据，区域202</w:t>
      </w:r>
      <w:r>
        <w:rPr>
          <w:rFonts w:hint="eastAsia"/>
          <w:snapToGrid w:val="0"/>
          <w:color w:val="auto"/>
          <w:kern w:val="0"/>
          <w:sz w:val="24"/>
          <w:highlight w:val="none"/>
        </w:rPr>
        <w:t>4</w:t>
      </w:r>
      <w:r>
        <w:rPr>
          <w:snapToGrid w:val="0"/>
          <w:color w:val="auto"/>
          <w:kern w:val="0"/>
          <w:sz w:val="24"/>
          <w:highlight w:val="none"/>
          <w:lang w:val="zh-CN"/>
        </w:rPr>
        <w:t>年平均温度为</w:t>
      </w:r>
      <w:r>
        <w:rPr>
          <w:rFonts w:hint="eastAsia"/>
          <w:snapToGrid w:val="0"/>
          <w:color w:val="auto"/>
          <w:kern w:val="0"/>
          <w:sz w:val="24"/>
          <w:highlight w:val="none"/>
          <w:lang w:val="en-US" w:eastAsia="zh-CN"/>
        </w:rPr>
        <w:t>8.96</w:t>
      </w:r>
      <w:r>
        <w:rPr>
          <w:snapToGrid w:val="0"/>
          <w:color w:val="auto"/>
          <w:kern w:val="0"/>
          <w:sz w:val="24"/>
          <w:highlight w:val="none"/>
          <w:lang w:val="zh-CN"/>
        </w:rPr>
        <w:t>℃，7月份平均气温最高为</w:t>
      </w:r>
      <w:r>
        <w:rPr>
          <w:snapToGrid w:val="0"/>
          <w:color w:val="auto"/>
          <w:kern w:val="0"/>
          <w:sz w:val="24"/>
          <w:highlight w:val="none"/>
        </w:rPr>
        <w:t>2</w:t>
      </w:r>
      <w:r>
        <w:rPr>
          <w:rFonts w:hint="eastAsia"/>
          <w:snapToGrid w:val="0"/>
          <w:color w:val="auto"/>
          <w:kern w:val="0"/>
          <w:sz w:val="24"/>
          <w:highlight w:val="none"/>
          <w:lang w:val="en-US" w:eastAsia="zh-CN"/>
        </w:rPr>
        <w:t>7.21</w:t>
      </w:r>
      <w:r>
        <w:rPr>
          <w:snapToGrid w:val="0"/>
          <w:color w:val="auto"/>
          <w:kern w:val="0"/>
          <w:sz w:val="24"/>
          <w:highlight w:val="none"/>
          <w:lang w:val="zh-CN"/>
        </w:rPr>
        <w:t>℃，</w:t>
      </w:r>
      <w:r>
        <w:rPr>
          <w:rFonts w:hint="eastAsia"/>
          <w:snapToGrid w:val="0"/>
          <w:color w:val="auto"/>
          <w:kern w:val="0"/>
          <w:sz w:val="24"/>
          <w:highlight w:val="none"/>
          <w:lang w:val="en-US" w:eastAsia="zh-CN"/>
        </w:rPr>
        <w:t>2</w:t>
      </w:r>
      <w:r>
        <w:rPr>
          <w:snapToGrid w:val="0"/>
          <w:color w:val="auto"/>
          <w:kern w:val="0"/>
          <w:sz w:val="24"/>
          <w:highlight w:val="none"/>
          <w:lang w:val="zh-CN"/>
        </w:rPr>
        <w:t>月份平均温度为最低-</w:t>
      </w:r>
      <w:r>
        <w:rPr>
          <w:snapToGrid w:val="0"/>
          <w:color w:val="auto"/>
          <w:kern w:val="0"/>
          <w:sz w:val="24"/>
          <w:highlight w:val="none"/>
        </w:rPr>
        <w:t>1</w:t>
      </w:r>
      <w:r>
        <w:rPr>
          <w:rFonts w:hint="eastAsia"/>
          <w:snapToGrid w:val="0"/>
          <w:color w:val="auto"/>
          <w:kern w:val="0"/>
          <w:sz w:val="24"/>
          <w:highlight w:val="none"/>
          <w:lang w:val="en-US" w:eastAsia="zh-CN"/>
        </w:rPr>
        <w:t>3.9</w:t>
      </w:r>
      <w:r>
        <w:rPr>
          <w:snapToGrid w:val="0"/>
          <w:color w:val="auto"/>
          <w:kern w:val="0"/>
          <w:sz w:val="24"/>
          <w:highlight w:val="none"/>
          <w:lang w:val="zh-CN"/>
        </w:rPr>
        <w:t>℃。统计数据见</w:t>
      </w:r>
      <w:r>
        <w:rPr>
          <w:snapToGrid w:val="0"/>
          <w:color w:val="auto"/>
          <w:kern w:val="0"/>
          <w:sz w:val="24"/>
          <w:highlight w:val="none"/>
        </w:rPr>
        <w:t>表</w:t>
      </w:r>
      <w:r>
        <w:rPr>
          <w:rFonts w:hint="eastAsia"/>
          <w:snapToGrid w:val="0"/>
          <w:color w:val="auto"/>
          <w:kern w:val="0"/>
          <w:sz w:val="24"/>
          <w:highlight w:val="none"/>
        </w:rPr>
        <w:t>6.2-3</w:t>
      </w:r>
      <w:r>
        <w:rPr>
          <w:snapToGrid w:val="0"/>
          <w:color w:val="auto"/>
          <w:kern w:val="0"/>
          <w:sz w:val="24"/>
          <w:highlight w:val="none"/>
          <w:lang w:val="zh-CN"/>
        </w:rPr>
        <w:t>，月温度变化曲线见</w:t>
      </w:r>
      <w:r>
        <w:rPr>
          <w:snapToGrid w:val="0"/>
          <w:color w:val="auto"/>
          <w:kern w:val="0"/>
          <w:sz w:val="24"/>
          <w:highlight w:val="none"/>
        </w:rPr>
        <w:t>图</w:t>
      </w:r>
      <w:r>
        <w:rPr>
          <w:rFonts w:hint="eastAsia"/>
          <w:snapToGrid w:val="0"/>
          <w:color w:val="auto"/>
          <w:kern w:val="0"/>
          <w:sz w:val="24"/>
          <w:highlight w:val="none"/>
          <w:lang w:val="en-US" w:eastAsia="zh-CN"/>
        </w:rPr>
        <w:t>6</w:t>
      </w:r>
      <w:r>
        <w:rPr>
          <w:rFonts w:hint="eastAsia"/>
          <w:snapToGrid w:val="0"/>
          <w:color w:val="auto"/>
          <w:kern w:val="0"/>
          <w:sz w:val="24"/>
          <w:highlight w:val="none"/>
        </w:rPr>
        <w:t>.2-</w:t>
      </w:r>
      <w:r>
        <w:rPr>
          <w:rFonts w:hint="eastAsia"/>
          <w:snapToGrid w:val="0"/>
          <w:color w:val="auto"/>
          <w:kern w:val="0"/>
          <w:sz w:val="24"/>
          <w:highlight w:val="none"/>
          <w:lang w:val="en-US" w:eastAsia="zh-CN"/>
        </w:rPr>
        <w:t>1</w:t>
      </w:r>
      <w:r>
        <w:rPr>
          <w:rFonts w:hint="eastAsia"/>
          <w:snapToGrid w:val="0"/>
          <w:color w:val="auto"/>
          <w:kern w:val="0"/>
          <w:sz w:val="24"/>
          <w:highlight w:val="none"/>
        </w:rPr>
        <w:t>。</w:t>
      </w:r>
    </w:p>
    <w:p w14:paraId="2BD45BE9">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zh-CN"/>
        </w:rPr>
      </w:pPr>
      <w:r>
        <w:rPr>
          <w:rFonts w:hint="eastAsia" w:ascii="Times New Roman" w:hAnsi="Times New Roman" w:cs="Times New Roman"/>
          <w:snapToGrid w:val="0"/>
          <w:color w:val="auto"/>
          <w:kern w:val="0"/>
          <w:sz w:val="21"/>
          <w:szCs w:val="21"/>
          <w:highlight w:val="none"/>
        </w:rPr>
        <w:t xml:space="preserve">表6.2-3 </w:t>
      </w:r>
      <w:r>
        <w:rPr>
          <w:rFonts w:hint="eastAsia" w:ascii="Times New Roman" w:hAnsi="Times New Roman" w:cs="Times New Roman"/>
          <w:snapToGrid w:val="0"/>
          <w:color w:val="auto"/>
          <w:kern w:val="0"/>
          <w:sz w:val="21"/>
          <w:szCs w:val="21"/>
          <w:highlight w:val="none"/>
          <w:lang w:val="zh-CN"/>
        </w:rPr>
        <w:t>区域202</w:t>
      </w:r>
      <w:r>
        <w:rPr>
          <w:rFonts w:hint="eastAsia" w:ascii="Times New Roman" w:hAnsi="Times New Roman" w:cs="Times New Roman"/>
          <w:snapToGrid w:val="0"/>
          <w:color w:val="auto"/>
          <w:kern w:val="0"/>
          <w:sz w:val="21"/>
          <w:szCs w:val="21"/>
          <w:highlight w:val="none"/>
        </w:rPr>
        <w:t>4</w:t>
      </w:r>
      <w:r>
        <w:rPr>
          <w:rFonts w:hint="eastAsia" w:ascii="Times New Roman" w:hAnsi="Times New Roman" w:cs="Times New Roman"/>
          <w:snapToGrid w:val="0"/>
          <w:color w:val="auto"/>
          <w:kern w:val="0"/>
          <w:sz w:val="21"/>
          <w:szCs w:val="21"/>
          <w:highlight w:val="none"/>
          <w:lang w:val="zh-CN"/>
        </w:rPr>
        <w:t>年平均温度月变化表</w:t>
      </w:r>
    </w:p>
    <w:tbl>
      <w:tblPr>
        <w:tblStyle w:val="56"/>
        <w:tblW w:w="5000"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0" w:type="dxa"/>
          <w:bottom w:w="0" w:type="dxa"/>
          <w:right w:w="0" w:type="dxa"/>
        </w:tblCellMar>
      </w:tblPr>
      <w:tblGrid>
        <w:gridCol w:w="1069"/>
        <w:gridCol w:w="596"/>
        <w:gridCol w:w="545"/>
        <w:gridCol w:w="510"/>
        <w:gridCol w:w="561"/>
        <w:gridCol w:w="561"/>
        <w:gridCol w:w="561"/>
        <w:gridCol w:w="561"/>
        <w:gridCol w:w="562"/>
        <w:gridCol w:w="562"/>
        <w:gridCol w:w="562"/>
        <w:gridCol w:w="562"/>
        <w:gridCol w:w="599"/>
        <w:gridCol w:w="511"/>
      </w:tblGrid>
      <w:tr w14:paraId="2A5180E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73" w:type="pct"/>
            <w:shd w:val="clear" w:color="auto" w:fill="auto"/>
            <w:noWrap/>
            <w:vAlign w:val="center"/>
          </w:tcPr>
          <w:p w14:paraId="2999DB1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月份</w:t>
            </w:r>
          </w:p>
        </w:tc>
        <w:tc>
          <w:tcPr>
            <w:tcW w:w="371" w:type="pct"/>
            <w:shd w:val="clear" w:color="auto" w:fill="auto"/>
            <w:noWrap/>
            <w:vAlign w:val="center"/>
          </w:tcPr>
          <w:p w14:paraId="360A66B9">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1月</w:t>
            </w:r>
          </w:p>
        </w:tc>
        <w:tc>
          <w:tcPr>
            <w:tcW w:w="340" w:type="pct"/>
            <w:shd w:val="clear" w:color="auto" w:fill="auto"/>
            <w:noWrap/>
            <w:vAlign w:val="center"/>
          </w:tcPr>
          <w:p w14:paraId="21DB4C60">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2月</w:t>
            </w:r>
          </w:p>
        </w:tc>
        <w:tc>
          <w:tcPr>
            <w:tcW w:w="319" w:type="pct"/>
            <w:shd w:val="clear" w:color="auto" w:fill="auto"/>
            <w:noWrap/>
            <w:vAlign w:val="center"/>
          </w:tcPr>
          <w:p w14:paraId="50B135AF">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3月</w:t>
            </w:r>
          </w:p>
        </w:tc>
        <w:tc>
          <w:tcPr>
            <w:tcW w:w="350" w:type="pct"/>
            <w:shd w:val="clear" w:color="auto" w:fill="auto"/>
            <w:noWrap/>
            <w:vAlign w:val="center"/>
          </w:tcPr>
          <w:p w14:paraId="50D9078D">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4月</w:t>
            </w:r>
          </w:p>
        </w:tc>
        <w:tc>
          <w:tcPr>
            <w:tcW w:w="350" w:type="pct"/>
            <w:shd w:val="clear" w:color="auto" w:fill="auto"/>
            <w:noWrap/>
            <w:vAlign w:val="center"/>
          </w:tcPr>
          <w:p w14:paraId="7FAA787F">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5月</w:t>
            </w:r>
          </w:p>
        </w:tc>
        <w:tc>
          <w:tcPr>
            <w:tcW w:w="350" w:type="pct"/>
            <w:shd w:val="clear" w:color="auto" w:fill="auto"/>
            <w:noWrap/>
            <w:vAlign w:val="center"/>
          </w:tcPr>
          <w:p w14:paraId="445BB7B1">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6月</w:t>
            </w:r>
          </w:p>
        </w:tc>
        <w:tc>
          <w:tcPr>
            <w:tcW w:w="350" w:type="pct"/>
            <w:shd w:val="clear" w:color="auto" w:fill="auto"/>
            <w:noWrap/>
            <w:vAlign w:val="center"/>
          </w:tcPr>
          <w:p w14:paraId="5D998FFC">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7月</w:t>
            </w:r>
          </w:p>
        </w:tc>
        <w:tc>
          <w:tcPr>
            <w:tcW w:w="350" w:type="pct"/>
            <w:shd w:val="clear" w:color="auto" w:fill="auto"/>
            <w:noWrap/>
            <w:vAlign w:val="center"/>
          </w:tcPr>
          <w:p w14:paraId="4A2E8E6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8月</w:t>
            </w:r>
          </w:p>
        </w:tc>
        <w:tc>
          <w:tcPr>
            <w:tcW w:w="350" w:type="pct"/>
            <w:shd w:val="clear" w:color="auto" w:fill="auto"/>
            <w:noWrap/>
            <w:vAlign w:val="center"/>
          </w:tcPr>
          <w:p w14:paraId="685663C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9月</w:t>
            </w:r>
          </w:p>
        </w:tc>
        <w:tc>
          <w:tcPr>
            <w:tcW w:w="350" w:type="pct"/>
            <w:shd w:val="clear" w:color="auto" w:fill="auto"/>
            <w:noWrap/>
            <w:vAlign w:val="center"/>
          </w:tcPr>
          <w:p w14:paraId="5D402E3D">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10月</w:t>
            </w:r>
          </w:p>
        </w:tc>
        <w:tc>
          <w:tcPr>
            <w:tcW w:w="350" w:type="pct"/>
            <w:shd w:val="clear" w:color="auto" w:fill="auto"/>
            <w:noWrap/>
            <w:vAlign w:val="center"/>
          </w:tcPr>
          <w:p w14:paraId="60C8AEB0">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11月</w:t>
            </w:r>
          </w:p>
        </w:tc>
        <w:tc>
          <w:tcPr>
            <w:tcW w:w="372" w:type="pct"/>
            <w:shd w:val="clear" w:color="auto" w:fill="auto"/>
            <w:noWrap/>
            <w:vAlign w:val="center"/>
          </w:tcPr>
          <w:p w14:paraId="7D6CB96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12月</w:t>
            </w:r>
          </w:p>
        </w:tc>
        <w:tc>
          <w:tcPr>
            <w:tcW w:w="319" w:type="pct"/>
            <w:vAlign w:val="center"/>
          </w:tcPr>
          <w:p w14:paraId="7CA82F28">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平均</w:t>
            </w:r>
          </w:p>
        </w:tc>
      </w:tr>
      <w:tr w14:paraId="338045F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73" w:type="pct"/>
            <w:shd w:val="clear" w:color="auto" w:fill="auto"/>
            <w:noWrap/>
            <w:vAlign w:val="center"/>
          </w:tcPr>
          <w:p w14:paraId="1FE23F3C">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温度</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w:t>
            </w:r>
          </w:p>
        </w:tc>
        <w:tc>
          <w:tcPr>
            <w:tcW w:w="371" w:type="pct"/>
            <w:shd w:val="clear" w:color="auto" w:fill="auto"/>
            <w:noWrap/>
            <w:vAlign w:val="center"/>
          </w:tcPr>
          <w:p w14:paraId="1D4B2CAB">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2.47</w:t>
            </w:r>
          </w:p>
        </w:tc>
        <w:tc>
          <w:tcPr>
            <w:tcW w:w="340" w:type="pct"/>
            <w:shd w:val="clear" w:color="auto" w:fill="auto"/>
            <w:noWrap/>
            <w:vAlign w:val="center"/>
          </w:tcPr>
          <w:p w14:paraId="46A7C985">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13.9</w:t>
            </w:r>
          </w:p>
        </w:tc>
        <w:tc>
          <w:tcPr>
            <w:tcW w:w="319" w:type="pct"/>
            <w:shd w:val="clear" w:color="auto" w:fill="auto"/>
            <w:noWrap/>
            <w:vAlign w:val="center"/>
          </w:tcPr>
          <w:p w14:paraId="1D2AEE0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2.09</w:t>
            </w:r>
          </w:p>
        </w:tc>
        <w:tc>
          <w:tcPr>
            <w:tcW w:w="350" w:type="pct"/>
            <w:shd w:val="clear" w:color="auto" w:fill="auto"/>
            <w:noWrap/>
            <w:vAlign w:val="center"/>
          </w:tcPr>
          <w:p w14:paraId="4934156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4.31</w:t>
            </w:r>
          </w:p>
        </w:tc>
        <w:tc>
          <w:tcPr>
            <w:tcW w:w="350" w:type="pct"/>
            <w:shd w:val="clear" w:color="auto" w:fill="auto"/>
            <w:noWrap/>
            <w:vAlign w:val="center"/>
          </w:tcPr>
          <w:p w14:paraId="7B0034C1">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21.84</w:t>
            </w:r>
          </w:p>
        </w:tc>
        <w:tc>
          <w:tcPr>
            <w:tcW w:w="350" w:type="pct"/>
            <w:shd w:val="clear" w:color="auto" w:fill="auto"/>
            <w:noWrap/>
            <w:vAlign w:val="center"/>
          </w:tcPr>
          <w:p w14:paraId="2C659659">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2</w:t>
            </w:r>
            <w:r>
              <w:rPr>
                <w:rFonts w:hint="eastAsia" w:ascii="Times New Roman" w:hAnsi="Times New Roman" w:cs="Times New Roman"/>
                <w:color w:val="auto"/>
                <w:sz w:val="21"/>
                <w:szCs w:val="21"/>
                <w:highlight w:val="none"/>
                <w:lang w:val="en-US" w:eastAsia="zh-CN"/>
              </w:rPr>
              <w:t>7.03</w:t>
            </w:r>
          </w:p>
        </w:tc>
        <w:tc>
          <w:tcPr>
            <w:tcW w:w="350" w:type="pct"/>
            <w:shd w:val="clear" w:color="auto" w:fill="auto"/>
            <w:noWrap/>
            <w:vAlign w:val="center"/>
          </w:tcPr>
          <w:p w14:paraId="20707A4F">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2</w:t>
            </w:r>
            <w:r>
              <w:rPr>
                <w:rFonts w:hint="eastAsia" w:ascii="Times New Roman" w:hAnsi="Times New Roman" w:cs="Times New Roman"/>
                <w:color w:val="auto"/>
                <w:sz w:val="21"/>
                <w:szCs w:val="21"/>
                <w:highlight w:val="none"/>
                <w:lang w:val="en-US" w:eastAsia="zh-CN"/>
              </w:rPr>
              <w:t>7.21</w:t>
            </w:r>
          </w:p>
        </w:tc>
        <w:tc>
          <w:tcPr>
            <w:tcW w:w="350" w:type="pct"/>
            <w:shd w:val="clear" w:color="auto" w:fill="auto"/>
            <w:noWrap/>
            <w:vAlign w:val="center"/>
          </w:tcPr>
          <w:p w14:paraId="018B1147">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.65</w:t>
            </w:r>
          </w:p>
        </w:tc>
        <w:tc>
          <w:tcPr>
            <w:tcW w:w="350" w:type="pct"/>
            <w:shd w:val="clear" w:color="auto" w:fill="auto"/>
            <w:noWrap/>
            <w:vAlign w:val="center"/>
          </w:tcPr>
          <w:p w14:paraId="7FA9743E">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6.46</w:t>
            </w:r>
          </w:p>
        </w:tc>
        <w:tc>
          <w:tcPr>
            <w:tcW w:w="350" w:type="pct"/>
            <w:shd w:val="clear" w:color="auto" w:fill="auto"/>
            <w:noWrap/>
            <w:vAlign w:val="center"/>
          </w:tcPr>
          <w:p w14:paraId="5A37B50C">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0.82</w:t>
            </w:r>
          </w:p>
        </w:tc>
        <w:tc>
          <w:tcPr>
            <w:tcW w:w="350" w:type="pct"/>
            <w:shd w:val="clear" w:color="auto" w:fill="auto"/>
            <w:noWrap/>
            <w:vAlign w:val="center"/>
          </w:tcPr>
          <w:p w14:paraId="431C05DA">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-0.18</w:t>
            </w:r>
          </w:p>
        </w:tc>
        <w:tc>
          <w:tcPr>
            <w:tcW w:w="372" w:type="pct"/>
            <w:shd w:val="clear" w:color="auto" w:fill="auto"/>
            <w:noWrap/>
            <w:vAlign w:val="center"/>
          </w:tcPr>
          <w:p w14:paraId="5D4B2624">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2.32</w:t>
            </w:r>
          </w:p>
        </w:tc>
        <w:tc>
          <w:tcPr>
            <w:tcW w:w="319" w:type="pct"/>
            <w:vAlign w:val="center"/>
          </w:tcPr>
          <w:p w14:paraId="4A4A1CD2">
            <w:pPr>
              <w:keepNext w:val="0"/>
              <w:keepLines w:val="0"/>
              <w:pageBreakBefore w:val="0"/>
              <w:widowControl w:val="0"/>
              <w:kinsoku/>
              <w:wordWrap/>
              <w:overflowPunct/>
              <w:topLinePunct w:val="0"/>
              <w:autoSpaceDE/>
              <w:autoSpaceDN/>
              <w:bidi w:val="0"/>
              <w:adjustRightInd/>
              <w:snapToGrid/>
              <w:spacing w:before="0" w:beforeAutospacing="0" w:after="0" w:afterAutospacing="0" w:line="280" w:lineRule="exact"/>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8.96</w:t>
            </w:r>
          </w:p>
        </w:tc>
      </w:tr>
    </w:tbl>
    <w:p w14:paraId="51224660">
      <w:pPr>
        <w:adjustRightInd w:val="0"/>
        <w:snapToGrid w:val="0"/>
        <w:contextualSpacing/>
        <w:jc w:val="center"/>
        <w:rPr>
          <w:color w:val="auto"/>
          <w:highlight w:val="none"/>
        </w:rPr>
      </w:pPr>
    </w:p>
    <w:p w14:paraId="0F8CD7B7">
      <w:pPr>
        <w:adjustRightInd w:val="0"/>
        <w:snapToGrid w:val="0"/>
        <w:contextualSpacing/>
        <w:jc w:val="center"/>
        <w:rPr>
          <w:color w:val="auto"/>
          <w:szCs w:val="22"/>
          <w:highlight w:val="none"/>
          <w:lang w:val="zh-CN"/>
        </w:rPr>
      </w:pPr>
      <w:r>
        <w:rPr>
          <w:color w:val="auto"/>
          <w:highlight w:val="none"/>
        </w:rPr>
        <w:drawing>
          <wp:inline distT="0" distB="0" distL="114300" distR="114300">
            <wp:extent cx="4812665" cy="1773555"/>
            <wp:effectExtent l="4445" t="5080" r="21590" b="12065"/>
            <wp:docPr id="1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8A34719">
      <w:pPr>
        <w:pStyle w:val="68"/>
        <w:rPr>
          <w:rFonts w:eastAsia="黑体"/>
          <w:color w:val="auto"/>
          <w:kern w:val="0"/>
          <w:highlight w:val="none"/>
          <w:lang w:val="zh-CN"/>
        </w:rPr>
      </w:pPr>
      <w:r>
        <w:rPr>
          <w:rFonts w:hint="eastAsia" w:eastAsia="黑体"/>
          <w:color w:val="auto"/>
          <w:kern w:val="0"/>
          <w:highlight w:val="none"/>
        </w:rPr>
        <w:t xml:space="preserve">图6.2-1 </w:t>
      </w:r>
      <w:r>
        <w:rPr>
          <w:rFonts w:hint="eastAsia" w:eastAsia="黑体"/>
          <w:color w:val="auto"/>
          <w:kern w:val="0"/>
          <w:highlight w:val="none"/>
          <w:lang w:val="zh-CN"/>
        </w:rPr>
        <w:t>区域202</w:t>
      </w:r>
      <w:r>
        <w:rPr>
          <w:rFonts w:hint="eastAsia" w:eastAsia="黑体"/>
          <w:color w:val="auto"/>
          <w:kern w:val="0"/>
          <w:highlight w:val="none"/>
        </w:rPr>
        <w:t>4</w:t>
      </w:r>
      <w:r>
        <w:rPr>
          <w:rFonts w:hint="eastAsia" w:eastAsia="黑体"/>
          <w:color w:val="auto"/>
          <w:kern w:val="0"/>
          <w:highlight w:val="none"/>
          <w:lang w:val="zh-CN"/>
        </w:rPr>
        <w:t>年年平均温度月变化曲线图</w:t>
      </w:r>
    </w:p>
    <w:p w14:paraId="16B806EA">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eastAsia="宋体" w:cs="Times New Roman"/>
          <w:snapToGrid w:val="0"/>
          <w:color w:val="auto"/>
          <w:kern w:val="0"/>
          <w:sz w:val="24"/>
          <w:highlight w:val="none"/>
          <w:lang w:val="zh-CN"/>
        </w:rPr>
      </w:pPr>
      <w:r>
        <w:rPr>
          <w:rFonts w:hint="default" w:ascii="Times New Roman" w:hAnsi="Times New Roman" w:eastAsia="宋体" w:cs="Times New Roman"/>
          <w:snapToGrid w:val="0"/>
          <w:color w:val="auto"/>
          <w:kern w:val="0"/>
          <w:sz w:val="24"/>
          <w:highlight w:val="none"/>
          <w:lang w:val="zh-CN"/>
        </w:rPr>
        <w:t>（2）风向、风频</w:t>
      </w:r>
    </w:p>
    <w:p w14:paraId="2BCA9B34">
      <w:pPr>
        <w:pStyle w:val="504"/>
        <w:adjustRightInd w:val="0"/>
        <w:snapToGrid w:val="0"/>
        <w:spacing w:line="360" w:lineRule="auto"/>
        <w:ind w:firstLine="480"/>
        <w:rPr>
          <w:rFonts w:hint="eastAsia" w:ascii="Times New Roman" w:hAnsi="Times New Roman" w:cs="Times New Roman"/>
          <w:snapToGrid w:val="0"/>
          <w:color w:val="auto"/>
          <w:kern w:val="0"/>
          <w:highlight w:val="none"/>
          <w:lang w:val="zh-CN" w:eastAsia="zh-CN"/>
        </w:rPr>
      </w:pPr>
      <w:r>
        <w:rPr>
          <w:rFonts w:hint="default" w:ascii="Times New Roman" w:hAnsi="Times New Roman" w:cs="Times New Roman"/>
          <w:snapToGrid w:val="0"/>
          <w:color w:val="auto"/>
          <w:kern w:val="0"/>
          <w:highlight w:val="none"/>
          <w:lang w:val="zh-CN"/>
        </w:rPr>
        <w:t>区域202</w:t>
      </w:r>
      <w:r>
        <w:rPr>
          <w:rFonts w:hint="eastAsia" w:ascii="Times New Roman" w:hAnsi="Times New Roman" w:cs="Times New Roman"/>
          <w:snapToGrid w:val="0"/>
          <w:color w:val="auto"/>
          <w:kern w:val="0"/>
          <w:highlight w:val="none"/>
          <w:lang w:val="en-US" w:eastAsia="zh-CN"/>
        </w:rPr>
        <w:t>4</w:t>
      </w:r>
      <w:r>
        <w:rPr>
          <w:rFonts w:hint="default" w:ascii="Times New Roman" w:hAnsi="Times New Roman" w:cs="Times New Roman"/>
          <w:snapToGrid w:val="0"/>
          <w:color w:val="auto"/>
          <w:kern w:val="0"/>
          <w:highlight w:val="none"/>
          <w:lang w:val="zh-CN"/>
        </w:rPr>
        <w:t>年各月、各季及全年风向、风频统计结果见表</w:t>
      </w:r>
      <w:r>
        <w:rPr>
          <w:rFonts w:hint="eastAsia" w:ascii="Times New Roman" w:hAnsi="Times New Roman" w:cs="Times New Roman"/>
          <w:snapToGrid w:val="0"/>
          <w:color w:val="auto"/>
          <w:kern w:val="0"/>
          <w:highlight w:val="none"/>
          <w:lang w:val="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4</w:t>
      </w:r>
      <w:r>
        <w:rPr>
          <w:rFonts w:hint="default" w:ascii="Times New Roman" w:hAnsi="Times New Roman" w:cs="Times New Roman"/>
          <w:snapToGrid w:val="0"/>
          <w:color w:val="auto"/>
          <w:kern w:val="0"/>
          <w:highlight w:val="none"/>
          <w:lang w:val="zh-CN"/>
        </w:rPr>
        <w:t>和表</w:t>
      </w:r>
      <w:r>
        <w:rPr>
          <w:rFonts w:hint="eastAsia" w:ascii="Times New Roman" w:hAnsi="Times New Roman" w:cs="Times New Roman"/>
          <w:snapToGrid w:val="0"/>
          <w:color w:val="auto"/>
          <w:kern w:val="0"/>
          <w:highlight w:val="none"/>
          <w:lang w:val="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5</w:t>
      </w:r>
      <w:r>
        <w:rPr>
          <w:rFonts w:hint="default" w:ascii="Times New Roman" w:hAnsi="Times New Roman" w:cs="Times New Roman"/>
          <w:snapToGrid w:val="0"/>
          <w:color w:val="auto"/>
          <w:kern w:val="0"/>
          <w:highlight w:val="none"/>
          <w:lang w:val="zh-CN"/>
        </w:rPr>
        <w:t>。各月、各季及全年风玫瑰见图</w:t>
      </w:r>
      <w:r>
        <w:rPr>
          <w:rFonts w:hint="eastAsia" w:ascii="Times New Roman" w:hAnsi="Times New Roman" w:cs="Times New Roman"/>
          <w:snapToGrid w:val="0"/>
          <w:color w:val="auto"/>
          <w:kern w:val="0"/>
          <w:highlight w:val="none"/>
          <w:lang w:val="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2</w:t>
      </w:r>
      <w:r>
        <w:rPr>
          <w:rFonts w:hint="default" w:ascii="Times New Roman" w:hAnsi="Times New Roman" w:cs="Times New Roman"/>
          <w:snapToGrid w:val="0"/>
          <w:color w:val="auto"/>
          <w:kern w:val="0"/>
          <w:highlight w:val="none"/>
          <w:lang w:val="zh-CN"/>
        </w:rPr>
        <w:t>。根据气象资料统计分析可知，评价区域内202</w:t>
      </w:r>
      <w:r>
        <w:rPr>
          <w:rFonts w:hint="eastAsia" w:ascii="Times New Roman" w:hAnsi="Times New Roman" w:cs="Times New Roman"/>
          <w:snapToGrid w:val="0"/>
          <w:color w:val="auto"/>
          <w:kern w:val="0"/>
          <w:highlight w:val="none"/>
          <w:lang w:val="en-US" w:eastAsia="zh-CN"/>
        </w:rPr>
        <w:t>4</w:t>
      </w:r>
      <w:r>
        <w:rPr>
          <w:rFonts w:hint="default" w:ascii="Times New Roman" w:hAnsi="Times New Roman" w:cs="Times New Roman"/>
          <w:snapToGrid w:val="0"/>
          <w:color w:val="auto"/>
          <w:kern w:val="0"/>
          <w:highlight w:val="none"/>
          <w:lang w:val="zh-CN"/>
        </w:rPr>
        <w:t>年全年风频最大的方向为N风向</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风频</w:t>
      </w:r>
      <w:r>
        <w:rPr>
          <w:rFonts w:hint="eastAsia" w:ascii="Times New Roman" w:hAnsi="Times New Roman" w:cs="Times New Roman"/>
          <w:snapToGrid w:val="0"/>
          <w:color w:val="auto"/>
          <w:kern w:val="0"/>
          <w:highlight w:val="none"/>
          <w:lang w:val="en-US" w:eastAsia="zh-CN"/>
        </w:rPr>
        <w:t>13.79</w:t>
      </w:r>
      <w:r>
        <w:rPr>
          <w:rFonts w:hint="default" w:ascii="Times New Roman" w:hAnsi="Times New Roman" w:cs="Times New Roman"/>
          <w:snapToGrid w:val="0"/>
          <w:color w:val="auto"/>
          <w:kern w:val="0"/>
          <w:highlight w:val="none"/>
          <w:lang w:val="zh-CN"/>
        </w:rPr>
        <w:t>%</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，春季风频最大的方向是S风向</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风频1</w:t>
      </w:r>
      <w:r>
        <w:rPr>
          <w:rFonts w:hint="eastAsia" w:ascii="Times New Roman" w:hAnsi="Times New Roman" w:cs="Times New Roman"/>
          <w:snapToGrid w:val="0"/>
          <w:color w:val="auto"/>
          <w:kern w:val="0"/>
          <w:highlight w:val="none"/>
          <w:lang w:val="en-US" w:eastAsia="zh-CN"/>
        </w:rPr>
        <w:t>2.77</w:t>
      </w:r>
      <w:r>
        <w:rPr>
          <w:rFonts w:hint="default" w:ascii="Times New Roman" w:hAnsi="Times New Roman" w:cs="Times New Roman"/>
          <w:snapToGrid w:val="0"/>
          <w:color w:val="auto"/>
          <w:kern w:val="0"/>
          <w:highlight w:val="none"/>
          <w:lang w:val="zh-CN"/>
        </w:rPr>
        <w:t>%</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，夏季风频最大的方向是</w:t>
      </w:r>
      <w:r>
        <w:rPr>
          <w:rFonts w:hint="eastAsia" w:ascii="Times New Roman" w:hAnsi="Times New Roman" w:cs="Times New Roman"/>
          <w:snapToGrid w:val="0"/>
          <w:color w:val="auto"/>
          <w:kern w:val="0"/>
          <w:highlight w:val="none"/>
          <w:lang w:val="en-US" w:eastAsia="zh-CN"/>
        </w:rPr>
        <w:t>N</w:t>
      </w:r>
      <w:r>
        <w:rPr>
          <w:rFonts w:hint="default" w:ascii="Times New Roman" w:hAnsi="Times New Roman" w:cs="Times New Roman"/>
          <w:snapToGrid w:val="0"/>
          <w:color w:val="auto"/>
          <w:kern w:val="0"/>
          <w:highlight w:val="none"/>
          <w:lang w:val="zh-CN"/>
        </w:rPr>
        <w:t>风向</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风频1</w:t>
      </w:r>
      <w:r>
        <w:rPr>
          <w:rFonts w:hint="eastAsia" w:ascii="Times New Roman" w:hAnsi="Times New Roman" w:cs="Times New Roman"/>
          <w:snapToGrid w:val="0"/>
          <w:color w:val="auto"/>
          <w:kern w:val="0"/>
          <w:highlight w:val="none"/>
          <w:lang w:val="en-US" w:eastAsia="zh-CN"/>
        </w:rPr>
        <w:t>2.5</w:t>
      </w:r>
      <w:r>
        <w:rPr>
          <w:rFonts w:hint="default" w:ascii="Times New Roman" w:hAnsi="Times New Roman" w:cs="Times New Roman"/>
          <w:snapToGrid w:val="0"/>
          <w:color w:val="auto"/>
          <w:kern w:val="0"/>
          <w:highlight w:val="none"/>
          <w:lang w:val="zh-CN"/>
        </w:rPr>
        <w:t>%</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，秋季风频最大的方向是S</w:t>
      </w:r>
      <w:r>
        <w:rPr>
          <w:rFonts w:hint="eastAsia" w:ascii="Times New Roman" w:hAnsi="Times New Roman" w:cs="Times New Roman"/>
          <w:snapToGrid w:val="0"/>
          <w:color w:val="auto"/>
          <w:kern w:val="0"/>
          <w:highlight w:val="none"/>
          <w:lang w:val="en-US" w:eastAsia="zh-CN"/>
        </w:rPr>
        <w:t>SE</w:t>
      </w:r>
      <w:r>
        <w:rPr>
          <w:rFonts w:hint="default" w:ascii="Times New Roman" w:hAnsi="Times New Roman" w:cs="Times New Roman"/>
          <w:snapToGrid w:val="0"/>
          <w:color w:val="auto"/>
          <w:kern w:val="0"/>
          <w:highlight w:val="none"/>
          <w:lang w:val="zh-CN"/>
        </w:rPr>
        <w:t>风向</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风频1</w:t>
      </w:r>
      <w:r>
        <w:rPr>
          <w:rFonts w:hint="eastAsia" w:ascii="Times New Roman" w:hAnsi="Times New Roman" w:cs="Times New Roman"/>
          <w:snapToGrid w:val="0"/>
          <w:color w:val="auto"/>
          <w:kern w:val="0"/>
          <w:highlight w:val="none"/>
          <w:lang w:val="en-US" w:eastAsia="zh-CN"/>
        </w:rPr>
        <w:t>7.54</w:t>
      </w:r>
      <w:r>
        <w:rPr>
          <w:rFonts w:hint="default" w:ascii="Times New Roman" w:hAnsi="Times New Roman" w:cs="Times New Roman"/>
          <w:snapToGrid w:val="0"/>
          <w:color w:val="auto"/>
          <w:kern w:val="0"/>
          <w:highlight w:val="none"/>
          <w:lang w:val="zh-CN"/>
        </w:rPr>
        <w:t>%</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，冬季风频最大的方向是N风向</w:t>
      </w:r>
      <w:r>
        <w:rPr>
          <w:rFonts w:hint="eastAsia" w:ascii="Times New Roman" w:hAnsi="Times New Roman" w:cs="Times New Roman"/>
          <w:snapToGrid w:val="0"/>
          <w:color w:val="auto"/>
          <w:kern w:val="0"/>
          <w:highlight w:val="none"/>
          <w:lang w:val="zh-CN"/>
        </w:rPr>
        <w:t>（</w:t>
      </w:r>
      <w:r>
        <w:rPr>
          <w:rFonts w:hint="default" w:ascii="Times New Roman" w:hAnsi="Times New Roman" w:cs="Times New Roman"/>
          <w:snapToGrid w:val="0"/>
          <w:color w:val="auto"/>
          <w:kern w:val="0"/>
          <w:highlight w:val="none"/>
          <w:lang w:val="zh-CN"/>
        </w:rPr>
        <w:t>风频</w:t>
      </w:r>
      <w:r>
        <w:rPr>
          <w:rFonts w:hint="eastAsia" w:ascii="Times New Roman" w:hAnsi="Times New Roman" w:cs="Times New Roman"/>
          <w:snapToGrid w:val="0"/>
          <w:color w:val="auto"/>
          <w:kern w:val="0"/>
          <w:highlight w:val="none"/>
          <w:lang w:val="en-US" w:eastAsia="zh-CN"/>
        </w:rPr>
        <w:t>21.66</w:t>
      </w:r>
      <w:r>
        <w:rPr>
          <w:rFonts w:hint="default" w:ascii="Times New Roman" w:hAnsi="Times New Roman" w:cs="Times New Roman"/>
          <w:snapToGrid w:val="0"/>
          <w:color w:val="auto"/>
          <w:kern w:val="0"/>
          <w:highlight w:val="none"/>
          <w:lang w:val="zh-CN"/>
        </w:rPr>
        <w:t>%</w:t>
      </w:r>
      <w:r>
        <w:rPr>
          <w:rFonts w:hint="eastAsia" w:ascii="Times New Roman" w:hAnsi="Times New Roman" w:cs="Times New Roman"/>
          <w:snapToGrid w:val="0"/>
          <w:color w:val="auto"/>
          <w:kern w:val="0"/>
          <w:highlight w:val="none"/>
          <w:lang w:val="zh-CN"/>
        </w:rPr>
        <w:t>）</w:t>
      </w:r>
      <w:r>
        <w:rPr>
          <w:rFonts w:hint="eastAsia" w:ascii="Times New Roman" w:hAnsi="Times New Roman" w:cs="Times New Roman"/>
          <w:snapToGrid w:val="0"/>
          <w:color w:val="auto"/>
          <w:kern w:val="0"/>
          <w:highlight w:val="none"/>
          <w:lang w:val="zh-CN" w:eastAsia="zh-CN"/>
        </w:rPr>
        <w:t>。</w:t>
      </w:r>
    </w:p>
    <w:p w14:paraId="17283489">
      <w:pPr>
        <w:pStyle w:val="504"/>
        <w:adjustRightInd w:val="0"/>
        <w:snapToGrid w:val="0"/>
        <w:spacing w:line="360" w:lineRule="auto"/>
        <w:ind w:firstLine="480"/>
        <w:rPr>
          <w:rFonts w:hint="default" w:ascii="Times New Roman" w:hAnsi="Times New Roman" w:cs="Times New Roman"/>
          <w:snapToGrid w:val="0"/>
          <w:color w:val="auto"/>
          <w:kern w:val="0"/>
          <w:highlight w:val="none"/>
          <w:lang w:val="zh-CN"/>
        </w:rPr>
        <w:sectPr>
          <w:pgSz w:w="11906" w:h="16838"/>
          <w:pgMar w:top="1440" w:right="1800" w:bottom="1440" w:left="1800" w:header="850" w:footer="907" w:gutter="0"/>
          <w:pgBorders>
            <w:top w:val="none" w:sz="0" w:space="0"/>
            <w:left w:val="none" w:sz="0" w:space="0"/>
            <w:bottom w:val="none" w:sz="0" w:space="0"/>
            <w:right w:val="none" w:sz="0" w:space="0"/>
          </w:pgBorders>
          <w:pgNumType w:fmt="decimal"/>
          <w:cols w:space="425" w:num="1"/>
          <w:docGrid w:type="lines" w:linePitch="312" w:charSpace="0"/>
        </w:sectPr>
      </w:pPr>
    </w:p>
    <w:p w14:paraId="622050EA">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zh-CN" w:eastAsia="zh-CN"/>
        </w:rPr>
      </w:pPr>
      <w:r>
        <w:rPr>
          <w:rFonts w:hint="eastAsia" w:ascii="Times New Roman" w:hAnsi="Times New Roman" w:cs="Times New Roman"/>
          <w:snapToGrid w:val="0"/>
          <w:color w:val="auto"/>
          <w:kern w:val="0"/>
          <w:sz w:val="21"/>
          <w:szCs w:val="21"/>
          <w:highlight w:val="none"/>
          <w:lang w:val="en-US" w:eastAsia="zh-CN"/>
        </w:rPr>
        <w:t xml:space="preserve">表6.2-4 </w:t>
      </w:r>
      <w:r>
        <w:rPr>
          <w:rFonts w:hint="eastAsia" w:ascii="Times New Roman" w:hAnsi="Times New Roman" w:cs="Times New Roman"/>
          <w:snapToGrid w:val="0"/>
          <w:color w:val="auto"/>
          <w:kern w:val="0"/>
          <w:sz w:val="21"/>
          <w:szCs w:val="21"/>
          <w:highlight w:val="none"/>
          <w:lang w:val="zh-CN" w:eastAsia="zh-CN"/>
        </w:rPr>
        <w:t>区域202</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lang w:val="zh-CN" w:eastAsia="zh-CN"/>
        </w:rPr>
        <w:t>年风向、风</w:t>
      </w:r>
      <w:r>
        <w:rPr>
          <w:rFonts w:hint="eastAsia" w:ascii="Times New Roman" w:hAnsi="Times New Roman" w:cs="Times New Roman"/>
          <w:snapToGrid w:val="0"/>
          <w:color w:val="auto"/>
          <w:kern w:val="0"/>
          <w:sz w:val="21"/>
          <w:szCs w:val="21"/>
          <w:highlight w:val="none"/>
          <w:lang w:val="en-US" w:eastAsia="zh-CN"/>
        </w:rPr>
        <w:t>频</w:t>
      </w:r>
      <w:r>
        <w:rPr>
          <w:rFonts w:hint="eastAsia" w:ascii="Times New Roman" w:hAnsi="Times New Roman" w:cs="Times New Roman"/>
          <w:snapToGrid w:val="0"/>
          <w:color w:val="auto"/>
          <w:kern w:val="0"/>
          <w:sz w:val="21"/>
          <w:szCs w:val="21"/>
          <w:highlight w:val="none"/>
          <w:lang w:val="zh-CN" w:eastAsia="zh-CN"/>
        </w:rPr>
        <w:t>月变化统计表</w:t>
      </w:r>
    </w:p>
    <w:tbl>
      <w:tblPr>
        <w:tblStyle w:val="5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59"/>
        <w:gridCol w:w="736"/>
        <w:gridCol w:w="736"/>
        <w:gridCol w:w="736"/>
        <w:gridCol w:w="736"/>
        <w:gridCol w:w="736"/>
        <w:gridCol w:w="706"/>
        <w:gridCol w:w="602"/>
        <w:gridCol w:w="744"/>
        <w:gridCol w:w="706"/>
        <w:gridCol w:w="706"/>
        <w:gridCol w:w="663"/>
        <w:gridCol w:w="748"/>
        <w:gridCol w:w="755"/>
        <w:gridCol w:w="796"/>
        <w:gridCol w:w="662"/>
        <w:gridCol w:w="739"/>
        <w:gridCol w:w="690"/>
      </w:tblGrid>
      <w:tr w14:paraId="01B5F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6" w:space="0"/>
              <w:left w:val="single" w:color="auto" w:sz="6" w:space="0"/>
              <w:bottom w:val="single" w:color="auto" w:sz="4" w:space="0"/>
              <w:tl2br w:val="single" w:color="auto" w:sz="4" w:space="0"/>
            </w:tcBorders>
            <w:shd w:val="clear" w:color="auto" w:fill="auto"/>
            <w:noWrap/>
            <w:vAlign w:val="center"/>
          </w:tcPr>
          <w:p w14:paraId="7FABC34D">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right"/>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 xml:space="preserve">  </w:t>
            </w:r>
            <w:r>
              <w:rPr>
                <w:rFonts w:ascii="Times New Roman" w:hAnsi="Times New Roman" w:eastAsia="宋体" w:cs="Times New Roman"/>
                <w:snapToGrid w:val="0"/>
                <w:color w:val="auto"/>
                <w:kern w:val="0"/>
                <w:sz w:val="21"/>
                <w:szCs w:val="21"/>
                <w:highlight w:val="none"/>
              </w:rPr>
              <w:t>风频</w:t>
            </w:r>
            <w:r>
              <w:rPr>
                <w:rFonts w:hint="eastAsia"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w:t>
            </w:r>
            <w:r>
              <w:rPr>
                <w:rFonts w:hint="eastAsia" w:cs="Times New Roman"/>
                <w:snapToGrid w:val="0"/>
                <w:color w:val="auto"/>
                <w:kern w:val="0"/>
                <w:sz w:val="21"/>
                <w:szCs w:val="21"/>
                <w:highlight w:val="none"/>
                <w:lang w:eastAsia="zh-CN"/>
              </w:rPr>
              <w:t>）</w:t>
            </w:r>
          </w:p>
          <w:p w14:paraId="6127A67F">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left"/>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风向</w:t>
            </w:r>
          </w:p>
        </w:tc>
        <w:tc>
          <w:tcPr>
            <w:tcW w:w="273" w:type="pct"/>
            <w:tcBorders>
              <w:top w:val="single" w:color="auto" w:sz="6" w:space="0"/>
              <w:bottom w:val="single" w:color="auto" w:sz="4" w:space="0"/>
            </w:tcBorders>
            <w:shd w:val="clear" w:color="auto" w:fill="auto"/>
            <w:noWrap/>
            <w:vAlign w:val="center"/>
          </w:tcPr>
          <w:p w14:paraId="4AC22929">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w:t>
            </w:r>
          </w:p>
        </w:tc>
        <w:tc>
          <w:tcPr>
            <w:tcW w:w="273" w:type="pct"/>
            <w:tcBorders>
              <w:top w:val="single" w:color="auto" w:sz="6" w:space="0"/>
              <w:bottom w:val="single" w:color="auto" w:sz="4" w:space="0"/>
            </w:tcBorders>
            <w:shd w:val="clear" w:color="auto" w:fill="auto"/>
            <w:noWrap/>
            <w:vAlign w:val="center"/>
          </w:tcPr>
          <w:p w14:paraId="1DFCF941">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NNE</w:t>
            </w:r>
          </w:p>
        </w:tc>
        <w:tc>
          <w:tcPr>
            <w:tcW w:w="273" w:type="pct"/>
            <w:tcBorders>
              <w:top w:val="single" w:color="auto" w:sz="6" w:space="0"/>
              <w:bottom w:val="single" w:color="auto" w:sz="4" w:space="0"/>
            </w:tcBorders>
            <w:shd w:val="clear" w:color="auto" w:fill="auto"/>
            <w:noWrap/>
            <w:vAlign w:val="center"/>
          </w:tcPr>
          <w:p w14:paraId="1BC9969E">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NE</w:t>
            </w:r>
          </w:p>
        </w:tc>
        <w:tc>
          <w:tcPr>
            <w:tcW w:w="273" w:type="pct"/>
            <w:tcBorders>
              <w:top w:val="single" w:color="auto" w:sz="6" w:space="0"/>
              <w:bottom w:val="single" w:color="auto" w:sz="4" w:space="0"/>
            </w:tcBorders>
            <w:shd w:val="clear" w:color="auto" w:fill="auto"/>
            <w:noWrap/>
            <w:vAlign w:val="center"/>
          </w:tcPr>
          <w:p w14:paraId="32EB7E2C">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ENE</w:t>
            </w:r>
          </w:p>
        </w:tc>
        <w:tc>
          <w:tcPr>
            <w:tcW w:w="273" w:type="pct"/>
            <w:tcBorders>
              <w:top w:val="single" w:color="auto" w:sz="6" w:space="0"/>
              <w:bottom w:val="single" w:color="auto" w:sz="4" w:space="0"/>
            </w:tcBorders>
            <w:shd w:val="clear" w:color="auto" w:fill="auto"/>
            <w:noWrap/>
            <w:vAlign w:val="center"/>
          </w:tcPr>
          <w:p w14:paraId="058C4E90">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E</w:t>
            </w:r>
          </w:p>
        </w:tc>
        <w:tc>
          <w:tcPr>
            <w:tcW w:w="262" w:type="pct"/>
            <w:tcBorders>
              <w:top w:val="single" w:color="auto" w:sz="6" w:space="0"/>
              <w:bottom w:val="single" w:color="auto" w:sz="4" w:space="0"/>
            </w:tcBorders>
            <w:shd w:val="clear" w:color="auto" w:fill="auto"/>
            <w:noWrap/>
            <w:vAlign w:val="center"/>
          </w:tcPr>
          <w:p w14:paraId="657A47EB">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ESE</w:t>
            </w:r>
          </w:p>
        </w:tc>
        <w:tc>
          <w:tcPr>
            <w:tcW w:w="223" w:type="pct"/>
            <w:tcBorders>
              <w:top w:val="single" w:color="auto" w:sz="6" w:space="0"/>
              <w:bottom w:val="single" w:color="auto" w:sz="4" w:space="0"/>
            </w:tcBorders>
            <w:shd w:val="clear" w:color="auto" w:fill="auto"/>
            <w:noWrap/>
            <w:vAlign w:val="center"/>
          </w:tcPr>
          <w:p w14:paraId="1EC77338">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SE</w:t>
            </w:r>
          </w:p>
        </w:tc>
        <w:tc>
          <w:tcPr>
            <w:tcW w:w="276" w:type="pct"/>
            <w:tcBorders>
              <w:top w:val="single" w:color="auto" w:sz="6" w:space="0"/>
              <w:bottom w:val="single" w:color="auto" w:sz="4" w:space="0"/>
            </w:tcBorders>
            <w:shd w:val="clear" w:color="auto" w:fill="auto"/>
            <w:noWrap/>
            <w:vAlign w:val="center"/>
          </w:tcPr>
          <w:p w14:paraId="6353A4CC">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SSE</w:t>
            </w:r>
          </w:p>
        </w:tc>
        <w:tc>
          <w:tcPr>
            <w:tcW w:w="262" w:type="pct"/>
            <w:tcBorders>
              <w:top w:val="single" w:color="auto" w:sz="6" w:space="0"/>
              <w:bottom w:val="single" w:color="auto" w:sz="4" w:space="0"/>
            </w:tcBorders>
            <w:shd w:val="clear" w:color="auto" w:fill="auto"/>
            <w:noWrap/>
            <w:vAlign w:val="center"/>
          </w:tcPr>
          <w:p w14:paraId="3EF4D07D">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S</w:t>
            </w:r>
          </w:p>
        </w:tc>
        <w:tc>
          <w:tcPr>
            <w:tcW w:w="262" w:type="pct"/>
            <w:tcBorders>
              <w:top w:val="single" w:color="auto" w:sz="6" w:space="0"/>
              <w:bottom w:val="single" w:color="auto" w:sz="4" w:space="0"/>
            </w:tcBorders>
            <w:shd w:val="clear" w:color="auto" w:fill="auto"/>
            <w:noWrap/>
            <w:vAlign w:val="center"/>
          </w:tcPr>
          <w:p w14:paraId="3A9E8E9E">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SSW</w:t>
            </w:r>
          </w:p>
        </w:tc>
        <w:tc>
          <w:tcPr>
            <w:tcW w:w="246" w:type="pct"/>
            <w:tcBorders>
              <w:top w:val="single" w:color="auto" w:sz="6" w:space="0"/>
              <w:bottom w:val="single" w:color="auto" w:sz="4" w:space="0"/>
            </w:tcBorders>
            <w:shd w:val="clear" w:color="auto" w:fill="auto"/>
            <w:noWrap/>
            <w:vAlign w:val="center"/>
          </w:tcPr>
          <w:p w14:paraId="3C6F53A3">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SW</w:t>
            </w:r>
          </w:p>
        </w:tc>
        <w:tc>
          <w:tcPr>
            <w:tcW w:w="278" w:type="pct"/>
            <w:tcBorders>
              <w:top w:val="single" w:color="auto" w:sz="6" w:space="0"/>
              <w:bottom w:val="single" w:color="auto" w:sz="4" w:space="0"/>
            </w:tcBorders>
            <w:shd w:val="clear" w:color="auto" w:fill="auto"/>
            <w:noWrap/>
            <w:vAlign w:val="center"/>
          </w:tcPr>
          <w:p w14:paraId="1E3C3A95">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WSW</w:t>
            </w:r>
          </w:p>
        </w:tc>
        <w:tc>
          <w:tcPr>
            <w:tcW w:w="280" w:type="pct"/>
            <w:tcBorders>
              <w:top w:val="single" w:color="auto" w:sz="6" w:space="0"/>
              <w:bottom w:val="single" w:color="auto" w:sz="4" w:space="0"/>
            </w:tcBorders>
            <w:shd w:val="clear" w:color="auto" w:fill="auto"/>
            <w:noWrap/>
            <w:vAlign w:val="center"/>
          </w:tcPr>
          <w:p w14:paraId="68A4B6C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w:t>
            </w:r>
          </w:p>
        </w:tc>
        <w:tc>
          <w:tcPr>
            <w:tcW w:w="295" w:type="pct"/>
            <w:tcBorders>
              <w:top w:val="single" w:color="auto" w:sz="6" w:space="0"/>
              <w:bottom w:val="single" w:color="auto" w:sz="4" w:space="0"/>
            </w:tcBorders>
            <w:shd w:val="clear" w:color="auto" w:fill="auto"/>
            <w:noWrap/>
            <w:vAlign w:val="center"/>
          </w:tcPr>
          <w:p w14:paraId="1047189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WNW</w:t>
            </w:r>
          </w:p>
        </w:tc>
        <w:tc>
          <w:tcPr>
            <w:tcW w:w="245" w:type="pct"/>
            <w:tcBorders>
              <w:top w:val="single" w:color="auto" w:sz="6" w:space="0"/>
              <w:bottom w:val="single" w:color="auto" w:sz="4" w:space="0"/>
            </w:tcBorders>
            <w:shd w:val="clear" w:color="auto" w:fill="auto"/>
            <w:noWrap/>
            <w:vAlign w:val="center"/>
          </w:tcPr>
          <w:p w14:paraId="2B99E692">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NW</w:t>
            </w:r>
          </w:p>
        </w:tc>
        <w:tc>
          <w:tcPr>
            <w:tcW w:w="274" w:type="pct"/>
            <w:tcBorders>
              <w:top w:val="single" w:color="auto" w:sz="6" w:space="0"/>
              <w:bottom w:val="single" w:color="auto" w:sz="4" w:space="0"/>
            </w:tcBorders>
            <w:shd w:val="clear" w:color="auto" w:fill="auto"/>
            <w:noWrap/>
            <w:vAlign w:val="center"/>
          </w:tcPr>
          <w:p w14:paraId="0F5A2337">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NNW</w:t>
            </w:r>
          </w:p>
        </w:tc>
        <w:tc>
          <w:tcPr>
            <w:tcW w:w="256" w:type="pct"/>
            <w:tcBorders>
              <w:top w:val="single" w:color="auto" w:sz="6" w:space="0"/>
              <w:bottom w:val="single" w:color="auto" w:sz="4" w:space="0"/>
              <w:right w:val="single" w:color="auto" w:sz="6" w:space="0"/>
            </w:tcBorders>
            <w:shd w:val="clear" w:color="auto" w:fill="auto"/>
            <w:noWrap/>
            <w:vAlign w:val="center"/>
          </w:tcPr>
          <w:p w14:paraId="7EA92524">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C</w:t>
            </w:r>
          </w:p>
        </w:tc>
      </w:tr>
      <w:tr w14:paraId="479074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768093FB">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一月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357910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lang w:val="en-US"/>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w:t>
            </w:r>
            <w:r>
              <w:rPr>
                <w:rFonts w:hint="eastAsia" w:ascii="Times New Roman" w:hAnsi="Times New Roman" w:eastAsia="宋体" w:cs="Times New Roman"/>
                <w:i w:val="0"/>
                <w:iCs w:val="0"/>
                <w:snapToGrid w:val="0"/>
                <w:color w:val="auto"/>
                <w:kern w:val="0"/>
                <w:sz w:val="21"/>
                <w:szCs w:val="21"/>
                <w:highlight w:val="none"/>
                <w:u w:val="none"/>
                <w:lang w:val="en-US" w:eastAsia="zh-CN" w:bidi="ar"/>
              </w:rPr>
              <w:t>82</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A7772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15.99</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7CE5C4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9.68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C0089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7.66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7E8E8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3.23</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F99DEB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0.81</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581400C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721BDF4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8.20</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4B26BB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9.27</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125F7D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1.88</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2CE5E1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2.42</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2C06696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30B04E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754969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3AF6A29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3B596B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62C822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4.57</w:t>
            </w:r>
          </w:p>
        </w:tc>
      </w:tr>
      <w:tr w14:paraId="6CCBD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34FDEB34">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二月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21D2DE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17.96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1806E3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10.34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62BA38D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6835C59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31E703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2.73</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F85E7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1.15</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0BE695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3.02</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053596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16.67</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C6B82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14.22</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44EB90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2.44</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6737A8A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2.01</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07D351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2.87</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516A1EC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4.89</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16F37DD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1.87</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07ADB80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3.30</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4DED08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5.60</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650859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2.44</w:t>
            </w:r>
          </w:p>
        </w:tc>
      </w:tr>
      <w:tr w14:paraId="7A5C7A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201F7781">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三月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3DFB731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13.58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3DDFA99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7.80</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E40865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6.85</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E4E50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3.63</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D4EBE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3BDF7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1.48</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3200922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2DB290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11.02</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3EBE0B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15.46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6BB7C1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23A7D9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4.84</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7742457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4.84</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1DCE6B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8.06</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64572C1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1.34</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4ADC56F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3.76</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16F994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28A327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2.69</w:t>
            </w:r>
          </w:p>
        </w:tc>
      </w:tr>
      <w:tr w14:paraId="580ACC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2DD1561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四月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26EF63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6.94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196232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1E6590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6.81</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C0A8A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15D024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5.56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377D5B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5551C68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0ECE8F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11.94</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00BCF1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13.33</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EC327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2233750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5.28</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1FF82D3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6.81</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4EE2D99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10.69</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195BB2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3.61</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5EE7CC2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2.50</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360C8F6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2.92</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58D09D5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0.69</w:t>
            </w:r>
          </w:p>
        </w:tc>
      </w:tr>
      <w:tr w14:paraId="417DC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59094114">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五月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06D68BD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6.85</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A12DC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3.90</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07C86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C67B35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670B9A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B12C4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2.96</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10572E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294D54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9.01</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0EB9F4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9.68</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D0B85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67D34D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9.68</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75112E3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12.37</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1AB6F9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10.62</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44B7B50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4.97</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632FBB1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30AD4D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2BD090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0.00</w:t>
            </w:r>
          </w:p>
        </w:tc>
      </w:tr>
      <w:tr w14:paraId="7C68D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6676626D">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六月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3163DE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12.08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2EC080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1BFEEC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28EB54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2.64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2C9563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5.42</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3107B1B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3.06</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545DF1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7.50</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701491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8.19</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135C13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11.11</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126FB1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7.92</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475FBA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07976E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7.22</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7C12463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5.00</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66CF981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37088C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5.42</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68BC45C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6.67</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00C9B6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0.14</w:t>
            </w:r>
          </w:p>
        </w:tc>
      </w:tr>
      <w:tr w14:paraId="2451B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4EFC6707">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七月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34303D4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14.92</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327FFC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E51AE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7D5521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1DA487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6.72</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4D7057B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4.97</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6ED6DD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7.53</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5F7C227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7.66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09469B8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8.47</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014C40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6.05</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20B733F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5.38</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365E0A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5.65</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3D1FC26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46234BC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7F1F9FA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26C2BC7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9.01</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22BF3F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0.00</w:t>
            </w:r>
          </w:p>
        </w:tc>
      </w:tr>
      <w:tr w14:paraId="19F9A1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5408F3EB">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八月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770B8A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10.48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381627D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432F4F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15D37FA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AE492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17458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5.24</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09166C7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6.72</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3DEFBC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11.29</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2E15C3B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13.31</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41847C7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6.18</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5D043D7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4.57</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38F0DDD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07E80C2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5.65</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5D38EF3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5AA961C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2F420B6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8.47</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71C0EF9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0.40</w:t>
            </w:r>
          </w:p>
        </w:tc>
      </w:tr>
      <w:tr w14:paraId="212CD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178F0115">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九月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795C6B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7.92</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F60DD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3F458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3.19</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C46A2A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7F295BE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6.81</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4725A1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3.47</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7494C52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9.86</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3EE329F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15.69</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6C87923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60792E6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4.72</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725072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5.14</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6329DB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6.39</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5BAE79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6.39</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251015D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4.72</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6DB9FD4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3.19</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44E6AA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7.50</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662CC3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0.42</w:t>
            </w:r>
          </w:p>
        </w:tc>
      </w:tr>
      <w:tr w14:paraId="5D50A4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186D71AB">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十月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2F134A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10.08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27FA3D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9C2CC5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548E6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2.28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34C18A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189E2A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3.49</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561307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9.68</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375131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20.16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2535F0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7.39</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144311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5.38</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629C5E1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5.11</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5EE92C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7.80</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0BD396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6.05</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16EC33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72FE24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06FD29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78B7E0E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0.27</w:t>
            </w:r>
          </w:p>
        </w:tc>
      </w:tr>
      <w:tr w14:paraId="1E0CEB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4" w:space="0"/>
            </w:tcBorders>
            <w:shd w:val="clear" w:color="auto" w:fill="auto"/>
            <w:noWrap/>
            <w:vAlign w:val="center"/>
          </w:tcPr>
          <w:p w14:paraId="62D1F4DB">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十一月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53A0542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18.06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B8AF8B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5.14</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1A5581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7ACDCF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6419CDF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2.64</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38C1AD7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2.78</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4E6D55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7.08</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7D08F27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16.39</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0C9499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8.33</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F1522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3.61</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33012E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3.61</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2F416C2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5.42</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7A367A3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4.31</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59A08BB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5813737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581FFBB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8.61</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327C48A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0.00</w:t>
            </w:r>
          </w:p>
        </w:tc>
      </w:tr>
      <w:tr w14:paraId="090F03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pct"/>
            <w:tcBorders>
              <w:top w:val="single" w:color="auto" w:sz="4" w:space="0"/>
              <w:left w:val="single" w:color="auto" w:sz="6" w:space="0"/>
              <w:bottom w:val="single" w:color="auto" w:sz="6" w:space="0"/>
            </w:tcBorders>
            <w:shd w:val="clear" w:color="auto" w:fill="auto"/>
            <w:noWrap/>
            <w:vAlign w:val="center"/>
          </w:tcPr>
          <w:p w14:paraId="4C7E1CD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十二月</w:t>
            </w:r>
          </w:p>
        </w:tc>
        <w:tc>
          <w:tcPr>
            <w:tcW w:w="273"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238B30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27.96</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AE1F80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10.22</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535F729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022A8F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2.28</w:t>
            </w:r>
          </w:p>
        </w:tc>
        <w:tc>
          <w:tcPr>
            <w:tcW w:w="273" w:type="pct"/>
            <w:tcBorders>
              <w:top w:val="single" w:color="auto" w:sz="4" w:space="0"/>
              <w:left w:val="nil"/>
              <w:bottom w:val="single" w:color="auto" w:sz="4" w:space="0"/>
              <w:right w:val="single" w:color="auto" w:sz="4" w:space="0"/>
            </w:tcBorders>
            <w:shd w:val="clear" w:color="000000" w:fill="auto"/>
            <w:noWrap/>
            <w:vAlign w:val="center"/>
          </w:tcPr>
          <w:p w14:paraId="63B02B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2.96</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5E8A04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223" w:type="pct"/>
            <w:tcBorders>
              <w:top w:val="single" w:color="auto" w:sz="4" w:space="0"/>
              <w:left w:val="nil"/>
              <w:bottom w:val="single" w:color="auto" w:sz="4" w:space="0"/>
              <w:right w:val="single" w:color="auto" w:sz="4" w:space="0"/>
            </w:tcBorders>
            <w:shd w:val="clear" w:color="000000" w:fill="auto"/>
            <w:noWrap/>
            <w:vAlign w:val="center"/>
          </w:tcPr>
          <w:p w14:paraId="6B64D3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8.60</w:t>
            </w:r>
          </w:p>
        </w:tc>
        <w:tc>
          <w:tcPr>
            <w:tcW w:w="276" w:type="pct"/>
            <w:tcBorders>
              <w:top w:val="single" w:color="auto" w:sz="4" w:space="0"/>
              <w:left w:val="nil"/>
              <w:bottom w:val="single" w:color="auto" w:sz="4" w:space="0"/>
              <w:right w:val="single" w:color="auto" w:sz="4" w:space="0"/>
            </w:tcBorders>
            <w:shd w:val="clear" w:color="000000" w:fill="auto"/>
            <w:noWrap/>
            <w:vAlign w:val="center"/>
          </w:tcPr>
          <w:p w14:paraId="16ECDF6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7.53</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76B77B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5.24</w:t>
            </w:r>
          </w:p>
        </w:tc>
        <w:tc>
          <w:tcPr>
            <w:tcW w:w="262" w:type="pct"/>
            <w:tcBorders>
              <w:top w:val="single" w:color="auto" w:sz="4" w:space="0"/>
              <w:left w:val="nil"/>
              <w:bottom w:val="single" w:color="auto" w:sz="4" w:space="0"/>
              <w:right w:val="single" w:color="auto" w:sz="4" w:space="0"/>
            </w:tcBorders>
            <w:shd w:val="clear" w:color="000000" w:fill="auto"/>
            <w:noWrap/>
            <w:vAlign w:val="center"/>
          </w:tcPr>
          <w:p w14:paraId="44A217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0.94</w:t>
            </w:r>
          </w:p>
        </w:tc>
        <w:tc>
          <w:tcPr>
            <w:tcW w:w="246" w:type="pct"/>
            <w:tcBorders>
              <w:top w:val="single" w:color="auto" w:sz="4" w:space="0"/>
              <w:left w:val="nil"/>
              <w:bottom w:val="single" w:color="auto" w:sz="4" w:space="0"/>
              <w:right w:val="single" w:color="auto" w:sz="4" w:space="0"/>
            </w:tcBorders>
            <w:shd w:val="clear" w:color="000000" w:fill="auto"/>
            <w:noWrap/>
            <w:vAlign w:val="center"/>
          </w:tcPr>
          <w:p w14:paraId="433499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3.23</w:t>
            </w:r>
          </w:p>
        </w:tc>
        <w:tc>
          <w:tcPr>
            <w:tcW w:w="278" w:type="pct"/>
            <w:tcBorders>
              <w:top w:val="single" w:color="auto" w:sz="4" w:space="0"/>
              <w:left w:val="nil"/>
              <w:bottom w:val="single" w:color="auto" w:sz="4" w:space="0"/>
              <w:right w:val="single" w:color="auto" w:sz="4" w:space="0"/>
            </w:tcBorders>
            <w:shd w:val="clear" w:color="000000" w:fill="auto"/>
            <w:noWrap/>
            <w:vAlign w:val="center"/>
          </w:tcPr>
          <w:p w14:paraId="16B363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5.24</w:t>
            </w:r>
          </w:p>
        </w:tc>
        <w:tc>
          <w:tcPr>
            <w:tcW w:w="280" w:type="pct"/>
            <w:tcBorders>
              <w:top w:val="single" w:color="auto" w:sz="4" w:space="0"/>
              <w:left w:val="nil"/>
              <w:bottom w:val="single" w:color="auto" w:sz="4" w:space="0"/>
              <w:right w:val="single" w:color="auto" w:sz="4" w:space="0"/>
            </w:tcBorders>
            <w:shd w:val="clear" w:color="000000" w:fill="auto"/>
            <w:noWrap/>
            <w:vAlign w:val="center"/>
          </w:tcPr>
          <w:p w14:paraId="26F93A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3.23</w:t>
            </w:r>
          </w:p>
        </w:tc>
        <w:tc>
          <w:tcPr>
            <w:tcW w:w="295" w:type="pct"/>
            <w:tcBorders>
              <w:top w:val="single" w:color="auto" w:sz="4" w:space="0"/>
              <w:left w:val="nil"/>
              <w:bottom w:val="single" w:color="auto" w:sz="4" w:space="0"/>
              <w:right w:val="single" w:color="auto" w:sz="4" w:space="0"/>
            </w:tcBorders>
            <w:shd w:val="clear" w:color="000000" w:fill="auto"/>
            <w:noWrap/>
            <w:vAlign w:val="center"/>
          </w:tcPr>
          <w:p w14:paraId="4DFED05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3.49</w:t>
            </w:r>
          </w:p>
        </w:tc>
        <w:tc>
          <w:tcPr>
            <w:tcW w:w="245" w:type="pct"/>
            <w:tcBorders>
              <w:top w:val="single" w:color="auto" w:sz="4" w:space="0"/>
              <w:left w:val="nil"/>
              <w:bottom w:val="single" w:color="auto" w:sz="4" w:space="0"/>
              <w:right w:val="single" w:color="auto" w:sz="4" w:space="0"/>
            </w:tcBorders>
            <w:shd w:val="clear" w:color="000000" w:fill="auto"/>
            <w:noWrap/>
            <w:vAlign w:val="center"/>
          </w:tcPr>
          <w:p w14:paraId="114207B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3.36</w:t>
            </w:r>
          </w:p>
        </w:tc>
        <w:tc>
          <w:tcPr>
            <w:tcW w:w="274" w:type="pct"/>
            <w:tcBorders>
              <w:top w:val="single" w:color="auto" w:sz="4" w:space="0"/>
              <w:left w:val="nil"/>
              <w:bottom w:val="single" w:color="auto" w:sz="4" w:space="0"/>
              <w:right w:val="single" w:color="auto" w:sz="4" w:space="0"/>
            </w:tcBorders>
            <w:shd w:val="clear" w:color="000000" w:fill="auto"/>
            <w:noWrap/>
            <w:vAlign w:val="center"/>
          </w:tcPr>
          <w:p w14:paraId="0971C7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8.06</w:t>
            </w:r>
          </w:p>
        </w:tc>
        <w:tc>
          <w:tcPr>
            <w:tcW w:w="256" w:type="pct"/>
            <w:tcBorders>
              <w:top w:val="single" w:color="auto" w:sz="4" w:space="0"/>
              <w:left w:val="nil"/>
              <w:bottom w:val="single" w:color="auto" w:sz="4" w:space="0"/>
              <w:right w:val="single" w:color="auto" w:sz="4" w:space="0"/>
            </w:tcBorders>
            <w:shd w:val="clear" w:color="000000" w:fill="auto"/>
            <w:noWrap/>
            <w:vAlign w:val="center"/>
          </w:tcPr>
          <w:p w14:paraId="2AF2E6F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1.61</w:t>
            </w:r>
          </w:p>
        </w:tc>
      </w:tr>
    </w:tbl>
    <w:p w14:paraId="46AC99DD">
      <w:pPr>
        <w:pStyle w:val="767"/>
        <w:bidi w:val="0"/>
        <w:rPr>
          <w:rFonts w:hint="eastAsia"/>
          <w:color w:val="auto"/>
          <w:highlight w:val="none"/>
        </w:rPr>
      </w:pPr>
    </w:p>
    <w:p w14:paraId="6351C639">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zh-CN" w:eastAsia="zh-CN"/>
        </w:rPr>
      </w:pPr>
      <w:r>
        <w:rPr>
          <w:rFonts w:hint="eastAsia" w:ascii="Times New Roman" w:hAnsi="Times New Roman" w:cs="Times New Roman"/>
          <w:snapToGrid w:val="0"/>
          <w:color w:val="auto"/>
          <w:kern w:val="0"/>
          <w:sz w:val="21"/>
          <w:szCs w:val="21"/>
          <w:highlight w:val="none"/>
          <w:lang w:val="en-US" w:eastAsia="zh-CN"/>
        </w:rPr>
        <w:t xml:space="preserve">表6.2-5 </w:t>
      </w:r>
      <w:r>
        <w:rPr>
          <w:rFonts w:hint="eastAsia" w:ascii="Times New Roman" w:hAnsi="Times New Roman" w:cs="Times New Roman"/>
          <w:snapToGrid w:val="0"/>
          <w:color w:val="auto"/>
          <w:kern w:val="0"/>
          <w:sz w:val="21"/>
          <w:szCs w:val="21"/>
          <w:highlight w:val="none"/>
          <w:lang w:val="zh-CN" w:eastAsia="zh-CN"/>
        </w:rPr>
        <w:t>区域202</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lang w:val="zh-CN" w:eastAsia="zh-CN"/>
        </w:rPr>
        <w:t>年风向、风频季变化统计表</w:t>
      </w:r>
    </w:p>
    <w:tbl>
      <w:tblPr>
        <w:tblStyle w:val="5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717"/>
        <w:gridCol w:w="717"/>
        <w:gridCol w:w="717"/>
        <w:gridCol w:w="717"/>
        <w:gridCol w:w="717"/>
        <w:gridCol w:w="718"/>
        <w:gridCol w:w="718"/>
        <w:gridCol w:w="718"/>
        <w:gridCol w:w="718"/>
        <w:gridCol w:w="718"/>
        <w:gridCol w:w="718"/>
        <w:gridCol w:w="723"/>
        <w:gridCol w:w="715"/>
        <w:gridCol w:w="758"/>
        <w:gridCol w:w="719"/>
        <w:gridCol w:w="719"/>
        <w:gridCol w:w="714"/>
      </w:tblGrid>
      <w:tr w14:paraId="34AB0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tcBorders>
              <w:top w:val="single" w:color="auto" w:sz="6" w:space="0"/>
              <w:left w:val="single" w:color="auto" w:sz="6" w:space="0"/>
              <w:bottom w:val="single" w:color="auto" w:sz="4" w:space="0"/>
              <w:tl2br w:val="single" w:color="auto" w:sz="4" w:space="0"/>
            </w:tcBorders>
            <w:shd w:val="clear" w:color="auto" w:fill="auto"/>
            <w:noWrap/>
            <w:vAlign w:val="center"/>
          </w:tcPr>
          <w:p w14:paraId="27CFA367">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right"/>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风频</w:t>
            </w:r>
            <w:r>
              <w:rPr>
                <w:rFonts w:hint="eastAsia"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w:t>
            </w:r>
            <w:r>
              <w:rPr>
                <w:rFonts w:hint="eastAsia" w:cs="Times New Roman"/>
                <w:snapToGrid w:val="0"/>
                <w:color w:val="auto"/>
                <w:kern w:val="0"/>
                <w:sz w:val="21"/>
                <w:szCs w:val="21"/>
                <w:highlight w:val="none"/>
                <w:lang w:eastAsia="zh-CN"/>
              </w:rPr>
              <w:t>）</w:t>
            </w:r>
          </w:p>
          <w:p w14:paraId="2365E7C1">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left"/>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风向</w:t>
            </w:r>
          </w:p>
        </w:tc>
        <w:tc>
          <w:tcPr>
            <w:tcW w:w="726" w:type="dxa"/>
            <w:tcBorders>
              <w:top w:val="single" w:color="auto" w:sz="6" w:space="0"/>
              <w:bottom w:val="single" w:color="auto" w:sz="4" w:space="0"/>
            </w:tcBorders>
            <w:shd w:val="clear" w:color="auto" w:fill="auto"/>
            <w:noWrap/>
            <w:vAlign w:val="center"/>
          </w:tcPr>
          <w:p w14:paraId="7C74B19B">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N</w:t>
            </w:r>
          </w:p>
        </w:tc>
        <w:tc>
          <w:tcPr>
            <w:tcW w:w="726" w:type="dxa"/>
            <w:tcBorders>
              <w:top w:val="single" w:color="auto" w:sz="6" w:space="0"/>
              <w:bottom w:val="single" w:color="auto" w:sz="4" w:space="0"/>
            </w:tcBorders>
            <w:shd w:val="clear" w:color="auto" w:fill="auto"/>
            <w:noWrap/>
            <w:vAlign w:val="center"/>
          </w:tcPr>
          <w:p w14:paraId="3BC6EF90">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NNE</w:t>
            </w:r>
          </w:p>
        </w:tc>
        <w:tc>
          <w:tcPr>
            <w:tcW w:w="726" w:type="dxa"/>
            <w:tcBorders>
              <w:top w:val="single" w:color="auto" w:sz="6" w:space="0"/>
              <w:bottom w:val="single" w:color="auto" w:sz="4" w:space="0"/>
            </w:tcBorders>
            <w:shd w:val="clear" w:color="auto" w:fill="auto"/>
            <w:noWrap/>
            <w:vAlign w:val="center"/>
          </w:tcPr>
          <w:p w14:paraId="5C6910E8">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NE</w:t>
            </w:r>
          </w:p>
        </w:tc>
        <w:tc>
          <w:tcPr>
            <w:tcW w:w="726" w:type="dxa"/>
            <w:tcBorders>
              <w:top w:val="single" w:color="auto" w:sz="6" w:space="0"/>
              <w:bottom w:val="single" w:color="auto" w:sz="4" w:space="0"/>
            </w:tcBorders>
            <w:shd w:val="clear" w:color="auto" w:fill="auto"/>
            <w:noWrap/>
            <w:vAlign w:val="center"/>
          </w:tcPr>
          <w:p w14:paraId="4DD7D80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ENE</w:t>
            </w:r>
          </w:p>
        </w:tc>
        <w:tc>
          <w:tcPr>
            <w:tcW w:w="726" w:type="dxa"/>
            <w:tcBorders>
              <w:top w:val="single" w:color="auto" w:sz="6" w:space="0"/>
              <w:bottom w:val="single" w:color="auto" w:sz="4" w:space="0"/>
            </w:tcBorders>
            <w:shd w:val="clear" w:color="auto" w:fill="auto"/>
            <w:noWrap/>
            <w:vAlign w:val="center"/>
          </w:tcPr>
          <w:p w14:paraId="23B24E1E">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E</w:t>
            </w:r>
          </w:p>
        </w:tc>
        <w:tc>
          <w:tcPr>
            <w:tcW w:w="726" w:type="dxa"/>
            <w:tcBorders>
              <w:top w:val="single" w:color="auto" w:sz="6" w:space="0"/>
              <w:bottom w:val="single" w:color="auto" w:sz="4" w:space="0"/>
            </w:tcBorders>
            <w:shd w:val="clear" w:color="auto" w:fill="auto"/>
            <w:noWrap/>
            <w:vAlign w:val="center"/>
          </w:tcPr>
          <w:p w14:paraId="7714FC61">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ESE</w:t>
            </w:r>
          </w:p>
        </w:tc>
        <w:tc>
          <w:tcPr>
            <w:tcW w:w="726" w:type="dxa"/>
            <w:tcBorders>
              <w:top w:val="single" w:color="auto" w:sz="6" w:space="0"/>
              <w:bottom w:val="single" w:color="auto" w:sz="4" w:space="0"/>
            </w:tcBorders>
            <w:shd w:val="clear" w:color="auto" w:fill="auto"/>
            <w:noWrap/>
            <w:vAlign w:val="center"/>
          </w:tcPr>
          <w:p w14:paraId="7F320CE6">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SE</w:t>
            </w:r>
          </w:p>
        </w:tc>
        <w:tc>
          <w:tcPr>
            <w:tcW w:w="726" w:type="dxa"/>
            <w:tcBorders>
              <w:top w:val="single" w:color="auto" w:sz="6" w:space="0"/>
              <w:bottom w:val="single" w:color="auto" w:sz="4" w:space="0"/>
            </w:tcBorders>
            <w:shd w:val="clear" w:color="auto" w:fill="auto"/>
            <w:noWrap/>
            <w:vAlign w:val="center"/>
          </w:tcPr>
          <w:p w14:paraId="2CFC7ED0">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SSE</w:t>
            </w:r>
          </w:p>
        </w:tc>
        <w:tc>
          <w:tcPr>
            <w:tcW w:w="726" w:type="dxa"/>
            <w:tcBorders>
              <w:top w:val="single" w:color="auto" w:sz="6" w:space="0"/>
              <w:bottom w:val="single" w:color="auto" w:sz="4" w:space="0"/>
            </w:tcBorders>
            <w:shd w:val="clear" w:color="auto" w:fill="auto"/>
            <w:noWrap/>
            <w:vAlign w:val="center"/>
          </w:tcPr>
          <w:p w14:paraId="04425DF4">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S</w:t>
            </w:r>
          </w:p>
        </w:tc>
        <w:tc>
          <w:tcPr>
            <w:tcW w:w="726" w:type="dxa"/>
            <w:tcBorders>
              <w:top w:val="single" w:color="auto" w:sz="6" w:space="0"/>
              <w:bottom w:val="single" w:color="auto" w:sz="4" w:space="0"/>
            </w:tcBorders>
            <w:shd w:val="clear" w:color="auto" w:fill="auto"/>
            <w:noWrap/>
            <w:vAlign w:val="center"/>
          </w:tcPr>
          <w:p w14:paraId="0C4DF1A2">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SSW</w:t>
            </w:r>
          </w:p>
        </w:tc>
        <w:tc>
          <w:tcPr>
            <w:tcW w:w="726" w:type="dxa"/>
            <w:tcBorders>
              <w:top w:val="single" w:color="auto" w:sz="6" w:space="0"/>
              <w:bottom w:val="single" w:color="auto" w:sz="4" w:space="0"/>
            </w:tcBorders>
            <w:shd w:val="clear" w:color="auto" w:fill="auto"/>
            <w:noWrap/>
            <w:vAlign w:val="center"/>
          </w:tcPr>
          <w:p w14:paraId="63627222">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SW</w:t>
            </w:r>
          </w:p>
        </w:tc>
        <w:tc>
          <w:tcPr>
            <w:tcW w:w="732" w:type="dxa"/>
            <w:tcBorders>
              <w:top w:val="single" w:color="auto" w:sz="6" w:space="0"/>
              <w:bottom w:val="single" w:color="auto" w:sz="4" w:space="0"/>
            </w:tcBorders>
            <w:shd w:val="clear" w:color="auto" w:fill="auto"/>
            <w:noWrap/>
            <w:vAlign w:val="center"/>
          </w:tcPr>
          <w:p w14:paraId="18C54558">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WSW</w:t>
            </w:r>
          </w:p>
        </w:tc>
        <w:tc>
          <w:tcPr>
            <w:tcW w:w="723" w:type="dxa"/>
            <w:tcBorders>
              <w:top w:val="single" w:color="auto" w:sz="6" w:space="0"/>
              <w:bottom w:val="single" w:color="auto" w:sz="4" w:space="0"/>
            </w:tcBorders>
            <w:shd w:val="clear" w:color="auto" w:fill="auto"/>
            <w:noWrap/>
            <w:vAlign w:val="center"/>
          </w:tcPr>
          <w:p w14:paraId="0412F1B3">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w:t>
            </w:r>
          </w:p>
        </w:tc>
        <w:tc>
          <w:tcPr>
            <w:tcW w:w="767" w:type="dxa"/>
            <w:tcBorders>
              <w:top w:val="single" w:color="auto" w:sz="6" w:space="0"/>
              <w:bottom w:val="single" w:color="auto" w:sz="4" w:space="0"/>
            </w:tcBorders>
            <w:shd w:val="clear" w:color="auto" w:fill="auto"/>
            <w:noWrap/>
            <w:vAlign w:val="center"/>
          </w:tcPr>
          <w:p w14:paraId="47670C71">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WNW</w:t>
            </w:r>
          </w:p>
        </w:tc>
        <w:tc>
          <w:tcPr>
            <w:tcW w:w="727" w:type="dxa"/>
            <w:tcBorders>
              <w:top w:val="single" w:color="auto" w:sz="6" w:space="0"/>
              <w:bottom w:val="single" w:color="auto" w:sz="4" w:space="0"/>
            </w:tcBorders>
            <w:shd w:val="clear" w:color="auto" w:fill="auto"/>
            <w:noWrap/>
            <w:vAlign w:val="center"/>
          </w:tcPr>
          <w:p w14:paraId="2AFD1A63">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NW</w:t>
            </w:r>
          </w:p>
        </w:tc>
        <w:tc>
          <w:tcPr>
            <w:tcW w:w="727" w:type="dxa"/>
            <w:tcBorders>
              <w:top w:val="single" w:color="auto" w:sz="6" w:space="0"/>
              <w:bottom w:val="single" w:color="auto" w:sz="4" w:space="0"/>
            </w:tcBorders>
            <w:shd w:val="clear" w:color="auto" w:fill="auto"/>
            <w:noWrap/>
            <w:vAlign w:val="center"/>
          </w:tcPr>
          <w:p w14:paraId="3AD40B9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NNW</w:t>
            </w:r>
          </w:p>
        </w:tc>
        <w:tc>
          <w:tcPr>
            <w:tcW w:w="722" w:type="dxa"/>
            <w:tcBorders>
              <w:top w:val="single" w:color="auto" w:sz="6" w:space="0"/>
              <w:bottom w:val="single" w:color="auto" w:sz="4" w:space="0"/>
              <w:right w:val="single" w:color="auto" w:sz="6" w:space="0"/>
            </w:tcBorders>
            <w:shd w:val="clear" w:color="auto" w:fill="auto"/>
            <w:noWrap/>
            <w:vAlign w:val="center"/>
          </w:tcPr>
          <w:p w14:paraId="00951EE5">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C</w:t>
            </w:r>
          </w:p>
        </w:tc>
      </w:tr>
      <w:tr w14:paraId="04DCB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631" w:type="pct"/>
            <w:tcBorders>
              <w:top w:val="single" w:color="auto" w:sz="4" w:space="0"/>
              <w:left w:val="single" w:color="auto" w:sz="6" w:space="0"/>
              <w:bottom w:val="single" w:color="auto" w:sz="4" w:space="0"/>
            </w:tcBorders>
            <w:shd w:val="clear" w:color="auto" w:fill="auto"/>
            <w:noWrap/>
            <w:vAlign w:val="center"/>
          </w:tcPr>
          <w:p w14:paraId="338351F9">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春季</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9956D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9.15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BE684A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5.53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E92DF8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6.11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73001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3.94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42364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4.44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3A4D7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2.99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CEAB2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2.94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A951F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10.64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410D65A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12.82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D8DA6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4.89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00563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6.61 </w:t>
            </w:r>
          </w:p>
        </w:tc>
        <w:tc>
          <w:tcPr>
            <w:tcW w:w="732" w:type="dxa"/>
            <w:tcBorders>
              <w:top w:val="single" w:color="auto" w:sz="4" w:space="0"/>
              <w:left w:val="nil"/>
              <w:bottom w:val="single" w:color="auto" w:sz="4" w:space="0"/>
              <w:right w:val="single" w:color="auto" w:sz="4" w:space="0"/>
            </w:tcBorders>
            <w:shd w:val="clear" w:color="auto" w:fill="auto"/>
            <w:noWrap/>
            <w:vAlign w:val="bottom"/>
          </w:tcPr>
          <w:p w14:paraId="712083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8.02 </w:t>
            </w:r>
          </w:p>
        </w:tc>
        <w:tc>
          <w:tcPr>
            <w:tcW w:w="723" w:type="dxa"/>
            <w:tcBorders>
              <w:top w:val="single" w:color="auto" w:sz="4" w:space="0"/>
              <w:left w:val="nil"/>
              <w:bottom w:val="single" w:color="auto" w:sz="4" w:space="0"/>
              <w:right w:val="single" w:color="auto" w:sz="4" w:space="0"/>
            </w:tcBorders>
            <w:shd w:val="clear" w:color="auto" w:fill="auto"/>
            <w:noWrap/>
            <w:vAlign w:val="bottom"/>
          </w:tcPr>
          <w:p w14:paraId="356798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9.78 </w:t>
            </w:r>
          </w:p>
        </w:tc>
        <w:tc>
          <w:tcPr>
            <w:tcW w:w="767" w:type="dxa"/>
            <w:tcBorders>
              <w:top w:val="single" w:color="auto" w:sz="4" w:space="0"/>
              <w:left w:val="nil"/>
              <w:bottom w:val="single" w:color="auto" w:sz="4" w:space="0"/>
              <w:right w:val="single" w:color="auto" w:sz="4" w:space="0"/>
            </w:tcBorders>
            <w:shd w:val="clear" w:color="auto" w:fill="auto"/>
            <w:noWrap/>
            <w:vAlign w:val="bottom"/>
          </w:tcPr>
          <w:p w14:paraId="56D5257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3.31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28E43A7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4.03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321ABFD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3.67 </w:t>
            </w:r>
          </w:p>
        </w:tc>
        <w:tc>
          <w:tcPr>
            <w:tcW w:w="722" w:type="dxa"/>
            <w:tcBorders>
              <w:top w:val="single" w:color="auto" w:sz="4" w:space="0"/>
              <w:left w:val="nil"/>
              <w:bottom w:val="single" w:color="auto" w:sz="4" w:space="0"/>
              <w:right w:val="single" w:color="auto" w:sz="4" w:space="0"/>
            </w:tcBorders>
            <w:shd w:val="clear" w:color="auto" w:fill="auto"/>
            <w:noWrap/>
            <w:vAlign w:val="bottom"/>
          </w:tcPr>
          <w:p w14:paraId="200553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1.13 </w:t>
            </w:r>
          </w:p>
        </w:tc>
      </w:tr>
      <w:tr w14:paraId="31AAA2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tcBorders>
              <w:top w:val="single" w:color="auto" w:sz="4" w:space="0"/>
              <w:left w:val="single" w:color="auto" w:sz="6" w:space="0"/>
              <w:bottom w:val="single" w:color="auto" w:sz="4" w:space="0"/>
            </w:tcBorders>
            <w:shd w:val="clear" w:color="auto" w:fill="auto"/>
            <w:noWrap/>
            <w:vAlign w:val="center"/>
          </w:tcPr>
          <w:p w14:paraId="0AD0F0A6">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夏季</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00D71A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12.50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51867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4.35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46DB29E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2.22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32E4F4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3.40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E76F5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5.30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1CD145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4.44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41EC82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7.25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163B9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9.06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55853D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10.96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EF1520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6.70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E3E50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4.94 </w:t>
            </w:r>
          </w:p>
        </w:tc>
        <w:tc>
          <w:tcPr>
            <w:tcW w:w="732" w:type="dxa"/>
            <w:tcBorders>
              <w:top w:val="single" w:color="auto" w:sz="4" w:space="0"/>
              <w:left w:val="nil"/>
              <w:bottom w:val="single" w:color="auto" w:sz="4" w:space="0"/>
              <w:right w:val="single" w:color="auto" w:sz="4" w:space="0"/>
            </w:tcBorders>
            <w:shd w:val="clear" w:color="auto" w:fill="auto"/>
            <w:noWrap/>
            <w:vAlign w:val="bottom"/>
          </w:tcPr>
          <w:p w14:paraId="365A26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5.84 </w:t>
            </w:r>
          </w:p>
        </w:tc>
        <w:tc>
          <w:tcPr>
            <w:tcW w:w="723" w:type="dxa"/>
            <w:tcBorders>
              <w:top w:val="single" w:color="auto" w:sz="4" w:space="0"/>
              <w:left w:val="nil"/>
              <w:bottom w:val="single" w:color="auto" w:sz="4" w:space="0"/>
              <w:right w:val="single" w:color="auto" w:sz="4" w:space="0"/>
            </w:tcBorders>
            <w:shd w:val="clear" w:color="auto" w:fill="auto"/>
            <w:noWrap/>
            <w:vAlign w:val="bottom"/>
          </w:tcPr>
          <w:p w14:paraId="5EE642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5.12 </w:t>
            </w:r>
          </w:p>
        </w:tc>
        <w:tc>
          <w:tcPr>
            <w:tcW w:w="767" w:type="dxa"/>
            <w:tcBorders>
              <w:top w:val="single" w:color="auto" w:sz="4" w:space="0"/>
              <w:left w:val="nil"/>
              <w:bottom w:val="single" w:color="auto" w:sz="4" w:space="0"/>
              <w:right w:val="single" w:color="auto" w:sz="4" w:space="0"/>
            </w:tcBorders>
            <w:shd w:val="clear" w:color="auto" w:fill="auto"/>
            <w:noWrap/>
            <w:vAlign w:val="bottom"/>
          </w:tcPr>
          <w:p w14:paraId="752E676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4.53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249695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5.16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5B1B529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8.06 </w:t>
            </w:r>
          </w:p>
        </w:tc>
        <w:tc>
          <w:tcPr>
            <w:tcW w:w="722" w:type="dxa"/>
            <w:tcBorders>
              <w:top w:val="single" w:color="auto" w:sz="4" w:space="0"/>
              <w:left w:val="nil"/>
              <w:bottom w:val="single" w:color="auto" w:sz="4" w:space="0"/>
              <w:right w:val="single" w:color="auto" w:sz="4" w:space="0"/>
            </w:tcBorders>
            <w:shd w:val="clear" w:color="auto" w:fill="auto"/>
            <w:noWrap/>
            <w:vAlign w:val="bottom"/>
          </w:tcPr>
          <w:p w14:paraId="61328D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0.18 </w:t>
            </w:r>
          </w:p>
        </w:tc>
      </w:tr>
      <w:tr w14:paraId="77E67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tcBorders>
              <w:top w:val="single" w:color="auto" w:sz="4" w:space="0"/>
              <w:left w:val="single" w:color="auto" w:sz="6" w:space="0"/>
              <w:bottom w:val="single" w:color="auto" w:sz="4" w:space="0"/>
            </w:tcBorders>
            <w:shd w:val="clear" w:color="auto" w:fill="auto"/>
            <w:noWrap/>
            <w:vAlign w:val="center"/>
          </w:tcPr>
          <w:p w14:paraId="7B28DEC8">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秋季</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12850E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12.00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84C19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4.58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69F9AB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3.11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4C1785E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2.15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371FE0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4.62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4AABEA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3.25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E584A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8.88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98BA99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17.45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03CEE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7.92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65335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4.58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6CD5A1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4.62 </w:t>
            </w:r>
          </w:p>
        </w:tc>
        <w:tc>
          <w:tcPr>
            <w:tcW w:w="732" w:type="dxa"/>
            <w:tcBorders>
              <w:top w:val="single" w:color="auto" w:sz="4" w:space="0"/>
              <w:left w:val="nil"/>
              <w:bottom w:val="single" w:color="auto" w:sz="4" w:space="0"/>
              <w:right w:val="single" w:color="auto" w:sz="4" w:space="0"/>
            </w:tcBorders>
            <w:shd w:val="clear" w:color="auto" w:fill="auto"/>
            <w:noWrap/>
            <w:vAlign w:val="bottom"/>
          </w:tcPr>
          <w:p w14:paraId="20204F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6.55 </w:t>
            </w:r>
          </w:p>
        </w:tc>
        <w:tc>
          <w:tcPr>
            <w:tcW w:w="723" w:type="dxa"/>
            <w:tcBorders>
              <w:top w:val="single" w:color="auto" w:sz="4" w:space="0"/>
              <w:left w:val="nil"/>
              <w:bottom w:val="single" w:color="auto" w:sz="4" w:space="0"/>
              <w:right w:val="single" w:color="auto" w:sz="4" w:space="0"/>
            </w:tcBorders>
            <w:shd w:val="clear" w:color="auto" w:fill="auto"/>
            <w:noWrap/>
            <w:vAlign w:val="bottom"/>
          </w:tcPr>
          <w:p w14:paraId="77B4F4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5.59 </w:t>
            </w:r>
          </w:p>
        </w:tc>
        <w:tc>
          <w:tcPr>
            <w:tcW w:w="767" w:type="dxa"/>
            <w:tcBorders>
              <w:top w:val="single" w:color="auto" w:sz="4" w:space="0"/>
              <w:left w:val="nil"/>
              <w:bottom w:val="single" w:color="auto" w:sz="4" w:space="0"/>
              <w:right w:val="single" w:color="auto" w:sz="4" w:space="0"/>
            </w:tcBorders>
            <w:shd w:val="clear" w:color="auto" w:fill="auto"/>
            <w:noWrap/>
            <w:vAlign w:val="bottom"/>
          </w:tcPr>
          <w:p w14:paraId="02F15D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3.57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6EF5BF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4.17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4E4D72D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6.73 </w:t>
            </w:r>
          </w:p>
        </w:tc>
        <w:tc>
          <w:tcPr>
            <w:tcW w:w="722" w:type="dxa"/>
            <w:tcBorders>
              <w:top w:val="single" w:color="auto" w:sz="4" w:space="0"/>
              <w:left w:val="nil"/>
              <w:bottom w:val="single" w:color="auto" w:sz="4" w:space="0"/>
              <w:right w:val="single" w:color="auto" w:sz="4" w:space="0"/>
            </w:tcBorders>
            <w:shd w:val="clear" w:color="auto" w:fill="auto"/>
            <w:noWrap/>
            <w:vAlign w:val="bottom"/>
          </w:tcPr>
          <w:p w14:paraId="576E8A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0.23 </w:t>
            </w:r>
          </w:p>
        </w:tc>
      </w:tr>
      <w:tr w14:paraId="7C11C0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tcBorders>
              <w:top w:val="single" w:color="auto" w:sz="4" w:space="0"/>
              <w:left w:val="single" w:color="auto" w:sz="6" w:space="0"/>
              <w:bottom w:val="single" w:color="auto" w:sz="4" w:space="0"/>
            </w:tcBorders>
            <w:shd w:val="clear" w:color="auto" w:fill="auto"/>
            <w:noWrap/>
            <w:vAlign w:val="center"/>
          </w:tcPr>
          <w:p w14:paraId="47AC87AA">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冬季</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406585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21.57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E64554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12.23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E00320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6.27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BB171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4.58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7FEA8C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2.98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E37915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1.24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76AEF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4.49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FBFE49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10.67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465316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9.48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C3365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1.74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EABCEA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2.56 </w:t>
            </w:r>
          </w:p>
        </w:tc>
        <w:tc>
          <w:tcPr>
            <w:tcW w:w="732" w:type="dxa"/>
            <w:tcBorders>
              <w:top w:val="single" w:color="auto" w:sz="4" w:space="0"/>
              <w:left w:val="nil"/>
              <w:bottom w:val="single" w:color="auto" w:sz="4" w:space="0"/>
              <w:right w:val="single" w:color="auto" w:sz="4" w:space="0"/>
            </w:tcBorders>
            <w:shd w:val="clear" w:color="auto" w:fill="auto"/>
            <w:noWrap/>
            <w:vAlign w:val="bottom"/>
          </w:tcPr>
          <w:p w14:paraId="5E23CF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3.39 </w:t>
            </w:r>
          </w:p>
        </w:tc>
        <w:tc>
          <w:tcPr>
            <w:tcW w:w="723" w:type="dxa"/>
            <w:tcBorders>
              <w:top w:val="single" w:color="auto" w:sz="4" w:space="0"/>
              <w:left w:val="nil"/>
              <w:bottom w:val="single" w:color="auto" w:sz="4" w:space="0"/>
              <w:right w:val="single" w:color="auto" w:sz="4" w:space="0"/>
            </w:tcBorders>
            <w:shd w:val="clear" w:color="auto" w:fill="auto"/>
            <w:noWrap/>
            <w:vAlign w:val="bottom"/>
          </w:tcPr>
          <w:p w14:paraId="1CD597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4.62 </w:t>
            </w:r>
          </w:p>
        </w:tc>
        <w:tc>
          <w:tcPr>
            <w:tcW w:w="767" w:type="dxa"/>
            <w:tcBorders>
              <w:top w:val="single" w:color="auto" w:sz="4" w:space="0"/>
              <w:left w:val="nil"/>
              <w:bottom w:val="single" w:color="auto" w:sz="4" w:space="0"/>
              <w:right w:val="single" w:color="auto" w:sz="4" w:space="0"/>
            </w:tcBorders>
            <w:shd w:val="clear" w:color="auto" w:fill="auto"/>
            <w:noWrap/>
            <w:vAlign w:val="bottom"/>
          </w:tcPr>
          <w:p w14:paraId="26B0C21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2.47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7BD883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2.88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3281E0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5.95 </w:t>
            </w:r>
          </w:p>
        </w:tc>
        <w:tc>
          <w:tcPr>
            <w:tcW w:w="722" w:type="dxa"/>
            <w:tcBorders>
              <w:top w:val="single" w:color="auto" w:sz="4" w:space="0"/>
              <w:left w:val="nil"/>
              <w:bottom w:val="single" w:color="auto" w:sz="4" w:space="0"/>
              <w:right w:val="single" w:color="auto" w:sz="4" w:space="0"/>
            </w:tcBorders>
            <w:shd w:val="clear" w:color="auto" w:fill="auto"/>
            <w:noWrap/>
            <w:vAlign w:val="bottom"/>
          </w:tcPr>
          <w:p w14:paraId="264BD1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2.88 </w:t>
            </w:r>
          </w:p>
        </w:tc>
      </w:tr>
      <w:tr w14:paraId="0FA21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tcBorders>
              <w:top w:val="single" w:color="auto" w:sz="4" w:space="0"/>
              <w:left w:val="single" w:color="auto" w:sz="6" w:space="0"/>
              <w:bottom w:val="single" w:color="auto" w:sz="6" w:space="0"/>
            </w:tcBorders>
            <w:shd w:val="clear" w:color="auto" w:fill="auto"/>
            <w:noWrap/>
            <w:vAlign w:val="center"/>
          </w:tcPr>
          <w:p w14:paraId="4A2DD654">
            <w:pPr>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全年</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3FF685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13.79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AF613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6.66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75A3E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4.43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3F6420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3.52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6CD7F4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4.34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61A867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2.98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248542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5.89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FF8669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11.94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0F0C3A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10.30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1D68503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4.49 </w:t>
            </w:r>
          </w:p>
        </w:tc>
        <w:tc>
          <w:tcPr>
            <w:tcW w:w="726" w:type="dxa"/>
            <w:tcBorders>
              <w:top w:val="single" w:color="auto" w:sz="4" w:space="0"/>
              <w:left w:val="nil"/>
              <w:bottom w:val="single" w:color="auto" w:sz="4" w:space="0"/>
              <w:right w:val="single" w:color="auto" w:sz="4" w:space="0"/>
            </w:tcBorders>
            <w:shd w:val="clear" w:color="auto" w:fill="auto"/>
            <w:noWrap/>
            <w:vAlign w:val="bottom"/>
          </w:tcPr>
          <w:p w14:paraId="5B4B208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4.69 </w:t>
            </w:r>
          </w:p>
        </w:tc>
        <w:tc>
          <w:tcPr>
            <w:tcW w:w="732" w:type="dxa"/>
            <w:tcBorders>
              <w:top w:val="single" w:color="auto" w:sz="4" w:space="0"/>
              <w:left w:val="nil"/>
              <w:bottom w:val="single" w:color="auto" w:sz="4" w:space="0"/>
              <w:right w:val="single" w:color="auto" w:sz="4" w:space="0"/>
            </w:tcBorders>
            <w:shd w:val="clear" w:color="auto" w:fill="auto"/>
            <w:noWrap/>
            <w:vAlign w:val="bottom"/>
          </w:tcPr>
          <w:p w14:paraId="4C669F6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5.95 </w:t>
            </w:r>
          </w:p>
        </w:tc>
        <w:tc>
          <w:tcPr>
            <w:tcW w:w="723" w:type="dxa"/>
            <w:tcBorders>
              <w:top w:val="single" w:color="auto" w:sz="4" w:space="0"/>
              <w:left w:val="nil"/>
              <w:bottom w:val="single" w:color="auto" w:sz="4" w:space="0"/>
              <w:right w:val="single" w:color="auto" w:sz="4" w:space="0"/>
            </w:tcBorders>
            <w:shd w:val="clear" w:color="auto" w:fill="auto"/>
            <w:noWrap/>
            <w:vAlign w:val="bottom"/>
          </w:tcPr>
          <w:p w14:paraId="70C16F3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6.28 </w:t>
            </w:r>
          </w:p>
        </w:tc>
        <w:tc>
          <w:tcPr>
            <w:tcW w:w="767" w:type="dxa"/>
            <w:tcBorders>
              <w:top w:val="single" w:color="auto" w:sz="4" w:space="0"/>
              <w:left w:val="nil"/>
              <w:bottom w:val="single" w:color="auto" w:sz="4" w:space="0"/>
              <w:right w:val="single" w:color="auto" w:sz="4" w:space="0"/>
            </w:tcBorders>
            <w:shd w:val="clear" w:color="auto" w:fill="auto"/>
            <w:noWrap/>
            <w:vAlign w:val="bottom"/>
          </w:tcPr>
          <w:p w14:paraId="43EA2F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3.47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5538F3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4.06 </w:t>
            </w:r>
          </w:p>
        </w:tc>
        <w:tc>
          <w:tcPr>
            <w:tcW w:w="727" w:type="dxa"/>
            <w:tcBorders>
              <w:top w:val="single" w:color="auto" w:sz="4" w:space="0"/>
              <w:left w:val="nil"/>
              <w:bottom w:val="single" w:color="auto" w:sz="4" w:space="0"/>
              <w:right w:val="single" w:color="auto" w:sz="4" w:space="0"/>
            </w:tcBorders>
            <w:shd w:val="clear" w:color="auto" w:fill="auto"/>
            <w:noWrap/>
            <w:vAlign w:val="bottom"/>
          </w:tcPr>
          <w:p w14:paraId="3AAD02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6.10 </w:t>
            </w:r>
          </w:p>
        </w:tc>
        <w:tc>
          <w:tcPr>
            <w:tcW w:w="722" w:type="dxa"/>
            <w:tcBorders>
              <w:top w:val="single" w:color="auto" w:sz="4" w:space="0"/>
              <w:left w:val="nil"/>
              <w:bottom w:val="single" w:color="auto" w:sz="4" w:space="0"/>
              <w:right w:val="single" w:color="auto" w:sz="4" w:space="0"/>
            </w:tcBorders>
            <w:shd w:val="clear" w:color="auto" w:fill="auto"/>
            <w:noWrap/>
            <w:vAlign w:val="bottom"/>
          </w:tcPr>
          <w:p w14:paraId="31F531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 xml:space="preserve">1.10 </w:t>
            </w:r>
          </w:p>
        </w:tc>
      </w:tr>
    </w:tbl>
    <w:p w14:paraId="25A1E8BC">
      <w:pPr>
        <w:adjustRightInd w:val="0"/>
        <w:snapToGrid w:val="0"/>
        <w:ind w:firstLine="0" w:firstLineChars="0"/>
        <w:contextualSpacing/>
        <w:rPr>
          <w:rFonts w:cs="Times New Roman"/>
          <w:color w:val="auto"/>
          <w:szCs w:val="22"/>
          <w:highlight w:val="none"/>
        </w:rPr>
      </w:pPr>
    </w:p>
    <w:p w14:paraId="19B637BA">
      <w:pPr>
        <w:ind w:firstLine="480"/>
        <w:rPr>
          <w:rFonts w:cs="Times New Roman"/>
          <w:color w:val="auto"/>
          <w:highlight w:val="none"/>
        </w:rPr>
        <w:sectPr>
          <w:footerReference r:id="rId10" w:type="default"/>
          <w:pgSz w:w="16838" w:h="11906" w:orient="landscape"/>
          <w:pgMar w:top="1440" w:right="1800" w:bottom="1440" w:left="1800" w:header="1191" w:footer="1247" w:gutter="0"/>
          <w:pgBorders>
            <w:top w:val="none" w:sz="0" w:space="0"/>
            <w:left w:val="none" w:sz="0" w:space="0"/>
            <w:bottom w:val="none" w:sz="0" w:space="0"/>
            <w:right w:val="none" w:sz="0" w:space="0"/>
          </w:pgBorders>
          <w:pgNumType w:fmt="decimal"/>
          <w:cols w:space="425" w:num="1"/>
          <w:docGrid w:type="lines" w:linePitch="326" w:charSpace="0"/>
        </w:sectPr>
      </w:pPr>
    </w:p>
    <w:p w14:paraId="17C7D761">
      <w:pPr>
        <w:adjustRightInd w:val="0"/>
        <w:snapToGrid w:val="0"/>
        <w:spacing w:line="240" w:lineRule="auto"/>
        <w:ind w:firstLine="0" w:firstLineChars="0"/>
        <w:contextualSpacing/>
        <w:jc w:val="center"/>
        <w:rPr>
          <w:rFonts w:cs="Times New Roman"/>
          <w:color w:val="auto"/>
          <w:szCs w:val="22"/>
          <w:highlight w:val="none"/>
        </w:rPr>
      </w:pPr>
      <w:r>
        <w:rPr>
          <w:color w:val="auto"/>
          <w:highlight w:val="none"/>
        </w:rPr>
        <w:drawing>
          <wp:inline distT="0" distB="0" distL="114300" distR="114300">
            <wp:extent cx="5076825" cy="7052310"/>
            <wp:effectExtent l="0" t="0" r="9525" b="15240"/>
            <wp:docPr id="153"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00"/>
                    <pic:cNvPicPr>
                      <a:picLocks noChangeAspect="1"/>
                    </pic:cNvPicPr>
                  </pic:nvPicPr>
                  <pic:blipFill>
                    <a:blip r:embed="rId30"/>
                    <a:srcRect t="2579"/>
                    <a:stretch>
                      <a:fillRect/>
                    </a:stretch>
                  </pic:blipFill>
                  <pic:spPr>
                    <a:xfrm>
                      <a:off x="0" y="0"/>
                      <a:ext cx="5076825" cy="7052310"/>
                    </a:xfrm>
                    <a:prstGeom prst="rect">
                      <a:avLst/>
                    </a:prstGeom>
                    <a:noFill/>
                    <a:ln>
                      <a:noFill/>
                    </a:ln>
                  </pic:spPr>
                </pic:pic>
              </a:graphicData>
            </a:graphic>
          </wp:inline>
        </w:drawing>
      </w:r>
    </w:p>
    <w:p w14:paraId="29D49F3E">
      <w:pPr>
        <w:pStyle w:val="68"/>
        <w:rPr>
          <w:rFonts w:hint="eastAsia" w:eastAsia="黑体"/>
          <w:color w:val="auto"/>
          <w:kern w:val="0"/>
          <w:highlight w:val="none"/>
          <w:lang w:val="zh-CN" w:eastAsia="zh-CN"/>
        </w:rPr>
      </w:pPr>
      <w:bookmarkStart w:id="137" w:name="_Ref167911814"/>
      <w:r>
        <w:rPr>
          <w:rFonts w:hint="eastAsia" w:eastAsia="黑体"/>
          <w:color w:val="auto"/>
          <w:kern w:val="0"/>
          <w:highlight w:val="none"/>
          <w:lang w:val="en-US" w:eastAsia="zh-CN"/>
        </w:rPr>
        <w:t xml:space="preserve">图6.2-2 </w:t>
      </w:r>
      <w:r>
        <w:rPr>
          <w:rFonts w:hint="eastAsia" w:eastAsia="黑体"/>
          <w:color w:val="auto"/>
          <w:kern w:val="0"/>
          <w:highlight w:val="none"/>
          <w:lang w:val="zh-CN" w:eastAsia="zh-CN"/>
        </w:rPr>
        <w:t>区域202</w:t>
      </w:r>
      <w:r>
        <w:rPr>
          <w:rFonts w:hint="eastAsia" w:eastAsia="黑体"/>
          <w:color w:val="auto"/>
          <w:kern w:val="0"/>
          <w:highlight w:val="none"/>
          <w:lang w:val="en-US" w:eastAsia="zh-CN"/>
        </w:rPr>
        <w:t>4</w:t>
      </w:r>
      <w:r>
        <w:rPr>
          <w:rFonts w:hint="eastAsia" w:eastAsia="黑体"/>
          <w:color w:val="auto"/>
          <w:kern w:val="0"/>
          <w:highlight w:val="none"/>
          <w:lang w:val="zh-CN" w:eastAsia="zh-CN"/>
        </w:rPr>
        <w:t>年风向风频玫瑰图</w:t>
      </w:r>
      <w:bookmarkEnd w:id="137"/>
    </w:p>
    <w:p w14:paraId="74D40D3F">
      <w:pPr>
        <w:pStyle w:val="504"/>
        <w:adjustRightInd w:val="0"/>
        <w:snapToGrid w:val="0"/>
        <w:spacing w:line="360" w:lineRule="auto"/>
        <w:ind w:firstLine="480"/>
        <w:rPr>
          <w:rFonts w:hint="default" w:ascii="Times New Roman" w:hAnsi="Times New Roman" w:cs="Times New Roman"/>
          <w:snapToGrid w:val="0"/>
          <w:color w:val="auto"/>
          <w:kern w:val="0"/>
          <w:highlight w:val="none"/>
          <w:lang w:val="zh-CN"/>
        </w:rPr>
      </w:pPr>
      <w:r>
        <w:rPr>
          <w:rFonts w:hint="default" w:ascii="Times New Roman" w:hAnsi="Times New Roman" w:cs="Times New Roman"/>
          <w:snapToGrid w:val="0"/>
          <w:color w:val="auto"/>
          <w:kern w:val="0"/>
          <w:highlight w:val="none"/>
          <w:lang w:val="zh-CN"/>
        </w:rPr>
        <w:t>（3）风速</w:t>
      </w:r>
    </w:p>
    <w:p w14:paraId="3C97CBE6">
      <w:pPr>
        <w:pStyle w:val="504"/>
        <w:adjustRightInd w:val="0"/>
        <w:snapToGrid w:val="0"/>
        <w:spacing w:line="360" w:lineRule="auto"/>
        <w:ind w:firstLine="480"/>
        <w:rPr>
          <w:rFonts w:hint="default" w:ascii="Times New Roman" w:hAnsi="Times New Roman" w:cs="Times New Roman"/>
          <w:snapToGrid w:val="0"/>
          <w:color w:val="auto"/>
          <w:kern w:val="0"/>
          <w:highlight w:val="none"/>
          <w:lang w:val="zh-CN"/>
        </w:rPr>
      </w:pPr>
      <w:r>
        <w:rPr>
          <w:rFonts w:hint="default" w:ascii="Times New Roman" w:hAnsi="Times New Roman" w:cs="Times New Roman"/>
          <w:snapToGrid w:val="0"/>
          <w:color w:val="auto"/>
          <w:kern w:val="0"/>
          <w:highlight w:val="none"/>
          <w:lang w:val="zh-CN"/>
        </w:rPr>
        <w:t>乌苏市202</w:t>
      </w:r>
      <w:r>
        <w:rPr>
          <w:rFonts w:hint="eastAsia" w:ascii="Times New Roman" w:hAnsi="Times New Roman" w:cs="Times New Roman"/>
          <w:snapToGrid w:val="0"/>
          <w:color w:val="auto"/>
          <w:kern w:val="0"/>
          <w:highlight w:val="none"/>
          <w:lang w:val="en-US" w:eastAsia="zh-CN"/>
        </w:rPr>
        <w:t>4</w:t>
      </w:r>
      <w:r>
        <w:rPr>
          <w:rFonts w:hint="default" w:ascii="Times New Roman" w:hAnsi="Times New Roman" w:cs="Times New Roman"/>
          <w:snapToGrid w:val="0"/>
          <w:color w:val="auto"/>
          <w:kern w:val="0"/>
          <w:highlight w:val="none"/>
          <w:lang w:val="zh-CN"/>
        </w:rPr>
        <w:t>年年平均风速的月变化、季小时平均风速的日变化、逐月、四季及全年各风向下平均风速分别见表</w:t>
      </w:r>
      <w:r>
        <w:rPr>
          <w:rFonts w:hint="eastAsia" w:ascii="Times New Roman" w:hAnsi="Times New Roman" w:cs="Times New Roman"/>
          <w:snapToGrid w:val="0"/>
          <w:color w:val="auto"/>
          <w:kern w:val="0"/>
          <w:highlight w:val="none"/>
          <w:lang w:val="en-US" w:eastAsia="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6</w:t>
      </w:r>
      <w:r>
        <w:rPr>
          <w:rFonts w:hint="default" w:ascii="Times New Roman" w:hAnsi="Times New Roman" w:cs="Times New Roman"/>
          <w:snapToGrid w:val="0"/>
          <w:color w:val="auto"/>
          <w:kern w:val="0"/>
          <w:highlight w:val="none"/>
          <w:lang w:val="zh-CN"/>
        </w:rPr>
        <w:t>、表</w:t>
      </w:r>
      <w:r>
        <w:rPr>
          <w:rFonts w:hint="eastAsia" w:ascii="Times New Roman" w:hAnsi="Times New Roman" w:cs="Times New Roman"/>
          <w:snapToGrid w:val="0"/>
          <w:color w:val="auto"/>
          <w:kern w:val="0"/>
          <w:highlight w:val="none"/>
          <w:lang w:val="en-US" w:eastAsia="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7</w:t>
      </w:r>
      <w:r>
        <w:rPr>
          <w:rFonts w:hint="default" w:ascii="Times New Roman" w:hAnsi="Times New Roman" w:cs="Times New Roman"/>
          <w:snapToGrid w:val="0"/>
          <w:color w:val="auto"/>
          <w:kern w:val="0"/>
          <w:highlight w:val="none"/>
          <w:lang w:val="zh-CN"/>
        </w:rPr>
        <w:t>和表</w:t>
      </w:r>
      <w:r>
        <w:rPr>
          <w:rFonts w:hint="eastAsia" w:ascii="Times New Roman" w:hAnsi="Times New Roman" w:cs="Times New Roman"/>
          <w:snapToGrid w:val="0"/>
          <w:color w:val="auto"/>
          <w:kern w:val="0"/>
          <w:highlight w:val="none"/>
          <w:lang w:val="en-US" w:eastAsia="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8</w:t>
      </w:r>
      <w:r>
        <w:rPr>
          <w:rFonts w:hint="default" w:ascii="Times New Roman" w:hAnsi="Times New Roman" w:cs="Times New Roman"/>
          <w:snapToGrid w:val="0"/>
          <w:color w:val="auto"/>
          <w:kern w:val="0"/>
          <w:highlight w:val="none"/>
          <w:lang w:val="zh-CN"/>
        </w:rPr>
        <w:t>，年平均风速的月变化、季小时平均风速的日变化情况见</w:t>
      </w:r>
      <w:r>
        <w:rPr>
          <w:rFonts w:hint="eastAsia" w:ascii="Times New Roman" w:hAnsi="Times New Roman" w:cs="Times New Roman"/>
          <w:snapToGrid w:val="0"/>
          <w:color w:val="auto"/>
          <w:kern w:val="0"/>
          <w:highlight w:val="none"/>
          <w:lang w:val="en-US" w:eastAsia="zh-CN"/>
        </w:rPr>
        <w:t>图6.2-3及图6.2-4</w:t>
      </w:r>
      <w:r>
        <w:rPr>
          <w:rFonts w:hint="default" w:ascii="Times New Roman" w:hAnsi="Times New Roman" w:cs="Times New Roman"/>
          <w:snapToGrid w:val="0"/>
          <w:color w:val="auto"/>
          <w:kern w:val="0"/>
          <w:highlight w:val="none"/>
          <w:lang w:val="zh-CN"/>
        </w:rPr>
        <w:t>。区域风速玫瑰图见图</w:t>
      </w:r>
      <w:r>
        <w:rPr>
          <w:rFonts w:hint="eastAsia" w:ascii="Times New Roman" w:hAnsi="Times New Roman" w:cs="Times New Roman"/>
          <w:snapToGrid w:val="0"/>
          <w:color w:val="auto"/>
          <w:kern w:val="0"/>
          <w:highlight w:val="none"/>
          <w:lang w:val="en-US" w:eastAsia="zh-CN"/>
        </w:rPr>
        <w:t>6.</w:t>
      </w:r>
      <w:r>
        <w:rPr>
          <w:rFonts w:hint="default" w:ascii="Times New Roman" w:hAnsi="Times New Roman" w:cs="Times New Roman"/>
          <w:snapToGrid w:val="0"/>
          <w:color w:val="auto"/>
          <w:kern w:val="0"/>
          <w:highlight w:val="none"/>
          <w:lang w:val="zh-CN"/>
        </w:rPr>
        <w:t>2-</w:t>
      </w:r>
      <w:r>
        <w:rPr>
          <w:rFonts w:hint="eastAsia" w:ascii="Times New Roman" w:hAnsi="Times New Roman" w:cs="Times New Roman"/>
          <w:snapToGrid w:val="0"/>
          <w:color w:val="auto"/>
          <w:kern w:val="0"/>
          <w:highlight w:val="none"/>
          <w:lang w:val="en-US" w:eastAsia="zh-CN"/>
        </w:rPr>
        <w:t>5</w:t>
      </w:r>
      <w:r>
        <w:rPr>
          <w:rFonts w:hint="default" w:ascii="Times New Roman" w:hAnsi="Times New Roman" w:cs="Times New Roman"/>
          <w:snapToGrid w:val="0"/>
          <w:color w:val="auto"/>
          <w:kern w:val="0"/>
          <w:highlight w:val="none"/>
          <w:lang w:val="zh-CN"/>
        </w:rPr>
        <w:t>。</w:t>
      </w:r>
    </w:p>
    <w:p w14:paraId="249F65D8">
      <w:pPr>
        <w:pStyle w:val="504"/>
        <w:adjustRightInd w:val="0"/>
        <w:snapToGrid w:val="0"/>
        <w:spacing w:line="360" w:lineRule="auto"/>
        <w:ind w:firstLine="480"/>
        <w:rPr>
          <w:rFonts w:hint="default" w:ascii="Times New Roman" w:hAnsi="Times New Roman" w:cs="Times New Roman"/>
          <w:snapToGrid w:val="0"/>
          <w:color w:val="auto"/>
          <w:kern w:val="0"/>
          <w:highlight w:val="none"/>
          <w:lang w:val="zh-CN"/>
        </w:rPr>
      </w:pPr>
      <w:r>
        <w:rPr>
          <w:rFonts w:hint="default" w:ascii="Times New Roman" w:hAnsi="Times New Roman" w:cs="Times New Roman"/>
          <w:snapToGrid w:val="0"/>
          <w:color w:val="auto"/>
          <w:kern w:val="0"/>
          <w:highlight w:val="none"/>
          <w:lang w:val="zh-CN"/>
        </w:rPr>
        <w:t>评价区域202</w:t>
      </w:r>
      <w:r>
        <w:rPr>
          <w:rFonts w:hint="eastAsia" w:ascii="Times New Roman" w:hAnsi="Times New Roman" w:cs="Times New Roman"/>
          <w:snapToGrid w:val="0"/>
          <w:color w:val="auto"/>
          <w:kern w:val="0"/>
          <w:highlight w:val="none"/>
          <w:lang w:val="en-US" w:eastAsia="zh-CN"/>
        </w:rPr>
        <w:t>4</w:t>
      </w:r>
      <w:r>
        <w:rPr>
          <w:rFonts w:hint="default" w:ascii="Times New Roman" w:hAnsi="Times New Roman" w:cs="Times New Roman"/>
          <w:snapToGrid w:val="0"/>
          <w:color w:val="auto"/>
          <w:kern w:val="0"/>
          <w:highlight w:val="none"/>
          <w:lang w:val="zh-CN"/>
        </w:rPr>
        <w:t>年平均风速1.</w:t>
      </w:r>
      <w:r>
        <w:rPr>
          <w:rFonts w:hint="eastAsia" w:ascii="Times New Roman" w:hAnsi="Times New Roman" w:cs="Times New Roman"/>
          <w:snapToGrid w:val="0"/>
          <w:color w:val="auto"/>
          <w:kern w:val="0"/>
          <w:highlight w:val="none"/>
          <w:lang w:val="en-US" w:eastAsia="zh-CN"/>
        </w:rPr>
        <w:t>49</w:t>
      </w:r>
      <w:r>
        <w:rPr>
          <w:rFonts w:hint="default" w:ascii="Times New Roman" w:hAnsi="Times New Roman" w:cs="Times New Roman"/>
          <w:snapToGrid w:val="0"/>
          <w:color w:val="auto"/>
          <w:kern w:val="0"/>
          <w:highlight w:val="none"/>
          <w:lang w:val="zh-CN"/>
        </w:rPr>
        <w:t>m/s。</w:t>
      </w:r>
      <w:r>
        <w:rPr>
          <w:rFonts w:hint="eastAsia" w:ascii="Times New Roman" w:hAnsi="Times New Roman" w:cs="Times New Roman"/>
          <w:snapToGrid w:val="0"/>
          <w:color w:val="auto"/>
          <w:kern w:val="0"/>
          <w:highlight w:val="none"/>
          <w:lang w:val="en-US" w:eastAsia="zh-CN"/>
        </w:rPr>
        <w:t>6</w:t>
      </w:r>
      <w:r>
        <w:rPr>
          <w:rFonts w:hint="default" w:ascii="Times New Roman" w:hAnsi="Times New Roman" w:cs="Times New Roman"/>
          <w:snapToGrid w:val="0"/>
          <w:color w:val="auto"/>
          <w:kern w:val="0"/>
          <w:highlight w:val="none"/>
          <w:lang w:val="zh-CN"/>
        </w:rPr>
        <w:t>月风速最大为</w:t>
      </w:r>
      <w:r>
        <w:rPr>
          <w:rFonts w:hint="eastAsia" w:ascii="Times New Roman" w:hAnsi="Times New Roman" w:cs="Times New Roman"/>
          <w:snapToGrid w:val="0"/>
          <w:color w:val="auto"/>
          <w:kern w:val="0"/>
          <w:highlight w:val="none"/>
          <w:lang w:val="en-US" w:eastAsia="zh-CN"/>
        </w:rPr>
        <w:t>1.93</w:t>
      </w:r>
      <w:r>
        <w:rPr>
          <w:rFonts w:hint="default" w:ascii="Times New Roman" w:hAnsi="Times New Roman" w:cs="Times New Roman"/>
          <w:snapToGrid w:val="0"/>
          <w:color w:val="auto"/>
          <w:kern w:val="0"/>
          <w:highlight w:val="none"/>
          <w:lang w:val="zh-CN"/>
        </w:rPr>
        <w:t>m/s。1月</w:t>
      </w:r>
      <w:r>
        <w:rPr>
          <w:rFonts w:hint="eastAsia" w:ascii="Times New Roman" w:hAnsi="Times New Roman" w:cs="Times New Roman"/>
          <w:snapToGrid w:val="0"/>
          <w:color w:val="auto"/>
          <w:kern w:val="0"/>
          <w:highlight w:val="none"/>
          <w:lang w:val="en-US" w:eastAsia="zh-CN"/>
        </w:rPr>
        <w:t>及12月</w:t>
      </w:r>
      <w:r>
        <w:rPr>
          <w:rFonts w:hint="default" w:ascii="Times New Roman" w:hAnsi="Times New Roman" w:cs="Times New Roman"/>
          <w:snapToGrid w:val="0"/>
          <w:color w:val="auto"/>
          <w:kern w:val="0"/>
          <w:highlight w:val="none"/>
          <w:lang w:val="zh-CN"/>
        </w:rPr>
        <w:t>最小</w:t>
      </w:r>
      <w:r>
        <w:rPr>
          <w:rFonts w:hint="eastAsia" w:ascii="Times New Roman" w:hAnsi="Times New Roman" w:cs="Times New Roman"/>
          <w:snapToGrid w:val="0"/>
          <w:color w:val="auto"/>
          <w:kern w:val="0"/>
          <w:highlight w:val="none"/>
          <w:lang w:val="en-US" w:eastAsia="zh-CN"/>
        </w:rPr>
        <w:t>均</w:t>
      </w:r>
      <w:r>
        <w:rPr>
          <w:rFonts w:hint="default" w:ascii="Times New Roman" w:hAnsi="Times New Roman" w:cs="Times New Roman"/>
          <w:snapToGrid w:val="0"/>
          <w:color w:val="auto"/>
          <w:kern w:val="0"/>
          <w:highlight w:val="none"/>
          <w:lang w:val="zh-CN"/>
        </w:rPr>
        <w:t>为1.</w:t>
      </w:r>
      <w:r>
        <w:rPr>
          <w:rFonts w:hint="eastAsia" w:ascii="Times New Roman" w:hAnsi="Times New Roman" w:cs="Times New Roman"/>
          <w:snapToGrid w:val="0"/>
          <w:color w:val="auto"/>
          <w:kern w:val="0"/>
          <w:highlight w:val="none"/>
          <w:lang w:val="en-US" w:eastAsia="zh-CN"/>
        </w:rPr>
        <w:t>0</w:t>
      </w:r>
      <w:r>
        <w:rPr>
          <w:rFonts w:hint="default" w:ascii="Times New Roman" w:hAnsi="Times New Roman" w:cs="Times New Roman"/>
          <w:snapToGrid w:val="0"/>
          <w:color w:val="auto"/>
          <w:kern w:val="0"/>
          <w:highlight w:val="none"/>
          <w:lang w:val="zh-CN"/>
        </w:rPr>
        <w:t>1m/s。从各季小时月平均风速统计资料中可以看出，乌苏市春季最高，冬季风速最低。</w:t>
      </w:r>
    </w:p>
    <w:p w14:paraId="16DE746A">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zh-CN" w:eastAsia="zh-CN"/>
        </w:rPr>
      </w:pPr>
      <w:r>
        <w:rPr>
          <w:rFonts w:hint="eastAsia" w:ascii="Times New Roman" w:hAnsi="Times New Roman" w:cs="Times New Roman"/>
          <w:snapToGrid w:val="0"/>
          <w:color w:val="auto"/>
          <w:kern w:val="0"/>
          <w:sz w:val="21"/>
          <w:szCs w:val="21"/>
          <w:highlight w:val="none"/>
          <w:lang w:val="en-US" w:eastAsia="zh-CN"/>
        </w:rPr>
        <w:t xml:space="preserve">表6.2-6 </w:t>
      </w:r>
      <w:r>
        <w:rPr>
          <w:rFonts w:hint="eastAsia" w:ascii="Times New Roman" w:hAnsi="Times New Roman" w:cs="Times New Roman"/>
          <w:snapToGrid w:val="0"/>
          <w:color w:val="auto"/>
          <w:kern w:val="0"/>
          <w:sz w:val="21"/>
          <w:szCs w:val="21"/>
          <w:highlight w:val="none"/>
          <w:lang w:val="zh-CN" w:eastAsia="zh-CN"/>
        </w:rPr>
        <w:t>区域202</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lang w:val="zh-CN" w:eastAsia="zh-CN"/>
        </w:rPr>
        <w:t>年平均风速的月变化表</w:t>
      </w:r>
    </w:p>
    <w:tbl>
      <w:tblPr>
        <w:tblStyle w:val="56"/>
        <w:tblW w:w="5000"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0" w:type="dxa"/>
          <w:bottom w:w="0" w:type="dxa"/>
          <w:right w:w="0" w:type="dxa"/>
        </w:tblCellMar>
      </w:tblPr>
      <w:tblGrid>
        <w:gridCol w:w="1137"/>
        <w:gridCol w:w="553"/>
        <w:gridCol w:w="553"/>
        <w:gridCol w:w="553"/>
        <w:gridCol w:w="553"/>
        <w:gridCol w:w="553"/>
        <w:gridCol w:w="553"/>
        <w:gridCol w:w="553"/>
        <w:gridCol w:w="553"/>
        <w:gridCol w:w="553"/>
        <w:gridCol w:w="610"/>
        <w:gridCol w:w="611"/>
        <w:gridCol w:w="611"/>
        <w:gridCol w:w="376"/>
      </w:tblGrid>
      <w:tr w14:paraId="0E09EA2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8" w:type="pct"/>
            <w:noWrap/>
            <w:vAlign w:val="center"/>
          </w:tcPr>
          <w:p w14:paraId="3341292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月份</w:t>
            </w:r>
          </w:p>
        </w:tc>
        <w:tc>
          <w:tcPr>
            <w:tcW w:w="338" w:type="pct"/>
            <w:noWrap/>
            <w:vAlign w:val="center"/>
          </w:tcPr>
          <w:p w14:paraId="36DFC03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1月</w:t>
            </w:r>
          </w:p>
        </w:tc>
        <w:tc>
          <w:tcPr>
            <w:tcW w:w="338" w:type="pct"/>
            <w:noWrap/>
            <w:vAlign w:val="center"/>
          </w:tcPr>
          <w:p w14:paraId="5F9B828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2月</w:t>
            </w:r>
          </w:p>
        </w:tc>
        <w:tc>
          <w:tcPr>
            <w:tcW w:w="338" w:type="pct"/>
            <w:noWrap/>
            <w:vAlign w:val="center"/>
          </w:tcPr>
          <w:p w14:paraId="071DB9F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3月</w:t>
            </w:r>
          </w:p>
        </w:tc>
        <w:tc>
          <w:tcPr>
            <w:tcW w:w="338" w:type="pct"/>
            <w:noWrap/>
            <w:vAlign w:val="center"/>
          </w:tcPr>
          <w:p w14:paraId="22F2E4C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4月</w:t>
            </w:r>
          </w:p>
        </w:tc>
        <w:tc>
          <w:tcPr>
            <w:tcW w:w="338" w:type="pct"/>
            <w:noWrap/>
            <w:vAlign w:val="center"/>
          </w:tcPr>
          <w:p w14:paraId="7EAA2D2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5月</w:t>
            </w:r>
          </w:p>
        </w:tc>
        <w:tc>
          <w:tcPr>
            <w:tcW w:w="338" w:type="pct"/>
            <w:noWrap/>
            <w:vAlign w:val="center"/>
          </w:tcPr>
          <w:p w14:paraId="17029CC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6月</w:t>
            </w:r>
          </w:p>
        </w:tc>
        <w:tc>
          <w:tcPr>
            <w:tcW w:w="338" w:type="pct"/>
            <w:noWrap/>
            <w:vAlign w:val="center"/>
          </w:tcPr>
          <w:p w14:paraId="1EE4660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7月</w:t>
            </w:r>
          </w:p>
        </w:tc>
        <w:tc>
          <w:tcPr>
            <w:tcW w:w="338" w:type="pct"/>
            <w:noWrap/>
            <w:vAlign w:val="center"/>
          </w:tcPr>
          <w:p w14:paraId="2245023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8月</w:t>
            </w:r>
          </w:p>
        </w:tc>
        <w:tc>
          <w:tcPr>
            <w:tcW w:w="338" w:type="pct"/>
            <w:noWrap/>
            <w:vAlign w:val="center"/>
          </w:tcPr>
          <w:p w14:paraId="3ADAA55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9月</w:t>
            </w:r>
          </w:p>
        </w:tc>
        <w:tc>
          <w:tcPr>
            <w:tcW w:w="372" w:type="pct"/>
            <w:noWrap/>
            <w:vAlign w:val="center"/>
          </w:tcPr>
          <w:p w14:paraId="27FEEB9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10月</w:t>
            </w:r>
          </w:p>
        </w:tc>
        <w:tc>
          <w:tcPr>
            <w:tcW w:w="372" w:type="pct"/>
            <w:noWrap/>
            <w:vAlign w:val="center"/>
          </w:tcPr>
          <w:p w14:paraId="659C0DB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11月</w:t>
            </w:r>
          </w:p>
        </w:tc>
        <w:tc>
          <w:tcPr>
            <w:tcW w:w="372" w:type="pct"/>
            <w:noWrap/>
            <w:vAlign w:val="center"/>
          </w:tcPr>
          <w:p w14:paraId="2AE4AD1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12月</w:t>
            </w:r>
          </w:p>
        </w:tc>
        <w:tc>
          <w:tcPr>
            <w:tcW w:w="339" w:type="pct"/>
            <w:vAlign w:val="center"/>
          </w:tcPr>
          <w:p w14:paraId="1BD3819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平均</w:t>
            </w:r>
          </w:p>
        </w:tc>
      </w:tr>
      <w:tr w14:paraId="3BD4871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8" w:type="pct"/>
            <w:noWrap/>
            <w:vAlign w:val="center"/>
          </w:tcPr>
          <w:p w14:paraId="266E8F0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风速</w:t>
            </w:r>
            <w:r>
              <w:rPr>
                <w:rFonts w:hint="eastAsia"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m/s</w:t>
            </w:r>
            <w:r>
              <w:rPr>
                <w:rFonts w:hint="eastAsia" w:cs="Times New Roman"/>
                <w:snapToGrid w:val="0"/>
                <w:color w:val="auto"/>
                <w:kern w:val="0"/>
                <w:sz w:val="21"/>
                <w:szCs w:val="21"/>
                <w:highlight w:val="none"/>
                <w:lang w:eastAsia="zh-CN"/>
              </w:rPr>
              <w:t>）</w:t>
            </w:r>
          </w:p>
        </w:tc>
        <w:tc>
          <w:tcPr>
            <w:tcW w:w="563" w:type="dxa"/>
            <w:noWrap/>
            <w:vAlign w:val="center"/>
          </w:tcPr>
          <w:p w14:paraId="41894A4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1.01</w:t>
            </w:r>
          </w:p>
        </w:tc>
        <w:tc>
          <w:tcPr>
            <w:tcW w:w="563" w:type="dxa"/>
            <w:noWrap/>
            <w:vAlign w:val="center"/>
          </w:tcPr>
          <w:p w14:paraId="5097DDE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1.23</w:t>
            </w:r>
          </w:p>
        </w:tc>
        <w:tc>
          <w:tcPr>
            <w:tcW w:w="563" w:type="dxa"/>
            <w:noWrap/>
            <w:vAlign w:val="center"/>
          </w:tcPr>
          <w:p w14:paraId="18263FE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1.58</w:t>
            </w:r>
          </w:p>
        </w:tc>
        <w:tc>
          <w:tcPr>
            <w:tcW w:w="563" w:type="dxa"/>
            <w:noWrap/>
            <w:vAlign w:val="center"/>
          </w:tcPr>
          <w:p w14:paraId="7124193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1.84</w:t>
            </w:r>
          </w:p>
        </w:tc>
        <w:tc>
          <w:tcPr>
            <w:tcW w:w="563" w:type="dxa"/>
            <w:noWrap/>
            <w:vAlign w:val="center"/>
          </w:tcPr>
          <w:p w14:paraId="4D19E32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1.85</w:t>
            </w:r>
          </w:p>
        </w:tc>
        <w:tc>
          <w:tcPr>
            <w:tcW w:w="563" w:type="dxa"/>
            <w:noWrap/>
            <w:vAlign w:val="center"/>
          </w:tcPr>
          <w:p w14:paraId="1B6275F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1.93</w:t>
            </w:r>
          </w:p>
        </w:tc>
        <w:tc>
          <w:tcPr>
            <w:tcW w:w="563" w:type="dxa"/>
            <w:noWrap/>
            <w:vAlign w:val="center"/>
          </w:tcPr>
          <w:p w14:paraId="7FF1FEB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1.79</w:t>
            </w:r>
          </w:p>
        </w:tc>
        <w:tc>
          <w:tcPr>
            <w:tcW w:w="563" w:type="dxa"/>
            <w:noWrap/>
            <w:vAlign w:val="center"/>
          </w:tcPr>
          <w:p w14:paraId="66E0FDF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1.69</w:t>
            </w:r>
          </w:p>
        </w:tc>
        <w:tc>
          <w:tcPr>
            <w:tcW w:w="563" w:type="dxa"/>
            <w:noWrap/>
            <w:vAlign w:val="center"/>
          </w:tcPr>
          <w:p w14:paraId="4A69B06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1.44</w:t>
            </w:r>
          </w:p>
        </w:tc>
        <w:tc>
          <w:tcPr>
            <w:tcW w:w="620" w:type="dxa"/>
            <w:noWrap/>
            <w:vAlign w:val="center"/>
          </w:tcPr>
          <w:p w14:paraId="7794A6C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1.29</w:t>
            </w:r>
          </w:p>
        </w:tc>
        <w:tc>
          <w:tcPr>
            <w:tcW w:w="620" w:type="dxa"/>
            <w:noWrap/>
            <w:vAlign w:val="center"/>
          </w:tcPr>
          <w:p w14:paraId="091C3D0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1.21</w:t>
            </w:r>
          </w:p>
        </w:tc>
        <w:tc>
          <w:tcPr>
            <w:tcW w:w="620" w:type="dxa"/>
            <w:noWrap/>
            <w:vAlign w:val="center"/>
          </w:tcPr>
          <w:p w14:paraId="074244A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1.0</w:t>
            </w:r>
            <w:r>
              <w:rPr>
                <w:rFonts w:hint="eastAsia" w:ascii="Times New Roman" w:hAnsi="Times New Roman" w:eastAsia="宋体" w:cs="Times New Roman"/>
                <w:snapToGrid w:val="0"/>
                <w:color w:val="auto"/>
                <w:kern w:val="0"/>
                <w:sz w:val="21"/>
                <w:szCs w:val="21"/>
                <w:highlight w:val="none"/>
                <w:lang w:val="en-US" w:eastAsia="zh-CN"/>
              </w:rPr>
              <w:t>1</w:t>
            </w:r>
          </w:p>
        </w:tc>
        <w:tc>
          <w:tcPr>
            <w:tcW w:w="567" w:type="dxa"/>
            <w:vAlign w:val="center"/>
          </w:tcPr>
          <w:p w14:paraId="60E98E1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1.49</w:t>
            </w:r>
          </w:p>
        </w:tc>
      </w:tr>
    </w:tbl>
    <w:p w14:paraId="51653BD9">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0" w:firstLineChars="0"/>
        <w:textAlignment w:val="center"/>
        <w:rPr>
          <w:rFonts w:hint="eastAsia" w:ascii="Times New Roman" w:hAnsi="Times New Roman" w:cs="Times New Roman"/>
          <w:b/>
          <w:bCs/>
          <w:snapToGrid w:val="0"/>
          <w:color w:val="auto"/>
          <w:kern w:val="0"/>
          <w:sz w:val="21"/>
          <w:szCs w:val="21"/>
          <w:highlight w:val="none"/>
          <w:lang w:val="zh-CN" w:eastAsia="zh-CN"/>
        </w:rPr>
      </w:pPr>
      <w:r>
        <w:rPr>
          <w:rFonts w:hint="eastAsia" w:ascii="Times New Roman" w:hAnsi="Times New Roman" w:cs="Times New Roman"/>
          <w:b/>
          <w:bCs/>
          <w:snapToGrid w:val="0"/>
          <w:color w:val="auto"/>
          <w:kern w:val="0"/>
          <w:sz w:val="21"/>
          <w:szCs w:val="21"/>
          <w:highlight w:val="none"/>
          <w:lang w:val="en-US" w:eastAsia="zh-CN"/>
        </w:rPr>
        <w:t xml:space="preserve">表6.2-7 </w:t>
      </w:r>
      <w:r>
        <w:rPr>
          <w:rFonts w:hint="eastAsia" w:ascii="Times New Roman" w:hAnsi="Times New Roman" w:cs="Times New Roman"/>
          <w:b/>
          <w:bCs/>
          <w:snapToGrid w:val="0"/>
          <w:color w:val="auto"/>
          <w:kern w:val="0"/>
          <w:sz w:val="21"/>
          <w:szCs w:val="21"/>
          <w:highlight w:val="none"/>
          <w:lang w:val="zh-CN" w:eastAsia="zh-CN"/>
        </w:rPr>
        <w:t>区域202</w:t>
      </w:r>
      <w:r>
        <w:rPr>
          <w:rFonts w:hint="eastAsia" w:ascii="Times New Roman" w:hAnsi="Times New Roman" w:cs="Times New Roman"/>
          <w:b/>
          <w:bCs/>
          <w:snapToGrid w:val="0"/>
          <w:color w:val="auto"/>
          <w:kern w:val="0"/>
          <w:sz w:val="21"/>
          <w:szCs w:val="21"/>
          <w:highlight w:val="none"/>
          <w:lang w:val="en-US" w:eastAsia="zh-CN"/>
        </w:rPr>
        <w:t>4</w:t>
      </w:r>
      <w:r>
        <w:rPr>
          <w:rFonts w:hint="eastAsia" w:ascii="Times New Roman" w:hAnsi="Times New Roman" w:cs="Times New Roman"/>
          <w:b/>
          <w:bCs/>
          <w:snapToGrid w:val="0"/>
          <w:color w:val="auto"/>
          <w:kern w:val="0"/>
          <w:sz w:val="21"/>
          <w:szCs w:val="21"/>
          <w:highlight w:val="none"/>
          <w:lang w:val="zh-CN" w:eastAsia="zh-CN"/>
        </w:rPr>
        <w:t>年季平均风速的日变化一览表</w:t>
      </w:r>
    </w:p>
    <w:tbl>
      <w:tblPr>
        <w:tblStyle w:val="56"/>
        <w:tblW w:w="500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3" w:type="dxa"/>
          <w:bottom w:w="0" w:type="dxa"/>
          <w:right w:w="23" w:type="dxa"/>
        </w:tblCellMar>
      </w:tblPr>
      <w:tblGrid>
        <w:gridCol w:w="1190"/>
        <w:gridCol w:w="596"/>
        <w:gridCol w:w="596"/>
        <w:gridCol w:w="597"/>
        <w:gridCol w:w="595"/>
        <w:gridCol w:w="597"/>
        <w:gridCol w:w="597"/>
        <w:gridCol w:w="597"/>
        <w:gridCol w:w="597"/>
        <w:gridCol w:w="597"/>
        <w:gridCol w:w="597"/>
        <w:gridCol w:w="597"/>
        <w:gridCol w:w="602"/>
      </w:tblGrid>
      <w:tr w14:paraId="63780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single" w:color="000000" w:sz="4" w:space="0"/>
            </w:tcBorders>
            <w:shd w:val="clear" w:color="auto" w:fill="auto"/>
            <w:noWrap/>
            <w:vAlign w:val="center"/>
          </w:tcPr>
          <w:p w14:paraId="22E82E2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right"/>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风速</w:t>
            </w:r>
            <w:r>
              <w:rPr>
                <w:rFonts w:hint="eastAsia"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m/s</w:t>
            </w:r>
            <w:r>
              <w:rPr>
                <w:rFonts w:hint="eastAsia" w:cs="Times New Roman"/>
                <w:snapToGrid w:val="0"/>
                <w:color w:val="auto"/>
                <w:kern w:val="0"/>
                <w:sz w:val="21"/>
                <w:szCs w:val="21"/>
                <w:highlight w:val="none"/>
                <w:lang w:eastAsia="zh-CN"/>
              </w:rPr>
              <w:t>）</w:t>
            </w:r>
          </w:p>
          <w:p w14:paraId="11C646C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left"/>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小时</w:t>
            </w:r>
            <w:r>
              <w:rPr>
                <w:rFonts w:hint="eastAsia"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h</w:t>
            </w:r>
            <w:r>
              <w:rPr>
                <w:rFonts w:hint="eastAsia" w:cs="Times New Roman"/>
                <w:snapToGrid w:val="0"/>
                <w:color w:val="auto"/>
                <w:kern w:val="0"/>
                <w:sz w:val="21"/>
                <w:szCs w:val="21"/>
                <w:highlight w:val="none"/>
                <w:lang w:eastAsia="zh-CN"/>
              </w:rPr>
              <w:t>）</w:t>
            </w:r>
          </w:p>
        </w:tc>
        <w:tc>
          <w:tcPr>
            <w:tcW w:w="363" w:type="pct"/>
            <w:tcBorders>
              <w:tl2br w:val="nil"/>
              <w:tr2bl w:val="nil"/>
            </w:tcBorders>
            <w:shd w:val="clear" w:color="auto" w:fill="auto"/>
            <w:noWrap/>
            <w:vAlign w:val="center"/>
          </w:tcPr>
          <w:p w14:paraId="744FB2A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w:t>
            </w:r>
          </w:p>
        </w:tc>
        <w:tc>
          <w:tcPr>
            <w:tcW w:w="363" w:type="pct"/>
            <w:tcBorders>
              <w:tl2br w:val="nil"/>
              <w:tr2bl w:val="nil"/>
            </w:tcBorders>
            <w:shd w:val="clear" w:color="auto" w:fill="auto"/>
            <w:noWrap/>
            <w:vAlign w:val="center"/>
          </w:tcPr>
          <w:p w14:paraId="7738904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w:t>
            </w:r>
          </w:p>
        </w:tc>
        <w:tc>
          <w:tcPr>
            <w:tcW w:w="363" w:type="pct"/>
            <w:tcBorders>
              <w:tl2br w:val="nil"/>
              <w:tr2bl w:val="nil"/>
            </w:tcBorders>
            <w:shd w:val="clear" w:color="auto" w:fill="auto"/>
            <w:noWrap/>
            <w:vAlign w:val="center"/>
          </w:tcPr>
          <w:p w14:paraId="1ED48D0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3</w:t>
            </w:r>
          </w:p>
        </w:tc>
        <w:tc>
          <w:tcPr>
            <w:tcW w:w="362" w:type="pct"/>
            <w:tcBorders>
              <w:tl2br w:val="nil"/>
              <w:tr2bl w:val="nil"/>
            </w:tcBorders>
            <w:shd w:val="clear" w:color="auto" w:fill="auto"/>
            <w:noWrap/>
            <w:vAlign w:val="center"/>
          </w:tcPr>
          <w:p w14:paraId="43F6677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4</w:t>
            </w:r>
          </w:p>
        </w:tc>
        <w:tc>
          <w:tcPr>
            <w:tcW w:w="363" w:type="pct"/>
            <w:tcBorders>
              <w:tl2br w:val="nil"/>
              <w:tr2bl w:val="nil"/>
            </w:tcBorders>
            <w:shd w:val="clear" w:color="auto" w:fill="auto"/>
            <w:noWrap/>
            <w:vAlign w:val="center"/>
          </w:tcPr>
          <w:p w14:paraId="101E22C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w:t>
            </w:r>
          </w:p>
        </w:tc>
        <w:tc>
          <w:tcPr>
            <w:tcW w:w="363" w:type="pct"/>
            <w:tcBorders>
              <w:tl2br w:val="nil"/>
              <w:tr2bl w:val="nil"/>
            </w:tcBorders>
            <w:shd w:val="clear" w:color="auto" w:fill="auto"/>
            <w:noWrap/>
            <w:vAlign w:val="center"/>
          </w:tcPr>
          <w:p w14:paraId="2FC7D42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6</w:t>
            </w:r>
          </w:p>
        </w:tc>
        <w:tc>
          <w:tcPr>
            <w:tcW w:w="363" w:type="pct"/>
            <w:tcBorders>
              <w:tl2br w:val="nil"/>
              <w:tr2bl w:val="nil"/>
            </w:tcBorders>
            <w:shd w:val="clear" w:color="auto" w:fill="auto"/>
            <w:noWrap/>
            <w:vAlign w:val="center"/>
          </w:tcPr>
          <w:p w14:paraId="151C7E5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7</w:t>
            </w:r>
          </w:p>
        </w:tc>
        <w:tc>
          <w:tcPr>
            <w:tcW w:w="363" w:type="pct"/>
            <w:tcBorders>
              <w:tl2br w:val="nil"/>
              <w:tr2bl w:val="nil"/>
            </w:tcBorders>
            <w:shd w:val="clear" w:color="auto" w:fill="auto"/>
            <w:noWrap/>
            <w:vAlign w:val="center"/>
          </w:tcPr>
          <w:p w14:paraId="1029F43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8</w:t>
            </w:r>
          </w:p>
        </w:tc>
        <w:tc>
          <w:tcPr>
            <w:tcW w:w="363" w:type="pct"/>
            <w:tcBorders>
              <w:tl2br w:val="nil"/>
              <w:tr2bl w:val="nil"/>
            </w:tcBorders>
            <w:shd w:val="clear" w:color="auto" w:fill="auto"/>
            <w:noWrap/>
            <w:vAlign w:val="center"/>
          </w:tcPr>
          <w:p w14:paraId="7620D8B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9</w:t>
            </w:r>
          </w:p>
        </w:tc>
        <w:tc>
          <w:tcPr>
            <w:tcW w:w="363" w:type="pct"/>
            <w:tcBorders>
              <w:tl2br w:val="nil"/>
              <w:tr2bl w:val="nil"/>
            </w:tcBorders>
            <w:shd w:val="clear" w:color="auto" w:fill="auto"/>
            <w:noWrap/>
            <w:vAlign w:val="center"/>
          </w:tcPr>
          <w:p w14:paraId="6FAA621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10</w:t>
            </w:r>
          </w:p>
        </w:tc>
        <w:tc>
          <w:tcPr>
            <w:tcW w:w="363" w:type="pct"/>
            <w:tcBorders>
              <w:tl2br w:val="nil"/>
              <w:tr2bl w:val="nil"/>
            </w:tcBorders>
            <w:shd w:val="clear" w:color="auto" w:fill="auto"/>
            <w:noWrap/>
            <w:vAlign w:val="center"/>
          </w:tcPr>
          <w:p w14:paraId="33B4230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11</w:t>
            </w:r>
          </w:p>
        </w:tc>
        <w:tc>
          <w:tcPr>
            <w:tcW w:w="366" w:type="pct"/>
            <w:tcBorders>
              <w:tl2br w:val="nil"/>
              <w:tr2bl w:val="nil"/>
            </w:tcBorders>
            <w:shd w:val="clear" w:color="auto" w:fill="auto"/>
            <w:noWrap/>
            <w:vAlign w:val="center"/>
          </w:tcPr>
          <w:p w14:paraId="371A4CA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12</w:t>
            </w:r>
          </w:p>
        </w:tc>
      </w:tr>
      <w:tr w14:paraId="68FD1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45C34B7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春季</w:t>
            </w:r>
          </w:p>
        </w:tc>
        <w:tc>
          <w:tcPr>
            <w:tcW w:w="363" w:type="pct"/>
            <w:tcBorders>
              <w:tl2br w:val="nil"/>
              <w:tr2bl w:val="nil"/>
            </w:tcBorders>
            <w:shd w:val="clear" w:color="auto" w:fill="auto"/>
            <w:noWrap/>
            <w:vAlign w:val="center"/>
          </w:tcPr>
          <w:p w14:paraId="1D881C4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1.53</w:t>
            </w:r>
          </w:p>
        </w:tc>
        <w:tc>
          <w:tcPr>
            <w:tcW w:w="363" w:type="pct"/>
            <w:tcBorders>
              <w:tl2br w:val="nil"/>
              <w:tr2bl w:val="nil"/>
            </w:tcBorders>
            <w:shd w:val="clear" w:color="auto" w:fill="auto"/>
            <w:noWrap/>
            <w:vAlign w:val="center"/>
          </w:tcPr>
          <w:p w14:paraId="512B7B4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1.58</w:t>
            </w:r>
          </w:p>
        </w:tc>
        <w:tc>
          <w:tcPr>
            <w:tcW w:w="363" w:type="pct"/>
            <w:tcBorders>
              <w:tl2br w:val="nil"/>
              <w:tr2bl w:val="nil"/>
            </w:tcBorders>
            <w:shd w:val="clear" w:color="auto" w:fill="auto"/>
            <w:noWrap/>
            <w:vAlign w:val="center"/>
          </w:tcPr>
          <w:p w14:paraId="42ECFE3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1.61</w:t>
            </w:r>
          </w:p>
        </w:tc>
        <w:tc>
          <w:tcPr>
            <w:tcW w:w="362" w:type="pct"/>
            <w:tcBorders>
              <w:tl2br w:val="nil"/>
              <w:tr2bl w:val="nil"/>
            </w:tcBorders>
            <w:shd w:val="clear" w:color="auto" w:fill="auto"/>
            <w:noWrap/>
            <w:vAlign w:val="center"/>
          </w:tcPr>
          <w:p w14:paraId="0F70CD8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1.53</w:t>
            </w:r>
          </w:p>
        </w:tc>
        <w:tc>
          <w:tcPr>
            <w:tcW w:w="363" w:type="pct"/>
            <w:tcBorders>
              <w:tl2br w:val="nil"/>
              <w:tr2bl w:val="nil"/>
            </w:tcBorders>
            <w:shd w:val="clear" w:color="auto" w:fill="auto"/>
            <w:noWrap/>
            <w:vAlign w:val="center"/>
          </w:tcPr>
          <w:p w14:paraId="445EB6C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1.61</w:t>
            </w:r>
          </w:p>
        </w:tc>
        <w:tc>
          <w:tcPr>
            <w:tcW w:w="363" w:type="pct"/>
            <w:tcBorders>
              <w:tl2br w:val="nil"/>
              <w:tr2bl w:val="nil"/>
            </w:tcBorders>
            <w:shd w:val="clear" w:color="auto" w:fill="auto"/>
            <w:noWrap/>
            <w:vAlign w:val="center"/>
          </w:tcPr>
          <w:p w14:paraId="69448D4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1.53</w:t>
            </w:r>
          </w:p>
        </w:tc>
        <w:tc>
          <w:tcPr>
            <w:tcW w:w="363" w:type="pct"/>
            <w:tcBorders>
              <w:tl2br w:val="nil"/>
              <w:tr2bl w:val="nil"/>
            </w:tcBorders>
            <w:shd w:val="clear" w:color="auto" w:fill="auto"/>
            <w:noWrap/>
            <w:vAlign w:val="center"/>
          </w:tcPr>
          <w:p w14:paraId="1C7CC69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1.52</w:t>
            </w:r>
          </w:p>
        </w:tc>
        <w:tc>
          <w:tcPr>
            <w:tcW w:w="363" w:type="pct"/>
            <w:tcBorders>
              <w:tl2br w:val="nil"/>
              <w:tr2bl w:val="nil"/>
            </w:tcBorders>
            <w:shd w:val="clear" w:color="auto" w:fill="auto"/>
            <w:noWrap/>
            <w:vAlign w:val="center"/>
          </w:tcPr>
          <w:p w14:paraId="040324E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1.45</w:t>
            </w:r>
          </w:p>
        </w:tc>
        <w:tc>
          <w:tcPr>
            <w:tcW w:w="363" w:type="pct"/>
            <w:tcBorders>
              <w:tl2br w:val="nil"/>
              <w:tr2bl w:val="nil"/>
            </w:tcBorders>
            <w:shd w:val="clear" w:color="auto" w:fill="auto"/>
            <w:noWrap/>
            <w:vAlign w:val="center"/>
          </w:tcPr>
          <w:p w14:paraId="31330DD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1.51</w:t>
            </w:r>
          </w:p>
        </w:tc>
        <w:tc>
          <w:tcPr>
            <w:tcW w:w="363" w:type="pct"/>
            <w:tcBorders>
              <w:tl2br w:val="nil"/>
              <w:tr2bl w:val="nil"/>
            </w:tcBorders>
            <w:shd w:val="clear" w:color="auto" w:fill="auto"/>
            <w:noWrap/>
            <w:vAlign w:val="center"/>
          </w:tcPr>
          <w:p w14:paraId="5C36B59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1.64</w:t>
            </w:r>
          </w:p>
        </w:tc>
        <w:tc>
          <w:tcPr>
            <w:tcW w:w="363" w:type="pct"/>
            <w:tcBorders>
              <w:tl2br w:val="nil"/>
              <w:tr2bl w:val="nil"/>
            </w:tcBorders>
            <w:shd w:val="clear" w:color="auto" w:fill="auto"/>
            <w:noWrap/>
            <w:vAlign w:val="center"/>
          </w:tcPr>
          <w:p w14:paraId="7C226C6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1.96</w:t>
            </w:r>
          </w:p>
        </w:tc>
        <w:tc>
          <w:tcPr>
            <w:tcW w:w="366" w:type="pct"/>
            <w:tcBorders>
              <w:tl2br w:val="nil"/>
              <w:tr2bl w:val="nil"/>
            </w:tcBorders>
            <w:shd w:val="clear" w:color="auto" w:fill="auto"/>
            <w:noWrap/>
            <w:vAlign w:val="center"/>
          </w:tcPr>
          <w:p w14:paraId="332FFC5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2.13</w:t>
            </w:r>
          </w:p>
        </w:tc>
      </w:tr>
      <w:tr w14:paraId="4F442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5B308B9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夏季</w:t>
            </w:r>
          </w:p>
        </w:tc>
        <w:tc>
          <w:tcPr>
            <w:tcW w:w="363" w:type="pct"/>
            <w:tcBorders>
              <w:tl2br w:val="nil"/>
              <w:tr2bl w:val="nil"/>
            </w:tcBorders>
            <w:shd w:val="clear" w:color="auto" w:fill="auto"/>
            <w:noWrap/>
            <w:vAlign w:val="center"/>
          </w:tcPr>
          <w:p w14:paraId="233ABDF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1.73</w:t>
            </w:r>
          </w:p>
        </w:tc>
        <w:tc>
          <w:tcPr>
            <w:tcW w:w="363" w:type="pct"/>
            <w:tcBorders>
              <w:tl2br w:val="nil"/>
              <w:tr2bl w:val="nil"/>
            </w:tcBorders>
            <w:shd w:val="clear" w:color="auto" w:fill="auto"/>
            <w:noWrap/>
            <w:vAlign w:val="center"/>
          </w:tcPr>
          <w:p w14:paraId="2D70199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1.69</w:t>
            </w:r>
          </w:p>
        </w:tc>
        <w:tc>
          <w:tcPr>
            <w:tcW w:w="363" w:type="pct"/>
            <w:tcBorders>
              <w:tl2br w:val="nil"/>
              <w:tr2bl w:val="nil"/>
            </w:tcBorders>
            <w:shd w:val="clear" w:color="auto" w:fill="auto"/>
            <w:noWrap/>
            <w:vAlign w:val="center"/>
          </w:tcPr>
          <w:p w14:paraId="70FC6CC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1.63</w:t>
            </w:r>
          </w:p>
        </w:tc>
        <w:tc>
          <w:tcPr>
            <w:tcW w:w="362" w:type="pct"/>
            <w:tcBorders>
              <w:tl2br w:val="nil"/>
              <w:tr2bl w:val="nil"/>
            </w:tcBorders>
            <w:shd w:val="clear" w:color="auto" w:fill="auto"/>
            <w:noWrap/>
            <w:vAlign w:val="center"/>
          </w:tcPr>
          <w:p w14:paraId="45DCB37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1.55</w:t>
            </w:r>
          </w:p>
        </w:tc>
        <w:tc>
          <w:tcPr>
            <w:tcW w:w="363" w:type="pct"/>
            <w:tcBorders>
              <w:tl2br w:val="nil"/>
              <w:tr2bl w:val="nil"/>
            </w:tcBorders>
            <w:shd w:val="clear" w:color="auto" w:fill="auto"/>
            <w:noWrap/>
            <w:vAlign w:val="center"/>
          </w:tcPr>
          <w:p w14:paraId="775501B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1.62</w:t>
            </w:r>
          </w:p>
        </w:tc>
        <w:tc>
          <w:tcPr>
            <w:tcW w:w="363" w:type="pct"/>
            <w:tcBorders>
              <w:tl2br w:val="nil"/>
              <w:tr2bl w:val="nil"/>
            </w:tcBorders>
            <w:shd w:val="clear" w:color="auto" w:fill="auto"/>
            <w:noWrap/>
            <w:vAlign w:val="center"/>
          </w:tcPr>
          <w:p w14:paraId="5BF2652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1.65</w:t>
            </w:r>
          </w:p>
        </w:tc>
        <w:tc>
          <w:tcPr>
            <w:tcW w:w="363" w:type="pct"/>
            <w:tcBorders>
              <w:tl2br w:val="nil"/>
              <w:tr2bl w:val="nil"/>
            </w:tcBorders>
            <w:shd w:val="clear" w:color="auto" w:fill="auto"/>
            <w:noWrap/>
            <w:vAlign w:val="center"/>
          </w:tcPr>
          <w:p w14:paraId="081FE11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1.50</w:t>
            </w:r>
          </w:p>
        </w:tc>
        <w:tc>
          <w:tcPr>
            <w:tcW w:w="363" w:type="pct"/>
            <w:tcBorders>
              <w:tl2br w:val="nil"/>
              <w:tr2bl w:val="nil"/>
            </w:tcBorders>
            <w:shd w:val="clear" w:color="auto" w:fill="auto"/>
            <w:noWrap/>
            <w:vAlign w:val="center"/>
          </w:tcPr>
          <w:p w14:paraId="08EDBFB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1.40</w:t>
            </w:r>
          </w:p>
        </w:tc>
        <w:tc>
          <w:tcPr>
            <w:tcW w:w="363" w:type="pct"/>
            <w:tcBorders>
              <w:tl2br w:val="nil"/>
              <w:tr2bl w:val="nil"/>
            </w:tcBorders>
            <w:shd w:val="clear" w:color="auto" w:fill="auto"/>
            <w:noWrap/>
            <w:vAlign w:val="center"/>
          </w:tcPr>
          <w:p w14:paraId="29C83D2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1.35</w:t>
            </w:r>
          </w:p>
        </w:tc>
        <w:tc>
          <w:tcPr>
            <w:tcW w:w="363" w:type="pct"/>
            <w:tcBorders>
              <w:tl2br w:val="nil"/>
              <w:tr2bl w:val="nil"/>
            </w:tcBorders>
            <w:shd w:val="clear" w:color="auto" w:fill="auto"/>
            <w:noWrap/>
            <w:vAlign w:val="center"/>
          </w:tcPr>
          <w:p w14:paraId="3F9D1AC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1.71</w:t>
            </w:r>
          </w:p>
        </w:tc>
        <w:tc>
          <w:tcPr>
            <w:tcW w:w="363" w:type="pct"/>
            <w:tcBorders>
              <w:tl2br w:val="nil"/>
              <w:tr2bl w:val="nil"/>
            </w:tcBorders>
            <w:shd w:val="clear" w:color="auto" w:fill="auto"/>
            <w:noWrap/>
            <w:vAlign w:val="center"/>
          </w:tcPr>
          <w:p w14:paraId="65576DB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1.95</w:t>
            </w:r>
          </w:p>
        </w:tc>
        <w:tc>
          <w:tcPr>
            <w:tcW w:w="366" w:type="pct"/>
            <w:tcBorders>
              <w:tl2br w:val="nil"/>
              <w:tr2bl w:val="nil"/>
            </w:tcBorders>
            <w:shd w:val="clear" w:color="auto" w:fill="auto"/>
            <w:noWrap/>
            <w:vAlign w:val="center"/>
          </w:tcPr>
          <w:p w14:paraId="5B77166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2.14</w:t>
            </w:r>
          </w:p>
        </w:tc>
      </w:tr>
      <w:tr w14:paraId="025F3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1CB4014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秋季</w:t>
            </w:r>
          </w:p>
        </w:tc>
        <w:tc>
          <w:tcPr>
            <w:tcW w:w="363" w:type="pct"/>
            <w:tcBorders>
              <w:tl2br w:val="nil"/>
              <w:tr2bl w:val="nil"/>
            </w:tcBorders>
            <w:shd w:val="clear" w:color="auto" w:fill="auto"/>
            <w:noWrap/>
            <w:vAlign w:val="center"/>
          </w:tcPr>
          <w:p w14:paraId="6C01BE2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1.24</w:t>
            </w:r>
          </w:p>
        </w:tc>
        <w:tc>
          <w:tcPr>
            <w:tcW w:w="363" w:type="pct"/>
            <w:tcBorders>
              <w:tl2br w:val="nil"/>
              <w:tr2bl w:val="nil"/>
            </w:tcBorders>
            <w:shd w:val="clear" w:color="auto" w:fill="auto"/>
            <w:noWrap/>
            <w:vAlign w:val="center"/>
          </w:tcPr>
          <w:p w14:paraId="76F1B27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1.26</w:t>
            </w:r>
          </w:p>
        </w:tc>
        <w:tc>
          <w:tcPr>
            <w:tcW w:w="363" w:type="pct"/>
            <w:tcBorders>
              <w:tl2br w:val="nil"/>
              <w:tr2bl w:val="nil"/>
            </w:tcBorders>
            <w:shd w:val="clear" w:color="auto" w:fill="auto"/>
            <w:noWrap/>
            <w:vAlign w:val="center"/>
          </w:tcPr>
          <w:p w14:paraId="716B58C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1.21</w:t>
            </w:r>
          </w:p>
        </w:tc>
        <w:tc>
          <w:tcPr>
            <w:tcW w:w="362" w:type="pct"/>
            <w:tcBorders>
              <w:tl2br w:val="nil"/>
              <w:tr2bl w:val="nil"/>
            </w:tcBorders>
            <w:shd w:val="clear" w:color="auto" w:fill="auto"/>
            <w:noWrap/>
            <w:vAlign w:val="center"/>
          </w:tcPr>
          <w:p w14:paraId="5E321B6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1.27</w:t>
            </w:r>
          </w:p>
        </w:tc>
        <w:tc>
          <w:tcPr>
            <w:tcW w:w="363" w:type="pct"/>
            <w:tcBorders>
              <w:tl2br w:val="nil"/>
              <w:tr2bl w:val="nil"/>
            </w:tcBorders>
            <w:shd w:val="clear" w:color="auto" w:fill="auto"/>
            <w:noWrap/>
            <w:vAlign w:val="center"/>
          </w:tcPr>
          <w:p w14:paraId="1DD172E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1.18</w:t>
            </w:r>
          </w:p>
        </w:tc>
        <w:tc>
          <w:tcPr>
            <w:tcW w:w="363" w:type="pct"/>
            <w:tcBorders>
              <w:tl2br w:val="nil"/>
              <w:tr2bl w:val="nil"/>
            </w:tcBorders>
            <w:shd w:val="clear" w:color="auto" w:fill="auto"/>
            <w:noWrap/>
            <w:vAlign w:val="center"/>
          </w:tcPr>
          <w:p w14:paraId="02F1F78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1.17</w:t>
            </w:r>
          </w:p>
        </w:tc>
        <w:tc>
          <w:tcPr>
            <w:tcW w:w="363" w:type="pct"/>
            <w:tcBorders>
              <w:tl2br w:val="nil"/>
              <w:tr2bl w:val="nil"/>
            </w:tcBorders>
            <w:shd w:val="clear" w:color="auto" w:fill="auto"/>
            <w:noWrap/>
            <w:vAlign w:val="center"/>
          </w:tcPr>
          <w:p w14:paraId="1069C66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1.21</w:t>
            </w:r>
          </w:p>
        </w:tc>
        <w:tc>
          <w:tcPr>
            <w:tcW w:w="363" w:type="pct"/>
            <w:tcBorders>
              <w:tl2br w:val="nil"/>
              <w:tr2bl w:val="nil"/>
            </w:tcBorders>
            <w:shd w:val="clear" w:color="auto" w:fill="auto"/>
            <w:noWrap/>
            <w:vAlign w:val="center"/>
          </w:tcPr>
          <w:p w14:paraId="26A3650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1.16</w:t>
            </w:r>
          </w:p>
        </w:tc>
        <w:tc>
          <w:tcPr>
            <w:tcW w:w="363" w:type="pct"/>
            <w:tcBorders>
              <w:tl2br w:val="nil"/>
              <w:tr2bl w:val="nil"/>
            </w:tcBorders>
            <w:shd w:val="clear" w:color="auto" w:fill="auto"/>
            <w:noWrap/>
            <w:vAlign w:val="center"/>
          </w:tcPr>
          <w:p w14:paraId="683B561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1.22</w:t>
            </w:r>
          </w:p>
        </w:tc>
        <w:tc>
          <w:tcPr>
            <w:tcW w:w="363" w:type="pct"/>
            <w:tcBorders>
              <w:tl2br w:val="nil"/>
              <w:tr2bl w:val="nil"/>
            </w:tcBorders>
            <w:shd w:val="clear" w:color="auto" w:fill="auto"/>
            <w:noWrap/>
            <w:vAlign w:val="center"/>
          </w:tcPr>
          <w:p w14:paraId="05788B9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1.11</w:t>
            </w:r>
          </w:p>
        </w:tc>
        <w:tc>
          <w:tcPr>
            <w:tcW w:w="363" w:type="pct"/>
            <w:tcBorders>
              <w:tl2br w:val="nil"/>
              <w:tr2bl w:val="nil"/>
            </w:tcBorders>
            <w:shd w:val="clear" w:color="auto" w:fill="auto"/>
            <w:noWrap/>
            <w:vAlign w:val="center"/>
          </w:tcPr>
          <w:p w14:paraId="2A98DFE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1.30</w:t>
            </w:r>
          </w:p>
        </w:tc>
        <w:tc>
          <w:tcPr>
            <w:tcW w:w="366" w:type="pct"/>
            <w:tcBorders>
              <w:tl2br w:val="nil"/>
              <w:tr2bl w:val="nil"/>
            </w:tcBorders>
            <w:shd w:val="clear" w:color="auto" w:fill="auto"/>
            <w:noWrap/>
            <w:vAlign w:val="center"/>
          </w:tcPr>
          <w:p w14:paraId="26CB070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1.56</w:t>
            </w:r>
          </w:p>
        </w:tc>
      </w:tr>
      <w:tr w14:paraId="58774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6F7CC69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冬季</w:t>
            </w:r>
          </w:p>
        </w:tc>
        <w:tc>
          <w:tcPr>
            <w:tcW w:w="363" w:type="pct"/>
            <w:tcBorders>
              <w:tl2br w:val="nil"/>
              <w:tr2bl w:val="nil"/>
            </w:tcBorders>
            <w:shd w:val="clear" w:color="auto" w:fill="auto"/>
            <w:noWrap/>
            <w:vAlign w:val="center"/>
          </w:tcPr>
          <w:p w14:paraId="7394D06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1.01</w:t>
            </w:r>
          </w:p>
        </w:tc>
        <w:tc>
          <w:tcPr>
            <w:tcW w:w="363" w:type="pct"/>
            <w:tcBorders>
              <w:tl2br w:val="nil"/>
              <w:tr2bl w:val="nil"/>
            </w:tcBorders>
            <w:shd w:val="clear" w:color="auto" w:fill="auto"/>
            <w:noWrap/>
            <w:vAlign w:val="center"/>
          </w:tcPr>
          <w:p w14:paraId="6488356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1.03</w:t>
            </w:r>
          </w:p>
        </w:tc>
        <w:tc>
          <w:tcPr>
            <w:tcW w:w="363" w:type="pct"/>
            <w:tcBorders>
              <w:tl2br w:val="nil"/>
              <w:tr2bl w:val="nil"/>
            </w:tcBorders>
            <w:shd w:val="clear" w:color="auto" w:fill="auto"/>
            <w:noWrap/>
            <w:vAlign w:val="center"/>
          </w:tcPr>
          <w:p w14:paraId="13CECAE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1.04</w:t>
            </w:r>
          </w:p>
        </w:tc>
        <w:tc>
          <w:tcPr>
            <w:tcW w:w="362" w:type="pct"/>
            <w:tcBorders>
              <w:tl2br w:val="nil"/>
              <w:tr2bl w:val="nil"/>
            </w:tcBorders>
            <w:shd w:val="clear" w:color="auto" w:fill="auto"/>
            <w:noWrap/>
            <w:vAlign w:val="center"/>
          </w:tcPr>
          <w:p w14:paraId="5B74352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0.97</w:t>
            </w:r>
          </w:p>
        </w:tc>
        <w:tc>
          <w:tcPr>
            <w:tcW w:w="363" w:type="pct"/>
            <w:tcBorders>
              <w:tl2br w:val="nil"/>
              <w:tr2bl w:val="nil"/>
            </w:tcBorders>
            <w:shd w:val="clear" w:color="auto" w:fill="auto"/>
            <w:noWrap/>
            <w:vAlign w:val="center"/>
          </w:tcPr>
          <w:p w14:paraId="2FB4180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0.96</w:t>
            </w:r>
          </w:p>
        </w:tc>
        <w:tc>
          <w:tcPr>
            <w:tcW w:w="363" w:type="pct"/>
            <w:tcBorders>
              <w:tl2br w:val="nil"/>
              <w:tr2bl w:val="nil"/>
            </w:tcBorders>
            <w:shd w:val="clear" w:color="auto" w:fill="auto"/>
            <w:noWrap/>
            <w:vAlign w:val="center"/>
          </w:tcPr>
          <w:p w14:paraId="64C0675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0.92</w:t>
            </w:r>
          </w:p>
        </w:tc>
        <w:tc>
          <w:tcPr>
            <w:tcW w:w="363" w:type="pct"/>
            <w:tcBorders>
              <w:tl2br w:val="nil"/>
              <w:tr2bl w:val="nil"/>
            </w:tcBorders>
            <w:shd w:val="clear" w:color="auto" w:fill="auto"/>
            <w:noWrap/>
            <w:vAlign w:val="center"/>
          </w:tcPr>
          <w:p w14:paraId="47938D9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0.96</w:t>
            </w:r>
          </w:p>
        </w:tc>
        <w:tc>
          <w:tcPr>
            <w:tcW w:w="363" w:type="pct"/>
            <w:tcBorders>
              <w:tl2br w:val="nil"/>
              <w:tr2bl w:val="nil"/>
            </w:tcBorders>
            <w:shd w:val="clear" w:color="auto" w:fill="auto"/>
            <w:noWrap/>
            <w:vAlign w:val="center"/>
          </w:tcPr>
          <w:p w14:paraId="6B9257F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0.94</w:t>
            </w:r>
          </w:p>
        </w:tc>
        <w:tc>
          <w:tcPr>
            <w:tcW w:w="363" w:type="pct"/>
            <w:tcBorders>
              <w:tl2br w:val="nil"/>
              <w:tr2bl w:val="nil"/>
            </w:tcBorders>
            <w:shd w:val="clear" w:color="auto" w:fill="auto"/>
            <w:noWrap/>
            <w:vAlign w:val="center"/>
          </w:tcPr>
          <w:p w14:paraId="71EEF01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0.99</w:t>
            </w:r>
          </w:p>
        </w:tc>
        <w:tc>
          <w:tcPr>
            <w:tcW w:w="363" w:type="pct"/>
            <w:tcBorders>
              <w:tl2br w:val="nil"/>
              <w:tr2bl w:val="nil"/>
            </w:tcBorders>
            <w:shd w:val="clear" w:color="auto" w:fill="auto"/>
            <w:noWrap/>
            <w:vAlign w:val="center"/>
          </w:tcPr>
          <w:p w14:paraId="1CBFFDE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1.04</w:t>
            </w:r>
          </w:p>
        </w:tc>
        <w:tc>
          <w:tcPr>
            <w:tcW w:w="363" w:type="pct"/>
            <w:tcBorders>
              <w:tl2br w:val="nil"/>
              <w:tr2bl w:val="nil"/>
            </w:tcBorders>
            <w:shd w:val="clear" w:color="auto" w:fill="auto"/>
            <w:noWrap/>
            <w:vAlign w:val="center"/>
          </w:tcPr>
          <w:p w14:paraId="7838E8A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1.02</w:t>
            </w:r>
          </w:p>
        </w:tc>
        <w:tc>
          <w:tcPr>
            <w:tcW w:w="366" w:type="pct"/>
            <w:tcBorders>
              <w:tl2br w:val="nil"/>
              <w:tr2bl w:val="nil"/>
            </w:tcBorders>
            <w:shd w:val="clear" w:color="auto" w:fill="auto"/>
            <w:noWrap/>
            <w:vAlign w:val="center"/>
          </w:tcPr>
          <w:p w14:paraId="2B69DDB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1.16</w:t>
            </w:r>
          </w:p>
        </w:tc>
      </w:tr>
      <w:tr w14:paraId="6FB3A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single" w:color="000000" w:sz="4" w:space="0"/>
            </w:tcBorders>
            <w:shd w:val="clear" w:color="auto" w:fill="auto"/>
            <w:noWrap/>
            <w:vAlign w:val="center"/>
          </w:tcPr>
          <w:p w14:paraId="1C0FE9E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right"/>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风速</w:t>
            </w:r>
            <w:r>
              <w:rPr>
                <w:rFonts w:hint="eastAsia"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m/s</w:t>
            </w:r>
            <w:r>
              <w:rPr>
                <w:rFonts w:hint="eastAsia" w:cs="Times New Roman"/>
                <w:snapToGrid w:val="0"/>
                <w:color w:val="auto"/>
                <w:kern w:val="0"/>
                <w:sz w:val="21"/>
                <w:szCs w:val="21"/>
                <w:highlight w:val="none"/>
                <w:lang w:eastAsia="zh-CN"/>
              </w:rPr>
              <w:t>）</w:t>
            </w:r>
          </w:p>
          <w:p w14:paraId="63D590E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left"/>
              <w:textAlignment w:val="center"/>
              <w:outlineLvl w:val="9"/>
              <w:rPr>
                <w:rFonts w:hint="eastAsia"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rPr>
              <w:t>小时</w:t>
            </w:r>
            <w:r>
              <w:rPr>
                <w:rFonts w:hint="eastAsia"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h</w:t>
            </w:r>
            <w:r>
              <w:rPr>
                <w:rFonts w:hint="eastAsia" w:cs="Times New Roman"/>
                <w:snapToGrid w:val="0"/>
                <w:color w:val="auto"/>
                <w:kern w:val="0"/>
                <w:sz w:val="21"/>
                <w:szCs w:val="21"/>
                <w:highlight w:val="none"/>
                <w:lang w:eastAsia="zh-CN"/>
              </w:rPr>
              <w:t>）</w:t>
            </w:r>
          </w:p>
        </w:tc>
        <w:tc>
          <w:tcPr>
            <w:tcW w:w="363" w:type="pct"/>
            <w:tcBorders>
              <w:tl2br w:val="nil"/>
              <w:tr2bl w:val="nil"/>
            </w:tcBorders>
            <w:shd w:val="clear" w:color="auto" w:fill="auto"/>
            <w:noWrap/>
            <w:vAlign w:val="center"/>
          </w:tcPr>
          <w:p w14:paraId="5698DE6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13</w:t>
            </w:r>
          </w:p>
        </w:tc>
        <w:tc>
          <w:tcPr>
            <w:tcW w:w="363" w:type="pct"/>
            <w:tcBorders>
              <w:tl2br w:val="nil"/>
              <w:tr2bl w:val="nil"/>
            </w:tcBorders>
            <w:shd w:val="clear" w:color="auto" w:fill="auto"/>
            <w:noWrap/>
            <w:vAlign w:val="center"/>
          </w:tcPr>
          <w:p w14:paraId="70E8D13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14</w:t>
            </w:r>
          </w:p>
        </w:tc>
        <w:tc>
          <w:tcPr>
            <w:tcW w:w="363" w:type="pct"/>
            <w:tcBorders>
              <w:tl2br w:val="nil"/>
              <w:tr2bl w:val="nil"/>
            </w:tcBorders>
            <w:shd w:val="clear" w:color="auto" w:fill="auto"/>
            <w:noWrap/>
            <w:vAlign w:val="center"/>
          </w:tcPr>
          <w:p w14:paraId="22E232D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15</w:t>
            </w:r>
          </w:p>
        </w:tc>
        <w:tc>
          <w:tcPr>
            <w:tcW w:w="362" w:type="pct"/>
            <w:tcBorders>
              <w:tl2br w:val="nil"/>
              <w:tr2bl w:val="nil"/>
            </w:tcBorders>
            <w:shd w:val="clear" w:color="auto" w:fill="auto"/>
            <w:noWrap/>
            <w:vAlign w:val="center"/>
          </w:tcPr>
          <w:p w14:paraId="735C6F7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16</w:t>
            </w:r>
          </w:p>
        </w:tc>
        <w:tc>
          <w:tcPr>
            <w:tcW w:w="363" w:type="pct"/>
            <w:tcBorders>
              <w:tl2br w:val="nil"/>
              <w:tr2bl w:val="nil"/>
            </w:tcBorders>
            <w:shd w:val="clear" w:color="auto" w:fill="auto"/>
            <w:noWrap/>
            <w:vAlign w:val="center"/>
          </w:tcPr>
          <w:p w14:paraId="57B16AB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17</w:t>
            </w:r>
          </w:p>
        </w:tc>
        <w:tc>
          <w:tcPr>
            <w:tcW w:w="363" w:type="pct"/>
            <w:tcBorders>
              <w:tl2br w:val="nil"/>
              <w:tr2bl w:val="nil"/>
            </w:tcBorders>
            <w:shd w:val="clear" w:color="auto" w:fill="auto"/>
            <w:noWrap/>
            <w:vAlign w:val="center"/>
          </w:tcPr>
          <w:p w14:paraId="6B22D35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18</w:t>
            </w:r>
          </w:p>
        </w:tc>
        <w:tc>
          <w:tcPr>
            <w:tcW w:w="363" w:type="pct"/>
            <w:tcBorders>
              <w:tl2br w:val="nil"/>
              <w:tr2bl w:val="nil"/>
            </w:tcBorders>
            <w:shd w:val="clear" w:color="auto" w:fill="auto"/>
            <w:noWrap/>
            <w:vAlign w:val="center"/>
          </w:tcPr>
          <w:p w14:paraId="0317DB5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19</w:t>
            </w:r>
          </w:p>
        </w:tc>
        <w:tc>
          <w:tcPr>
            <w:tcW w:w="363" w:type="pct"/>
            <w:tcBorders>
              <w:tl2br w:val="nil"/>
              <w:tr2bl w:val="nil"/>
            </w:tcBorders>
            <w:shd w:val="clear" w:color="auto" w:fill="auto"/>
            <w:noWrap/>
            <w:vAlign w:val="center"/>
          </w:tcPr>
          <w:p w14:paraId="4DECBED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20</w:t>
            </w:r>
          </w:p>
        </w:tc>
        <w:tc>
          <w:tcPr>
            <w:tcW w:w="363" w:type="pct"/>
            <w:tcBorders>
              <w:tl2br w:val="nil"/>
              <w:tr2bl w:val="nil"/>
            </w:tcBorders>
            <w:shd w:val="clear" w:color="auto" w:fill="auto"/>
            <w:noWrap/>
            <w:vAlign w:val="center"/>
          </w:tcPr>
          <w:p w14:paraId="6BD741C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21</w:t>
            </w:r>
          </w:p>
        </w:tc>
        <w:tc>
          <w:tcPr>
            <w:tcW w:w="363" w:type="pct"/>
            <w:tcBorders>
              <w:tl2br w:val="nil"/>
              <w:tr2bl w:val="nil"/>
            </w:tcBorders>
            <w:shd w:val="clear" w:color="auto" w:fill="auto"/>
            <w:noWrap/>
            <w:vAlign w:val="center"/>
          </w:tcPr>
          <w:p w14:paraId="41E1DD7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22</w:t>
            </w:r>
          </w:p>
        </w:tc>
        <w:tc>
          <w:tcPr>
            <w:tcW w:w="363" w:type="pct"/>
            <w:tcBorders>
              <w:tl2br w:val="nil"/>
              <w:tr2bl w:val="nil"/>
            </w:tcBorders>
            <w:shd w:val="clear" w:color="auto" w:fill="auto"/>
            <w:noWrap/>
            <w:vAlign w:val="center"/>
          </w:tcPr>
          <w:p w14:paraId="7BC228B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23</w:t>
            </w:r>
          </w:p>
        </w:tc>
        <w:tc>
          <w:tcPr>
            <w:tcW w:w="366" w:type="pct"/>
            <w:tcBorders>
              <w:tl2br w:val="nil"/>
              <w:tr2bl w:val="nil"/>
            </w:tcBorders>
            <w:shd w:val="clear" w:color="auto" w:fill="auto"/>
            <w:noWrap/>
            <w:vAlign w:val="center"/>
          </w:tcPr>
          <w:p w14:paraId="48ECDA6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24</w:t>
            </w:r>
          </w:p>
        </w:tc>
      </w:tr>
      <w:tr w14:paraId="2EF15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573129C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春季</w:t>
            </w:r>
          </w:p>
        </w:tc>
        <w:tc>
          <w:tcPr>
            <w:tcW w:w="363" w:type="pct"/>
            <w:tcBorders>
              <w:tl2br w:val="nil"/>
              <w:tr2bl w:val="nil"/>
            </w:tcBorders>
            <w:shd w:val="clear" w:color="auto" w:fill="auto"/>
            <w:noWrap/>
            <w:vAlign w:val="center"/>
          </w:tcPr>
          <w:p w14:paraId="147FC2B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2.19</w:t>
            </w:r>
          </w:p>
        </w:tc>
        <w:tc>
          <w:tcPr>
            <w:tcW w:w="363" w:type="pct"/>
            <w:tcBorders>
              <w:tl2br w:val="nil"/>
              <w:tr2bl w:val="nil"/>
            </w:tcBorders>
            <w:shd w:val="clear" w:color="auto" w:fill="auto"/>
            <w:noWrap/>
            <w:vAlign w:val="center"/>
          </w:tcPr>
          <w:p w14:paraId="4ACF4FD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2.22</w:t>
            </w:r>
          </w:p>
        </w:tc>
        <w:tc>
          <w:tcPr>
            <w:tcW w:w="363" w:type="pct"/>
            <w:tcBorders>
              <w:tl2br w:val="nil"/>
              <w:tr2bl w:val="nil"/>
            </w:tcBorders>
            <w:shd w:val="clear" w:color="auto" w:fill="auto"/>
            <w:noWrap/>
            <w:vAlign w:val="center"/>
          </w:tcPr>
          <w:p w14:paraId="6E31F03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2.21</w:t>
            </w:r>
          </w:p>
        </w:tc>
        <w:tc>
          <w:tcPr>
            <w:tcW w:w="362" w:type="pct"/>
            <w:tcBorders>
              <w:tl2br w:val="nil"/>
              <w:tr2bl w:val="nil"/>
            </w:tcBorders>
            <w:shd w:val="clear" w:color="auto" w:fill="auto"/>
            <w:noWrap/>
            <w:vAlign w:val="center"/>
          </w:tcPr>
          <w:p w14:paraId="438F954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2.14</w:t>
            </w:r>
          </w:p>
        </w:tc>
        <w:tc>
          <w:tcPr>
            <w:tcW w:w="363" w:type="pct"/>
            <w:tcBorders>
              <w:tl2br w:val="nil"/>
              <w:tr2bl w:val="nil"/>
            </w:tcBorders>
            <w:shd w:val="clear" w:color="auto" w:fill="auto"/>
            <w:noWrap/>
            <w:vAlign w:val="center"/>
          </w:tcPr>
          <w:p w14:paraId="260327B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2.08</w:t>
            </w:r>
          </w:p>
        </w:tc>
        <w:tc>
          <w:tcPr>
            <w:tcW w:w="363" w:type="pct"/>
            <w:tcBorders>
              <w:tl2br w:val="nil"/>
              <w:tr2bl w:val="nil"/>
            </w:tcBorders>
            <w:shd w:val="clear" w:color="auto" w:fill="auto"/>
            <w:noWrap/>
            <w:vAlign w:val="center"/>
          </w:tcPr>
          <w:p w14:paraId="0FAE63C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2.15</w:t>
            </w:r>
          </w:p>
        </w:tc>
        <w:tc>
          <w:tcPr>
            <w:tcW w:w="363" w:type="pct"/>
            <w:tcBorders>
              <w:tl2br w:val="nil"/>
              <w:tr2bl w:val="nil"/>
            </w:tcBorders>
            <w:shd w:val="clear" w:color="auto" w:fill="auto"/>
            <w:noWrap/>
            <w:vAlign w:val="center"/>
          </w:tcPr>
          <w:p w14:paraId="46E9AF2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2.03</w:t>
            </w:r>
          </w:p>
        </w:tc>
        <w:tc>
          <w:tcPr>
            <w:tcW w:w="363" w:type="pct"/>
            <w:tcBorders>
              <w:tl2br w:val="nil"/>
              <w:tr2bl w:val="nil"/>
            </w:tcBorders>
            <w:shd w:val="clear" w:color="auto" w:fill="auto"/>
            <w:noWrap/>
            <w:vAlign w:val="center"/>
          </w:tcPr>
          <w:p w14:paraId="7E4BBE1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1.72</w:t>
            </w:r>
          </w:p>
        </w:tc>
        <w:tc>
          <w:tcPr>
            <w:tcW w:w="363" w:type="pct"/>
            <w:tcBorders>
              <w:tl2br w:val="nil"/>
              <w:tr2bl w:val="nil"/>
            </w:tcBorders>
            <w:shd w:val="clear" w:color="auto" w:fill="auto"/>
            <w:noWrap/>
            <w:vAlign w:val="center"/>
          </w:tcPr>
          <w:p w14:paraId="5018E54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1.49</w:t>
            </w:r>
          </w:p>
        </w:tc>
        <w:tc>
          <w:tcPr>
            <w:tcW w:w="363" w:type="pct"/>
            <w:tcBorders>
              <w:tl2br w:val="nil"/>
              <w:tr2bl w:val="nil"/>
            </w:tcBorders>
            <w:shd w:val="clear" w:color="auto" w:fill="auto"/>
            <w:noWrap/>
            <w:vAlign w:val="center"/>
          </w:tcPr>
          <w:p w14:paraId="4710A74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1.31</w:t>
            </w:r>
          </w:p>
        </w:tc>
        <w:tc>
          <w:tcPr>
            <w:tcW w:w="363" w:type="pct"/>
            <w:tcBorders>
              <w:tl2br w:val="nil"/>
              <w:tr2bl w:val="nil"/>
            </w:tcBorders>
            <w:shd w:val="clear" w:color="auto" w:fill="auto"/>
            <w:noWrap/>
            <w:vAlign w:val="center"/>
          </w:tcPr>
          <w:p w14:paraId="6FE42C8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1.50</w:t>
            </w:r>
          </w:p>
        </w:tc>
        <w:tc>
          <w:tcPr>
            <w:tcW w:w="366" w:type="pct"/>
            <w:tcBorders>
              <w:tl2br w:val="nil"/>
              <w:tr2bl w:val="nil"/>
            </w:tcBorders>
            <w:shd w:val="clear" w:color="auto" w:fill="auto"/>
            <w:noWrap/>
            <w:vAlign w:val="center"/>
          </w:tcPr>
          <w:p w14:paraId="0E1A7E0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1.50</w:t>
            </w:r>
          </w:p>
        </w:tc>
      </w:tr>
      <w:tr w14:paraId="1E333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4B00790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夏季</w:t>
            </w:r>
          </w:p>
        </w:tc>
        <w:tc>
          <w:tcPr>
            <w:tcW w:w="363" w:type="pct"/>
            <w:tcBorders>
              <w:tl2br w:val="nil"/>
              <w:tr2bl w:val="nil"/>
            </w:tcBorders>
            <w:shd w:val="clear" w:color="auto" w:fill="auto"/>
            <w:noWrap/>
            <w:vAlign w:val="center"/>
          </w:tcPr>
          <w:p w14:paraId="50F32E8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2.20</w:t>
            </w:r>
          </w:p>
        </w:tc>
        <w:tc>
          <w:tcPr>
            <w:tcW w:w="363" w:type="pct"/>
            <w:tcBorders>
              <w:tl2br w:val="nil"/>
              <w:tr2bl w:val="nil"/>
            </w:tcBorders>
            <w:shd w:val="clear" w:color="auto" w:fill="auto"/>
            <w:noWrap/>
            <w:vAlign w:val="center"/>
          </w:tcPr>
          <w:p w14:paraId="09DEA2A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2.19</w:t>
            </w:r>
          </w:p>
        </w:tc>
        <w:tc>
          <w:tcPr>
            <w:tcW w:w="363" w:type="pct"/>
            <w:tcBorders>
              <w:tl2br w:val="nil"/>
              <w:tr2bl w:val="nil"/>
            </w:tcBorders>
            <w:shd w:val="clear" w:color="auto" w:fill="auto"/>
            <w:noWrap/>
            <w:vAlign w:val="center"/>
          </w:tcPr>
          <w:p w14:paraId="2DB176C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2.27</w:t>
            </w:r>
          </w:p>
        </w:tc>
        <w:tc>
          <w:tcPr>
            <w:tcW w:w="362" w:type="pct"/>
            <w:tcBorders>
              <w:tl2br w:val="nil"/>
              <w:tr2bl w:val="nil"/>
            </w:tcBorders>
            <w:shd w:val="clear" w:color="auto" w:fill="auto"/>
            <w:noWrap/>
            <w:vAlign w:val="center"/>
          </w:tcPr>
          <w:p w14:paraId="424D3D4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2.38</w:t>
            </w:r>
          </w:p>
        </w:tc>
        <w:tc>
          <w:tcPr>
            <w:tcW w:w="363" w:type="pct"/>
            <w:tcBorders>
              <w:tl2br w:val="nil"/>
              <w:tr2bl w:val="nil"/>
            </w:tcBorders>
            <w:shd w:val="clear" w:color="auto" w:fill="auto"/>
            <w:noWrap/>
            <w:vAlign w:val="center"/>
          </w:tcPr>
          <w:p w14:paraId="0252F6A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2.20</w:t>
            </w:r>
          </w:p>
        </w:tc>
        <w:tc>
          <w:tcPr>
            <w:tcW w:w="363" w:type="pct"/>
            <w:tcBorders>
              <w:tl2br w:val="nil"/>
              <w:tr2bl w:val="nil"/>
            </w:tcBorders>
            <w:shd w:val="clear" w:color="auto" w:fill="auto"/>
            <w:noWrap/>
            <w:vAlign w:val="center"/>
          </w:tcPr>
          <w:p w14:paraId="2FED762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2.13</w:t>
            </w:r>
          </w:p>
        </w:tc>
        <w:tc>
          <w:tcPr>
            <w:tcW w:w="363" w:type="pct"/>
            <w:tcBorders>
              <w:tl2br w:val="nil"/>
              <w:tr2bl w:val="nil"/>
            </w:tcBorders>
            <w:shd w:val="clear" w:color="auto" w:fill="auto"/>
            <w:noWrap/>
            <w:vAlign w:val="center"/>
          </w:tcPr>
          <w:p w14:paraId="008FAAA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1.97</w:t>
            </w:r>
          </w:p>
        </w:tc>
        <w:tc>
          <w:tcPr>
            <w:tcW w:w="363" w:type="pct"/>
            <w:tcBorders>
              <w:tl2br w:val="nil"/>
              <w:tr2bl w:val="nil"/>
            </w:tcBorders>
            <w:shd w:val="clear" w:color="auto" w:fill="auto"/>
            <w:noWrap/>
            <w:vAlign w:val="center"/>
          </w:tcPr>
          <w:p w14:paraId="626B1F3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1.80</w:t>
            </w:r>
          </w:p>
        </w:tc>
        <w:tc>
          <w:tcPr>
            <w:tcW w:w="363" w:type="pct"/>
            <w:tcBorders>
              <w:tl2br w:val="nil"/>
              <w:tr2bl w:val="nil"/>
            </w:tcBorders>
            <w:shd w:val="clear" w:color="auto" w:fill="auto"/>
            <w:noWrap/>
            <w:vAlign w:val="center"/>
          </w:tcPr>
          <w:p w14:paraId="1B4B5C3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1.58</w:t>
            </w:r>
          </w:p>
        </w:tc>
        <w:tc>
          <w:tcPr>
            <w:tcW w:w="363" w:type="pct"/>
            <w:tcBorders>
              <w:tl2br w:val="nil"/>
              <w:tr2bl w:val="nil"/>
            </w:tcBorders>
            <w:shd w:val="clear" w:color="auto" w:fill="auto"/>
            <w:noWrap/>
            <w:vAlign w:val="center"/>
          </w:tcPr>
          <w:p w14:paraId="4E8DD8B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1.44</w:t>
            </w:r>
          </w:p>
        </w:tc>
        <w:tc>
          <w:tcPr>
            <w:tcW w:w="363" w:type="pct"/>
            <w:tcBorders>
              <w:tl2br w:val="nil"/>
              <w:tr2bl w:val="nil"/>
            </w:tcBorders>
            <w:shd w:val="clear" w:color="auto" w:fill="auto"/>
            <w:noWrap/>
            <w:vAlign w:val="center"/>
          </w:tcPr>
          <w:p w14:paraId="6F7FD50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1.49</w:t>
            </w:r>
          </w:p>
        </w:tc>
        <w:tc>
          <w:tcPr>
            <w:tcW w:w="366" w:type="pct"/>
            <w:tcBorders>
              <w:tl2br w:val="nil"/>
              <w:tr2bl w:val="nil"/>
            </w:tcBorders>
            <w:shd w:val="clear" w:color="auto" w:fill="auto"/>
            <w:noWrap/>
            <w:vAlign w:val="center"/>
          </w:tcPr>
          <w:p w14:paraId="6407FF7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1.68</w:t>
            </w:r>
          </w:p>
        </w:tc>
      </w:tr>
      <w:tr w14:paraId="28E8B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55A33F8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秋季</w:t>
            </w:r>
          </w:p>
        </w:tc>
        <w:tc>
          <w:tcPr>
            <w:tcW w:w="363" w:type="pct"/>
            <w:tcBorders>
              <w:tl2br w:val="nil"/>
              <w:tr2bl w:val="nil"/>
            </w:tcBorders>
            <w:shd w:val="clear" w:color="auto" w:fill="auto"/>
            <w:noWrap/>
            <w:vAlign w:val="center"/>
          </w:tcPr>
          <w:p w14:paraId="2697517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1.69</w:t>
            </w:r>
          </w:p>
        </w:tc>
        <w:tc>
          <w:tcPr>
            <w:tcW w:w="363" w:type="pct"/>
            <w:tcBorders>
              <w:tl2br w:val="nil"/>
              <w:tr2bl w:val="nil"/>
            </w:tcBorders>
            <w:shd w:val="clear" w:color="auto" w:fill="auto"/>
            <w:noWrap/>
            <w:vAlign w:val="center"/>
          </w:tcPr>
          <w:p w14:paraId="34CA980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1.73</w:t>
            </w:r>
          </w:p>
        </w:tc>
        <w:tc>
          <w:tcPr>
            <w:tcW w:w="363" w:type="pct"/>
            <w:tcBorders>
              <w:tl2br w:val="nil"/>
              <w:tr2bl w:val="nil"/>
            </w:tcBorders>
            <w:shd w:val="clear" w:color="auto" w:fill="auto"/>
            <w:noWrap/>
            <w:vAlign w:val="center"/>
          </w:tcPr>
          <w:p w14:paraId="18A5EB8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1.67</w:t>
            </w:r>
          </w:p>
        </w:tc>
        <w:tc>
          <w:tcPr>
            <w:tcW w:w="362" w:type="pct"/>
            <w:tcBorders>
              <w:tl2br w:val="nil"/>
              <w:tr2bl w:val="nil"/>
            </w:tcBorders>
            <w:shd w:val="clear" w:color="auto" w:fill="auto"/>
            <w:noWrap/>
            <w:vAlign w:val="center"/>
          </w:tcPr>
          <w:p w14:paraId="614A505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1.61</w:t>
            </w:r>
          </w:p>
        </w:tc>
        <w:tc>
          <w:tcPr>
            <w:tcW w:w="363" w:type="pct"/>
            <w:tcBorders>
              <w:tl2br w:val="nil"/>
              <w:tr2bl w:val="nil"/>
            </w:tcBorders>
            <w:shd w:val="clear" w:color="auto" w:fill="auto"/>
            <w:noWrap/>
            <w:vAlign w:val="center"/>
          </w:tcPr>
          <w:p w14:paraId="0B53FF8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1.69</w:t>
            </w:r>
          </w:p>
        </w:tc>
        <w:tc>
          <w:tcPr>
            <w:tcW w:w="363" w:type="pct"/>
            <w:tcBorders>
              <w:tl2br w:val="nil"/>
              <w:tr2bl w:val="nil"/>
            </w:tcBorders>
            <w:shd w:val="clear" w:color="auto" w:fill="auto"/>
            <w:noWrap/>
            <w:vAlign w:val="center"/>
          </w:tcPr>
          <w:p w14:paraId="605B9F2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1.43</w:t>
            </w:r>
          </w:p>
        </w:tc>
        <w:tc>
          <w:tcPr>
            <w:tcW w:w="363" w:type="pct"/>
            <w:tcBorders>
              <w:tl2br w:val="nil"/>
              <w:tr2bl w:val="nil"/>
            </w:tcBorders>
            <w:shd w:val="clear" w:color="auto" w:fill="auto"/>
            <w:noWrap/>
            <w:vAlign w:val="center"/>
          </w:tcPr>
          <w:p w14:paraId="25CF28A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1.24</w:t>
            </w:r>
          </w:p>
        </w:tc>
        <w:tc>
          <w:tcPr>
            <w:tcW w:w="363" w:type="pct"/>
            <w:tcBorders>
              <w:tl2br w:val="nil"/>
              <w:tr2bl w:val="nil"/>
            </w:tcBorders>
            <w:shd w:val="clear" w:color="auto" w:fill="auto"/>
            <w:noWrap/>
            <w:vAlign w:val="center"/>
          </w:tcPr>
          <w:p w14:paraId="0A4C707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0.93</w:t>
            </w:r>
          </w:p>
        </w:tc>
        <w:tc>
          <w:tcPr>
            <w:tcW w:w="363" w:type="pct"/>
            <w:tcBorders>
              <w:tl2br w:val="nil"/>
              <w:tr2bl w:val="nil"/>
            </w:tcBorders>
            <w:shd w:val="clear" w:color="auto" w:fill="auto"/>
            <w:noWrap/>
            <w:vAlign w:val="center"/>
          </w:tcPr>
          <w:p w14:paraId="77C7A83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0.99</w:t>
            </w:r>
          </w:p>
        </w:tc>
        <w:tc>
          <w:tcPr>
            <w:tcW w:w="363" w:type="pct"/>
            <w:tcBorders>
              <w:tl2br w:val="nil"/>
              <w:tr2bl w:val="nil"/>
            </w:tcBorders>
            <w:shd w:val="clear" w:color="auto" w:fill="auto"/>
            <w:noWrap/>
            <w:vAlign w:val="center"/>
          </w:tcPr>
          <w:p w14:paraId="69E972E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1.19</w:t>
            </w:r>
          </w:p>
        </w:tc>
        <w:tc>
          <w:tcPr>
            <w:tcW w:w="363" w:type="pct"/>
            <w:tcBorders>
              <w:tl2br w:val="nil"/>
              <w:tr2bl w:val="nil"/>
            </w:tcBorders>
            <w:shd w:val="clear" w:color="auto" w:fill="auto"/>
            <w:noWrap/>
            <w:vAlign w:val="center"/>
          </w:tcPr>
          <w:p w14:paraId="336A6BC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1.26</w:t>
            </w:r>
          </w:p>
        </w:tc>
        <w:tc>
          <w:tcPr>
            <w:tcW w:w="366" w:type="pct"/>
            <w:tcBorders>
              <w:tl2br w:val="nil"/>
              <w:tr2bl w:val="nil"/>
            </w:tcBorders>
            <w:shd w:val="clear" w:color="auto" w:fill="auto"/>
            <w:noWrap/>
            <w:vAlign w:val="center"/>
          </w:tcPr>
          <w:p w14:paraId="0E910AB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1.17</w:t>
            </w:r>
          </w:p>
        </w:tc>
      </w:tr>
      <w:tr w14:paraId="3693F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0" w:hRule="atLeast"/>
          <w:jc w:val="center"/>
        </w:trPr>
        <w:tc>
          <w:tcPr>
            <w:tcW w:w="634" w:type="pct"/>
            <w:tcBorders>
              <w:tl2br w:val="nil"/>
              <w:tr2bl w:val="nil"/>
            </w:tcBorders>
            <w:shd w:val="clear" w:color="auto" w:fill="auto"/>
            <w:noWrap/>
            <w:vAlign w:val="center"/>
          </w:tcPr>
          <w:p w14:paraId="3504C58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冬季</w:t>
            </w:r>
          </w:p>
        </w:tc>
        <w:tc>
          <w:tcPr>
            <w:tcW w:w="363" w:type="pct"/>
            <w:tcBorders>
              <w:tl2br w:val="nil"/>
              <w:tr2bl w:val="nil"/>
            </w:tcBorders>
            <w:shd w:val="clear" w:color="auto" w:fill="auto"/>
            <w:noWrap/>
            <w:vAlign w:val="center"/>
          </w:tcPr>
          <w:p w14:paraId="660F52A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1.28</w:t>
            </w:r>
          </w:p>
        </w:tc>
        <w:tc>
          <w:tcPr>
            <w:tcW w:w="363" w:type="pct"/>
            <w:tcBorders>
              <w:tl2br w:val="nil"/>
              <w:tr2bl w:val="nil"/>
            </w:tcBorders>
            <w:shd w:val="clear" w:color="auto" w:fill="auto"/>
            <w:noWrap/>
            <w:vAlign w:val="center"/>
          </w:tcPr>
          <w:p w14:paraId="05ECC03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1.41</w:t>
            </w:r>
          </w:p>
        </w:tc>
        <w:tc>
          <w:tcPr>
            <w:tcW w:w="363" w:type="pct"/>
            <w:tcBorders>
              <w:tl2br w:val="nil"/>
              <w:tr2bl w:val="nil"/>
            </w:tcBorders>
            <w:shd w:val="clear" w:color="auto" w:fill="auto"/>
            <w:noWrap/>
            <w:vAlign w:val="center"/>
          </w:tcPr>
          <w:p w14:paraId="426A6BB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1.38</w:t>
            </w:r>
          </w:p>
        </w:tc>
        <w:tc>
          <w:tcPr>
            <w:tcW w:w="362" w:type="pct"/>
            <w:tcBorders>
              <w:tl2br w:val="nil"/>
              <w:tr2bl w:val="nil"/>
            </w:tcBorders>
            <w:shd w:val="clear" w:color="auto" w:fill="auto"/>
            <w:noWrap/>
            <w:vAlign w:val="center"/>
          </w:tcPr>
          <w:p w14:paraId="605E3BC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1.45</w:t>
            </w:r>
          </w:p>
        </w:tc>
        <w:tc>
          <w:tcPr>
            <w:tcW w:w="363" w:type="pct"/>
            <w:tcBorders>
              <w:tl2br w:val="nil"/>
              <w:tr2bl w:val="nil"/>
            </w:tcBorders>
            <w:shd w:val="clear" w:color="auto" w:fill="auto"/>
            <w:noWrap/>
            <w:vAlign w:val="center"/>
          </w:tcPr>
          <w:p w14:paraId="2B1086C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1.38</w:t>
            </w:r>
          </w:p>
        </w:tc>
        <w:tc>
          <w:tcPr>
            <w:tcW w:w="363" w:type="pct"/>
            <w:tcBorders>
              <w:tl2br w:val="nil"/>
              <w:tr2bl w:val="nil"/>
            </w:tcBorders>
            <w:shd w:val="clear" w:color="auto" w:fill="auto"/>
            <w:noWrap/>
            <w:vAlign w:val="center"/>
          </w:tcPr>
          <w:p w14:paraId="23CF801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1.26</w:t>
            </w:r>
          </w:p>
        </w:tc>
        <w:tc>
          <w:tcPr>
            <w:tcW w:w="363" w:type="pct"/>
            <w:tcBorders>
              <w:tl2br w:val="nil"/>
              <w:tr2bl w:val="nil"/>
            </w:tcBorders>
            <w:shd w:val="clear" w:color="auto" w:fill="auto"/>
            <w:noWrap/>
            <w:vAlign w:val="center"/>
          </w:tcPr>
          <w:p w14:paraId="68FCD0B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1.07</w:t>
            </w:r>
          </w:p>
        </w:tc>
        <w:tc>
          <w:tcPr>
            <w:tcW w:w="363" w:type="pct"/>
            <w:tcBorders>
              <w:tl2br w:val="nil"/>
              <w:tr2bl w:val="nil"/>
            </w:tcBorders>
            <w:shd w:val="clear" w:color="auto" w:fill="auto"/>
            <w:noWrap/>
            <w:vAlign w:val="center"/>
          </w:tcPr>
          <w:p w14:paraId="743DC43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0.93</w:t>
            </w:r>
          </w:p>
        </w:tc>
        <w:tc>
          <w:tcPr>
            <w:tcW w:w="363" w:type="pct"/>
            <w:tcBorders>
              <w:tl2br w:val="nil"/>
              <w:tr2bl w:val="nil"/>
            </w:tcBorders>
            <w:shd w:val="clear" w:color="auto" w:fill="auto"/>
            <w:noWrap/>
            <w:vAlign w:val="center"/>
          </w:tcPr>
          <w:p w14:paraId="1BFEA62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0.84</w:t>
            </w:r>
          </w:p>
        </w:tc>
        <w:tc>
          <w:tcPr>
            <w:tcW w:w="363" w:type="pct"/>
            <w:tcBorders>
              <w:tl2br w:val="nil"/>
              <w:tr2bl w:val="nil"/>
            </w:tcBorders>
            <w:shd w:val="clear" w:color="auto" w:fill="auto"/>
            <w:noWrap/>
            <w:vAlign w:val="center"/>
          </w:tcPr>
          <w:p w14:paraId="40922B5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0.85</w:t>
            </w:r>
          </w:p>
        </w:tc>
        <w:tc>
          <w:tcPr>
            <w:tcW w:w="363" w:type="pct"/>
            <w:tcBorders>
              <w:tl2br w:val="nil"/>
              <w:tr2bl w:val="nil"/>
            </w:tcBorders>
            <w:shd w:val="clear" w:color="auto" w:fill="auto"/>
            <w:noWrap/>
            <w:vAlign w:val="center"/>
          </w:tcPr>
          <w:p w14:paraId="69A97C0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0.99</w:t>
            </w:r>
          </w:p>
        </w:tc>
        <w:tc>
          <w:tcPr>
            <w:tcW w:w="366" w:type="pct"/>
            <w:tcBorders>
              <w:tl2br w:val="nil"/>
              <w:tr2bl w:val="nil"/>
            </w:tcBorders>
            <w:shd w:val="clear" w:color="auto" w:fill="auto"/>
            <w:noWrap/>
            <w:vAlign w:val="center"/>
          </w:tcPr>
          <w:p w14:paraId="2CC10FC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1.06</w:t>
            </w:r>
          </w:p>
        </w:tc>
      </w:tr>
    </w:tbl>
    <w:p w14:paraId="7F2405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color w:val="auto"/>
          <w:highlight w:val="none"/>
        </w:rPr>
      </w:pPr>
      <w:r>
        <w:rPr>
          <w:color w:val="auto"/>
          <w:highlight w:val="none"/>
        </w:rPr>
        <w:drawing>
          <wp:inline distT="0" distB="0" distL="114300" distR="114300">
            <wp:extent cx="4979670" cy="1885315"/>
            <wp:effectExtent l="4445" t="4445" r="6985" b="15240"/>
            <wp:docPr id="23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CEF09BF">
      <w:pPr>
        <w:pStyle w:val="68"/>
        <w:rPr>
          <w:rFonts w:hint="eastAsia" w:eastAsia="黑体"/>
          <w:color w:val="auto"/>
          <w:kern w:val="0"/>
          <w:highlight w:val="none"/>
          <w:lang w:val="zh-CN" w:eastAsia="zh-CN"/>
        </w:rPr>
      </w:pPr>
      <w:r>
        <w:rPr>
          <w:rFonts w:hint="eastAsia" w:eastAsia="黑体"/>
          <w:color w:val="auto"/>
          <w:kern w:val="0"/>
          <w:highlight w:val="none"/>
          <w:lang w:val="en-US" w:eastAsia="zh-CN"/>
        </w:rPr>
        <w:t xml:space="preserve">图6.2-3 </w:t>
      </w:r>
      <w:r>
        <w:rPr>
          <w:rFonts w:hint="eastAsia" w:eastAsia="黑体"/>
          <w:color w:val="auto"/>
          <w:kern w:val="0"/>
          <w:highlight w:val="none"/>
          <w:lang w:val="zh-CN" w:eastAsia="zh-CN"/>
        </w:rPr>
        <w:t>区域202</w:t>
      </w:r>
      <w:r>
        <w:rPr>
          <w:rFonts w:hint="eastAsia" w:eastAsia="黑体"/>
          <w:color w:val="auto"/>
          <w:kern w:val="0"/>
          <w:highlight w:val="none"/>
          <w:lang w:val="en-US" w:eastAsia="zh-CN"/>
        </w:rPr>
        <w:t>4</w:t>
      </w:r>
      <w:r>
        <w:rPr>
          <w:rFonts w:hint="eastAsia" w:eastAsia="黑体"/>
          <w:color w:val="auto"/>
          <w:kern w:val="0"/>
          <w:highlight w:val="none"/>
          <w:lang w:val="zh-CN" w:eastAsia="zh-CN"/>
        </w:rPr>
        <w:t>年平均风速的月变化曲线图</w:t>
      </w:r>
    </w:p>
    <w:p w14:paraId="094893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color w:val="auto"/>
          <w:highlight w:val="none"/>
        </w:rPr>
      </w:pPr>
      <w:r>
        <w:rPr>
          <w:color w:val="auto"/>
          <w:highlight w:val="none"/>
        </w:rPr>
        <w:drawing>
          <wp:inline distT="0" distB="0" distL="114300" distR="114300">
            <wp:extent cx="4955540" cy="1944370"/>
            <wp:effectExtent l="4445" t="4445" r="12065" b="13335"/>
            <wp:docPr id="24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B3C3E29">
      <w:pPr>
        <w:pStyle w:val="68"/>
        <w:rPr>
          <w:rFonts w:hint="eastAsia" w:eastAsia="黑体"/>
          <w:color w:val="auto"/>
          <w:kern w:val="0"/>
          <w:highlight w:val="none"/>
          <w:lang w:val="zh-CN" w:eastAsia="zh-CN"/>
        </w:rPr>
      </w:pPr>
      <w:r>
        <w:rPr>
          <w:rFonts w:hint="eastAsia" w:eastAsia="黑体"/>
          <w:color w:val="auto"/>
          <w:kern w:val="0"/>
          <w:highlight w:val="none"/>
          <w:lang w:val="en-US" w:eastAsia="zh-CN"/>
        </w:rPr>
        <w:t xml:space="preserve">图6.2-4 </w:t>
      </w:r>
      <w:r>
        <w:rPr>
          <w:rFonts w:hint="eastAsia" w:eastAsia="黑体"/>
          <w:color w:val="auto"/>
          <w:kern w:val="0"/>
          <w:highlight w:val="none"/>
          <w:lang w:val="zh-CN" w:eastAsia="zh-CN"/>
        </w:rPr>
        <w:t>区域202</w:t>
      </w:r>
      <w:r>
        <w:rPr>
          <w:rFonts w:hint="eastAsia" w:eastAsia="黑体"/>
          <w:color w:val="auto"/>
          <w:kern w:val="0"/>
          <w:highlight w:val="none"/>
          <w:lang w:val="en-US" w:eastAsia="zh-CN"/>
        </w:rPr>
        <w:t>4</w:t>
      </w:r>
      <w:r>
        <w:rPr>
          <w:rFonts w:hint="eastAsia" w:eastAsia="黑体"/>
          <w:color w:val="auto"/>
          <w:kern w:val="0"/>
          <w:highlight w:val="none"/>
          <w:lang w:val="zh-CN" w:eastAsia="zh-CN"/>
        </w:rPr>
        <w:t>年季小时风速的日变化曲线图</w:t>
      </w:r>
    </w:p>
    <w:p w14:paraId="70648B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color w:val="auto"/>
          <w:highlight w:val="none"/>
        </w:rPr>
      </w:pPr>
      <w:r>
        <w:rPr>
          <w:color w:val="auto"/>
          <w:highlight w:val="none"/>
        </w:rPr>
        <w:drawing>
          <wp:inline distT="0" distB="0" distL="114300" distR="114300">
            <wp:extent cx="5076825" cy="7239000"/>
            <wp:effectExtent l="0" t="0" r="9525" b="0"/>
            <wp:docPr id="24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01"/>
                    <pic:cNvPicPr>
                      <a:picLocks noChangeAspect="1"/>
                    </pic:cNvPicPr>
                  </pic:nvPicPr>
                  <pic:blipFill>
                    <a:blip r:embed="rId33"/>
                    <a:stretch>
                      <a:fillRect/>
                    </a:stretch>
                  </pic:blipFill>
                  <pic:spPr>
                    <a:xfrm>
                      <a:off x="0" y="0"/>
                      <a:ext cx="5076825" cy="7239000"/>
                    </a:xfrm>
                    <a:prstGeom prst="rect">
                      <a:avLst/>
                    </a:prstGeom>
                    <a:noFill/>
                    <a:ln>
                      <a:noFill/>
                    </a:ln>
                  </pic:spPr>
                </pic:pic>
              </a:graphicData>
            </a:graphic>
          </wp:inline>
        </w:drawing>
      </w:r>
    </w:p>
    <w:p w14:paraId="0E2C3274">
      <w:pPr>
        <w:pStyle w:val="68"/>
        <w:rPr>
          <w:rFonts w:hint="eastAsia" w:eastAsia="黑体"/>
          <w:color w:val="auto"/>
          <w:kern w:val="0"/>
          <w:highlight w:val="none"/>
          <w:lang w:val="zh-CN" w:eastAsia="zh-CN"/>
        </w:rPr>
      </w:pPr>
      <w:r>
        <w:rPr>
          <w:rFonts w:hint="eastAsia" w:eastAsia="黑体"/>
          <w:color w:val="auto"/>
          <w:kern w:val="0"/>
          <w:highlight w:val="none"/>
          <w:lang w:val="en-US" w:eastAsia="zh-CN"/>
        </w:rPr>
        <w:t>图6.2-5 区域风速玫瑰图</w:t>
      </w:r>
    </w:p>
    <w:p w14:paraId="49A3B8F3">
      <w:pPr>
        <w:pStyle w:val="68"/>
        <w:rPr>
          <w:rFonts w:hint="eastAsia" w:eastAsia="黑体"/>
          <w:color w:val="auto"/>
          <w:kern w:val="0"/>
          <w:highlight w:val="none"/>
          <w:lang w:val="zh-CN" w:eastAsia="zh-CN"/>
        </w:rPr>
        <w:sectPr>
          <w:headerReference r:id="rId11" w:type="default"/>
          <w:footerReference r:id="rId12" w:type="default"/>
          <w:pgSz w:w="11906" w:h="16838"/>
          <w:pgMar w:top="1440" w:right="1800" w:bottom="1440" w:left="1800" w:header="850" w:footer="907" w:gutter="0"/>
          <w:pgBorders>
            <w:top w:val="none" w:sz="0" w:space="0"/>
            <w:left w:val="none" w:sz="0" w:space="0"/>
            <w:bottom w:val="none" w:sz="0" w:space="0"/>
            <w:right w:val="none" w:sz="0" w:space="0"/>
          </w:pgBorders>
          <w:pgNumType w:fmt="decimal"/>
          <w:cols w:space="425" w:num="1"/>
          <w:docGrid w:type="lines" w:linePitch="312" w:charSpace="0"/>
        </w:sectPr>
      </w:pPr>
    </w:p>
    <w:p w14:paraId="055829D4">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zh-CN" w:eastAsia="zh-CN"/>
        </w:rPr>
      </w:pPr>
      <w:r>
        <w:rPr>
          <w:rFonts w:hint="eastAsia" w:ascii="Times New Roman" w:hAnsi="Times New Roman" w:cs="Times New Roman"/>
          <w:snapToGrid w:val="0"/>
          <w:color w:val="auto"/>
          <w:kern w:val="0"/>
          <w:sz w:val="21"/>
          <w:szCs w:val="21"/>
          <w:highlight w:val="none"/>
          <w:lang w:val="en-US" w:eastAsia="zh-CN"/>
        </w:rPr>
        <w:t xml:space="preserve">表6.2-8 </w:t>
      </w:r>
      <w:r>
        <w:rPr>
          <w:rFonts w:hint="eastAsia" w:ascii="Times New Roman" w:hAnsi="Times New Roman" w:cs="Times New Roman"/>
          <w:snapToGrid w:val="0"/>
          <w:color w:val="auto"/>
          <w:kern w:val="0"/>
          <w:sz w:val="21"/>
          <w:szCs w:val="21"/>
          <w:highlight w:val="none"/>
          <w:lang w:val="zh-CN" w:eastAsia="zh-CN"/>
        </w:rPr>
        <w:t>区域202</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lang w:val="zh-CN" w:eastAsia="zh-CN"/>
        </w:rPr>
        <w:t>年</w:t>
      </w:r>
      <w:r>
        <w:rPr>
          <w:rFonts w:hint="eastAsia" w:ascii="Times New Roman" w:hAnsi="Times New Roman" w:cs="Times New Roman"/>
          <w:snapToGrid w:val="0"/>
          <w:color w:val="auto"/>
          <w:kern w:val="0"/>
          <w:sz w:val="21"/>
          <w:szCs w:val="21"/>
          <w:highlight w:val="none"/>
          <w:lang w:val="en-US" w:eastAsia="zh-CN"/>
        </w:rPr>
        <w:t>逐月、四季及全年各风向下平均风速统计表（m/s）</w:t>
      </w:r>
    </w:p>
    <w:tbl>
      <w:tblPr>
        <w:tblStyle w:val="5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0" w:type="dxa"/>
          <w:bottom w:w="28" w:type="dxa"/>
          <w:right w:w="0" w:type="dxa"/>
        </w:tblCellMar>
      </w:tblPr>
      <w:tblGrid>
        <w:gridCol w:w="777"/>
        <w:gridCol w:w="503"/>
        <w:gridCol w:w="503"/>
        <w:gridCol w:w="409"/>
        <w:gridCol w:w="425"/>
        <w:gridCol w:w="409"/>
        <w:gridCol w:w="409"/>
        <w:gridCol w:w="409"/>
        <w:gridCol w:w="503"/>
        <w:gridCol w:w="503"/>
        <w:gridCol w:w="448"/>
        <w:gridCol w:w="409"/>
        <w:gridCol w:w="530"/>
        <w:gridCol w:w="504"/>
        <w:gridCol w:w="566"/>
        <w:gridCol w:w="410"/>
        <w:gridCol w:w="519"/>
      </w:tblGrid>
      <w:tr w14:paraId="3C0168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l2br w:val="single" w:color="auto" w:sz="4" w:space="0"/>
            </w:tcBorders>
            <w:shd w:val="clear" w:color="auto" w:fill="auto"/>
            <w:noWrap/>
            <w:vAlign w:val="center"/>
          </w:tcPr>
          <w:p w14:paraId="4FE71BF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right"/>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风向</w:t>
            </w:r>
          </w:p>
          <w:p w14:paraId="4C5C05C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left"/>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风速</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E50436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N</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74B0E0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NNE</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38381D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NE</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C43979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ENE</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A3BF6A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70D30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ESE</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01DB9D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SE</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87F283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SSE</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2CED85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S</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A6A235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SSW</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05D562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SW</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093DEDF">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WSW</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1556AA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W</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7721392">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WNW</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D5C379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NW</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5B0490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NNW</w:t>
            </w:r>
          </w:p>
        </w:tc>
      </w:tr>
      <w:tr w14:paraId="0EA057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F5932A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一月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60E7C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18.82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012BE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15.99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44EA9A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9.68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52045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7.66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03318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3.23</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574A4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0.81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FA9DE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A5507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8.20</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0265B6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9.14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17122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E6B329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2.42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3D551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E6CE53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943BFD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A37C5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F69907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r>
      <w:tr w14:paraId="35921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DAB6C8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二月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05545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17.96</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989F0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10.34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519C1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BBD5A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75CA98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2.73</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028A57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1.15</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D6B94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143227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16.38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6C1E2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14.37</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D419C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2.44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5CBC5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2.01</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C973E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2.87</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D24F4F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4.89</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23D60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CFE34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3.30</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78481C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5.60</w:t>
            </w:r>
          </w:p>
        </w:tc>
      </w:tr>
      <w:tr w14:paraId="0C68A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D1AA12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三月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3D7E62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13.58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9B652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7.80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5F088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6.85</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CFE253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3.63</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72FE7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E3A6E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1.48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C87F0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7F1DA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11.29</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41999B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15.46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7B603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E22D3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4.84</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DC196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8B596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7.93</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0952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226E50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3.76</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4FF81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r>
      <w:tr w14:paraId="00A5B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4C7752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四月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5BFD0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6.94</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75AC6E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CCE0F6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03B34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B98AF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5.56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719521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FE8B96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AEF96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11.94</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8D4CE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13.06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629C8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E6BEB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6EF11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6.94</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CC3D3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10.83</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08F08B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31FD0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2.50</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B0EB6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2.92</w:t>
            </w:r>
          </w:p>
        </w:tc>
      </w:tr>
      <w:tr w14:paraId="68523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1FE381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五月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3C57B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6.85</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8B1E3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3.90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F6BD0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AA9D3D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B2D7C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054F66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4D1831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75D79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9.01</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DEB86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9.81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B64D5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F0D46F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9.68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FFB7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12.37</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189C0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10.62</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B89DE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047A4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376847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r>
      <w:tr w14:paraId="41B4A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7508A4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六月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A4616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12.08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5A6D6D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026BAF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1F28C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2.64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B8D2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5.42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342B0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B12893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7.50</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0171A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8.19</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3A3384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11.25</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920ED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7.78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009BB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F86B6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7.08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45994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5.00</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EE879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6F897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5.42</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5F541C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6.67</w:t>
            </w:r>
          </w:p>
        </w:tc>
      </w:tr>
      <w:tr w14:paraId="475D2D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F0ECB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七月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6E25A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14.92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524E07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C0709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A2A1F7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44208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6.72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DAF1B4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4.97</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E7FED8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7.53</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2B806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7.66</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53C55B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8.20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C10D1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6.18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BC51FF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5.38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DC864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D2491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8144E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6F58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7EC1F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9.01</w:t>
            </w:r>
          </w:p>
        </w:tc>
      </w:tr>
      <w:tr w14:paraId="3F9363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6B847E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八月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4E228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10.48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AFF6F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F6FA9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1.88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D8241D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3995E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3.76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F39DB0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BA283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6.72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BE7B7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11.02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A0EE60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13.58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F8E432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6.18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B56FCC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4.57</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C4B199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DDD5FD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5.65</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B7CF8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43682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5.78</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30908A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8.47</w:t>
            </w:r>
          </w:p>
        </w:tc>
      </w:tr>
      <w:tr w14:paraId="6C243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527B0E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九月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F0C7C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7.92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8A47A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8E07F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3.19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9DD70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410F0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6.81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0AB95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3.47</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2758F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9.58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A4ABCD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15.97</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D40C6A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B55C4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C195E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5.14</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E3611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6.39</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6F282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6.39</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E487A1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4.72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D5C19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3.19</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EA8F2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7.50</w:t>
            </w:r>
          </w:p>
        </w:tc>
      </w:tr>
      <w:tr w14:paraId="2A9A70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57167B5">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十月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F5167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10.08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6FB4B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C4D114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C8C90E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2.15</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D55EA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C40B65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0BCA1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9.95</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04C64B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20.16</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366BC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7.39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0280A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5.38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55503A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5.11</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7CF3D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7.80</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E5469A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5.91</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EE2D7D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2.02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0EDDB0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51410A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r>
      <w:tr w14:paraId="47CD29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9899AE8">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十一月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9D52F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17.78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34E7C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9D53F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3.06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39174E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2.22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A82D0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2.64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60E8C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2.78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EC630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7.08</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D54DE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16.39</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92F2F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8.33</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12BDE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3.61</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95747C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3.61</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2AD9B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5.42</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B10BBA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D7BCE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C7916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4.86</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D4BC9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8.61</w:t>
            </w:r>
          </w:p>
        </w:tc>
      </w:tr>
      <w:tr w14:paraId="387D0F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1D650A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十二月</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76A73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27.96</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26900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10.22</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49C20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4.30</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3BD4BD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2.28</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D6E04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2.96</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6AA870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7E843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8.60</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89E6D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7.53</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24B0E1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D914E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0.94</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7E32A7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3.23</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52BE4C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5.24</w:t>
            </w:r>
          </w:p>
        </w:tc>
        <w:tc>
          <w:tcPr>
            <w:tcW w:w="315" w:type="pct"/>
            <w:tcBorders>
              <w:top w:val="single" w:color="auto" w:sz="6" w:space="0"/>
              <w:left w:val="single" w:color="auto" w:sz="6" w:space="0"/>
              <w:bottom w:val="single" w:color="auto" w:sz="6" w:space="0"/>
              <w:right w:val="single" w:color="auto" w:sz="6" w:space="0"/>
            </w:tcBorders>
            <w:shd w:val="clear" w:color="auto" w:fill="auto"/>
            <w:noWrap/>
            <w:vAlign w:val="center"/>
          </w:tcPr>
          <w:p w14:paraId="37ECE9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3.23</w:t>
            </w:r>
          </w:p>
        </w:tc>
        <w:tc>
          <w:tcPr>
            <w:tcW w:w="29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3EAF2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3.49</w:t>
            </w:r>
          </w:p>
        </w:tc>
        <w:tc>
          <w:tcPr>
            <w:tcW w:w="25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306FD8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3.36</w:t>
            </w:r>
          </w:p>
        </w:tc>
        <w:tc>
          <w:tcPr>
            <w:tcW w:w="26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C767B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8.06</w:t>
            </w:r>
          </w:p>
        </w:tc>
      </w:tr>
      <w:tr w14:paraId="4BC011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C09113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春季</w:t>
            </w:r>
          </w:p>
        </w:tc>
        <w:tc>
          <w:tcPr>
            <w:tcW w:w="31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AA91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9.15</w:t>
            </w:r>
          </w:p>
        </w:tc>
        <w:tc>
          <w:tcPr>
            <w:tcW w:w="315" w:type="pct"/>
            <w:tcBorders>
              <w:top w:val="single" w:color="auto" w:sz="4" w:space="0"/>
              <w:left w:val="nil"/>
              <w:bottom w:val="single" w:color="auto" w:sz="4" w:space="0"/>
              <w:right w:val="single" w:color="auto" w:sz="4" w:space="0"/>
            </w:tcBorders>
            <w:shd w:val="clear" w:color="auto" w:fill="auto"/>
            <w:noWrap/>
            <w:vAlign w:val="center"/>
          </w:tcPr>
          <w:p w14:paraId="11763F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5.53</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592B79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6.11</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6FC7677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3.94</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2B419CA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5C4498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2.99</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5E41CE1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2.94</w:t>
            </w:r>
          </w:p>
        </w:tc>
        <w:tc>
          <w:tcPr>
            <w:tcW w:w="315" w:type="pct"/>
            <w:tcBorders>
              <w:top w:val="single" w:color="auto" w:sz="4" w:space="0"/>
              <w:left w:val="nil"/>
              <w:bottom w:val="single" w:color="auto" w:sz="4" w:space="0"/>
              <w:right w:val="single" w:color="auto" w:sz="4" w:space="0"/>
            </w:tcBorders>
            <w:shd w:val="clear" w:color="auto" w:fill="auto"/>
            <w:noWrap/>
            <w:vAlign w:val="center"/>
          </w:tcPr>
          <w:p w14:paraId="1C0F9A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10.73</w:t>
            </w:r>
          </w:p>
        </w:tc>
        <w:tc>
          <w:tcPr>
            <w:tcW w:w="315" w:type="pct"/>
            <w:tcBorders>
              <w:top w:val="single" w:color="auto" w:sz="4" w:space="0"/>
              <w:left w:val="nil"/>
              <w:bottom w:val="single" w:color="auto" w:sz="4" w:space="0"/>
              <w:right w:val="single" w:color="auto" w:sz="4" w:space="0"/>
            </w:tcBorders>
            <w:shd w:val="clear" w:color="auto" w:fill="auto"/>
            <w:noWrap/>
            <w:vAlign w:val="center"/>
          </w:tcPr>
          <w:p w14:paraId="5574DC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12.77</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279985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4.89</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7781229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6.61</w:t>
            </w:r>
          </w:p>
        </w:tc>
        <w:tc>
          <w:tcPr>
            <w:tcW w:w="315" w:type="pct"/>
            <w:tcBorders>
              <w:top w:val="single" w:color="auto" w:sz="4" w:space="0"/>
              <w:left w:val="nil"/>
              <w:bottom w:val="single" w:color="auto" w:sz="4" w:space="0"/>
              <w:right w:val="single" w:color="auto" w:sz="4" w:space="0"/>
            </w:tcBorders>
            <w:shd w:val="clear" w:color="auto" w:fill="auto"/>
            <w:noWrap/>
            <w:vAlign w:val="center"/>
          </w:tcPr>
          <w:p w14:paraId="2ED8D5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8.02</w:t>
            </w:r>
          </w:p>
        </w:tc>
        <w:tc>
          <w:tcPr>
            <w:tcW w:w="315" w:type="pct"/>
            <w:tcBorders>
              <w:top w:val="single" w:color="auto" w:sz="4" w:space="0"/>
              <w:left w:val="nil"/>
              <w:bottom w:val="single" w:color="auto" w:sz="4" w:space="0"/>
              <w:right w:val="single" w:color="auto" w:sz="4" w:space="0"/>
            </w:tcBorders>
            <w:shd w:val="clear" w:color="auto" w:fill="auto"/>
            <w:noWrap/>
            <w:vAlign w:val="center"/>
          </w:tcPr>
          <w:p w14:paraId="199E87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9.78</w:t>
            </w:r>
          </w:p>
        </w:tc>
        <w:tc>
          <w:tcPr>
            <w:tcW w:w="291" w:type="pct"/>
            <w:tcBorders>
              <w:top w:val="single" w:color="auto" w:sz="4" w:space="0"/>
              <w:left w:val="nil"/>
              <w:bottom w:val="single" w:color="auto" w:sz="4" w:space="0"/>
              <w:right w:val="single" w:color="auto" w:sz="4" w:space="0"/>
            </w:tcBorders>
            <w:shd w:val="clear" w:color="auto" w:fill="auto"/>
            <w:noWrap/>
            <w:vAlign w:val="center"/>
          </w:tcPr>
          <w:p w14:paraId="7AB22D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3.26</w:t>
            </w:r>
          </w:p>
        </w:tc>
        <w:tc>
          <w:tcPr>
            <w:tcW w:w="258" w:type="pct"/>
            <w:tcBorders>
              <w:top w:val="single" w:color="auto" w:sz="4" w:space="0"/>
              <w:left w:val="nil"/>
              <w:bottom w:val="single" w:color="auto" w:sz="4" w:space="0"/>
              <w:right w:val="single" w:color="auto" w:sz="4" w:space="0"/>
            </w:tcBorders>
            <w:shd w:val="clear" w:color="auto" w:fill="auto"/>
            <w:noWrap/>
            <w:vAlign w:val="center"/>
          </w:tcPr>
          <w:p w14:paraId="2E68BD1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4.03</w:t>
            </w:r>
          </w:p>
        </w:tc>
        <w:tc>
          <w:tcPr>
            <w:tcW w:w="269" w:type="pct"/>
            <w:tcBorders>
              <w:top w:val="single" w:color="auto" w:sz="4" w:space="0"/>
              <w:left w:val="nil"/>
              <w:bottom w:val="single" w:color="auto" w:sz="4" w:space="0"/>
              <w:right w:val="single" w:color="auto" w:sz="4" w:space="0"/>
            </w:tcBorders>
            <w:shd w:val="clear" w:color="auto" w:fill="auto"/>
            <w:noWrap/>
            <w:vAlign w:val="center"/>
          </w:tcPr>
          <w:p w14:paraId="42F3A9E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3.67</w:t>
            </w:r>
          </w:p>
        </w:tc>
      </w:tr>
      <w:tr w14:paraId="16647C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3FA694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夏季</w:t>
            </w:r>
          </w:p>
        </w:tc>
        <w:tc>
          <w:tcPr>
            <w:tcW w:w="315" w:type="pct"/>
            <w:tcBorders>
              <w:top w:val="nil"/>
              <w:left w:val="single" w:color="auto" w:sz="4" w:space="0"/>
              <w:bottom w:val="single" w:color="auto" w:sz="4" w:space="0"/>
              <w:right w:val="single" w:color="auto" w:sz="4" w:space="0"/>
            </w:tcBorders>
            <w:shd w:val="clear" w:color="auto" w:fill="auto"/>
            <w:noWrap/>
            <w:vAlign w:val="center"/>
          </w:tcPr>
          <w:p w14:paraId="32CDDC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12.50</w:t>
            </w:r>
          </w:p>
        </w:tc>
        <w:tc>
          <w:tcPr>
            <w:tcW w:w="315" w:type="pct"/>
            <w:tcBorders>
              <w:top w:val="nil"/>
              <w:left w:val="nil"/>
              <w:bottom w:val="single" w:color="auto" w:sz="4" w:space="0"/>
              <w:right w:val="single" w:color="auto" w:sz="4" w:space="0"/>
            </w:tcBorders>
            <w:shd w:val="clear" w:color="auto" w:fill="auto"/>
            <w:noWrap/>
            <w:vAlign w:val="center"/>
          </w:tcPr>
          <w:p w14:paraId="5B835F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4.35</w:t>
            </w:r>
          </w:p>
        </w:tc>
        <w:tc>
          <w:tcPr>
            <w:tcW w:w="258" w:type="pct"/>
            <w:tcBorders>
              <w:top w:val="nil"/>
              <w:left w:val="nil"/>
              <w:bottom w:val="single" w:color="auto" w:sz="4" w:space="0"/>
              <w:right w:val="single" w:color="auto" w:sz="4" w:space="0"/>
            </w:tcBorders>
            <w:shd w:val="clear" w:color="auto" w:fill="auto"/>
            <w:noWrap/>
            <w:vAlign w:val="center"/>
          </w:tcPr>
          <w:p w14:paraId="3240D4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2.22</w:t>
            </w:r>
          </w:p>
        </w:tc>
        <w:tc>
          <w:tcPr>
            <w:tcW w:w="258" w:type="pct"/>
            <w:tcBorders>
              <w:top w:val="nil"/>
              <w:left w:val="nil"/>
              <w:bottom w:val="single" w:color="auto" w:sz="4" w:space="0"/>
              <w:right w:val="single" w:color="auto" w:sz="4" w:space="0"/>
            </w:tcBorders>
            <w:shd w:val="clear" w:color="auto" w:fill="auto"/>
            <w:noWrap/>
            <w:vAlign w:val="center"/>
          </w:tcPr>
          <w:p w14:paraId="114B25A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3.40</w:t>
            </w:r>
          </w:p>
        </w:tc>
        <w:tc>
          <w:tcPr>
            <w:tcW w:w="258" w:type="pct"/>
            <w:tcBorders>
              <w:top w:val="nil"/>
              <w:left w:val="nil"/>
              <w:bottom w:val="single" w:color="auto" w:sz="4" w:space="0"/>
              <w:right w:val="single" w:color="auto" w:sz="4" w:space="0"/>
            </w:tcBorders>
            <w:shd w:val="clear" w:color="auto" w:fill="auto"/>
            <w:noWrap/>
            <w:vAlign w:val="center"/>
          </w:tcPr>
          <w:p w14:paraId="7C5A02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5.30</w:t>
            </w:r>
          </w:p>
        </w:tc>
        <w:tc>
          <w:tcPr>
            <w:tcW w:w="258" w:type="pct"/>
            <w:tcBorders>
              <w:top w:val="nil"/>
              <w:left w:val="nil"/>
              <w:bottom w:val="single" w:color="auto" w:sz="4" w:space="0"/>
              <w:right w:val="single" w:color="auto" w:sz="4" w:space="0"/>
            </w:tcBorders>
            <w:shd w:val="clear" w:color="auto" w:fill="auto"/>
            <w:noWrap/>
            <w:vAlign w:val="center"/>
          </w:tcPr>
          <w:p w14:paraId="4EAE67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4.44</w:t>
            </w:r>
          </w:p>
        </w:tc>
        <w:tc>
          <w:tcPr>
            <w:tcW w:w="258" w:type="pct"/>
            <w:tcBorders>
              <w:top w:val="nil"/>
              <w:left w:val="nil"/>
              <w:bottom w:val="single" w:color="auto" w:sz="4" w:space="0"/>
              <w:right w:val="single" w:color="auto" w:sz="4" w:space="0"/>
            </w:tcBorders>
            <w:shd w:val="clear" w:color="auto" w:fill="auto"/>
            <w:noWrap/>
            <w:vAlign w:val="center"/>
          </w:tcPr>
          <w:p w14:paraId="34D70B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7.25</w:t>
            </w:r>
          </w:p>
        </w:tc>
        <w:tc>
          <w:tcPr>
            <w:tcW w:w="315" w:type="pct"/>
            <w:tcBorders>
              <w:top w:val="nil"/>
              <w:left w:val="nil"/>
              <w:bottom w:val="single" w:color="auto" w:sz="4" w:space="0"/>
              <w:right w:val="single" w:color="auto" w:sz="4" w:space="0"/>
            </w:tcBorders>
            <w:shd w:val="clear" w:color="auto" w:fill="auto"/>
            <w:noWrap/>
            <w:vAlign w:val="center"/>
          </w:tcPr>
          <w:p w14:paraId="0AD056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8.97</w:t>
            </w:r>
          </w:p>
        </w:tc>
        <w:tc>
          <w:tcPr>
            <w:tcW w:w="315" w:type="pct"/>
            <w:tcBorders>
              <w:top w:val="nil"/>
              <w:left w:val="nil"/>
              <w:bottom w:val="single" w:color="auto" w:sz="4" w:space="0"/>
              <w:right w:val="single" w:color="auto" w:sz="4" w:space="0"/>
            </w:tcBorders>
            <w:shd w:val="clear" w:color="auto" w:fill="auto"/>
            <w:noWrap/>
            <w:vAlign w:val="center"/>
          </w:tcPr>
          <w:p w14:paraId="3B3382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11.01</w:t>
            </w:r>
          </w:p>
        </w:tc>
        <w:tc>
          <w:tcPr>
            <w:tcW w:w="258" w:type="pct"/>
            <w:tcBorders>
              <w:top w:val="nil"/>
              <w:left w:val="nil"/>
              <w:bottom w:val="single" w:color="auto" w:sz="4" w:space="0"/>
              <w:right w:val="single" w:color="auto" w:sz="4" w:space="0"/>
            </w:tcBorders>
            <w:shd w:val="clear" w:color="auto" w:fill="auto"/>
            <w:noWrap/>
            <w:vAlign w:val="center"/>
          </w:tcPr>
          <w:p w14:paraId="34749A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6.70</w:t>
            </w:r>
          </w:p>
        </w:tc>
        <w:tc>
          <w:tcPr>
            <w:tcW w:w="258" w:type="pct"/>
            <w:tcBorders>
              <w:top w:val="nil"/>
              <w:left w:val="nil"/>
              <w:bottom w:val="single" w:color="auto" w:sz="4" w:space="0"/>
              <w:right w:val="single" w:color="auto" w:sz="4" w:space="0"/>
            </w:tcBorders>
            <w:shd w:val="clear" w:color="auto" w:fill="auto"/>
            <w:noWrap/>
            <w:vAlign w:val="center"/>
          </w:tcPr>
          <w:p w14:paraId="1A52546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4.94</w:t>
            </w:r>
          </w:p>
        </w:tc>
        <w:tc>
          <w:tcPr>
            <w:tcW w:w="315" w:type="pct"/>
            <w:tcBorders>
              <w:top w:val="nil"/>
              <w:left w:val="nil"/>
              <w:bottom w:val="single" w:color="auto" w:sz="4" w:space="0"/>
              <w:right w:val="single" w:color="auto" w:sz="4" w:space="0"/>
            </w:tcBorders>
            <w:shd w:val="clear" w:color="auto" w:fill="auto"/>
            <w:noWrap/>
            <w:vAlign w:val="center"/>
          </w:tcPr>
          <w:p w14:paraId="4949A5B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5.84</w:t>
            </w:r>
          </w:p>
        </w:tc>
        <w:tc>
          <w:tcPr>
            <w:tcW w:w="315" w:type="pct"/>
            <w:tcBorders>
              <w:top w:val="nil"/>
              <w:left w:val="nil"/>
              <w:bottom w:val="single" w:color="auto" w:sz="4" w:space="0"/>
              <w:right w:val="single" w:color="auto" w:sz="4" w:space="0"/>
            </w:tcBorders>
            <w:shd w:val="clear" w:color="auto" w:fill="auto"/>
            <w:noWrap/>
            <w:vAlign w:val="center"/>
          </w:tcPr>
          <w:p w14:paraId="21AD5F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5.12</w:t>
            </w:r>
          </w:p>
        </w:tc>
        <w:tc>
          <w:tcPr>
            <w:tcW w:w="291" w:type="pct"/>
            <w:tcBorders>
              <w:top w:val="nil"/>
              <w:left w:val="nil"/>
              <w:bottom w:val="single" w:color="auto" w:sz="4" w:space="0"/>
              <w:right w:val="single" w:color="auto" w:sz="4" w:space="0"/>
            </w:tcBorders>
            <w:shd w:val="clear" w:color="auto" w:fill="auto"/>
            <w:noWrap/>
            <w:vAlign w:val="center"/>
          </w:tcPr>
          <w:p w14:paraId="78F50D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4.57</w:t>
            </w:r>
          </w:p>
        </w:tc>
        <w:tc>
          <w:tcPr>
            <w:tcW w:w="258" w:type="pct"/>
            <w:tcBorders>
              <w:top w:val="nil"/>
              <w:left w:val="nil"/>
              <w:bottom w:val="single" w:color="auto" w:sz="4" w:space="0"/>
              <w:right w:val="single" w:color="auto" w:sz="4" w:space="0"/>
            </w:tcBorders>
            <w:shd w:val="clear" w:color="auto" w:fill="auto"/>
            <w:noWrap/>
            <w:vAlign w:val="center"/>
          </w:tcPr>
          <w:p w14:paraId="1EDA49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5.16</w:t>
            </w:r>
          </w:p>
        </w:tc>
        <w:tc>
          <w:tcPr>
            <w:tcW w:w="269" w:type="pct"/>
            <w:tcBorders>
              <w:top w:val="nil"/>
              <w:left w:val="nil"/>
              <w:bottom w:val="single" w:color="auto" w:sz="4" w:space="0"/>
              <w:right w:val="single" w:color="auto" w:sz="4" w:space="0"/>
            </w:tcBorders>
            <w:shd w:val="clear" w:color="auto" w:fill="auto"/>
            <w:noWrap/>
            <w:vAlign w:val="center"/>
          </w:tcPr>
          <w:p w14:paraId="6CEB73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8.06</w:t>
            </w:r>
          </w:p>
        </w:tc>
      </w:tr>
      <w:tr w14:paraId="163134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0C18909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秋季</w:t>
            </w:r>
          </w:p>
        </w:tc>
        <w:tc>
          <w:tcPr>
            <w:tcW w:w="315" w:type="pct"/>
            <w:tcBorders>
              <w:top w:val="nil"/>
              <w:left w:val="single" w:color="auto" w:sz="4" w:space="0"/>
              <w:bottom w:val="single" w:color="auto" w:sz="4" w:space="0"/>
              <w:right w:val="single" w:color="auto" w:sz="4" w:space="0"/>
            </w:tcBorders>
            <w:shd w:val="clear" w:color="auto" w:fill="auto"/>
            <w:noWrap/>
            <w:vAlign w:val="center"/>
          </w:tcPr>
          <w:p w14:paraId="023885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11.90</w:t>
            </w:r>
          </w:p>
        </w:tc>
        <w:tc>
          <w:tcPr>
            <w:tcW w:w="315" w:type="pct"/>
            <w:tcBorders>
              <w:top w:val="nil"/>
              <w:left w:val="nil"/>
              <w:bottom w:val="single" w:color="auto" w:sz="4" w:space="0"/>
              <w:right w:val="single" w:color="auto" w:sz="4" w:space="0"/>
            </w:tcBorders>
            <w:shd w:val="clear" w:color="auto" w:fill="auto"/>
            <w:noWrap/>
            <w:vAlign w:val="center"/>
          </w:tcPr>
          <w:p w14:paraId="7BED8C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58" w:type="pct"/>
            <w:tcBorders>
              <w:top w:val="nil"/>
              <w:left w:val="nil"/>
              <w:bottom w:val="single" w:color="auto" w:sz="4" w:space="0"/>
              <w:right w:val="single" w:color="auto" w:sz="4" w:space="0"/>
            </w:tcBorders>
            <w:shd w:val="clear" w:color="auto" w:fill="auto"/>
            <w:noWrap/>
            <w:vAlign w:val="center"/>
          </w:tcPr>
          <w:p w14:paraId="6A3593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3.11</w:t>
            </w:r>
          </w:p>
        </w:tc>
        <w:tc>
          <w:tcPr>
            <w:tcW w:w="258" w:type="pct"/>
            <w:tcBorders>
              <w:top w:val="nil"/>
              <w:left w:val="nil"/>
              <w:bottom w:val="single" w:color="auto" w:sz="4" w:space="0"/>
              <w:right w:val="single" w:color="auto" w:sz="4" w:space="0"/>
            </w:tcBorders>
            <w:shd w:val="clear" w:color="auto" w:fill="auto"/>
            <w:noWrap/>
            <w:vAlign w:val="center"/>
          </w:tcPr>
          <w:p w14:paraId="1CDEF4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2.15</w:t>
            </w:r>
          </w:p>
        </w:tc>
        <w:tc>
          <w:tcPr>
            <w:tcW w:w="258" w:type="pct"/>
            <w:tcBorders>
              <w:top w:val="nil"/>
              <w:left w:val="nil"/>
              <w:bottom w:val="single" w:color="auto" w:sz="4" w:space="0"/>
              <w:right w:val="single" w:color="auto" w:sz="4" w:space="0"/>
            </w:tcBorders>
            <w:shd w:val="clear" w:color="auto" w:fill="auto"/>
            <w:noWrap/>
            <w:vAlign w:val="center"/>
          </w:tcPr>
          <w:p w14:paraId="2F8C13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4.62</w:t>
            </w:r>
          </w:p>
        </w:tc>
        <w:tc>
          <w:tcPr>
            <w:tcW w:w="258" w:type="pct"/>
            <w:tcBorders>
              <w:top w:val="nil"/>
              <w:left w:val="nil"/>
              <w:bottom w:val="single" w:color="auto" w:sz="4" w:space="0"/>
              <w:right w:val="single" w:color="auto" w:sz="4" w:space="0"/>
            </w:tcBorders>
            <w:shd w:val="clear" w:color="auto" w:fill="auto"/>
            <w:noWrap/>
            <w:vAlign w:val="center"/>
          </w:tcPr>
          <w:p w14:paraId="5BEDDA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3.25</w:t>
            </w:r>
          </w:p>
        </w:tc>
        <w:tc>
          <w:tcPr>
            <w:tcW w:w="258" w:type="pct"/>
            <w:tcBorders>
              <w:top w:val="nil"/>
              <w:left w:val="nil"/>
              <w:bottom w:val="single" w:color="auto" w:sz="4" w:space="0"/>
              <w:right w:val="single" w:color="auto" w:sz="4" w:space="0"/>
            </w:tcBorders>
            <w:shd w:val="clear" w:color="auto" w:fill="auto"/>
            <w:noWrap/>
            <w:vAlign w:val="center"/>
          </w:tcPr>
          <w:p w14:paraId="665E3A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8.88</w:t>
            </w:r>
          </w:p>
        </w:tc>
        <w:tc>
          <w:tcPr>
            <w:tcW w:w="315" w:type="pct"/>
            <w:tcBorders>
              <w:top w:val="nil"/>
              <w:left w:val="nil"/>
              <w:bottom w:val="single" w:color="auto" w:sz="4" w:space="0"/>
              <w:right w:val="single" w:color="auto" w:sz="4" w:space="0"/>
            </w:tcBorders>
            <w:shd w:val="clear" w:color="auto" w:fill="auto"/>
            <w:noWrap/>
            <w:vAlign w:val="center"/>
          </w:tcPr>
          <w:p w14:paraId="3BDA81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17.54</w:t>
            </w:r>
          </w:p>
        </w:tc>
        <w:tc>
          <w:tcPr>
            <w:tcW w:w="315" w:type="pct"/>
            <w:tcBorders>
              <w:top w:val="nil"/>
              <w:left w:val="nil"/>
              <w:bottom w:val="single" w:color="auto" w:sz="4" w:space="0"/>
              <w:right w:val="single" w:color="auto" w:sz="4" w:space="0"/>
            </w:tcBorders>
            <w:shd w:val="clear" w:color="auto" w:fill="auto"/>
            <w:noWrap/>
            <w:vAlign w:val="center"/>
          </w:tcPr>
          <w:p w14:paraId="09444D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7.92</w:t>
            </w:r>
          </w:p>
        </w:tc>
        <w:tc>
          <w:tcPr>
            <w:tcW w:w="258" w:type="pct"/>
            <w:tcBorders>
              <w:top w:val="nil"/>
              <w:left w:val="nil"/>
              <w:bottom w:val="single" w:color="auto" w:sz="4" w:space="0"/>
              <w:right w:val="single" w:color="auto" w:sz="4" w:space="0"/>
            </w:tcBorders>
            <w:shd w:val="clear" w:color="auto" w:fill="auto"/>
            <w:noWrap/>
            <w:vAlign w:val="center"/>
          </w:tcPr>
          <w:p w14:paraId="6D59E9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58" w:type="pct"/>
            <w:tcBorders>
              <w:top w:val="nil"/>
              <w:left w:val="nil"/>
              <w:bottom w:val="single" w:color="auto" w:sz="4" w:space="0"/>
              <w:right w:val="single" w:color="auto" w:sz="4" w:space="0"/>
            </w:tcBorders>
            <w:shd w:val="clear" w:color="auto" w:fill="auto"/>
            <w:noWrap/>
            <w:vAlign w:val="center"/>
          </w:tcPr>
          <w:p w14:paraId="1CF4E8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4.62</w:t>
            </w:r>
          </w:p>
        </w:tc>
        <w:tc>
          <w:tcPr>
            <w:tcW w:w="315" w:type="pct"/>
            <w:tcBorders>
              <w:top w:val="nil"/>
              <w:left w:val="nil"/>
              <w:bottom w:val="single" w:color="auto" w:sz="4" w:space="0"/>
              <w:right w:val="single" w:color="auto" w:sz="4" w:space="0"/>
            </w:tcBorders>
            <w:shd w:val="clear" w:color="auto" w:fill="auto"/>
            <w:noWrap/>
            <w:vAlign w:val="center"/>
          </w:tcPr>
          <w:p w14:paraId="236DA6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6.55</w:t>
            </w:r>
          </w:p>
        </w:tc>
        <w:tc>
          <w:tcPr>
            <w:tcW w:w="315" w:type="pct"/>
            <w:tcBorders>
              <w:top w:val="nil"/>
              <w:left w:val="nil"/>
              <w:bottom w:val="single" w:color="auto" w:sz="4" w:space="0"/>
              <w:right w:val="single" w:color="auto" w:sz="4" w:space="0"/>
            </w:tcBorders>
            <w:shd w:val="clear" w:color="auto" w:fill="auto"/>
            <w:noWrap/>
            <w:vAlign w:val="center"/>
          </w:tcPr>
          <w:p w14:paraId="187417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5.59</w:t>
            </w:r>
          </w:p>
        </w:tc>
        <w:tc>
          <w:tcPr>
            <w:tcW w:w="291" w:type="pct"/>
            <w:tcBorders>
              <w:top w:val="nil"/>
              <w:left w:val="nil"/>
              <w:bottom w:val="single" w:color="auto" w:sz="4" w:space="0"/>
              <w:right w:val="single" w:color="auto" w:sz="4" w:space="0"/>
            </w:tcBorders>
            <w:shd w:val="clear" w:color="auto" w:fill="auto"/>
            <w:noWrap/>
            <w:vAlign w:val="center"/>
          </w:tcPr>
          <w:p w14:paraId="5BA159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3.57</w:t>
            </w:r>
          </w:p>
        </w:tc>
        <w:tc>
          <w:tcPr>
            <w:tcW w:w="258" w:type="pct"/>
            <w:tcBorders>
              <w:top w:val="nil"/>
              <w:left w:val="nil"/>
              <w:bottom w:val="single" w:color="auto" w:sz="4" w:space="0"/>
              <w:right w:val="single" w:color="auto" w:sz="4" w:space="0"/>
            </w:tcBorders>
            <w:shd w:val="clear" w:color="auto" w:fill="auto"/>
            <w:noWrap/>
            <w:vAlign w:val="center"/>
          </w:tcPr>
          <w:p w14:paraId="30A7EA7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4.17</w:t>
            </w:r>
          </w:p>
        </w:tc>
        <w:tc>
          <w:tcPr>
            <w:tcW w:w="269" w:type="pct"/>
            <w:tcBorders>
              <w:top w:val="nil"/>
              <w:left w:val="nil"/>
              <w:bottom w:val="single" w:color="auto" w:sz="4" w:space="0"/>
              <w:right w:val="single" w:color="auto" w:sz="4" w:space="0"/>
            </w:tcBorders>
            <w:shd w:val="clear" w:color="auto" w:fill="auto"/>
            <w:noWrap/>
            <w:vAlign w:val="center"/>
          </w:tcPr>
          <w:p w14:paraId="55D583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6.73</w:t>
            </w:r>
          </w:p>
        </w:tc>
      </w:tr>
      <w:tr w14:paraId="464DB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58DB2E1">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冬季</w:t>
            </w:r>
          </w:p>
        </w:tc>
        <w:tc>
          <w:tcPr>
            <w:tcW w:w="315" w:type="pct"/>
            <w:tcBorders>
              <w:top w:val="nil"/>
              <w:left w:val="single" w:color="auto" w:sz="4" w:space="0"/>
              <w:bottom w:val="single" w:color="auto" w:sz="4" w:space="0"/>
              <w:right w:val="single" w:color="auto" w:sz="4" w:space="0"/>
            </w:tcBorders>
            <w:shd w:val="clear" w:color="auto" w:fill="auto"/>
            <w:noWrap/>
            <w:vAlign w:val="center"/>
          </w:tcPr>
          <w:p w14:paraId="4BCDE5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21.66</w:t>
            </w:r>
          </w:p>
        </w:tc>
        <w:tc>
          <w:tcPr>
            <w:tcW w:w="315" w:type="pct"/>
            <w:tcBorders>
              <w:top w:val="nil"/>
              <w:left w:val="nil"/>
              <w:bottom w:val="single" w:color="auto" w:sz="4" w:space="0"/>
              <w:right w:val="single" w:color="auto" w:sz="4" w:space="0"/>
            </w:tcBorders>
            <w:shd w:val="clear" w:color="auto" w:fill="auto"/>
            <w:noWrap/>
            <w:vAlign w:val="center"/>
          </w:tcPr>
          <w:p w14:paraId="64A3DB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12.23</w:t>
            </w:r>
          </w:p>
        </w:tc>
        <w:tc>
          <w:tcPr>
            <w:tcW w:w="258" w:type="pct"/>
            <w:tcBorders>
              <w:top w:val="nil"/>
              <w:left w:val="nil"/>
              <w:bottom w:val="single" w:color="auto" w:sz="4" w:space="0"/>
              <w:right w:val="single" w:color="auto" w:sz="4" w:space="0"/>
            </w:tcBorders>
            <w:shd w:val="clear" w:color="auto" w:fill="auto"/>
            <w:noWrap/>
            <w:vAlign w:val="center"/>
          </w:tcPr>
          <w:p w14:paraId="0210F39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6.27</w:t>
            </w:r>
          </w:p>
        </w:tc>
        <w:tc>
          <w:tcPr>
            <w:tcW w:w="258" w:type="pct"/>
            <w:tcBorders>
              <w:top w:val="nil"/>
              <w:left w:val="nil"/>
              <w:bottom w:val="single" w:color="auto" w:sz="4" w:space="0"/>
              <w:right w:val="single" w:color="auto" w:sz="4" w:space="0"/>
            </w:tcBorders>
            <w:shd w:val="clear" w:color="auto" w:fill="auto"/>
            <w:noWrap/>
            <w:vAlign w:val="center"/>
          </w:tcPr>
          <w:p w14:paraId="7E827B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4.58</w:t>
            </w:r>
          </w:p>
        </w:tc>
        <w:tc>
          <w:tcPr>
            <w:tcW w:w="258" w:type="pct"/>
            <w:tcBorders>
              <w:top w:val="nil"/>
              <w:left w:val="nil"/>
              <w:bottom w:val="single" w:color="auto" w:sz="4" w:space="0"/>
              <w:right w:val="single" w:color="auto" w:sz="4" w:space="0"/>
            </w:tcBorders>
            <w:shd w:val="clear" w:color="auto" w:fill="auto"/>
            <w:noWrap/>
            <w:vAlign w:val="center"/>
          </w:tcPr>
          <w:p w14:paraId="7B4672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2.98</w:t>
            </w:r>
          </w:p>
        </w:tc>
        <w:tc>
          <w:tcPr>
            <w:tcW w:w="258" w:type="pct"/>
            <w:tcBorders>
              <w:top w:val="nil"/>
              <w:left w:val="nil"/>
              <w:bottom w:val="single" w:color="auto" w:sz="4" w:space="0"/>
              <w:right w:val="single" w:color="auto" w:sz="4" w:space="0"/>
            </w:tcBorders>
            <w:shd w:val="clear" w:color="auto" w:fill="auto"/>
            <w:noWrap/>
            <w:vAlign w:val="center"/>
          </w:tcPr>
          <w:p w14:paraId="04826C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1.24</w:t>
            </w:r>
          </w:p>
        </w:tc>
        <w:tc>
          <w:tcPr>
            <w:tcW w:w="258" w:type="pct"/>
            <w:tcBorders>
              <w:top w:val="nil"/>
              <w:left w:val="nil"/>
              <w:bottom w:val="single" w:color="auto" w:sz="4" w:space="0"/>
              <w:right w:val="single" w:color="auto" w:sz="4" w:space="0"/>
            </w:tcBorders>
            <w:shd w:val="clear" w:color="auto" w:fill="auto"/>
            <w:noWrap/>
            <w:vAlign w:val="center"/>
          </w:tcPr>
          <w:p w14:paraId="36E1FC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4.49</w:t>
            </w:r>
          </w:p>
        </w:tc>
        <w:tc>
          <w:tcPr>
            <w:tcW w:w="315" w:type="pct"/>
            <w:tcBorders>
              <w:top w:val="nil"/>
              <w:left w:val="nil"/>
              <w:bottom w:val="single" w:color="auto" w:sz="4" w:space="0"/>
              <w:right w:val="single" w:color="auto" w:sz="4" w:space="0"/>
            </w:tcBorders>
            <w:shd w:val="clear" w:color="auto" w:fill="auto"/>
            <w:noWrap/>
            <w:vAlign w:val="center"/>
          </w:tcPr>
          <w:p w14:paraId="6FAB5D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10.58</w:t>
            </w:r>
          </w:p>
        </w:tc>
        <w:tc>
          <w:tcPr>
            <w:tcW w:w="315" w:type="pct"/>
            <w:tcBorders>
              <w:top w:val="nil"/>
              <w:left w:val="nil"/>
              <w:bottom w:val="single" w:color="auto" w:sz="4" w:space="0"/>
              <w:right w:val="single" w:color="auto" w:sz="4" w:space="0"/>
            </w:tcBorders>
            <w:shd w:val="clear" w:color="auto" w:fill="auto"/>
            <w:noWrap/>
            <w:vAlign w:val="center"/>
          </w:tcPr>
          <w:p w14:paraId="3B7ACEF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9.48</w:t>
            </w:r>
          </w:p>
        </w:tc>
        <w:tc>
          <w:tcPr>
            <w:tcW w:w="258" w:type="pct"/>
            <w:tcBorders>
              <w:top w:val="nil"/>
              <w:left w:val="nil"/>
              <w:bottom w:val="single" w:color="auto" w:sz="4" w:space="0"/>
              <w:right w:val="single" w:color="auto" w:sz="4" w:space="0"/>
            </w:tcBorders>
            <w:shd w:val="clear" w:color="auto" w:fill="auto"/>
            <w:noWrap/>
            <w:vAlign w:val="center"/>
          </w:tcPr>
          <w:p w14:paraId="6D988BB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1.74</w:t>
            </w:r>
          </w:p>
        </w:tc>
        <w:tc>
          <w:tcPr>
            <w:tcW w:w="258" w:type="pct"/>
            <w:tcBorders>
              <w:top w:val="nil"/>
              <w:left w:val="nil"/>
              <w:bottom w:val="single" w:color="auto" w:sz="4" w:space="0"/>
              <w:right w:val="single" w:color="auto" w:sz="4" w:space="0"/>
            </w:tcBorders>
            <w:shd w:val="clear" w:color="auto" w:fill="auto"/>
            <w:noWrap/>
            <w:vAlign w:val="center"/>
          </w:tcPr>
          <w:p w14:paraId="4A5DB3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2.56</w:t>
            </w:r>
          </w:p>
        </w:tc>
        <w:tc>
          <w:tcPr>
            <w:tcW w:w="315" w:type="pct"/>
            <w:tcBorders>
              <w:top w:val="nil"/>
              <w:left w:val="nil"/>
              <w:bottom w:val="single" w:color="auto" w:sz="4" w:space="0"/>
              <w:right w:val="single" w:color="auto" w:sz="4" w:space="0"/>
            </w:tcBorders>
            <w:shd w:val="clear" w:color="auto" w:fill="auto"/>
            <w:noWrap/>
            <w:vAlign w:val="center"/>
          </w:tcPr>
          <w:p w14:paraId="258053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3.39</w:t>
            </w:r>
          </w:p>
        </w:tc>
        <w:tc>
          <w:tcPr>
            <w:tcW w:w="315" w:type="pct"/>
            <w:tcBorders>
              <w:top w:val="nil"/>
              <w:left w:val="nil"/>
              <w:bottom w:val="single" w:color="auto" w:sz="4" w:space="0"/>
              <w:right w:val="single" w:color="auto" w:sz="4" w:space="0"/>
            </w:tcBorders>
            <w:shd w:val="clear" w:color="auto" w:fill="auto"/>
            <w:noWrap/>
            <w:vAlign w:val="center"/>
          </w:tcPr>
          <w:p w14:paraId="06C2F7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4.62</w:t>
            </w:r>
          </w:p>
        </w:tc>
        <w:tc>
          <w:tcPr>
            <w:tcW w:w="291" w:type="pct"/>
            <w:tcBorders>
              <w:top w:val="nil"/>
              <w:left w:val="nil"/>
              <w:bottom w:val="single" w:color="auto" w:sz="4" w:space="0"/>
              <w:right w:val="single" w:color="auto" w:sz="4" w:space="0"/>
            </w:tcBorders>
            <w:shd w:val="clear" w:color="auto" w:fill="auto"/>
            <w:noWrap/>
            <w:vAlign w:val="center"/>
          </w:tcPr>
          <w:p w14:paraId="24AEC4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2.47</w:t>
            </w:r>
          </w:p>
        </w:tc>
        <w:tc>
          <w:tcPr>
            <w:tcW w:w="258" w:type="pct"/>
            <w:tcBorders>
              <w:top w:val="nil"/>
              <w:left w:val="nil"/>
              <w:bottom w:val="single" w:color="auto" w:sz="4" w:space="0"/>
              <w:right w:val="single" w:color="auto" w:sz="4" w:space="0"/>
            </w:tcBorders>
            <w:shd w:val="clear" w:color="auto" w:fill="auto"/>
            <w:noWrap/>
            <w:vAlign w:val="center"/>
          </w:tcPr>
          <w:p w14:paraId="55708C2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2.88</w:t>
            </w:r>
          </w:p>
        </w:tc>
        <w:tc>
          <w:tcPr>
            <w:tcW w:w="269" w:type="pct"/>
            <w:tcBorders>
              <w:top w:val="nil"/>
              <w:left w:val="nil"/>
              <w:bottom w:val="single" w:color="auto" w:sz="4" w:space="0"/>
              <w:right w:val="single" w:color="auto" w:sz="4" w:space="0"/>
            </w:tcBorders>
            <w:shd w:val="clear" w:color="auto" w:fill="auto"/>
            <w:noWrap/>
            <w:vAlign w:val="center"/>
          </w:tcPr>
          <w:p w14:paraId="770C559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5.95</w:t>
            </w:r>
          </w:p>
        </w:tc>
      </w:tr>
      <w:tr w14:paraId="26615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40" w:hRule="atLeast"/>
          <w:jc w:val="center"/>
        </w:trPr>
        <w:tc>
          <w:tcPr>
            <w:tcW w:w="481"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6ECF240">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center"/>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全年</w:t>
            </w:r>
          </w:p>
        </w:tc>
        <w:tc>
          <w:tcPr>
            <w:tcW w:w="315" w:type="pct"/>
            <w:tcBorders>
              <w:top w:val="nil"/>
              <w:left w:val="single" w:color="auto" w:sz="4" w:space="0"/>
              <w:bottom w:val="single" w:color="auto" w:sz="4" w:space="0"/>
              <w:right w:val="single" w:color="auto" w:sz="4" w:space="0"/>
            </w:tcBorders>
            <w:shd w:val="clear" w:color="auto" w:fill="auto"/>
            <w:noWrap/>
            <w:vAlign w:val="center"/>
          </w:tcPr>
          <w:p w14:paraId="443EB57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13.79</w:t>
            </w:r>
          </w:p>
        </w:tc>
        <w:tc>
          <w:tcPr>
            <w:tcW w:w="315" w:type="pct"/>
            <w:tcBorders>
              <w:top w:val="nil"/>
              <w:left w:val="nil"/>
              <w:bottom w:val="single" w:color="auto" w:sz="4" w:space="0"/>
              <w:right w:val="single" w:color="auto" w:sz="4" w:space="0"/>
            </w:tcBorders>
            <w:shd w:val="clear" w:color="auto" w:fill="auto"/>
            <w:noWrap/>
            <w:vAlign w:val="center"/>
          </w:tcPr>
          <w:p w14:paraId="25B23A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6.66</w:t>
            </w:r>
          </w:p>
        </w:tc>
        <w:tc>
          <w:tcPr>
            <w:tcW w:w="258" w:type="pct"/>
            <w:tcBorders>
              <w:top w:val="nil"/>
              <w:left w:val="nil"/>
              <w:bottom w:val="single" w:color="auto" w:sz="4" w:space="0"/>
              <w:right w:val="single" w:color="auto" w:sz="4" w:space="0"/>
            </w:tcBorders>
            <w:shd w:val="clear" w:color="auto" w:fill="auto"/>
            <w:noWrap/>
            <w:vAlign w:val="center"/>
          </w:tcPr>
          <w:p w14:paraId="030C3D8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4.43</w:t>
            </w:r>
          </w:p>
        </w:tc>
        <w:tc>
          <w:tcPr>
            <w:tcW w:w="258" w:type="pct"/>
            <w:tcBorders>
              <w:top w:val="nil"/>
              <w:left w:val="nil"/>
              <w:bottom w:val="single" w:color="auto" w:sz="4" w:space="0"/>
              <w:right w:val="single" w:color="auto" w:sz="4" w:space="0"/>
            </w:tcBorders>
            <w:shd w:val="clear" w:color="auto" w:fill="auto"/>
            <w:noWrap/>
            <w:vAlign w:val="center"/>
          </w:tcPr>
          <w:p w14:paraId="5BCB2C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3.52</w:t>
            </w:r>
          </w:p>
        </w:tc>
        <w:tc>
          <w:tcPr>
            <w:tcW w:w="258" w:type="pct"/>
            <w:tcBorders>
              <w:top w:val="nil"/>
              <w:left w:val="nil"/>
              <w:bottom w:val="single" w:color="auto" w:sz="4" w:space="0"/>
              <w:right w:val="single" w:color="auto" w:sz="4" w:space="0"/>
            </w:tcBorders>
            <w:shd w:val="clear" w:color="auto" w:fill="auto"/>
            <w:noWrap/>
            <w:vAlign w:val="center"/>
          </w:tcPr>
          <w:p w14:paraId="44CD5E9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4.34</w:t>
            </w:r>
          </w:p>
        </w:tc>
        <w:tc>
          <w:tcPr>
            <w:tcW w:w="258" w:type="pct"/>
            <w:tcBorders>
              <w:top w:val="nil"/>
              <w:left w:val="nil"/>
              <w:bottom w:val="single" w:color="auto" w:sz="4" w:space="0"/>
              <w:right w:val="single" w:color="auto" w:sz="4" w:space="0"/>
            </w:tcBorders>
            <w:shd w:val="clear" w:color="auto" w:fill="auto"/>
            <w:noWrap/>
            <w:vAlign w:val="center"/>
          </w:tcPr>
          <w:p w14:paraId="0F1523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2.98</w:t>
            </w:r>
          </w:p>
        </w:tc>
        <w:tc>
          <w:tcPr>
            <w:tcW w:w="258" w:type="pct"/>
            <w:tcBorders>
              <w:top w:val="nil"/>
              <w:left w:val="nil"/>
              <w:bottom w:val="single" w:color="auto" w:sz="4" w:space="0"/>
              <w:right w:val="single" w:color="auto" w:sz="4" w:space="0"/>
            </w:tcBorders>
            <w:shd w:val="clear" w:color="auto" w:fill="auto"/>
            <w:noWrap/>
            <w:vAlign w:val="center"/>
          </w:tcPr>
          <w:p w14:paraId="02E1EB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5.89</w:t>
            </w:r>
          </w:p>
        </w:tc>
        <w:tc>
          <w:tcPr>
            <w:tcW w:w="315" w:type="pct"/>
            <w:tcBorders>
              <w:top w:val="nil"/>
              <w:left w:val="nil"/>
              <w:bottom w:val="single" w:color="auto" w:sz="4" w:space="0"/>
              <w:right w:val="single" w:color="auto" w:sz="4" w:space="0"/>
            </w:tcBorders>
            <w:shd w:val="clear" w:color="auto" w:fill="auto"/>
            <w:noWrap/>
            <w:vAlign w:val="center"/>
          </w:tcPr>
          <w:p w14:paraId="20C26D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11.94</w:t>
            </w:r>
          </w:p>
        </w:tc>
        <w:tc>
          <w:tcPr>
            <w:tcW w:w="315" w:type="pct"/>
            <w:tcBorders>
              <w:top w:val="nil"/>
              <w:left w:val="nil"/>
              <w:bottom w:val="single" w:color="auto" w:sz="4" w:space="0"/>
              <w:right w:val="single" w:color="auto" w:sz="4" w:space="0"/>
            </w:tcBorders>
            <w:shd w:val="clear" w:color="auto" w:fill="auto"/>
            <w:noWrap/>
            <w:vAlign w:val="center"/>
          </w:tcPr>
          <w:p w14:paraId="7EC640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10.30</w:t>
            </w:r>
          </w:p>
        </w:tc>
        <w:tc>
          <w:tcPr>
            <w:tcW w:w="258" w:type="pct"/>
            <w:tcBorders>
              <w:top w:val="nil"/>
              <w:left w:val="nil"/>
              <w:bottom w:val="single" w:color="auto" w:sz="4" w:space="0"/>
              <w:right w:val="single" w:color="auto" w:sz="4" w:space="0"/>
            </w:tcBorders>
            <w:shd w:val="clear" w:color="auto" w:fill="auto"/>
            <w:noWrap/>
            <w:vAlign w:val="center"/>
          </w:tcPr>
          <w:p w14:paraId="044B5B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4.49</w:t>
            </w:r>
          </w:p>
        </w:tc>
        <w:tc>
          <w:tcPr>
            <w:tcW w:w="258" w:type="pct"/>
            <w:tcBorders>
              <w:top w:val="nil"/>
              <w:left w:val="nil"/>
              <w:bottom w:val="single" w:color="auto" w:sz="4" w:space="0"/>
              <w:right w:val="single" w:color="auto" w:sz="4" w:space="0"/>
            </w:tcBorders>
            <w:shd w:val="clear" w:color="auto" w:fill="auto"/>
            <w:noWrap/>
            <w:vAlign w:val="center"/>
          </w:tcPr>
          <w:p w14:paraId="251163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4.69</w:t>
            </w:r>
          </w:p>
        </w:tc>
        <w:tc>
          <w:tcPr>
            <w:tcW w:w="315" w:type="pct"/>
            <w:tcBorders>
              <w:top w:val="nil"/>
              <w:left w:val="nil"/>
              <w:bottom w:val="single" w:color="auto" w:sz="4" w:space="0"/>
              <w:right w:val="single" w:color="auto" w:sz="4" w:space="0"/>
            </w:tcBorders>
            <w:shd w:val="clear" w:color="auto" w:fill="auto"/>
            <w:noWrap/>
            <w:vAlign w:val="center"/>
          </w:tcPr>
          <w:p w14:paraId="32F941E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5.95</w:t>
            </w:r>
          </w:p>
        </w:tc>
        <w:tc>
          <w:tcPr>
            <w:tcW w:w="315" w:type="pct"/>
            <w:tcBorders>
              <w:top w:val="nil"/>
              <w:left w:val="nil"/>
              <w:bottom w:val="single" w:color="auto" w:sz="4" w:space="0"/>
              <w:right w:val="single" w:color="auto" w:sz="4" w:space="0"/>
            </w:tcBorders>
            <w:shd w:val="clear" w:color="auto" w:fill="auto"/>
            <w:noWrap/>
            <w:vAlign w:val="center"/>
          </w:tcPr>
          <w:p w14:paraId="22C7020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6.28</w:t>
            </w:r>
          </w:p>
        </w:tc>
        <w:tc>
          <w:tcPr>
            <w:tcW w:w="291" w:type="pct"/>
            <w:tcBorders>
              <w:top w:val="nil"/>
              <w:left w:val="nil"/>
              <w:bottom w:val="single" w:color="auto" w:sz="4" w:space="0"/>
              <w:right w:val="single" w:color="auto" w:sz="4" w:space="0"/>
            </w:tcBorders>
            <w:shd w:val="clear" w:color="auto" w:fill="auto"/>
            <w:noWrap/>
            <w:vAlign w:val="center"/>
          </w:tcPr>
          <w:p w14:paraId="4DAA49F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3.47</w:t>
            </w:r>
          </w:p>
        </w:tc>
        <w:tc>
          <w:tcPr>
            <w:tcW w:w="258" w:type="pct"/>
            <w:tcBorders>
              <w:top w:val="nil"/>
              <w:left w:val="nil"/>
              <w:bottom w:val="single" w:color="auto" w:sz="4" w:space="0"/>
              <w:right w:val="single" w:color="auto" w:sz="4" w:space="0"/>
            </w:tcBorders>
            <w:shd w:val="clear" w:color="auto" w:fill="auto"/>
            <w:noWrap/>
            <w:vAlign w:val="center"/>
          </w:tcPr>
          <w:p w14:paraId="5853E16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4.06</w:t>
            </w:r>
          </w:p>
        </w:tc>
        <w:tc>
          <w:tcPr>
            <w:tcW w:w="269" w:type="pct"/>
            <w:tcBorders>
              <w:top w:val="nil"/>
              <w:left w:val="nil"/>
              <w:bottom w:val="single" w:color="auto" w:sz="4" w:space="0"/>
              <w:right w:val="single" w:color="auto" w:sz="4" w:space="0"/>
            </w:tcBorders>
            <w:shd w:val="clear" w:color="auto" w:fill="auto"/>
            <w:noWrap/>
            <w:vAlign w:val="center"/>
          </w:tcPr>
          <w:p w14:paraId="1E11A2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bottom"/>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6.10</w:t>
            </w:r>
          </w:p>
        </w:tc>
      </w:tr>
    </w:tbl>
    <w:p w14:paraId="4FB4DDAA">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w:t>
      </w:r>
      <w:r>
        <w:rPr>
          <w:rFonts w:hint="eastAsia" w:ascii="Times New Roman" w:hAnsi="Times New Roman" w:cs="Times New Roman"/>
          <w:snapToGrid w:val="0"/>
          <w:color w:val="auto"/>
          <w:kern w:val="0"/>
          <w:highlight w:val="none"/>
          <w:lang w:val="en-US" w:eastAsia="zh-CN"/>
        </w:rPr>
        <w:t>4</w:t>
      </w:r>
      <w:r>
        <w:rPr>
          <w:rFonts w:hint="eastAsia" w:ascii="Times New Roman" w:hAnsi="Times New Roman" w:cs="Times New Roman"/>
          <w:snapToGrid w:val="0"/>
          <w:color w:val="auto"/>
          <w:kern w:val="0"/>
          <w:highlight w:val="none"/>
        </w:rPr>
        <w:t>）地形数据</w:t>
      </w:r>
    </w:p>
    <w:p w14:paraId="70C24CDD">
      <w:pPr>
        <w:pStyle w:val="170"/>
        <w:spacing w:line="360" w:lineRule="auto"/>
        <w:rPr>
          <w:rFonts w:hint="eastAsia" w:ascii="Times New Roman" w:hAnsi="Times New Roman" w:eastAsia="宋体" w:cs="Times New Roman"/>
          <w:color w:val="auto"/>
          <w:spacing w:val="-6"/>
          <w:sz w:val="24"/>
          <w:highlight w:val="none"/>
          <w:lang w:val="zh-CN"/>
        </w:rPr>
      </w:pPr>
      <w:r>
        <w:rPr>
          <w:rFonts w:hint="eastAsia" w:ascii="Times New Roman" w:hAnsi="Times New Roman" w:eastAsia="宋体" w:cs="Times New Roman"/>
          <w:color w:val="auto"/>
          <w:spacing w:val="-6"/>
          <w:sz w:val="24"/>
          <w:highlight w:val="none"/>
          <w:lang w:val="zh-CN"/>
        </w:rPr>
        <w:t>本次评价地形数据来源于采用全球坐标定义的外部</w:t>
      </w:r>
      <w:r>
        <w:rPr>
          <w:rFonts w:hint="eastAsia" w:ascii="Times New Roman" w:hAnsi="Times New Roman" w:eastAsia="宋体" w:cs="Times New Roman"/>
          <w:color w:val="auto"/>
          <w:spacing w:val="-6"/>
          <w:sz w:val="24"/>
          <w:highlight w:val="none"/>
        </w:rPr>
        <w:t>DEM</w:t>
      </w:r>
      <w:r>
        <w:rPr>
          <w:rFonts w:hint="eastAsia" w:ascii="Times New Roman" w:hAnsi="Times New Roman" w:eastAsia="宋体" w:cs="Times New Roman"/>
          <w:color w:val="auto"/>
          <w:spacing w:val="-6"/>
          <w:sz w:val="24"/>
          <w:highlight w:val="none"/>
          <w:lang w:val="zh-CN"/>
        </w:rPr>
        <w:t>文件</w:t>
      </w:r>
      <w:r>
        <w:rPr>
          <w:rFonts w:hint="eastAsia" w:ascii="Times New Roman" w:hAnsi="Times New Roman" w:eastAsia="宋体" w:cs="Times New Roman"/>
          <w:color w:val="auto"/>
          <w:spacing w:val="-6"/>
          <w:sz w:val="24"/>
          <w:highlight w:val="none"/>
        </w:rPr>
        <w:t>，</w:t>
      </w:r>
      <w:r>
        <w:rPr>
          <w:rFonts w:hint="eastAsia" w:ascii="Times New Roman" w:hAnsi="Times New Roman" w:eastAsia="宋体" w:cs="Times New Roman"/>
          <w:color w:val="auto"/>
          <w:spacing w:val="-6"/>
          <w:sz w:val="24"/>
          <w:highlight w:val="none"/>
          <w:lang w:val="zh-CN"/>
        </w:rPr>
        <w:t>该文件包括评价范围内的地形高程数据</w:t>
      </w:r>
      <w:r>
        <w:rPr>
          <w:rFonts w:hint="eastAsia" w:ascii="Times New Roman" w:hAnsi="Times New Roman" w:eastAsia="宋体" w:cs="Times New Roman"/>
          <w:color w:val="auto"/>
          <w:spacing w:val="-6"/>
          <w:sz w:val="24"/>
          <w:highlight w:val="none"/>
        </w:rPr>
        <w:t>，</w:t>
      </w:r>
      <w:r>
        <w:rPr>
          <w:rFonts w:hint="eastAsia" w:ascii="Times New Roman" w:hAnsi="Times New Roman" w:eastAsia="宋体" w:cs="Times New Roman"/>
          <w:color w:val="auto"/>
          <w:spacing w:val="-6"/>
          <w:sz w:val="24"/>
          <w:highlight w:val="none"/>
          <w:lang w:val="zh-CN"/>
        </w:rPr>
        <w:t>由</w:t>
      </w:r>
      <w:r>
        <w:rPr>
          <w:rFonts w:hint="eastAsia" w:ascii="Times New Roman" w:hAnsi="Times New Roman" w:eastAsia="宋体" w:cs="Times New Roman"/>
          <w:color w:val="auto"/>
          <w:spacing w:val="-6"/>
          <w:sz w:val="24"/>
          <w:highlight w:val="none"/>
        </w:rPr>
        <w:t>http：//srtm.csi.cgiar.org</w:t>
      </w:r>
      <w:r>
        <w:rPr>
          <w:rFonts w:hint="eastAsia" w:ascii="Times New Roman" w:hAnsi="Times New Roman" w:eastAsia="宋体" w:cs="Times New Roman"/>
          <w:color w:val="auto"/>
          <w:spacing w:val="-6"/>
          <w:sz w:val="24"/>
          <w:highlight w:val="none"/>
          <w:lang w:val="zh-CN"/>
        </w:rPr>
        <w:t>下载取得</w:t>
      </w:r>
      <w:r>
        <w:rPr>
          <w:rFonts w:hint="eastAsia" w:ascii="Times New Roman" w:hAnsi="Times New Roman" w:eastAsia="宋体" w:cs="Times New Roman"/>
          <w:color w:val="auto"/>
          <w:spacing w:val="-6"/>
          <w:sz w:val="24"/>
          <w:highlight w:val="none"/>
        </w:rPr>
        <w:t>，</w:t>
      </w:r>
      <w:r>
        <w:rPr>
          <w:rFonts w:hint="eastAsia" w:ascii="Times New Roman" w:hAnsi="Times New Roman" w:eastAsia="宋体" w:cs="Times New Roman"/>
          <w:color w:val="auto"/>
          <w:spacing w:val="-6"/>
          <w:sz w:val="24"/>
          <w:highlight w:val="none"/>
          <w:lang w:val="zh-CN"/>
        </w:rPr>
        <w:t>分辨率为</w:t>
      </w:r>
      <w:r>
        <w:rPr>
          <w:rFonts w:hint="eastAsia" w:ascii="Times New Roman" w:hAnsi="Times New Roman" w:eastAsia="宋体" w:cs="Times New Roman"/>
          <w:color w:val="auto"/>
          <w:spacing w:val="-6"/>
          <w:sz w:val="24"/>
          <w:highlight w:val="none"/>
        </w:rPr>
        <w:t>90m</w:t>
      </w:r>
      <w:r>
        <w:rPr>
          <w:rFonts w:hint="eastAsia" w:ascii="Times New Roman" w:hAnsi="Times New Roman" w:eastAsia="宋体" w:cs="Times New Roman"/>
          <w:color w:val="auto"/>
          <w:spacing w:val="-6"/>
          <w:sz w:val="24"/>
          <w:highlight w:val="none"/>
          <w:lang w:val="zh-CN"/>
        </w:rPr>
        <w:t>。</w:t>
      </w:r>
    </w:p>
    <w:p w14:paraId="60C621D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6.2.1.3预测模型及参数</w:t>
      </w:r>
    </w:p>
    <w:p w14:paraId="14F78749">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1）</w:t>
      </w:r>
      <w:r>
        <w:rPr>
          <w:rFonts w:ascii="Times New Roman" w:hAnsi="Times New Roman" w:eastAsia="宋体" w:cs="Times New Roman"/>
          <w:snapToGrid w:val="0"/>
          <w:color w:val="auto"/>
          <w:kern w:val="0"/>
          <w:highlight w:val="none"/>
        </w:rPr>
        <w:t>预测模型</w:t>
      </w:r>
    </w:p>
    <w:p w14:paraId="661E28E4">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default"/>
          <w:color w:val="auto"/>
          <w:highlight w:val="none"/>
        </w:rPr>
        <w:t>本项目大气环境影响评价等级为一级，根据要求需采用进一步预测模型开展大气环境影响预测与评价。</w:t>
      </w:r>
      <w:r>
        <w:rPr>
          <w:rFonts w:ascii="Times New Roman" w:hAnsi="Times New Roman" w:eastAsia="宋体" w:cs="Times New Roman"/>
          <w:snapToGrid w:val="0"/>
          <w:color w:val="auto"/>
          <w:kern w:val="0"/>
          <w:highlight w:val="none"/>
        </w:rPr>
        <w:t>根据《环境影响评价技术导则 大气环境》（HJ2.2-2018），大气环境影响预测选取AERMOD模型进行大气预测分析。AERMOD是一个稳态烟羽扩散模式，可基于大气边界层数据特征模拟点源、面源和体源等排放出的污染物在短期（小时平均、日平均）、长期（年平均）的浓度分布，适用于农村或城市地区、简单或复杂地形。AERMOD考虑了建筑物尾流的影响，即烟羽下洗。模式使用每小时连续预处理气象数据模拟大于等于1小时平均时间的浓度分布。</w:t>
      </w:r>
    </w:p>
    <w:p w14:paraId="397A920A">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本次评价依据《环境影响评价技术导则 大气环境》</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HJ2.2-2018</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中</w:t>
      </w:r>
      <w:r>
        <w:rPr>
          <w:rFonts w:hint="eastAsia" w:ascii="Times New Roman" w:hAnsi="Times New Roman" w:eastAsia="宋体" w:cs="Times New Roman"/>
          <w:snapToGrid w:val="0"/>
          <w:color w:val="auto"/>
          <w:kern w:val="0"/>
          <w:highlight w:val="none"/>
        </w:rPr>
        <w:t>1.5</w:t>
      </w:r>
      <w:r>
        <w:rPr>
          <w:rFonts w:ascii="Times New Roman" w:hAnsi="Times New Roman" w:eastAsia="宋体" w:cs="Times New Roman"/>
          <w:snapToGrid w:val="0"/>
          <w:color w:val="auto"/>
          <w:kern w:val="0"/>
          <w:highlight w:val="none"/>
        </w:rPr>
        <w:t>节工作等级的确定方法，结合项目工程分析结果，选择正常排放的主要污染物及排放参数，采用附录A推荐模型中的AERSCREEN模式计算项目污染源的最大环境影响，然后按评价工作分级判据进行分级。</w:t>
      </w:r>
    </w:p>
    <w:p w14:paraId="027238D3">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2）</w:t>
      </w:r>
      <w:r>
        <w:rPr>
          <w:rFonts w:ascii="Times New Roman" w:hAnsi="Times New Roman" w:eastAsia="宋体" w:cs="Times New Roman"/>
          <w:snapToGrid w:val="0"/>
          <w:color w:val="auto"/>
          <w:kern w:val="0"/>
          <w:highlight w:val="none"/>
        </w:rPr>
        <w:t>预测因子</w:t>
      </w:r>
    </w:p>
    <w:p w14:paraId="55D0122F">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本项目大气环境影响预测重点为项目废气点源对大气环境的影响程度和范围，</w:t>
      </w:r>
      <w:r>
        <w:rPr>
          <w:rFonts w:hint="eastAsia" w:ascii="Times New Roman" w:hAnsi="Times New Roman" w:eastAsia="宋体" w:cs="Times New Roman"/>
          <w:snapToGrid w:val="0"/>
          <w:color w:val="auto"/>
          <w:kern w:val="0"/>
          <w:highlight w:val="none"/>
        </w:rPr>
        <w:t>正常工况</w:t>
      </w:r>
      <w:r>
        <w:rPr>
          <w:rFonts w:ascii="Times New Roman" w:hAnsi="Times New Roman" w:eastAsia="宋体" w:cs="Times New Roman"/>
          <w:snapToGrid w:val="0"/>
          <w:color w:val="auto"/>
          <w:kern w:val="0"/>
          <w:highlight w:val="none"/>
        </w:rPr>
        <w:t>评价预测因子</w:t>
      </w:r>
      <w:r>
        <w:rPr>
          <w:rFonts w:hint="eastAsia" w:ascii="Times New Roman" w:hAnsi="Times New Roman" w:eastAsia="宋体" w:cs="Times New Roman"/>
          <w:snapToGrid w:val="0"/>
          <w:color w:val="auto"/>
          <w:kern w:val="0"/>
          <w:highlight w:val="none"/>
        </w:rPr>
        <w:t>为</w:t>
      </w:r>
      <w:r>
        <w:rPr>
          <w:rFonts w:ascii="Times New Roman" w:hAnsi="Times New Roman" w:eastAsia="宋体" w:cs="Times New Roman"/>
          <w:snapToGrid w:val="0"/>
          <w:color w:val="auto"/>
          <w:kern w:val="0"/>
          <w:highlight w:val="none"/>
        </w:rPr>
        <w:t>SO</w:t>
      </w:r>
      <w:r>
        <w:rPr>
          <w:rFonts w:ascii="Times New Roman" w:hAnsi="Times New Roman" w:eastAsia="宋体" w:cs="Times New Roman"/>
          <w:snapToGrid w:val="0"/>
          <w:color w:val="auto"/>
          <w:kern w:val="0"/>
          <w:highlight w:val="none"/>
          <w:vertAlign w:val="subscript"/>
        </w:rPr>
        <w:t>2</w:t>
      </w:r>
      <w:r>
        <w:rPr>
          <w:rFonts w:ascii="Times New Roman" w:hAnsi="Times New Roman" w:eastAsia="宋体" w:cs="Times New Roman"/>
          <w:snapToGrid w:val="0"/>
          <w:color w:val="auto"/>
          <w:kern w:val="0"/>
          <w:highlight w:val="none"/>
        </w:rPr>
        <w:t>、NO</w:t>
      </w:r>
      <w:r>
        <w:rPr>
          <w:rFonts w:ascii="Times New Roman" w:hAnsi="Times New Roman" w:eastAsia="宋体" w:cs="Times New Roman"/>
          <w:snapToGrid w:val="0"/>
          <w:color w:val="auto"/>
          <w:kern w:val="0"/>
          <w:highlight w:val="none"/>
          <w:vertAlign w:val="subscript"/>
        </w:rPr>
        <w:t>2</w:t>
      </w:r>
      <w:r>
        <w:rPr>
          <w:rFonts w:ascii="Times New Roman" w:hAnsi="Times New Roman" w:eastAsia="宋体" w:cs="Times New Roman"/>
          <w:snapToGrid w:val="0"/>
          <w:color w:val="auto"/>
          <w:kern w:val="0"/>
          <w:highlight w:val="none"/>
        </w:rPr>
        <w:t>、PM</w:t>
      </w:r>
      <w:r>
        <w:rPr>
          <w:rFonts w:ascii="Times New Roman" w:hAnsi="Times New Roman" w:eastAsia="宋体" w:cs="Times New Roman"/>
          <w:snapToGrid w:val="0"/>
          <w:color w:val="auto"/>
          <w:kern w:val="0"/>
          <w:highlight w:val="none"/>
          <w:vertAlign w:val="subscript"/>
        </w:rPr>
        <w:t>10</w:t>
      </w:r>
      <w:r>
        <w:rPr>
          <w:rFonts w:ascii="Times New Roman" w:hAnsi="Times New Roman" w:eastAsia="宋体" w:cs="Times New Roman"/>
          <w:snapToGrid w:val="0"/>
          <w:color w:val="auto"/>
          <w:kern w:val="0"/>
          <w:highlight w:val="none"/>
        </w:rPr>
        <w:t>、PM</w:t>
      </w:r>
      <w:r>
        <w:rPr>
          <w:rFonts w:hint="eastAsia" w:ascii="Times New Roman" w:hAnsi="Times New Roman" w:eastAsia="宋体" w:cs="Times New Roman"/>
          <w:snapToGrid w:val="0"/>
          <w:color w:val="auto"/>
          <w:kern w:val="0"/>
          <w:highlight w:val="none"/>
          <w:vertAlign w:val="subscript"/>
          <w:lang w:val="en-US" w:eastAsia="zh-CN"/>
        </w:rPr>
        <w:t>2.5</w:t>
      </w:r>
      <w:r>
        <w:rPr>
          <w:rFonts w:ascii="Times New Roman" w:hAnsi="Times New Roman" w:eastAsia="宋体" w:cs="Times New Roman"/>
          <w:snapToGrid w:val="0"/>
          <w:color w:val="auto"/>
          <w:kern w:val="0"/>
          <w:highlight w:val="none"/>
        </w:rPr>
        <w:t>、NMHC、硫酸</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NH</w:t>
      </w:r>
      <w:r>
        <w:rPr>
          <w:rFonts w:hint="eastAsia" w:ascii="Times New Roman" w:hAnsi="Times New Roman" w:eastAsia="宋体" w:cs="Times New Roman"/>
          <w:snapToGrid w:val="0"/>
          <w:color w:val="auto"/>
          <w:kern w:val="0"/>
          <w:highlight w:val="none"/>
          <w:vertAlign w:val="subscript"/>
          <w:lang w:val="en-US" w:eastAsia="zh-CN"/>
        </w:rPr>
        <w:t>3</w:t>
      </w:r>
      <w:r>
        <w:rPr>
          <w:rFonts w:hint="eastAsia" w:ascii="Times New Roman" w:hAnsi="Times New Roman" w:eastAsia="宋体" w:cs="Times New Roman"/>
          <w:snapToGrid w:val="0"/>
          <w:color w:val="auto"/>
          <w:kern w:val="0"/>
          <w:highlight w:val="none"/>
          <w:lang w:val="en-US" w:eastAsia="zh-CN"/>
        </w:rPr>
        <w:t>、H</w:t>
      </w:r>
      <w:r>
        <w:rPr>
          <w:rFonts w:hint="eastAsia" w:ascii="Times New Roman" w:hAnsi="Times New Roman" w:eastAsia="宋体" w:cs="Times New Roman"/>
          <w:snapToGrid w:val="0"/>
          <w:color w:val="auto"/>
          <w:kern w:val="0"/>
          <w:highlight w:val="none"/>
          <w:vertAlign w:val="subscript"/>
          <w:lang w:val="en-US" w:eastAsia="zh-CN"/>
        </w:rPr>
        <w:t>2</w:t>
      </w:r>
      <w:r>
        <w:rPr>
          <w:rFonts w:hint="eastAsia" w:ascii="Times New Roman" w:hAnsi="Times New Roman" w:eastAsia="宋体" w:cs="Times New Roman"/>
          <w:snapToGrid w:val="0"/>
          <w:color w:val="auto"/>
          <w:kern w:val="0"/>
          <w:highlight w:val="none"/>
          <w:lang w:val="en-US" w:eastAsia="zh-CN"/>
        </w:rPr>
        <w:t>S</w:t>
      </w:r>
      <w:r>
        <w:rPr>
          <w:rFonts w:hint="eastAsia" w:ascii="Times New Roman" w:hAnsi="Times New Roman" w:eastAsia="宋体" w:cs="Times New Roman"/>
          <w:snapToGrid w:val="0"/>
          <w:color w:val="auto"/>
          <w:kern w:val="0"/>
          <w:highlight w:val="none"/>
        </w:rPr>
        <w:t>，非正常工况</w:t>
      </w:r>
      <w:r>
        <w:rPr>
          <w:rFonts w:ascii="Times New Roman" w:hAnsi="Times New Roman" w:eastAsia="宋体" w:cs="Times New Roman"/>
          <w:snapToGrid w:val="0"/>
          <w:color w:val="auto"/>
          <w:kern w:val="0"/>
          <w:highlight w:val="none"/>
        </w:rPr>
        <w:t>评价预测因子</w:t>
      </w:r>
      <w:r>
        <w:rPr>
          <w:rFonts w:hint="eastAsia" w:ascii="Times New Roman" w:hAnsi="Times New Roman" w:eastAsia="宋体" w:cs="Times New Roman"/>
          <w:snapToGrid w:val="0"/>
          <w:color w:val="auto"/>
          <w:kern w:val="0"/>
          <w:highlight w:val="none"/>
        </w:rPr>
        <w:t>为</w:t>
      </w:r>
      <w:r>
        <w:rPr>
          <w:rFonts w:hint="eastAsia" w:ascii="Times New Roman" w:hAnsi="Times New Roman" w:eastAsia="宋体" w:cs="Times New Roman"/>
          <w:snapToGrid w:val="0"/>
          <w:color w:val="auto"/>
          <w:kern w:val="0"/>
          <w:highlight w:val="none"/>
          <w:lang w:val="en-US" w:eastAsia="zh-CN"/>
        </w:rPr>
        <w:t>NH</w:t>
      </w:r>
      <w:r>
        <w:rPr>
          <w:rFonts w:hint="eastAsia" w:ascii="Times New Roman" w:hAnsi="Times New Roman" w:eastAsia="宋体" w:cs="Times New Roman"/>
          <w:snapToGrid w:val="0"/>
          <w:color w:val="auto"/>
          <w:kern w:val="0"/>
          <w:highlight w:val="none"/>
          <w:vertAlign w:val="subscript"/>
          <w:lang w:val="en-US" w:eastAsia="zh-CN"/>
        </w:rPr>
        <w:t>3</w:t>
      </w:r>
      <w:r>
        <w:rPr>
          <w:rFonts w:hint="eastAsia" w:ascii="Times New Roman" w:hAnsi="Times New Roman" w:eastAsia="宋体" w:cs="Times New Roman"/>
          <w:snapToGrid w:val="0"/>
          <w:color w:val="auto"/>
          <w:kern w:val="0"/>
          <w:highlight w:val="none"/>
          <w:lang w:val="en-US" w:eastAsia="zh-CN"/>
        </w:rPr>
        <w:t>和H</w:t>
      </w:r>
      <w:r>
        <w:rPr>
          <w:rFonts w:hint="eastAsia" w:ascii="Times New Roman" w:hAnsi="Times New Roman" w:eastAsia="宋体" w:cs="Times New Roman"/>
          <w:snapToGrid w:val="0"/>
          <w:color w:val="auto"/>
          <w:kern w:val="0"/>
          <w:highlight w:val="none"/>
          <w:vertAlign w:val="subscript"/>
          <w:lang w:val="en-US" w:eastAsia="zh-CN"/>
        </w:rPr>
        <w:t>2</w:t>
      </w:r>
      <w:r>
        <w:rPr>
          <w:rFonts w:hint="eastAsia" w:ascii="Times New Roman" w:hAnsi="Times New Roman" w:eastAsia="宋体" w:cs="Times New Roman"/>
          <w:snapToGrid w:val="0"/>
          <w:color w:val="auto"/>
          <w:kern w:val="0"/>
          <w:highlight w:val="none"/>
          <w:lang w:val="en-US" w:eastAsia="zh-CN"/>
        </w:rPr>
        <w:t>S</w:t>
      </w:r>
      <w:r>
        <w:rPr>
          <w:rFonts w:hint="eastAsia" w:ascii="Times New Roman" w:hAnsi="Times New Roman" w:eastAsia="宋体" w:cs="Times New Roman"/>
          <w:snapToGrid w:val="0"/>
          <w:color w:val="auto"/>
          <w:kern w:val="0"/>
          <w:highlight w:val="none"/>
        </w:rPr>
        <w:t>。</w:t>
      </w:r>
    </w:p>
    <w:p w14:paraId="69B1E45C">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（3）评价标准</w:t>
      </w:r>
    </w:p>
    <w:p w14:paraId="1E9C16A2">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rPr>
        <w:t>PM</w:t>
      </w:r>
      <w:r>
        <w:rPr>
          <w:rFonts w:hint="eastAsia" w:ascii="Times New Roman" w:hAnsi="Times New Roman" w:eastAsia="宋体" w:cs="Times New Roman"/>
          <w:snapToGrid w:val="0"/>
          <w:color w:val="auto"/>
          <w:kern w:val="0"/>
          <w:sz w:val="24"/>
          <w:highlight w:val="none"/>
          <w:vertAlign w:val="subscript"/>
        </w:rPr>
        <w:t>2.5</w:t>
      </w:r>
      <w:r>
        <w:rPr>
          <w:rFonts w:hint="eastAsia" w:ascii="Times New Roman" w:hAnsi="Times New Roman" w:eastAsia="宋体" w:cs="Times New Roman"/>
          <w:snapToGrid w:val="0"/>
          <w:color w:val="auto"/>
          <w:kern w:val="0"/>
          <w:sz w:val="24"/>
          <w:highlight w:val="none"/>
        </w:rPr>
        <w:t>、PM</w:t>
      </w:r>
      <w:r>
        <w:rPr>
          <w:rFonts w:hint="eastAsia" w:ascii="Times New Roman" w:hAnsi="Times New Roman" w:eastAsia="宋体" w:cs="Times New Roman"/>
          <w:snapToGrid w:val="0"/>
          <w:color w:val="auto"/>
          <w:kern w:val="0"/>
          <w:sz w:val="24"/>
          <w:highlight w:val="none"/>
          <w:vertAlign w:val="subscript"/>
        </w:rPr>
        <w:t>10</w:t>
      </w:r>
      <w:r>
        <w:rPr>
          <w:rFonts w:hint="eastAsia" w:ascii="Times New Roman" w:hAnsi="Times New Roman" w:eastAsia="宋体" w:cs="Times New Roman"/>
          <w:snapToGrid w:val="0"/>
          <w:color w:val="auto"/>
          <w:kern w:val="0"/>
          <w:sz w:val="24"/>
          <w:highlight w:val="none"/>
        </w:rPr>
        <w:t>、SO</w:t>
      </w:r>
      <w:r>
        <w:rPr>
          <w:rFonts w:hint="eastAsia" w:ascii="Times New Roman" w:hAnsi="Times New Roman" w:eastAsia="宋体" w:cs="Times New Roman"/>
          <w:snapToGrid w:val="0"/>
          <w:color w:val="auto"/>
          <w:kern w:val="0"/>
          <w:sz w:val="24"/>
          <w:highlight w:val="none"/>
          <w:vertAlign w:val="subscript"/>
        </w:rPr>
        <w:t>2</w:t>
      </w:r>
      <w:r>
        <w:rPr>
          <w:rFonts w:hint="eastAsia" w:ascii="Times New Roman" w:hAnsi="Times New Roman" w:eastAsia="宋体" w:cs="Times New Roman"/>
          <w:snapToGrid w:val="0"/>
          <w:color w:val="auto"/>
          <w:kern w:val="0"/>
          <w:sz w:val="24"/>
          <w:highlight w:val="none"/>
        </w:rPr>
        <w:t>、NO</w:t>
      </w:r>
      <w:r>
        <w:rPr>
          <w:rFonts w:hint="eastAsia" w:ascii="Times New Roman" w:hAnsi="Times New Roman" w:eastAsia="宋体" w:cs="Times New Roman"/>
          <w:snapToGrid w:val="0"/>
          <w:color w:val="auto"/>
          <w:kern w:val="0"/>
          <w:sz w:val="24"/>
          <w:highlight w:val="none"/>
          <w:vertAlign w:val="subscript"/>
          <w:lang w:val="en-US" w:eastAsia="zh-CN"/>
        </w:rPr>
        <w:t>2</w:t>
      </w:r>
      <w:r>
        <w:rPr>
          <w:rFonts w:hint="eastAsia" w:ascii="Times New Roman" w:hAnsi="Times New Roman" w:eastAsia="宋体" w:cs="Times New Roman"/>
          <w:snapToGrid w:val="0"/>
          <w:color w:val="auto"/>
          <w:kern w:val="0"/>
          <w:sz w:val="24"/>
          <w:highlight w:val="none"/>
        </w:rPr>
        <w:t>执行</w:t>
      </w:r>
      <w:r>
        <w:rPr>
          <w:rFonts w:ascii="Times New Roman" w:hAnsi="Times New Roman" w:eastAsia="宋体" w:cs="Times New Roman"/>
          <w:snapToGrid w:val="0"/>
          <w:color w:val="auto"/>
          <w:kern w:val="0"/>
          <w:sz w:val="24"/>
          <w:highlight w:val="none"/>
        </w:rPr>
        <w:t>《环境空气质量标准》（</w:t>
      </w:r>
      <w:r>
        <w:rPr>
          <w:rFonts w:hint="eastAsia" w:ascii="Times New Roman" w:hAnsi="Times New Roman" w:eastAsia="宋体" w:cs="Times New Roman"/>
          <w:snapToGrid w:val="0"/>
          <w:color w:val="auto"/>
          <w:kern w:val="0"/>
          <w:sz w:val="24"/>
          <w:highlight w:val="none"/>
          <w:lang w:eastAsia="zh-CN"/>
        </w:rPr>
        <w:t>GB 3095</w:t>
      </w:r>
      <w:r>
        <w:rPr>
          <w:rFonts w:ascii="Times New Roman" w:hAnsi="Times New Roman" w:eastAsia="宋体" w:cs="Times New Roman"/>
          <w:snapToGrid w:val="0"/>
          <w:color w:val="auto"/>
          <w:kern w:val="0"/>
          <w:sz w:val="24"/>
          <w:highlight w:val="none"/>
        </w:rPr>
        <w:t>-2026）</w:t>
      </w:r>
      <w:r>
        <w:rPr>
          <w:rFonts w:hint="eastAsia" w:ascii="Times New Roman" w:hAnsi="Times New Roman" w:eastAsia="宋体" w:cs="Times New Roman"/>
          <w:snapToGrid w:val="0"/>
          <w:color w:val="auto"/>
          <w:kern w:val="0"/>
          <w:sz w:val="24"/>
          <w:highlight w:val="none"/>
          <w:lang w:val="en-US" w:eastAsia="zh-CN"/>
        </w:rPr>
        <w:t>表1中</w:t>
      </w:r>
      <w:r>
        <w:rPr>
          <w:rFonts w:ascii="Times New Roman" w:hAnsi="Times New Roman" w:eastAsia="宋体" w:cs="Times New Roman"/>
          <w:snapToGrid w:val="0"/>
          <w:color w:val="auto"/>
          <w:kern w:val="0"/>
          <w:sz w:val="24"/>
          <w:highlight w:val="none"/>
        </w:rPr>
        <w:t>过渡阶段二级浓度限值</w:t>
      </w:r>
      <w:r>
        <w:rPr>
          <w:rFonts w:hint="eastAsia" w:ascii="Times New Roman" w:hAnsi="Times New Roman" w:eastAsia="宋体" w:cs="Times New Roman"/>
          <w:snapToGrid w:val="0"/>
          <w:color w:val="auto"/>
          <w:kern w:val="0"/>
          <w:sz w:val="24"/>
          <w:highlight w:val="none"/>
        </w:rPr>
        <w:t>；</w:t>
      </w:r>
      <w:r>
        <w:rPr>
          <w:rFonts w:ascii="Times New Roman" w:hAnsi="Times New Roman" w:eastAsia="宋体" w:cs="Times New Roman"/>
          <w:snapToGrid w:val="0"/>
          <w:color w:val="auto"/>
          <w:kern w:val="0"/>
          <w:highlight w:val="none"/>
        </w:rPr>
        <w:t>NMHC</w:t>
      </w:r>
      <w:r>
        <w:rPr>
          <w:rFonts w:hint="eastAsia" w:ascii="Times New Roman" w:hAnsi="Times New Roman" w:eastAsia="宋体" w:cs="Times New Roman"/>
          <w:snapToGrid w:val="0"/>
          <w:color w:val="auto"/>
          <w:kern w:val="0"/>
          <w:sz w:val="24"/>
          <w:highlight w:val="none"/>
        </w:rPr>
        <w:t>执行《大气污染物综合排放标准详解》中推荐值</w:t>
      </w:r>
      <w:r>
        <w:rPr>
          <w:rFonts w:hint="eastAsia" w:ascii="Times New Roman" w:hAnsi="Times New Roman" w:eastAsia="宋体" w:cs="Times New Roman"/>
          <w:snapToGrid w:val="0"/>
          <w:color w:val="auto"/>
          <w:kern w:val="0"/>
          <w:sz w:val="24"/>
          <w:highlight w:val="none"/>
          <w:lang w:eastAsia="zh-CN"/>
        </w:rPr>
        <w:t>；</w:t>
      </w:r>
      <w:r>
        <w:rPr>
          <w:rFonts w:hint="eastAsia" w:ascii="Times New Roman" w:hAnsi="Times New Roman" w:eastAsia="宋体" w:cs="Times New Roman"/>
          <w:snapToGrid w:val="0"/>
          <w:color w:val="auto"/>
          <w:kern w:val="0"/>
          <w:highlight w:val="none"/>
          <w:lang w:val="en-US" w:eastAsia="zh-CN"/>
        </w:rPr>
        <w:t>NH</w:t>
      </w:r>
      <w:r>
        <w:rPr>
          <w:rFonts w:hint="eastAsia" w:ascii="Times New Roman" w:hAnsi="Times New Roman" w:eastAsia="宋体" w:cs="Times New Roman"/>
          <w:snapToGrid w:val="0"/>
          <w:color w:val="auto"/>
          <w:kern w:val="0"/>
          <w:highlight w:val="none"/>
          <w:vertAlign w:val="subscript"/>
          <w:lang w:val="en-US" w:eastAsia="zh-CN"/>
        </w:rPr>
        <w:t>3</w:t>
      </w:r>
      <w:r>
        <w:rPr>
          <w:rFonts w:hint="eastAsia" w:ascii="Times New Roman" w:hAnsi="Times New Roman" w:eastAsia="宋体" w:cs="Times New Roman"/>
          <w:snapToGrid w:val="0"/>
          <w:color w:val="auto"/>
          <w:kern w:val="0"/>
          <w:highlight w:val="none"/>
          <w:lang w:val="en-US" w:eastAsia="zh-CN"/>
        </w:rPr>
        <w:t>、H</w:t>
      </w:r>
      <w:r>
        <w:rPr>
          <w:rFonts w:hint="eastAsia" w:ascii="Times New Roman" w:hAnsi="Times New Roman" w:eastAsia="宋体" w:cs="Times New Roman"/>
          <w:snapToGrid w:val="0"/>
          <w:color w:val="auto"/>
          <w:kern w:val="0"/>
          <w:highlight w:val="none"/>
          <w:vertAlign w:val="subscript"/>
          <w:lang w:val="en-US" w:eastAsia="zh-CN"/>
        </w:rPr>
        <w:t>2</w:t>
      </w:r>
      <w:r>
        <w:rPr>
          <w:rFonts w:hint="eastAsia" w:ascii="Times New Roman" w:hAnsi="Times New Roman" w:eastAsia="宋体" w:cs="Times New Roman"/>
          <w:snapToGrid w:val="0"/>
          <w:color w:val="auto"/>
          <w:kern w:val="0"/>
          <w:highlight w:val="none"/>
          <w:lang w:val="en-US" w:eastAsia="zh-CN"/>
        </w:rPr>
        <w:t>S</w:t>
      </w:r>
      <w:r>
        <w:rPr>
          <w:rFonts w:hint="eastAsia" w:ascii="Times New Roman" w:hAnsi="Times New Roman" w:eastAsia="宋体" w:cs="Times New Roman"/>
          <w:snapToGrid w:val="0"/>
          <w:color w:val="auto"/>
          <w:kern w:val="0"/>
          <w:sz w:val="24"/>
          <w:highlight w:val="none"/>
        </w:rPr>
        <w:t>、硫酸执行《环境影响评价技术导则 大气环境》（</w:t>
      </w:r>
      <w:r>
        <w:rPr>
          <w:rFonts w:hint="eastAsia" w:ascii="Times New Roman" w:hAnsi="Times New Roman" w:eastAsia="宋体" w:cs="Times New Roman"/>
          <w:snapToGrid w:val="0"/>
          <w:color w:val="auto"/>
          <w:kern w:val="0"/>
          <w:sz w:val="24"/>
          <w:highlight w:val="none"/>
          <w:lang w:eastAsia="zh-CN"/>
        </w:rPr>
        <w:t>HJ 2</w:t>
      </w:r>
      <w:r>
        <w:rPr>
          <w:rFonts w:hint="eastAsia" w:ascii="Times New Roman" w:hAnsi="Times New Roman" w:eastAsia="宋体" w:cs="Times New Roman"/>
          <w:snapToGrid w:val="0"/>
          <w:color w:val="auto"/>
          <w:kern w:val="0"/>
          <w:sz w:val="24"/>
          <w:highlight w:val="none"/>
        </w:rPr>
        <w:t>.2-2018）附录D</w:t>
      </w:r>
      <w:r>
        <w:rPr>
          <w:rFonts w:hint="eastAsia" w:ascii="Times New Roman" w:hAnsi="Times New Roman" w:eastAsia="宋体" w:cs="Times New Roman"/>
          <w:color w:val="auto"/>
          <w:kern w:val="0"/>
          <w:sz w:val="24"/>
          <w:highlight w:val="none"/>
          <w:lang w:val="en-US" w:eastAsia="zh-CN"/>
        </w:rPr>
        <w:t>其他污染物空气质量浓度参考限值。</w:t>
      </w:r>
    </w:p>
    <w:p w14:paraId="45C51C80">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4</w:t>
      </w:r>
      <w:r>
        <w:rPr>
          <w:rFonts w:hint="eastAsia" w:ascii="Times New Roman" w:hAnsi="Times New Roman" w:eastAsia="宋体" w:cs="Times New Roman"/>
          <w:snapToGrid w:val="0"/>
          <w:color w:val="auto"/>
          <w:kern w:val="0"/>
          <w:highlight w:val="none"/>
        </w:rPr>
        <w:t>）预测范围</w:t>
      </w:r>
    </w:p>
    <w:p w14:paraId="230ACF98">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本次评价综合考虑评价等级、区域自然环境条件、环境敏感因素、主导风向、人群密集程度等，确定预测范围为</w:t>
      </w:r>
      <w:r>
        <w:rPr>
          <w:rFonts w:hint="eastAsia"/>
          <w:color w:val="auto"/>
          <w:highlight w:val="none"/>
        </w:rPr>
        <w:t>以项目厂址为中心区域，自厂界外延</w:t>
      </w:r>
      <w:r>
        <w:rPr>
          <w:rFonts w:hint="eastAsia" w:ascii="Times New Roman" w:hAnsi="Times New Roman" w:eastAsia="宋体" w:cs="Times New Roman"/>
          <w:snapToGrid w:val="0"/>
          <w:color w:val="auto"/>
          <w:kern w:val="0"/>
          <w:highlight w:val="none"/>
        </w:rPr>
        <w:t>5k</w:t>
      </w:r>
      <w:r>
        <w:rPr>
          <w:rFonts w:ascii="Times New Roman" w:hAnsi="Times New Roman" w:eastAsia="宋体" w:cs="Times New Roman"/>
          <w:snapToGrid w:val="0"/>
          <w:color w:val="auto"/>
          <w:kern w:val="0"/>
          <w:highlight w:val="none"/>
        </w:rPr>
        <w:t>m×</w:t>
      </w:r>
      <w:r>
        <w:rPr>
          <w:rFonts w:hint="eastAsia" w:ascii="Times New Roman" w:hAnsi="Times New Roman" w:eastAsia="宋体" w:cs="Times New Roman"/>
          <w:snapToGrid w:val="0"/>
          <w:color w:val="auto"/>
          <w:kern w:val="0"/>
          <w:highlight w:val="none"/>
        </w:rPr>
        <w:t>5k</w:t>
      </w:r>
      <w:r>
        <w:rPr>
          <w:rFonts w:ascii="Times New Roman" w:hAnsi="Times New Roman" w:eastAsia="宋体" w:cs="Times New Roman"/>
          <w:snapToGrid w:val="0"/>
          <w:color w:val="auto"/>
          <w:kern w:val="0"/>
          <w:highlight w:val="none"/>
        </w:rPr>
        <w:t>m的矩形范围内，计算污染源对评价范围的影响时，取东西向为X坐标轴、南北向为Y坐标轴。</w:t>
      </w:r>
    </w:p>
    <w:p w14:paraId="5A5124F8">
      <w:pPr>
        <w:pStyle w:val="504"/>
        <w:adjustRightInd w:val="0"/>
        <w:snapToGrid w:val="0"/>
        <w:spacing w:line="360" w:lineRule="auto"/>
        <w:ind w:firstLine="480"/>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5</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筛选气象</w:t>
      </w:r>
      <w:r>
        <w:rPr>
          <w:rFonts w:hint="default" w:ascii="Times New Roman" w:hAnsi="Times New Roman" w:eastAsia="宋体" w:cs="Times New Roman"/>
          <w:snapToGrid w:val="0"/>
          <w:color w:val="auto"/>
          <w:kern w:val="0"/>
          <w:highlight w:val="none"/>
          <w:lang w:val="en-US" w:eastAsia="zh-CN"/>
        </w:rPr>
        <w:t>数据</w:t>
      </w:r>
    </w:p>
    <w:p w14:paraId="33753C6C">
      <w:pPr>
        <w:pStyle w:val="504"/>
        <w:adjustRightInd w:val="0"/>
        <w:snapToGrid w:val="0"/>
        <w:spacing w:line="360" w:lineRule="auto"/>
        <w:ind w:firstLine="480"/>
        <w:rPr>
          <w:rFonts w:hint="default" w:ascii="Times New Roman" w:hAnsi="Times New Roman" w:eastAsia="宋体" w:cs="Times New Roman"/>
          <w:snapToGrid w:val="0"/>
          <w:color w:val="auto"/>
          <w:kern w:val="0"/>
          <w:highlight w:val="none"/>
          <w:lang w:eastAsia="zh-CN"/>
        </w:rPr>
      </w:pPr>
      <w:r>
        <w:rPr>
          <w:rFonts w:hint="default" w:ascii="Times New Roman" w:hAnsi="Times New Roman" w:eastAsia="宋体" w:cs="Times New Roman"/>
          <w:snapToGrid w:val="0"/>
          <w:color w:val="auto"/>
          <w:kern w:val="0"/>
          <w:highlight w:val="none"/>
          <w:lang w:eastAsia="zh-CN"/>
        </w:rPr>
        <w:t>筛选气象</w:t>
      </w:r>
      <w:r>
        <w:rPr>
          <w:rFonts w:hint="eastAsia" w:ascii="Times New Roman" w:hAnsi="Times New Roman" w:eastAsia="宋体" w:cs="Times New Roman"/>
          <w:snapToGrid w:val="0"/>
          <w:color w:val="auto"/>
          <w:kern w:val="0"/>
          <w:highlight w:val="none"/>
          <w:lang w:eastAsia="zh-CN"/>
        </w:rPr>
        <w:t>参数</w:t>
      </w:r>
      <w:r>
        <w:rPr>
          <w:rFonts w:hint="default" w:ascii="Times New Roman" w:hAnsi="Times New Roman" w:eastAsia="宋体" w:cs="Times New Roman"/>
          <w:snapToGrid w:val="0"/>
          <w:color w:val="auto"/>
          <w:kern w:val="0"/>
          <w:highlight w:val="none"/>
          <w:lang w:eastAsia="zh-CN"/>
        </w:rPr>
        <w:t>见</w:t>
      </w:r>
      <w:r>
        <w:rPr>
          <w:rFonts w:hint="eastAsia" w:ascii="Times New Roman" w:hAnsi="Times New Roman" w:eastAsia="宋体" w:cs="Times New Roman"/>
          <w:snapToGrid w:val="0"/>
          <w:color w:val="auto"/>
          <w:kern w:val="0"/>
          <w:highlight w:val="none"/>
          <w:lang w:eastAsia="zh-CN"/>
        </w:rPr>
        <w:t>表</w:t>
      </w:r>
      <w:r>
        <w:rPr>
          <w:rFonts w:hint="eastAsia" w:ascii="Times New Roman" w:hAnsi="Times New Roman" w:eastAsia="宋体" w:cs="Times New Roman"/>
          <w:snapToGrid w:val="0"/>
          <w:color w:val="auto"/>
          <w:kern w:val="0"/>
          <w:highlight w:val="none"/>
          <w:lang w:val="en-US" w:eastAsia="zh-CN"/>
        </w:rPr>
        <w:t>6.</w:t>
      </w:r>
      <w:r>
        <w:rPr>
          <w:rFonts w:hint="eastAsia" w:ascii="Times New Roman" w:hAnsi="Times New Roman" w:eastAsia="宋体" w:cs="Times New Roman"/>
          <w:snapToGrid w:val="0"/>
          <w:color w:val="auto"/>
          <w:kern w:val="0"/>
          <w:highlight w:val="none"/>
          <w:lang w:eastAsia="zh-CN"/>
        </w:rPr>
        <w:t>2-</w:t>
      </w:r>
      <w:r>
        <w:rPr>
          <w:rFonts w:hint="eastAsia" w:ascii="Times New Roman" w:hAnsi="Times New Roman" w:eastAsia="宋体" w:cs="Times New Roman"/>
          <w:snapToGrid w:val="0"/>
          <w:color w:val="auto"/>
          <w:kern w:val="0"/>
          <w:highlight w:val="none"/>
          <w:lang w:val="en-US" w:eastAsia="zh-CN"/>
        </w:rPr>
        <w:t>9</w:t>
      </w:r>
      <w:r>
        <w:rPr>
          <w:rFonts w:hint="default" w:ascii="Times New Roman" w:hAnsi="Times New Roman" w:eastAsia="宋体" w:cs="Times New Roman"/>
          <w:snapToGrid w:val="0"/>
          <w:color w:val="auto"/>
          <w:kern w:val="0"/>
          <w:highlight w:val="none"/>
          <w:lang w:eastAsia="zh-CN"/>
        </w:rPr>
        <w:t>。</w:t>
      </w:r>
    </w:p>
    <w:p w14:paraId="279C6028">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lang w:val="en-US" w:eastAsia="en-US"/>
        </w:rPr>
      </w:pPr>
      <w:r>
        <w:rPr>
          <w:rFonts w:hint="eastAsia" w:ascii="Times New Roman" w:hAnsi="Times New Roman" w:cs="Times New Roman"/>
          <w:snapToGrid w:val="0"/>
          <w:color w:val="auto"/>
          <w:kern w:val="0"/>
          <w:sz w:val="21"/>
          <w:szCs w:val="21"/>
          <w:highlight w:val="none"/>
          <w:lang w:val="en-US" w:eastAsia="en-US"/>
        </w:rPr>
        <w:t>表</w:t>
      </w:r>
      <w:r>
        <w:rPr>
          <w:rFonts w:hint="eastAsia" w:ascii="Times New Roman" w:hAnsi="Times New Roman" w:cs="Times New Roman"/>
          <w:snapToGrid w:val="0"/>
          <w:color w:val="auto"/>
          <w:kern w:val="0"/>
          <w:sz w:val="21"/>
          <w:szCs w:val="21"/>
          <w:highlight w:val="none"/>
          <w:lang w:val="en-US" w:eastAsia="zh-CN"/>
        </w:rPr>
        <w:t xml:space="preserve">6.2-9 </w:t>
      </w:r>
      <w:r>
        <w:rPr>
          <w:rFonts w:hint="eastAsia" w:ascii="Times New Roman" w:hAnsi="Times New Roman" w:cs="Times New Roman"/>
          <w:snapToGrid w:val="0"/>
          <w:color w:val="auto"/>
          <w:kern w:val="0"/>
          <w:sz w:val="21"/>
          <w:szCs w:val="21"/>
          <w:highlight w:val="none"/>
          <w:lang w:val="en-US" w:eastAsia="en-US"/>
        </w:rPr>
        <w:t>筛选气象参数一览表</w:t>
      </w:r>
    </w:p>
    <w:tbl>
      <w:tblPr>
        <w:tblStyle w:val="77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694"/>
        <w:gridCol w:w="1427"/>
        <w:gridCol w:w="564"/>
        <w:gridCol w:w="1131"/>
        <w:gridCol w:w="1552"/>
        <w:gridCol w:w="1454"/>
        <w:gridCol w:w="1454"/>
      </w:tblGrid>
      <w:tr w14:paraId="12706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2687" w:type="dxa"/>
            <w:gridSpan w:val="3"/>
            <w:tcBorders>
              <w:tl2br w:val="nil"/>
              <w:tr2bl w:val="nil"/>
            </w:tcBorders>
            <w:vAlign w:val="center"/>
          </w:tcPr>
          <w:p w14:paraId="014939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AERMET通用地表类型</w:t>
            </w:r>
          </w:p>
        </w:tc>
        <w:tc>
          <w:tcPr>
            <w:tcW w:w="2687" w:type="dxa"/>
            <w:gridSpan w:val="2"/>
            <w:tcBorders>
              <w:tl2br w:val="nil"/>
              <w:tr2bl w:val="nil"/>
            </w:tcBorders>
            <w:vAlign w:val="center"/>
          </w:tcPr>
          <w:p w14:paraId="4FB1ED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AERMET通用地表湿度</w:t>
            </w:r>
          </w:p>
        </w:tc>
        <w:tc>
          <w:tcPr>
            <w:tcW w:w="1456" w:type="dxa"/>
            <w:tcBorders>
              <w:tl2br w:val="nil"/>
              <w:tr2bl w:val="nil"/>
            </w:tcBorders>
            <w:vAlign w:val="center"/>
          </w:tcPr>
          <w:p w14:paraId="14F24A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扇区</w:t>
            </w:r>
          </w:p>
        </w:tc>
        <w:tc>
          <w:tcPr>
            <w:tcW w:w="1456" w:type="dxa"/>
            <w:tcBorders>
              <w:tl2br w:val="nil"/>
              <w:tr2bl w:val="nil"/>
            </w:tcBorders>
            <w:vAlign w:val="center"/>
          </w:tcPr>
          <w:p w14:paraId="7BF266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时段</w:t>
            </w:r>
          </w:p>
        </w:tc>
      </w:tr>
      <w:tr w14:paraId="4A223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2687" w:type="dxa"/>
            <w:gridSpan w:val="3"/>
            <w:tcBorders>
              <w:tl2br w:val="nil"/>
              <w:tr2bl w:val="nil"/>
            </w:tcBorders>
            <w:vAlign w:val="center"/>
          </w:tcPr>
          <w:p w14:paraId="2241C8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沙漠化荒地</w:t>
            </w:r>
          </w:p>
        </w:tc>
        <w:tc>
          <w:tcPr>
            <w:tcW w:w="2687" w:type="dxa"/>
            <w:gridSpan w:val="2"/>
            <w:tcBorders>
              <w:tl2br w:val="nil"/>
              <w:tr2bl w:val="nil"/>
            </w:tcBorders>
            <w:vAlign w:val="center"/>
          </w:tcPr>
          <w:p w14:paraId="4C8380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干燥气候</w:t>
            </w:r>
          </w:p>
        </w:tc>
        <w:tc>
          <w:tcPr>
            <w:tcW w:w="1456" w:type="dxa"/>
            <w:tcBorders>
              <w:tl2br w:val="nil"/>
              <w:tr2bl w:val="nil"/>
            </w:tcBorders>
            <w:vAlign w:val="center"/>
          </w:tcPr>
          <w:p w14:paraId="7D534C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0-360</w:t>
            </w:r>
          </w:p>
        </w:tc>
        <w:tc>
          <w:tcPr>
            <w:tcW w:w="1456" w:type="dxa"/>
            <w:tcBorders>
              <w:tl2br w:val="nil"/>
              <w:tr2bl w:val="nil"/>
            </w:tcBorders>
            <w:vAlign w:val="center"/>
          </w:tcPr>
          <w:p w14:paraId="789640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202</w:t>
            </w:r>
            <w:r>
              <w:rPr>
                <w:rFonts w:hint="eastAsia" w:ascii="Times New Roman" w:hAnsi="Times New Roman" w:eastAsia="宋体" w:cs="Times New Roman"/>
                <w:snapToGrid w:val="0"/>
                <w:color w:val="auto"/>
                <w:kern w:val="0"/>
                <w:sz w:val="21"/>
                <w:szCs w:val="21"/>
                <w:highlight w:val="none"/>
                <w:lang w:val="en-US" w:eastAsia="zh-CN" w:bidi="ar-SA"/>
              </w:rPr>
              <w:t>4</w:t>
            </w:r>
            <w:r>
              <w:rPr>
                <w:rFonts w:ascii="Times New Roman" w:hAnsi="Times New Roman" w:eastAsia="宋体" w:cs="Times New Roman"/>
                <w:snapToGrid w:val="0"/>
                <w:color w:val="auto"/>
                <w:kern w:val="0"/>
                <w:sz w:val="21"/>
                <w:szCs w:val="21"/>
                <w:highlight w:val="none"/>
                <w:lang w:val="en-US" w:eastAsia="zh-CN" w:bidi="ar-SA"/>
              </w:rPr>
              <w:t>全年</w:t>
            </w:r>
          </w:p>
        </w:tc>
      </w:tr>
      <w:tr w14:paraId="54399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694" w:type="dxa"/>
            <w:tcBorders>
              <w:tl2br w:val="nil"/>
              <w:tr2bl w:val="nil"/>
            </w:tcBorders>
            <w:vAlign w:val="center"/>
          </w:tcPr>
          <w:p w14:paraId="5761AC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序号</w:t>
            </w:r>
          </w:p>
        </w:tc>
        <w:tc>
          <w:tcPr>
            <w:tcW w:w="1428" w:type="dxa"/>
            <w:tcBorders>
              <w:tl2br w:val="nil"/>
              <w:tr2bl w:val="nil"/>
            </w:tcBorders>
            <w:vAlign w:val="center"/>
          </w:tcPr>
          <w:p w14:paraId="11179B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扇区</w:t>
            </w:r>
          </w:p>
        </w:tc>
        <w:tc>
          <w:tcPr>
            <w:tcW w:w="1698" w:type="dxa"/>
            <w:gridSpan w:val="2"/>
            <w:tcBorders>
              <w:tl2br w:val="nil"/>
              <w:tr2bl w:val="nil"/>
            </w:tcBorders>
            <w:vAlign w:val="center"/>
          </w:tcPr>
          <w:p w14:paraId="0DE898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时段</w:t>
            </w:r>
          </w:p>
        </w:tc>
        <w:tc>
          <w:tcPr>
            <w:tcW w:w="1554" w:type="dxa"/>
            <w:tcBorders>
              <w:tl2br w:val="nil"/>
              <w:tr2bl w:val="nil"/>
            </w:tcBorders>
            <w:vAlign w:val="center"/>
          </w:tcPr>
          <w:p w14:paraId="169112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正午反照率</w:t>
            </w:r>
          </w:p>
        </w:tc>
        <w:tc>
          <w:tcPr>
            <w:tcW w:w="1456" w:type="dxa"/>
            <w:tcBorders>
              <w:tl2br w:val="nil"/>
              <w:tr2bl w:val="nil"/>
            </w:tcBorders>
            <w:vAlign w:val="center"/>
          </w:tcPr>
          <w:p w14:paraId="02AE31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BOWEN</w:t>
            </w:r>
          </w:p>
        </w:tc>
        <w:tc>
          <w:tcPr>
            <w:tcW w:w="1456" w:type="dxa"/>
            <w:tcBorders>
              <w:tl2br w:val="nil"/>
              <w:tr2bl w:val="nil"/>
            </w:tcBorders>
            <w:vAlign w:val="center"/>
          </w:tcPr>
          <w:p w14:paraId="5A6159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粗糙度</w:t>
            </w:r>
          </w:p>
        </w:tc>
      </w:tr>
      <w:tr w14:paraId="1A11F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694" w:type="dxa"/>
            <w:tcBorders>
              <w:tl2br w:val="nil"/>
              <w:tr2bl w:val="nil"/>
            </w:tcBorders>
            <w:vAlign w:val="center"/>
          </w:tcPr>
          <w:p w14:paraId="1CE584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1</w:t>
            </w:r>
          </w:p>
        </w:tc>
        <w:tc>
          <w:tcPr>
            <w:tcW w:w="1428" w:type="dxa"/>
            <w:tcBorders>
              <w:tl2br w:val="nil"/>
              <w:tr2bl w:val="nil"/>
            </w:tcBorders>
            <w:vAlign w:val="center"/>
          </w:tcPr>
          <w:p w14:paraId="4B7C16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0-360</w:t>
            </w:r>
          </w:p>
        </w:tc>
        <w:tc>
          <w:tcPr>
            <w:tcW w:w="1698" w:type="dxa"/>
            <w:gridSpan w:val="2"/>
            <w:tcBorders>
              <w:tl2br w:val="nil"/>
              <w:tr2bl w:val="nil"/>
            </w:tcBorders>
            <w:vAlign w:val="center"/>
          </w:tcPr>
          <w:p w14:paraId="164788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全年</w:t>
            </w:r>
          </w:p>
        </w:tc>
        <w:tc>
          <w:tcPr>
            <w:tcW w:w="1554" w:type="dxa"/>
            <w:tcBorders>
              <w:tl2br w:val="nil"/>
              <w:tr2bl w:val="nil"/>
            </w:tcBorders>
            <w:vAlign w:val="center"/>
          </w:tcPr>
          <w:p w14:paraId="5D2BCB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0.3275</w:t>
            </w:r>
          </w:p>
        </w:tc>
        <w:tc>
          <w:tcPr>
            <w:tcW w:w="1456" w:type="dxa"/>
            <w:tcBorders>
              <w:tl2br w:val="nil"/>
              <w:tr2bl w:val="nil"/>
            </w:tcBorders>
            <w:vAlign w:val="center"/>
          </w:tcPr>
          <w:p w14:paraId="5E83C1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7.75</w:t>
            </w:r>
          </w:p>
        </w:tc>
        <w:tc>
          <w:tcPr>
            <w:tcW w:w="1456" w:type="dxa"/>
            <w:tcBorders>
              <w:tl2br w:val="nil"/>
              <w:tr2bl w:val="nil"/>
            </w:tcBorders>
            <w:vAlign w:val="center"/>
          </w:tcPr>
          <w:p w14:paraId="09D928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bidi="ar-SA"/>
              </w:rPr>
              <w:t>0.2625</w:t>
            </w:r>
          </w:p>
        </w:tc>
      </w:tr>
    </w:tbl>
    <w:p w14:paraId="7A2C1D7C">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6</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预测方案</w:t>
      </w:r>
    </w:p>
    <w:p w14:paraId="306CD12F">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以项目所有废气处理装置为本项目点源预测内容。根据《环境影响评价技术导则 大气环境》（HJ 2.2-2018）中8.7.2.1项目正常排放条件下，预测环境空气保护目标和网格点主要污染物的短期浓度和长期浓度贡献值，评价其最大浓度占标率。8.7.2.2项目正常排放条件下，预测评价叠加大气环境质量</w:t>
      </w:r>
      <w:r>
        <w:rPr>
          <w:rFonts w:hint="eastAsia" w:ascii="Times New Roman" w:hAnsi="Times New Roman" w:eastAsia="宋体" w:cs="Times New Roman"/>
          <w:snapToGrid w:val="0"/>
          <w:color w:val="auto"/>
          <w:kern w:val="0"/>
          <w:highlight w:val="none"/>
        </w:rPr>
        <w:t>现状</w:t>
      </w:r>
      <w:r>
        <w:rPr>
          <w:rFonts w:ascii="Times New Roman" w:hAnsi="Times New Roman" w:eastAsia="宋体" w:cs="Times New Roman"/>
          <w:snapToGrid w:val="0"/>
          <w:color w:val="auto"/>
          <w:kern w:val="0"/>
          <w:highlight w:val="none"/>
        </w:rPr>
        <w:t>的目标浓度后，环境空气保护目标和网格点主要污染物保证率日平均质量浓度和年平均质量浓度的达标情况；对于项目排放的主要污染物仅有短期浓度限值的，评价其短期浓度叠加后的达标情况。如果是改建、扩建项目，还应同步减去“以新带老”污染源的环境影响。如果有区域达标规划之外的削减项目，应同步减去削减源的环境影响。如果评价范围内还有其他排放同类污染物的在建、拟建项目，还应叠加在建、拟建项目的环境影响。8.7.2.4项目非正常排放条件下，预测环境空气保护目标和网格点主要污染物的1h最大浓度贡献值，评价其最大浓度占标率。</w:t>
      </w:r>
    </w:p>
    <w:p w14:paraId="366AF58D">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对照《环境影响评价技术导则 大气环境》（HJ2.2-2018）表5预测内容和评价要求</w:t>
      </w:r>
      <w:r>
        <w:rPr>
          <w:rFonts w:hint="eastAsia"/>
          <w:color w:val="auto"/>
          <w:highlight w:val="none"/>
        </w:rPr>
        <w:t>，</w:t>
      </w:r>
      <w:r>
        <w:rPr>
          <w:rFonts w:ascii="Times New Roman" w:hAnsi="Times New Roman" w:eastAsia="宋体" w:cs="Times New Roman"/>
          <w:snapToGrid w:val="0"/>
          <w:color w:val="auto"/>
          <w:kern w:val="0"/>
          <w:highlight w:val="none"/>
        </w:rPr>
        <w:t>预测方案见表</w:t>
      </w:r>
      <w:r>
        <w:rPr>
          <w:rFonts w:hint="eastAsia" w:ascii="Times New Roman" w:hAnsi="Times New Roman" w:eastAsia="宋体" w:cs="Times New Roman"/>
          <w:snapToGrid w:val="0"/>
          <w:color w:val="auto"/>
          <w:kern w:val="0"/>
          <w:highlight w:val="none"/>
        </w:rPr>
        <w:t>6.2-</w:t>
      </w:r>
      <w:r>
        <w:rPr>
          <w:rFonts w:hint="eastAsia" w:ascii="Times New Roman" w:hAnsi="Times New Roman" w:eastAsia="宋体" w:cs="Times New Roman"/>
          <w:snapToGrid w:val="0"/>
          <w:color w:val="auto"/>
          <w:kern w:val="0"/>
          <w:highlight w:val="none"/>
          <w:lang w:val="en-US" w:eastAsia="zh-CN"/>
        </w:rPr>
        <w:t>10</w:t>
      </w:r>
      <w:r>
        <w:rPr>
          <w:rFonts w:ascii="Times New Roman" w:hAnsi="Times New Roman" w:eastAsia="宋体" w:cs="Times New Roman"/>
          <w:snapToGrid w:val="0"/>
          <w:color w:val="auto"/>
          <w:kern w:val="0"/>
          <w:highlight w:val="none"/>
        </w:rPr>
        <w:t>。</w:t>
      </w:r>
    </w:p>
    <w:p w14:paraId="02E10A67">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w:t>
      </w:r>
      <w:r>
        <w:rPr>
          <w:rFonts w:hint="eastAsia" w:ascii="Times New Roman" w:hAnsi="Times New Roman" w:cs="Times New Roman"/>
          <w:snapToGrid w:val="0"/>
          <w:color w:val="auto"/>
          <w:kern w:val="0"/>
          <w:sz w:val="21"/>
          <w:szCs w:val="21"/>
          <w:highlight w:val="none"/>
          <w:lang w:val="en-US" w:eastAsia="zh-CN"/>
        </w:rPr>
        <w:t>10</w:t>
      </w:r>
      <w:r>
        <w:rPr>
          <w:rFonts w:hint="eastAsia" w:ascii="Times New Roman" w:hAnsi="Times New Roman" w:cs="Times New Roman"/>
          <w:snapToGrid w:val="0"/>
          <w:color w:val="auto"/>
          <w:kern w:val="0"/>
          <w:sz w:val="21"/>
          <w:szCs w:val="21"/>
          <w:highlight w:val="none"/>
        </w:rPr>
        <w:t xml:space="preserve"> 本项目大气环境影响评价方案</w:t>
      </w:r>
    </w:p>
    <w:tbl>
      <w:tblPr>
        <w:tblStyle w:val="776"/>
        <w:tblW w:w="4995"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28" w:type="dxa"/>
          <w:bottom w:w="0" w:type="dxa"/>
          <w:right w:w="28" w:type="dxa"/>
        </w:tblCellMar>
      </w:tblPr>
      <w:tblGrid>
        <w:gridCol w:w="738"/>
        <w:gridCol w:w="2512"/>
        <w:gridCol w:w="1019"/>
        <w:gridCol w:w="1158"/>
        <w:gridCol w:w="2841"/>
      </w:tblGrid>
      <w:tr w14:paraId="50561F0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28" w:type="dxa"/>
            <w:bottom w:w="0" w:type="dxa"/>
            <w:right w:w="28" w:type="dxa"/>
          </w:tblCellMar>
        </w:tblPrEx>
        <w:trPr>
          <w:trHeight w:val="340" w:hRule="atLeast"/>
        </w:trPr>
        <w:tc>
          <w:tcPr>
            <w:tcW w:w="446" w:type="pct"/>
            <w:tcBorders>
              <w:tl2br w:val="nil"/>
              <w:tr2bl w:val="nil"/>
            </w:tcBorders>
            <w:vAlign w:val="center"/>
          </w:tcPr>
          <w:p w14:paraId="58B8E2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评价对象</w:t>
            </w:r>
          </w:p>
        </w:tc>
        <w:tc>
          <w:tcPr>
            <w:tcW w:w="1518" w:type="pct"/>
            <w:tcBorders>
              <w:tl2br w:val="nil"/>
              <w:tr2bl w:val="nil"/>
            </w:tcBorders>
            <w:vAlign w:val="center"/>
          </w:tcPr>
          <w:p w14:paraId="6B1C93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污染源</w:t>
            </w:r>
          </w:p>
        </w:tc>
        <w:tc>
          <w:tcPr>
            <w:tcW w:w="616" w:type="pct"/>
            <w:tcBorders>
              <w:tl2br w:val="nil"/>
              <w:tr2bl w:val="nil"/>
            </w:tcBorders>
            <w:vAlign w:val="center"/>
          </w:tcPr>
          <w:p w14:paraId="16DEA8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排放</w:t>
            </w:r>
          </w:p>
          <w:p w14:paraId="76E9F2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形式</w:t>
            </w:r>
          </w:p>
        </w:tc>
        <w:tc>
          <w:tcPr>
            <w:tcW w:w="700" w:type="pct"/>
            <w:tcBorders>
              <w:tl2br w:val="nil"/>
              <w:tr2bl w:val="nil"/>
            </w:tcBorders>
            <w:vAlign w:val="center"/>
          </w:tcPr>
          <w:p w14:paraId="41EA8D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预测内容</w:t>
            </w:r>
          </w:p>
        </w:tc>
        <w:tc>
          <w:tcPr>
            <w:tcW w:w="1717" w:type="pct"/>
            <w:tcBorders>
              <w:tl2br w:val="nil"/>
              <w:tr2bl w:val="nil"/>
            </w:tcBorders>
            <w:vAlign w:val="center"/>
          </w:tcPr>
          <w:p w14:paraId="6F3E58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评价内容</w:t>
            </w:r>
          </w:p>
        </w:tc>
      </w:tr>
      <w:tr w14:paraId="19CE441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28" w:type="dxa"/>
            <w:bottom w:w="0" w:type="dxa"/>
            <w:right w:w="28" w:type="dxa"/>
          </w:tblCellMar>
        </w:tblPrEx>
        <w:trPr>
          <w:trHeight w:val="340" w:hRule="atLeast"/>
        </w:trPr>
        <w:tc>
          <w:tcPr>
            <w:tcW w:w="446" w:type="pct"/>
            <w:vMerge w:val="restart"/>
            <w:tcBorders>
              <w:tl2br w:val="nil"/>
              <w:tr2bl w:val="nil"/>
            </w:tcBorders>
            <w:vAlign w:val="center"/>
          </w:tcPr>
          <w:p w14:paraId="1F3AFD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不达标区评价项目</w:t>
            </w:r>
          </w:p>
        </w:tc>
        <w:tc>
          <w:tcPr>
            <w:tcW w:w="1518" w:type="pct"/>
            <w:tcBorders>
              <w:tl2br w:val="nil"/>
              <w:tr2bl w:val="nil"/>
            </w:tcBorders>
            <w:vAlign w:val="center"/>
          </w:tcPr>
          <w:p w14:paraId="429164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新增污染源</w:t>
            </w:r>
          </w:p>
        </w:tc>
        <w:tc>
          <w:tcPr>
            <w:tcW w:w="616" w:type="pct"/>
            <w:tcBorders>
              <w:tl2br w:val="nil"/>
              <w:tr2bl w:val="nil"/>
            </w:tcBorders>
            <w:vAlign w:val="center"/>
          </w:tcPr>
          <w:p w14:paraId="02815F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正常</w:t>
            </w:r>
          </w:p>
          <w:p w14:paraId="1EE7BD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排放</w:t>
            </w:r>
          </w:p>
        </w:tc>
        <w:tc>
          <w:tcPr>
            <w:tcW w:w="700" w:type="pct"/>
            <w:tcBorders>
              <w:tl2br w:val="nil"/>
              <w:tr2bl w:val="nil"/>
            </w:tcBorders>
            <w:vAlign w:val="center"/>
          </w:tcPr>
          <w:p w14:paraId="0EFE7B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短期浓度</w:t>
            </w:r>
          </w:p>
          <w:p w14:paraId="4828FC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长期浓度</w:t>
            </w:r>
          </w:p>
        </w:tc>
        <w:tc>
          <w:tcPr>
            <w:tcW w:w="1717" w:type="pct"/>
            <w:tcBorders>
              <w:tl2br w:val="nil"/>
              <w:tr2bl w:val="nil"/>
            </w:tcBorders>
            <w:vAlign w:val="center"/>
          </w:tcPr>
          <w:p w14:paraId="52C84E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最大浓度占标率</w:t>
            </w:r>
          </w:p>
        </w:tc>
      </w:tr>
      <w:tr w14:paraId="55FB11D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28" w:type="dxa"/>
            <w:bottom w:w="0" w:type="dxa"/>
            <w:right w:w="28" w:type="dxa"/>
          </w:tblCellMar>
        </w:tblPrEx>
        <w:trPr>
          <w:trHeight w:val="340" w:hRule="atLeast"/>
        </w:trPr>
        <w:tc>
          <w:tcPr>
            <w:tcW w:w="446" w:type="pct"/>
            <w:vMerge w:val="continue"/>
            <w:tcBorders>
              <w:tl2br w:val="nil"/>
              <w:tr2bl w:val="nil"/>
            </w:tcBorders>
            <w:vAlign w:val="center"/>
          </w:tcPr>
          <w:p w14:paraId="4A8467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p>
        </w:tc>
        <w:tc>
          <w:tcPr>
            <w:tcW w:w="1518" w:type="pct"/>
            <w:tcBorders>
              <w:tl2br w:val="nil"/>
              <w:tr2bl w:val="nil"/>
            </w:tcBorders>
            <w:vAlign w:val="center"/>
          </w:tcPr>
          <w:p w14:paraId="4F0622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新增污染源</w:t>
            </w:r>
          </w:p>
          <w:p w14:paraId="1DA658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w:t>
            </w:r>
          </w:p>
          <w:p w14:paraId="68B94F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hint="eastAsia" w:ascii="Times New Roman" w:hAnsi="Times New Roman" w:eastAsia="宋体" w:cs="Times New Roman"/>
                <w:snapToGrid w:val="0"/>
                <w:color w:val="auto"/>
                <w:kern w:val="0"/>
                <w:sz w:val="21"/>
                <w:szCs w:val="21"/>
                <w:highlight w:val="none"/>
                <w:shd w:val="clear" w:color="auto" w:fill="auto"/>
                <w:lang w:val="en-US" w:eastAsia="zh-CN" w:bidi="ar-SA"/>
              </w:rPr>
              <w:t>“</w:t>
            </w:r>
            <w:r>
              <w:rPr>
                <w:rFonts w:ascii="Times New Roman" w:hAnsi="Times New Roman" w:eastAsia="宋体" w:cs="Times New Roman"/>
                <w:snapToGrid w:val="0"/>
                <w:color w:val="auto"/>
                <w:kern w:val="0"/>
                <w:sz w:val="21"/>
                <w:szCs w:val="21"/>
                <w:highlight w:val="none"/>
                <w:shd w:val="clear" w:color="auto" w:fill="auto"/>
                <w:lang w:val="en-US" w:eastAsia="zh-CN" w:bidi="ar-SA"/>
              </w:rPr>
              <w:t>以新带老</w:t>
            </w:r>
            <w:r>
              <w:rPr>
                <w:rFonts w:hint="eastAsia" w:ascii="Times New Roman" w:hAnsi="Times New Roman" w:eastAsia="宋体" w:cs="Times New Roman"/>
                <w:snapToGrid w:val="0"/>
                <w:color w:val="auto"/>
                <w:kern w:val="0"/>
                <w:sz w:val="21"/>
                <w:szCs w:val="21"/>
                <w:highlight w:val="none"/>
                <w:shd w:val="clear" w:color="auto" w:fill="auto"/>
                <w:lang w:val="en-US" w:eastAsia="zh-CN" w:bidi="ar-SA"/>
              </w:rPr>
              <w:t>”</w:t>
            </w:r>
            <w:r>
              <w:rPr>
                <w:rFonts w:ascii="Times New Roman" w:hAnsi="Times New Roman" w:eastAsia="宋体" w:cs="Times New Roman"/>
                <w:snapToGrid w:val="0"/>
                <w:color w:val="auto"/>
                <w:kern w:val="0"/>
                <w:sz w:val="21"/>
                <w:szCs w:val="21"/>
                <w:highlight w:val="none"/>
                <w:shd w:val="clear" w:color="auto" w:fill="auto"/>
                <w:lang w:val="en-US" w:eastAsia="zh-CN" w:bidi="ar-SA"/>
              </w:rPr>
              <w:t>污染源（如有）</w:t>
            </w:r>
          </w:p>
          <w:p w14:paraId="1B1F38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w:t>
            </w:r>
          </w:p>
          <w:p w14:paraId="6E4403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区域削减污染源（如有）</w:t>
            </w:r>
          </w:p>
          <w:p w14:paraId="4FF313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w:t>
            </w:r>
          </w:p>
          <w:p w14:paraId="7ED4F7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其他在建、拟建污染源</w:t>
            </w:r>
          </w:p>
          <w:p w14:paraId="1F832E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（如有）</w:t>
            </w:r>
          </w:p>
        </w:tc>
        <w:tc>
          <w:tcPr>
            <w:tcW w:w="616" w:type="pct"/>
            <w:tcBorders>
              <w:tl2br w:val="nil"/>
              <w:tr2bl w:val="nil"/>
            </w:tcBorders>
            <w:vAlign w:val="center"/>
          </w:tcPr>
          <w:p w14:paraId="35B96C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正常</w:t>
            </w:r>
          </w:p>
          <w:p w14:paraId="73868C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排放</w:t>
            </w:r>
          </w:p>
        </w:tc>
        <w:tc>
          <w:tcPr>
            <w:tcW w:w="700" w:type="pct"/>
            <w:tcBorders>
              <w:tl2br w:val="nil"/>
              <w:tr2bl w:val="nil"/>
            </w:tcBorders>
            <w:vAlign w:val="center"/>
          </w:tcPr>
          <w:p w14:paraId="2FC800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短期浓度</w:t>
            </w:r>
          </w:p>
          <w:p w14:paraId="552F64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长期浓度</w:t>
            </w:r>
          </w:p>
        </w:tc>
        <w:tc>
          <w:tcPr>
            <w:tcW w:w="1717" w:type="pct"/>
            <w:tcBorders>
              <w:tl2br w:val="nil"/>
              <w:tr2bl w:val="nil"/>
            </w:tcBorders>
            <w:vAlign w:val="center"/>
          </w:tcPr>
          <w:p w14:paraId="742468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达标因子：叠加环境质量现状浓度后的保证率日平均质量浓度和年平均质量浓度的占标率，或短期浓度的达标情况</w:t>
            </w:r>
          </w:p>
          <w:p w14:paraId="4A0864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超标因子：叠加达标规划目标浓度后的保证率日平均质量浓度和年平均质量浓度的占标率；或者短期浓度的达标情况；评价年平均质量浓度变化率</w:t>
            </w:r>
          </w:p>
        </w:tc>
      </w:tr>
      <w:tr w14:paraId="0AA05E0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28" w:type="dxa"/>
            <w:bottom w:w="0" w:type="dxa"/>
            <w:right w:w="28" w:type="dxa"/>
          </w:tblCellMar>
        </w:tblPrEx>
        <w:trPr>
          <w:trHeight w:val="340" w:hRule="atLeast"/>
        </w:trPr>
        <w:tc>
          <w:tcPr>
            <w:tcW w:w="446" w:type="pct"/>
            <w:vMerge w:val="continue"/>
            <w:tcBorders>
              <w:tl2br w:val="nil"/>
              <w:tr2bl w:val="nil"/>
            </w:tcBorders>
            <w:vAlign w:val="center"/>
          </w:tcPr>
          <w:p w14:paraId="6DBBB1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p>
        </w:tc>
        <w:tc>
          <w:tcPr>
            <w:tcW w:w="1518" w:type="pct"/>
            <w:tcBorders>
              <w:tl2br w:val="nil"/>
              <w:tr2bl w:val="nil"/>
            </w:tcBorders>
            <w:vAlign w:val="center"/>
          </w:tcPr>
          <w:p w14:paraId="371281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新增污染源</w:t>
            </w:r>
          </w:p>
        </w:tc>
        <w:tc>
          <w:tcPr>
            <w:tcW w:w="616" w:type="pct"/>
            <w:tcBorders>
              <w:tl2br w:val="nil"/>
              <w:tr2bl w:val="nil"/>
            </w:tcBorders>
            <w:vAlign w:val="center"/>
          </w:tcPr>
          <w:p w14:paraId="4D1BB0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非正常排放</w:t>
            </w:r>
          </w:p>
        </w:tc>
        <w:tc>
          <w:tcPr>
            <w:tcW w:w="700" w:type="pct"/>
            <w:tcBorders>
              <w:tl2br w:val="nil"/>
              <w:tr2bl w:val="nil"/>
            </w:tcBorders>
            <w:vAlign w:val="center"/>
          </w:tcPr>
          <w:p w14:paraId="5CB6C6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1h平均质量</w:t>
            </w:r>
          </w:p>
          <w:p w14:paraId="4EA2D8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浓度</w:t>
            </w:r>
          </w:p>
        </w:tc>
        <w:tc>
          <w:tcPr>
            <w:tcW w:w="1717" w:type="pct"/>
            <w:tcBorders>
              <w:tl2br w:val="nil"/>
              <w:tr2bl w:val="nil"/>
            </w:tcBorders>
            <w:vAlign w:val="center"/>
          </w:tcPr>
          <w:p w14:paraId="3AF791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最大浓度占标率</w:t>
            </w:r>
          </w:p>
        </w:tc>
      </w:tr>
      <w:tr w14:paraId="13CFDB7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28" w:type="dxa"/>
            <w:bottom w:w="0" w:type="dxa"/>
            <w:right w:w="28" w:type="dxa"/>
          </w:tblCellMar>
        </w:tblPrEx>
        <w:trPr>
          <w:trHeight w:val="340" w:hRule="atLeast"/>
        </w:trPr>
        <w:tc>
          <w:tcPr>
            <w:tcW w:w="446" w:type="pct"/>
            <w:tcBorders>
              <w:tl2br w:val="nil"/>
              <w:tr2bl w:val="nil"/>
            </w:tcBorders>
            <w:vAlign w:val="center"/>
          </w:tcPr>
          <w:p w14:paraId="37A624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大气环境防护距离</w:t>
            </w:r>
          </w:p>
        </w:tc>
        <w:tc>
          <w:tcPr>
            <w:tcW w:w="1518" w:type="pct"/>
            <w:tcBorders>
              <w:tl2br w:val="nil"/>
              <w:tr2bl w:val="nil"/>
            </w:tcBorders>
            <w:vAlign w:val="center"/>
          </w:tcPr>
          <w:p w14:paraId="67895B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新增污染源</w:t>
            </w:r>
          </w:p>
          <w:p w14:paraId="0D1B21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w:t>
            </w:r>
          </w:p>
          <w:p w14:paraId="071D5F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hint="eastAsia" w:ascii="Times New Roman" w:hAnsi="Times New Roman" w:eastAsia="宋体" w:cs="Times New Roman"/>
                <w:snapToGrid w:val="0"/>
                <w:color w:val="auto"/>
                <w:kern w:val="0"/>
                <w:sz w:val="21"/>
                <w:szCs w:val="21"/>
                <w:highlight w:val="none"/>
                <w:shd w:val="clear" w:color="auto" w:fill="auto"/>
                <w:lang w:val="en-US" w:eastAsia="zh-CN" w:bidi="ar-SA"/>
              </w:rPr>
              <w:t>“</w:t>
            </w:r>
            <w:r>
              <w:rPr>
                <w:rFonts w:ascii="Times New Roman" w:hAnsi="Times New Roman" w:eastAsia="宋体" w:cs="Times New Roman"/>
                <w:snapToGrid w:val="0"/>
                <w:color w:val="auto"/>
                <w:kern w:val="0"/>
                <w:sz w:val="21"/>
                <w:szCs w:val="21"/>
                <w:highlight w:val="none"/>
                <w:shd w:val="clear" w:color="auto" w:fill="auto"/>
                <w:lang w:val="en-US" w:eastAsia="zh-CN" w:bidi="ar-SA"/>
              </w:rPr>
              <w:t>以新带老</w:t>
            </w:r>
            <w:r>
              <w:rPr>
                <w:rFonts w:hint="eastAsia" w:ascii="Times New Roman" w:hAnsi="Times New Roman" w:eastAsia="宋体" w:cs="Times New Roman"/>
                <w:snapToGrid w:val="0"/>
                <w:color w:val="auto"/>
                <w:kern w:val="0"/>
                <w:sz w:val="21"/>
                <w:szCs w:val="21"/>
                <w:highlight w:val="none"/>
                <w:shd w:val="clear" w:color="auto" w:fill="auto"/>
                <w:lang w:val="en-US" w:eastAsia="zh-CN" w:bidi="ar-SA"/>
              </w:rPr>
              <w:t>”</w:t>
            </w:r>
            <w:r>
              <w:rPr>
                <w:rFonts w:ascii="Times New Roman" w:hAnsi="Times New Roman" w:eastAsia="宋体" w:cs="Times New Roman"/>
                <w:snapToGrid w:val="0"/>
                <w:color w:val="auto"/>
                <w:kern w:val="0"/>
                <w:sz w:val="21"/>
                <w:szCs w:val="21"/>
                <w:highlight w:val="none"/>
                <w:shd w:val="clear" w:color="auto" w:fill="auto"/>
                <w:lang w:val="en-US" w:eastAsia="zh-CN" w:bidi="ar-SA"/>
              </w:rPr>
              <w:t>污染源（如有）</w:t>
            </w:r>
          </w:p>
          <w:p w14:paraId="5EF27E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w:t>
            </w:r>
          </w:p>
          <w:p w14:paraId="5EDAE5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项目全厂现有污染源</w:t>
            </w:r>
          </w:p>
        </w:tc>
        <w:tc>
          <w:tcPr>
            <w:tcW w:w="616" w:type="pct"/>
            <w:tcBorders>
              <w:tl2br w:val="nil"/>
              <w:tr2bl w:val="nil"/>
            </w:tcBorders>
            <w:vAlign w:val="center"/>
          </w:tcPr>
          <w:p w14:paraId="75ACBE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正常排放</w:t>
            </w:r>
          </w:p>
        </w:tc>
        <w:tc>
          <w:tcPr>
            <w:tcW w:w="700" w:type="pct"/>
            <w:tcBorders>
              <w:tl2br w:val="nil"/>
              <w:tr2bl w:val="nil"/>
            </w:tcBorders>
            <w:vAlign w:val="center"/>
          </w:tcPr>
          <w:p w14:paraId="30E58B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短期浓度</w:t>
            </w:r>
          </w:p>
        </w:tc>
        <w:tc>
          <w:tcPr>
            <w:tcW w:w="1717" w:type="pct"/>
            <w:tcBorders>
              <w:tl2br w:val="nil"/>
              <w:tr2bl w:val="nil"/>
            </w:tcBorders>
            <w:vAlign w:val="center"/>
          </w:tcPr>
          <w:p w14:paraId="7325C7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shd w:val="clear" w:color="auto" w:fill="auto"/>
                <w:lang w:val="en-US" w:eastAsia="zh-CN" w:bidi="ar-SA"/>
              </w:rPr>
            </w:pPr>
            <w:r>
              <w:rPr>
                <w:rFonts w:ascii="Times New Roman" w:hAnsi="Times New Roman" w:eastAsia="宋体" w:cs="Times New Roman"/>
                <w:snapToGrid w:val="0"/>
                <w:color w:val="auto"/>
                <w:kern w:val="0"/>
                <w:sz w:val="21"/>
                <w:szCs w:val="21"/>
                <w:highlight w:val="none"/>
                <w:shd w:val="clear" w:color="auto" w:fill="auto"/>
                <w:lang w:val="en-US" w:eastAsia="zh-CN" w:bidi="ar-SA"/>
              </w:rPr>
              <w:t>大气环境防护距离</w:t>
            </w:r>
          </w:p>
        </w:tc>
      </w:tr>
    </w:tbl>
    <w:p w14:paraId="625D544A">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hint="eastAsia" w:ascii="Times New Roman" w:hAnsi="Times New Roman" w:eastAsia="宋体" w:cs="Times New Roman"/>
          <w:snapToGrid w:val="0"/>
          <w:color w:val="auto"/>
          <w:kern w:val="0"/>
          <w:highlight w:val="none"/>
          <w:lang w:eastAsia="zh-CN"/>
        </w:rPr>
      </w:pP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7</w:t>
      </w:r>
      <w:r>
        <w:rPr>
          <w:rFonts w:hint="eastAsia" w:ascii="Times New Roman" w:hAnsi="Times New Roman" w:eastAsia="宋体" w:cs="Times New Roman"/>
          <w:snapToGrid w:val="0"/>
          <w:color w:val="auto"/>
          <w:kern w:val="0"/>
          <w:highlight w:val="none"/>
          <w:lang w:eastAsia="zh-CN"/>
        </w:rPr>
        <w:t>）预测内容</w:t>
      </w:r>
    </w:p>
    <w:p w14:paraId="1498C9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①项目正常排放条件下，预测环境空气保护目标和网格点主要污染物的短期浓度和长期浓度贡献值，评价其最大浓度占标率。</w:t>
      </w:r>
    </w:p>
    <w:p w14:paraId="4E88AF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②项目正常排放条件下，预测评价叠加环境空气质量现状浓度/大气环境质量限期达标规划的目标浓度后，环境空气保护目标和网格点主要污染物的保证率日平均质量浓度和年平均质量浓度的达标情况；对于项目排放的主要污染物仅有短期浓度限值的，评价其短期浓度叠加后的达标情况。如果是改建、扩建项目，还应同步减去</w:t>
      </w:r>
      <w:r>
        <w:rPr>
          <w:rFonts w:hint="eastAsia" w:eastAsia="宋体" w:cs="Times New Roman"/>
          <w:color w:val="auto"/>
          <w:kern w:val="0"/>
          <w:sz w:val="24"/>
          <w:szCs w:val="24"/>
          <w:highlight w:val="none"/>
          <w:lang w:eastAsia="zh-CN"/>
        </w:rPr>
        <w:t>“</w:t>
      </w:r>
      <w:r>
        <w:rPr>
          <w:rFonts w:ascii="Times New Roman" w:hAnsi="Times New Roman" w:eastAsia="宋体" w:cs="Times New Roman"/>
          <w:color w:val="auto"/>
          <w:kern w:val="0"/>
          <w:sz w:val="24"/>
          <w:szCs w:val="24"/>
          <w:highlight w:val="none"/>
        </w:rPr>
        <w:t>以新带老</w:t>
      </w:r>
      <w:r>
        <w:rPr>
          <w:rFonts w:hint="eastAsia" w:eastAsia="宋体" w:cs="Times New Roman"/>
          <w:color w:val="auto"/>
          <w:kern w:val="0"/>
          <w:sz w:val="24"/>
          <w:szCs w:val="24"/>
          <w:highlight w:val="none"/>
          <w:lang w:eastAsia="zh-CN"/>
        </w:rPr>
        <w:t>”</w:t>
      </w:r>
      <w:r>
        <w:rPr>
          <w:rFonts w:ascii="Times New Roman" w:hAnsi="Times New Roman" w:eastAsia="宋体" w:cs="Times New Roman"/>
          <w:color w:val="auto"/>
          <w:kern w:val="0"/>
          <w:sz w:val="24"/>
          <w:szCs w:val="24"/>
          <w:highlight w:val="none"/>
        </w:rPr>
        <w:t>污染源的环境影响。如果有区域削减项目，应同步减去削减源的环境影响。如果评价范围内还有其他排放同类污染物的在建、拟建项目，还应叠加在建、拟建项目的环境影响。</w:t>
      </w:r>
    </w:p>
    <w:p w14:paraId="0DED36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③对于无法获得达标规划目标浓度场或区域污染源清单的评价项目，需要评价区域环境质量的整体变化情况。</w:t>
      </w:r>
    </w:p>
    <w:p w14:paraId="037735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④项目非正常排放条件下，预测评价环境空气保护目标和网格点主要污染物的1h最大浓度贡献值及占标率。</w:t>
      </w:r>
    </w:p>
    <w:p w14:paraId="22AB1E22">
      <w:pPr>
        <w:pStyle w:val="170"/>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szCs w:val="24"/>
          <w:highlight w:val="none"/>
        </w:rPr>
        <w:t>⑤项目正常排放条件下，预测主要</w:t>
      </w:r>
      <w:r>
        <w:rPr>
          <w:rFonts w:hint="eastAsia" w:ascii="Times New Roman" w:hAnsi="Times New Roman" w:eastAsia="宋体" w:cs="Times New Roman"/>
          <w:color w:val="auto"/>
          <w:kern w:val="0"/>
          <w:sz w:val="24"/>
          <w:szCs w:val="24"/>
          <w:highlight w:val="none"/>
        </w:rPr>
        <w:t>污染物</w:t>
      </w:r>
      <w:r>
        <w:rPr>
          <w:rFonts w:ascii="Times New Roman" w:hAnsi="Times New Roman" w:eastAsia="宋体" w:cs="Times New Roman"/>
          <w:color w:val="auto"/>
          <w:kern w:val="0"/>
          <w:sz w:val="24"/>
          <w:szCs w:val="24"/>
          <w:highlight w:val="none"/>
        </w:rPr>
        <w:t>在厂界附近的短期浓度，计算大气环境防护距离。</w:t>
      </w:r>
    </w:p>
    <w:p w14:paraId="193FA04A">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a</w:t>
      </w:r>
      <w:r>
        <w:rPr>
          <w:rFonts w:ascii="Times New Roman" w:hAnsi="Times New Roman" w:eastAsia="宋体" w:cs="Times New Roman"/>
          <w:snapToGrid w:val="0"/>
          <w:color w:val="auto"/>
          <w:kern w:val="0"/>
          <w:sz w:val="24"/>
          <w:highlight w:val="none"/>
        </w:rPr>
        <w:t>网格点</w:t>
      </w:r>
    </w:p>
    <w:p w14:paraId="2947F9C3">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ascii="Times New Roman" w:hAnsi="Times New Roman" w:cs="Times New Roman"/>
          <w:snapToGrid w:val="0"/>
          <w:color w:val="auto"/>
          <w:kern w:val="0"/>
          <w:highlight w:val="none"/>
        </w:rPr>
        <w:t>预测网格点的布点方式采用导则中规定的直角坐标系网格法，坐标系覆盖所有预测范围，预测网格点设置方法见表</w:t>
      </w:r>
      <w:r>
        <w:rPr>
          <w:rFonts w:hint="eastAsia" w:ascii="Times New Roman" w:hAnsi="Times New Roman" w:cs="Times New Roman"/>
          <w:snapToGrid w:val="0"/>
          <w:color w:val="auto"/>
          <w:kern w:val="0"/>
          <w:highlight w:val="none"/>
        </w:rPr>
        <w:t>6.2-1</w:t>
      </w:r>
      <w:r>
        <w:rPr>
          <w:rFonts w:hint="eastAsia" w:ascii="Times New Roman" w:hAnsi="Times New Roman" w:cs="Times New Roman"/>
          <w:snapToGrid w:val="0"/>
          <w:color w:val="auto"/>
          <w:kern w:val="0"/>
          <w:highlight w:val="none"/>
          <w:lang w:val="en-US" w:eastAsia="zh-CN"/>
        </w:rPr>
        <w:t>1</w:t>
      </w:r>
      <w:r>
        <w:rPr>
          <w:rFonts w:ascii="Times New Roman" w:hAnsi="Times New Roman" w:cs="Times New Roman"/>
          <w:snapToGrid w:val="0"/>
          <w:color w:val="auto"/>
          <w:kern w:val="0"/>
          <w:highlight w:val="none"/>
        </w:rPr>
        <w:t>。</w:t>
      </w:r>
    </w:p>
    <w:p w14:paraId="1B2DC964">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6.2-1</w:t>
      </w:r>
      <w:r>
        <w:rPr>
          <w:rFonts w:hint="eastAsia" w:ascii="Times New Roman" w:hAnsi="Times New Roman" w:cs="Times New Roman"/>
          <w:snapToGrid w:val="0"/>
          <w:color w:val="auto"/>
          <w:kern w:val="0"/>
          <w:sz w:val="21"/>
          <w:szCs w:val="21"/>
          <w:highlight w:val="none"/>
          <w:lang w:val="en-US" w:eastAsia="zh-CN"/>
        </w:rPr>
        <w:t>1</w:t>
      </w:r>
      <w:r>
        <w:rPr>
          <w:rFonts w:hint="eastAsia" w:ascii="Times New Roman" w:hAnsi="Times New Roman" w:cs="Times New Roman"/>
          <w:snapToGrid w:val="0"/>
          <w:color w:val="auto"/>
          <w:kern w:val="0"/>
          <w:sz w:val="21"/>
          <w:szCs w:val="21"/>
          <w:highlight w:val="none"/>
        </w:rPr>
        <w:t xml:space="preserve"> 预测网格点设置方法</w:t>
      </w:r>
    </w:p>
    <w:tbl>
      <w:tblPr>
        <w:tblStyle w:val="5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5448"/>
      </w:tblGrid>
      <w:tr w14:paraId="78C17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2988" w:type="dxa"/>
            <w:tcBorders>
              <w:top w:val="single" w:color="auto" w:sz="4" w:space="0"/>
              <w:left w:val="single" w:color="auto" w:sz="4" w:space="0"/>
            </w:tcBorders>
            <w:shd w:val="clear" w:color="auto" w:fill="auto"/>
            <w:vAlign w:val="center"/>
          </w:tcPr>
          <w:p w14:paraId="12B95D23">
            <w:pPr>
              <w:pStyle w:val="753"/>
              <w:adjustRightInd w:val="0"/>
              <w:snapToGrid w:val="0"/>
              <w:rPr>
                <w:rFonts w:eastAsia="宋体"/>
                <w:bCs w:val="0"/>
                <w:snapToGrid w:val="0"/>
                <w:color w:val="auto"/>
                <w:kern w:val="0"/>
                <w:highlight w:val="none"/>
              </w:rPr>
            </w:pPr>
            <w:r>
              <w:rPr>
                <w:rFonts w:eastAsia="宋体"/>
                <w:bCs w:val="0"/>
                <w:snapToGrid w:val="0"/>
                <w:color w:val="auto"/>
                <w:kern w:val="0"/>
                <w:highlight w:val="none"/>
              </w:rPr>
              <w:t>预测网格法</w:t>
            </w:r>
          </w:p>
        </w:tc>
        <w:tc>
          <w:tcPr>
            <w:tcW w:w="5448" w:type="dxa"/>
            <w:tcBorders>
              <w:top w:val="single" w:color="auto" w:sz="4" w:space="0"/>
              <w:right w:val="single" w:color="auto" w:sz="4" w:space="0"/>
            </w:tcBorders>
            <w:shd w:val="clear" w:color="auto" w:fill="auto"/>
            <w:vAlign w:val="center"/>
          </w:tcPr>
          <w:p w14:paraId="22370D5E">
            <w:pPr>
              <w:pStyle w:val="753"/>
              <w:adjustRightInd w:val="0"/>
              <w:snapToGrid w:val="0"/>
              <w:rPr>
                <w:rFonts w:eastAsia="宋体"/>
                <w:bCs w:val="0"/>
                <w:snapToGrid w:val="0"/>
                <w:color w:val="auto"/>
                <w:kern w:val="0"/>
                <w:highlight w:val="none"/>
              </w:rPr>
            </w:pPr>
            <w:r>
              <w:rPr>
                <w:rFonts w:eastAsia="宋体"/>
                <w:bCs w:val="0"/>
                <w:snapToGrid w:val="0"/>
                <w:color w:val="auto"/>
                <w:kern w:val="0"/>
                <w:highlight w:val="none"/>
              </w:rPr>
              <w:t>直角坐标系法</w:t>
            </w:r>
          </w:p>
        </w:tc>
      </w:tr>
      <w:tr w14:paraId="4AF63E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8" w:type="dxa"/>
            <w:tcBorders>
              <w:left w:val="single" w:color="auto" w:sz="4" w:space="0"/>
            </w:tcBorders>
            <w:shd w:val="clear" w:color="auto" w:fill="auto"/>
            <w:vAlign w:val="center"/>
          </w:tcPr>
          <w:p w14:paraId="40C3CB57">
            <w:pPr>
              <w:pStyle w:val="753"/>
              <w:adjustRightInd w:val="0"/>
              <w:snapToGrid w:val="0"/>
              <w:rPr>
                <w:rFonts w:eastAsia="宋体"/>
                <w:bCs w:val="0"/>
                <w:snapToGrid w:val="0"/>
                <w:color w:val="auto"/>
                <w:kern w:val="0"/>
                <w:highlight w:val="none"/>
              </w:rPr>
            </w:pPr>
            <w:r>
              <w:rPr>
                <w:rFonts w:eastAsia="宋体"/>
                <w:bCs w:val="0"/>
                <w:snapToGrid w:val="0"/>
                <w:color w:val="auto"/>
                <w:kern w:val="0"/>
                <w:highlight w:val="none"/>
              </w:rPr>
              <w:t>布点原则</w:t>
            </w:r>
          </w:p>
        </w:tc>
        <w:tc>
          <w:tcPr>
            <w:tcW w:w="5448" w:type="dxa"/>
            <w:tcBorders>
              <w:right w:val="single" w:color="auto" w:sz="4" w:space="0"/>
            </w:tcBorders>
            <w:shd w:val="clear" w:color="auto" w:fill="auto"/>
            <w:vAlign w:val="center"/>
          </w:tcPr>
          <w:p w14:paraId="4A5F1187">
            <w:pPr>
              <w:pStyle w:val="753"/>
              <w:adjustRightInd w:val="0"/>
              <w:snapToGrid w:val="0"/>
              <w:rPr>
                <w:rFonts w:eastAsia="宋体"/>
                <w:bCs w:val="0"/>
                <w:snapToGrid w:val="0"/>
                <w:color w:val="auto"/>
                <w:kern w:val="0"/>
                <w:highlight w:val="none"/>
              </w:rPr>
            </w:pPr>
            <w:r>
              <w:rPr>
                <w:rFonts w:hint="eastAsia" w:eastAsia="宋体"/>
                <w:bCs w:val="0"/>
                <w:snapToGrid w:val="0"/>
                <w:color w:val="auto"/>
                <w:kern w:val="0"/>
                <w:highlight w:val="none"/>
              </w:rPr>
              <w:t>网格</w:t>
            </w:r>
            <w:r>
              <w:rPr>
                <w:rFonts w:eastAsia="宋体"/>
                <w:bCs w:val="0"/>
                <w:snapToGrid w:val="0"/>
                <w:color w:val="auto"/>
                <w:kern w:val="0"/>
                <w:highlight w:val="none"/>
              </w:rPr>
              <w:t>平均</w:t>
            </w:r>
            <w:r>
              <w:rPr>
                <w:rFonts w:hint="eastAsia" w:eastAsia="宋体"/>
                <w:bCs w:val="0"/>
                <w:snapToGrid w:val="0"/>
                <w:color w:val="auto"/>
                <w:kern w:val="0"/>
                <w:highlight w:val="none"/>
              </w:rPr>
              <w:t>分布</w:t>
            </w:r>
            <w:r>
              <w:rPr>
                <w:rFonts w:eastAsia="宋体"/>
                <w:bCs w:val="0"/>
                <w:snapToGrid w:val="0"/>
                <w:color w:val="auto"/>
                <w:kern w:val="0"/>
                <w:highlight w:val="none"/>
              </w:rPr>
              <w:t>法</w:t>
            </w:r>
          </w:p>
        </w:tc>
      </w:tr>
      <w:tr w14:paraId="44267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8" w:type="dxa"/>
            <w:tcBorders>
              <w:left w:val="single" w:color="auto" w:sz="4" w:space="0"/>
              <w:bottom w:val="single" w:color="auto" w:sz="4" w:space="0"/>
            </w:tcBorders>
            <w:shd w:val="clear" w:color="auto" w:fill="auto"/>
            <w:vAlign w:val="center"/>
          </w:tcPr>
          <w:p w14:paraId="7E621AC0">
            <w:pPr>
              <w:pStyle w:val="753"/>
              <w:adjustRightInd w:val="0"/>
              <w:snapToGrid w:val="0"/>
              <w:rPr>
                <w:rFonts w:eastAsia="宋体"/>
                <w:bCs w:val="0"/>
                <w:snapToGrid w:val="0"/>
                <w:color w:val="auto"/>
                <w:kern w:val="0"/>
                <w:highlight w:val="none"/>
              </w:rPr>
            </w:pPr>
            <w:r>
              <w:rPr>
                <w:rFonts w:eastAsia="宋体"/>
                <w:bCs w:val="0"/>
                <w:snapToGrid w:val="0"/>
                <w:color w:val="auto"/>
                <w:kern w:val="0"/>
                <w:highlight w:val="none"/>
              </w:rPr>
              <w:t>预测网格点网格距</w:t>
            </w:r>
          </w:p>
        </w:tc>
        <w:tc>
          <w:tcPr>
            <w:tcW w:w="5448" w:type="dxa"/>
            <w:tcBorders>
              <w:bottom w:val="single" w:color="auto" w:sz="4" w:space="0"/>
              <w:right w:val="single" w:color="auto" w:sz="4" w:space="0"/>
            </w:tcBorders>
            <w:shd w:val="clear" w:color="auto" w:fill="auto"/>
            <w:vAlign w:val="center"/>
          </w:tcPr>
          <w:p w14:paraId="562F742B">
            <w:pPr>
              <w:pStyle w:val="753"/>
              <w:adjustRightInd w:val="0"/>
              <w:snapToGrid w:val="0"/>
              <w:rPr>
                <w:rFonts w:eastAsia="宋体"/>
                <w:bCs w:val="0"/>
                <w:snapToGrid w:val="0"/>
                <w:color w:val="auto"/>
                <w:kern w:val="0"/>
                <w:highlight w:val="none"/>
              </w:rPr>
            </w:pPr>
            <w:r>
              <w:rPr>
                <w:rFonts w:hint="eastAsia" w:eastAsia="宋体"/>
                <w:bCs w:val="0"/>
                <w:snapToGrid w:val="0"/>
                <w:color w:val="auto"/>
                <w:kern w:val="0"/>
                <w:highlight w:val="none"/>
                <w:lang w:val="en-US" w:eastAsia="zh-CN"/>
              </w:rPr>
              <w:t>5</w:t>
            </w:r>
            <w:r>
              <w:rPr>
                <w:rFonts w:eastAsia="宋体"/>
                <w:bCs w:val="0"/>
                <w:snapToGrid w:val="0"/>
                <w:color w:val="auto"/>
                <w:kern w:val="0"/>
                <w:highlight w:val="none"/>
              </w:rPr>
              <w:t>0m</w:t>
            </w:r>
          </w:p>
        </w:tc>
      </w:tr>
    </w:tbl>
    <w:p w14:paraId="353C65FB">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hint="eastAsia" w:ascii="Times New Roman" w:hAnsi="Times New Roman" w:eastAsia="宋体" w:cs="Times New Roman"/>
          <w:snapToGrid w:val="0"/>
          <w:color w:val="auto"/>
          <w:kern w:val="0"/>
          <w:highlight w:val="none"/>
          <w:lang w:eastAsia="zh-CN"/>
        </w:rPr>
      </w:pPr>
      <w:r>
        <w:rPr>
          <w:rFonts w:hint="eastAsia" w:ascii="Times New Roman" w:hAnsi="Times New Roman" w:eastAsia="宋体" w:cs="Times New Roman"/>
          <w:snapToGrid w:val="0"/>
          <w:color w:val="auto"/>
          <w:kern w:val="0"/>
          <w:highlight w:val="none"/>
          <w:lang w:eastAsia="zh-CN"/>
        </w:rPr>
        <w:t>b敏感点</w:t>
      </w:r>
    </w:p>
    <w:p w14:paraId="062233CB">
      <w:pPr>
        <w:pStyle w:val="504"/>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本项目大气环境影响评价范围</w:t>
      </w:r>
      <w:r>
        <w:rPr>
          <w:rFonts w:hint="eastAsia" w:ascii="Times New Roman" w:hAnsi="Times New Roman" w:eastAsia="宋体" w:cs="Times New Roman"/>
          <w:snapToGrid w:val="0"/>
          <w:color w:val="auto"/>
          <w:kern w:val="0"/>
          <w:highlight w:val="none"/>
        </w:rPr>
        <w:t>内敏感目标主要为</w:t>
      </w:r>
      <w:r>
        <w:rPr>
          <w:rFonts w:hint="eastAsia"/>
          <w:snapToGrid w:val="0"/>
          <w:color w:val="auto"/>
          <w:kern w:val="0"/>
          <w:highlight w:val="none"/>
        </w:rPr>
        <w:t>凯赛生活区</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具体坐标见表</w:t>
      </w:r>
      <w:r>
        <w:rPr>
          <w:rFonts w:hint="eastAsia" w:ascii="Times New Roman" w:hAnsi="Times New Roman" w:eastAsia="宋体" w:cs="Times New Roman"/>
          <w:snapToGrid w:val="0"/>
          <w:color w:val="auto"/>
          <w:kern w:val="0"/>
          <w:highlight w:val="none"/>
        </w:rPr>
        <w:t>6.2-1</w:t>
      </w:r>
      <w:r>
        <w:rPr>
          <w:rFonts w:hint="eastAsia" w:ascii="Times New Roman" w:hAnsi="Times New Roman" w:eastAsia="宋体" w:cs="Times New Roman"/>
          <w:snapToGrid w:val="0"/>
          <w:color w:val="auto"/>
          <w:kern w:val="0"/>
          <w:highlight w:val="none"/>
          <w:lang w:val="en-US" w:eastAsia="zh-CN"/>
        </w:rPr>
        <w:t>2</w:t>
      </w:r>
      <w:r>
        <w:rPr>
          <w:rFonts w:ascii="Times New Roman" w:hAnsi="Times New Roman" w:eastAsia="宋体" w:cs="Times New Roman"/>
          <w:snapToGrid w:val="0"/>
          <w:color w:val="auto"/>
          <w:kern w:val="0"/>
          <w:highlight w:val="none"/>
        </w:rPr>
        <w:t>。</w:t>
      </w:r>
    </w:p>
    <w:p w14:paraId="462FF9B2">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6.2-1</w:t>
      </w:r>
      <w:r>
        <w:rPr>
          <w:rFonts w:hint="eastAsia" w:ascii="Times New Roman" w:hAnsi="Times New Roman" w:cs="Times New Roman"/>
          <w:snapToGrid w:val="0"/>
          <w:color w:val="auto"/>
          <w:kern w:val="0"/>
          <w:sz w:val="21"/>
          <w:szCs w:val="21"/>
          <w:highlight w:val="none"/>
          <w:lang w:val="en-US" w:eastAsia="zh-CN"/>
        </w:rPr>
        <w:t>2</w:t>
      </w:r>
      <w:r>
        <w:rPr>
          <w:rFonts w:hint="eastAsia" w:ascii="Times New Roman" w:hAnsi="Times New Roman" w:cs="Times New Roman"/>
          <w:snapToGrid w:val="0"/>
          <w:color w:val="auto"/>
          <w:kern w:val="0"/>
          <w:sz w:val="21"/>
          <w:szCs w:val="21"/>
          <w:highlight w:val="none"/>
        </w:rPr>
        <w:t xml:space="preserve"> 大气环境影响预测敏感点表</w:t>
      </w:r>
    </w:p>
    <w:tbl>
      <w:tblPr>
        <w:tblStyle w:val="5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1853"/>
        <w:gridCol w:w="1134"/>
        <w:gridCol w:w="1276"/>
        <w:gridCol w:w="1701"/>
        <w:gridCol w:w="1526"/>
      </w:tblGrid>
      <w:tr w14:paraId="4BBF88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61" w:type="pct"/>
            <w:vMerge w:val="restart"/>
            <w:tcBorders>
              <w:top w:val="single" w:color="auto" w:sz="4" w:space="0"/>
              <w:left w:val="single" w:color="auto" w:sz="4" w:space="0"/>
            </w:tcBorders>
            <w:shd w:val="clear" w:color="auto" w:fill="auto"/>
            <w:vAlign w:val="center"/>
          </w:tcPr>
          <w:p w14:paraId="40925083">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序号</w:t>
            </w:r>
          </w:p>
        </w:tc>
        <w:tc>
          <w:tcPr>
            <w:tcW w:w="1098" w:type="pct"/>
            <w:vMerge w:val="restart"/>
            <w:tcBorders>
              <w:top w:val="single" w:color="auto" w:sz="4" w:space="0"/>
            </w:tcBorders>
            <w:shd w:val="clear" w:color="auto" w:fill="auto"/>
            <w:vAlign w:val="center"/>
          </w:tcPr>
          <w:p w14:paraId="60828356">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关心点名称</w:t>
            </w:r>
          </w:p>
        </w:tc>
        <w:tc>
          <w:tcPr>
            <w:tcW w:w="672" w:type="pct"/>
            <w:vMerge w:val="restart"/>
            <w:tcBorders>
              <w:top w:val="single" w:color="auto" w:sz="4" w:space="0"/>
            </w:tcBorders>
            <w:shd w:val="clear" w:color="auto" w:fill="auto"/>
            <w:vAlign w:val="center"/>
          </w:tcPr>
          <w:p w14:paraId="71191BFC">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方位</w:t>
            </w:r>
          </w:p>
        </w:tc>
        <w:tc>
          <w:tcPr>
            <w:tcW w:w="756" w:type="pct"/>
            <w:vMerge w:val="restart"/>
            <w:tcBorders>
              <w:top w:val="single" w:color="auto" w:sz="4" w:space="0"/>
            </w:tcBorders>
            <w:shd w:val="clear" w:color="auto" w:fill="auto"/>
            <w:vAlign w:val="center"/>
          </w:tcPr>
          <w:p w14:paraId="7DB51993">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高程</w:t>
            </w:r>
            <w:r>
              <w:rPr>
                <w:rFonts w:ascii="Times New Roman" w:hAnsi="Times New Roman" w:eastAsia="宋体" w:cs="Times New Roman"/>
                <w:snapToGrid w:val="0"/>
                <w:color w:val="auto"/>
                <w:kern w:val="0"/>
                <w:sz w:val="21"/>
                <w:szCs w:val="21"/>
                <w:highlight w:val="none"/>
              </w:rPr>
              <w:t>m</w:t>
            </w:r>
          </w:p>
        </w:tc>
        <w:tc>
          <w:tcPr>
            <w:tcW w:w="1912" w:type="pct"/>
            <w:gridSpan w:val="2"/>
            <w:tcBorders>
              <w:top w:val="single" w:color="auto" w:sz="4" w:space="0"/>
              <w:right w:val="single" w:color="auto" w:sz="4" w:space="0"/>
            </w:tcBorders>
            <w:shd w:val="clear" w:color="auto" w:fill="auto"/>
            <w:vAlign w:val="center"/>
          </w:tcPr>
          <w:p w14:paraId="0C94D111">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坐标</w:t>
            </w:r>
          </w:p>
        </w:tc>
      </w:tr>
      <w:tr w14:paraId="0C288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61" w:type="pct"/>
            <w:vMerge w:val="continue"/>
            <w:tcBorders>
              <w:left w:val="single" w:color="auto" w:sz="4" w:space="0"/>
            </w:tcBorders>
            <w:shd w:val="clear" w:color="auto" w:fill="auto"/>
            <w:vAlign w:val="center"/>
          </w:tcPr>
          <w:p w14:paraId="381258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1098" w:type="pct"/>
            <w:vMerge w:val="continue"/>
            <w:shd w:val="clear" w:color="auto" w:fill="auto"/>
            <w:vAlign w:val="center"/>
          </w:tcPr>
          <w:p w14:paraId="3AD7AE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672" w:type="pct"/>
            <w:vMerge w:val="continue"/>
            <w:shd w:val="clear" w:color="auto" w:fill="auto"/>
            <w:vAlign w:val="center"/>
          </w:tcPr>
          <w:p w14:paraId="18B813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756" w:type="pct"/>
            <w:vMerge w:val="continue"/>
            <w:shd w:val="clear" w:color="auto" w:fill="auto"/>
            <w:vAlign w:val="center"/>
          </w:tcPr>
          <w:p w14:paraId="7F921C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1008" w:type="pct"/>
            <w:shd w:val="clear" w:color="auto" w:fill="auto"/>
            <w:vAlign w:val="center"/>
          </w:tcPr>
          <w:p w14:paraId="047E9427">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X</w:t>
            </w:r>
          </w:p>
        </w:tc>
        <w:tc>
          <w:tcPr>
            <w:tcW w:w="903" w:type="pct"/>
            <w:tcBorders>
              <w:right w:val="single" w:color="auto" w:sz="4" w:space="0"/>
            </w:tcBorders>
            <w:shd w:val="clear" w:color="auto" w:fill="auto"/>
            <w:vAlign w:val="center"/>
          </w:tcPr>
          <w:p w14:paraId="207511D9">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Y</w:t>
            </w:r>
          </w:p>
        </w:tc>
      </w:tr>
      <w:tr w14:paraId="57CB9C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61" w:type="pct"/>
            <w:tcBorders>
              <w:left w:val="single" w:color="auto" w:sz="4" w:space="0"/>
              <w:bottom w:val="single" w:color="auto" w:sz="4" w:space="0"/>
            </w:tcBorders>
            <w:shd w:val="clear" w:color="auto" w:fill="auto"/>
            <w:vAlign w:val="center"/>
          </w:tcPr>
          <w:p w14:paraId="5114B4C9">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w:t>
            </w:r>
          </w:p>
        </w:tc>
        <w:tc>
          <w:tcPr>
            <w:tcW w:w="1098" w:type="pct"/>
            <w:tcBorders>
              <w:bottom w:val="single" w:color="auto" w:sz="4" w:space="0"/>
            </w:tcBorders>
            <w:shd w:val="clear" w:color="auto" w:fill="auto"/>
            <w:vAlign w:val="center"/>
          </w:tcPr>
          <w:p w14:paraId="03108645">
            <w:pPr>
              <w:keepNext w:val="0"/>
              <w:keepLines w:val="0"/>
              <w:pageBreakBefore w:val="0"/>
              <w:widowControl w:val="0"/>
              <w:kinsoku/>
              <w:wordWrap/>
              <w:overflowPunct/>
              <w:topLinePunct w:val="0"/>
              <w:autoSpaceDE/>
              <w:autoSpaceDN/>
              <w:bidi w:val="0"/>
              <w:adjustRightInd w:val="0"/>
              <w:snapToGrid w:val="0"/>
              <w:spacing w:line="240" w:lineRule="auto"/>
              <w:contextualSpacing/>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72" w:type="pct"/>
            <w:tcBorders>
              <w:bottom w:val="single" w:color="auto" w:sz="4" w:space="0"/>
            </w:tcBorders>
            <w:shd w:val="clear" w:color="auto" w:fill="auto"/>
            <w:vAlign w:val="center"/>
          </w:tcPr>
          <w:p w14:paraId="3DDAACF5">
            <w:pPr>
              <w:pStyle w:val="75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eastAsia="宋体" w:cs="Times New Roman"/>
                <w:snapToGrid w:val="0"/>
                <w:color w:val="auto"/>
                <w:kern w:val="0"/>
                <w:sz w:val="21"/>
                <w:szCs w:val="21"/>
                <w:highlight w:val="none"/>
                <w:lang w:val="en-US" w:eastAsia="zh-CN"/>
              </w:rPr>
              <w:t>西北</w:t>
            </w:r>
          </w:p>
        </w:tc>
        <w:tc>
          <w:tcPr>
            <w:tcW w:w="756" w:type="pct"/>
            <w:tcBorders>
              <w:bottom w:val="single" w:color="auto" w:sz="4" w:space="0"/>
            </w:tcBorders>
            <w:shd w:val="clear" w:color="auto" w:fill="auto"/>
            <w:vAlign w:val="center"/>
          </w:tcPr>
          <w:p w14:paraId="74B146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kern w:val="0"/>
                <w:sz w:val="21"/>
                <w:szCs w:val="21"/>
                <w:highlight w:val="none"/>
                <w:lang w:val="en-US" w:eastAsia="zh-CN"/>
              </w:rPr>
              <w:t>543.66</w:t>
            </w:r>
          </w:p>
        </w:tc>
        <w:tc>
          <w:tcPr>
            <w:tcW w:w="1008" w:type="pct"/>
            <w:tcBorders>
              <w:bottom w:val="single" w:color="auto" w:sz="4" w:space="0"/>
            </w:tcBorders>
            <w:shd w:val="clear" w:color="auto" w:fill="auto"/>
            <w:vAlign w:val="center"/>
          </w:tcPr>
          <w:p w14:paraId="5667B3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kern w:val="0"/>
                <w:sz w:val="21"/>
                <w:szCs w:val="21"/>
                <w:highlight w:val="none"/>
                <w:lang w:val="en-US" w:eastAsia="zh-CN"/>
              </w:rPr>
              <w:t>-3030</w:t>
            </w:r>
          </w:p>
        </w:tc>
        <w:tc>
          <w:tcPr>
            <w:tcW w:w="903" w:type="pct"/>
            <w:tcBorders>
              <w:bottom w:val="single" w:color="auto" w:sz="4" w:space="0"/>
              <w:right w:val="single" w:color="auto" w:sz="4" w:space="0"/>
            </w:tcBorders>
            <w:shd w:val="clear" w:color="auto" w:fill="auto"/>
            <w:vAlign w:val="center"/>
          </w:tcPr>
          <w:p w14:paraId="74B3CF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kern w:val="0"/>
                <w:sz w:val="21"/>
                <w:szCs w:val="21"/>
                <w:highlight w:val="none"/>
                <w:lang w:val="en-US" w:eastAsia="zh-CN"/>
              </w:rPr>
              <w:t>1505</w:t>
            </w:r>
          </w:p>
        </w:tc>
      </w:tr>
    </w:tbl>
    <w:p w14:paraId="425A9C6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6.2.1.4污染源强</w:t>
      </w:r>
    </w:p>
    <w:p w14:paraId="6007C7ED">
      <w:pPr>
        <w:pStyle w:val="504"/>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ascii="Times New Roman" w:hAnsi="Times New Roman" w:eastAsia="宋体" w:cs="Times New Roman"/>
          <w:color w:val="auto"/>
          <w:kern w:val="28"/>
          <w:highlight w:val="none"/>
        </w:rPr>
      </w:pPr>
      <w:r>
        <w:rPr>
          <w:rFonts w:hint="eastAsia" w:ascii="Times New Roman" w:hAnsi="Times New Roman" w:eastAsia="宋体" w:cs="Times New Roman"/>
          <w:color w:val="auto"/>
          <w:kern w:val="28"/>
          <w:highlight w:val="none"/>
          <w:lang w:eastAsia="zh-CN"/>
        </w:rPr>
        <w:t>（</w:t>
      </w:r>
      <w:r>
        <w:rPr>
          <w:rFonts w:hint="eastAsia" w:ascii="Times New Roman" w:hAnsi="Times New Roman" w:eastAsia="宋体" w:cs="Times New Roman"/>
          <w:color w:val="auto"/>
          <w:kern w:val="28"/>
          <w:highlight w:val="none"/>
        </w:rPr>
        <w:t>1）本项目污染物排放源强</w:t>
      </w:r>
    </w:p>
    <w:p w14:paraId="3E3DA01E">
      <w:pPr>
        <w:pStyle w:val="170"/>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①正常工况</w:t>
      </w:r>
    </w:p>
    <w:p w14:paraId="514EE410">
      <w:pPr>
        <w:pStyle w:val="504"/>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eastAsia="宋体" w:cs="Times New Roman"/>
          <w:color w:val="auto"/>
          <w:kern w:val="28"/>
          <w:highlight w:val="none"/>
        </w:rPr>
      </w:pPr>
      <w:r>
        <w:rPr>
          <w:rFonts w:hint="eastAsia" w:ascii="Times New Roman" w:hAnsi="Times New Roman" w:eastAsia="宋体" w:cs="Times New Roman"/>
          <w:color w:val="auto"/>
          <w:kern w:val="28"/>
          <w:highlight w:val="none"/>
        </w:rPr>
        <w:t>本项目废气排放源强见表6.2-1</w:t>
      </w:r>
      <w:r>
        <w:rPr>
          <w:rFonts w:hint="eastAsia" w:ascii="Times New Roman" w:hAnsi="Times New Roman" w:eastAsia="宋体" w:cs="Times New Roman"/>
          <w:color w:val="auto"/>
          <w:kern w:val="28"/>
          <w:highlight w:val="none"/>
          <w:lang w:val="en-US" w:eastAsia="zh-CN"/>
        </w:rPr>
        <w:t>3</w:t>
      </w:r>
      <w:r>
        <w:rPr>
          <w:rFonts w:hint="eastAsia" w:ascii="Times New Roman" w:hAnsi="Times New Roman" w:eastAsia="宋体" w:cs="Times New Roman"/>
          <w:color w:val="auto"/>
          <w:kern w:val="28"/>
          <w:highlight w:val="none"/>
        </w:rPr>
        <w:t>和表6.2-1</w:t>
      </w:r>
      <w:r>
        <w:rPr>
          <w:rFonts w:hint="eastAsia" w:ascii="Times New Roman" w:hAnsi="Times New Roman" w:eastAsia="宋体" w:cs="Times New Roman"/>
          <w:color w:val="auto"/>
          <w:kern w:val="28"/>
          <w:highlight w:val="none"/>
          <w:lang w:val="en-US" w:eastAsia="zh-CN"/>
        </w:rPr>
        <w:t>4</w:t>
      </w:r>
      <w:r>
        <w:rPr>
          <w:rFonts w:hint="eastAsia" w:ascii="Times New Roman" w:hAnsi="Times New Roman" w:eastAsia="宋体" w:cs="Times New Roman"/>
          <w:color w:val="auto"/>
          <w:kern w:val="28"/>
          <w:highlight w:val="none"/>
        </w:rPr>
        <w:t>。</w:t>
      </w:r>
    </w:p>
    <w:p w14:paraId="28FCBC2E">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w:t>
      </w:r>
      <w:r>
        <w:rPr>
          <w:rFonts w:ascii="Times New Roman" w:hAnsi="Times New Roman" w:cs="Times New Roman"/>
          <w:snapToGrid w:val="0"/>
          <w:color w:val="auto"/>
          <w:kern w:val="0"/>
          <w:sz w:val="21"/>
          <w:szCs w:val="21"/>
          <w:highlight w:val="none"/>
        </w:rPr>
        <w:t>2-</w:t>
      </w:r>
      <w:r>
        <w:rPr>
          <w:rFonts w:hint="eastAsia" w:ascii="Times New Roman" w:hAnsi="Times New Roman" w:cs="Times New Roman"/>
          <w:snapToGrid w:val="0"/>
          <w:color w:val="auto"/>
          <w:kern w:val="0"/>
          <w:sz w:val="21"/>
          <w:szCs w:val="21"/>
          <w:highlight w:val="none"/>
        </w:rPr>
        <w:t>1</w:t>
      </w:r>
      <w:r>
        <w:rPr>
          <w:rFonts w:hint="eastAsia" w:ascii="Times New Roman" w:hAnsi="Times New Roman" w:cs="Times New Roman"/>
          <w:snapToGrid w:val="0"/>
          <w:color w:val="auto"/>
          <w:kern w:val="0"/>
          <w:sz w:val="21"/>
          <w:szCs w:val="21"/>
          <w:highlight w:val="none"/>
          <w:lang w:val="en-US" w:eastAsia="zh-CN"/>
        </w:rPr>
        <w:t>3</w:t>
      </w:r>
      <w:r>
        <w:rPr>
          <w:rFonts w:ascii="Times New Roman" w:hAnsi="Times New Roman" w:cs="Times New Roman"/>
          <w:snapToGrid w:val="0"/>
          <w:color w:val="auto"/>
          <w:kern w:val="0"/>
          <w:sz w:val="21"/>
          <w:szCs w:val="21"/>
          <w:highlight w:val="none"/>
        </w:rPr>
        <w:t xml:space="preserve"> 项目面源污染物计算参数表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543"/>
        <w:gridCol w:w="556"/>
        <w:gridCol w:w="596"/>
        <w:gridCol w:w="748"/>
        <w:gridCol w:w="594"/>
        <w:gridCol w:w="594"/>
        <w:gridCol w:w="757"/>
        <w:gridCol w:w="751"/>
        <w:gridCol w:w="823"/>
        <w:gridCol w:w="714"/>
        <w:gridCol w:w="1295"/>
      </w:tblGrid>
      <w:tr w14:paraId="4709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restart"/>
            <w:vAlign w:val="center"/>
          </w:tcPr>
          <w:p w14:paraId="430C3802">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编号</w:t>
            </w:r>
          </w:p>
        </w:tc>
        <w:tc>
          <w:tcPr>
            <w:tcW w:w="0" w:type="auto"/>
            <w:vMerge w:val="restart"/>
            <w:vAlign w:val="center"/>
          </w:tcPr>
          <w:p w14:paraId="3ADAB733">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名称</w:t>
            </w:r>
          </w:p>
        </w:tc>
        <w:tc>
          <w:tcPr>
            <w:tcW w:w="0" w:type="auto"/>
            <w:gridSpan w:val="2"/>
            <w:vAlign w:val="center"/>
          </w:tcPr>
          <w:p w14:paraId="6EAC2456">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面源起点坐标/m</w:t>
            </w:r>
          </w:p>
        </w:tc>
        <w:tc>
          <w:tcPr>
            <w:tcW w:w="0" w:type="auto"/>
            <w:vMerge w:val="restart"/>
            <w:shd w:val="clear" w:color="auto" w:fill="auto"/>
            <w:vAlign w:val="center"/>
          </w:tcPr>
          <w:p w14:paraId="75016DAD">
            <w:pPr>
              <w:pStyle w:val="752"/>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面源</w:t>
            </w:r>
            <w:r>
              <w:rPr>
                <w:rFonts w:hint="eastAsia" w:ascii="Times New Roman" w:hAnsi="Times New Roman" w:eastAsia="宋体" w:cs="Times New Roman"/>
                <w:snapToGrid w:val="0"/>
                <w:color w:val="auto"/>
                <w:kern w:val="0"/>
                <w:sz w:val="21"/>
                <w:szCs w:val="21"/>
                <w:highlight w:val="none"/>
                <w:lang w:val="en-US" w:eastAsia="zh-CN"/>
              </w:rPr>
              <w:t>海拔</w:t>
            </w:r>
            <w:r>
              <w:rPr>
                <w:rFonts w:hint="eastAsia" w:ascii="Times New Roman" w:hAnsi="Times New Roman" w:eastAsia="宋体" w:cs="Times New Roman"/>
                <w:snapToGrid w:val="0"/>
                <w:color w:val="auto"/>
                <w:kern w:val="0"/>
                <w:sz w:val="21"/>
                <w:szCs w:val="21"/>
                <w:highlight w:val="none"/>
              </w:rPr>
              <w:t>高度/m</w:t>
            </w:r>
          </w:p>
        </w:tc>
        <w:tc>
          <w:tcPr>
            <w:tcW w:w="0" w:type="auto"/>
            <w:vMerge w:val="restart"/>
            <w:vAlign w:val="center"/>
          </w:tcPr>
          <w:p w14:paraId="4E3C03AD">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面源长度/m</w:t>
            </w:r>
          </w:p>
        </w:tc>
        <w:tc>
          <w:tcPr>
            <w:tcW w:w="0" w:type="auto"/>
            <w:vMerge w:val="restart"/>
            <w:vAlign w:val="center"/>
          </w:tcPr>
          <w:p w14:paraId="2153D9E0">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面源宽度/m</w:t>
            </w:r>
          </w:p>
        </w:tc>
        <w:tc>
          <w:tcPr>
            <w:tcW w:w="0" w:type="auto"/>
            <w:vMerge w:val="restart"/>
            <w:vAlign w:val="center"/>
          </w:tcPr>
          <w:p w14:paraId="7BB85A08">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与正北向夹角/°</w:t>
            </w:r>
          </w:p>
        </w:tc>
        <w:tc>
          <w:tcPr>
            <w:tcW w:w="0" w:type="auto"/>
            <w:vMerge w:val="restart"/>
            <w:vAlign w:val="center"/>
          </w:tcPr>
          <w:p w14:paraId="501D3FEC">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面源有效排放高度/m</w:t>
            </w:r>
          </w:p>
        </w:tc>
        <w:tc>
          <w:tcPr>
            <w:tcW w:w="0" w:type="auto"/>
            <w:vMerge w:val="restart"/>
            <w:vAlign w:val="center"/>
          </w:tcPr>
          <w:p w14:paraId="3F62657C">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年排放小时数/h</w:t>
            </w:r>
          </w:p>
        </w:tc>
        <w:tc>
          <w:tcPr>
            <w:tcW w:w="0" w:type="auto"/>
            <w:vMerge w:val="restart"/>
            <w:vAlign w:val="center"/>
          </w:tcPr>
          <w:p w14:paraId="6547473A">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排放工况</w:t>
            </w:r>
          </w:p>
        </w:tc>
        <w:tc>
          <w:tcPr>
            <w:tcW w:w="0" w:type="auto"/>
            <w:vAlign w:val="center"/>
          </w:tcPr>
          <w:p w14:paraId="7BB7190F">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污染物排放速率/（kg/h）</w:t>
            </w:r>
          </w:p>
        </w:tc>
      </w:tr>
      <w:tr w14:paraId="60CE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vAlign w:val="center"/>
          </w:tcPr>
          <w:p w14:paraId="2CC1A53B">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vAlign w:val="center"/>
          </w:tcPr>
          <w:p w14:paraId="3361D469">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Align w:val="center"/>
          </w:tcPr>
          <w:p w14:paraId="526158FA">
            <w:pPr>
              <w:pStyle w:val="752"/>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X</w:t>
            </w:r>
          </w:p>
        </w:tc>
        <w:tc>
          <w:tcPr>
            <w:tcW w:w="0" w:type="auto"/>
            <w:vAlign w:val="center"/>
          </w:tcPr>
          <w:p w14:paraId="572F655D">
            <w:pPr>
              <w:pStyle w:val="752"/>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Y</w:t>
            </w:r>
          </w:p>
        </w:tc>
        <w:tc>
          <w:tcPr>
            <w:tcW w:w="0" w:type="auto"/>
            <w:vMerge w:val="continue"/>
            <w:vAlign w:val="center"/>
          </w:tcPr>
          <w:p w14:paraId="76A772E7">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vAlign w:val="center"/>
          </w:tcPr>
          <w:p w14:paraId="7592556C">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vAlign w:val="center"/>
          </w:tcPr>
          <w:p w14:paraId="69BA670B">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vAlign w:val="center"/>
          </w:tcPr>
          <w:p w14:paraId="06E4B3E1">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vAlign w:val="center"/>
          </w:tcPr>
          <w:p w14:paraId="6499DCB6">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noWrap/>
            <w:vAlign w:val="center"/>
          </w:tcPr>
          <w:p w14:paraId="352B6CE3">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vMerge w:val="continue"/>
            <w:noWrap/>
            <w:vAlign w:val="center"/>
          </w:tcPr>
          <w:p w14:paraId="3F9EBC54">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p>
        </w:tc>
        <w:tc>
          <w:tcPr>
            <w:tcW w:w="0" w:type="auto"/>
            <w:noWrap/>
            <w:vAlign w:val="center"/>
          </w:tcPr>
          <w:p w14:paraId="68E14837">
            <w:pPr>
              <w:pStyle w:val="752"/>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NMHC</w:t>
            </w:r>
          </w:p>
        </w:tc>
      </w:tr>
      <w:tr w14:paraId="7A99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noWrap/>
            <w:vAlign w:val="center"/>
          </w:tcPr>
          <w:p w14:paraId="34628EE3">
            <w:pPr>
              <w:pStyle w:val="752"/>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1</w:t>
            </w:r>
          </w:p>
        </w:tc>
        <w:tc>
          <w:tcPr>
            <w:tcW w:w="0" w:type="auto"/>
            <w:vAlign w:val="center"/>
          </w:tcPr>
          <w:p w14:paraId="708846D3">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罐区废气</w:t>
            </w:r>
          </w:p>
        </w:tc>
        <w:tc>
          <w:tcPr>
            <w:tcW w:w="0" w:type="auto"/>
            <w:noWrap/>
            <w:vAlign w:val="center"/>
          </w:tcPr>
          <w:p w14:paraId="3713EFCD">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-39</w:t>
            </w:r>
          </w:p>
        </w:tc>
        <w:tc>
          <w:tcPr>
            <w:tcW w:w="0" w:type="auto"/>
            <w:noWrap/>
            <w:vAlign w:val="center"/>
          </w:tcPr>
          <w:p w14:paraId="2F72B7D8">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130</w:t>
            </w:r>
          </w:p>
        </w:tc>
        <w:tc>
          <w:tcPr>
            <w:tcW w:w="0" w:type="auto"/>
            <w:noWrap/>
            <w:vAlign w:val="center"/>
          </w:tcPr>
          <w:p w14:paraId="2498CF4C">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604</w:t>
            </w:r>
          </w:p>
        </w:tc>
        <w:tc>
          <w:tcPr>
            <w:tcW w:w="0" w:type="auto"/>
            <w:noWrap/>
            <w:vAlign w:val="center"/>
          </w:tcPr>
          <w:p w14:paraId="649195F9">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50</w:t>
            </w:r>
          </w:p>
        </w:tc>
        <w:tc>
          <w:tcPr>
            <w:tcW w:w="0" w:type="auto"/>
            <w:noWrap/>
            <w:vAlign w:val="center"/>
          </w:tcPr>
          <w:p w14:paraId="0B3B33E0">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40</w:t>
            </w:r>
          </w:p>
        </w:tc>
        <w:tc>
          <w:tcPr>
            <w:tcW w:w="0" w:type="auto"/>
            <w:noWrap/>
            <w:vAlign w:val="center"/>
          </w:tcPr>
          <w:p w14:paraId="19B4D709">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230</w:t>
            </w:r>
          </w:p>
        </w:tc>
        <w:tc>
          <w:tcPr>
            <w:tcW w:w="0" w:type="auto"/>
            <w:noWrap/>
            <w:vAlign w:val="center"/>
          </w:tcPr>
          <w:p w14:paraId="028F63B3">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20</w:t>
            </w:r>
          </w:p>
        </w:tc>
        <w:tc>
          <w:tcPr>
            <w:tcW w:w="0" w:type="auto"/>
            <w:noWrap/>
            <w:vAlign w:val="center"/>
          </w:tcPr>
          <w:p w14:paraId="2A605733">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1370</w:t>
            </w:r>
          </w:p>
        </w:tc>
        <w:tc>
          <w:tcPr>
            <w:tcW w:w="0" w:type="auto"/>
            <w:noWrap/>
            <w:vAlign w:val="center"/>
          </w:tcPr>
          <w:p w14:paraId="6BB3B4D2">
            <w:pPr>
              <w:pStyle w:val="752"/>
              <w:keepNext w:val="0"/>
              <w:keepLines w:val="0"/>
              <w:pageBreakBefore w:val="0"/>
              <w:widowControl w:val="0"/>
              <w:kinsoku/>
              <w:wordWrap/>
              <w:overflowPunct/>
              <w:topLinePunct w:val="0"/>
              <w:autoSpaceDE/>
              <w:autoSpaceDN/>
              <w:bidi w:val="0"/>
              <w:adjustRightInd w:val="0"/>
              <w:snapToGrid w:val="0"/>
              <w:textAlignment w:val="auto"/>
              <w:rPr>
                <w:rFonts w:hint="default" w:eastAsia="宋体" w:cs="Times New Roman"/>
                <w:snapToGrid w:val="0"/>
                <w:color w:val="auto"/>
                <w:kern w:val="0"/>
                <w:sz w:val="21"/>
                <w:szCs w:val="21"/>
                <w:highlight w:val="none"/>
                <w:lang w:val="en-US" w:eastAsia="zh-CN"/>
              </w:rPr>
            </w:pPr>
            <w:r>
              <w:rPr>
                <w:rFonts w:hint="eastAsia" w:eastAsia="宋体" w:cs="Times New Roman"/>
                <w:snapToGrid w:val="0"/>
                <w:color w:val="auto"/>
                <w:kern w:val="0"/>
                <w:sz w:val="21"/>
                <w:szCs w:val="21"/>
                <w:highlight w:val="none"/>
                <w:lang w:val="en-US" w:eastAsia="zh-CN"/>
              </w:rPr>
              <w:t>连续</w:t>
            </w:r>
          </w:p>
        </w:tc>
        <w:tc>
          <w:tcPr>
            <w:tcW w:w="0" w:type="auto"/>
            <w:noWrap/>
            <w:vAlign w:val="center"/>
          </w:tcPr>
          <w:p w14:paraId="5538C6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0.03</w:t>
            </w:r>
          </w:p>
        </w:tc>
      </w:tr>
    </w:tbl>
    <w:p w14:paraId="2BAA29D1">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hint="default" w:ascii="Times New Roman" w:hAnsi="Times New Roman" w:eastAsia="宋体" w:cs="Times New Roman"/>
          <w:snapToGrid w:val="0"/>
          <w:color w:val="auto"/>
          <w:kern w:val="0"/>
          <w:highlight w:val="none"/>
          <w:lang w:eastAsia="zh-CN"/>
        </w:rPr>
      </w:pPr>
      <w:r>
        <w:rPr>
          <w:rFonts w:hint="default" w:ascii="Times New Roman" w:hAnsi="Times New Roman" w:eastAsia="宋体" w:cs="Times New Roman"/>
          <w:snapToGrid w:val="0"/>
          <w:color w:val="auto"/>
          <w:kern w:val="0"/>
          <w:highlight w:val="none"/>
          <w:lang w:eastAsia="zh-CN"/>
        </w:rPr>
        <w:t>②非正常工况</w:t>
      </w:r>
    </w:p>
    <w:p w14:paraId="2A253282">
      <w:pPr>
        <w:pStyle w:val="170"/>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本项目非正常工况为活性炭吸附装置结冰堵塞</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kern w:val="28"/>
          <w:highlight w:val="none"/>
        </w:rPr>
        <w:t>非正常工况排放参数见表6.2-1</w:t>
      </w:r>
      <w:r>
        <w:rPr>
          <w:rFonts w:hint="eastAsia" w:ascii="Times New Roman" w:hAnsi="Times New Roman" w:eastAsia="宋体" w:cs="Times New Roman"/>
          <w:color w:val="auto"/>
          <w:kern w:val="28"/>
          <w:highlight w:val="none"/>
          <w:lang w:val="en-US" w:eastAsia="zh-CN"/>
        </w:rPr>
        <w:t>5</w:t>
      </w:r>
      <w:r>
        <w:rPr>
          <w:rFonts w:hint="default" w:ascii="Times New Roman" w:hAnsi="Times New Roman" w:eastAsia="宋体" w:cs="Times New Roman"/>
          <w:color w:val="auto"/>
          <w:highlight w:val="none"/>
        </w:rPr>
        <w:t>。</w:t>
      </w:r>
    </w:p>
    <w:p w14:paraId="28AD6940">
      <w:pPr>
        <w:pStyle w:val="412"/>
        <w:tabs>
          <w:tab w:val="left" w:pos="0"/>
          <w:tab w:val="clear" w:pos="6840"/>
        </w:tabs>
        <w:topLinePunct w:val="0"/>
        <w:adjustRightInd w:val="0"/>
        <w:spacing w:line="240" w:lineRule="auto"/>
        <w:ind w:left="0" w:firstLine="0" w:firstLineChars="0"/>
        <w:textAlignment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w:t>
      </w:r>
      <w:r>
        <w:rPr>
          <w:rFonts w:hint="default" w:ascii="Times New Roman" w:hAnsi="Times New Roman" w:cs="Times New Roman"/>
          <w:snapToGrid w:val="0"/>
          <w:color w:val="auto"/>
          <w:kern w:val="0"/>
          <w:sz w:val="21"/>
          <w:szCs w:val="21"/>
          <w:highlight w:val="none"/>
        </w:rPr>
        <w:t>2-</w:t>
      </w:r>
      <w:r>
        <w:rPr>
          <w:rFonts w:hint="eastAsia" w:ascii="Times New Roman" w:hAnsi="Times New Roman" w:cs="Times New Roman"/>
          <w:snapToGrid w:val="0"/>
          <w:color w:val="auto"/>
          <w:kern w:val="0"/>
          <w:sz w:val="21"/>
          <w:szCs w:val="21"/>
          <w:highlight w:val="none"/>
        </w:rPr>
        <w:t>1</w:t>
      </w:r>
      <w:r>
        <w:rPr>
          <w:rFonts w:hint="eastAsia" w:ascii="Times New Roman" w:hAnsi="Times New Roman" w:cs="Times New Roman"/>
          <w:snapToGrid w:val="0"/>
          <w:color w:val="auto"/>
          <w:kern w:val="0"/>
          <w:sz w:val="21"/>
          <w:szCs w:val="21"/>
          <w:highlight w:val="none"/>
          <w:lang w:val="en-US" w:eastAsia="zh-CN"/>
        </w:rPr>
        <w:t>5</w:t>
      </w:r>
      <w:r>
        <w:rPr>
          <w:rFonts w:hint="default" w:ascii="Times New Roman" w:hAnsi="Times New Roman" w:cs="Times New Roman"/>
          <w:snapToGrid w:val="0"/>
          <w:color w:val="auto"/>
          <w:kern w:val="0"/>
          <w:sz w:val="21"/>
          <w:szCs w:val="21"/>
          <w:highlight w:val="none"/>
        </w:rPr>
        <w:t xml:space="preserve"> 项目非正常工况污染排放一览表</w:t>
      </w:r>
    </w:p>
    <w:tbl>
      <w:tblPr>
        <w:tblStyle w:val="57"/>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57" w:type="dxa"/>
          <w:left w:w="28" w:type="dxa"/>
          <w:bottom w:w="57" w:type="dxa"/>
          <w:right w:w="28" w:type="dxa"/>
        </w:tblCellMar>
      </w:tblPr>
      <w:tblGrid>
        <w:gridCol w:w="1152"/>
        <w:gridCol w:w="1344"/>
        <w:gridCol w:w="846"/>
        <w:gridCol w:w="1617"/>
        <w:gridCol w:w="1102"/>
        <w:gridCol w:w="1102"/>
        <w:gridCol w:w="1105"/>
      </w:tblGrid>
      <w:tr w14:paraId="1C4F4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28" w:type="dxa"/>
            <w:bottom w:w="57" w:type="dxa"/>
            <w:right w:w="28" w:type="dxa"/>
          </w:tblCellMar>
        </w:tblPrEx>
        <w:trPr>
          <w:trHeight w:val="90" w:hRule="atLeast"/>
        </w:trPr>
        <w:tc>
          <w:tcPr>
            <w:tcW w:w="697" w:type="pct"/>
            <w:vAlign w:val="center"/>
          </w:tcPr>
          <w:p w14:paraId="0485F5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非正常</w:t>
            </w:r>
          </w:p>
          <w:p w14:paraId="3577E8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排放源</w:t>
            </w:r>
          </w:p>
        </w:tc>
        <w:tc>
          <w:tcPr>
            <w:tcW w:w="812" w:type="pct"/>
            <w:vAlign w:val="center"/>
          </w:tcPr>
          <w:p w14:paraId="6D9BC5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废正常排放</w:t>
            </w:r>
          </w:p>
          <w:p w14:paraId="1ED62B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原因</w:t>
            </w:r>
          </w:p>
        </w:tc>
        <w:tc>
          <w:tcPr>
            <w:tcW w:w="511" w:type="pct"/>
            <w:vAlign w:val="center"/>
          </w:tcPr>
          <w:p w14:paraId="30A135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污染物</w:t>
            </w:r>
          </w:p>
        </w:tc>
        <w:tc>
          <w:tcPr>
            <w:tcW w:w="977" w:type="pct"/>
            <w:vAlign w:val="center"/>
          </w:tcPr>
          <w:p w14:paraId="136B5B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非正常排放速率（kg/h）</w:t>
            </w:r>
          </w:p>
        </w:tc>
        <w:tc>
          <w:tcPr>
            <w:tcW w:w="666" w:type="pct"/>
            <w:vAlign w:val="center"/>
          </w:tcPr>
          <w:p w14:paraId="2651D2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Cs w:val="0"/>
                <w:snapToGrid w:val="0"/>
                <w:color w:val="auto"/>
                <w:kern w:val="0"/>
                <w:sz w:val="21"/>
                <w:szCs w:val="21"/>
                <w:highlight w:val="none"/>
              </w:rPr>
            </w:pPr>
            <w:r>
              <w:rPr>
                <w:rFonts w:ascii="Times New Roman" w:hAnsi="Times New Roman" w:eastAsia="宋体" w:cs="Times New Roman"/>
                <w:bCs w:val="0"/>
                <w:snapToGrid w:val="0"/>
                <w:color w:val="auto"/>
                <w:kern w:val="0"/>
                <w:sz w:val="21"/>
                <w:szCs w:val="21"/>
                <w:highlight w:val="none"/>
              </w:rPr>
              <w:t>排气量</w:t>
            </w:r>
          </w:p>
          <w:p w14:paraId="62C73E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eastAsia="zh-CN"/>
              </w:rPr>
              <w:t>（</w:t>
            </w:r>
            <w:r>
              <w:rPr>
                <w:rFonts w:ascii="Times New Roman" w:hAnsi="Times New Roman" w:eastAsia="宋体" w:cs="Times New Roman"/>
                <w:bCs w:val="0"/>
                <w:snapToGrid w:val="0"/>
                <w:color w:val="auto"/>
                <w:kern w:val="0"/>
                <w:sz w:val="21"/>
                <w:szCs w:val="21"/>
                <w:highlight w:val="none"/>
              </w:rPr>
              <w:t>m³/h</w:t>
            </w:r>
            <w:r>
              <w:rPr>
                <w:rFonts w:hint="eastAsia" w:ascii="Times New Roman" w:hAnsi="Times New Roman" w:eastAsia="宋体" w:cs="Times New Roman"/>
                <w:bCs w:val="0"/>
                <w:snapToGrid w:val="0"/>
                <w:color w:val="auto"/>
                <w:kern w:val="0"/>
                <w:sz w:val="21"/>
                <w:szCs w:val="21"/>
                <w:highlight w:val="none"/>
                <w:lang w:eastAsia="zh-CN"/>
              </w:rPr>
              <w:t>）</w:t>
            </w:r>
          </w:p>
        </w:tc>
        <w:tc>
          <w:tcPr>
            <w:tcW w:w="666" w:type="pct"/>
            <w:vAlign w:val="center"/>
          </w:tcPr>
          <w:p w14:paraId="4CA73E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单次持续时间/h</w:t>
            </w:r>
          </w:p>
        </w:tc>
        <w:tc>
          <w:tcPr>
            <w:tcW w:w="668" w:type="pct"/>
            <w:vAlign w:val="center"/>
          </w:tcPr>
          <w:p w14:paraId="21F30C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default" w:ascii="Times New Roman" w:hAnsi="Times New Roman" w:eastAsia="宋体" w:cs="Times New Roman"/>
                <w:bCs w:val="0"/>
                <w:color w:val="auto"/>
                <w:kern w:val="0"/>
                <w:sz w:val="21"/>
                <w:szCs w:val="21"/>
                <w:highlight w:val="none"/>
                <w:lang w:val="en-US" w:eastAsia="zh-CN"/>
              </w:rPr>
              <w:t>年发生频次/次</w:t>
            </w:r>
          </w:p>
        </w:tc>
      </w:tr>
      <w:tr w14:paraId="4955F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28" w:type="dxa"/>
            <w:bottom w:w="57" w:type="dxa"/>
            <w:right w:w="28" w:type="dxa"/>
          </w:tblCellMar>
        </w:tblPrEx>
        <w:trPr>
          <w:trHeight w:val="90" w:hRule="atLeast"/>
        </w:trPr>
        <w:tc>
          <w:tcPr>
            <w:tcW w:w="697" w:type="pct"/>
            <w:vMerge w:val="restart"/>
            <w:vAlign w:val="center"/>
          </w:tcPr>
          <w:p w14:paraId="11A6BF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eastAsia"/>
                <w:color w:val="auto"/>
                <w:highlight w:val="none"/>
                <w:lang w:val="en-US" w:eastAsia="zh-CN"/>
              </w:rPr>
              <w:t>发酵废气活性炭</w:t>
            </w:r>
            <w:r>
              <w:rPr>
                <w:rFonts w:hint="eastAsia" w:ascii="Times New Roman" w:hAnsi="Times New Roman" w:eastAsia="宋体" w:cs="Times New Roman"/>
                <w:bCs w:val="0"/>
                <w:color w:val="auto"/>
                <w:kern w:val="0"/>
                <w:sz w:val="21"/>
                <w:szCs w:val="21"/>
                <w:highlight w:val="none"/>
              </w:rPr>
              <w:t>吸附装置</w:t>
            </w:r>
          </w:p>
        </w:tc>
        <w:tc>
          <w:tcPr>
            <w:tcW w:w="812" w:type="pct"/>
            <w:vMerge w:val="restart"/>
            <w:vAlign w:val="center"/>
          </w:tcPr>
          <w:p w14:paraId="17B7E1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rPr>
            </w:pPr>
            <w:r>
              <w:rPr>
                <w:rFonts w:hint="eastAsia" w:ascii="Times New Roman" w:hAnsi="Times New Roman" w:eastAsia="宋体" w:cs="Times New Roman"/>
                <w:bCs w:val="0"/>
                <w:color w:val="auto"/>
                <w:kern w:val="0"/>
                <w:sz w:val="21"/>
                <w:szCs w:val="21"/>
                <w:highlight w:val="none"/>
              </w:rPr>
              <w:t>吸附装置</w:t>
            </w:r>
          </w:p>
          <w:p w14:paraId="508FD7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color w:val="auto"/>
                <w:kern w:val="0"/>
                <w:sz w:val="21"/>
                <w:szCs w:val="21"/>
                <w:highlight w:val="none"/>
              </w:rPr>
              <w:t>结冰堵塞</w:t>
            </w:r>
          </w:p>
        </w:tc>
        <w:tc>
          <w:tcPr>
            <w:tcW w:w="511" w:type="pct"/>
            <w:vAlign w:val="center"/>
          </w:tcPr>
          <w:p w14:paraId="0BB746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color w:val="auto"/>
                <w:kern w:val="0"/>
                <w:sz w:val="21"/>
                <w:szCs w:val="21"/>
                <w:highlight w:val="none"/>
              </w:rPr>
              <w:t>N</w:t>
            </w:r>
            <w:r>
              <w:rPr>
                <w:rFonts w:ascii="Times New Roman" w:hAnsi="Times New Roman" w:eastAsia="宋体" w:cs="Times New Roman"/>
                <w:bCs w:val="0"/>
                <w:color w:val="auto"/>
                <w:kern w:val="0"/>
                <w:sz w:val="21"/>
                <w:szCs w:val="21"/>
                <w:highlight w:val="none"/>
              </w:rPr>
              <w:t>H</w:t>
            </w:r>
            <w:r>
              <w:rPr>
                <w:rFonts w:ascii="Times New Roman" w:hAnsi="Times New Roman" w:eastAsia="宋体" w:cs="Times New Roman"/>
                <w:bCs w:val="0"/>
                <w:color w:val="auto"/>
                <w:kern w:val="0"/>
                <w:sz w:val="21"/>
                <w:szCs w:val="21"/>
                <w:highlight w:val="none"/>
                <w:vertAlign w:val="subscript"/>
              </w:rPr>
              <w:t>3</w:t>
            </w:r>
          </w:p>
        </w:tc>
        <w:tc>
          <w:tcPr>
            <w:tcW w:w="977" w:type="pct"/>
            <w:vAlign w:val="center"/>
          </w:tcPr>
          <w:p w14:paraId="7CD3C3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color w:val="auto"/>
                <w:kern w:val="0"/>
                <w:sz w:val="21"/>
                <w:szCs w:val="21"/>
                <w:highlight w:val="none"/>
              </w:rPr>
              <w:t>1</w:t>
            </w:r>
            <w:r>
              <w:rPr>
                <w:rFonts w:ascii="Times New Roman" w:hAnsi="Times New Roman" w:eastAsia="宋体" w:cs="Times New Roman"/>
                <w:bCs w:val="0"/>
                <w:color w:val="auto"/>
                <w:kern w:val="0"/>
                <w:sz w:val="21"/>
                <w:szCs w:val="21"/>
                <w:highlight w:val="none"/>
              </w:rPr>
              <w:t>.04</w:t>
            </w:r>
          </w:p>
        </w:tc>
        <w:tc>
          <w:tcPr>
            <w:tcW w:w="666" w:type="pct"/>
            <w:vMerge w:val="restart"/>
            <w:shd w:val="clear" w:color="auto" w:fill="auto"/>
            <w:vAlign w:val="center"/>
          </w:tcPr>
          <w:p w14:paraId="54FBA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color w:val="auto"/>
                <w:kern w:val="0"/>
                <w:sz w:val="21"/>
                <w:szCs w:val="21"/>
                <w:highlight w:val="none"/>
                <w:lang w:val="en-US" w:eastAsia="zh-CN"/>
              </w:rPr>
              <w:t>52500</w:t>
            </w:r>
          </w:p>
        </w:tc>
        <w:tc>
          <w:tcPr>
            <w:tcW w:w="666" w:type="pct"/>
            <w:vMerge w:val="restart"/>
            <w:shd w:val="clear" w:color="auto" w:fill="auto"/>
            <w:vAlign w:val="center"/>
          </w:tcPr>
          <w:p w14:paraId="6A476C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rPr>
              <w:t>24</w:t>
            </w:r>
          </w:p>
        </w:tc>
        <w:tc>
          <w:tcPr>
            <w:tcW w:w="668" w:type="pct"/>
            <w:vMerge w:val="restart"/>
            <w:shd w:val="clear" w:color="auto" w:fill="auto"/>
            <w:vAlign w:val="center"/>
          </w:tcPr>
          <w:p w14:paraId="252D13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rPr>
              <w:t>1</w:t>
            </w:r>
          </w:p>
        </w:tc>
      </w:tr>
      <w:tr w14:paraId="049C0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28" w:type="dxa"/>
            <w:bottom w:w="57" w:type="dxa"/>
            <w:right w:w="28" w:type="dxa"/>
          </w:tblCellMar>
        </w:tblPrEx>
        <w:trPr>
          <w:trHeight w:val="90" w:hRule="atLeast"/>
        </w:trPr>
        <w:tc>
          <w:tcPr>
            <w:tcW w:w="697" w:type="pct"/>
            <w:vMerge w:val="continue"/>
            <w:vAlign w:val="center"/>
          </w:tcPr>
          <w:p w14:paraId="5D44DB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rPr>
            </w:pPr>
          </w:p>
        </w:tc>
        <w:tc>
          <w:tcPr>
            <w:tcW w:w="812" w:type="pct"/>
            <w:vMerge w:val="continue"/>
            <w:vAlign w:val="center"/>
          </w:tcPr>
          <w:p w14:paraId="484C4B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rPr>
            </w:pPr>
          </w:p>
        </w:tc>
        <w:tc>
          <w:tcPr>
            <w:tcW w:w="511" w:type="pct"/>
            <w:vAlign w:val="center"/>
          </w:tcPr>
          <w:p w14:paraId="20A1E0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color w:val="auto"/>
                <w:kern w:val="0"/>
                <w:sz w:val="21"/>
                <w:szCs w:val="21"/>
                <w:highlight w:val="none"/>
              </w:rPr>
              <w:t>H</w:t>
            </w:r>
            <w:r>
              <w:rPr>
                <w:rFonts w:ascii="Times New Roman" w:hAnsi="Times New Roman" w:eastAsia="宋体" w:cs="Times New Roman"/>
                <w:bCs w:val="0"/>
                <w:color w:val="auto"/>
                <w:kern w:val="0"/>
                <w:sz w:val="21"/>
                <w:szCs w:val="21"/>
                <w:highlight w:val="none"/>
                <w:vertAlign w:val="subscript"/>
              </w:rPr>
              <w:t>2</w:t>
            </w:r>
            <w:r>
              <w:rPr>
                <w:rFonts w:ascii="Times New Roman" w:hAnsi="Times New Roman" w:eastAsia="宋体" w:cs="Times New Roman"/>
                <w:bCs w:val="0"/>
                <w:color w:val="auto"/>
                <w:kern w:val="0"/>
                <w:sz w:val="21"/>
                <w:szCs w:val="21"/>
                <w:highlight w:val="none"/>
              </w:rPr>
              <w:t>S</w:t>
            </w:r>
          </w:p>
        </w:tc>
        <w:tc>
          <w:tcPr>
            <w:tcW w:w="977" w:type="pct"/>
            <w:vAlign w:val="center"/>
          </w:tcPr>
          <w:p w14:paraId="1B3828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lang w:val="en-US" w:eastAsia="zh-CN"/>
              </w:rPr>
            </w:pPr>
            <w:r>
              <w:rPr>
                <w:rFonts w:hint="eastAsia" w:ascii="Times New Roman" w:hAnsi="Times New Roman" w:eastAsia="宋体" w:cs="Times New Roman"/>
                <w:bCs w:val="0"/>
                <w:color w:val="auto"/>
                <w:kern w:val="0"/>
                <w:sz w:val="21"/>
                <w:szCs w:val="21"/>
                <w:highlight w:val="none"/>
              </w:rPr>
              <w:t>0</w:t>
            </w:r>
            <w:r>
              <w:rPr>
                <w:rFonts w:ascii="Times New Roman" w:hAnsi="Times New Roman" w:eastAsia="宋体" w:cs="Times New Roman"/>
                <w:bCs w:val="0"/>
                <w:color w:val="auto"/>
                <w:kern w:val="0"/>
                <w:sz w:val="21"/>
                <w:szCs w:val="21"/>
                <w:highlight w:val="none"/>
              </w:rPr>
              <w:t>.06</w:t>
            </w:r>
          </w:p>
        </w:tc>
        <w:tc>
          <w:tcPr>
            <w:tcW w:w="666" w:type="pct"/>
            <w:vMerge w:val="continue"/>
            <w:shd w:val="clear" w:color="auto" w:fill="auto"/>
            <w:vAlign w:val="center"/>
          </w:tcPr>
          <w:p w14:paraId="18631C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rPr>
            </w:pPr>
          </w:p>
        </w:tc>
        <w:tc>
          <w:tcPr>
            <w:tcW w:w="666" w:type="pct"/>
            <w:vMerge w:val="continue"/>
            <w:shd w:val="clear" w:color="auto" w:fill="auto"/>
            <w:vAlign w:val="center"/>
          </w:tcPr>
          <w:p w14:paraId="4C19EF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val="0"/>
                <w:color w:val="auto"/>
                <w:kern w:val="0"/>
                <w:sz w:val="21"/>
                <w:szCs w:val="21"/>
                <w:highlight w:val="none"/>
                <w:lang w:val="en-US" w:eastAsia="zh-CN"/>
              </w:rPr>
            </w:pPr>
          </w:p>
        </w:tc>
        <w:tc>
          <w:tcPr>
            <w:tcW w:w="668" w:type="pct"/>
            <w:vMerge w:val="continue"/>
            <w:shd w:val="clear" w:color="auto" w:fill="auto"/>
            <w:vAlign w:val="center"/>
          </w:tcPr>
          <w:p w14:paraId="24A3E5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val="0"/>
                <w:color w:val="auto"/>
                <w:kern w:val="0"/>
                <w:sz w:val="21"/>
                <w:szCs w:val="21"/>
                <w:highlight w:val="none"/>
                <w:lang w:val="en-US" w:eastAsia="zh-CN"/>
              </w:rPr>
            </w:pPr>
          </w:p>
        </w:tc>
      </w:tr>
    </w:tbl>
    <w:p w14:paraId="3B7EC9E6">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hint="default" w:ascii="Times New Roman" w:hAnsi="Times New Roman" w:eastAsia="宋体" w:cs="Times New Roman"/>
          <w:snapToGrid w:val="0"/>
          <w:color w:val="auto"/>
          <w:kern w:val="0"/>
          <w:highlight w:val="none"/>
          <w:lang w:eastAsia="zh-CN"/>
        </w:rPr>
      </w:pPr>
      <w:r>
        <w:rPr>
          <w:rFonts w:hint="default" w:ascii="Times New Roman" w:hAnsi="Times New Roman" w:eastAsia="宋体" w:cs="Times New Roman"/>
          <w:snapToGrid w:val="0"/>
          <w:color w:val="auto"/>
          <w:kern w:val="0"/>
          <w:highlight w:val="none"/>
          <w:lang w:eastAsia="zh-CN"/>
        </w:rPr>
        <w:t>（2）区域</w:t>
      </w:r>
      <w:r>
        <w:rPr>
          <w:rFonts w:hint="eastAsia" w:ascii="Times New Roman" w:hAnsi="Times New Roman" w:eastAsia="宋体" w:cs="Times New Roman"/>
          <w:snapToGrid w:val="0"/>
          <w:color w:val="auto"/>
          <w:kern w:val="0"/>
          <w:highlight w:val="none"/>
          <w:lang w:val="en-US" w:eastAsia="zh-CN"/>
        </w:rPr>
        <w:t>削减</w:t>
      </w:r>
      <w:r>
        <w:rPr>
          <w:rFonts w:hint="default" w:ascii="Times New Roman" w:hAnsi="Times New Roman" w:eastAsia="宋体" w:cs="Times New Roman"/>
          <w:snapToGrid w:val="0"/>
          <w:color w:val="auto"/>
          <w:kern w:val="0"/>
          <w:highlight w:val="none"/>
          <w:lang w:eastAsia="zh-CN"/>
        </w:rPr>
        <w:t>源计算清单</w:t>
      </w:r>
    </w:p>
    <w:p w14:paraId="7A575F43">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w:t>
      </w:r>
      <w:r>
        <w:rPr>
          <w:rFonts w:hint="default" w:ascii="Times New Roman" w:hAnsi="Times New Roman" w:eastAsia="宋体" w:cs="Times New Roman"/>
          <w:color w:val="auto"/>
          <w:kern w:val="0"/>
          <w:sz w:val="24"/>
          <w:highlight w:val="none"/>
        </w:rPr>
        <w:t>项目位于</w:t>
      </w:r>
      <w:r>
        <w:rPr>
          <w:rFonts w:hint="eastAsia" w:ascii="Times New Roman" w:hAnsi="Times New Roman" w:eastAsia="宋体" w:cs="Times New Roman"/>
          <w:color w:val="auto"/>
          <w:kern w:val="0"/>
          <w:sz w:val="24"/>
          <w:highlight w:val="none"/>
        </w:rPr>
        <w:t>乌苏市</w:t>
      </w:r>
      <w:r>
        <w:rPr>
          <w:rFonts w:hint="eastAsia" w:ascii="Times New Roman" w:hAnsi="Times New Roman" w:eastAsia="宋体" w:cs="Times New Roman"/>
          <w:color w:val="auto"/>
          <w:kern w:val="0"/>
          <w:sz w:val="24"/>
          <w:highlight w:val="none"/>
          <w:lang w:val="zh-CN"/>
        </w:rPr>
        <w:t>化工</w:t>
      </w:r>
      <w:r>
        <w:rPr>
          <w:rFonts w:hint="eastAsia" w:ascii="Times New Roman" w:hAnsi="Times New Roman" w:eastAsia="宋体" w:cs="Times New Roman"/>
          <w:color w:val="auto"/>
          <w:kern w:val="0"/>
          <w:sz w:val="24"/>
          <w:highlight w:val="none"/>
        </w:rPr>
        <w:t>产业</w:t>
      </w:r>
      <w:r>
        <w:rPr>
          <w:rFonts w:hint="eastAsia" w:ascii="Times New Roman" w:hAnsi="Times New Roman" w:eastAsia="宋体" w:cs="Times New Roman"/>
          <w:color w:val="auto"/>
          <w:kern w:val="0"/>
          <w:sz w:val="24"/>
          <w:highlight w:val="none"/>
          <w:lang w:val="zh-CN"/>
        </w:rPr>
        <w:t>集中区</w:t>
      </w:r>
      <w:r>
        <w:rPr>
          <w:rFonts w:hint="eastAsia" w:ascii="Times New Roman" w:hAnsi="Times New Roman" w:eastAsia="宋体" w:cs="Times New Roman"/>
          <w:color w:val="auto"/>
          <w:kern w:val="0"/>
          <w:sz w:val="24"/>
          <w:highlight w:val="none"/>
          <w:lang w:val="en-US" w:eastAsia="zh-CN"/>
        </w:rPr>
        <w:t>西区</w:t>
      </w:r>
      <w:r>
        <w:rPr>
          <w:rFonts w:hint="eastAsia" w:ascii="Times New Roman" w:hAnsi="Times New Roman" w:eastAsia="宋体" w:cs="Times New Roman"/>
          <w:color w:val="auto"/>
          <w:kern w:val="0"/>
          <w:sz w:val="24"/>
          <w:highlight w:val="none"/>
        </w:rPr>
        <w:t>凯赛（乌苏）生物</w:t>
      </w:r>
      <w:r>
        <w:rPr>
          <w:rFonts w:hint="eastAsia" w:ascii="Times New Roman" w:hAnsi="Times New Roman" w:eastAsia="宋体" w:cs="Times New Roman"/>
          <w:color w:val="auto"/>
          <w:kern w:val="0"/>
          <w:sz w:val="24"/>
          <w:highlight w:val="none"/>
          <w:lang w:val="en-US" w:eastAsia="zh-CN"/>
        </w:rPr>
        <w:t>材料</w:t>
      </w:r>
      <w:r>
        <w:rPr>
          <w:rFonts w:hint="eastAsia" w:ascii="Times New Roman" w:hAnsi="Times New Roman" w:eastAsia="宋体" w:cs="Times New Roman"/>
          <w:color w:val="auto"/>
          <w:kern w:val="0"/>
          <w:sz w:val="24"/>
          <w:highlight w:val="none"/>
        </w:rPr>
        <w:t>有限公司</w:t>
      </w:r>
      <w:r>
        <w:rPr>
          <w:rFonts w:hint="default" w:ascii="Times New Roman" w:hAnsi="Times New Roman" w:eastAsia="宋体" w:cs="Times New Roman"/>
          <w:color w:val="auto"/>
          <w:kern w:val="0"/>
          <w:sz w:val="24"/>
          <w:highlight w:val="none"/>
        </w:rPr>
        <w:t>厂区内，</w:t>
      </w:r>
      <w:r>
        <w:rPr>
          <w:rFonts w:hint="eastAsia" w:ascii="Times New Roman" w:hAnsi="Times New Roman" w:eastAsia="宋体" w:cs="Times New Roman"/>
          <w:color w:val="auto"/>
          <w:kern w:val="0"/>
          <w:sz w:val="24"/>
          <w:highlight w:val="none"/>
          <w:lang w:val="en-US" w:eastAsia="zh-CN"/>
        </w:rPr>
        <w:t>区域</w:t>
      </w:r>
      <w:r>
        <w:rPr>
          <w:rFonts w:hint="default" w:ascii="Times New Roman" w:hAnsi="Times New Roman" w:eastAsia="宋体" w:cs="Times New Roman"/>
          <w:color w:val="auto"/>
          <w:kern w:val="0"/>
          <w:sz w:val="24"/>
          <w:highlight w:val="none"/>
        </w:rPr>
        <w:t>202</w:t>
      </w:r>
      <w:r>
        <w:rPr>
          <w:rFonts w:hint="eastAsia" w:ascii="Times New Roman" w:hAnsi="Times New Roman" w:eastAsia="宋体" w:cs="Times New Roman"/>
          <w:color w:val="auto"/>
          <w:kern w:val="0"/>
          <w:sz w:val="24"/>
          <w:highlight w:val="none"/>
          <w:lang w:val="en-US" w:eastAsia="zh-CN"/>
        </w:rPr>
        <w:t>4</w:t>
      </w:r>
      <w:r>
        <w:rPr>
          <w:rFonts w:hint="default" w:ascii="Times New Roman" w:hAnsi="Times New Roman" w:eastAsia="宋体" w:cs="Times New Roman"/>
          <w:color w:val="auto"/>
          <w:kern w:val="0"/>
          <w:sz w:val="24"/>
          <w:highlight w:val="none"/>
        </w:rPr>
        <w:t>年PM</w:t>
      </w:r>
      <w:r>
        <w:rPr>
          <w:rFonts w:hint="default" w:ascii="Times New Roman" w:hAnsi="Times New Roman" w:eastAsia="宋体" w:cs="Times New Roman"/>
          <w:color w:val="auto"/>
          <w:kern w:val="0"/>
          <w:sz w:val="24"/>
          <w:highlight w:val="none"/>
          <w:vertAlign w:val="subscript"/>
        </w:rPr>
        <w:t>10</w:t>
      </w:r>
      <w:r>
        <w:rPr>
          <w:rFonts w:hint="default" w:ascii="Times New Roman" w:hAnsi="Times New Roman" w:eastAsia="宋体" w:cs="Times New Roman"/>
          <w:color w:val="auto"/>
          <w:kern w:val="0"/>
          <w:sz w:val="24"/>
          <w:highlight w:val="none"/>
        </w:rPr>
        <w:t>和PM</w:t>
      </w:r>
      <w:r>
        <w:rPr>
          <w:rFonts w:hint="default" w:ascii="Times New Roman" w:hAnsi="Times New Roman" w:eastAsia="宋体" w:cs="Times New Roman"/>
          <w:color w:val="auto"/>
          <w:kern w:val="0"/>
          <w:sz w:val="24"/>
          <w:highlight w:val="none"/>
          <w:vertAlign w:val="subscript"/>
        </w:rPr>
        <w:t>2.5</w:t>
      </w:r>
      <w:r>
        <w:rPr>
          <w:rFonts w:hint="default" w:ascii="Times New Roman" w:hAnsi="Times New Roman" w:eastAsia="宋体" w:cs="Times New Roman"/>
          <w:color w:val="auto"/>
          <w:kern w:val="0"/>
          <w:sz w:val="24"/>
          <w:highlight w:val="none"/>
        </w:rPr>
        <w:t>的</w:t>
      </w:r>
      <w:r>
        <w:rPr>
          <w:rFonts w:hint="default" w:ascii="Times New Roman" w:hAnsi="Times New Roman" w:eastAsia="宋体" w:cs="Times New Roman"/>
          <w:color w:val="auto"/>
          <w:kern w:val="0"/>
          <w:sz w:val="24"/>
          <w:highlight w:val="none"/>
          <w:lang w:val="en-US" w:eastAsia="zh-CN"/>
        </w:rPr>
        <w:t>日平均第95百分位数</w:t>
      </w:r>
      <w:r>
        <w:rPr>
          <w:rFonts w:hint="default" w:ascii="Times New Roman" w:hAnsi="Times New Roman" w:eastAsia="宋体" w:cs="Times New Roman"/>
          <w:color w:val="auto"/>
          <w:kern w:val="0"/>
          <w:sz w:val="24"/>
          <w:highlight w:val="none"/>
        </w:rPr>
        <w:t>均超标。</w:t>
      </w:r>
    </w:p>
    <w:p w14:paraId="17699F84">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项目占地130000m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vertAlign w:val="baseline"/>
          <w:lang w:val="en-US" w:eastAsia="zh-CN"/>
        </w:rPr>
        <w:t>，项目建成后地面由</w:t>
      </w:r>
      <w:r>
        <w:rPr>
          <w:rFonts w:hint="eastAsia" w:ascii="Times New Roman" w:hAnsi="Times New Roman" w:eastAsia="宋体" w:cs="Times New Roman"/>
          <w:color w:val="auto"/>
          <w:kern w:val="0"/>
          <w:sz w:val="24"/>
          <w:highlight w:val="none"/>
          <w:lang w:val="en-US" w:eastAsia="zh-CN"/>
        </w:rPr>
        <w:t>裸露土地变为硬化或绿化后土地，颗粒物产生量将减少。</w:t>
      </w:r>
    </w:p>
    <w:p w14:paraId="276BA2D6">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kern w:val="0"/>
          <w:sz w:val="24"/>
          <w:highlight w:val="none"/>
          <w:lang w:val="en-US" w:eastAsia="zh-CN"/>
        </w:rPr>
      </w:pPr>
      <w:bookmarkStart w:id="138" w:name="_Toc12887"/>
      <w:bookmarkStart w:id="139" w:name="_Toc7996"/>
      <w:r>
        <w:rPr>
          <w:rFonts w:hint="eastAsia" w:ascii="Times New Roman" w:hAnsi="Times New Roman" w:eastAsia="宋体" w:cs="Times New Roman"/>
          <w:color w:val="auto"/>
          <w:kern w:val="0"/>
          <w:sz w:val="24"/>
          <w:highlight w:val="none"/>
          <w:lang w:val="en-US" w:eastAsia="zh-CN"/>
        </w:rPr>
        <w:t>根据《扬尘源颗粒物排放清单编制技术指南（试行）》，</w:t>
      </w:r>
      <w:bookmarkEnd w:id="138"/>
      <w:bookmarkEnd w:id="139"/>
      <w:r>
        <w:rPr>
          <w:rFonts w:hint="eastAsia" w:ascii="Times New Roman" w:hAnsi="Times New Roman" w:eastAsia="宋体" w:cs="Times New Roman"/>
          <w:color w:val="auto"/>
          <w:kern w:val="0"/>
          <w:sz w:val="24"/>
          <w:highlight w:val="none"/>
          <w:lang w:val="en-US" w:eastAsia="zh-CN"/>
        </w:rPr>
        <w:t>土壤扬尘源排放量的计算公式如下：</w:t>
      </w:r>
    </w:p>
    <w:p w14:paraId="47C3E43B">
      <w:pPr>
        <w:pStyle w:val="170"/>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color w:val="auto"/>
          <w:kern w:val="0"/>
          <w:sz w:val="24"/>
          <w:highlight w:val="none"/>
          <w:lang w:val="en-US" w:eastAsia="zh-CN"/>
        </w:rPr>
      </w:pPr>
      <w:bookmarkStart w:id="140" w:name="_Toc3455"/>
      <w:bookmarkStart w:id="141" w:name="_Toc12942"/>
      <w:r>
        <w:rPr>
          <w:rFonts w:hint="eastAsia" w:ascii="Times New Roman" w:hAnsi="Times New Roman" w:eastAsia="宋体" w:cs="Times New Roman"/>
          <w:color w:val="auto"/>
          <w:kern w:val="0"/>
          <w:sz w:val="24"/>
          <w:highlight w:val="none"/>
          <w:lang w:val="en-US" w:eastAsia="zh-CN"/>
        </w:rPr>
        <w:drawing>
          <wp:inline distT="0" distB="0" distL="114300" distR="114300">
            <wp:extent cx="2114550" cy="1215390"/>
            <wp:effectExtent l="0" t="0" r="0" b="3810"/>
            <wp:docPr id="179" name="图片 179" descr="31193eaf-247e-46cc-9587-ef052cce7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31193eaf-247e-46cc-9587-ef052cce713b"/>
                    <pic:cNvPicPr>
                      <a:picLocks noChangeAspect="1"/>
                    </pic:cNvPicPr>
                  </pic:nvPicPr>
                  <pic:blipFill>
                    <a:blip r:embed="rId34"/>
                    <a:stretch>
                      <a:fillRect/>
                    </a:stretch>
                  </pic:blipFill>
                  <pic:spPr>
                    <a:xfrm>
                      <a:off x="0" y="0"/>
                      <a:ext cx="2114550" cy="1215390"/>
                    </a:xfrm>
                    <a:prstGeom prst="rect">
                      <a:avLst/>
                    </a:prstGeom>
                  </pic:spPr>
                </pic:pic>
              </a:graphicData>
            </a:graphic>
          </wp:inline>
        </w:drawing>
      </w:r>
    </w:p>
    <w:p w14:paraId="68093780">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式中：W</w:t>
      </w:r>
      <w:r>
        <w:rPr>
          <w:rFonts w:hint="eastAsia" w:ascii="Times New Roman" w:hAnsi="Times New Roman" w:eastAsia="宋体" w:cs="Times New Roman"/>
          <w:color w:val="auto"/>
          <w:kern w:val="0"/>
          <w:sz w:val="24"/>
          <w:highlight w:val="none"/>
          <w:vertAlign w:val="subscript"/>
          <w:lang w:val="en-US" w:eastAsia="zh-CN"/>
        </w:rPr>
        <w:t>si</w:t>
      </w:r>
      <w:r>
        <w:rPr>
          <w:rFonts w:hint="eastAsia" w:ascii="Times New Roman" w:hAnsi="Times New Roman" w:eastAsia="宋体" w:cs="Times New Roman"/>
          <w:color w:val="auto"/>
          <w:kern w:val="0"/>
          <w:sz w:val="24"/>
          <w:highlight w:val="none"/>
          <w:vertAlign w:val="baseline"/>
          <w:lang w:val="en-US" w:eastAsia="zh-CN"/>
        </w:rPr>
        <w:t>为</w:t>
      </w:r>
      <w:r>
        <w:rPr>
          <w:rFonts w:hint="eastAsia" w:ascii="Times New Roman" w:hAnsi="Times New Roman" w:eastAsia="宋体" w:cs="Times New Roman"/>
          <w:color w:val="auto"/>
          <w:kern w:val="0"/>
          <w:sz w:val="24"/>
          <w:highlight w:val="none"/>
          <w:lang w:val="en-US" w:eastAsia="zh-CN"/>
        </w:rPr>
        <w:t>土壤扬尘中PM</w:t>
      </w:r>
      <w:r>
        <w:rPr>
          <w:rFonts w:hint="eastAsia" w:ascii="Times New Roman" w:hAnsi="Times New Roman" w:eastAsia="宋体" w:cs="Times New Roman"/>
          <w:color w:val="auto"/>
          <w:kern w:val="0"/>
          <w:sz w:val="24"/>
          <w:highlight w:val="none"/>
          <w:vertAlign w:val="subscript"/>
          <w:lang w:val="en-US" w:eastAsia="zh-CN"/>
        </w:rPr>
        <w:t>i</w:t>
      </w:r>
      <w:r>
        <w:rPr>
          <w:rFonts w:hint="eastAsia" w:ascii="Times New Roman" w:hAnsi="Times New Roman" w:eastAsia="宋体" w:cs="Times New Roman"/>
          <w:color w:val="auto"/>
          <w:kern w:val="0"/>
          <w:sz w:val="24"/>
          <w:highlight w:val="none"/>
          <w:lang w:val="en-US" w:eastAsia="zh-CN"/>
        </w:rPr>
        <w:t>（空气动力学粒径在0~iμm间的颗粒物，下同）总排放量，t/a；</w:t>
      </w:r>
      <w:bookmarkEnd w:id="140"/>
      <w:bookmarkEnd w:id="141"/>
    </w:p>
    <w:p w14:paraId="2CDBA8CF">
      <w:pPr>
        <w:pStyle w:val="170"/>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eastAsia" w:ascii="Times New Roman" w:hAnsi="Times New Roman" w:eastAsia="宋体" w:cs="Times New Roman"/>
          <w:color w:val="auto"/>
          <w:kern w:val="0"/>
          <w:sz w:val="24"/>
          <w:highlight w:val="none"/>
          <w:vertAlign w:val="baseline"/>
          <w:lang w:val="en-US" w:eastAsia="zh-CN"/>
        </w:rPr>
      </w:pPr>
      <w:bookmarkStart w:id="142" w:name="_Toc20993"/>
      <w:bookmarkStart w:id="143" w:name="_Toc24118"/>
      <w:r>
        <w:rPr>
          <w:rFonts w:hint="eastAsia" w:ascii="Times New Roman" w:hAnsi="Times New Roman" w:eastAsia="宋体" w:cs="Times New Roman"/>
          <w:color w:val="auto"/>
          <w:kern w:val="0"/>
          <w:sz w:val="24"/>
          <w:highlight w:val="none"/>
          <w:lang w:val="en-US" w:eastAsia="zh-CN"/>
        </w:rPr>
        <w:t>E</w:t>
      </w:r>
      <w:r>
        <w:rPr>
          <w:rFonts w:hint="eastAsia" w:ascii="Times New Roman" w:hAnsi="Times New Roman" w:eastAsia="宋体" w:cs="Times New Roman"/>
          <w:color w:val="auto"/>
          <w:kern w:val="0"/>
          <w:sz w:val="24"/>
          <w:highlight w:val="none"/>
          <w:vertAlign w:val="subscript"/>
          <w:lang w:val="en-US" w:eastAsia="zh-CN"/>
        </w:rPr>
        <w:t>si</w:t>
      </w:r>
      <w:r>
        <w:rPr>
          <w:rFonts w:hint="eastAsia" w:ascii="Times New Roman" w:hAnsi="Times New Roman" w:eastAsia="宋体" w:cs="Times New Roman"/>
          <w:color w:val="auto"/>
          <w:kern w:val="0"/>
          <w:sz w:val="24"/>
          <w:highlight w:val="none"/>
          <w:vertAlign w:val="baseline"/>
          <w:lang w:val="en-US" w:eastAsia="zh-CN"/>
        </w:rPr>
        <w:t>为土壤扬尘源的PM</w:t>
      </w:r>
      <w:r>
        <w:rPr>
          <w:rFonts w:hint="eastAsia" w:ascii="Times New Roman" w:hAnsi="Times New Roman" w:eastAsia="宋体" w:cs="Times New Roman"/>
          <w:color w:val="auto"/>
          <w:kern w:val="0"/>
          <w:sz w:val="24"/>
          <w:highlight w:val="none"/>
          <w:vertAlign w:val="subscript"/>
          <w:lang w:val="en-US" w:eastAsia="zh-CN"/>
        </w:rPr>
        <w:t>i</w:t>
      </w:r>
      <w:r>
        <w:rPr>
          <w:rFonts w:hint="eastAsia" w:ascii="Times New Roman" w:hAnsi="Times New Roman" w:eastAsia="宋体" w:cs="Times New Roman"/>
          <w:color w:val="auto"/>
          <w:kern w:val="0"/>
          <w:sz w:val="24"/>
          <w:highlight w:val="none"/>
          <w:vertAlign w:val="baseline"/>
          <w:lang w:val="en-US" w:eastAsia="zh-CN"/>
        </w:rPr>
        <w:t>排放系数，t/（m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vertAlign w:val="baseline"/>
          <w:lang w:val="en-US" w:eastAsia="zh-CN"/>
        </w:rPr>
        <w:t>•a）；</w:t>
      </w:r>
      <w:bookmarkEnd w:id="142"/>
      <w:bookmarkEnd w:id="143"/>
    </w:p>
    <w:p w14:paraId="41FDB319">
      <w:pPr>
        <w:pStyle w:val="170"/>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A</w:t>
      </w:r>
      <w:r>
        <w:rPr>
          <w:rFonts w:hint="eastAsia" w:ascii="Times New Roman" w:hAnsi="Times New Roman" w:eastAsia="宋体" w:cs="Times New Roman"/>
          <w:color w:val="auto"/>
          <w:kern w:val="0"/>
          <w:sz w:val="24"/>
          <w:highlight w:val="none"/>
          <w:vertAlign w:val="subscript"/>
          <w:lang w:val="en-US" w:eastAsia="zh-CN"/>
        </w:rPr>
        <w:t>s</w:t>
      </w:r>
      <w:r>
        <w:rPr>
          <w:rFonts w:hint="eastAsia" w:ascii="Times New Roman" w:hAnsi="Times New Roman" w:eastAsia="宋体" w:cs="Times New Roman"/>
          <w:color w:val="auto"/>
          <w:kern w:val="0"/>
          <w:sz w:val="24"/>
          <w:highlight w:val="none"/>
          <w:vertAlign w:val="baseline"/>
          <w:lang w:val="en-US" w:eastAsia="zh-CN"/>
        </w:rPr>
        <w:t>为土壤扬尘源的面积，单位m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vertAlign w:val="baseline"/>
          <w:lang w:val="en-US" w:eastAsia="zh-CN"/>
        </w:rPr>
        <w:t>，取130000m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vertAlign w:val="baseline"/>
          <w:lang w:val="en-US" w:eastAsia="zh-CN"/>
        </w:rPr>
        <w:t>；</w:t>
      </w:r>
    </w:p>
    <w:p w14:paraId="0786C0B7">
      <w:pPr>
        <w:pStyle w:val="170"/>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D</w:t>
      </w:r>
      <w:r>
        <w:rPr>
          <w:rFonts w:hint="eastAsia" w:ascii="Times New Roman" w:hAnsi="Times New Roman" w:eastAsia="宋体" w:cs="Times New Roman"/>
          <w:color w:val="auto"/>
          <w:kern w:val="0"/>
          <w:sz w:val="24"/>
          <w:highlight w:val="none"/>
          <w:vertAlign w:val="subscript"/>
          <w:lang w:val="en-US" w:eastAsia="zh-CN"/>
        </w:rPr>
        <w:t>i</w:t>
      </w:r>
      <w:r>
        <w:rPr>
          <w:rFonts w:hint="eastAsia" w:ascii="Times New Roman" w:hAnsi="Times New Roman" w:eastAsia="宋体" w:cs="Times New Roman"/>
          <w:color w:val="auto"/>
          <w:kern w:val="0"/>
          <w:sz w:val="24"/>
          <w:highlight w:val="none"/>
          <w:vertAlign w:val="baseline"/>
          <w:lang w:val="en-US" w:eastAsia="zh-CN"/>
        </w:rPr>
        <w:t>为PM</w:t>
      </w:r>
      <w:r>
        <w:rPr>
          <w:rFonts w:hint="eastAsia" w:ascii="Times New Roman" w:hAnsi="Times New Roman" w:eastAsia="宋体" w:cs="Times New Roman"/>
          <w:color w:val="auto"/>
          <w:kern w:val="0"/>
          <w:sz w:val="24"/>
          <w:highlight w:val="none"/>
          <w:vertAlign w:val="subscript"/>
          <w:lang w:val="en-US" w:eastAsia="zh-CN"/>
        </w:rPr>
        <w:t>i</w:t>
      </w:r>
      <w:r>
        <w:rPr>
          <w:rFonts w:hint="eastAsia" w:ascii="Times New Roman" w:hAnsi="Times New Roman" w:eastAsia="宋体" w:cs="Times New Roman"/>
          <w:color w:val="auto"/>
          <w:kern w:val="0"/>
          <w:sz w:val="24"/>
          <w:highlight w:val="none"/>
          <w:vertAlign w:val="baseline"/>
          <w:lang w:val="en-US" w:eastAsia="zh-CN"/>
        </w:rPr>
        <w:t>的起尘因子，t/（10</w:t>
      </w:r>
      <w:r>
        <w:rPr>
          <w:rFonts w:hint="eastAsia" w:ascii="Times New Roman" w:hAnsi="Times New Roman" w:eastAsia="宋体" w:cs="Times New Roman"/>
          <w:color w:val="auto"/>
          <w:kern w:val="0"/>
          <w:sz w:val="24"/>
          <w:highlight w:val="none"/>
          <w:vertAlign w:val="superscript"/>
          <w:lang w:val="en-US" w:eastAsia="zh-CN"/>
        </w:rPr>
        <w:t>4</w:t>
      </w:r>
      <w:r>
        <w:rPr>
          <w:rFonts w:hint="eastAsia" w:ascii="Times New Roman" w:hAnsi="Times New Roman" w:eastAsia="宋体" w:cs="Times New Roman"/>
          <w:color w:val="auto"/>
          <w:kern w:val="0"/>
          <w:sz w:val="24"/>
          <w:highlight w:val="none"/>
          <w:vertAlign w:val="baseline"/>
          <w:lang w:val="en-US" w:eastAsia="zh-CN"/>
        </w:rPr>
        <w:t xml:space="preserve"> 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vertAlign w:val="baseline"/>
          <w:lang w:val="en-US" w:eastAsia="zh-CN"/>
        </w:rPr>
        <w:t>•a）；</w:t>
      </w:r>
    </w:p>
    <w:p w14:paraId="69E370BF">
      <w:pPr>
        <w:pStyle w:val="170"/>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C为气候因子，表征气象因素对土壤扬尘的影响；</w:t>
      </w:r>
    </w:p>
    <w:p w14:paraId="365096AB">
      <w:pPr>
        <w:pStyle w:val="170"/>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η为污染控制技术对扬尘的去除效率，%，对颗粒物的控制效率见表3。多种措施同时开展的，取控制效率最大值；取0。</w:t>
      </w:r>
    </w:p>
    <w:p w14:paraId="3A53B6B0">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spacing w:val="-6"/>
          <w:kern w:val="0"/>
          <w:sz w:val="24"/>
          <w:highlight w:val="none"/>
          <w:vertAlign w:val="baseline"/>
          <w:lang w:val="en-US" w:eastAsia="zh-CN"/>
        </w:rPr>
      </w:pPr>
      <w:r>
        <w:rPr>
          <w:rFonts w:hint="eastAsia" w:ascii="Times New Roman" w:hAnsi="Times New Roman" w:eastAsia="宋体" w:cs="Times New Roman"/>
          <w:color w:val="auto"/>
          <w:spacing w:val="-6"/>
          <w:kern w:val="0"/>
          <w:sz w:val="24"/>
          <w:highlight w:val="none"/>
          <w:vertAlign w:val="baseline"/>
          <w:lang w:val="en-US" w:eastAsia="zh-CN"/>
        </w:rPr>
        <w:t xml:space="preserve">      k</w:t>
      </w:r>
      <w:r>
        <w:rPr>
          <w:rFonts w:hint="eastAsia" w:ascii="Times New Roman" w:hAnsi="Times New Roman" w:eastAsia="宋体" w:cs="Times New Roman"/>
          <w:color w:val="auto"/>
          <w:spacing w:val="-6"/>
          <w:kern w:val="0"/>
          <w:sz w:val="24"/>
          <w:highlight w:val="none"/>
          <w:vertAlign w:val="subscript"/>
          <w:lang w:val="en-US" w:eastAsia="zh-CN"/>
        </w:rPr>
        <w:t>i</w:t>
      </w:r>
      <w:r>
        <w:rPr>
          <w:rFonts w:hint="eastAsia" w:ascii="Times New Roman" w:hAnsi="Times New Roman" w:eastAsia="宋体" w:cs="Times New Roman"/>
          <w:color w:val="auto"/>
          <w:spacing w:val="-6"/>
          <w:kern w:val="0"/>
          <w:sz w:val="24"/>
          <w:highlight w:val="none"/>
          <w:vertAlign w:val="baseline"/>
          <w:lang w:val="en-US" w:eastAsia="zh-CN"/>
        </w:rPr>
        <w:t>为PM</w:t>
      </w:r>
      <w:r>
        <w:rPr>
          <w:rFonts w:hint="eastAsia" w:ascii="Times New Roman" w:hAnsi="Times New Roman" w:eastAsia="宋体" w:cs="Times New Roman"/>
          <w:color w:val="auto"/>
          <w:spacing w:val="-6"/>
          <w:kern w:val="0"/>
          <w:sz w:val="24"/>
          <w:highlight w:val="none"/>
          <w:vertAlign w:val="subscript"/>
          <w:lang w:val="en-US" w:eastAsia="zh-CN"/>
        </w:rPr>
        <w:t>i</w:t>
      </w:r>
      <w:r>
        <w:rPr>
          <w:rFonts w:hint="eastAsia" w:ascii="Times New Roman" w:hAnsi="Times New Roman" w:eastAsia="宋体" w:cs="Times New Roman"/>
          <w:color w:val="auto"/>
          <w:spacing w:val="-6"/>
          <w:kern w:val="0"/>
          <w:sz w:val="24"/>
          <w:highlight w:val="none"/>
          <w:vertAlign w:val="baseline"/>
          <w:lang w:val="en-US" w:eastAsia="zh-CN"/>
        </w:rPr>
        <w:t>在土壤扬尘中的百分含量，取值PM</w:t>
      </w:r>
      <w:r>
        <w:rPr>
          <w:rFonts w:hint="eastAsia" w:ascii="Times New Roman" w:hAnsi="Times New Roman" w:eastAsia="宋体" w:cs="Times New Roman"/>
          <w:color w:val="auto"/>
          <w:spacing w:val="-6"/>
          <w:kern w:val="0"/>
          <w:sz w:val="24"/>
          <w:highlight w:val="none"/>
          <w:vertAlign w:val="subscript"/>
          <w:lang w:val="en-US" w:eastAsia="zh-CN"/>
        </w:rPr>
        <w:t>10</w:t>
      </w:r>
      <w:r>
        <w:rPr>
          <w:rFonts w:hint="eastAsia" w:ascii="Times New Roman" w:hAnsi="Times New Roman" w:eastAsia="宋体" w:cs="Times New Roman"/>
          <w:color w:val="auto"/>
          <w:spacing w:val="-6"/>
          <w:kern w:val="0"/>
          <w:sz w:val="24"/>
          <w:highlight w:val="none"/>
          <w:vertAlign w:val="baseline"/>
          <w:lang w:val="en-US" w:eastAsia="zh-CN"/>
        </w:rPr>
        <w:t>为0.30、PM</w:t>
      </w:r>
      <w:r>
        <w:rPr>
          <w:rFonts w:hint="eastAsia" w:ascii="Times New Roman" w:hAnsi="Times New Roman" w:eastAsia="宋体" w:cs="Times New Roman"/>
          <w:color w:val="auto"/>
          <w:spacing w:val="-6"/>
          <w:kern w:val="0"/>
          <w:sz w:val="24"/>
          <w:highlight w:val="none"/>
          <w:vertAlign w:val="subscript"/>
          <w:lang w:val="en-US" w:eastAsia="zh-CN"/>
        </w:rPr>
        <w:t>2.5</w:t>
      </w:r>
      <w:r>
        <w:rPr>
          <w:rFonts w:hint="eastAsia" w:ascii="Times New Roman" w:hAnsi="Times New Roman" w:eastAsia="宋体" w:cs="Times New Roman"/>
          <w:color w:val="auto"/>
          <w:spacing w:val="-6"/>
          <w:kern w:val="0"/>
          <w:sz w:val="24"/>
          <w:highlight w:val="none"/>
          <w:vertAlign w:val="baseline"/>
          <w:lang w:val="en-US" w:eastAsia="zh-CN"/>
        </w:rPr>
        <w:t>为0.15。</w:t>
      </w:r>
    </w:p>
    <w:p w14:paraId="73C54DA0">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 xml:space="preserve">     I</w:t>
      </w:r>
      <w:r>
        <w:rPr>
          <w:rFonts w:hint="eastAsia" w:ascii="Times New Roman" w:hAnsi="Times New Roman" w:eastAsia="宋体" w:cs="Times New Roman"/>
          <w:color w:val="auto"/>
          <w:kern w:val="0"/>
          <w:sz w:val="24"/>
          <w:highlight w:val="none"/>
          <w:vertAlign w:val="subscript"/>
          <w:lang w:val="en-US" w:eastAsia="zh-CN"/>
        </w:rPr>
        <w:t>we</w:t>
      </w:r>
      <w:r>
        <w:rPr>
          <w:rFonts w:hint="eastAsia" w:ascii="Times New Roman" w:hAnsi="Times New Roman" w:eastAsia="宋体" w:cs="Times New Roman"/>
          <w:color w:val="auto"/>
          <w:kern w:val="0"/>
          <w:sz w:val="24"/>
          <w:highlight w:val="none"/>
          <w:vertAlign w:val="baseline"/>
          <w:lang w:val="en-US" w:eastAsia="zh-CN"/>
        </w:rPr>
        <w:t>为土壤风蚀指数，推荐值见表4；其它类型土壤的风蚀指数可以选择质地接近的土壤类型代替；项目取PM</w:t>
      </w:r>
      <w:r>
        <w:rPr>
          <w:rFonts w:hint="eastAsia" w:ascii="Times New Roman" w:hAnsi="Times New Roman" w:eastAsia="宋体" w:cs="Times New Roman"/>
          <w:color w:val="auto"/>
          <w:kern w:val="0"/>
          <w:sz w:val="24"/>
          <w:highlight w:val="none"/>
          <w:vertAlign w:val="subscript"/>
          <w:lang w:val="en-US" w:eastAsia="zh-CN"/>
        </w:rPr>
        <w:t>10</w:t>
      </w:r>
      <w:r>
        <w:rPr>
          <w:rFonts w:hint="eastAsia" w:ascii="Times New Roman" w:hAnsi="Times New Roman" w:eastAsia="宋体" w:cs="Times New Roman"/>
          <w:color w:val="auto"/>
          <w:kern w:val="0"/>
          <w:sz w:val="24"/>
          <w:highlight w:val="none"/>
          <w:vertAlign w:val="baseline"/>
          <w:lang w:val="en-US" w:eastAsia="zh-CN"/>
        </w:rPr>
        <w:t>为147、PM</w:t>
      </w:r>
      <w:r>
        <w:rPr>
          <w:rFonts w:hint="eastAsia" w:ascii="Times New Roman" w:hAnsi="Times New Roman" w:eastAsia="宋体" w:cs="Times New Roman"/>
          <w:color w:val="auto"/>
          <w:kern w:val="0"/>
          <w:sz w:val="24"/>
          <w:highlight w:val="none"/>
          <w:vertAlign w:val="subscript"/>
          <w:lang w:val="en-US" w:eastAsia="zh-CN"/>
        </w:rPr>
        <w:t>2.5</w:t>
      </w:r>
      <w:r>
        <w:rPr>
          <w:rFonts w:hint="eastAsia" w:ascii="Times New Roman" w:hAnsi="Times New Roman" w:eastAsia="宋体" w:cs="Times New Roman"/>
          <w:color w:val="auto"/>
          <w:kern w:val="0"/>
          <w:sz w:val="24"/>
          <w:highlight w:val="none"/>
          <w:vertAlign w:val="baseline"/>
          <w:lang w:val="en-US" w:eastAsia="zh-CN"/>
        </w:rPr>
        <w:t>为24；</w:t>
      </w:r>
    </w:p>
    <w:p w14:paraId="1F589826">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 xml:space="preserve">     f为地面粗糙因子，取值为0.5，在近海、海岛、海岸、湖岸及沙漠地区取值为1，取0.5；</w:t>
      </w:r>
    </w:p>
    <w:p w14:paraId="5C782F1E">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 xml:space="preserve">     L为无屏蔽宽度因子，即没有明显的阻挡物（如建筑物或者高大的树木）的最大范围。当无屏蔽宽度≤300米时，L=0.7；当无屏蔽宽度在300米至600米之间时，L=0.85；当无屏蔽宽度≥600米时，L=1.0；取0.7；</w:t>
      </w:r>
    </w:p>
    <w:p w14:paraId="4D2F2FA2">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 xml:space="preserve">     V为植被覆盖因子，是指裸露土壤面积占总计算面积的比例，计算公式如下：</w:t>
      </w:r>
    </w:p>
    <w:p w14:paraId="1E3DCF58">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V=裸露土壤面积/总计算面积</w:t>
      </w:r>
    </w:p>
    <w:p w14:paraId="664CA8D5">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u为年平均风速，m/s；取1.58m/s；</w:t>
      </w:r>
    </w:p>
    <w:p w14:paraId="1E9556D7">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PE 为桑氏威特降水—蒸发指数，计算公式如下：</w:t>
      </w:r>
    </w:p>
    <w:p w14:paraId="4F4176B0">
      <w:pPr>
        <w:pStyle w:val="170"/>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drawing>
          <wp:inline distT="0" distB="0" distL="114300" distR="114300">
            <wp:extent cx="2898775" cy="349250"/>
            <wp:effectExtent l="0" t="0" r="15875" b="12700"/>
            <wp:docPr id="180" name="图片 180" descr="68c3be92-da3e-4d6f-999e-1af03a18d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68c3be92-da3e-4d6f-999e-1af03a18d7d0"/>
                    <pic:cNvPicPr>
                      <a:picLocks noChangeAspect="1"/>
                    </pic:cNvPicPr>
                  </pic:nvPicPr>
                  <pic:blipFill>
                    <a:blip r:embed="rId35"/>
                    <a:stretch>
                      <a:fillRect/>
                    </a:stretch>
                  </pic:blipFill>
                  <pic:spPr>
                    <a:xfrm>
                      <a:off x="0" y="0"/>
                      <a:ext cx="2898775" cy="349250"/>
                    </a:xfrm>
                    <a:prstGeom prst="rect">
                      <a:avLst/>
                    </a:prstGeom>
                  </pic:spPr>
                </pic:pic>
              </a:graphicData>
            </a:graphic>
          </wp:inline>
        </w:drawing>
      </w:r>
    </w:p>
    <w:p w14:paraId="1BD7BB1A">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式中：p为年降水量（mm）；取190.9mm；</w:t>
      </w:r>
    </w:p>
    <w:p w14:paraId="7B4DB327">
      <w:pPr>
        <w:pStyle w:val="170"/>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snapToGrid w:val="0"/>
          <w:color w:val="auto"/>
          <w:kern w:val="0"/>
          <w:sz w:val="24"/>
          <w:highlight w:val="none"/>
          <w:vertAlign w:val="baseline"/>
          <w:lang w:val="en-US" w:eastAsia="zh-CN"/>
        </w:rPr>
      </w:pPr>
      <w:r>
        <w:rPr>
          <w:rFonts w:hint="eastAsia" w:ascii="Times New Roman" w:hAnsi="Times New Roman" w:eastAsia="宋体" w:cs="Times New Roman"/>
          <w:snapToGrid w:val="0"/>
          <w:color w:val="auto"/>
          <w:kern w:val="0"/>
          <w:sz w:val="24"/>
          <w:highlight w:val="none"/>
          <w:vertAlign w:val="baseline"/>
          <w:lang w:val="en-US" w:eastAsia="zh-CN"/>
        </w:rPr>
        <w:t>T</w:t>
      </w:r>
      <w:r>
        <w:rPr>
          <w:rFonts w:hint="eastAsia" w:ascii="Times New Roman" w:hAnsi="Times New Roman" w:eastAsia="宋体" w:cs="Times New Roman"/>
          <w:snapToGrid w:val="0"/>
          <w:color w:val="auto"/>
          <w:kern w:val="0"/>
          <w:sz w:val="24"/>
          <w:highlight w:val="none"/>
          <w:vertAlign w:val="subscript"/>
          <w:lang w:val="en-US" w:eastAsia="zh-CN"/>
        </w:rPr>
        <w:t>a</w:t>
      </w:r>
      <w:r>
        <w:rPr>
          <w:rFonts w:hint="eastAsia" w:ascii="Times New Roman" w:hAnsi="Times New Roman" w:eastAsia="宋体" w:cs="Times New Roman"/>
          <w:snapToGrid w:val="0"/>
          <w:color w:val="auto"/>
          <w:kern w:val="0"/>
          <w:sz w:val="24"/>
          <w:highlight w:val="none"/>
          <w:vertAlign w:val="baseline"/>
          <w:lang w:val="en-US" w:eastAsia="zh-CN"/>
        </w:rPr>
        <w:t>为年平均温度（℃）；取8.85℃。</w:t>
      </w:r>
    </w:p>
    <w:p w14:paraId="205759D7">
      <w:pPr>
        <w:pStyle w:val="1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计算得出PM</w:t>
      </w:r>
      <w:r>
        <w:rPr>
          <w:rFonts w:hint="eastAsia" w:ascii="Times New Roman" w:hAnsi="Times New Roman" w:eastAsia="宋体" w:cs="Times New Roman"/>
          <w:color w:val="auto"/>
          <w:kern w:val="0"/>
          <w:sz w:val="24"/>
          <w:highlight w:val="none"/>
          <w:vertAlign w:val="subscript"/>
          <w:lang w:val="en-US" w:eastAsia="zh-CN"/>
        </w:rPr>
        <w:t>10</w:t>
      </w:r>
      <w:r>
        <w:rPr>
          <w:rFonts w:hint="eastAsia" w:ascii="Times New Roman" w:hAnsi="Times New Roman" w:eastAsia="宋体" w:cs="Times New Roman"/>
          <w:color w:val="auto"/>
          <w:kern w:val="0"/>
          <w:sz w:val="24"/>
          <w:highlight w:val="none"/>
          <w:vertAlign w:val="baseline"/>
          <w:lang w:val="en-US" w:eastAsia="zh-CN"/>
        </w:rPr>
        <w:t>排放量为2.46t/a，PM</w:t>
      </w:r>
      <w:r>
        <w:rPr>
          <w:rFonts w:hint="eastAsia" w:ascii="Times New Roman" w:hAnsi="Times New Roman" w:eastAsia="宋体" w:cs="Times New Roman"/>
          <w:color w:val="auto"/>
          <w:kern w:val="0"/>
          <w:sz w:val="24"/>
          <w:highlight w:val="none"/>
          <w:vertAlign w:val="subscript"/>
          <w:lang w:val="en-US" w:eastAsia="zh-CN"/>
        </w:rPr>
        <w:t>2.5</w:t>
      </w:r>
      <w:r>
        <w:rPr>
          <w:rFonts w:hint="eastAsia" w:ascii="Times New Roman" w:hAnsi="Times New Roman" w:eastAsia="宋体" w:cs="Times New Roman"/>
          <w:color w:val="auto"/>
          <w:kern w:val="0"/>
          <w:sz w:val="24"/>
          <w:highlight w:val="none"/>
          <w:vertAlign w:val="baseline"/>
          <w:lang w:val="en-US" w:eastAsia="zh-CN"/>
        </w:rPr>
        <w:t>排放量为0.21t/a。</w:t>
      </w:r>
    </w:p>
    <w:p w14:paraId="71733AAC">
      <w:pPr>
        <w:spacing w:line="360" w:lineRule="auto"/>
        <w:ind w:firstLine="480" w:firstLineChars="200"/>
        <w:rPr>
          <w:rFonts w:hint="default" w:ascii="Times New Roman" w:hAnsi="Times New Roman"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根据《凯赛（乌苏）生物材料有限公司“一企一策”大气污染治理方案（2024年）》，整改措施完成情况见表6.2-16，本项目</w:t>
      </w:r>
      <w:r>
        <w:rPr>
          <w:rFonts w:hint="eastAsia" w:ascii="Times New Roman" w:hAnsi="Times New Roman" w:cs="Times New Roman"/>
          <w:color w:val="auto"/>
          <w:kern w:val="2"/>
          <w:sz w:val="24"/>
          <w:szCs w:val="24"/>
          <w:highlight w:val="none"/>
          <w:lang w:val="en-US" w:eastAsia="zh-CN"/>
        </w:rPr>
        <w:t>区域废气污染物消减情况见表</w:t>
      </w:r>
      <w:r>
        <w:rPr>
          <w:rFonts w:hint="eastAsia" w:cs="Times New Roman"/>
          <w:color w:val="auto"/>
          <w:kern w:val="2"/>
          <w:sz w:val="24"/>
          <w:szCs w:val="24"/>
          <w:highlight w:val="none"/>
          <w:lang w:val="en-US" w:eastAsia="zh-CN"/>
        </w:rPr>
        <w:t>6.2-17</w:t>
      </w:r>
      <w:r>
        <w:rPr>
          <w:rFonts w:hint="eastAsia" w:ascii="Times New Roman" w:hAnsi="Times New Roman" w:cs="Times New Roman"/>
          <w:color w:val="auto"/>
          <w:kern w:val="2"/>
          <w:sz w:val="24"/>
          <w:szCs w:val="24"/>
          <w:highlight w:val="none"/>
          <w:lang w:val="en-US" w:eastAsia="zh-CN"/>
        </w:rPr>
        <w:t>。</w:t>
      </w:r>
    </w:p>
    <w:p w14:paraId="78A5881C">
      <w:pPr>
        <w:keepNext w:val="0"/>
        <w:keepLines w:val="0"/>
        <w:pageBreakBefore w:val="0"/>
        <w:widowControl w:val="0"/>
        <w:kinsoku/>
        <w:wordWrap/>
        <w:overflowPunct/>
        <w:topLinePunct w:val="0"/>
        <w:autoSpaceDE/>
        <w:autoSpaceDN/>
        <w:bidi w:val="0"/>
        <w:adjustRightInd w:val="0"/>
        <w:snapToGrid w:val="0"/>
        <w:spacing w:before="157" w:beforeLines="50"/>
        <w:ind w:firstLine="422" w:firstLineChars="200"/>
        <w:jc w:val="center"/>
        <w:textAlignment w:val="auto"/>
        <w:rPr>
          <w:rFonts w:hint="eastAsia" w:eastAsia="宋体"/>
          <w:b/>
          <w:bCs/>
          <w:snapToGrid w:val="0"/>
          <w:color w:val="auto"/>
          <w:kern w:val="0"/>
          <w:szCs w:val="21"/>
          <w:highlight w:val="none"/>
          <w:lang w:val="en-US" w:eastAsia="zh-CN"/>
        </w:rPr>
      </w:pPr>
      <w:r>
        <w:rPr>
          <w:rFonts w:hint="default" w:eastAsia="宋体"/>
          <w:b/>
          <w:bCs/>
          <w:snapToGrid w:val="0"/>
          <w:color w:val="auto"/>
          <w:kern w:val="0"/>
          <w:szCs w:val="21"/>
          <w:highlight w:val="none"/>
          <w:lang w:val="en-US" w:eastAsia="zh-CN"/>
        </w:rPr>
        <w:t>表</w:t>
      </w:r>
      <w:r>
        <w:rPr>
          <w:rFonts w:hint="eastAsia" w:eastAsia="宋体"/>
          <w:b/>
          <w:bCs/>
          <w:snapToGrid w:val="0"/>
          <w:color w:val="auto"/>
          <w:kern w:val="0"/>
          <w:szCs w:val="21"/>
          <w:highlight w:val="none"/>
          <w:lang w:val="en-US" w:eastAsia="zh-CN"/>
        </w:rPr>
        <w:t>6.2-16</w:t>
      </w:r>
      <w:r>
        <w:rPr>
          <w:rFonts w:hint="default" w:eastAsia="宋体"/>
          <w:b/>
          <w:bCs/>
          <w:snapToGrid w:val="0"/>
          <w:color w:val="auto"/>
          <w:kern w:val="0"/>
          <w:szCs w:val="21"/>
          <w:highlight w:val="none"/>
          <w:lang w:val="en-US" w:eastAsia="zh-CN"/>
        </w:rPr>
        <w:t xml:space="preserve"> </w:t>
      </w:r>
      <w:r>
        <w:rPr>
          <w:rFonts w:hint="eastAsia" w:eastAsia="宋体"/>
          <w:b/>
          <w:bCs/>
          <w:snapToGrid w:val="0"/>
          <w:color w:val="auto"/>
          <w:kern w:val="0"/>
          <w:szCs w:val="21"/>
          <w:highlight w:val="none"/>
          <w:lang w:val="en-US" w:eastAsia="zh-CN"/>
        </w:rPr>
        <w:t>削减源情况一览表</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2551"/>
        <w:gridCol w:w="2496"/>
        <w:gridCol w:w="1430"/>
        <w:gridCol w:w="1400"/>
      </w:tblGrid>
      <w:tr w14:paraId="73AC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0" w:type="auto"/>
            <w:vAlign w:val="center"/>
          </w:tcPr>
          <w:p w14:paraId="1112050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序号</w:t>
            </w:r>
          </w:p>
        </w:tc>
        <w:tc>
          <w:tcPr>
            <w:tcW w:w="0" w:type="auto"/>
            <w:vAlign w:val="center"/>
          </w:tcPr>
          <w:p w14:paraId="521D9E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整改措施</w:t>
            </w:r>
          </w:p>
        </w:tc>
        <w:tc>
          <w:tcPr>
            <w:tcW w:w="0" w:type="auto"/>
            <w:vAlign w:val="center"/>
          </w:tcPr>
          <w:p w14:paraId="6B919F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削减情况</w:t>
            </w:r>
          </w:p>
        </w:tc>
        <w:tc>
          <w:tcPr>
            <w:tcW w:w="0" w:type="auto"/>
            <w:vAlign w:val="center"/>
          </w:tcPr>
          <w:p w14:paraId="0FC7B9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削减源</w:t>
            </w:r>
          </w:p>
        </w:tc>
        <w:tc>
          <w:tcPr>
            <w:tcW w:w="0" w:type="auto"/>
            <w:vAlign w:val="center"/>
          </w:tcPr>
          <w:p w14:paraId="24EBD0C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实施时间</w:t>
            </w:r>
          </w:p>
        </w:tc>
      </w:tr>
      <w:tr w14:paraId="3D3F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8D1C3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1</w:t>
            </w:r>
          </w:p>
        </w:tc>
        <w:tc>
          <w:tcPr>
            <w:tcW w:w="0" w:type="auto"/>
            <w:vAlign w:val="center"/>
          </w:tcPr>
          <w:p w14:paraId="268DF6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发酵罐底料新连消设备改造项目</w:t>
            </w:r>
          </w:p>
        </w:tc>
        <w:tc>
          <w:tcPr>
            <w:tcW w:w="0" w:type="auto"/>
            <w:vAlign w:val="center"/>
          </w:tcPr>
          <w:p w14:paraId="617E0F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减少蒸汽使用，蒸汽锅炉燃煤量减少</w:t>
            </w:r>
          </w:p>
        </w:tc>
        <w:tc>
          <w:tcPr>
            <w:tcW w:w="0" w:type="auto"/>
            <w:vAlign w:val="center"/>
          </w:tcPr>
          <w:p w14:paraId="293345D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颗粒物：1.56t/a</w:t>
            </w:r>
          </w:p>
        </w:tc>
        <w:tc>
          <w:tcPr>
            <w:tcW w:w="0" w:type="auto"/>
            <w:vAlign w:val="center"/>
          </w:tcPr>
          <w:p w14:paraId="48D7F4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2024年1月30日</w:t>
            </w:r>
          </w:p>
        </w:tc>
      </w:tr>
      <w:tr w14:paraId="04B6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DA7E8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2</w:t>
            </w:r>
          </w:p>
        </w:tc>
        <w:tc>
          <w:tcPr>
            <w:tcW w:w="0" w:type="auto"/>
            <w:vAlign w:val="center"/>
          </w:tcPr>
          <w:p w14:paraId="163136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生产工艺浓糖新连消设备改造</w:t>
            </w:r>
          </w:p>
        </w:tc>
        <w:tc>
          <w:tcPr>
            <w:tcW w:w="0" w:type="auto"/>
            <w:vAlign w:val="center"/>
          </w:tcPr>
          <w:p w14:paraId="6EFE819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减少蒸汽使用，蒸汽锅炉燃煤量减少</w:t>
            </w:r>
          </w:p>
        </w:tc>
        <w:tc>
          <w:tcPr>
            <w:tcW w:w="0" w:type="auto"/>
            <w:vAlign w:val="center"/>
          </w:tcPr>
          <w:p w14:paraId="6B5EAC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颗粒物：4.37t/a</w:t>
            </w:r>
          </w:p>
        </w:tc>
        <w:tc>
          <w:tcPr>
            <w:tcW w:w="0" w:type="auto"/>
            <w:vAlign w:val="center"/>
          </w:tcPr>
          <w:p w14:paraId="25725B9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2024年5月30日</w:t>
            </w:r>
          </w:p>
        </w:tc>
      </w:tr>
      <w:tr w14:paraId="353F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62177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3</w:t>
            </w:r>
          </w:p>
        </w:tc>
        <w:tc>
          <w:tcPr>
            <w:tcW w:w="0" w:type="auto"/>
            <w:vAlign w:val="center"/>
          </w:tcPr>
          <w:p w14:paraId="32E4D8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蒸汽锅炉布袋除尘器滤袋及引风机改造</w:t>
            </w:r>
          </w:p>
        </w:tc>
        <w:tc>
          <w:tcPr>
            <w:tcW w:w="0" w:type="auto"/>
            <w:vAlign w:val="center"/>
          </w:tcPr>
          <w:p w14:paraId="4D7E8F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颗粒物减少</w:t>
            </w:r>
          </w:p>
        </w:tc>
        <w:tc>
          <w:tcPr>
            <w:tcW w:w="0" w:type="auto"/>
            <w:vAlign w:val="center"/>
          </w:tcPr>
          <w:p w14:paraId="655818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颗粒物：1.54t/a</w:t>
            </w:r>
          </w:p>
        </w:tc>
        <w:tc>
          <w:tcPr>
            <w:tcW w:w="0" w:type="auto"/>
            <w:vAlign w:val="center"/>
          </w:tcPr>
          <w:p w14:paraId="1137E4B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2025年</w:t>
            </w: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6</w:t>
            </w: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月3</w:t>
            </w: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0</w:t>
            </w: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日</w:t>
            </w:r>
          </w:p>
        </w:tc>
      </w:tr>
      <w:tr w14:paraId="62E0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0D145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4</w:t>
            </w:r>
          </w:p>
        </w:tc>
        <w:tc>
          <w:tcPr>
            <w:tcW w:w="0" w:type="auto"/>
            <w:vAlign w:val="center"/>
          </w:tcPr>
          <w:p w14:paraId="6D7ACF22">
            <w:pPr>
              <w:keepNext w:val="0"/>
              <w:keepLines w:val="0"/>
              <w:pageBreakBefore w:val="0"/>
              <w:widowControl w:val="0"/>
              <w:kinsoku/>
              <w:wordWrap/>
              <w:overflowPunct/>
              <w:topLinePunct w:val="0"/>
              <w:autoSpaceDE/>
              <w:autoSpaceDN/>
              <w:bidi w:val="0"/>
              <w:adjustRightInd w:val="0"/>
              <w:snapToGrid w:val="0"/>
              <w:spacing w:beforeAutospacing="0" w:after="0" w:afterAutospacing="0"/>
              <w:ind w:firstLine="0" w:firstLineChars="0"/>
              <w:jc w:val="center"/>
              <w:textAlignment w:val="center"/>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淀粉车间新增异味收集治理</w:t>
            </w:r>
          </w:p>
        </w:tc>
        <w:tc>
          <w:tcPr>
            <w:tcW w:w="0" w:type="auto"/>
            <w:vAlign w:val="center"/>
          </w:tcPr>
          <w:p w14:paraId="16B16E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颗粒物减少</w:t>
            </w:r>
          </w:p>
        </w:tc>
        <w:tc>
          <w:tcPr>
            <w:tcW w:w="0" w:type="auto"/>
            <w:vAlign w:val="center"/>
          </w:tcPr>
          <w:p w14:paraId="2CDA01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颗粒物：1.8t/a</w:t>
            </w:r>
          </w:p>
        </w:tc>
        <w:tc>
          <w:tcPr>
            <w:tcW w:w="0" w:type="auto"/>
            <w:vAlign w:val="center"/>
          </w:tcPr>
          <w:p w14:paraId="2E438E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2024年</w:t>
            </w: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9</w:t>
            </w: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月30日</w:t>
            </w:r>
          </w:p>
        </w:tc>
      </w:tr>
      <w:tr w14:paraId="26FE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Align w:val="center"/>
          </w:tcPr>
          <w:p w14:paraId="7768126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5</w:t>
            </w:r>
          </w:p>
        </w:tc>
        <w:tc>
          <w:tcPr>
            <w:tcW w:w="0" w:type="auto"/>
            <w:vAlign w:val="center"/>
          </w:tcPr>
          <w:p w14:paraId="4F68FB02">
            <w:pPr>
              <w:keepNext w:val="0"/>
              <w:keepLines w:val="0"/>
              <w:pageBreakBefore w:val="0"/>
              <w:widowControl w:val="0"/>
              <w:kinsoku/>
              <w:wordWrap/>
              <w:overflowPunct/>
              <w:topLinePunct w:val="0"/>
              <w:autoSpaceDE/>
              <w:autoSpaceDN/>
              <w:bidi w:val="0"/>
              <w:adjustRightInd w:val="0"/>
              <w:snapToGrid w:val="0"/>
              <w:spacing w:beforeAutospacing="0" w:after="0" w:afterAutospacing="0"/>
              <w:ind w:firstLine="0" w:firstLineChars="0"/>
              <w:jc w:val="center"/>
              <w:textAlignment w:val="center"/>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玉米烘干转运除尘改造</w:t>
            </w:r>
          </w:p>
        </w:tc>
        <w:tc>
          <w:tcPr>
            <w:tcW w:w="0" w:type="auto"/>
            <w:vAlign w:val="center"/>
          </w:tcPr>
          <w:p w14:paraId="3350339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颗粒物减少</w:t>
            </w:r>
          </w:p>
        </w:tc>
        <w:tc>
          <w:tcPr>
            <w:tcW w:w="0" w:type="auto"/>
            <w:vAlign w:val="center"/>
          </w:tcPr>
          <w:p w14:paraId="511125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颗粒物：0.045t/a</w:t>
            </w:r>
          </w:p>
        </w:tc>
        <w:tc>
          <w:tcPr>
            <w:tcW w:w="0" w:type="auto"/>
            <w:vAlign w:val="center"/>
          </w:tcPr>
          <w:p w14:paraId="4FCE7E6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default" w:ascii="Times New Roman" w:hAnsi="Times New Roman" w:eastAsia="宋体" w:cs="Times New Roman"/>
                <w:b w:val="0"/>
                <w:bCs w:val="0"/>
                <w:snapToGrid w:val="0"/>
                <w:color w:val="auto"/>
                <w:kern w:val="0"/>
                <w:sz w:val="21"/>
                <w:szCs w:val="21"/>
                <w:highlight w:val="none"/>
                <w:vertAlign w:val="baseline"/>
                <w:lang w:val="en-US" w:eastAsia="zh-CN"/>
              </w:rPr>
              <w:t>2025年7月31日</w:t>
            </w:r>
          </w:p>
        </w:tc>
      </w:tr>
      <w:tr w14:paraId="5F49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B12F4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bookmarkStart w:id="144" w:name="_Ref29271"/>
            <w:r>
              <w:rPr>
                <w:rFonts w:hint="eastAsia" w:eastAsia="宋体" w:cs="Times New Roman"/>
                <w:b w:val="0"/>
                <w:bCs w:val="0"/>
                <w:snapToGrid w:val="0"/>
                <w:color w:val="auto"/>
                <w:kern w:val="0"/>
                <w:sz w:val="21"/>
                <w:szCs w:val="21"/>
                <w:highlight w:val="none"/>
                <w:vertAlign w:val="baseline"/>
                <w:lang w:val="en-US" w:eastAsia="zh-CN"/>
              </w:rPr>
              <w:t>6</w:t>
            </w:r>
          </w:p>
        </w:tc>
        <w:tc>
          <w:tcPr>
            <w:tcW w:w="0" w:type="auto"/>
            <w:vAlign w:val="center"/>
          </w:tcPr>
          <w:p w14:paraId="71F99354">
            <w:pPr>
              <w:keepNext w:val="0"/>
              <w:keepLines w:val="0"/>
              <w:pageBreakBefore w:val="0"/>
              <w:widowControl w:val="0"/>
              <w:kinsoku/>
              <w:wordWrap/>
              <w:overflowPunct/>
              <w:topLinePunct w:val="0"/>
              <w:autoSpaceDE/>
              <w:autoSpaceDN/>
              <w:bidi w:val="0"/>
              <w:adjustRightInd w:val="0"/>
              <w:snapToGrid w:val="0"/>
              <w:spacing w:beforeAutospacing="0" w:after="0" w:afterAutospacing="0"/>
              <w:ind w:firstLine="0" w:firstLineChars="0"/>
              <w:jc w:val="center"/>
              <w:textAlignment w:val="center"/>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eastAsia="宋体" w:cs="Times New Roman"/>
                <w:b w:val="0"/>
                <w:bCs w:val="0"/>
                <w:snapToGrid w:val="0"/>
                <w:color w:val="auto"/>
                <w:kern w:val="0"/>
                <w:sz w:val="21"/>
                <w:szCs w:val="21"/>
                <w:highlight w:val="none"/>
                <w:lang w:val="en-US" w:eastAsia="zh-CN"/>
              </w:rPr>
              <w:t>本项目工程占地</w:t>
            </w:r>
          </w:p>
        </w:tc>
        <w:tc>
          <w:tcPr>
            <w:tcW w:w="0" w:type="auto"/>
            <w:vAlign w:val="center"/>
          </w:tcPr>
          <w:p w14:paraId="7DD6E82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颗粒物减少</w:t>
            </w:r>
          </w:p>
        </w:tc>
        <w:tc>
          <w:tcPr>
            <w:tcW w:w="0" w:type="auto"/>
            <w:vAlign w:val="center"/>
          </w:tcPr>
          <w:p w14:paraId="7D87076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ascii="Times New Roman" w:hAnsi="Times New Roman" w:eastAsia="宋体" w:cs="Times New Roman"/>
                <w:b w:val="0"/>
                <w:bCs w:val="0"/>
                <w:snapToGrid w:val="0"/>
                <w:color w:val="auto"/>
                <w:kern w:val="0"/>
                <w:sz w:val="21"/>
                <w:szCs w:val="21"/>
                <w:highlight w:val="none"/>
                <w:vertAlign w:val="baseline"/>
                <w:lang w:val="en-US" w:eastAsia="zh-CN"/>
              </w:rPr>
              <w:t>颗粒物：2.46t/a</w:t>
            </w:r>
          </w:p>
        </w:tc>
        <w:tc>
          <w:tcPr>
            <w:tcW w:w="0" w:type="auto"/>
            <w:vAlign w:val="center"/>
          </w:tcPr>
          <w:p w14:paraId="283ADB8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vertAlign w:val="baseline"/>
                <w:lang w:val="en-US" w:eastAsia="zh-CN"/>
              </w:rPr>
            </w:pPr>
            <w:r>
              <w:rPr>
                <w:rFonts w:hint="eastAsia" w:eastAsia="宋体" w:cs="Times New Roman"/>
                <w:b w:val="0"/>
                <w:bCs w:val="0"/>
                <w:snapToGrid w:val="0"/>
                <w:color w:val="auto"/>
                <w:kern w:val="0"/>
                <w:sz w:val="21"/>
                <w:szCs w:val="21"/>
                <w:highlight w:val="none"/>
                <w:vertAlign w:val="baseline"/>
                <w:lang w:val="en-US" w:eastAsia="zh-CN"/>
              </w:rPr>
              <w:t>项目建成后</w:t>
            </w:r>
          </w:p>
        </w:tc>
      </w:tr>
    </w:tbl>
    <w:p w14:paraId="75D3075B">
      <w:pPr>
        <w:pStyle w:val="412"/>
        <w:tabs>
          <w:tab w:val="left" w:pos="0"/>
          <w:tab w:val="clear" w:pos="6840"/>
        </w:tabs>
        <w:topLinePunct w:val="0"/>
        <w:adjustRightInd w:val="0"/>
        <w:spacing w:line="240" w:lineRule="auto"/>
        <w:ind w:left="0" w:firstLine="0" w:firstLineChars="0"/>
        <w:textAlignment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6.2</w:t>
      </w:r>
      <w:r>
        <w:rPr>
          <w:rFonts w:hint="eastAsia" w:ascii="Times New Roman" w:hAnsi="Times New Roman" w:cs="Times New Roman"/>
          <w:snapToGrid w:val="0"/>
          <w:color w:val="auto"/>
          <w:kern w:val="0"/>
          <w:sz w:val="21"/>
          <w:szCs w:val="21"/>
          <w:highlight w:val="none"/>
        </w:rPr>
        <w:t>-</w:t>
      </w:r>
      <w:bookmarkEnd w:id="144"/>
      <w:r>
        <w:rPr>
          <w:rFonts w:hint="eastAsia" w:ascii="Times New Roman" w:hAnsi="Times New Roman" w:cs="Times New Roman"/>
          <w:snapToGrid w:val="0"/>
          <w:color w:val="auto"/>
          <w:kern w:val="0"/>
          <w:sz w:val="21"/>
          <w:szCs w:val="21"/>
          <w:highlight w:val="none"/>
        </w:rPr>
        <w:t>1</w:t>
      </w:r>
      <w:r>
        <w:rPr>
          <w:rFonts w:hint="eastAsia" w:ascii="Times New Roman" w:hAnsi="Times New Roman" w:cs="Times New Roman"/>
          <w:snapToGrid w:val="0"/>
          <w:color w:val="auto"/>
          <w:kern w:val="0"/>
          <w:sz w:val="21"/>
          <w:szCs w:val="21"/>
          <w:highlight w:val="none"/>
          <w:lang w:val="en-US" w:eastAsia="zh-CN"/>
        </w:rPr>
        <w:t>7</w:t>
      </w:r>
      <w:r>
        <w:rPr>
          <w:rFonts w:hint="default"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rPr>
        <w:t>削减源污染物排放一览表</w:t>
      </w:r>
    </w:p>
    <w:tbl>
      <w:tblPr>
        <w:tblStyle w:val="5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399"/>
        <w:gridCol w:w="1587"/>
        <w:gridCol w:w="686"/>
        <w:gridCol w:w="604"/>
        <w:gridCol w:w="885"/>
        <w:gridCol w:w="948"/>
        <w:gridCol w:w="1257"/>
        <w:gridCol w:w="842"/>
        <w:gridCol w:w="1060"/>
      </w:tblGrid>
      <w:tr w14:paraId="30D9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42" w:type="pct"/>
            <w:vMerge w:val="restart"/>
            <w:tcBorders>
              <w:tl2br w:val="nil"/>
              <w:tr2bl w:val="nil"/>
            </w:tcBorders>
            <w:vAlign w:val="center"/>
          </w:tcPr>
          <w:p w14:paraId="5C4A91F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编号</w:t>
            </w:r>
          </w:p>
        </w:tc>
        <w:tc>
          <w:tcPr>
            <w:tcW w:w="960" w:type="pct"/>
            <w:vMerge w:val="restart"/>
            <w:tcBorders>
              <w:tl2br w:val="nil"/>
              <w:tr2bl w:val="nil"/>
            </w:tcBorders>
            <w:vAlign w:val="center"/>
          </w:tcPr>
          <w:p w14:paraId="1112AA7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名称</w:t>
            </w:r>
          </w:p>
        </w:tc>
        <w:tc>
          <w:tcPr>
            <w:tcW w:w="780" w:type="pct"/>
            <w:gridSpan w:val="2"/>
            <w:tcBorders>
              <w:tl2br w:val="nil"/>
              <w:tr2bl w:val="nil"/>
            </w:tcBorders>
            <w:vAlign w:val="center"/>
          </w:tcPr>
          <w:p w14:paraId="6EB3DB1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坐标/m</w:t>
            </w:r>
          </w:p>
        </w:tc>
        <w:tc>
          <w:tcPr>
            <w:tcW w:w="535" w:type="pct"/>
            <w:vMerge w:val="restart"/>
            <w:tcBorders>
              <w:tl2br w:val="nil"/>
              <w:tr2bl w:val="nil"/>
            </w:tcBorders>
            <w:vAlign w:val="center"/>
          </w:tcPr>
          <w:p w14:paraId="7E70B02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内径</w:t>
            </w:r>
            <w:r>
              <w:rPr>
                <w:rFonts w:hint="default" w:ascii="Times New Roman" w:hAnsi="Times New Roman" w:eastAsia="宋体" w:cs="Times New Roman"/>
                <w:snapToGrid w:val="0"/>
                <w:color w:val="auto"/>
                <w:kern w:val="0"/>
                <w:sz w:val="21"/>
                <w:szCs w:val="21"/>
                <w:highlight w:val="none"/>
              </w:rPr>
              <w:t>/m</w:t>
            </w:r>
          </w:p>
        </w:tc>
        <w:tc>
          <w:tcPr>
            <w:tcW w:w="573" w:type="pct"/>
            <w:vMerge w:val="restart"/>
            <w:tcBorders>
              <w:tl2br w:val="nil"/>
              <w:tr2bl w:val="nil"/>
            </w:tcBorders>
            <w:vAlign w:val="center"/>
          </w:tcPr>
          <w:p w14:paraId="35CB715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高</w:t>
            </w:r>
            <w:r>
              <w:rPr>
                <w:rFonts w:hint="default" w:ascii="Times New Roman" w:hAnsi="Times New Roman" w:eastAsia="宋体" w:cs="Times New Roman"/>
                <w:snapToGrid w:val="0"/>
                <w:color w:val="auto"/>
                <w:kern w:val="0"/>
                <w:sz w:val="21"/>
                <w:szCs w:val="21"/>
                <w:highlight w:val="none"/>
              </w:rPr>
              <w:t>度/m</w:t>
            </w:r>
          </w:p>
        </w:tc>
        <w:tc>
          <w:tcPr>
            <w:tcW w:w="760" w:type="pct"/>
            <w:vMerge w:val="restart"/>
            <w:tcBorders>
              <w:tl2br w:val="nil"/>
              <w:tr2bl w:val="nil"/>
            </w:tcBorders>
            <w:vAlign w:val="center"/>
          </w:tcPr>
          <w:p w14:paraId="1671AA6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年排放</w:t>
            </w:r>
            <w:r>
              <w:rPr>
                <w:rFonts w:hint="eastAsia" w:ascii="Times New Roman" w:hAnsi="Times New Roman" w:eastAsia="宋体" w:cs="Times New Roman"/>
                <w:snapToGrid w:val="0"/>
                <w:color w:val="auto"/>
                <w:kern w:val="0"/>
                <w:sz w:val="21"/>
                <w:szCs w:val="21"/>
                <w:highlight w:val="none"/>
                <w:lang w:val="en-US" w:eastAsia="zh-CN"/>
              </w:rPr>
              <w:t>时间</w:t>
            </w:r>
            <w:r>
              <w:rPr>
                <w:rFonts w:hint="default" w:ascii="Times New Roman" w:hAnsi="Times New Roman" w:eastAsia="宋体" w:cs="Times New Roman"/>
                <w:snapToGrid w:val="0"/>
                <w:color w:val="auto"/>
                <w:kern w:val="0"/>
                <w:sz w:val="21"/>
                <w:szCs w:val="21"/>
                <w:highlight w:val="none"/>
              </w:rPr>
              <w:t>/h</w:t>
            </w:r>
          </w:p>
        </w:tc>
        <w:tc>
          <w:tcPr>
            <w:tcW w:w="1147" w:type="pct"/>
            <w:gridSpan w:val="2"/>
            <w:tcBorders>
              <w:tl2br w:val="nil"/>
              <w:tr2bl w:val="nil"/>
            </w:tcBorders>
            <w:vAlign w:val="center"/>
          </w:tcPr>
          <w:p w14:paraId="60A52CF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污染物排放速率（</w:t>
            </w:r>
            <w:r>
              <w:rPr>
                <w:rFonts w:hint="eastAsia" w:ascii="Times New Roman" w:hAnsi="Times New Roman" w:eastAsia="宋体" w:cs="Times New Roman"/>
                <w:snapToGrid w:val="0"/>
                <w:color w:val="auto"/>
                <w:kern w:val="0"/>
                <w:sz w:val="21"/>
                <w:szCs w:val="21"/>
                <w:highlight w:val="none"/>
                <w:lang w:val="en-US" w:eastAsia="zh-CN"/>
              </w:rPr>
              <w:t>kg/h</w:t>
            </w:r>
            <w:r>
              <w:rPr>
                <w:rFonts w:hint="default" w:ascii="Times New Roman" w:hAnsi="Times New Roman" w:eastAsia="宋体" w:cs="Times New Roman"/>
                <w:snapToGrid w:val="0"/>
                <w:color w:val="auto"/>
                <w:kern w:val="0"/>
                <w:sz w:val="21"/>
                <w:szCs w:val="21"/>
                <w:highlight w:val="none"/>
              </w:rPr>
              <w:t>）</w:t>
            </w:r>
          </w:p>
        </w:tc>
      </w:tr>
      <w:tr w14:paraId="008D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42" w:type="pct"/>
            <w:vMerge w:val="continue"/>
            <w:tcBorders>
              <w:tl2br w:val="nil"/>
              <w:tr2bl w:val="nil"/>
            </w:tcBorders>
            <w:vAlign w:val="center"/>
          </w:tcPr>
          <w:p w14:paraId="7D02520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960" w:type="pct"/>
            <w:vMerge w:val="continue"/>
            <w:tcBorders>
              <w:tl2br w:val="nil"/>
              <w:tr2bl w:val="nil"/>
            </w:tcBorders>
            <w:vAlign w:val="center"/>
          </w:tcPr>
          <w:p w14:paraId="45FDD6E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415" w:type="pct"/>
            <w:tcBorders>
              <w:tl2br w:val="nil"/>
              <w:tr2bl w:val="nil"/>
            </w:tcBorders>
            <w:vAlign w:val="center"/>
          </w:tcPr>
          <w:p w14:paraId="2B15394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X</w:t>
            </w:r>
          </w:p>
        </w:tc>
        <w:tc>
          <w:tcPr>
            <w:tcW w:w="365" w:type="pct"/>
            <w:tcBorders>
              <w:tl2br w:val="nil"/>
              <w:tr2bl w:val="nil"/>
            </w:tcBorders>
            <w:vAlign w:val="center"/>
          </w:tcPr>
          <w:p w14:paraId="5FADC55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Y</w:t>
            </w:r>
          </w:p>
        </w:tc>
        <w:tc>
          <w:tcPr>
            <w:tcW w:w="535" w:type="pct"/>
            <w:vMerge w:val="continue"/>
            <w:tcBorders>
              <w:tl2br w:val="nil"/>
              <w:tr2bl w:val="nil"/>
            </w:tcBorders>
            <w:vAlign w:val="center"/>
          </w:tcPr>
          <w:p w14:paraId="7912AEC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573" w:type="pct"/>
            <w:vMerge w:val="continue"/>
            <w:tcBorders>
              <w:tl2br w:val="nil"/>
              <w:tr2bl w:val="nil"/>
            </w:tcBorders>
            <w:vAlign w:val="center"/>
          </w:tcPr>
          <w:p w14:paraId="485CDDD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760" w:type="pct"/>
            <w:vMerge w:val="continue"/>
            <w:tcBorders>
              <w:tl2br w:val="nil"/>
              <w:tr2bl w:val="nil"/>
            </w:tcBorders>
            <w:vAlign w:val="center"/>
          </w:tcPr>
          <w:p w14:paraId="4536039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p>
        </w:tc>
        <w:tc>
          <w:tcPr>
            <w:tcW w:w="509" w:type="pct"/>
            <w:tcBorders>
              <w:tl2br w:val="nil"/>
              <w:tr2bl w:val="nil"/>
            </w:tcBorders>
            <w:vAlign w:val="center"/>
          </w:tcPr>
          <w:p w14:paraId="3CCF3F9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PM</w:t>
            </w:r>
            <w:r>
              <w:rPr>
                <w:rFonts w:hint="eastAsia" w:ascii="Times New Roman" w:hAnsi="Times New Roman" w:eastAsia="宋体" w:cs="Times New Roman"/>
                <w:snapToGrid w:val="0"/>
                <w:color w:val="auto"/>
                <w:kern w:val="0"/>
                <w:sz w:val="21"/>
                <w:szCs w:val="21"/>
                <w:highlight w:val="none"/>
                <w:vertAlign w:val="subscript"/>
                <w:lang w:val="en-US" w:eastAsia="zh-CN"/>
              </w:rPr>
              <w:t>10</w:t>
            </w:r>
          </w:p>
        </w:tc>
        <w:tc>
          <w:tcPr>
            <w:tcW w:w="638" w:type="pct"/>
            <w:tcBorders>
              <w:tl2br w:val="nil"/>
              <w:tr2bl w:val="nil"/>
            </w:tcBorders>
            <w:vAlign w:val="center"/>
          </w:tcPr>
          <w:p w14:paraId="7948716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rPr>
            </w:pPr>
            <w:r>
              <w:rPr>
                <w:rFonts w:hint="eastAsia" w:ascii="Times New Roman" w:hAnsi="Times New Roman" w:eastAsia="宋体" w:cs="Times New Roman"/>
                <w:snapToGrid w:val="0"/>
                <w:color w:val="auto"/>
                <w:kern w:val="0"/>
                <w:sz w:val="21"/>
                <w:szCs w:val="21"/>
                <w:highlight w:val="none"/>
                <w:lang w:val="en-US" w:eastAsia="zh-CN"/>
              </w:rPr>
              <w:t>PM</w:t>
            </w:r>
            <w:r>
              <w:rPr>
                <w:rFonts w:hint="eastAsia" w:ascii="Times New Roman" w:hAnsi="Times New Roman" w:eastAsia="宋体" w:cs="Times New Roman"/>
                <w:snapToGrid w:val="0"/>
                <w:color w:val="auto"/>
                <w:kern w:val="0"/>
                <w:sz w:val="21"/>
                <w:szCs w:val="21"/>
                <w:highlight w:val="none"/>
                <w:vertAlign w:val="subscript"/>
                <w:lang w:val="en-US" w:eastAsia="zh-CN"/>
              </w:rPr>
              <w:t>2.5</w:t>
            </w:r>
          </w:p>
        </w:tc>
      </w:tr>
      <w:tr w14:paraId="725E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42" w:type="pct"/>
            <w:tcBorders>
              <w:tl2br w:val="nil"/>
              <w:tr2bl w:val="nil"/>
            </w:tcBorders>
            <w:vAlign w:val="center"/>
          </w:tcPr>
          <w:p w14:paraId="0D2E99B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w:t>
            </w:r>
          </w:p>
        </w:tc>
        <w:tc>
          <w:tcPr>
            <w:tcW w:w="960" w:type="pct"/>
            <w:tcBorders>
              <w:tl2br w:val="nil"/>
              <w:tr2bl w:val="nil"/>
            </w:tcBorders>
            <w:vAlign w:val="center"/>
          </w:tcPr>
          <w:p w14:paraId="0007563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燃煤锅炉颗粒物</w:t>
            </w:r>
          </w:p>
        </w:tc>
        <w:tc>
          <w:tcPr>
            <w:tcW w:w="415" w:type="pct"/>
            <w:tcBorders>
              <w:tl2br w:val="nil"/>
              <w:tr2bl w:val="nil"/>
            </w:tcBorders>
            <w:vAlign w:val="center"/>
          </w:tcPr>
          <w:p w14:paraId="49997E6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95</w:t>
            </w:r>
          </w:p>
        </w:tc>
        <w:tc>
          <w:tcPr>
            <w:tcW w:w="365" w:type="pct"/>
            <w:tcBorders>
              <w:tl2br w:val="nil"/>
              <w:tr2bl w:val="nil"/>
            </w:tcBorders>
            <w:vAlign w:val="center"/>
          </w:tcPr>
          <w:p w14:paraId="501FCD5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358</w:t>
            </w:r>
          </w:p>
        </w:tc>
        <w:tc>
          <w:tcPr>
            <w:tcW w:w="535" w:type="pct"/>
            <w:tcBorders>
              <w:tl2br w:val="nil"/>
              <w:tr2bl w:val="nil"/>
            </w:tcBorders>
            <w:vAlign w:val="center"/>
          </w:tcPr>
          <w:p w14:paraId="092EC0E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3.5</w:t>
            </w:r>
          </w:p>
        </w:tc>
        <w:tc>
          <w:tcPr>
            <w:tcW w:w="573" w:type="pct"/>
            <w:tcBorders>
              <w:tl2br w:val="nil"/>
              <w:tr2bl w:val="nil"/>
            </w:tcBorders>
            <w:vAlign w:val="center"/>
          </w:tcPr>
          <w:p w14:paraId="40AB289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100</w:t>
            </w:r>
          </w:p>
        </w:tc>
        <w:tc>
          <w:tcPr>
            <w:tcW w:w="760" w:type="pct"/>
            <w:tcBorders>
              <w:tl2br w:val="nil"/>
              <w:tr2bl w:val="nil"/>
            </w:tcBorders>
            <w:vAlign w:val="center"/>
          </w:tcPr>
          <w:p w14:paraId="62E263E9">
            <w:pPr>
              <w:jc w:val="center"/>
              <w:rPr>
                <w:rFonts w:hint="default" w:eastAsia="宋体"/>
                <w:color w:val="auto"/>
                <w:highlight w:val="none"/>
                <w:lang w:val="en-US" w:eastAsia="zh-CN"/>
              </w:rPr>
            </w:pPr>
            <w:r>
              <w:rPr>
                <w:rFonts w:hint="eastAsia"/>
                <w:color w:val="auto"/>
                <w:highlight w:val="none"/>
                <w:lang w:val="en-US" w:eastAsia="zh-CN"/>
              </w:rPr>
              <w:t>7920</w:t>
            </w:r>
          </w:p>
        </w:tc>
        <w:tc>
          <w:tcPr>
            <w:tcW w:w="509" w:type="pct"/>
            <w:tcBorders>
              <w:tl2br w:val="nil"/>
              <w:tr2bl w:val="nil"/>
            </w:tcBorders>
            <w:vAlign w:val="center"/>
          </w:tcPr>
          <w:p w14:paraId="1C1AFF3B">
            <w:pPr>
              <w:jc w:val="center"/>
              <w:rPr>
                <w:rFonts w:hint="default"/>
                <w:color w:val="auto"/>
                <w:highlight w:val="none"/>
                <w:lang w:val="en-US"/>
              </w:rPr>
            </w:pPr>
            <w:r>
              <w:rPr>
                <w:rFonts w:hint="eastAsia" w:cs="Times New Roman"/>
                <w:snapToGrid w:val="0"/>
                <w:color w:val="auto"/>
                <w:kern w:val="0"/>
                <w:sz w:val="21"/>
                <w:szCs w:val="21"/>
                <w:highlight w:val="none"/>
                <w:lang w:val="en-US" w:eastAsia="zh-CN"/>
              </w:rPr>
              <w:t>0.943</w:t>
            </w:r>
          </w:p>
        </w:tc>
        <w:tc>
          <w:tcPr>
            <w:tcW w:w="638" w:type="pct"/>
            <w:tcBorders>
              <w:tl2br w:val="nil"/>
              <w:tr2bl w:val="nil"/>
            </w:tcBorders>
            <w:vAlign w:val="center"/>
          </w:tcPr>
          <w:p w14:paraId="5578253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0.472</w:t>
            </w:r>
          </w:p>
        </w:tc>
      </w:tr>
      <w:tr w14:paraId="7DFB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42" w:type="pct"/>
            <w:tcBorders>
              <w:tl2br w:val="nil"/>
              <w:tr2bl w:val="nil"/>
            </w:tcBorders>
            <w:vAlign w:val="center"/>
          </w:tcPr>
          <w:p w14:paraId="6CA2CA2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2</w:t>
            </w:r>
          </w:p>
        </w:tc>
        <w:tc>
          <w:tcPr>
            <w:tcW w:w="960" w:type="pct"/>
            <w:tcBorders>
              <w:tl2br w:val="nil"/>
              <w:tr2bl w:val="nil"/>
            </w:tcBorders>
            <w:vAlign w:val="center"/>
          </w:tcPr>
          <w:p w14:paraId="6B42CDD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淀粉车间新增异味收集治理</w:t>
            </w:r>
          </w:p>
        </w:tc>
        <w:tc>
          <w:tcPr>
            <w:tcW w:w="415" w:type="pct"/>
            <w:tcBorders>
              <w:tl2br w:val="nil"/>
              <w:tr2bl w:val="nil"/>
            </w:tcBorders>
            <w:vAlign w:val="center"/>
          </w:tcPr>
          <w:p w14:paraId="5AA7CE3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358</w:t>
            </w:r>
          </w:p>
        </w:tc>
        <w:tc>
          <w:tcPr>
            <w:tcW w:w="365" w:type="pct"/>
            <w:tcBorders>
              <w:tl2br w:val="nil"/>
              <w:tr2bl w:val="nil"/>
            </w:tcBorders>
            <w:vAlign w:val="center"/>
          </w:tcPr>
          <w:p w14:paraId="69D8950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-152</w:t>
            </w:r>
          </w:p>
        </w:tc>
        <w:tc>
          <w:tcPr>
            <w:tcW w:w="535" w:type="pct"/>
            <w:tcBorders>
              <w:tl2br w:val="nil"/>
              <w:tr2bl w:val="nil"/>
            </w:tcBorders>
            <w:vAlign w:val="center"/>
          </w:tcPr>
          <w:p w14:paraId="58B8465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等效内径：1.22</w:t>
            </w:r>
          </w:p>
        </w:tc>
        <w:tc>
          <w:tcPr>
            <w:tcW w:w="573" w:type="pct"/>
            <w:tcBorders>
              <w:tl2br w:val="nil"/>
              <w:tr2bl w:val="nil"/>
            </w:tcBorders>
            <w:vAlign w:val="center"/>
          </w:tcPr>
          <w:p w14:paraId="74335A2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等效高度：17</w:t>
            </w:r>
          </w:p>
        </w:tc>
        <w:tc>
          <w:tcPr>
            <w:tcW w:w="760" w:type="pct"/>
            <w:tcBorders>
              <w:tl2br w:val="nil"/>
              <w:tr2bl w:val="nil"/>
            </w:tcBorders>
            <w:vAlign w:val="center"/>
          </w:tcPr>
          <w:p w14:paraId="3CD0FF83">
            <w:pPr>
              <w:jc w:val="center"/>
              <w:rPr>
                <w:rFonts w:hint="default" w:eastAsia="宋体"/>
                <w:color w:val="auto"/>
                <w:highlight w:val="none"/>
                <w:lang w:val="en-US" w:eastAsia="zh-CN"/>
              </w:rPr>
            </w:pPr>
            <w:r>
              <w:rPr>
                <w:rFonts w:hint="eastAsia"/>
                <w:color w:val="auto"/>
                <w:highlight w:val="none"/>
                <w:lang w:val="en-US" w:eastAsia="zh-CN"/>
              </w:rPr>
              <w:t>79200</w:t>
            </w:r>
          </w:p>
        </w:tc>
        <w:tc>
          <w:tcPr>
            <w:tcW w:w="842" w:type="dxa"/>
            <w:tcBorders>
              <w:tl2br w:val="nil"/>
              <w:tr2bl w:val="nil"/>
            </w:tcBorders>
            <w:vAlign w:val="center"/>
          </w:tcPr>
          <w:p w14:paraId="540821AD">
            <w:pPr>
              <w:jc w:val="center"/>
              <w:rPr>
                <w:rFonts w:hint="default" w:eastAsia="宋体"/>
                <w:color w:val="auto"/>
                <w:highlight w:val="none"/>
                <w:lang w:val="en-US" w:eastAsia="zh-CN"/>
              </w:rPr>
            </w:pPr>
            <w:r>
              <w:rPr>
                <w:rFonts w:hint="eastAsia"/>
                <w:color w:val="auto"/>
                <w:highlight w:val="none"/>
                <w:lang w:val="en-US" w:eastAsia="zh-CN"/>
              </w:rPr>
              <w:t>0.227</w:t>
            </w:r>
          </w:p>
        </w:tc>
        <w:tc>
          <w:tcPr>
            <w:tcW w:w="1060" w:type="dxa"/>
            <w:tcBorders>
              <w:tl2br w:val="nil"/>
              <w:tr2bl w:val="nil"/>
            </w:tcBorders>
            <w:vAlign w:val="center"/>
          </w:tcPr>
          <w:p w14:paraId="3C927C8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0.114</w:t>
            </w:r>
          </w:p>
        </w:tc>
      </w:tr>
      <w:tr w14:paraId="3095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42" w:type="pct"/>
            <w:tcBorders>
              <w:tl2br w:val="nil"/>
              <w:tr2bl w:val="nil"/>
            </w:tcBorders>
            <w:vAlign w:val="center"/>
          </w:tcPr>
          <w:p w14:paraId="23EA16C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3</w:t>
            </w:r>
          </w:p>
        </w:tc>
        <w:tc>
          <w:tcPr>
            <w:tcW w:w="960" w:type="pct"/>
            <w:tcBorders>
              <w:tl2br w:val="nil"/>
              <w:tr2bl w:val="nil"/>
            </w:tcBorders>
            <w:vAlign w:val="center"/>
          </w:tcPr>
          <w:p w14:paraId="7F0C1A7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玉米烘干转运除尘改造</w:t>
            </w:r>
          </w:p>
        </w:tc>
        <w:tc>
          <w:tcPr>
            <w:tcW w:w="415" w:type="pct"/>
            <w:tcBorders>
              <w:tl2br w:val="nil"/>
              <w:tr2bl w:val="nil"/>
            </w:tcBorders>
            <w:vAlign w:val="center"/>
          </w:tcPr>
          <w:p w14:paraId="266812A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559</w:t>
            </w:r>
          </w:p>
        </w:tc>
        <w:tc>
          <w:tcPr>
            <w:tcW w:w="365" w:type="pct"/>
            <w:tcBorders>
              <w:tl2br w:val="nil"/>
              <w:tr2bl w:val="nil"/>
            </w:tcBorders>
            <w:vAlign w:val="center"/>
          </w:tcPr>
          <w:p w14:paraId="239305D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-282</w:t>
            </w:r>
          </w:p>
        </w:tc>
        <w:tc>
          <w:tcPr>
            <w:tcW w:w="535" w:type="pct"/>
            <w:tcBorders>
              <w:tl2br w:val="nil"/>
              <w:tr2bl w:val="nil"/>
            </w:tcBorders>
            <w:vAlign w:val="center"/>
          </w:tcPr>
          <w:p w14:paraId="4FC57FE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等效内径：1.87</w:t>
            </w:r>
          </w:p>
        </w:tc>
        <w:tc>
          <w:tcPr>
            <w:tcW w:w="573" w:type="pct"/>
            <w:tcBorders>
              <w:tl2br w:val="nil"/>
              <w:tr2bl w:val="nil"/>
            </w:tcBorders>
            <w:vAlign w:val="center"/>
          </w:tcPr>
          <w:p w14:paraId="5F3DFB0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等效高度：25.58</w:t>
            </w:r>
          </w:p>
        </w:tc>
        <w:tc>
          <w:tcPr>
            <w:tcW w:w="760" w:type="pct"/>
            <w:tcBorders>
              <w:tl2br w:val="nil"/>
              <w:tr2bl w:val="nil"/>
            </w:tcBorders>
            <w:vAlign w:val="center"/>
          </w:tcPr>
          <w:p w14:paraId="644B57C3">
            <w:pPr>
              <w:jc w:val="center"/>
              <w:rPr>
                <w:rFonts w:hint="default"/>
                <w:color w:val="auto"/>
                <w:highlight w:val="none"/>
                <w:lang w:val="en-US" w:eastAsia="zh-CN"/>
              </w:rPr>
            </w:pPr>
            <w:r>
              <w:rPr>
                <w:rFonts w:hint="eastAsia"/>
                <w:color w:val="auto"/>
                <w:highlight w:val="none"/>
                <w:lang w:val="en-US" w:eastAsia="zh-CN"/>
              </w:rPr>
              <w:t>7920</w:t>
            </w:r>
          </w:p>
        </w:tc>
        <w:tc>
          <w:tcPr>
            <w:tcW w:w="509" w:type="pct"/>
            <w:tcBorders>
              <w:tl2br w:val="nil"/>
              <w:tr2bl w:val="nil"/>
            </w:tcBorders>
            <w:vAlign w:val="center"/>
          </w:tcPr>
          <w:p w14:paraId="01E951DF">
            <w:pPr>
              <w:jc w:val="center"/>
              <w:rPr>
                <w:rFonts w:hint="default"/>
                <w:color w:val="auto"/>
                <w:highlight w:val="none"/>
                <w:lang w:val="en-US" w:eastAsia="zh-CN"/>
              </w:rPr>
            </w:pPr>
            <w:r>
              <w:rPr>
                <w:rFonts w:hint="eastAsia"/>
                <w:color w:val="auto"/>
                <w:highlight w:val="none"/>
                <w:lang w:val="en-US" w:eastAsia="zh-CN"/>
              </w:rPr>
              <w:t>0.006</w:t>
            </w:r>
          </w:p>
        </w:tc>
        <w:tc>
          <w:tcPr>
            <w:tcW w:w="638" w:type="pct"/>
            <w:tcBorders>
              <w:tl2br w:val="nil"/>
              <w:tr2bl w:val="nil"/>
            </w:tcBorders>
            <w:vAlign w:val="center"/>
          </w:tcPr>
          <w:p w14:paraId="4890476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0.003</w:t>
            </w:r>
          </w:p>
        </w:tc>
      </w:tr>
      <w:tr w14:paraId="6CF5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242" w:type="pct"/>
            <w:tcBorders>
              <w:tl2br w:val="nil"/>
              <w:tr2bl w:val="nil"/>
            </w:tcBorders>
            <w:vAlign w:val="center"/>
          </w:tcPr>
          <w:p w14:paraId="2502B4A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4</w:t>
            </w:r>
          </w:p>
        </w:tc>
        <w:tc>
          <w:tcPr>
            <w:tcW w:w="960" w:type="pct"/>
            <w:tcBorders>
              <w:tl2br w:val="nil"/>
              <w:tr2bl w:val="nil"/>
            </w:tcBorders>
            <w:vAlign w:val="center"/>
          </w:tcPr>
          <w:p w14:paraId="7C515F7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工程占地</w:t>
            </w:r>
          </w:p>
        </w:tc>
        <w:tc>
          <w:tcPr>
            <w:tcW w:w="415" w:type="pct"/>
            <w:tcBorders>
              <w:tl2br w:val="nil"/>
              <w:tr2bl w:val="nil"/>
            </w:tcBorders>
            <w:vAlign w:val="center"/>
          </w:tcPr>
          <w:p w14:paraId="3EF19C0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w:t>
            </w:r>
          </w:p>
        </w:tc>
        <w:tc>
          <w:tcPr>
            <w:tcW w:w="365" w:type="pct"/>
            <w:tcBorders>
              <w:tl2br w:val="nil"/>
              <w:tr2bl w:val="nil"/>
            </w:tcBorders>
            <w:vAlign w:val="center"/>
          </w:tcPr>
          <w:p w14:paraId="69DCAB6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w:t>
            </w:r>
          </w:p>
        </w:tc>
        <w:tc>
          <w:tcPr>
            <w:tcW w:w="1108" w:type="pct"/>
            <w:gridSpan w:val="2"/>
            <w:tcBorders>
              <w:tl2br w:val="nil"/>
              <w:tr2bl w:val="nil"/>
            </w:tcBorders>
            <w:vAlign w:val="center"/>
          </w:tcPr>
          <w:p w14:paraId="4B4DED6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450m×289m</w:t>
            </w:r>
          </w:p>
        </w:tc>
        <w:tc>
          <w:tcPr>
            <w:tcW w:w="760" w:type="pct"/>
            <w:tcBorders>
              <w:tl2br w:val="nil"/>
              <w:tr2bl w:val="nil"/>
            </w:tcBorders>
            <w:vAlign w:val="center"/>
          </w:tcPr>
          <w:p w14:paraId="2361C6EA">
            <w:pPr>
              <w:jc w:val="center"/>
              <w:rPr>
                <w:rFonts w:hint="default"/>
                <w:color w:val="auto"/>
                <w:highlight w:val="none"/>
                <w:lang w:val="en-US" w:eastAsia="zh-CN"/>
              </w:rPr>
            </w:pPr>
            <w:r>
              <w:rPr>
                <w:rFonts w:hint="eastAsia"/>
                <w:color w:val="auto"/>
                <w:highlight w:val="none"/>
                <w:lang w:val="en-US" w:eastAsia="zh-CN"/>
              </w:rPr>
              <w:t>8000</w:t>
            </w:r>
          </w:p>
        </w:tc>
        <w:tc>
          <w:tcPr>
            <w:tcW w:w="509" w:type="pct"/>
            <w:tcBorders>
              <w:tl2br w:val="nil"/>
              <w:tr2bl w:val="nil"/>
            </w:tcBorders>
            <w:vAlign w:val="center"/>
          </w:tcPr>
          <w:p w14:paraId="0750792D">
            <w:pPr>
              <w:jc w:val="center"/>
              <w:rPr>
                <w:rFonts w:hint="default"/>
                <w:color w:val="auto"/>
                <w:highlight w:val="none"/>
                <w:lang w:val="en-US" w:eastAsia="zh-CN"/>
              </w:rPr>
            </w:pPr>
            <w:r>
              <w:rPr>
                <w:rFonts w:hint="eastAsia"/>
                <w:color w:val="auto"/>
                <w:highlight w:val="none"/>
                <w:lang w:val="en-US" w:eastAsia="zh-CN"/>
              </w:rPr>
              <w:t>0.308</w:t>
            </w:r>
          </w:p>
        </w:tc>
        <w:tc>
          <w:tcPr>
            <w:tcW w:w="638" w:type="pct"/>
            <w:tcBorders>
              <w:tl2br w:val="nil"/>
              <w:tr2bl w:val="nil"/>
            </w:tcBorders>
            <w:vAlign w:val="center"/>
          </w:tcPr>
          <w:p w14:paraId="0039AE8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center"/>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0.026</w:t>
            </w:r>
          </w:p>
        </w:tc>
      </w:tr>
      <w:tr w14:paraId="2E9F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5000" w:type="pct"/>
            <w:gridSpan w:val="9"/>
            <w:tcBorders>
              <w:tl2br w:val="nil"/>
              <w:tr2bl w:val="nil"/>
            </w:tcBorders>
            <w:vAlign w:val="center"/>
          </w:tcPr>
          <w:p w14:paraId="4482FD4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ind w:firstLine="0" w:firstLineChars="0"/>
              <w:jc w:val="left"/>
              <w:textAlignment w:val="center"/>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注：燃煤锅炉颗粒物包括发酵罐底料新连消设备改造和生产工艺浓糖新连消设备改造污染物颗粒物排放减少量（因减少蒸汽使用，蒸汽锅炉燃煤量减少）；</w:t>
            </w:r>
            <w:r>
              <w:rPr>
                <w:rFonts w:hint="default" w:cs="Times New Roman"/>
                <w:snapToGrid w:val="0"/>
                <w:color w:val="auto"/>
                <w:kern w:val="0"/>
                <w:sz w:val="21"/>
                <w:szCs w:val="21"/>
                <w:highlight w:val="none"/>
                <w:lang w:val="en-US" w:eastAsia="zh-CN"/>
              </w:rPr>
              <w:t>蒸汽锅炉布袋除尘器滤袋及引风机改造</w:t>
            </w:r>
            <w:r>
              <w:rPr>
                <w:rFonts w:hint="eastAsia" w:cs="Times New Roman"/>
                <w:snapToGrid w:val="0"/>
                <w:color w:val="auto"/>
                <w:kern w:val="0"/>
                <w:sz w:val="21"/>
                <w:szCs w:val="21"/>
                <w:highlight w:val="none"/>
                <w:lang w:val="en-US" w:eastAsia="zh-CN"/>
              </w:rPr>
              <w:t>后颗粒物减少量。</w:t>
            </w:r>
          </w:p>
        </w:tc>
      </w:tr>
    </w:tbl>
    <w:p w14:paraId="6E864ECF">
      <w:pPr>
        <w:pStyle w:val="170"/>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（3）其他拟建在建污染源</w:t>
      </w:r>
    </w:p>
    <w:p w14:paraId="1504ECA4">
      <w:pPr>
        <w:pStyle w:val="170"/>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根据现场调查核实，本项目评价范围在建拟建项目为凯赛（乌苏）生物技术有限公司年产2万吨长链二元酸扩产项目、塔城地区乌苏市西区污水处理厂建设项目二期工程和凯赛（乌苏）生物材料有限公司年产20000吨LCDN项目，污染物排放数据来源为项目环评数据，详见表6.2-18。</w:t>
      </w:r>
    </w:p>
    <w:p w14:paraId="4344F21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6.2.1.5本项目正常工况下大气污染物浓度预测结果</w:t>
      </w:r>
    </w:p>
    <w:p w14:paraId="44BA3B5C">
      <w:pPr>
        <w:pStyle w:val="170"/>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kern w:val="28"/>
          <w:highlight w:val="none"/>
          <w:lang w:val="en-US" w:eastAsia="zh-CN"/>
        </w:rPr>
        <w:t>本</w:t>
      </w:r>
      <w:r>
        <w:rPr>
          <w:rFonts w:ascii="Times New Roman" w:hAnsi="Times New Roman" w:eastAsia="宋体" w:cs="Times New Roman"/>
          <w:color w:val="auto"/>
          <w:kern w:val="28"/>
          <w:highlight w:val="none"/>
        </w:rPr>
        <w:t>项目正常排放条件下，主要污染物在环境空气保护目标和网格点的最大浓度贡献值、发生的时间及占标率见表</w:t>
      </w:r>
      <w:r>
        <w:rPr>
          <w:rFonts w:hint="eastAsia" w:ascii="Times New Roman" w:hAnsi="Times New Roman" w:eastAsia="宋体" w:cs="Times New Roman"/>
          <w:color w:val="auto"/>
          <w:kern w:val="28"/>
          <w:highlight w:val="none"/>
        </w:rPr>
        <w:t>6</w:t>
      </w:r>
      <w:r>
        <w:rPr>
          <w:rFonts w:ascii="Times New Roman" w:hAnsi="Times New Roman" w:eastAsia="宋体" w:cs="Times New Roman"/>
          <w:color w:val="auto"/>
          <w:kern w:val="28"/>
          <w:highlight w:val="none"/>
        </w:rPr>
        <w:t>.2-</w:t>
      </w:r>
      <w:r>
        <w:rPr>
          <w:rFonts w:hint="eastAsia" w:ascii="Times New Roman" w:hAnsi="Times New Roman" w:eastAsia="宋体" w:cs="Times New Roman"/>
          <w:color w:val="auto"/>
          <w:kern w:val="28"/>
          <w:highlight w:val="none"/>
        </w:rPr>
        <w:t>1</w:t>
      </w:r>
      <w:r>
        <w:rPr>
          <w:rFonts w:hint="eastAsia" w:ascii="Times New Roman" w:hAnsi="Times New Roman" w:eastAsia="宋体" w:cs="Times New Roman"/>
          <w:color w:val="auto"/>
          <w:kern w:val="28"/>
          <w:highlight w:val="none"/>
          <w:lang w:val="en-US" w:eastAsia="zh-CN"/>
        </w:rPr>
        <w:t>9，贡献浓度网格分布图见图6.2-6</w:t>
      </w:r>
      <w:r>
        <w:rPr>
          <w:rFonts w:ascii="Times New Roman" w:hAnsi="Times New Roman" w:eastAsia="宋体" w:cs="Times New Roman"/>
          <w:color w:val="auto"/>
          <w:kern w:val="28"/>
          <w:highlight w:val="none"/>
        </w:rPr>
        <w:t>。</w:t>
      </w:r>
    </w:p>
    <w:p w14:paraId="4B584A02">
      <w:pPr>
        <w:pStyle w:val="170"/>
        <w:spacing w:line="360" w:lineRule="auto"/>
        <w:rPr>
          <w:rFonts w:hint="eastAsia" w:ascii="Times New Roman" w:hAnsi="Times New Roman" w:eastAsia="宋体" w:cs="Times New Roman"/>
          <w:color w:val="auto"/>
          <w:highlight w:val="none"/>
          <w:lang w:val="en-US" w:eastAsia="zh-CN"/>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3D4AC91A">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6.2-1</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lang w:val="en-US" w:eastAsia="zh-CN"/>
        </w:rPr>
        <w:t>本</w:t>
      </w:r>
      <w:r>
        <w:rPr>
          <w:rFonts w:hint="eastAsia" w:ascii="Times New Roman" w:hAnsi="Times New Roman" w:cs="Times New Roman"/>
          <w:snapToGrid w:val="0"/>
          <w:color w:val="auto"/>
          <w:kern w:val="0"/>
          <w:sz w:val="21"/>
          <w:szCs w:val="21"/>
          <w:highlight w:val="none"/>
        </w:rPr>
        <w:t>项目点源污染物、排放参数一览表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896"/>
        <w:gridCol w:w="1053"/>
        <w:gridCol w:w="1053"/>
        <w:gridCol w:w="1528"/>
        <w:gridCol w:w="1163"/>
        <w:gridCol w:w="1308"/>
        <w:gridCol w:w="1338"/>
        <w:gridCol w:w="1136"/>
        <w:gridCol w:w="983"/>
        <w:gridCol w:w="644"/>
        <w:gridCol w:w="1550"/>
      </w:tblGrid>
      <w:tr w14:paraId="1DC7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restart"/>
            <w:shd w:val="clear" w:color="auto" w:fill="auto"/>
            <w:vAlign w:val="center"/>
          </w:tcPr>
          <w:p w14:paraId="04AC7A3A">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编号</w:t>
            </w:r>
          </w:p>
        </w:tc>
        <w:tc>
          <w:tcPr>
            <w:tcW w:w="0" w:type="auto"/>
            <w:vMerge w:val="restart"/>
            <w:shd w:val="clear" w:color="auto" w:fill="auto"/>
            <w:vAlign w:val="center"/>
          </w:tcPr>
          <w:p w14:paraId="1AFC39DF">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名称</w:t>
            </w:r>
          </w:p>
        </w:tc>
        <w:tc>
          <w:tcPr>
            <w:tcW w:w="0" w:type="auto"/>
            <w:gridSpan w:val="2"/>
            <w:shd w:val="clear" w:color="auto" w:fill="auto"/>
            <w:vAlign w:val="center"/>
          </w:tcPr>
          <w:p w14:paraId="71826845">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排气筒底部中心坐标</w:t>
            </w:r>
          </w:p>
        </w:tc>
        <w:tc>
          <w:tcPr>
            <w:tcW w:w="0" w:type="auto"/>
            <w:vMerge w:val="restart"/>
            <w:shd w:val="clear" w:color="auto" w:fill="auto"/>
            <w:vAlign w:val="center"/>
          </w:tcPr>
          <w:p w14:paraId="55AB68EE">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排气筒底部海拔（m）</w:t>
            </w:r>
          </w:p>
        </w:tc>
        <w:tc>
          <w:tcPr>
            <w:tcW w:w="0" w:type="auto"/>
            <w:vMerge w:val="restart"/>
            <w:shd w:val="clear" w:color="auto" w:fill="auto"/>
            <w:vAlign w:val="center"/>
          </w:tcPr>
          <w:p w14:paraId="16AF100C">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排气筒高度（m）</w:t>
            </w:r>
          </w:p>
        </w:tc>
        <w:tc>
          <w:tcPr>
            <w:tcW w:w="0" w:type="auto"/>
            <w:vMerge w:val="restart"/>
            <w:shd w:val="clear" w:color="auto" w:fill="auto"/>
            <w:vAlign w:val="center"/>
          </w:tcPr>
          <w:p w14:paraId="546206D8">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排气筒出口内径（m）</w:t>
            </w:r>
          </w:p>
        </w:tc>
        <w:tc>
          <w:tcPr>
            <w:tcW w:w="0" w:type="auto"/>
            <w:vMerge w:val="restart"/>
            <w:shd w:val="clear" w:color="auto" w:fill="auto"/>
            <w:vAlign w:val="center"/>
          </w:tcPr>
          <w:p w14:paraId="2A4AD07E">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烟气流量（m</w:t>
            </w:r>
            <w:r>
              <w:rPr>
                <w:rFonts w:hint="eastAsia"/>
                <w:color w:val="auto"/>
                <w:kern w:val="0"/>
                <w:szCs w:val="21"/>
                <w:highlight w:val="none"/>
                <w:vertAlign w:val="superscript"/>
              </w:rPr>
              <w:t>3</w:t>
            </w:r>
            <w:r>
              <w:rPr>
                <w:rFonts w:hint="eastAsia"/>
                <w:color w:val="auto"/>
                <w:kern w:val="0"/>
                <w:szCs w:val="21"/>
                <w:highlight w:val="none"/>
              </w:rPr>
              <w:t>/h）</w:t>
            </w:r>
          </w:p>
        </w:tc>
        <w:tc>
          <w:tcPr>
            <w:tcW w:w="0" w:type="auto"/>
            <w:vMerge w:val="restart"/>
            <w:shd w:val="clear" w:color="auto" w:fill="auto"/>
            <w:vAlign w:val="center"/>
          </w:tcPr>
          <w:p w14:paraId="31D4A95A">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烟气温度（℃）</w:t>
            </w:r>
          </w:p>
        </w:tc>
        <w:tc>
          <w:tcPr>
            <w:tcW w:w="0" w:type="auto"/>
            <w:vMerge w:val="restart"/>
            <w:shd w:val="clear" w:color="auto" w:fill="auto"/>
            <w:vAlign w:val="center"/>
          </w:tcPr>
          <w:p w14:paraId="54509211">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年排放小时数/h</w:t>
            </w:r>
          </w:p>
        </w:tc>
        <w:tc>
          <w:tcPr>
            <w:tcW w:w="0" w:type="auto"/>
            <w:vMerge w:val="restart"/>
            <w:shd w:val="clear" w:color="auto" w:fill="auto"/>
            <w:vAlign w:val="center"/>
          </w:tcPr>
          <w:p w14:paraId="0B6C86EC">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排放工况</w:t>
            </w:r>
          </w:p>
        </w:tc>
        <w:tc>
          <w:tcPr>
            <w:tcW w:w="0" w:type="auto"/>
            <w:vMerge w:val="restart"/>
            <w:shd w:val="clear" w:color="auto" w:fill="auto"/>
            <w:vAlign w:val="center"/>
          </w:tcPr>
          <w:p w14:paraId="41ABA8AF">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污染物排放速率（kg/h）</w:t>
            </w:r>
          </w:p>
        </w:tc>
      </w:tr>
      <w:tr w14:paraId="4E570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shd w:val="clear" w:color="auto" w:fill="auto"/>
            <w:vAlign w:val="center"/>
          </w:tcPr>
          <w:p w14:paraId="274EE23E">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2AA81D56">
            <w:pPr>
              <w:pStyle w:val="42"/>
              <w:widowControl/>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7DE71DE1">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X</w:t>
            </w:r>
          </w:p>
        </w:tc>
        <w:tc>
          <w:tcPr>
            <w:tcW w:w="0" w:type="auto"/>
            <w:shd w:val="clear" w:color="auto" w:fill="auto"/>
            <w:vAlign w:val="center"/>
          </w:tcPr>
          <w:p w14:paraId="0B4BF864">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Y</w:t>
            </w:r>
          </w:p>
        </w:tc>
        <w:tc>
          <w:tcPr>
            <w:tcW w:w="0" w:type="auto"/>
            <w:vMerge w:val="continue"/>
            <w:shd w:val="clear" w:color="auto" w:fill="auto"/>
            <w:vAlign w:val="center"/>
          </w:tcPr>
          <w:p w14:paraId="0D906E62">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0DB7A8AE">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548B8064">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70709ADC">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09C5B19A">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617AF063">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7A0BD8AF">
            <w:pPr>
              <w:pStyle w:val="42"/>
              <w:widowControl/>
              <w:tabs>
                <w:tab w:val="left" w:pos="0"/>
              </w:tabs>
              <w:adjustRightInd w:val="0"/>
              <w:snapToGrid w:val="0"/>
              <w:ind w:left="0" w:firstLine="0" w:firstLineChars="0"/>
              <w:jc w:val="center"/>
              <w:rPr>
                <w:color w:val="auto"/>
                <w:kern w:val="0"/>
                <w:szCs w:val="21"/>
                <w:highlight w:val="none"/>
              </w:rPr>
            </w:pPr>
          </w:p>
        </w:tc>
        <w:tc>
          <w:tcPr>
            <w:tcW w:w="0" w:type="auto"/>
            <w:vMerge w:val="continue"/>
            <w:shd w:val="clear" w:color="auto" w:fill="auto"/>
            <w:vAlign w:val="center"/>
          </w:tcPr>
          <w:p w14:paraId="24112396">
            <w:pPr>
              <w:pStyle w:val="42"/>
              <w:widowControl/>
              <w:tabs>
                <w:tab w:val="left" w:pos="0"/>
              </w:tabs>
              <w:adjustRightInd w:val="0"/>
              <w:snapToGrid w:val="0"/>
              <w:ind w:left="0" w:firstLine="0" w:firstLineChars="0"/>
              <w:jc w:val="center"/>
              <w:rPr>
                <w:color w:val="auto"/>
                <w:kern w:val="0"/>
                <w:szCs w:val="21"/>
                <w:highlight w:val="none"/>
              </w:rPr>
            </w:pPr>
          </w:p>
        </w:tc>
      </w:tr>
      <w:tr w14:paraId="6E64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2" w:type="dxa"/>
            <w:shd w:val="clear" w:color="auto" w:fill="auto"/>
            <w:vAlign w:val="center"/>
          </w:tcPr>
          <w:p w14:paraId="71641A06">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1#</w:t>
            </w:r>
          </w:p>
        </w:tc>
        <w:tc>
          <w:tcPr>
            <w:tcW w:w="1896" w:type="dxa"/>
            <w:shd w:val="clear" w:color="auto" w:fill="auto"/>
            <w:vAlign w:val="center"/>
          </w:tcPr>
          <w:p w14:paraId="712A7103">
            <w:pPr>
              <w:widowControl/>
              <w:adjustRightInd w:val="0"/>
              <w:snapToGrid w:val="0"/>
              <w:jc w:val="center"/>
              <w:rPr>
                <w:color w:val="auto"/>
                <w:kern w:val="0"/>
                <w:szCs w:val="21"/>
                <w:highlight w:val="none"/>
              </w:rPr>
            </w:pPr>
            <w:r>
              <w:rPr>
                <w:rFonts w:hint="eastAsia"/>
                <w:snapToGrid w:val="0"/>
                <w:color w:val="auto"/>
                <w:kern w:val="0"/>
                <w:szCs w:val="21"/>
                <w:highlight w:val="none"/>
              </w:rPr>
              <w:t>发酵废气</w:t>
            </w:r>
          </w:p>
        </w:tc>
        <w:tc>
          <w:tcPr>
            <w:tcW w:w="1053" w:type="dxa"/>
            <w:shd w:val="clear" w:color="auto" w:fill="auto"/>
            <w:vAlign w:val="center"/>
          </w:tcPr>
          <w:p w14:paraId="11B15808">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-29</w:t>
            </w:r>
          </w:p>
        </w:tc>
        <w:tc>
          <w:tcPr>
            <w:tcW w:w="1053" w:type="dxa"/>
            <w:shd w:val="clear" w:color="auto" w:fill="auto"/>
            <w:vAlign w:val="center"/>
          </w:tcPr>
          <w:p w14:paraId="73E87B87">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-96</w:t>
            </w:r>
          </w:p>
        </w:tc>
        <w:tc>
          <w:tcPr>
            <w:tcW w:w="1528" w:type="dxa"/>
            <w:shd w:val="clear" w:color="auto" w:fill="auto"/>
            <w:vAlign w:val="center"/>
          </w:tcPr>
          <w:p w14:paraId="24C2311A">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611</w:t>
            </w:r>
          </w:p>
        </w:tc>
        <w:tc>
          <w:tcPr>
            <w:tcW w:w="1163" w:type="dxa"/>
            <w:shd w:val="clear" w:color="auto" w:fill="auto"/>
            <w:vAlign w:val="center"/>
          </w:tcPr>
          <w:p w14:paraId="42C054F2">
            <w:pPr>
              <w:pStyle w:val="42"/>
              <w:widowControl/>
              <w:tabs>
                <w:tab w:val="left" w:pos="0"/>
              </w:tabs>
              <w:adjustRightInd w:val="0"/>
              <w:snapToGrid w:val="0"/>
              <w:ind w:left="0" w:leftChars="0" w:firstLine="0" w:firstLineChars="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39</w:t>
            </w:r>
          </w:p>
        </w:tc>
        <w:tc>
          <w:tcPr>
            <w:tcW w:w="1308" w:type="dxa"/>
            <w:shd w:val="clear" w:color="auto" w:fill="auto"/>
            <w:vAlign w:val="center"/>
          </w:tcPr>
          <w:p w14:paraId="329831F2">
            <w:pPr>
              <w:pStyle w:val="42"/>
              <w:widowControl/>
              <w:tabs>
                <w:tab w:val="left" w:pos="0"/>
              </w:tabs>
              <w:adjustRightInd w:val="0"/>
              <w:snapToGrid w:val="0"/>
              <w:ind w:left="0" w:leftChars="0" w:firstLine="0" w:firstLineChars="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1.4</w:t>
            </w:r>
          </w:p>
        </w:tc>
        <w:tc>
          <w:tcPr>
            <w:tcW w:w="1338" w:type="dxa"/>
            <w:shd w:val="clear" w:color="auto" w:fill="auto"/>
            <w:vAlign w:val="center"/>
          </w:tcPr>
          <w:p w14:paraId="7C2D2C37">
            <w:pPr>
              <w:widowControl/>
              <w:adjustRightInd w:val="0"/>
              <w:snapToGrid w:val="0"/>
              <w:jc w:val="center"/>
              <w:rPr>
                <w:color w:val="auto"/>
                <w:kern w:val="0"/>
                <w:szCs w:val="21"/>
                <w:highlight w:val="none"/>
              </w:rPr>
            </w:pPr>
            <w:r>
              <w:rPr>
                <w:rFonts w:hint="eastAsia"/>
                <w:snapToGrid w:val="0"/>
                <w:color w:val="auto"/>
                <w:kern w:val="0"/>
                <w:szCs w:val="21"/>
                <w:highlight w:val="none"/>
              </w:rPr>
              <w:t>5</w:t>
            </w:r>
            <w:r>
              <w:rPr>
                <w:snapToGrid w:val="0"/>
                <w:color w:val="auto"/>
                <w:kern w:val="0"/>
                <w:szCs w:val="21"/>
                <w:highlight w:val="none"/>
              </w:rPr>
              <w:t>2500</w:t>
            </w:r>
          </w:p>
        </w:tc>
        <w:tc>
          <w:tcPr>
            <w:tcW w:w="1136" w:type="dxa"/>
            <w:shd w:val="clear" w:color="auto" w:fill="auto"/>
            <w:vAlign w:val="center"/>
          </w:tcPr>
          <w:p w14:paraId="66E5F588">
            <w:pPr>
              <w:widowControl/>
              <w:adjustRightInd w:val="0"/>
              <w:snapToGrid w:val="0"/>
              <w:jc w:val="center"/>
              <w:rPr>
                <w:color w:val="auto"/>
                <w:kern w:val="0"/>
                <w:szCs w:val="21"/>
                <w:highlight w:val="none"/>
              </w:rPr>
            </w:pPr>
            <w:r>
              <w:rPr>
                <w:snapToGrid w:val="0"/>
                <w:color w:val="auto"/>
                <w:kern w:val="0"/>
                <w:szCs w:val="21"/>
                <w:highlight w:val="none"/>
              </w:rPr>
              <w:t>常温</w:t>
            </w:r>
          </w:p>
        </w:tc>
        <w:tc>
          <w:tcPr>
            <w:tcW w:w="0" w:type="auto"/>
            <w:shd w:val="clear" w:color="auto" w:fill="auto"/>
            <w:vAlign w:val="center"/>
          </w:tcPr>
          <w:p w14:paraId="48C0C918">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8000</w:t>
            </w:r>
          </w:p>
        </w:tc>
        <w:tc>
          <w:tcPr>
            <w:tcW w:w="0" w:type="auto"/>
            <w:shd w:val="clear" w:color="auto" w:fill="auto"/>
            <w:vAlign w:val="center"/>
          </w:tcPr>
          <w:p w14:paraId="41A24993">
            <w:pPr>
              <w:pStyle w:val="42"/>
              <w:widowControl/>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连续</w:t>
            </w:r>
          </w:p>
        </w:tc>
        <w:tc>
          <w:tcPr>
            <w:tcW w:w="1550" w:type="dxa"/>
            <w:shd w:val="clear" w:color="auto" w:fill="auto"/>
            <w:vAlign w:val="center"/>
          </w:tcPr>
          <w:p w14:paraId="783B94AA">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r>
              <w:rPr>
                <w:rFonts w:hint="eastAsia"/>
                <w:snapToGrid w:val="0"/>
                <w:color w:val="auto"/>
                <w:kern w:val="0"/>
                <w:szCs w:val="21"/>
                <w:highlight w:val="none"/>
              </w:rPr>
              <w:t>：0</w:t>
            </w:r>
            <w:r>
              <w:rPr>
                <w:snapToGrid w:val="0"/>
                <w:color w:val="auto"/>
                <w:kern w:val="0"/>
                <w:szCs w:val="21"/>
                <w:highlight w:val="none"/>
              </w:rPr>
              <w:t>.53</w:t>
            </w:r>
          </w:p>
          <w:p w14:paraId="517A1496">
            <w:pPr>
              <w:pStyle w:val="42"/>
              <w:widowControl/>
              <w:tabs>
                <w:tab w:val="left" w:pos="0"/>
              </w:tabs>
              <w:adjustRightInd w:val="0"/>
              <w:snapToGrid w:val="0"/>
              <w:ind w:left="0" w:firstLine="0" w:firstLineChars="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0.265</w:t>
            </w:r>
          </w:p>
          <w:p w14:paraId="04DAF8E9">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r>
              <w:rPr>
                <w:rFonts w:hint="eastAsia"/>
                <w:snapToGrid w:val="0"/>
                <w:color w:val="auto"/>
                <w:kern w:val="0"/>
                <w:szCs w:val="21"/>
                <w:highlight w:val="none"/>
              </w:rPr>
              <w:t>：0</w:t>
            </w:r>
            <w:r>
              <w:rPr>
                <w:snapToGrid w:val="0"/>
                <w:color w:val="auto"/>
                <w:kern w:val="0"/>
                <w:szCs w:val="21"/>
                <w:highlight w:val="none"/>
              </w:rPr>
              <w:t>.11</w:t>
            </w:r>
          </w:p>
          <w:p w14:paraId="48DAB72E">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NH</w:t>
            </w:r>
            <w:r>
              <w:rPr>
                <w:rFonts w:hint="eastAsia"/>
                <w:snapToGrid w:val="0"/>
                <w:color w:val="auto"/>
                <w:kern w:val="0"/>
                <w:szCs w:val="21"/>
                <w:highlight w:val="none"/>
                <w:vertAlign w:val="subscript"/>
              </w:rPr>
              <w:t>3</w:t>
            </w:r>
            <w:r>
              <w:rPr>
                <w:rFonts w:hint="eastAsia"/>
                <w:snapToGrid w:val="0"/>
                <w:color w:val="auto"/>
                <w:kern w:val="0"/>
                <w:szCs w:val="21"/>
                <w:highlight w:val="none"/>
              </w:rPr>
              <w:t>：0.26</w:t>
            </w:r>
          </w:p>
          <w:p w14:paraId="6128F12D">
            <w:pPr>
              <w:pStyle w:val="42"/>
              <w:widowControl/>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H</w:t>
            </w:r>
            <w:r>
              <w:rPr>
                <w:rFonts w:hint="eastAsia"/>
                <w:snapToGrid w:val="0"/>
                <w:color w:val="auto"/>
                <w:kern w:val="0"/>
                <w:szCs w:val="21"/>
                <w:highlight w:val="none"/>
                <w:vertAlign w:val="subscript"/>
              </w:rPr>
              <w:t>2</w:t>
            </w:r>
            <w:r>
              <w:rPr>
                <w:rFonts w:hint="eastAsia"/>
                <w:snapToGrid w:val="0"/>
                <w:color w:val="auto"/>
                <w:kern w:val="0"/>
                <w:szCs w:val="21"/>
                <w:highlight w:val="none"/>
              </w:rPr>
              <w:t>S：0</w:t>
            </w:r>
            <w:r>
              <w:rPr>
                <w:snapToGrid w:val="0"/>
                <w:color w:val="auto"/>
                <w:kern w:val="0"/>
                <w:szCs w:val="21"/>
                <w:highlight w:val="none"/>
              </w:rPr>
              <w:t>.05</w:t>
            </w:r>
          </w:p>
        </w:tc>
      </w:tr>
      <w:tr w14:paraId="1A74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2" w:type="dxa"/>
            <w:shd w:val="clear" w:color="auto" w:fill="auto"/>
            <w:vAlign w:val="center"/>
          </w:tcPr>
          <w:p w14:paraId="26F59579">
            <w:pPr>
              <w:pStyle w:val="42"/>
              <w:widowControl/>
              <w:tabs>
                <w:tab w:val="left" w:pos="0"/>
              </w:tabs>
              <w:adjustRightInd w:val="0"/>
              <w:snapToGrid w:val="0"/>
              <w:ind w:left="0" w:leftChars="0" w:firstLine="0" w:firstLineChars="0"/>
              <w:jc w:val="center"/>
              <w:rPr>
                <w:rFonts w:hint="eastAsia"/>
                <w:color w:val="auto"/>
                <w:kern w:val="0"/>
                <w:szCs w:val="21"/>
                <w:highlight w:val="none"/>
              </w:rPr>
            </w:pPr>
            <w:r>
              <w:rPr>
                <w:rFonts w:hint="eastAsia"/>
                <w:color w:val="auto"/>
                <w:kern w:val="0"/>
                <w:szCs w:val="21"/>
                <w:highlight w:val="none"/>
              </w:rPr>
              <w:t>2#</w:t>
            </w:r>
          </w:p>
        </w:tc>
        <w:tc>
          <w:tcPr>
            <w:tcW w:w="1896" w:type="dxa"/>
            <w:shd w:val="clear" w:color="auto" w:fill="auto"/>
            <w:vAlign w:val="center"/>
          </w:tcPr>
          <w:p w14:paraId="6FF85CDB">
            <w:pPr>
              <w:widowControl/>
              <w:adjustRightInd w:val="0"/>
              <w:snapToGrid w:val="0"/>
              <w:jc w:val="center"/>
              <w:rPr>
                <w:rFonts w:hint="eastAsia"/>
                <w:snapToGrid w:val="0"/>
                <w:color w:val="auto"/>
                <w:kern w:val="0"/>
                <w:szCs w:val="21"/>
                <w:highlight w:val="none"/>
              </w:rPr>
            </w:pPr>
            <w:r>
              <w:rPr>
                <w:rFonts w:hint="eastAsia"/>
                <w:snapToGrid w:val="0"/>
                <w:color w:val="auto"/>
                <w:kern w:val="0"/>
                <w:szCs w:val="21"/>
                <w:highlight w:val="none"/>
              </w:rPr>
              <w:t>发酵废气</w:t>
            </w:r>
          </w:p>
        </w:tc>
        <w:tc>
          <w:tcPr>
            <w:tcW w:w="1053" w:type="dxa"/>
            <w:shd w:val="clear" w:color="auto" w:fill="auto"/>
            <w:vAlign w:val="center"/>
          </w:tcPr>
          <w:p w14:paraId="1ECC4280">
            <w:pPr>
              <w:pStyle w:val="768"/>
              <w:snapToGrid w:val="0"/>
              <w:rPr>
                <w:rFonts w:hint="default" w:eastAsia="宋体"/>
                <w:bCs/>
                <w:color w:val="auto"/>
                <w:highlight w:val="none"/>
                <w:lang w:val="en-US" w:eastAsia="zh-CN"/>
              </w:rPr>
            </w:pPr>
            <w:r>
              <w:rPr>
                <w:rFonts w:hint="eastAsia"/>
                <w:bCs/>
                <w:color w:val="auto"/>
                <w:highlight w:val="none"/>
                <w:lang w:val="en-US" w:eastAsia="zh-CN"/>
              </w:rPr>
              <w:t>49</w:t>
            </w:r>
          </w:p>
        </w:tc>
        <w:tc>
          <w:tcPr>
            <w:tcW w:w="1053" w:type="dxa"/>
            <w:shd w:val="clear" w:color="auto" w:fill="auto"/>
            <w:vAlign w:val="center"/>
          </w:tcPr>
          <w:p w14:paraId="531F669B">
            <w:pPr>
              <w:pStyle w:val="768"/>
              <w:snapToGrid w:val="0"/>
              <w:rPr>
                <w:rFonts w:hint="default" w:eastAsia="宋体"/>
                <w:bCs/>
                <w:color w:val="auto"/>
                <w:highlight w:val="none"/>
                <w:lang w:val="en-US" w:eastAsia="zh-CN"/>
              </w:rPr>
            </w:pPr>
            <w:r>
              <w:rPr>
                <w:rFonts w:hint="eastAsia"/>
                <w:bCs/>
                <w:color w:val="auto"/>
                <w:highlight w:val="none"/>
                <w:lang w:val="en-US" w:eastAsia="zh-CN"/>
              </w:rPr>
              <w:t>-86</w:t>
            </w:r>
          </w:p>
        </w:tc>
        <w:tc>
          <w:tcPr>
            <w:tcW w:w="1528" w:type="dxa"/>
            <w:shd w:val="clear" w:color="auto" w:fill="auto"/>
            <w:vAlign w:val="center"/>
          </w:tcPr>
          <w:p w14:paraId="3E189E99">
            <w:pPr>
              <w:pStyle w:val="768"/>
              <w:snapToGrid w:val="0"/>
              <w:rPr>
                <w:rFonts w:hint="default" w:eastAsia="宋体"/>
                <w:bCs/>
                <w:color w:val="auto"/>
                <w:highlight w:val="none"/>
                <w:lang w:val="en-US" w:eastAsia="zh-CN"/>
              </w:rPr>
            </w:pPr>
            <w:r>
              <w:rPr>
                <w:rFonts w:hint="eastAsia"/>
                <w:bCs/>
                <w:color w:val="auto"/>
                <w:highlight w:val="none"/>
                <w:lang w:val="en-US" w:eastAsia="zh-CN"/>
              </w:rPr>
              <w:t>611</w:t>
            </w:r>
          </w:p>
        </w:tc>
        <w:tc>
          <w:tcPr>
            <w:tcW w:w="1163" w:type="dxa"/>
            <w:shd w:val="clear" w:color="auto" w:fill="auto"/>
            <w:vAlign w:val="center"/>
          </w:tcPr>
          <w:p w14:paraId="582735AB">
            <w:pPr>
              <w:pStyle w:val="42"/>
              <w:widowControl/>
              <w:tabs>
                <w:tab w:val="left" w:pos="0"/>
              </w:tabs>
              <w:adjustRightInd w:val="0"/>
              <w:snapToGrid w:val="0"/>
              <w:ind w:left="0" w:leftChars="0" w:firstLine="0" w:firstLineChars="0"/>
              <w:jc w:val="center"/>
              <w:rPr>
                <w:rFonts w:hint="eastAsia"/>
                <w:color w:val="auto"/>
                <w:kern w:val="0"/>
                <w:szCs w:val="21"/>
                <w:highlight w:val="none"/>
              </w:rPr>
            </w:pPr>
            <w:r>
              <w:rPr>
                <w:rFonts w:hint="eastAsia"/>
                <w:color w:val="auto"/>
                <w:kern w:val="0"/>
                <w:szCs w:val="21"/>
                <w:highlight w:val="none"/>
                <w:lang w:val="en-US" w:eastAsia="zh-CN"/>
              </w:rPr>
              <w:t>39</w:t>
            </w:r>
          </w:p>
        </w:tc>
        <w:tc>
          <w:tcPr>
            <w:tcW w:w="1308" w:type="dxa"/>
            <w:shd w:val="clear" w:color="auto" w:fill="auto"/>
            <w:vAlign w:val="center"/>
          </w:tcPr>
          <w:p w14:paraId="338C6480">
            <w:pPr>
              <w:pStyle w:val="42"/>
              <w:widowControl/>
              <w:tabs>
                <w:tab w:val="left" w:pos="0"/>
              </w:tabs>
              <w:adjustRightInd w:val="0"/>
              <w:snapToGrid w:val="0"/>
              <w:ind w:left="0" w:leftChars="0" w:firstLine="0" w:firstLineChars="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1.4</w:t>
            </w:r>
          </w:p>
        </w:tc>
        <w:tc>
          <w:tcPr>
            <w:tcW w:w="1338" w:type="dxa"/>
            <w:shd w:val="clear" w:color="auto" w:fill="auto"/>
            <w:vAlign w:val="center"/>
          </w:tcPr>
          <w:p w14:paraId="4611E4E9">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5</w:t>
            </w:r>
            <w:r>
              <w:rPr>
                <w:snapToGrid w:val="0"/>
                <w:color w:val="auto"/>
                <w:kern w:val="0"/>
                <w:szCs w:val="21"/>
                <w:highlight w:val="none"/>
              </w:rPr>
              <w:t>2500</w:t>
            </w:r>
          </w:p>
        </w:tc>
        <w:tc>
          <w:tcPr>
            <w:tcW w:w="1136" w:type="dxa"/>
            <w:shd w:val="clear" w:color="auto" w:fill="auto"/>
            <w:vAlign w:val="center"/>
          </w:tcPr>
          <w:p w14:paraId="0F83F5B9">
            <w:pPr>
              <w:widowControl/>
              <w:adjustRightInd w:val="0"/>
              <w:snapToGrid w:val="0"/>
              <w:jc w:val="center"/>
              <w:rPr>
                <w:snapToGrid w:val="0"/>
                <w:color w:val="auto"/>
                <w:kern w:val="0"/>
                <w:szCs w:val="21"/>
                <w:highlight w:val="none"/>
              </w:rPr>
            </w:pPr>
            <w:r>
              <w:rPr>
                <w:snapToGrid w:val="0"/>
                <w:color w:val="auto"/>
                <w:kern w:val="0"/>
                <w:szCs w:val="21"/>
                <w:highlight w:val="none"/>
              </w:rPr>
              <w:t>常温</w:t>
            </w:r>
          </w:p>
        </w:tc>
        <w:tc>
          <w:tcPr>
            <w:tcW w:w="0" w:type="auto"/>
            <w:shd w:val="clear" w:color="auto" w:fill="auto"/>
            <w:vAlign w:val="center"/>
          </w:tcPr>
          <w:p w14:paraId="71C7398B">
            <w:pPr>
              <w:pStyle w:val="42"/>
              <w:widowControl/>
              <w:tabs>
                <w:tab w:val="left" w:pos="0"/>
              </w:tabs>
              <w:adjustRightInd w:val="0"/>
              <w:snapToGrid w:val="0"/>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8000</w:t>
            </w:r>
          </w:p>
        </w:tc>
        <w:tc>
          <w:tcPr>
            <w:tcW w:w="0" w:type="auto"/>
            <w:shd w:val="clear" w:color="auto" w:fill="auto"/>
            <w:vAlign w:val="center"/>
          </w:tcPr>
          <w:p w14:paraId="479CEB69">
            <w:pPr>
              <w:pStyle w:val="42"/>
              <w:widowControl/>
              <w:tabs>
                <w:tab w:val="left" w:pos="0"/>
              </w:tabs>
              <w:adjustRightInd w:val="0"/>
              <w:snapToGrid w:val="0"/>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连续</w:t>
            </w:r>
          </w:p>
        </w:tc>
        <w:tc>
          <w:tcPr>
            <w:tcW w:w="1550" w:type="dxa"/>
            <w:shd w:val="clear" w:color="auto" w:fill="auto"/>
            <w:vAlign w:val="center"/>
          </w:tcPr>
          <w:p w14:paraId="32F4DB06">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r>
              <w:rPr>
                <w:rFonts w:hint="eastAsia"/>
                <w:snapToGrid w:val="0"/>
                <w:color w:val="auto"/>
                <w:kern w:val="0"/>
                <w:szCs w:val="21"/>
                <w:highlight w:val="none"/>
              </w:rPr>
              <w:t>：0</w:t>
            </w:r>
            <w:r>
              <w:rPr>
                <w:snapToGrid w:val="0"/>
                <w:color w:val="auto"/>
                <w:kern w:val="0"/>
                <w:szCs w:val="21"/>
                <w:highlight w:val="none"/>
              </w:rPr>
              <w:t>.53</w:t>
            </w:r>
          </w:p>
          <w:p w14:paraId="586AB79A">
            <w:pPr>
              <w:pStyle w:val="42"/>
              <w:widowControl/>
              <w:tabs>
                <w:tab w:val="left" w:pos="0"/>
              </w:tabs>
              <w:adjustRightInd w:val="0"/>
              <w:snapToGrid w:val="0"/>
              <w:ind w:left="0" w:firstLine="0" w:firstLineChars="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0.265</w:t>
            </w:r>
          </w:p>
          <w:p w14:paraId="7C80F399">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r>
              <w:rPr>
                <w:rFonts w:hint="eastAsia"/>
                <w:snapToGrid w:val="0"/>
                <w:color w:val="auto"/>
                <w:kern w:val="0"/>
                <w:szCs w:val="21"/>
                <w:highlight w:val="none"/>
              </w:rPr>
              <w:t>：0</w:t>
            </w:r>
            <w:r>
              <w:rPr>
                <w:snapToGrid w:val="0"/>
                <w:color w:val="auto"/>
                <w:kern w:val="0"/>
                <w:szCs w:val="21"/>
                <w:highlight w:val="none"/>
              </w:rPr>
              <w:t>.11</w:t>
            </w:r>
          </w:p>
          <w:p w14:paraId="75E1F29B">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NH</w:t>
            </w:r>
            <w:r>
              <w:rPr>
                <w:rFonts w:hint="eastAsia"/>
                <w:snapToGrid w:val="0"/>
                <w:color w:val="auto"/>
                <w:kern w:val="0"/>
                <w:szCs w:val="21"/>
                <w:highlight w:val="none"/>
                <w:vertAlign w:val="subscript"/>
              </w:rPr>
              <w:t>3</w:t>
            </w:r>
            <w:r>
              <w:rPr>
                <w:rFonts w:hint="eastAsia"/>
                <w:snapToGrid w:val="0"/>
                <w:color w:val="auto"/>
                <w:kern w:val="0"/>
                <w:szCs w:val="21"/>
                <w:highlight w:val="none"/>
              </w:rPr>
              <w:t>：0.26</w:t>
            </w:r>
          </w:p>
          <w:p w14:paraId="5B69D2E6">
            <w:pPr>
              <w:pStyle w:val="42"/>
              <w:widowControl/>
              <w:tabs>
                <w:tab w:val="left" w:pos="0"/>
              </w:tabs>
              <w:adjustRightInd w:val="0"/>
              <w:snapToGrid w:val="0"/>
              <w:ind w:left="0" w:leftChars="0" w:firstLine="0" w:firstLineChars="0"/>
              <w:jc w:val="center"/>
              <w:rPr>
                <w:rFonts w:hint="eastAsia"/>
                <w:snapToGrid w:val="0"/>
                <w:color w:val="auto"/>
                <w:kern w:val="0"/>
                <w:szCs w:val="21"/>
                <w:highlight w:val="none"/>
              </w:rPr>
            </w:pPr>
            <w:r>
              <w:rPr>
                <w:rFonts w:hint="eastAsia"/>
                <w:snapToGrid w:val="0"/>
                <w:color w:val="auto"/>
                <w:kern w:val="0"/>
                <w:szCs w:val="21"/>
                <w:highlight w:val="none"/>
              </w:rPr>
              <w:t>H</w:t>
            </w:r>
            <w:r>
              <w:rPr>
                <w:rFonts w:hint="eastAsia"/>
                <w:snapToGrid w:val="0"/>
                <w:color w:val="auto"/>
                <w:kern w:val="0"/>
                <w:szCs w:val="21"/>
                <w:highlight w:val="none"/>
                <w:vertAlign w:val="subscript"/>
              </w:rPr>
              <w:t>2</w:t>
            </w:r>
            <w:r>
              <w:rPr>
                <w:rFonts w:hint="eastAsia"/>
                <w:snapToGrid w:val="0"/>
                <w:color w:val="auto"/>
                <w:kern w:val="0"/>
                <w:szCs w:val="21"/>
                <w:highlight w:val="none"/>
              </w:rPr>
              <w:t>S：0</w:t>
            </w:r>
            <w:r>
              <w:rPr>
                <w:snapToGrid w:val="0"/>
                <w:color w:val="auto"/>
                <w:kern w:val="0"/>
                <w:szCs w:val="21"/>
                <w:highlight w:val="none"/>
              </w:rPr>
              <w:t>.05</w:t>
            </w:r>
          </w:p>
        </w:tc>
      </w:tr>
      <w:tr w14:paraId="649B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2" w:type="dxa"/>
            <w:shd w:val="clear" w:color="auto" w:fill="auto"/>
            <w:vAlign w:val="center"/>
          </w:tcPr>
          <w:p w14:paraId="297CDBE6">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3#</w:t>
            </w:r>
          </w:p>
        </w:tc>
        <w:tc>
          <w:tcPr>
            <w:tcW w:w="1896" w:type="dxa"/>
            <w:shd w:val="clear" w:color="auto" w:fill="auto"/>
            <w:vAlign w:val="center"/>
          </w:tcPr>
          <w:p w14:paraId="707910C5">
            <w:pPr>
              <w:widowControl/>
              <w:adjustRightInd w:val="0"/>
              <w:snapToGrid w:val="0"/>
              <w:jc w:val="center"/>
              <w:rPr>
                <w:color w:val="auto"/>
                <w:kern w:val="0"/>
                <w:szCs w:val="21"/>
                <w:highlight w:val="none"/>
              </w:rPr>
            </w:pPr>
            <w:r>
              <w:rPr>
                <w:rFonts w:hint="eastAsia"/>
                <w:snapToGrid w:val="0"/>
                <w:color w:val="auto"/>
                <w:kern w:val="0"/>
                <w:szCs w:val="21"/>
                <w:highlight w:val="none"/>
              </w:rPr>
              <w:t>酸化废气</w:t>
            </w:r>
          </w:p>
        </w:tc>
        <w:tc>
          <w:tcPr>
            <w:tcW w:w="1053" w:type="dxa"/>
            <w:shd w:val="clear" w:color="auto" w:fill="auto"/>
            <w:vAlign w:val="center"/>
          </w:tcPr>
          <w:p w14:paraId="7D222F2E">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-44</w:t>
            </w:r>
          </w:p>
        </w:tc>
        <w:tc>
          <w:tcPr>
            <w:tcW w:w="1053" w:type="dxa"/>
            <w:shd w:val="clear" w:color="auto" w:fill="auto"/>
            <w:vAlign w:val="center"/>
          </w:tcPr>
          <w:p w14:paraId="58CE7E3B">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-34</w:t>
            </w:r>
          </w:p>
        </w:tc>
        <w:tc>
          <w:tcPr>
            <w:tcW w:w="1528" w:type="dxa"/>
            <w:shd w:val="clear" w:color="auto" w:fill="auto"/>
            <w:vAlign w:val="center"/>
          </w:tcPr>
          <w:p w14:paraId="08D66E0E">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609</w:t>
            </w:r>
          </w:p>
        </w:tc>
        <w:tc>
          <w:tcPr>
            <w:tcW w:w="1163" w:type="dxa"/>
            <w:shd w:val="clear" w:color="auto" w:fill="auto"/>
            <w:vAlign w:val="center"/>
          </w:tcPr>
          <w:p w14:paraId="3C795333">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25</w:t>
            </w:r>
          </w:p>
        </w:tc>
        <w:tc>
          <w:tcPr>
            <w:tcW w:w="1308" w:type="dxa"/>
            <w:shd w:val="clear" w:color="auto" w:fill="auto"/>
            <w:vAlign w:val="center"/>
          </w:tcPr>
          <w:p w14:paraId="4AA5B7FC">
            <w:pPr>
              <w:pStyle w:val="42"/>
              <w:widowControl/>
              <w:tabs>
                <w:tab w:val="left" w:pos="0"/>
              </w:tabs>
              <w:adjustRightInd w:val="0"/>
              <w:snapToGrid w:val="0"/>
              <w:ind w:left="0" w:leftChars="0" w:firstLine="0" w:firstLineChars="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1.0</w:t>
            </w:r>
          </w:p>
        </w:tc>
        <w:tc>
          <w:tcPr>
            <w:tcW w:w="1338" w:type="dxa"/>
            <w:shd w:val="clear" w:color="auto" w:fill="auto"/>
            <w:vAlign w:val="center"/>
          </w:tcPr>
          <w:p w14:paraId="650F9823">
            <w:pPr>
              <w:widowControl/>
              <w:adjustRightInd w:val="0"/>
              <w:snapToGrid w:val="0"/>
              <w:jc w:val="center"/>
              <w:rPr>
                <w:color w:val="auto"/>
                <w:kern w:val="0"/>
                <w:szCs w:val="21"/>
                <w:highlight w:val="none"/>
              </w:rPr>
            </w:pPr>
            <w:r>
              <w:rPr>
                <w:snapToGrid w:val="0"/>
                <w:color w:val="auto"/>
                <w:kern w:val="0"/>
                <w:szCs w:val="21"/>
                <w:highlight w:val="none"/>
              </w:rPr>
              <w:t>31500</w:t>
            </w:r>
          </w:p>
        </w:tc>
        <w:tc>
          <w:tcPr>
            <w:tcW w:w="1136" w:type="dxa"/>
            <w:shd w:val="clear" w:color="auto" w:fill="auto"/>
            <w:vAlign w:val="center"/>
          </w:tcPr>
          <w:p w14:paraId="148C72CA">
            <w:pPr>
              <w:widowControl/>
              <w:adjustRightInd w:val="0"/>
              <w:snapToGrid w:val="0"/>
              <w:jc w:val="center"/>
              <w:rPr>
                <w:color w:val="auto"/>
                <w:kern w:val="0"/>
                <w:szCs w:val="21"/>
                <w:highlight w:val="none"/>
              </w:rPr>
            </w:pPr>
            <w:r>
              <w:rPr>
                <w:snapToGrid w:val="0"/>
                <w:color w:val="auto"/>
                <w:kern w:val="0"/>
                <w:szCs w:val="21"/>
                <w:highlight w:val="none"/>
              </w:rPr>
              <w:t>常温</w:t>
            </w:r>
          </w:p>
        </w:tc>
        <w:tc>
          <w:tcPr>
            <w:tcW w:w="0" w:type="auto"/>
            <w:shd w:val="clear" w:color="auto" w:fill="auto"/>
            <w:vAlign w:val="center"/>
          </w:tcPr>
          <w:p w14:paraId="4B255C8E">
            <w:pPr>
              <w:widowControl/>
              <w:adjustRightInd w:val="0"/>
              <w:snapToGrid w:val="0"/>
              <w:jc w:val="center"/>
              <w:rPr>
                <w:color w:val="auto"/>
                <w:kern w:val="0"/>
                <w:szCs w:val="21"/>
                <w:highlight w:val="none"/>
              </w:rPr>
            </w:pPr>
            <w:r>
              <w:rPr>
                <w:rFonts w:hint="eastAsia"/>
                <w:color w:val="auto"/>
                <w:kern w:val="0"/>
                <w:szCs w:val="21"/>
                <w:highlight w:val="none"/>
              </w:rPr>
              <w:t>8000</w:t>
            </w:r>
          </w:p>
        </w:tc>
        <w:tc>
          <w:tcPr>
            <w:tcW w:w="0" w:type="auto"/>
            <w:shd w:val="clear" w:color="auto" w:fill="auto"/>
            <w:vAlign w:val="center"/>
          </w:tcPr>
          <w:p w14:paraId="2E61F650">
            <w:pPr>
              <w:widowControl/>
              <w:adjustRightInd w:val="0"/>
              <w:snapToGrid w:val="0"/>
              <w:jc w:val="center"/>
              <w:rPr>
                <w:color w:val="auto"/>
                <w:kern w:val="0"/>
                <w:szCs w:val="21"/>
                <w:highlight w:val="none"/>
              </w:rPr>
            </w:pPr>
            <w:r>
              <w:rPr>
                <w:rFonts w:hint="eastAsia"/>
                <w:color w:val="auto"/>
                <w:kern w:val="0"/>
                <w:szCs w:val="21"/>
                <w:highlight w:val="none"/>
              </w:rPr>
              <w:t>连续</w:t>
            </w:r>
          </w:p>
        </w:tc>
        <w:tc>
          <w:tcPr>
            <w:tcW w:w="1550" w:type="dxa"/>
            <w:shd w:val="clear" w:color="auto" w:fill="auto"/>
            <w:vAlign w:val="center"/>
          </w:tcPr>
          <w:p w14:paraId="0E41F311">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r>
              <w:rPr>
                <w:rFonts w:hint="eastAsia"/>
                <w:snapToGrid w:val="0"/>
                <w:color w:val="auto"/>
                <w:kern w:val="0"/>
                <w:szCs w:val="21"/>
                <w:highlight w:val="none"/>
              </w:rPr>
              <w:t>：0.08</w:t>
            </w:r>
          </w:p>
          <w:p w14:paraId="6CC8F840">
            <w:pPr>
              <w:pStyle w:val="42"/>
              <w:widowControl/>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硫酸雾：0.47</w:t>
            </w:r>
          </w:p>
        </w:tc>
      </w:tr>
      <w:tr w14:paraId="71F6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2" w:type="dxa"/>
            <w:shd w:val="clear" w:color="auto" w:fill="auto"/>
            <w:vAlign w:val="center"/>
          </w:tcPr>
          <w:p w14:paraId="4F1B3E43">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lang w:val="en-US" w:eastAsia="zh-CN"/>
              </w:rPr>
              <w:t>4#</w:t>
            </w:r>
          </w:p>
        </w:tc>
        <w:tc>
          <w:tcPr>
            <w:tcW w:w="1896" w:type="dxa"/>
            <w:shd w:val="clear" w:color="auto" w:fill="auto"/>
            <w:vAlign w:val="center"/>
          </w:tcPr>
          <w:p w14:paraId="6A1C99BD">
            <w:pPr>
              <w:widowControl/>
              <w:adjustRightInd w:val="0"/>
              <w:snapToGrid w:val="0"/>
              <w:jc w:val="center"/>
              <w:rPr>
                <w:color w:val="auto"/>
                <w:kern w:val="0"/>
                <w:szCs w:val="21"/>
                <w:highlight w:val="none"/>
              </w:rPr>
            </w:pPr>
            <w:r>
              <w:rPr>
                <w:rFonts w:hint="eastAsia"/>
                <w:snapToGrid w:val="0"/>
                <w:color w:val="auto"/>
                <w:kern w:val="0"/>
                <w:szCs w:val="21"/>
                <w:highlight w:val="none"/>
              </w:rPr>
              <w:t>粗品干燥废气</w:t>
            </w:r>
          </w:p>
        </w:tc>
        <w:tc>
          <w:tcPr>
            <w:tcW w:w="1053" w:type="dxa"/>
            <w:shd w:val="clear" w:color="auto" w:fill="auto"/>
            <w:vAlign w:val="center"/>
          </w:tcPr>
          <w:p w14:paraId="23C7F92C">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-17</w:t>
            </w:r>
          </w:p>
        </w:tc>
        <w:tc>
          <w:tcPr>
            <w:tcW w:w="1053" w:type="dxa"/>
            <w:shd w:val="clear" w:color="auto" w:fill="auto"/>
            <w:vAlign w:val="center"/>
          </w:tcPr>
          <w:p w14:paraId="17BCAC46">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4</w:t>
            </w:r>
          </w:p>
        </w:tc>
        <w:tc>
          <w:tcPr>
            <w:tcW w:w="1528" w:type="dxa"/>
            <w:shd w:val="clear" w:color="auto" w:fill="auto"/>
            <w:vAlign w:val="center"/>
          </w:tcPr>
          <w:p w14:paraId="422B1D38">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608</w:t>
            </w:r>
          </w:p>
        </w:tc>
        <w:tc>
          <w:tcPr>
            <w:tcW w:w="1163" w:type="dxa"/>
            <w:shd w:val="clear" w:color="auto" w:fill="auto"/>
            <w:vAlign w:val="center"/>
          </w:tcPr>
          <w:p w14:paraId="1F816AC1">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25</w:t>
            </w:r>
          </w:p>
        </w:tc>
        <w:tc>
          <w:tcPr>
            <w:tcW w:w="1308" w:type="dxa"/>
            <w:shd w:val="clear" w:color="auto" w:fill="auto"/>
            <w:vAlign w:val="center"/>
          </w:tcPr>
          <w:p w14:paraId="59AE06BA">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0.5</w:t>
            </w:r>
          </w:p>
        </w:tc>
        <w:tc>
          <w:tcPr>
            <w:tcW w:w="1338" w:type="dxa"/>
            <w:shd w:val="clear" w:color="auto" w:fill="auto"/>
            <w:vAlign w:val="center"/>
          </w:tcPr>
          <w:p w14:paraId="48522BF8">
            <w:pPr>
              <w:widowControl/>
              <w:adjustRightInd w:val="0"/>
              <w:snapToGrid w:val="0"/>
              <w:jc w:val="center"/>
              <w:rPr>
                <w:color w:val="auto"/>
                <w:kern w:val="0"/>
                <w:szCs w:val="21"/>
                <w:highlight w:val="none"/>
              </w:rPr>
            </w:pPr>
            <w:r>
              <w:rPr>
                <w:snapToGrid w:val="0"/>
                <w:color w:val="auto"/>
                <w:kern w:val="0"/>
                <w:szCs w:val="21"/>
                <w:highlight w:val="none"/>
              </w:rPr>
              <w:t>8400</w:t>
            </w:r>
          </w:p>
        </w:tc>
        <w:tc>
          <w:tcPr>
            <w:tcW w:w="1136" w:type="dxa"/>
            <w:shd w:val="clear" w:color="auto" w:fill="auto"/>
            <w:vAlign w:val="center"/>
          </w:tcPr>
          <w:p w14:paraId="02EB1621">
            <w:pPr>
              <w:widowControl/>
              <w:adjustRightInd w:val="0"/>
              <w:snapToGrid w:val="0"/>
              <w:jc w:val="center"/>
              <w:rPr>
                <w:color w:val="auto"/>
                <w:kern w:val="0"/>
                <w:szCs w:val="21"/>
                <w:highlight w:val="none"/>
              </w:rPr>
            </w:pPr>
            <w:r>
              <w:rPr>
                <w:snapToGrid w:val="0"/>
                <w:color w:val="auto"/>
                <w:kern w:val="0"/>
                <w:szCs w:val="21"/>
                <w:highlight w:val="none"/>
              </w:rPr>
              <w:t>常温</w:t>
            </w:r>
          </w:p>
        </w:tc>
        <w:tc>
          <w:tcPr>
            <w:tcW w:w="0" w:type="auto"/>
            <w:shd w:val="clear" w:color="auto" w:fill="auto"/>
            <w:vAlign w:val="center"/>
          </w:tcPr>
          <w:p w14:paraId="7A44D9E5">
            <w:pPr>
              <w:widowControl/>
              <w:adjustRightInd w:val="0"/>
              <w:snapToGrid w:val="0"/>
              <w:jc w:val="center"/>
              <w:rPr>
                <w:color w:val="auto"/>
                <w:kern w:val="0"/>
                <w:szCs w:val="21"/>
                <w:highlight w:val="none"/>
              </w:rPr>
            </w:pPr>
            <w:r>
              <w:rPr>
                <w:rFonts w:hint="eastAsia"/>
                <w:color w:val="auto"/>
                <w:kern w:val="0"/>
                <w:szCs w:val="21"/>
                <w:highlight w:val="none"/>
              </w:rPr>
              <w:t>8000</w:t>
            </w:r>
          </w:p>
        </w:tc>
        <w:tc>
          <w:tcPr>
            <w:tcW w:w="0" w:type="auto"/>
            <w:shd w:val="clear" w:color="auto" w:fill="auto"/>
            <w:vAlign w:val="center"/>
          </w:tcPr>
          <w:p w14:paraId="750390B3">
            <w:pPr>
              <w:widowControl/>
              <w:adjustRightInd w:val="0"/>
              <w:snapToGrid w:val="0"/>
              <w:jc w:val="center"/>
              <w:rPr>
                <w:color w:val="auto"/>
                <w:kern w:val="0"/>
                <w:szCs w:val="21"/>
                <w:highlight w:val="none"/>
              </w:rPr>
            </w:pPr>
            <w:r>
              <w:rPr>
                <w:rFonts w:hint="eastAsia"/>
                <w:color w:val="auto"/>
                <w:kern w:val="0"/>
                <w:szCs w:val="21"/>
                <w:highlight w:val="none"/>
              </w:rPr>
              <w:t>连续</w:t>
            </w:r>
          </w:p>
        </w:tc>
        <w:tc>
          <w:tcPr>
            <w:tcW w:w="1550" w:type="dxa"/>
            <w:shd w:val="clear" w:color="auto" w:fill="auto"/>
            <w:vAlign w:val="center"/>
          </w:tcPr>
          <w:p w14:paraId="0D0A886D">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r>
              <w:rPr>
                <w:rFonts w:hint="eastAsia"/>
                <w:snapToGrid w:val="0"/>
                <w:color w:val="auto"/>
                <w:kern w:val="0"/>
                <w:szCs w:val="21"/>
                <w:highlight w:val="none"/>
              </w:rPr>
              <w:t>：0.02</w:t>
            </w:r>
          </w:p>
          <w:p w14:paraId="01C46B93">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r>
              <w:rPr>
                <w:rFonts w:hint="eastAsia"/>
                <w:snapToGrid w:val="0"/>
                <w:color w:val="auto"/>
                <w:kern w:val="0"/>
                <w:szCs w:val="21"/>
                <w:highlight w:val="none"/>
              </w:rPr>
              <w:t>：</w:t>
            </w:r>
            <w:r>
              <w:rPr>
                <w:rFonts w:hint="eastAsia"/>
                <w:snapToGrid w:val="0"/>
                <w:color w:val="auto"/>
                <w:kern w:val="0"/>
                <w:szCs w:val="21"/>
                <w:highlight w:val="none"/>
                <w:lang w:val="en-US" w:eastAsia="zh-CN"/>
              </w:rPr>
              <w:t>0.08</w:t>
            </w:r>
          </w:p>
          <w:p w14:paraId="3E3A4744">
            <w:pPr>
              <w:pStyle w:val="42"/>
              <w:widowControl/>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0.04</w:t>
            </w:r>
          </w:p>
        </w:tc>
      </w:tr>
      <w:tr w14:paraId="5D5C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2" w:type="dxa"/>
            <w:shd w:val="clear" w:color="auto" w:fill="auto"/>
            <w:vAlign w:val="center"/>
          </w:tcPr>
          <w:p w14:paraId="1C833D61">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lang w:val="en-US" w:eastAsia="zh-CN"/>
              </w:rPr>
              <w:t>5</w:t>
            </w:r>
            <w:r>
              <w:rPr>
                <w:rFonts w:hint="eastAsia"/>
                <w:color w:val="auto"/>
                <w:kern w:val="0"/>
                <w:szCs w:val="21"/>
                <w:highlight w:val="none"/>
              </w:rPr>
              <w:t>#</w:t>
            </w:r>
          </w:p>
        </w:tc>
        <w:tc>
          <w:tcPr>
            <w:tcW w:w="1896" w:type="dxa"/>
            <w:shd w:val="clear" w:color="auto" w:fill="auto"/>
            <w:vAlign w:val="center"/>
          </w:tcPr>
          <w:p w14:paraId="71DE03B1">
            <w:pPr>
              <w:widowControl/>
              <w:adjustRightInd w:val="0"/>
              <w:snapToGrid w:val="0"/>
              <w:jc w:val="center"/>
              <w:rPr>
                <w:color w:val="auto"/>
                <w:kern w:val="0"/>
                <w:szCs w:val="21"/>
                <w:highlight w:val="none"/>
              </w:rPr>
            </w:pPr>
            <w:r>
              <w:rPr>
                <w:rFonts w:hint="eastAsia"/>
                <w:snapToGrid w:val="0"/>
                <w:color w:val="auto"/>
                <w:kern w:val="0"/>
                <w:szCs w:val="21"/>
                <w:highlight w:val="none"/>
              </w:rPr>
              <w:t>成品干燥废气</w:t>
            </w:r>
          </w:p>
        </w:tc>
        <w:tc>
          <w:tcPr>
            <w:tcW w:w="1053" w:type="dxa"/>
            <w:shd w:val="clear" w:color="auto" w:fill="auto"/>
            <w:vAlign w:val="center"/>
          </w:tcPr>
          <w:p w14:paraId="4065F557">
            <w:pPr>
              <w:pStyle w:val="768"/>
              <w:snapToGrid w:val="0"/>
              <w:rPr>
                <w:rFonts w:hint="default" w:cs="Times New Roman"/>
                <w:color w:val="auto"/>
                <w:kern w:val="0"/>
                <w:szCs w:val="21"/>
                <w:highlight w:val="none"/>
                <w:lang w:val="en-US"/>
              </w:rPr>
            </w:pPr>
            <w:r>
              <w:rPr>
                <w:rFonts w:hint="eastAsia" w:cs="Times New Roman"/>
                <w:color w:val="auto"/>
                <w:kern w:val="0"/>
                <w:szCs w:val="21"/>
                <w:highlight w:val="none"/>
                <w:lang w:val="en-US" w:eastAsia="zh-CN"/>
              </w:rPr>
              <w:t>121</w:t>
            </w:r>
          </w:p>
        </w:tc>
        <w:tc>
          <w:tcPr>
            <w:tcW w:w="1053" w:type="dxa"/>
            <w:shd w:val="clear" w:color="auto" w:fill="auto"/>
            <w:vAlign w:val="center"/>
          </w:tcPr>
          <w:p w14:paraId="49E82055">
            <w:pPr>
              <w:pStyle w:val="768"/>
              <w:snapToGrid w:val="0"/>
              <w:rPr>
                <w:rFonts w:hint="default" w:cs="Times New Roman"/>
                <w:color w:val="auto"/>
                <w:kern w:val="0"/>
                <w:szCs w:val="21"/>
                <w:highlight w:val="none"/>
                <w:lang w:val="en-US"/>
              </w:rPr>
            </w:pPr>
            <w:r>
              <w:rPr>
                <w:rFonts w:hint="eastAsia" w:cs="Times New Roman"/>
                <w:color w:val="auto"/>
                <w:kern w:val="0"/>
                <w:szCs w:val="21"/>
                <w:highlight w:val="none"/>
                <w:lang w:val="en-US" w:eastAsia="zh-CN"/>
              </w:rPr>
              <w:t>52</w:t>
            </w:r>
          </w:p>
        </w:tc>
        <w:tc>
          <w:tcPr>
            <w:tcW w:w="1528" w:type="dxa"/>
            <w:shd w:val="clear" w:color="auto" w:fill="auto"/>
            <w:vAlign w:val="center"/>
          </w:tcPr>
          <w:p w14:paraId="1DF953D6">
            <w:pPr>
              <w:pStyle w:val="768"/>
              <w:snapToGrid w:val="0"/>
              <w:rPr>
                <w:rFonts w:cs="Times New Roman"/>
                <w:color w:val="auto"/>
                <w:kern w:val="0"/>
                <w:szCs w:val="21"/>
                <w:highlight w:val="none"/>
              </w:rPr>
            </w:pPr>
            <w:r>
              <w:rPr>
                <w:rFonts w:hint="eastAsia" w:cs="Times New Roman"/>
                <w:color w:val="auto"/>
                <w:kern w:val="0"/>
                <w:szCs w:val="21"/>
                <w:highlight w:val="none"/>
                <w:lang w:val="en-US" w:eastAsia="zh-CN"/>
              </w:rPr>
              <w:t>609</w:t>
            </w:r>
          </w:p>
        </w:tc>
        <w:tc>
          <w:tcPr>
            <w:tcW w:w="1163" w:type="dxa"/>
            <w:shd w:val="clear" w:color="auto" w:fill="auto"/>
            <w:vAlign w:val="center"/>
          </w:tcPr>
          <w:p w14:paraId="3BB8E185">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25</w:t>
            </w:r>
          </w:p>
        </w:tc>
        <w:tc>
          <w:tcPr>
            <w:tcW w:w="1308" w:type="dxa"/>
            <w:shd w:val="clear" w:color="auto" w:fill="auto"/>
            <w:vAlign w:val="center"/>
          </w:tcPr>
          <w:p w14:paraId="37AC01A9">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0.5</w:t>
            </w:r>
          </w:p>
        </w:tc>
        <w:tc>
          <w:tcPr>
            <w:tcW w:w="1338" w:type="dxa"/>
            <w:shd w:val="clear" w:color="auto" w:fill="auto"/>
            <w:vAlign w:val="center"/>
          </w:tcPr>
          <w:p w14:paraId="11AA7E72">
            <w:pPr>
              <w:widowControl/>
              <w:adjustRightInd w:val="0"/>
              <w:snapToGrid w:val="0"/>
              <w:jc w:val="center"/>
              <w:rPr>
                <w:color w:val="auto"/>
                <w:kern w:val="0"/>
                <w:szCs w:val="21"/>
                <w:highlight w:val="none"/>
              </w:rPr>
            </w:pPr>
            <w:r>
              <w:rPr>
                <w:rFonts w:hint="eastAsia"/>
                <w:snapToGrid w:val="0"/>
                <w:color w:val="auto"/>
                <w:kern w:val="0"/>
                <w:szCs w:val="21"/>
                <w:highlight w:val="none"/>
              </w:rPr>
              <w:t>5</w:t>
            </w:r>
            <w:r>
              <w:rPr>
                <w:snapToGrid w:val="0"/>
                <w:color w:val="auto"/>
                <w:kern w:val="0"/>
                <w:szCs w:val="21"/>
                <w:highlight w:val="none"/>
              </w:rPr>
              <w:t>250</w:t>
            </w:r>
          </w:p>
        </w:tc>
        <w:tc>
          <w:tcPr>
            <w:tcW w:w="1136" w:type="dxa"/>
            <w:shd w:val="clear" w:color="auto" w:fill="auto"/>
            <w:vAlign w:val="center"/>
          </w:tcPr>
          <w:p w14:paraId="7F130C35">
            <w:pPr>
              <w:widowControl/>
              <w:adjustRightInd w:val="0"/>
              <w:snapToGrid w:val="0"/>
              <w:jc w:val="center"/>
              <w:rPr>
                <w:color w:val="auto"/>
                <w:kern w:val="0"/>
                <w:szCs w:val="21"/>
                <w:highlight w:val="none"/>
              </w:rPr>
            </w:pPr>
            <w:r>
              <w:rPr>
                <w:rFonts w:hint="eastAsia"/>
                <w:snapToGrid w:val="0"/>
                <w:color w:val="auto"/>
                <w:kern w:val="0"/>
                <w:szCs w:val="21"/>
                <w:highlight w:val="none"/>
              </w:rPr>
              <w:t>常温</w:t>
            </w:r>
          </w:p>
        </w:tc>
        <w:tc>
          <w:tcPr>
            <w:tcW w:w="0" w:type="auto"/>
            <w:shd w:val="clear" w:color="auto" w:fill="auto"/>
            <w:vAlign w:val="center"/>
          </w:tcPr>
          <w:p w14:paraId="09D2B59B">
            <w:pPr>
              <w:widowControl/>
              <w:adjustRightInd w:val="0"/>
              <w:snapToGrid w:val="0"/>
              <w:jc w:val="center"/>
              <w:rPr>
                <w:color w:val="auto"/>
                <w:kern w:val="0"/>
                <w:szCs w:val="21"/>
                <w:highlight w:val="none"/>
              </w:rPr>
            </w:pPr>
            <w:r>
              <w:rPr>
                <w:rFonts w:hint="eastAsia"/>
                <w:color w:val="auto"/>
                <w:kern w:val="0"/>
                <w:szCs w:val="21"/>
                <w:highlight w:val="none"/>
              </w:rPr>
              <w:t>8000</w:t>
            </w:r>
          </w:p>
        </w:tc>
        <w:tc>
          <w:tcPr>
            <w:tcW w:w="0" w:type="auto"/>
            <w:shd w:val="clear" w:color="auto" w:fill="auto"/>
            <w:vAlign w:val="center"/>
          </w:tcPr>
          <w:p w14:paraId="024AF1CF">
            <w:pPr>
              <w:widowControl/>
              <w:adjustRightInd w:val="0"/>
              <w:snapToGrid w:val="0"/>
              <w:jc w:val="center"/>
              <w:rPr>
                <w:color w:val="auto"/>
                <w:kern w:val="0"/>
                <w:szCs w:val="21"/>
                <w:highlight w:val="none"/>
              </w:rPr>
            </w:pPr>
            <w:r>
              <w:rPr>
                <w:rFonts w:hint="eastAsia"/>
                <w:color w:val="auto"/>
                <w:kern w:val="0"/>
                <w:szCs w:val="21"/>
                <w:highlight w:val="none"/>
              </w:rPr>
              <w:t>连续</w:t>
            </w:r>
          </w:p>
        </w:tc>
        <w:tc>
          <w:tcPr>
            <w:tcW w:w="1550" w:type="dxa"/>
            <w:shd w:val="clear" w:color="auto" w:fill="auto"/>
            <w:vAlign w:val="center"/>
          </w:tcPr>
          <w:p w14:paraId="711CB389">
            <w:pPr>
              <w:pStyle w:val="42"/>
              <w:widowControl/>
              <w:tabs>
                <w:tab w:val="left" w:pos="0"/>
              </w:tabs>
              <w:adjustRightInd w:val="0"/>
              <w:snapToGrid w:val="0"/>
              <w:ind w:left="0" w:firstLine="0" w:firstLineChars="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r>
              <w:rPr>
                <w:rFonts w:hint="eastAsia"/>
                <w:snapToGrid w:val="0"/>
                <w:color w:val="auto"/>
                <w:kern w:val="0"/>
                <w:szCs w:val="21"/>
                <w:highlight w:val="none"/>
              </w:rPr>
              <w:t>：0</w:t>
            </w:r>
            <w:r>
              <w:rPr>
                <w:snapToGrid w:val="0"/>
                <w:color w:val="auto"/>
                <w:kern w:val="0"/>
                <w:szCs w:val="21"/>
                <w:highlight w:val="none"/>
              </w:rPr>
              <w:t>.</w:t>
            </w:r>
            <w:r>
              <w:rPr>
                <w:rFonts w:hint="eastAsia"/>
                <w:snapToGrid w:val="0"/>
                <w:color w:val="auto"/>
                <w:kern w:val="0"/>
                <w:szCs w:val="21"/>
                <w:highlight w:val="none"/>
                <w:lang w:val="en-US" w:eastAsia="zh-CN"/>
              </w:rPr>
              <w:t>11</w:t>
            </w:r>
          </w:p>
          <w:p w14:paraId="6A22946A">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0.055</w:t>
            </w:r>
          </w:p>
        </w:tc>
      </w:tr>
      <w:tr w14:paraId="3594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2" w:type="dxa"/>
            <w:shd w:val="clear" w:color="auto" w:fill="auto"/>
            <w:vAlign w:val="center"/>
          </w:tcPr>
          <w:p w14:paraId="6C95B8C5">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lang w:val="en-US" w:eastAsia="zh-CN"/>
              </w:rPr>
              <w:t>6</w:t>
            </w:r>
            <w:r>
              <w:rPr>
                <w:rFonts w:hint="eastAsia"/>
                <w:color w:val="auto"/>
                <w:kern w:val="0"/>
                <w:szCs w:val="21"/>
                <w:highlight w:val="none"/>
              </w:rPr>
              <w:t>#</w:t>
            </w:r>
          </w:p>
        </w:tc>
        <w:tc>
          <w:tcPr>
            <w:tcW w:w="1896" w:type="dxa"/>
            <w:shd w:val="clear" w:color="auto" w:fill="auto"/>
            <w:vAlign w:val="center"/>
          </w:tcPr>
          <w:p w14:paraId="1F9517C4">
            <w:pPr>
              <w:widowControl/>
              <w:adjustRightInd w:val="0"/>
              <w:snapToGrid w:val="0"/>
              <w:jc w:val="center"/>
              <w:rPr>
                <w:color w:val="auto"/>
                <w:kern w:val="0"/>
                <w:szCs w:val="21"/>
                <w:highlight w:val="none"/>
              </w:rPr>
            </w:pPr>
            <w:r>
              <w:rPr>
                <w:rFonts w:hint="eastAsia"/>
                <w:snapToGrid w:val="0"/>
                <w:color w:val="auto"/>
                <w:kern w:val="0"/>
                <w:szCs w:val="21"/>
                <w:highlight w:val="none"/>
              </w:rPr>
              <w:t>活性炭再生炉烟气</w:t>
            </w:r>
          </w:p>
        </w:tc>
        <w:tc>
          <w:tcPr>
            <w:tcW w:w="1053" w:type="dxa"/>
            <w:shd w:val="clear" w:color="auto" w:fill="auto"/>
            <w:vAlign w:val="center"/>
          </w:tcPr>
          <w:p w14:paraId="7B614991">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119</w:t>
            </w:r>
          </w:p>
        </w:tc>
        <w:tc>
          <w:tcPr>
            <w:tcW w:w="1053" w:type="dxa"/>
            <w:shd w:val="clear" w:color="auto" w:fill="auto"/>
            <w:vAlign w:val="center"/>
          </w:tcPr>
          <w:p w14:paraId="413DE72E">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39</w:t>
            </w:r>
          </w:p>
        </w:tc>
        <w:tc>
          <w:tcPr>
            <w:tcW w:w="1528" w:type="dxa"/>
            <w:shd w:val="clear" w:color="auto" w:fill="auto"/>
            <w:vAlign w:val="center"/>
          </w:tcPr>
          <w:p w14:paraId="0A94E99F">
            <w:pPr>
              <w:pStyle w:val="768"/>
              <w:snapToGrid w:val="0"/>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609</w:t>
            </w:r>
          </w:p>
        </w:tc>
        <w:tc>
          <w:tcPr>
            <w:tcW w:w="1163" w:type="dxa"/>
            <w:shd w:val="clear" w:color="auto" w:fill="auto"/>
            <w:vAlign w:val="center"/>
          </w:tcPr>
          <w:p w14:paraId="56BD836E">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25</w:t>
            </w:r>
          </w:p>
        </w:tc>
        <w:tc>
          <w:tcPr>
            <w:tcW w:w="1308" w:type="dxa"/>
            <w:shd w:val="clear" w:color="auto" w:fill="auto"/>
            <w:vAlign w:val="center"/>
          </w:tcPr>
          <w:p w14:paraId="36D21DB3">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color w:val="auto"/>
                <w:kern w:val="0"/>
                <w:szCs w:val="21"/>
                <w:highlight w:val="none"/>
              </w:rPr>
              <w:t>0.5</w:t>
            </w:r>
          </w:p>
        </w:tc>
        <w:tc>
          <w:tcPr>
            <w:tcW w:w="1338" w:type="dxa"/>
            <w:shd w:val="clear" w:color="auto" w:fill="auto"/>
            <w:vAlign w:val="center"/>
          </w:tcPr>
          <w:p w14:paraId="4C38D561">
            <w:pPr>
              <w:widowControl/>
              <w:adjustRightInd w:val="0"/>
              <w:snapToGrid w:val="0"/>
              <w:jc w:val="center"/>
              <w:rPr>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880</w:t>
            </w:r>
          </w:p>
        </w:tc>
        <w:tc>
          <w:tcPr>
            <w:tcW w:w="1136" w:type="dxa"/>
            <w:shd w:val="clear" w:color="auto" w:fill="auto"/>
            <w:vAlign w:val="center"/>
          </w:tcPr>
          <w:p w14:paraId="31C707D5">
            <w:pPr>
              <w:widowControl/>
              <w:adjustRightInd w:val="0"/>
              <w:snapToGrid w:val="0"/>
              <w:jc w:val="center"/>
              <w:rPr>
                <w:color w:val="auto"/>
                <w:kern w:val="0"/>
                <w:szCs w:val="21"/>
                <w:highlight w:val="none"/>
              </w:rPr>
            </w:pPr>
            <w:r>
              <w:rPr>
                <w:rFonts w:hint="eastAsia"/>
                <w:snapToGrid w:val="0"/>
                <w:color w:val="auto"/>
                <w:kern w:val="0"/>
                <w:szCs w:val="21"/>
                <w:highlight w:val="none"/>
              </w:rPr>
              <w:t>5</w:t>
            </w:r>
            <w:r>
              <w:rPr>
                <w:snapToGrid w:val="0"/>
                <w:color w:val="auto"/>
                <w:kern w:val="0"/>
                <w:szCs w:val="21"/>
                <w:highlight w:val="none"/>
              </w:rPr>
              <w:t>0</w:t>
            </w:r>
          </w:p>
        </w:tc>
        <w:tc>
          <w:tcPr>
            <w:tcW w:w="0" w:type="auto"/>
            <w:shd w:val="clear" w:color="auto" w:fill="auto"/>
            <w:vAlign w:val="center"/>
          </w:tcPr>
          <w:p w14:paraId="3C994443">
            <w:pPr>
              <w:widowControl/>
              <w:adjustRightInd w:val="0"/>
              <w:snapToGrid w:val="0"/>
              <w:jc w:val="center"/>
              <w:rPr>
                <w:color w:val="auto"/>
                <w:kern w:val="0"/>
                <w:szCs w:val="21"/>
                <w:highlight w:val="none"/>
              </w:rPr>
            </w:pPr>
            <w:r>
              <w:rPr>
                <w:rFonts w:hint="eastAsia"/>
                <w:color w:val="auto"/>
                <w:kern w:val="0"/>
                <w:szCs w:val="21"/>
                <w:highlight w:val="none"/>
              </w:rPr>
              <w:t>8000</w:t>
            </w:r>
          </w:p>
        </w:tc>
        <w:tc>
          <w:tcPr>
            <w:tcW w:w="0" w:type="auto"/>
            <w:shd w:val="clear" w:color="auto" w:fill="auto"/>
            <w:vAlign w:val="center"/>
          </w:tcPr>
          <w:p w14:paraId="34555CB4">
            <w:pPr>
              <w:widowControl/>
              <w:adjustRightInd w:val="0"/>
              <w:snapToGrid w:val="0"/>
              <w:jc w:val="center"/>
              <w:rPr>
                <w:color w:val="auto"/>
                <w:kern w:val="0"/>
                <w:szCs w:val="21"/>
                <w:highlight w:val="none"/>
              </w:rPr>
            </w:pPr>
            <w:r>
              <w:rPr>
                <w:rFonts w:hint="eastAsia"/>
                <w:color w:val="auto"/>
                <w:kern w:val="0"/>
                <w:szCs w:val="21"/>
                <w:highlight w:val="none"/>
              </w:rPr>
              <w:t>连续</w:t>
            </w:r>
          </w:p>
        </w:tc>
        <w:tc>
          <w:tcPr>
            <w:tcW w:w="1550" w:type="dxa"/>
            <w:shd w:val="clear" w:color="auto" w:fill="auto"/>
            <w:vAlign w:val="center"/>
          </w:tcPr>
          <w:p w14:paraId="15F0BA18">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NO</w:t>
            </w:r>
            <w:r>
              <w:rPr>
                <w:rFonts w:hint="eastAsia"/>
                <w:snapToGrid w:val="0"/>
                <w:color w:val="auto"/>
                <w:kern w:val="0"/>
                <w:szCs w:val="21"/>
                <w:highlight w:val="none"/>
                <w:vertAlign w:val="subscript"/>
              </w:rPr>
              <w:t>X</w:t>
            </w:r>
            <w:r>
              <w:rPr>
                <w:rFonts w:hint="eastAsia"/>
                <w:snapToGrid w:val="0"/>
                <w:color w:val="auto"/>
                <w:kern w:val="0"/>
                <w:szCs w:val="21"/>
                <w:highlight w:val="none"/>
              </w:rPr>
              <w:t>：0.41</w:t>
            </w:r>
          </w:p>
          <w:p w14:paraId="06B14396">
            <w:pPr>
              <w:pStyle w:val="42"/>
              <w:widowControl/>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SO</w:t>
            </w:r>
            <w:r>
              <w:rPr>
                <w:rFonts w:hint="eastAsia"/>
                <w:snapToGrid w:val="0"/>
                <w:color w:val="auto"/>
                <w:kern w:val="0"/>
                <w:szCs w:val="21"/>
                <w:highlight w:val="none"/>
                <w:vertAlign w:val="subscript"/>
              </w:rPr>
              <w:t>2</w:t>
            </w:r>
            <w:r>
              <w:rPr>
                <w:rFonts w:hint="eastAsia"/>
                <w:snapToGrid w:val="0"/>
                <w:color w:val="auto"/>
                <w:kern w:val="0"/>
                <w:szCs w:val="21"/>
                <w:highlight w:val="none"/>
              </w:rPr>
              <w:t>：0.33</w:t>
            </w:r>
          </w:p>
          <w:p w14:paraId="14024D50">
            <w:pPr>
              <w:pStyle w:val="42"/>
              <w:widowControl/>
              <w:tabs>
                <w:tab w:val="left" w:pos="0"/>
              </w:tabs>
              <w:adjustRightInd w:val="0"/>
              <w:snapToGrid w:val="0"/>
              <w:ind w:left="0" w:firstLine="0" w:firstLineChars="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10</w:t>
            </w:r>
            <w:r>
              <w:rPr>
                <w:rFonts w:hint="eastAsia"/>
                <w:snapToGrid w:val="0"/>
                <w:color w:val="auto"/>
                <w:kern w:val="0"/>
                <w:szCs w:val="21"/>
                <w:highlight w:val="none"/>
              </w:rPr>
              <w:t>：0</w:t>
            </w:r>
            <w:r>
              <w:rPr>
                <w:snapToGrid w:val="0"/>
                <w:color w:val="auto"/>
                <w:kern w:val="0"/>
                <w:szCs w:val="21"/>
                <w:highlight w:val="none"/>
              </w:rPr>
              <w:t>.</w:t>
            </w:r>
            <w:r>
              <w:rPr>
                <w:rFonts w:hint="eastAsia"/>
                <w:snapToGrid w:val="0"/>
                <w:color w:val="auto"/>
                <w:kern w:val="0"/>
                <w:szCs w:val="21"/>
                <w:highlight w:val="none"/>
                <w:lang w:val="en-US" w:eastAsia="zh-CN"/>
              </w:rPr>
              <w:t>07</w:t>
            </w:r>
          </w:p>
          <w:p w14:paraId="4510015D">
            <w:pPr>
              <w:pStyle w:val="42"/>
              <w:widowControl/>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lang w:val="en-US" w:eastAsia="zh-CN"/>
              </w:rPr>
              <w:t>PM</w:t>
            </w:r>
            <w:r>
              <w:rPr>
                <w:rFonts w:hint="eastAsia"/>
                <w:snapToGrid w:val="0"/>
                <w:color w:val="auto"/>
                <w:kern w:val="0"/>
                <w:szCs w:val="21"/>
                <w:highlight w:val="none"/>
                <w:vertAlign w:val="subscript"/>
                <w:lang w:val="en-US" w:eastAsia="zh-CN"/>
              </w:rPr>
              <w:t>2.5</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0.035</w:t>
            </w:r>
          </w:p>
        </w:tc>
      </w:tr>
    </w:tbl>
    <w:p w14:paraId="7AA4142A">
      <w:pPr>
        <w:widowControl/>
        <w:spacing w:line="400" w:lineRule="exact"/>
        <w:jc w:val="center"/>
        <w:rPr>
          <w:b/>
          <w:color w:val="auto"/>
          <w:kern w:val="0"/>
          <w:sz w:val="24"/>
          <w:highlight w:val="none"/>
          <w:lang w:bidi="en-US"/>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7AEB2875">
      <w:pPr>
        <w:pStyle w:val="412"/>
        <w:tabs>
          <w:tab w:val="left" w:pos="0"/>
          <w:tab w:val="clear" w:pos="6840"/>
        </w:tabs>
        <w:topLinePunct w:val="0"/>
        <w:adjustRightInd w:val="0"/>
        <w:spacing w:line="240" w:lineRule="auto"/>
        <w:ind w:left="0" w:firstLine="0" w:firstLineChars="0"/>
        <w:textAlignment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6.2</w:t>
      </w:r>
      <w:r>
        <w:rPr>
          <w:rFonts w:hint="eastAsia" w:ascii="Times New Roman" w:hAnsi="Times New Roman" w:cs="Times New Roman"/>
          <w:snapToGrid w:val="0"/>
          <w:color w:val="auto"/>
          <w:kern w:val="0"/>
          <w:sz w:val="21"/>
          <w:szCs w:val="21"/>
          <w:highlight w:val="none"/>
        </w:rPr>
        <w:t>-1</w:t>
      </w:r>
      <w:r>
        <w:rPr>
          <w:rFonts w:hint="eastAsia" w:ascii="Times New Roman" w:hAnsi="Times New Roman" w:cs="Times New Roman"/>
          <w:snapToGrid w:val="0"/>
          <w:color w:val="auto"/>
          <w:kern w:val="0"/>
          <w:sz w:val="21"/>
          <w:szCs w:val="21"/>
          <w:highlight w:val="none"/>
          <w:lang w:val="en-US" w:eastAsia="zh-CN"/>
        </w:rPr>
        <w:t>8</w:t>
      </w:r>
      <w:r>
        <w:rPr>
          <w:rFonts w:hint="default"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lang w:val="en-US" w:eastAsia="zh-CN"/>
        </w:rPr>
        <w:t>在建、拟建项目</w:t>
      </w:r>
      <w:r>
        <w:rPr>
          <w:rFonts w:hint="eastAsia" w:ascii="Times New Roman" w:hAnsi="Times New Roman" w:cs="Times New Roman"/>
          <w:snapToGrid w:val="0"/>
          <w:color w:val="auto"/>
          <w:kern w:val="0"/>
          <w:sz w:val="21"/>
          <w:szCs w:val="21"/>
          <w:highlight w:val="none"/>
        </w:rPr>
        <w:t>污染物排放一览表</w:t>
      </w:r>
    </w:p>
    <w:tbl>
      <w:tblPr>
        <w:tblStyle w:val="56"/>
        <w:tblW w:w="13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34"/>
        <w:gridCol w:w="2099"/>
        <w:gridCol w:w="632"/>
        <w:gridCol w:w="632"/>
        <w:gridCol w:w="1054"/>
        <w:gridCol w:w="1054"/>
        <w:gridCol w:w="758"/>
        <w:gridCol w:w="722"/>
        <w:gridCol w:w="480"/>
        <w:gridCol w:w="480"/>
        <w:gridCol w:w="480"/>
        <w:gridCol w:w="292"/>
        <w:gridCol w:w="292"/>
        <w:gridCol w:w="564"/>
        <w:gridCol w:w="319"/>
        <w:gridCol w:w="319"/>
        <w:gridCol w:w="480"/>
        <w:gridCol w:w="377"/>
      </w:tblGrid>
      <w:tr w14:paraId="5777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033" w:type="dxa"/>
            <w:gridSpan w:val="2"/>
            <w:vMerge w:val="restart"/>
            <w:tcBorders>
              <w:tl2br w:val="nil"/>
              <w:tr2bl w:val="nil"/>
            </w:tcBorders>
            <w:noWrap/>
            <w:vAlign w:val="center"/>
          </w:tcPr>
          <w:p w14:paraId="5346DBE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点源名称</w:t>
            </w:r>
          </w:p>
        </w:tc>
        <w:tc>
          <w:tcPr>
            <w:tcW w:w="632" w:type="dxa"/>
            <w:tcBorders>
              <w:tl2br w:val="nil"/>
              <w:tr2bl w:val="nil"/>
            </w:tcBorders>
            <w:noWrap/>
            <w:vAlign w:val="center"/>
          </w:tcPr>
          <w:p w14:paraId="2EC9AAE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X坐标</w:t>
            </w:r>
          </w:p>
        </w:tc>
        <w:tc>
          <w:tcPr>
            <w:tcW w:w="632" w:type="dxa"/>
            <w:tcBorders>
              <w:tl2br w:val="nil"/>
              <w:tr2bl w:val="nil"/>
            </w:tcBorders>
            <w:noWrap/>
            <w:vAlign w:val="center"/>
          </w:tcPr>
          <w:p w14:paraId="065B8F1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Y坐标</w:t>
            </w:r>
          </w:p>
        </w:tc>
        <w:tc>
          <w:tcPr>
            <w:tcW w:w="1054" w:type="dxa"/>
            <w:tcBorders>
              <w:tl2br w:val="nil"/>
              <w:tr2bl w:val="nil"/>
            </w:tcBorders>
            <w:noWrap/>
            <w:vAlign w:val="center"/>
          </w:tcPr>
          <w:p w14:paraId="68A6EDD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排气筒高度</w:t>
            </w:r>
          </w:p>
        </w:tc>
        <w:tc>
          <w:tcPr>
            <w:tcW w:w="1054" w:type="dxa"/>
            <w:tcBorders>
              <w:tl2br w:val="nil"/>
              <w:tr2bl w:val="nil"/>
            </w:tcBorders>
            <w:noWrap/>
            <w:vAlign w:val="center"/>
          </w:tcPr>
          <w:p w14:paraId="2F6D1C5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排气筒内径</w:t>
            </w:r>
          </w:p>
        </w:tc>
        <w:tc>
          <w:tcPr>
            <w:tcW w:w="758" w:type="dxa"/>
            <w:tcBorders>
              <w:tl2br w:val="nil"/>
              <w:tr2bl w:val="nil"/>
            </w:tcBorders>
            <w:noWrap/>
            <w:vAlign w:val="center"/>
          </w:tcPr>
          <w:p w14:paraId="194F5F7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烟气出口温度</w:t>
            </w:r>
          </w:p>
        </w:tc>
        <w:tc>
          <w:tcPr>
            <w:tcW w:w="722" w:type="dxa"/>
            <w:tcBorders>
              <w:tl2br w:val="nil"/>
              <w:tr2bl w:val="nil"/>
            </w:tcBorders>
            <w:vAlign w:val="center"/>
          </w:tcPr>
          <w:p w14:paraId="202DC9C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烟气流量</w:t>
            </w:r>
          </w:p>
        </w:tc>
        <w:tc>
          <w:tcPr>
            <w:tcW w:w="4083" w:type="dxa"/>
            <w:gridSpan w:val="10"/>
            <w:tcBorders>
              <w:tl2br w:val="nil"/>
              <w:tr2bl w:val="nil"/>
            </w:tcBorders>
            <w:vAlign w:val="center"/>
          </w:tcPr>
          <w:p w14:paraId="70FA0D6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评价因子源强</w:t>
            </w:r>
            <w:r>
              <w:rPr>
                <w:rFonts w:hint="eastAsia" w:cs="Times New Roman"/>
                <w:bCs w:val="0"/>
                <w:snapToGrid w:val="0"/>
                <w:color w:val="auto"/>
                <w:kern w:val="0"/>
                <w:sz w:val="21"/>
                <w:szCs w:val="21"/>
                <w:highlight w:val="none"/>
                <w:lang w:val="en-US" w:eastAsia="zh-CN"/>
              </w:rPr>
              <w:t>（</w:t>
            </w:r>
            <w:r>
              <w:rPr>
                <w:rFonts w:hint="eastAsia" w:ascii="Times New Roman" w:hAnsi="Times New Roman" w:eastAsia="宋体" w:cs="Times New Roman"/>
                <w:bCs w:val="0"/>
                <w:snapToGrid w:val="0"/>
                <w:color w:val="auto"/>
                <w:kern w:val="0"/>
                <w:sz w:val="21"/>
                <w:szCs w:val="21"/>
                <w:highlight w:val="none"/>
                <w:lang w:val="en-US" w:eastAsia="zh-CN"/>
              </w:rPr>
              <w:t>kg/h</w:t>
            </w:r>
            <w:r>
              <w:rPr>
                <w:rFonts w:hint="eastAsia" w:cs="Times New Roman"/>
                <w:bCs w:val="0"/>
                <w:snapToGrid w:val="0"/>
                <w:color w:val="auto"/>
                <w:kern w:val="0"/>
                <w:sz w:val="21"/>
                <w:szCs w:val="21"/>
                <w:highlight w:val="none"/>
                <w:lang w:val="en-US" w:eastAsia="zh-CN"/>
              </w:rPr>
              <w:t>）</w:t>
            </w:r>
          </w:p>
        </w:tc>
      </w:tr>
      <w:tr w14:paraId="60F4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033" w:type="dxa"/>
            <w:gridSpan w:val="2"/>
            <w:vMerge w:val="continue"/>
            <w:tcBorders>
              <w:tl2br w:val="nil"/>
              <w:tr2bl w:val="nil"/>
            </w:tcBorders>
            <w:noWrap/>
            <w:vAlign w:val="center"/>
          </w:tcPr>
          <w:p w14:paraId="572B0D5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632" w:type="dxa"/>
            <w:tcBorders>
              <w:tl2br w:val="nil"/>
              <w:tr2bl w:val="nil"/>
            </w:tcBorders>
            <w:noWrap/>
            <w:vAlign w:val="center"/>
          </w:tcPr>
          <w:p w14:paraId="43131AB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Px</w:t>
            </w:r>
          </w:p>
        </w:tc>
        <w:tc>
          <w:tcPr>
            <w:tcW w:w="632" w:type="dxa"/>
            <w:tcBorders>
              <w:tl2br w:val="nil"/>
              <w:tr2bl w:val="nil"/>
            </w:tcBorders>
            <w:noWrap/>
            <w:vAlign w:val="center"/>
          </w:tcPr>
          <w:p w14:paraId="36A3D3E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Py</w:t>
            </w:r>
          </w:p>
        </w:tc>
        <w:tc>
          <w:tcPr>
            <w:tcW w:w="1054" w:type="dxa"/>
            <w:tcBorders>
              <w:tl2br w:val="nil"/>
              <w:tr2bl w:val="nil"/>
            </w:tcBorders>
            <w:noWrap/>
            <w:vAlign w:val="center"/>
          </w:tcPr>
          <w:p w14:paraId="53805EF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H</w:t>
            </w: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1054" w:type="dxa"/>
            <w:tcBorders>
              <w:tl2br w:val="nil"/>
              <w:tr2bl w:val="nil"/>
            </w:tcBorders>
            <w:noWrap/>
            <w:vAlign w:val="center"/>
          </w:tcPr>
          <w:p w14:paraId="6DBD23B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D</w:t>
            </w: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758" w:type="dxa"/>
            <w:tcBorders>
              <w:tl2br w:val="nil"/>
              <w:tr2bl w:val="nil"/>
            </w:tcBorders>
            <w:noWrap/>
            <w:vAlign w:val="center"/>
          </w:tcPr>
          <w:p w14:paraId="303C048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T</w:t>
            </w: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w:t>
            </w:r>
            <w:r>
              <w:rPr>
                <w:rFonts w:hint="eastAsia" w:cs="Times New Roman"/>
                <w:bCs w:val="0"/>
                <w:snapToGrid w:val="0"/>
                <w:color w:val="auto"/>
                <w:kern w:val="0"/>
                <w:sz w:val="21"/>
                <w:szCs w:val="21"/>
                <w:highlight w:val="none"/>
                <w:lang w:val="en-US" w:eastAsia="zh-CN"/>
              </w:rPr>
              <w:t>）</w:t>
            </w:r>
          </w:p>
        </w:tc>
        <w:tc>
          <w:tcPr>
            <w:tcW w:w="722" w:type="dxa"/>
            <w:tcBorders>
              <w:tl2br w:val="nil"/>
              <w:tr2bl w:val="nil"/>
            </w:tcBorders>
            <w:vAlign w:val="center"/>
          </w:tcPr>
          <w:p w14:paraId="0CBA364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Nm</w:t>
            </w:r>
            <w:r>
              <w:rPr>
                <w:rFonts w:hint="default" w:ascii="Times New Roman" w:hAnsi="Times New Roman" w:eastAsia="宋体" w:cs="Times New Roman"/>
                <w:bCs w:val="0"/>
                <w:snapToGrid w:val="0"/>
                <w:color w:val="auto"/>
                <w:kern w:val="0"/>
                <w:sz w:val="21"/>
                <w:szCs w:val="21"/>
                <w:highlight w:val="none"/>
                <w:vertAlign w:val="superscript"/>
                <w:lang w:val="en-US" w:eastAsia="zh-CN"/>
              </w:rPr>
              <w:t>3</w:t>
            </w:r>
            <w:r>
              <w:rPr>
                <w:rFonts w:hint="default" w:ascii="Times New Roman" w:hAnsi="Times New Roman" w:eastAsia="宋体" w:cs="Times New Roman"/>
                <w:bCs w:val="0"/>
                <w:snapToGrid w:val="0"/>
                <w:color w:val="auto"/>
                <w:kern w:val="0"/>
                <w:sz w:val="21"/>
                <w:szCs w:val="21"/>
                <w:highlight w:val="none"/>
                <w:lang w:val="en-US" w:eastAsia="zh-CN"/>
              </w:rPr>
              <w:t>/h</w:t>
            </w:r>
          </w:p>
        </w:tc>
        <w:tc>
          <w:tcPr>
            <w:tcW w:w="480" w:type="dxa"/>
            <w:tcBorders>
              <w:tl2br w:val="nil"/>
              <w:tr2bl w:val="nil"/>
            </w:tcBorders>
            <w:noWrap/>
            <w:vAlign w:val="center"/>
          </w:tcPr>
          <w:p w14:paraId="4B0EC75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SO</w:t>
            </w:r>
            <w:r>
              <w:rPr>
                <w:rFonts w:hint="eastAsia" w:ascii="Times New Roman" w:hAnsi="Times New Roman" w:eastAsia="宋体" w:cs="Times New Roman"/>
                <w:bCs w:val="0"/>
                <w:snapToGrid w:val="0"/>
                <w:color w:val="auto"/>
                <w:kern w:val="0"/>
                <w:sz w:val="21"/>
                <w:szCs w:val="21"/>
                <w:highlight w:val="none"/>
                <w:vertAlign w:val="subscript"/>
                <w:lang w:val="en-US" w:eastAsia="zh-CN"/>
              </w:rPr>
              <w:t>2</w:t>
            </w:r>
          </w:p>
        </w:tc>
        <w:tc>
          <w:tcPr>
            <w:tcW w:w="480" w:type="dxa"/>
            <w:tcBorders>
              <w:tl2br w:val="nil"/>
              <w:tr2bl w:val="nil"/>
            </w:tcBorders>
            <w:noWrap/>
            <w:vAlign w:val="center"/>
          </w:tcPr>
          <w:p w14:paraId="1527A06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NO</w:t>
            </w:r>
            <w:r>
              <w:rPr>
                <w:rFonts w:hint="eastAsia" w:ascii="Times New Roman" w:hAnsi="Times New Roman" w:eastAsia="宋体" w:cs="Times New Roman"/>
                <w:bCs w:val="0"/>
                <w:snapToGrid w:val="0"/>
                <w:color w:val="auto"/>
                <w:kern w:val="0"/>
                <w:sz w:val="21"/>
                <w:szCs w:val="21"/>
                <w:highlight w:val="none"/>
                <w:vertAlign w:val="subscript"/>
                <w:lang w:val="en-US" w:eastAsia="zh-CN"/>
              </w:rPr>
              <w:t>2</w:t>
            </w:r>
          </w:p>
        </w:tc>
        <w:tc>
          <w:tcPr>
            <w:tcW w:w="480" w:type="dxa"/>
            <w:tcBorders>
              <w:tl2br w:val="nil"/>
              <w:tr2bl w:val="nil"/>
            </w:tcBorders>
            <w:noWrap/>
            <w:vAlign w:val="center"/>
          </w:tcPr>
          <w:p w14:paraId="4A37D08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PM</w:t>
            </w:r>
            <w:r>
              <w:rPr>
                <w:rFonts w:hint="eastAsia" w:ascii="Times New Roman" w:hAnsi="Times New Roman" w:eastAsia="宋体" w:cs="Times New Roman"/>
                <w:bCs w:val="0"/>
                <w:snapToGrid w:val="0"/>
                <w:color w:val="auto"/>
                <w:kern w:val="0"/>
                <w:sz w:val="21"/>
                <w:szCs w:val="21"/>
                <w:highlight w:val="none"/>
                <w:vertAlign w:val="subscript"/>
                <w:lang w:val="en-US" w:eastAsia="zh-CN"/>
              </w:rPr>
              <w:t>10</w:t>
            </w:r>
          </w:p>
        </w:tc>
        <w:tc>
          <w:tcPr>
            <w:tcW w:w="584" w:type="dxa"/>
            <w:gridSpan w:val="2"/>
            <w:tcBorders>
              <w:tl2br w:val="nil"/>
              <w:tr2bl w:val="nil"/>
            </w:tcBorders>
            <w:noWrap/>
            <w:vAlign w:val="center"/>
          </w:tcPr>
          <w:p w14:paraId="605ECE5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vertAlign w:val="baseline"/>
                <w:lang w:val="en-US" w:eastAsia="zh-CN"/>
              </w:rPr>
              <w:t>PM</w:t>
            </w:r>
            <w:r>
              <w:rPr>
                <w:rFonts w:hint="eastAsia" w:ascii="Times New Roman" w:hAnsi="Times New Roman" w:eastAsia="宋体" w:cs="Times New Roman"/>
                <w:bCs w:val="0"/>
                <w:snapToGrid w:val="0"/>
                <w:color w:val="auto"/>
                <w:kern w:val="0"/>
                <w:sz w:val="21"/>
                <w:szCs w:val="21"/>
                <w:highlight w:val="none"/>
                <w:vertAlign w:val="subscript"/>
                <w:lang w:val="en-US" w:eastAsia="zh-CN"/>
              </w:rPr>
              <w:t>2.5</w:t>
            </w:r>
          </w:p>
        </w:tc>
        <w:tc>
          <w:tcPr>
            <w:tcW w:w="564" w:type="dxa"/>
            <w:tcBorders>
              <w:tl2br w:val="nil"/>
              <w:tr2bl w:val="nil"/>
            </w:tcBorders>
            <w:noWrap/>
            <w:vAlign w:val="center"/>
          </w:tcPr>
          <w:p w14:paraId="59865D2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vertAlign w:val="baseline"/>
                <w:lang w:val="en-US" w:eastAsia="zh-CN"/>
              </w:rPr>
            </w:pPr>
            <w:r>
              <w:rPr>
                <w:rFonts w:hint="eastAsia" w:ascii="Times New Roman" w:hAnsi="Times New Roman" w:eastAsia="宋体" w:cs="Times New Roman"/>
                <w:bCs w:val="0"/>
                <w:snapToGrid w:val="0"/>
                <w:color w:val="auto"/>
                <w:kern w:val="0"/>
                <w:sz w:val="21"/>
                <w:szCs w:val="21"/>
                <w:highlight w:val="none"/>
                <w:vertAlign w:val="baseline"/>
                <w:lang w:val="en-US" w:eastAsia="zh-CN"/>
              </w:rPr>
              <w:t>H</w:t>
            </w:r>
            <w:r>
              <w:rPr>
                <w:rFonts w:hint="eastAsia" w:ascii="Times New Roman" w:hAnsi="Times New Roman" w:eastAsia="宋体" w:cs="Times New Roman"/>
                <w:bCs w:val="0"/>
                <w:snapToGrid w:val="0"/>
                <w:color w:val="auto"/>
                <w:kern w:val="0"/>
                <w:sz w:val="21"/>
                <w:szCs w:val="21"/>
                <w:highlight w:val="none"/>
                <w:vertAlign w:val="subscript"/>
                <w:lang w:val="en-US" w:eastAsia="zh-CN"/>
              </w:rPr>
              <w:t>2</w:t>
            </w:r>
            <w:r>
              <w:rPr>
                <w:rFonts w:hint="eastAsia" w:ascii="Times New Roman" w:hAnsi="Times New Roman" w:eastAsia="宋体" w:cs="Times New Roman"/>
                <w:bCs w:val="0"/>
                <w:snapToGrid w:val="0"/>
                <w:color w:val="auto"/>
                <w:kern w:val="0"/>
                <w:sz w:val="21"/>
                <w:szCs w:val="21"/>
                <w:highlight w:val="none"/>
                <w:vertAlign w:val="baseline"/>
                <w:lang w:val="en-US" w:eastAsia="zh-CN"/>
              </w:rPr>
              <w:t>SO</w:t>
            </w:r>
            <w:r>
              <w:rPr>
                <w:rFonts w:hint="eastAsia" w:ascii="Times New Roman" w:hAnsi="Times New Roman" w:eastAsia="宋体" w:cs="Times New Roman"/>
                <w:bCs w:val="0"/>
                <w:snapToGrid w:val="0"/>
                <w:color w:val="auto"/>
                <w:kern w:val="0"/>
                <w:sz w:val="21"/>
                <w:szCs w:val="21"/>
                <w:highlight w:val="none"/>
                <w:vertAlign w:val="subscript"/>
                <w:lang w:val="en-US" w:eastAsia="zh-CN"/>
              </w:rPr>
              <w:t>4</w:t>
            </w:r>
          </w:p>
        </w:tc>
        <w:tc>
          <w:tcPr>
            <w:tcW w:w="638" w:type="dxa"/>
            <w:gridSpan w:val="2"/>
            <w:tcBorders>
              <w:tl2br w:val="nil"/>
              <w:tr2bl w:val="nil"/>
            </w:tcBorders>
            <w:noWrap/>
            <w:vAlign w:val="center"/>
          </w:tcPr>
          <w:p w14:paraId="46A69A9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NMHC</w:t>
            </w:r>
          </w:p>
        </w:tc>
        <w:tc>
          <w:tcPr>
            <w:tcW w:w="480" w:type="dxa"/>
            <w:tcBorders>
              <w:tl2br w:val="nil"/>
              <w:tr2bl w:val="nil"/>
            </w:tcBorders>
            <w:noWrap/>
            <w:vAlign w:val="center"/>
          </w:tcPr>
          <w:p w14:paraId="5D549AE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H</w:t>
            </w:r>
            <w:r>
              <w:rPr>
                <w:rFonts w:hint="eastAsia" w:cs="Times New Roman"/>
                <w:bCs w:val="0"/>
                <w:snapToGrid w:val="0"/>
                <w:color w:val="auto"/>
                <w:kern w:val="0"/>
                <w:sz w:val="21"/>
                <w:szCs w:val="21"/>
                <w:highlight w:val="none"/>
                <w:vertAlign w:val="subscript"/>
                <w:lang w:val="en-US" w:eastAsia="zh-CN"/>
              </w:rPr>
              <w:t>2</w:t>
            </w:r>
            <w:r>
              <w:rPr>
                <w:rFonts w:hint="eastAsia" w:cs="Times New Roman"/>
                <w:bCs w:val="0"/>
                <w:snapToGrid w:val="0"/>
                <w:color w:val="auto"/>
                <w:kern w:val="0"/>
                <w:sz w:val="21"/>
                <w:szCs w:val="21"/>
                <w:highlight w:val="none"/>
                <w:lang w:val="en-US" w:eastAsia="zh-CN"/>
              </w:rPr>
              <w:t>S</w:t>
            </w:r>
          </w:p>
        </w:tc>
        <w:tc>
          <w:tcPr>
            <w:tcW w:w="377" w:type="dxa"/>
            <w:tcBorders>
              <w:tl2br w:val="nil"/>
              <w:tr2bl w:val="nil"/>
            </w:tcBorders>
            <w:noWrap/>
            <w:vAlign w:val="center"/>
          </w:tcPr>
          <w:p w14:paraId="4D90B23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氨</w:t>
            </w:r>
          </w:p>
        </w:tc>
      </w:tr>
      <w:tr w14:paraId="5369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restart"/>
            <w:tcBorders>
              <w:tl2br w:val="nil"/>
              <w:tr2bl w:val="nil"/>
            </w:tcBorders>
            <w:noWrap/>
            <w:vAlign w:val="center"/>
          </w:tcPr>
          <w:p w14:paraId="2D85794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olor w:val="auto"/>
                <w:highlight w:val="none"/>
                <w:lang w:val="en-US" w:eastAsia="zh-CN"/>
              </w:rPr>
              <w:t>技术公司</w:t>
            </w:r>
            <w:r>
              <w:rPr>
                <w:rFonts w:hint="eastAsia" w:ascii="Times New Roman" w:hAnsi="Times New Roman" w:eastAsia="宋体" w:cs="Times New Roman"/>
                <w:bCs w:val="0"/>
                <w:snapToGrid w:val="0"/>
                <w:color w:val="auto"/>
                <w:kern w:val="0"/>
                <w:sz w:val="21"/>
                <w:szCs w:val="21"/>
                <w:highlight w:val="none"/>
                <w:lang w:val="en-US" w:eastAsia="zh-CN"/>
              </w:rPr>
              <w:t>长链二元酸扩产项目</w:t>
            </w:r>
          </w:p>
        </w:tc>
        <w:tc>
          <w:tcPr>
            <w:tcW w:w="2099" w:type="dxa"/>
            <w:tcBorders>
              <w:tl2br w:val="nil"/>
              <w:tr2bl w:val="nil"/>
            </w:tcBorders>
            <w:noWrap/>
            <w:vAlign w:val="center"/>
          </w:tcPr>
          <w:p w14:paraId="3EB02DF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酸化及干燥废气排气口</w:t>
            </w:r>
          </w:p>
        </w:tc>
        <w:tc>
          <w:tcPr>
            <w:tcW w:w="632" w:type="dxa"/>
            <w:tcBorders>
              <w:tl2br w:val="nil"/>
              <w:tr2bl w:val="nil"/>
            </w:tcBorders>
            <w:noWrap/>
            <w:vAlign w:val="center"/>
          </w:tcPr>
          <w:p w14:paraId="0F4880D6">
            <w:pPr>
              <w:jc w:val="center"/>
              <w:rPr>
                <w:rFonts w:hint="default"/>
                <w:color w:val="auto"/>
                <w:highlight w:val="none"/>
                <w:lang w:val="en-US" w:eastAsia="zh-CN"/>
              </w:rPr>
            </w:pPr>
            <w:r>
              <w:rPr>
                <w:rFonts w:hint="eastAsia"/>
                <w:color w:val="auto"/>
                <w:highlight w:val="none"/>
                <w:lang w:val="en-US" w:eastAsia="zh-CN"/>
              </w:rPr>
              <w:t>491</w:t>
            </w:r>
          </w:p>
        </w:tc>
        <w:tc>
          <w:tcPr>
            <w:tcW w:w="632" w:type="dxa"/>
            <w:tcBorders>
              <w:tl2br w:val="nil"/>
              <w:tr2bl w:val="nil"/>
            </w:tcBorders>
            <w:noWrap/>
            <w:vAlign w:val="center"/>
          </w:tcPr>
          <w:p w14:paraId="0FCD000D">
            <w:pPr>
              <w:pStyle w:val="768"/>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383</w:t>
            </w:r>
          </w:p>
        </w:tc>
        <w:tc>
          <w:tcPr>
            <w:tcW w:w="1054" w:type="dxa"/>
            <w:tcBorders>
              <w:tl2br w:val="nil"/>
              <w:tr2bl w:val="nil"/>
            </w:tcBorders>
            <w:noWrap/>
            <w:vAlign w:val="center"/>
          </w:tcPr>
          <w:p w14:paraId="59A6EA8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en-US"/>
              </w:rPr>
            </w:pPr>
            <w:r>
              <w:rPr>
                <w:rFonts w:hint="eastAsia" w:ascii="Times New Roman" w:hAnsi="Times New Roman" w:eastAsia="宋体" w:cs="Times New Roman"/>
                <w:b w:val="0"/>
                <w:bCs w:val="0"/>
                <w:snapToGrid w:val="0"/>
                <w:color w:val="auto"/>
                <w:kern w:val="0"/>
                <w:sz w:val="21"/>
                <w:szCs w:val="21"/>
                <w:highlight w:val="none"/>
              </w:rPr>
              <w:t>35.5</w:t>
            </w:r>
          </w:p>
        </w:tc>
        <w:tc>
          <w:tcPr>
            <w:tcW w:w="1054" w:type="dxa"/>
            <w:tcBorders>
              <w:tl2br w:val="nil"/>
              <w:tr2bl w:val="nil"/>
            </w:tcBorders>
            <w:noWrap/>
            <w:vAlign w:val="center"/>
          </w:tcPr>
          <w:p w14:paraId="659363B1">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0.6</w:t>
            </w:r>
          </w:p>
        </w:tc>
        <w:tc>
          <w:tcPr>
            <w:tcW w:w="758" w:type="dxa"/>
            <w:tcBorders>
              <w:tl2br w:val="nil"/>
              <w:tr2bl w:val="nil"/>
            </w:tcBorders>
            <w:noWrap/>
            <w:vAlign w:val="center"/>
          </w:tcPr>
          <w:p w14:paraId="0508763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722" w:type="dxa"/>
            <w:tcBorders>
              <w:tl2br w:val="nil"/>
              <w:tr2bl w:val="nil"/>
            </w:tcBorders>
            <w:vAlign w:val="center"/>
          </w:tcPr>
          <w:p w14:paraId="7144570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15000</w:t>
            </w:r>
          </w:p>
        </w:tc>
        <w:tc>
          <w:tcPr>
            <w:tcW w:w="480" w:type="dxa"/>
            <w:tcBorders>
              <w:tl2br w:val="nil"/>
              <w:tr2bl w:val="nil"/>
            </w:tcBorders>
            <w:noWrap/>
            <w:vAlign w:val="center"/>
          </w:tcPr>
          <w:p w14:paraId="184E16B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2E7B29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3F3EA3C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0.195</w:t>
            </w:r>
          </w:p>
        </w:tc>
        <w:tc>
          <w:tcPr>
            <w:tcW w:w="584" w:type="dxa"/>
            <w:gridSpan w:val="2"/>
            <w:tcBorders>
              <w:tl2br w:val="nil"/>
              <w:tr2bl w:val="nil"/>
            </w:tcBorders>
            <w:noWrap/>
            <w:vAlign w:val="center"/>
          </w:tcPr>
          <w:p w14:paraId="6FC9205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0.0975</w:t>
            </w:r>
          </w:p>
        </w:tc>
        <w:tc>
          <w:tcPr>
            <w:tcW w:w="564" w:type="dxa"/>
            <w:tcBorders>
              <w:tl2br w:val="nil"/>
              <w:tr2bl w:val="nil"/>
            </w:tcBorders>
            <w:noWrap/>
            <w:vAlign w:val="center"/>
          </w:tcPr>
          <w:p w14:paraId="4AC4931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0.056</w:t>
            </w:r>
          </w:p>
        </w:tc>
        <w:tc>
          <w:tcPr>
            <w:tcW w:w="638" w:type="dxa"/>
            <w:gridSpan w:val="2"/>
            <w:tcBorders>
              <w:tl2br w:val="nil"/>
              <w:tr2bl w:val="nil"/>
            </w:tcBorders>
            <w:noWrap/>
            <w:vAlign w:val="center"/>
          </w:tcPr>
          <w:p w14:paraId="1C02A7D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0.1388</w:t>
            </w:r>
          </w:p>
        </w:tc>
        <w:tc>
          <w:tcPr>
            <w:tcW w:w="480" w:type="dxa"/>
            <w:tcBorders>
              <w:tl2br w:val="nil"/>
              <w:tr2bl w:val="nil"/>
            </w:tcBorders>
            <w:noWrap/>
            <w:vAlign w:val="center"/>
          </w:tcPr>
          <w:p w14:paraId="5BEC6249">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04BC380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70CA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69A510A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076EF9FC">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脱色及离心废气排口</w:t>
            </w:r>
          </w:p>
        </w:tc>
        <w:tc>
          <w:tcPr>
            <w:tcW w:w="632" w:type="dxa"/>
            <w:tcBorders>
              <w:tl2br w:val="nil"/>
              <w:tr2bl w:val="nil"/>
            </w:tcBorders>
            <w:noWrap/>
            <w:vAlign w:val="center"/>
          </w:tcPr>
          <w:p w14:paraId="4CA861F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476</w:t>
            </w:r>
          </w:p>
        </w:tc>
        <w:tc>
          <w:tcPr>
            <w:tcW w:w="632" w:type="dxa"/>
            <w:tcBorders>
              <w:tl2br w:val="nil"/>
              <w:tr2bl w:val="nil"/>
            </w:tcBorders>
            <w:noWrap/>
            <w:vAlign w:val="center"/>
          </w:tcPr>
          <w:p w14:paraId="1B028DE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425</w:t>
            </w:r>
          </w:p>
        </w:tc>
        <w:tc>
          <w:tcPr>
            <w:tcW w:w="1054" w:type="dxa"/>
            <w:tcBorders>
              <w:tl2br w:val="nil"/>
              <w:tr2bl w:val="nil"/>
            </w:tcBorders>
            <w:noWrap/>
            <w:vAlign w:val="center"/>
          </w:tcPr>
          <w:p w14:paraId="7ECCED8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35.5</w:t>
            </w:r>
          </w:p>
        </w:tc>
        <w:tc>
          <w:tcPr>
            <w:tcW w:w="1054" w:type="dxa"/>
            <w:tcBorders>
              <w:tl2br w:val="nil"/>
              <w:tr2bl w:val="nil"/>
            </w:tcBorders>
            <w:noWrap/>
            <w:vAlign w:val="center"/>
          </w:tcPr>
          <w:p w14:paraId="3606CD5D">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0.6</w:t>
            </w:r>
          </w:p>
        </w:tc>
        <w:tc>
          <w:tcPr>
            <w:tcW w:w="758" w:type="dxa"/>
            <w:tcBorders>
              <w:tl2br w:val="nil"/>
              <w:tr2bl w:val="nil"/>
            </w:tcBorders>
            <w:noWrap/>
            <w:vAlign w:val="center"/>
          </w:tcPr>
          <w:p w14:paraId="3ACBC084">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722" w:type="dxa"/>
            <w:tcBorders>
              <w:tl2br w:val="nil"/>
              <w:tr2bl w:val="nil"/>
            </w:tcBorders>
            <w:vAlign w:val="center"/>
          </w:tcPr>
          <w:p w14:paraId="37118E93">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15000</w:t>
            </w:r>
          </w:p>
        </w:tc>
        <w:tc>
          <w:tcPr>
            <w:tcW w:w="480" w:type="dxa"/>
            <w:tcBorders>
              <w:tl2br w:val="nil"/>
              <w:tr2bl w:val="nil"/>
            </w:tcBorders>
            <w:noWrap/>
            <w:vAlign w:val="center"/>
          </w:tcPr>
          <w:p w14:paraId="39726FE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19E94E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055EC31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4" w:type="dxa"/>
            <w:gridSpan w:val="2"/>
            <w:tcBorders>
              <w:tl2br w:val="nil"/>
              <w:tr2bl w:val="nil"/>
            </w:tcBorders>
            <w:noWrap/>
            <w:vAlign w:val="center"/>
          </w:tcPr>
          <w:p w14:paraId="3984686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64" w:type="dxa"/>
            <w:tcBorders>
              <w:tl2br w:val="nil"/>
              <w:tr2bl w:val="nil"/>
            </w:tcBorders>
            <w:noWrap/>
            <w:vAlign w:val="center"/>
          </w:tcPr>
          <w:p w14:paraId="7F023DC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06059E9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0.248</w:t>
            </w:r>
          </w:p>
        </w:tc>
        <w:tc>
          <w:tcPr>
            <w:tcW w:w="480" w:type="dxa"/>
            <w:tcBorders>
              <w:tl2br w:val="nil"/>
              <w:tr2bl w:val="nil"/>
            </w:tcBorders>
            <w:noWrap/>
            <w:vAlign w:val="center"/>
          </w:tcPr>
          <w:p w14:paraId="1CE76BA9">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4F0B83A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6691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1A4B5B2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61953F43">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精制过滤间环境废气</w:t>
            </w:r>
          </w:p>
        </w:tc>
        <w:tc>
          <w:tcPr>
            <w:tcW w:w="632" w:type="dxa"/>
            <w:tcBorders>
              <w:tl2br w:val="nil"/>
              <w:tr2bl w:val="nil"/>
            </w:tcBorders>
            <w:noWrap/>
            <w:vAlign w:val="center"/>
          </w:tcPr>
          <w:p w14:paraId="0852AA6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439</w:t>
            </w:r>
          </w:p>
        </w:tc>
        <w:tc>
          <w:tcPr>
            <w:tcW w:w="632" w:type="dxa"/>
            <w:tcBorders>
              <w:tl2br w:val="nil"/>
              <w:tr2bl w:val="nil"/>
            </w:tcBorders>
            <w:noWrap/>
            <w:vAlign w:val="center"/>
          </w:tcPr>
          <w:p w14:paraId="31A1DA8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355</w:t>
            </w:r>
          </w:p>
        </w:tc>
        <w:tc>
          <w:tcPr>
            <w:tcW w:w="1054" w:type="dxa"/>
            <w:tcBorders>
              <w:tl2br w:val="nil"/>
              <w:tr2bl w:val="nil"/>
            </w:tcBorders>
            <w:noWrap/>
            <w:vAlign w:val="center"/>
          </w:tcPr>
          <w:p w14:paraId="6A85E26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35.5</w:t>
            </w:r>
          </w:p>
        </w:tc>
        <w:tc>
          <w:tcPr>
            <w:tcW w:w="1054" w:type="dxa"/>
            <w:tcBorders>
              <w:tl2br w:val="nil"/>
              <w:tr2bl w:val="nil"/>
            </w:tcBorders>
            <w:noWrap/>
            <w:vAlign w:val="center"/>
          </w:tcPr>
          <w:p w14:paraId="28F1052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1.2</w:t>
            </w:r>
          </w:p>
        </w:tc>
        <w:tc>
          <w:tcPr>
            <w:tcW w:w="758" w:type="dxa"/>
            <w:tcBorders>
              <w:tl2br w:val="nil"/>
              <w:tr2bl w:val="nil"/>
            </w:tcBorders>
            <w:noWrap/>
            <w:vAlign w:val="center"/>
          </w:tcPr>
          <w:p w14:paraId="79E8318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722" w:type="dxa"/>
            <w:tcBorders>
              <w:tl2br w:val="nil"/>
              <w:tr2bl w:val="nil"/>
            </w:tcBorders>
            <w:vAlign w:val="center"/>
          </w:tcPr>
          <w:p w14:paraId="61560917">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36000</w:t>
            </w:r>
          </w:p>
        </w:tc>
        <w:tc>
          <w:tcPr>
            <w:tcW w:w="480" w:type="dxa"/>
            <w:tcBorders>
              <w:tl2br w:val="nil"/>
              <w:tr2bl w:val="nil"/>
            </w:tcBorders>
            <w:noWrap/>
            <w:vAlign w:val="center"/>
          </w:tcPr>
          <w:p w14:paraId="0709A5B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549F103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3207A34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4" w:type="dxa"/>
            <w:gridSpan w:val="2"/>
            <w:tcBorders>
              <w:tl2br w:val="nil"/>
              <w:tr2bl w:val="nil"/>
            </w:tcBorders>
            <w:noWrap/>
            <w:vAlign w:val="center"/>
          </w:tcPr>
          <w:p w14:paraId="02A0997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64" w:type="dxa"/>
            <w:tcBorders>
              <w:tl2br w:val="nil"/>
              <w:tr2bl w:val="nil"/>
            </w:tcBorders>
            <w:noWrap/>
            <w:vAlign w:val="center"/>
          </w:tcPr>
          <w:p w14:paraId="30814F6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3E74215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0.097</w:t>
            </w:r>
          </w:p>
        </w:tc>
        <w:tc>
          <w:tcPr>
            <w:tcW w:w="480" w:type="dxa"/>
            <w:tcBorders>
              <w:tl2br w:val="nil"/>
              <w:tr2bl w:val="nil"/>
            </w:tcBorders>
            <w:noWrap/>
            <w:vAlign w:val="center"/>
          </w:tcPr>
          <w:p w14:paraId="26F572A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74348D5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51D4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0B80461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6BDC7B56">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切片包装废气</w:t>
            </w:r>
          </w:p>
        </w:tc>
        <w:tc>
          <w:tcPr>
            <w:tcW w:w="632" w:type="dxa"/>
            <w:tcBorders>
              <w:tl2br w:val="nil"/>
              <w:tr2bl w:val="nil"/>
            </w:tcBorders>
            <w:noWrap/>
            <w:vAlign w:val="center"/>
          </w:tcPr>
          <w:p w14:paraId="725D033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456</w:t>
            </w:r>
          </w:p>
        </w:tc>
        <w:tc>
          <w:tcPr>
            <w:tcW w:w="632" w:type="dxa"/>
            <w:tcBorders>
              <w:tl2br w:val="nil"/>
              <w:tr2bl w:val="nil"/>
            </w:tcBorders>
            <w:noWrap/>
            <w:vAlign w:val="center"/>
          </w:tcPr>
          <w:p w14:paraId="6B94668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315</w:t>
            </w:r>
          </w:p>
        </w:tc>
        <w:tc>
          <w:tcPr>
            <w:tcW w:w="1054" w:type="dxa"/>
            <w:tcBorders>
              <w:tl2br w:val="nil"/>
              <w:tr2bl w:val="nil"/>
            </w:tcBorders>
            <w:noWrap/>
            <w:vAlign w:val="center"/>
          </w:tcPr>
          <w:p w14:paraId="674D9AAF">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35.5</w:t>
            </w:r>
          </w:p>
        </w:tc>
        <w:tc>
          <w:tcPr>
            <w:tcW w:w="1054" w:type="dxa"/>
            <w:tcBorders>
              <w:tl2br w:val="nil"/>
              <w:tr2bl w:val="nil"/>
            </w:tcBorders>
            <w:noWrap/>
            <w:vAlign w:val="center"/>
          </w:tcPr>
          <w:p w14:paraId="39249301">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1.2</w:t>
            </w:r>
          </w:p>
        </w:tc>
        <w:tc>
          <w:tcPr>
            <w:tcW w:w="758" w:type="dxa"/>
            <w:tcBorders>
              <w:tl2br w:val="nil"/>
              <w:tr2bl w:val="nil"/>
            </w:tcBorders>
            <w:noWrap/>
            <w:vAlign w:val="center"/>
          </w:tcPr>
          <w:p w14:paraId="72A9FD1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722" w:type="dxa"/>
            <w:tcBorders>
              <w:tl2br w:val="nil"/>
              <w:tr2bl w:val="nil"/>
            </w:tcBorders>
            <w:vAlign w:val="center"/>
          </w:tcPr>
          <w:p w14:paraId="57550DC9">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36000</w:t>
            </w:r>
          </w:p>
        </w:tc>
        <w:tc>
          <w:tcPr>
            <w:tcW w:w="480" w:type="dxa"/>
            <w:tcBorders>
              <w:tl2br w:val="nil"/>
              <w:tr2bl w:val="nil"/>
            </w:tcBorders>
            <w:noWrap/>
            <w:vAlign w:val="center"/>
          </w:tcPr>
          <w:p w14:paraId="39C0026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47B7402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4E6748D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0.17</w:t>
            </w:r>
          </w:p>
        </w:tc>
        <w:tc>
          <w:tcPr>
            <w:tcW w:w="584" w:type="dxa"/>
            <w:gridSpan w:val="2"/>
            <w:tcBorders>
              <w:tl2br w:val="nil"/>
              <w:tr2bl w:val="nil"/>
            </w:tcBorders>
            <w:noWrap/>
            <w:vAlign w:val="center"/>
          </w:tcPr>
          <w:p w14:paraId="610FFB3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0.085</w:t>
            </w:r>
          </w:p>
        </w:tc>
        <w:tc>
          <w:tcPr>
            <w:tcW w:w="564" w:type="dxa"/>
            <w:tcBorders>
              <w:tl2br w:val="nil"/>
              <w:tr2bl w:val="nil"/>
            </w:tcBorders>
            <w:noWrap/>
            <w:vAlign w:val="center"/>
          </w:tcPr>
          <w:p w14:paraId="12560055">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2437A5D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2528B946">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6D6A412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1CDC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1078A67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2A94A30B">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溶剂回收废气</w:t>
            </w:r>
          </w:p>
        </w:tc>
        <w:tc>
          <w:tcPr>
            <w:tcW w:w="632" w:type="dxa"/>
            <w:tcBorders>
              <w:tl2br w:val="nil"/>
              <w:tr2bl w:val="nil"/>
            </w:tcBorders>
            <w:noWrap/>
            <w:vAlign w:val="center"/>
          </w:tcPr>
          <w:p w14:paraId="30A718D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416</w:t>
            </w:r>
          </w:p>
        </w:tc>
        <w:tc>
          <w:tcPr>
            <w:tcW w:w="632" w:type="dxa"/>
            <w:tcBorders>
              <w:tl2br w:val="nil"/>
              <w:tr2bl w:val="nil"/>
            </w:tcBorders>
            <w:noWrap/>
            <w:vAlign w:val="center"/>
          </w:tcPr>
          <w:p w14:paraId="693CB10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440</w:t>
            </w:r>
          </w:p>
        </w:tc>
        <w:tc>
          <w:tcPr>
            <w:tcW w:w="1054" w:type="dxa"/>
            <w:tcBorders>
              <w:tl2br w:val="nil"/>
              <w:tr2bl w:val="nil"/>
            </w:tcBorders>
            <w:noWrap/>
            <w:vAlign w:val="center"/>
          </w:tcPr>
          <w:p w14:paraId="6D85FA09">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28</w:t>
            </w:r>
          </w:p>
        </w:tc>
        <w:tc>
          <w:tcPr>
            <w:tcW w:w="1054" w:type="dxa"/>
            <w:tcBorders>
              <w:tl2br w:val="nil"/>
              <w:tr2bl w:val="nil"/>
            </w:tcBorders>
            <w:noWrap/>
            <w:vAlign w:val="center"/>
          </w:tcPr>
          <w:p w14:paraId="6493BE88">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0.3</w:t>
            </w:r>
          </w:p>
        </w:tc>
        <w:tc>
          <w:tcPr>
            <w:tcW w:w="758" w:type="dxa"/>
            <w:tcBorders>
              <w:tl2br w:val="nil"/>
              <w:tr2bl w:val="nil"/>
            </w:tcBorders>
            <w:noWrap/>
            <w:vAlign w:val="center"/>
          </w:tcPr>
          <w:p w14:paraId="417FC976">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25</w:t>
            </w:r>
          </w:p>
        </w:tc>
        <w:tc>
          <w:tcPr>
            <w:tcW w:w="722" w:type="dxa"/>
            <w:tcBorders>
              <w:tl2br w:val="nil"/>
              <w:tr2bl w:val="nil"/>
            </w:tcBorders>
            <w:vAlign w:val="center"/>
          </w:tcPr>
          <w:p w14:paraId="46FA6A2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8650</w:t>
            </w:r>
          </w:p>
        </w:tc>
        <w:tc>
          <w:tcPr>
            <w:tcW w:w="480" w:type="dxa"/>
            <w:tcBorders>
              <w:tl2br w:val="nil"/>
              <w:tr2bl w:val="nil"/>
            </w:tcBorders>
            <w:noWrap/>
            <w:vAlign w:val="center"/>
          </w:tcPr>
          <w:p w14:paraId="2874B4D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0399B5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21A3479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4" w:type="dxa"/>
            <w:gridSpan w:val="2"/>
            <w:tcBorders>
              <w:tl2br w:val="nil"/>
              <w:tr2bl w:val="nil"/>
            </w:tcBorders>
            <w:noWrap/>
            <w:vAlign w:val="center"/>
          </w:tcPr>
          <w:p w14:paraId="2A86548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64" w:type="dxa"/>
            <w:tcBorders>
              <w:tl2br w:val="nil"/>
              <w:tr2bl w:val="nil"/>
            </w:tcBorders>
            <w:noWrap/>
            <w:vAlign w:val="center"/>
          </w:tcPr>
          <w:p w14:paraId="2E96E639">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68DE79F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0.139</w:t>
            </w:r>
          </w:p>
        </w:tc>
        <w:tc>
          <w:tcPr>
            <w:tcW w:w="480" w:type="dxa"/>
            <w:tcBorders>
              <w:tl2br w:val="nil"/>
              <w:tr2bl w:val="nil"/>
            </w:tcBorders>
            <w:noWrap/>
            <w:vAlign w:val="center"/>
          </w:tcPr>
          <w:p w14:paraId="4B42F28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50EA1F5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19EC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67B315C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shd w:val="clear" w:color="auto" w:fill="auto"/>
            <w:noWrap/>
            <w:vAlign w:val="center"/>
          </w:tcPr>
          <w:p w14:paraId="2BAD899A">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活性炭再生废气</w:t>
            </w:r>
          </w:p>
        </w:tc>
        <w:tc>
          <w:tcPr>
            <w:tcW w:w="632" w:type="dxa"/>
            <w:tcBorders>
              <w:tl2br w:val="nil"/>
              <w:tr2bl w:val="nil"/>
            </w:tcBorders>
            <w:noWrap/>
            <w:vAlign w:val="center"/>
          </w:tcPr>
          <w:p w14:paraId="4FB18F0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355</w:t>
            </w:r>
          </w:p>
        </w:tc>
        <w:tc>
          <w:tcPr>
            <w:tcW w:w="632" w:type="dxa"/>
            <w:tcBorders>
              <w:tl2br w:val="nil"/>
              <w:tr2bl w:val="nil"/>
            </w:tcBorders>
            <w:noWrap/>
            <w:vAlign w:val="center"/>
          </w:tcPr>
          <w:p w14:paraId="55C222F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278</w:t>
            </w:r>
          </w:p>
        </w:tc>
        <w:tc>
          <w:tcPr>
            <w:tcW w:w="1054" w:type="dxa"/>
            <w:tcBorders>
              <w:tl2br w:val="nil"/>
              <w:tr2bl w:val="nil"/>
            </w:tcBorders>
            <w:shd w:val="clear" w:color="auto" w:fill="auto"/>
            <w:noWrap/>
            <w:vAlign w:val="center"/>
          </w:tcPr>
          <w:p w14:paraId="3724D508">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28</w:t>
            </w:r>
          </w:p>
        </w:tc>
        <w:tc>
          <w:tcPr>
            <w:tcW w:w="1054" w:type="dxa"/>
            <w:tcBorders>
              <w:tl2br w:val="nil"/>
              <w:tr2bl w:val="nil"/>
            </w:tcBorders>
            <w:shd w:val="clear" w:color="auto" w:fill="auto"/>
            <w:noWrap/>
            <w:vAlign w:val="center"/>
          </w:tcPr>
          <w:p w14:paraId="6E51F9AC">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0.5</w:t>
            </w:r>
          </w:p>
        </w:tc>
        <w:tc>
          <w:tcPr>
            <w:tcW w:w="758" w:type="dxa"/>
            <w:tcBorders>
              <w:tl2br w:val="nil"/>
              <w:tr2bl w:val="nil"/>
            </w:tcBorders>
            <w:noWrap/>
            <w:vAlign w:val="center"/>
          </w:tcPr>
          <w:p w14:paraId="2CBCA996">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105</w:t>
            </w:r>
          </w:p>
        </w:tc>
        <w:tc>
          <w:tcPr>
            <w:tcW w:w="722" w:type="dxa"/>
            <w:tcBorders>
              <w:tl2br w:val="nil"/>
              <w:tr2bl w:val="nil"/>
            </w:tcBorders>
            <w:vAlign w:val="center"/>
          </w:tcPr>
          <w:p w14:paraId="306A96ED">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18028</w:t>
            </w:r>
          </w:p>
        </w:tc>
        <w:tc>
          <w:tcPr>
            <w:tcW w:w="480" w:type="dxa"/>
            <w:tcBorders>
              <w:tl2br w:val="nil"/>
              <w:tr2bl w:val="nil"/>
            </w:tcBorders>
            <w:noWrap/>
            <w:vAlign w:val="center"/>
          </w:tcPr>
          <w:p w14:paraId="6BA7FD5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0.165</w:t>
            </w:r>
          </w:p>
        </w:tc>
        <w:tc>
          <w:tcPr>
            <w:tcW w:w="480" w:type="dxa"/>
            <w:tcBorders>
              <w:tl2br w:val="nil"/>
              <w:tr2bl w:val="nil"/>
            </w:tcBorders>
            <w:noWrap/>
            <w:vAlign w:val="center"/>
          </w:tcPr>
          <w:p w14:paraId="1DCD58E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0.235</w:t>
            </w:r>
          </w:p>
        </w:tc>
        <w:tc>
          <w:tcPr>
            <w:tcW w:w="480" w:type="dxa"/>
            <w:tcBorders>
              <w:tl2br w:val="nil"/>
              <w:tr2bl w:val="nil"/>
            </w:tcBorders>
            <w:noWrap/>
            <w:vAlign w:val="center"/>
          </w:tcPr>
          <w:p w14:paraId="46D7C50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0.294</w:t>
            </w:r>
          </w:p>
        </w:tc>
        <w:tc>
          <w:tcPr>
            <w:tcW w:w="584" w:type="dxa"/>
            <w:gridSpan w:val="2"/>
            <w:tcBorders>
              <w:tl2br w:val="nil"/>
              <w:tr2bl w:val="nil"/>
            </w:tcBorders>
            <w:noWrap/>
            <w:vAlign w:val="center"/>
          </w:tcPr>
          <w:p w14:paraId="13B7B06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0.147</w:t>
            </w:r>
          </w:p>
        </w:tc>
        <w:tc>
          <w:tcPr>
            <w:tcW w:w="564" w:type="dxa"/>
            <w:tcBorders>
              <w:tl2br w:val="nil"/>
              <w:tr2bl w:val="nil"/>
            </w:tcBorders>
            <w:noWrap/>
            <w:vAlign w:val="center"/>
          </w:tcPr>
          <w:p w14:paraId="76AABB8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7052BC8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4B983DD0">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3CEFD91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3048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73F670F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shd w:val="clear" w:color="auto" w:fill="auto"/>
            <w:noWrap/>
            <w:vAlign w:val="center"/>
          </w:tcPr>
          <w:p w14:paraId="58C8D418">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烷烃罐区废气</w:t>
            </w:r>
          </w:p>
        </w:tc>
        <w:tc>
          <w:tcPr>
            <w:tcW w:w="632" w:type="dxa"/>
            <w:tcBorders>
              <w:tl2br w:val="nil"/>
              <w:tr2bl w:val="nil"/>
            </w:tcBorders>
            <w:noWrap/>
            <w:vAlign w:val="center"/>
          </w:tcPr>
          <w:p w14:paraId="0DE89D6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263</w:t>
            </w:r>
          </w:p>
        </w:tc>
        <w:tc>
          <w:tcPr>
            <w:tcW w:w="632" w:type="dxa"/>
            <w:tcBorders>
              <w:tl2br w:val="nil"/>
              <w:tr2bl w:val="nil"/>
            </w:tcBorders>
            <w:noWrap/>
            <w:vAlign w:val="center"/>
          </w:tcPr>
          <w:p w14:paraId="159E3CF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385</w:t>
            </w:r>
          </w:p>
        </w:tc>
        <w:tc>
          <w:tcPr>
            <w:tcW w:w="1054" w:type="dxa"/>
            <w:tcBorders>
              <w:tl2br w:val="nil"/>
              <w:tr2bl w:val="nil"/>
            </w:tcBorders>
            <w:shd w:val="clear" w:color="auto" w:fill="auto"/>
            <w:noWrap/>
            <w:vAlign w:val="center"/>
          </w:tcPr>
          <w:p w14:paraId="1479B56E">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15</w:t>
            </w:r>
          </w:p>
        </w:tc>
        <w:tc>
          <w:tcPr>
            <w:tcW w:w="1054" w:type="dxa"/>
            <w:tcBorders>
              <w:tl2br w:val="nil"/>
              <w:tr2bl w:val="nil"/>
            </w:tcBorders>
            <w:shd w:val="clear" w:color="auto" w:fill="auto"/>
            <w:noWrap/>
            <w:vAlign w:val="center"/>
          </w:tcPr>
          <w:p w14:paraId="490869A7">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ascii="Times New Roman" w:hAnsi="Times New Roman" w:eastAsia="宋体" w:cs="Times New Roman"/>
                <w:b w:val="0"/>
                <w:bCs w:val="0"/>
                <w:snapToGrid w:val="0"/>
                <w:color w:val="auto"/>
                <w:kern w:val="0"/>
                <w:sz w:val="21"/>
                <w:szCs w:val="21"/>
                <w:highlight w:val="none"/>
              </w:rPr>
              <w:t>0.5</w:t>
            </w:r>
          </w:p>
        </w:tc>
        <w:tc>
          <w:tcPr>
            <w:tcW w:w="758" w:type="dxa"/>
            <w:tcBorders>
              <w:tl2br w:val="nil"/>
              <w:tr2bl w:val="nil"/>
            </w:tcBorders>
            <w:noWrap/>
            <w:vAlign w:val="center"/>
          </w:tcPr>
          <w:p w14:paraId="3B56E200">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25</w:t>
            </w:r>
          </w:p>
        </w:tc>
        <w:tc>
          <w:tcPr>
            <w:tcW w:w="722" w:type="dxa"/>
            <w:tcBorders>
              <w:tl2br w:val="nil"/>
              <w:tr2bl w:val="nil"/>
            </w:tcBorders>
            <w:vAlign w:val="center"/>
          </w:tcPr>
          <w:p w14:paraId="0BCCBA4B">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5000</w:t>
            </w:r>
          </w:p>
        </w:tc>
        <w:tc>
          <w:tcPr>
            <w:tcW w:w="480" w:type="dxa"/>
            <w:tcBorders>
              <w:tl2br w:val="nil"/>
              <w:tr2bl w:val="nil"/>
            </w:tcBorders>
            <w:noWrap/>
            <w:vAlign w:val="center"/>
          </w:tcPr>
          <w:p w14:paraId="54205A7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E71F93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57B2328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4" w:type="dxa"/>
            <w:gridSpan w:val="2"/>
            <w:tcBorders>
              <w:tl2br w:val="nil"/>
              <w:tr2bl w:val="nil"/>
            </w:tcBorders>
            <w:noWrap/>
            <w:vAlign w:val="center"/>
          </w:tcPr>
          <w:p w14:paraId="0E3BA4F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64" w:type="dxa"/>
            <w:tcBorders>
              <w:tl2br w:val="nil"/>
              <w:tr2bl w:val="nil"/>
            </w:tcBorders>
            <w:noWrap/>
            <w:vAlign w:val="center"/>
          </w:tcPr>
          <w:p w14:paraId="281D335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00EE650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0.237</w:t>
            </w:r>
          </w:p>
        </w:tc>
        <w:tc>
          <w:tcPr>
            <w:tcW w:w="480" w:type="dxa"/>
            <w:tcBorders>
              <w:tl2br w:val="nil"/>
              <w:tr2bl w:val="nil"/>
            </w:tcBorders>
            <w:noWrap/>
            <w:vAlign w:val="center"/>
          </w:tcPr>
          <w:p w14:paraId="346CED4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2C2BD65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193D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restart"/>
            <w:tcBorders>
              <w:tl2br w:val="nil"/>
              <w:tr2bl w:val="nil"/>
            </w:tcBorders>
            <w:noWrap/>
            <w:vAlign w:val="center"/>
          </w:tcPr>
          <w:p w14:paraId="44C7987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材料公司年产20000吨LCDN项目</w:t>
            </w:r>
          </w:p>
        </w:tc>
        <w:tc>
          <w:tcPr>
            <w:tcW w:w="2099" w:type="dxa"/>
            <w:tcBorders>
              <w:tl2br w:val="nil"/>
              <w:tr2bl w:val="nil"/>
            </w:tcBorders>
            <w:shd w:val="clear" w:color="auto" w:fill="auto"/>
            <w:noWrap/>
            <w:vAlign w:val="center"/>
          </w:tcPr>
          <w:p w14:paraId="2EA6BE4F">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导热油炉废气排气筒</w:t>
            </w:r>
          </w:p>
        </w:tc>
        <w:tc>
          <w:tcPr>
            <w:tcW w:w="632" w:type="dxa"/>
            <w:tcBorders>
              <w:tl2br w:val="nil"/>
              <w:tr2bl w:val="nil"/>
            </w:tcBorders>
            <w:noWrap/>
            <w:vAlign w:val="center"/>
          </w:tcPr>
          <w:p w14:paraId="4443D66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-206</w:t>
            </w:r>
          </w:p>
        </w:tc>
        <w:tc>
          <w:tcPr>
            <w:tcW w:w="632" w:type="dxa"/>
            <w:tcBorders>
              <w:tl2br w:val="nil"/>
              <w:tr2bl w:val="nil"/>
            </w:tcBorders>
            <w:noWrap/>
            <w:vAlign w:val="center"/>
          </w:tcPr>
          <w:p w14:paraId="67A4B11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305</w:t>
            </w:r>
          </w:p>
        </w:tc>
        <w:tc>
          <w:tcPr>
            <w:tcW w:w="1054" w:type="dxa"/>
            <w:tcBorders>
              <w:tl2br w:val="nil"/>
              <w:tr2bl w:val="nil"/>
            </w:tcBorders>
            <w:shd w:val="clear" w:color="auto" w:fill="auto"/>
            <w:noWrap/>
            <w:vAlign w:val="center"/>
          </w:tcPr>
          <w:p w14:paraId="75D4AF7C">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w:t>
            </w:r>
            <w:r>
              <w:rPr>
                <w:rFonts w:hint="eastAsia" w:ascii="Times New Roman" w:hAnsi="Times New Roman" w:cs="Times New Roman"/>
                <w:b w:val="0"/>
                <w:bCs/>
                <w:color w:val="auto"/>
                <w:sz w:val="21"/>
                <w:szCs w:val="21"/>
                <w:highlight w:val="none"/>
                <w:lang w:val="en-US" w:eastAsia="zh-CN"/>
              </w:rPr>
              <w:t>7</w:t>
            </w:r>
          </w:p>
        </w:tc>
        <w:tc>
          <w:tcPr>
            <w:tcW w:w="1054" w:type="dxa"/>
            <w:tcBorders>
              <w:tl2br w:val="nil"/>
              <w:tr2bl w:val="nil"/>
            </w:tcBorders>
            <w:shd w:val="clear" w:color="auto" w:fill="auto"/>
            <w:noWrap/>
            <w:vAlign w:val="center"/>
          </w:tcPr>
          <w:p w14:paraId="43DEDE04">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0.5</w:t>
            </w:r>
          </w:p>
        </w:tc>
        <w:tc>
          <w:tcPr>
            <w:tcW w:w="758" w:type="dxa"/>
            <w:tcBorders>
              <w:tl2br w:val="nil"/>
              <w:tr2bl w:val="nil"/>
            </w:tcBorders>
            <w:noWrap/>
            <w:vAlign w:val="center"/>
          </w:tcPr>
          <w:p w14:paraId="46F9FC47">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100</w:t>
            </w:r>
          </w:p>
        </w:tc>
        <w:tc>
          <w:tcPr>
            <w:tcW w:w="722" w:type="dxa"/>
            <w:tcBorders>
              <w:tl2br w:val="nil"/>
              <w:tr2bl w:val="nil"/>
            </w:tcBorders>
            <w:vAlign w:val="center"/>
          </w:tcPr>
          <w:p w14:paraId="4CFF0812">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9764</w:t>
            </w:r>
          </w:p>
        </w:tc>
        <w:tc>
          <w:tcPr>
            <w:tcW w:w="480" w:type="dxa"/>
            <w:tcBorders>
              <w:tl2br w:val="nil"/>
              <w:tr2bl w:val="nil"/>
            </w:tcBorders>
            <w:noWrap/>
            <w:vAlign w:val="center"/>
          </w:tcPr>
          <w:p w14:paraId="7696743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028</w:t>
            </w:r>
          </w:p>
        </w:tc>
        <w:tc>
          <w:tcPr>
            <w:tcW w:w="480" w:type="dxa"/>
            <w:tcBorders>
              <w:tl2br w:val="nil"/>
              <w:tr2bl w:val="nil"/>
            </w:tcBorders>
            <w:noWrap/>
            <w:vAlign w:val="center"/>
          </w:tcPr>
          <w:p w14:paraId="70D85528">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0.488</w:t>
            </w:r>
          </w:p>
        </w:tc>
        <w:tc>
          <w:tcPr>
            <w:tcW w:w="480" w:type="dxa"/>
            <w:tcBorders>
              <w:tl2br w:val="nil"/>
              <w:tr2bl w:val="nil"/>
            </w:tcBorders>
            <w:noWrap/>
            <w:vAlign w:val="center"/>
          </w:tcPr>
          <w:p w14:paraId="54DAFCFF">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0.049</w:t>
            </w:r>
          </w:p>
        </w:tc>
        <w:tc>
          <w:tcPr>
            <w:tcW w:w="584" w:type="dxa"/>
            <w:gridSpan w:val="2"/>
            <w:tcBorders>
              <w:tl2br w:val="nil"/>
              <w:tr2bl w:val="nil"/>
            </w:tcBorders>
            <w:noWrap/>
            <w:vAlign w:val="center"/>
          </w:tcPr>
          <w:p w14:paraId="708A1B85">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0.025</w:t>
            </w:r>
          </w:p>
        </w:tc>
        <w:tc>
          <w:tcPr>
            <w:tcW w:w="564" w:type="dxa"/>
            <w:tcBorders>
              <w:tl2br w:val="nil"/>
              <w:tr2bl w:val="nil"/>
            </w:tcBorders>
            <w:noWrap/>
            <w:vAlign w:val="center"/>
          </w:tcPr>
          <w:p w14:paraId="74BBB33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4C5931FC">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w:t>
            </w:r>
            <w:r>
              <w:rPr>
                <w:rFonts w:hint="eastAsia" w:ascii="Times New Roman" w:hAnsi="Times New Roman" w:cs="Times New Roman"/>
                <w:b w:val="0"/>
                <w:bCs/>
                <w:color w:val="auto"/>
                <w:sz w:val="21"/>
                <w:szCs w:val="21"/>
                <w:highlight w:val="none"/>
                <w:lang w:val="en-US" w:eastAsia="zh-CN"/>
              </w:rPr>
              <w:t>2</w:t>
            </w:r>
          </w:p>
        </w:tc>
        <w:tc>
          <w:tcPr>
            <w:tcW w:w="480" w:type="dxa"/>
            <w:tcBorders>
              <w:tl2br w:val="nil"/>
              <w:tr2bl w:val="nil"/>
            </w:tcBorders>
            <w:noWrap/>
            <w:vAlign w:val="center"/>
          </w:tcPr>
          <w:p w14:paraId="043DA335">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6DA5D640">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6D36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003C880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p>
        </w:tc>
        <w:tc>
          <w:tcPr>
            <w:tcW w:w="2099" w:type="dxa"/>
            <w:tcBorders>
              <w:tl2br w:val="nil"/>
              <w:tr2bl w:val="nil"/>
            </w:tcBorders>
            <w:shd w:val="clear" w:color="auto" w:fill="auto"/>
            <w:noWrap/>
            <w:vAlign w:val="center"/>
          </w:tcPr>
          <w:p w14:paraId="4354F692">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1#尾气处理装置排气筒</w:t>
            </w:r>
          </w:p>
        </w:tc>
        <w:tc>
          <w:tcPr>
            <w:tcW w:w="632" w:type="dxa"/>
            <w:tcBorders>
              <w:tl2br w:val="nil"/>
              <w:tr2bl w:val="nil"/>
            </w:tcBorders>
            <w:noWrap/>
            <w:vAlign w:val="center"/>
          </w:tcPr>
          <w:p w14:paraId="3E33599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-121</w:t>
            </w:r>
          </w:p>
        </w:tc>
        <w:tc>
          <w:tcPr>
            <w:tcW w:w="632" w:type="dxa"/>
            <w:tcBorders>
              <w:tl2br w:val="nil"/>
              <w:tr2bl w:val="nil"/>
            </w:tcBorders>
            <w:noWrap/>
            <w:vAlign w:val="center"/>
          </w:tcPr>
          <w:p w14:paraId="649DB48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285</w:t>
            </w:r>
          </w:p>
        </w:tc>
        <w:tc>
          <w:tcPr>
            <w:tcW w:w="1054" w:type="dxa"/>
            <w:tcBorders>
              <w:tl2br w:val="nil"/>
              <w:tr2bl w:val="nil"/>
            </w:tcBorders>
            <w:shd w:val="clear" w:color="auto" w:fill="auto"/>
            <w:noWrap/>
            <w:vAlign w:val="center"/>
          </w:tcPr>
          <w:p w14:paraId="787408D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27</w:t>
            </w:r>
          </w:p>
        </w:tc>
        <w:tc>
          <w:tcPr>
            <w:tcW w:w="1054" w:type="dxa"/>
            <w:tcBorders>
              <w:tl2br w:val="nil"/>
              <w:tr2bl w:val="nil"/>
            </w:tcBorders>
            <w:shd w:val="clear" w:color="auto" w:fill="auto"/>
            <w:noWrap/>
            <w:vAlign w:val="center"/>
          </w:tcPr>
          <w:p w14:paraId="341D3D1F">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0.35</w:t>
            </w:r>
          </w:p>
        </w:tc>
        <w:tc>
          <w:tcPr>
            <w:tcW w:w="758" w:type="dxa"/>
            <w:tcBorders>
              <w:tl2br w:val="nil"/>
              <w:tr2bl w:val="nil"/>
            </w:tcBorders>
            <w:noWrap/>
            <w:vAlign w:val="center"/>
          </w:tcPr>
          <w:p w14:paraId="01724C37">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color w:val="auto"/>
                <w:sz w:val="21"/>
                <w:szCs w:val="21"/>
                <w:highlight w:val="none"/>
              </w:rPr>
              <w:t>25</w:t>
            </w:r>
          </w:p>
        </w:tc>
        <w:tc>
          <w:tcPr>
            <w:tcW w:w="722" w:type="dxa"/>
            <w:tcBorders>
              <w:tl2br w:val="nil"/>
              <w:tr2bl w:val="nil"/>
            </w:tcBorders>
            <w:vAlign w:val="center"/>
          </w:tcPr>
          <w:p w14:paraId="51555F41">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5000</w:t>
            </w:r>
          </w:p>
        </w:tc>
        <w:tc>
          <w:tcPr>
            <w:tcW w:w="480" w:type="dxa"/>
            <w:tcBorders>
              <w:tl2br w:val="nil"/>
              <w:tr2bl w:val="nil"/>
            </w:tcBorders>
            <w:noWrap/>
            <w:vAlign w:val="center"/>
          </w:tcPr>
          <w:p w14:paraId="3C0F134E">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03AC3ED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37FD0066">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w:t>
            </w:r>
            <w:r>
              <w:rPr>
                <w:rFonts w:hint="eastAsia" w:ascii="Times New Roman" w:hAnsi="Times New Roman" w:cs="Times New Roman"/>
                <w:b w:val="0"/>
                <w:bCs/>
                <w:color w:val="auto"/>
                <w:sz w:val="21"/>
                <w:szCs w:val="21"/>
                <w:highlight w:val="none"/>
                <w:lang w:val="en-US" w:eastAsia="zh-CN"/>
              </w:rPr>
              <w:t>7</w:t>
            </w:r>
          </w:p>
        </w:tc>
        <w:tc>
          <w:tcPr>
            <w:tcW w:w="584" w:type="dxa"/>
            <w:gridSpan w:val="2"/>
            <w:tcBorders>
              <w:tl2br w:val="nil"/>
              <w:tr2bl w:val="nil"/>
            </w:tcBorders>
            <w:noWrap/>
            <w:vAlign w:val="center"/>
          </w:tcPr>
          <w:p w14:paraId="5BCCC6D6">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w:t>
            </w:r>
            <w:r>
              <w:rPr>
                <w:rFonts w:hint="eastAsia" w:ascii="Times New Roman" w:hAnsi="Times New Roman" w:cs="Times New Roman"/>
                <w:b w:val="0"/>
                <w:bCs/>
                <w:color w:val="auto"/>
                <w:sz w:val="21"/>
                <w:szCs w:val="21"/>
                <w:highlight w:val="none"/>
                <w:lang w:val="en-US" w:eastAsia="zh-CN"/>
              </w:rPr>
              <w:t>35</w:t>
            </w:r>
          </w:p>
        </w:tc>
        <w:tc>
          <w:tcPr>
            <w:tcW w:w="564" w:type="dxa"/>
            <w:tcBorders>
              <w:tl2br w:val="nil"/>
              <w:tr2bl w:val="nil"/>
            </w:tcBorders>
            <w:noWrap/>
            <w:vAlign w:val="center"/>
          </w:tcPr>
          <w:p w14:paraId="2B2049D3">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7EEE250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c>
          <w:tcPr>
            <w:tcW w:w="480" w:type="dxa"/>
            <w:tcBorders>
              <w:tl2br w:val="nil"/>
              <w:tr2bl w:val="nil"/>
            </w:tcBorders>
            <w:noWrap/>
            <w:vAlign w:val="center"/>
          </w:tcPr>
          <w:p w14:paraId="77BD30F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27D00A8B">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30BC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4E74DB5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p>
        </w:tc>
        <w:tc>
          <w:tcPr>
            <w:tcW w:w="2099" w:type="dxa"/>
            <w:tcBorders>
              <w:tl2br w:val="nil"/>
              <w:tr2bl w:val="nil"/>
            </w:tcBorders>
            <w:shd w:val="clear" w:color="auto" w:fill="auto"/>
            <w:noWrap/>
            <w:vAlign w:val="center"/>
          </w:tcPr>
          <w:p w14:paraId="0B8C1610">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default" w:ascii="Times New Roman" w:hAnsi="Times New Roman"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#尾气处理装置排气筒</w:t>
            </w:r>
          </w:p>
        </w:tc>
        <w:tc>
          <w:tcPr>
            <w:tcW w:w="632" w:type="dxa"/>
            <w:tcBorders>
              <w:tl2br w:val="nil"/>
              <w:tr2bl w:val="nil"/>
            </w:tcBorders>
            <w:noWrap/>
            <w:vAlign w:val="center"/>
          </w:tcPr>
          <w:p w14:paraId="6FECEB2C">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-81</w:t>
            </w:r>
          </w:p>
        </w:tc>
        <w:tc>
          <w:tcPr>
            <w:tcW w:w="632" w:type="dxa"/>
            <w:tcBorders>
              <w:tl2br w:val="nil"/>
              <w:tr2bl w:val="nil"/>
            </w:tcBorders>
            <w:noWrap/>
            <w:vAlign w:val="center"/>
          </w:tcPr>
          <w:p w14:paraId="53328A3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310</w:t>
            </w:r>
          </w:p>
        </w:tc>
        <w:tc>
          <w:tcPr>
            <w:tcW w:w="1054" w:type="dxa"/>
            <w:tcBorders>
              <w:tl2br w:val="nil"/>
              <w:tr2bl w:val="nil"/>
            </w:tcBorders>
            <w:shd w:val="clear" w:color="auto" w:fill="auto"/>
            <w:noWrap/>
            <w:vAlign w:val="center"/>
          </w:tcPr>
          <w:p w14:paraId="533CBD62">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27</w:t>
            </w:r>
          </w:p>
        </w:tc>
        <w:tc>
          <w:tcPr>
            <w:tcW w:w="1054" w:type="dxa"/>
            <w:tcBorders>
              <w:tl2br w:val="nil"/>
              <w:tr2bl w:val="nil"/>
            </w:tcBorders>
            <w:shd w:val="clear" w:color="auto" w:fill="auto"/>
            <w:noWrap/>
            <w:vAlign w:val="center"/>
          </w:tcPr>
          <w:p w14:paraId="287508D3">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0.35</w:t>
            </w:r>
          </w:p>
        </w:tc>
        <w:tc>
          <w:tcPr>
            <w:tcW w:w="758" w:type="dxa"/>
            <w:tcBorders>
              <w:tl2br w:val="nil"/>
              <w:tr2bl w:val="nil"/>
            </w:tcBorders>
            <w:noWrap/>
            <w:vAlign w:val="center"/>
          </w:tcPr>
          <w:p w14:paraId="49082E61">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color w:val="auto"/>
                <w:sz w:val="21"/>
                <w:szCs w:val="21"/>
                <w:highlight w:val="none"/>
              </w:rPr>
              <w:t>25</w:t>
            </w:r>
          </w:p>
        </w:tc>
        <w:tc>
          <w:tcPr>
            <w:tcW w:w="722" w:type="dxa"/>
            <w:tcBorders>
              <w:tl2br w:val="nil"/>
              <w:tr2bl w:val="nil"/>
            </w:tcBorders>
            <w:vAlign w:val="center"/>
          </w:tcPr>
          <w:p w14:paraId="05D8E777">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5000</w:t>
            </w:r>
          </w:p>
        </w:tc>
        <w:tc>
          <w:tcPr>
            <w:tcW w:w="480" w:type="dxa"/>
            <w:tcBorders>
              <w:tl2br w:val="nil"/>
              <w:tr2bl w:val="nil"/>
            </w:tcBorders>
            <w:noWrap/>
            <w:vAlign w:val="center"/>
          </w:tcPr>
          <w:p w14:paraId="6E454ECE">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08C2D029">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0B5F06AB">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4" w:type="dxa"/>
            <w:gridSpan w:val="2"/>
            <w:tcBorders>
              <w:tl2br w:val="nil"/>
              <w:tr2bl w:val="nil"/>
            </w:tcBorders>
            <w:noWrap/>
            <w:vAlign w:val="center"/>
          </w:tcPr>
          <w:p w14:paraId="57FAF613">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64" w:type="dxa"/>
            <w:tcBorders>
              <w:tl2br w:val="nil"/>
              <w:tr2bl w:val="nil"/>
            </w:tcBorders>
            <w:noWrap/>
            <w:vAlign w:val="center"/>
          </w:tcPr>
          <w:p w14:paraId="48D94DF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79E914A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038</w:t>
            </w:r>
          </w:p>
        </w:tc>
        <w:tc>
          <w:tcPr>
            <w:tcW w:w="480" w:type="dxa"/>
            <w:tcBorders>
              <w:tl2br w:val="nil"/>
              <w:tr2bl w:val="nil"/>
            </w:tcBorders>
            <w:noWrap/>
            <w:vAlign w:val="center"/>
          </w:tcPr>
          <w:p w14:paraId="3CCAA0FC">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32912985">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0.004</w:t>
            </w:r>
          </w:p>
        </w:tc>
      </w:tr>
      <w:tr w14:paraId="3DE2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6CB84C4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p>
        </w:tc>
        <w:tc>
          <w:tcPr>
            <w:tcW w:w="2099" w:type="dxa"/>
            <w:tcBorders>
              <w:tl2br w:val="nil"/>
              <w:tr2bl w:val="nil"/>
            </w:tcBorders>
            <w:shd w:val="clear" w:color="auto" w:fill="auto"/>
            <w:noWrap/>
            <w:vAlign w:val="center"/>
          </w:tcPr>
          <w:p w14:paraId="673108D5">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default" w:ascii="Times New Roman" w:hAnsi="Times New Roman" w:cs="Times New Roman"/>
                <w:b w:val="0"/>
                <w:bCs/>
                <w:color w:val="auto"/>
                <w:sz w:val="21"/>
                <w:szCs w:val="21"/>
                <w:highlight w:val="none"/>
                <w:lang w:val="en-US" w:eastAsia="zh-CN"/>
              </w:rPr>
              <w:t>3</w:t>
            </w:r>
            <w:r>
              <w:rPr>
                <w:rFonts w:hint="default" w:ascii="Times New Roman" w:hAnsi="Times New Roman" w:eastAsia="宋体" w:cs="Times New Roman"/>
                <w:b w:val="0"/>
                <w:bCs/>
                <w:color w:val="auto"/>
                <w:sz w:val="21"/>
                <w:szCs w:val="21"/>
                <w:highlight w:val="none"/>
                <w:lang w:val="en-US" w:eastAsia="zh-CN"/>
              </w:rPr>
              <w:t>#尾气处理装置排气筒</w:t>
            </w:r>
          </w:p>
        </w:tc>
        <w:tc>
          <w:tcPr>
            <w:tcW w:w="632" w:type="dxa"/>
            <w:tcBorders>
              <w:tl2br w:val="nil"/>
              <w:tr2bl w:val="nil"/>
            </w:tcBorders>
            <w:noWrap/>
            <w:vAlign w:val="center"/>
          </w:tcPr>
          <w:p w14:paraId="3E4E461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-18</w:t>
            </w:r>
          </w:p>
        </w:tc>
        <w:tc>
          <w:tcPr>
            <w:tcW w:w="632" w:type="dxa"/>
            <w:tcBorders>
              <w:tl2br w:val="nil"/>
              <w:tr2bl w:val="nil"/>
            </w:tcBorders>
            <w:noWrap/>
            <w:vAlign w:val="center"/>
          </w:tcPr>
          <w:p w14:paraId="43C6816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320</w:t>
            </w:r>
          </w:p>
        </w:tc>
        <w:tc>
          <w:tcPr>
            <w:tcW w:w="1054" w:type="dxa"/>
            <w:tcBorders>
              <w:tl2br w:val="nil"/>
              <w:tr2bl w:val="nil"/>
            </w:tcBorders>
            <w:shd w:val="clear" w:color="auto" w:fill="auto"/>
            <w:noWrap/>
            <w:vAlign w:val="center"/>
          </w:tcPr>
          <w:p w14:paraId="71884611">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27</w:t>
            </w:r>
          </w:p>
        </w:tc>
        <w:tc>
          <w:tcPr>
            <w:tcW w:w="1054" w:type="dxa"/>
            <w:tcBorders>
              <w:tl2br w:val="nil"/>
              <w:tr2bl w:val="nil"/>
            </w:tcBorders>
            <w:shd w:val="clear" w:color="auto" w:fill="auto"/>
            <w:noWrap/>
            <w:vAlign w:val="center"/>
          </w:tcPr>
          <w:p w14:paraId="5355DE19">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color w:val="auto"/>
                <w:sz w:val="21"/>
                <w:szCs w:val="21"/>
                <w:highlight w:val="none"/>
                <w:lang w:val="en-US" w:eastAsia="zh-CN"/>
              </w:rPr>
              <w:t>0.35</w:t>
            </w:r>
          </w:p>
        </w:tc>
        <w:tc>
          <w:tcPr>
            <w:tcW w:w="758" w:type="dxa"/>
            <w:tcBorders>
              <w:tl2br w:val="nil"/>
              <w:tr2bl w:val="nil"/>
            </w:tcBorders>
            <w:noWrap/>
            <w:vAlign w:val="center"/>
          </w:tcPr>
          <w:p w14:paraId="5290B6CB">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color w:val="auto"/>
                <w:sz w:val="21"/>
                <w:szCs w:val="21"/>
                <w:highlight w:val="none"/>
              </w:rPr>
              <w:t>25</w:t>
            </w:r>
          </w:p>
        </w:tc>
        <w:tc>
          <w:tcPr>
            <w:tcW w:w="722" w:type="dxa"/>
            <w:tcBorders>
              <w:tl2br w:val="nil"/>
              <w:tr2bl w:val="nil"/>
            </w:tcBorders>
            <w:vAlign w:val="center"/>
          </w:tcPr>
          <w:p w14:paraId="384CBD6E">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5000</w:t>
            </w:r>
          </w:p>
        </w:tc>
        <w:tc>
          <w:tcPr>
            <w:tcW w:w="480" w:type="dxa"/>
            <w:tcBorders>
              <w:tl2br w:val="nil"/>
              <w:tr2bl w:val="nil"/>
            </w:tcBorders>
            <w:noWrap/>
            <w:vAlign w:val="center"/>
          </w:tcPr>
          <w:p w14:paraId="018957EC">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22AC284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0D8D9A3">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0.06</w:t>
            </w:r>
          </w:p>
        </w:tc>
        <w:tc>
          <w:tcPr>
            <w:tcW w:w="584" w:type="dxa"/>
            <w:gridSpan w:val="2"/>
            <w:tcBorders>
              <w:tl2br w:val="nil"/>
              <w:tr2bl w:val="nil"/>
            </w:tcBorders>
            <w:noWrap/>
            <w:vAlign w:val="center"/>
          </w:tcPr>
          <w:p w14:paraId="52BB4258">
            <w:pPr>
              <w:keepNext w:val="0"/>
              <w:keepLines w:val="0"/>
              <w:pageBreakBefore w:val="0"/>
              <w:widowControl w:val="0"/>
              <w:kinsoku/>
              <w:wordWrap/>
              <w:overflowPunct/>
              <w:topLinePunct w:val="0"/>
              <w:autoSpaceDE/>
              <w:autoSpaceDN/>
              <w:bidi w:val="0"/>
              <w:adjustRightInd/>
              <w:snapToGrid w:val="0"/>
              <w:spacing w:before="0" w:beforeAutospacing="0" w:after="0" w:afterAutospacing="0" w:line="260" w:lineRule="exact"/>
              <w:ind w:left="0" w:leftChars="0" w:right="0" w:rightChars="0"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0.03</w:t>
            </w:r>
          </w:p>
        </w:tc>
        <w:tc>
          <w:tcPr>
            <w:tcW w:w="564" w:type="dxa"/>
            <w:tcBorders>
              <w:tl2br w:val="nil"/>
              <w:tr2bl w:val="nil"/>
            </w:tcBorders>
            <w:noWrap/>
            <w:vAlign w:val="center"/>
          </w:tcPr>
          <w:p w14:paraId="7D684E0C">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7D991E4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0.231</w:t>
            </w:r>
          </w:p>
        </w:tc>
        <w:tc>
          <w:tcPr>
            <w:tcW w:w="480" w:type="dxa"/>
            <w:tcBorders>
              <w:tl2br w:val="nil"/>
              <w:tr2bl w:val="nil"/>
            </w:tcBorders>
            <w:noWrap/>
            <w:vAlign w:val="center"/>
          </w:tcPr>
          <w:p w14:paraId="05908384">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377" w:type="dxa"/>
            <w:tcBorders>
              <w:tl2br w:val="nil"/>
              <w:tr2bl w:val="nil"/>
            </w:tcBorders>
            <w:noWrap/>
            <w:vAlign w:val="center"/>
          </w:tcPr>
          <w:p w14:paraId="3E64BFE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r>
      <w:tr w14:paraId="3148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tcBorders>
              <w:tl2br w:val="nil"/>
              <w:tr2bl w:val="nil"/>
            </w:tcBorders>
            <w:noWrap/>
            <w:vAlign w:val="center"/>
          </w:tcPr>
          <w:p w14:paraId="5271291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乌苏市西区污水处理厂二期工程</w:t>
            </w:r>
          </w:p>
        </w:tc>
        <w:tc>
          <w:tcPr>
            <w:tcW w:w="2099" w:type="dxa"/>
            <w:tcBorders>
              <w:tl2br w:val="nil"/>
              <w:tr2bl w:val="nil"/>
            </w:tcBorders>
            <w:shd w:val="clear" w:color="auto" w:fill="auto"/>
            <w:noWrap/>
            <w:vAlign w:val="center"/>
          </w:tcPr>
          <w:p w14:paraId="13432ED2">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恶臭P1排气筒</w:t>
            </w:r>
          </w:p>
        </w:tc>
        <w:tc>
          <w:tcPr>
            <w:tcW w:w="632" w:type="dxa"/>
            <w:tcBorders>
              <w:tl2br w:val="nil"/>
              <w:tr2bl w:val="nil"/>
            </w:tcBorders>
            <w:noWrap/>
            <w:vAlign w:val="center"/>
          </w:tcPr>
          <w:p w14:paraId="5633B56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2327</w:t>
            </w:r>
          </w:p>
        </w:tc>
        <w:tc>
          <w:tcPr>
            <w:tcW w:w="632" w:type="dxa"/>
            <w:tcBorders>
              <w:tl2br w:val="nil"/>
              <w:tr2bl w:val="nil"/>
            </w:tcBorders>
            <w:noWrap/>
            <w:vAlign w:val="center"/>
          </w:tcPr>
          <w:p w14:paraId="2B8E647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1311</w:t>
            </w:r>
          </w:p>
        </w:tc>
        <w:tc>
          <w:tcPr>
            <w:tcW w:w="1054" w:type="dxa"/>
            <w:tcBorders>
              <w:tl2br w:val="nil"/>
              <w:tr2bl w:val="nil"/>
            </w:tcBorders>
            <w:shd w:val="clear" w:color="auto" w:fill="auto"/>
            <w:noWrap/>
            <w:vAlign w:val="center"/>
          </w:tcPr>
          <w:p w14:paraId="12A24D66">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30</w:t>
            </w:r>
          </w:p>
        </w:tc>
        <w:tc>
          <w:tcPr>
            <w:tcW w:w="1054" w:type="dxa"/>
            <w:tcBorders>
              <w:tl2br w:val="nil"/>
              <w:tr2bl w:val="nil"/>
            </w:tcBorders>
            <w:shd w:val="clear" w:color="auto" w:fill="auto"/>
            <w:noWrap/>
            <w:vAlign w:val="center"/>
          </w:tcPr>
          <w:p w14:paraId="406B3069">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0.5</w:t>
            </w:r>
          </w:p>
        </w:tc>
        <w:tc>
          <w:tcPr>
            <w:tcW w:w="758" w:type="dxa"/>
            <w:tcBorders>
              <w:tl2br w:val="nil"/>
              <w:tr2bl w:val="nil"/>
            </w:tcBorders>
            <w:noWrap/>
            <w:vAlign w:val="center"/>
          </w:tcPr>
          <w:p w14:paraId="702B3061">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25</w:t>
            </w:r>
          </w:p>
        </w:tc>
        <w:tc>
          <w:tcPr>
            <w:tcW w:w="722" w:type="dxa"/>
            <w:tcBorders>
              <w:tl2br w:val="nil"/>
              <w:tr2bl w:val="nil"/>
            </w:tcBorders>
            <w:vAlign w:val="center"/>
          </w:tcPr>
          <w:p w14:paraId="66579F6C">
            <w:pPr>
              <w:pStyle w:val="768"/>
              <w:keepNext w:val="0"/>
              <w:keepLines w:val="0"/>
              <w:pageBreakBefore w:val="0"/>
              <w:widowControl/>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80000</w:t>
            </w:r>
          </w:p>
        </w:tc>
        <w:tc>
          <w:tcPr>
            <w:tcW w:w="480" w:type="dxa"/>
            <w:tcBorders>
              <w:tl2br w:val="nil"/>
              <w:tr2bl w:val="nil"/>
            </w:tcBorders>
            <w:noWrap/>
            <w:vAlign w:val="center"/>
          </w:tcPr>
          <w:p w14:paraId="2B65241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2D186F9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A6052B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84" w:type="dxa"/>
            <w:gridSpan w:val="2"/>
            <w:tcBorders>
              <w:tl2br w:val="nil"/>
              <w:tr2bl w:val="nil"/>
            </w:tcBorders>
            <w:noWrap/>
            <w:vAlign w:val="center"/>
          </w:tcPr>
          <w:p w14:paraId="45B2AD8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564" w:type="dxa"/>
            <w:tcBorders>
              <w:tl2br w:val="nil"/>
              <w:tr2bl w:val="nil"/>
            </w:tcBorders>
            <w:noWrap/>
            <w:vAlign w:val="center"/>
          </w:tcPr>
          <w:p w14:paraId="6152A3CA">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638" w:type="dxa"/>
            <w:gridSpan w:val="2"/>
            <w:tcBorders>
              <w:tl2br w:val="nil"/>
              <w:tr2bl w:val="nil"/>
            </w:tcBorders>
            <w:noWrap/>
            <w:vAlign w:val="center"/>
          </w:tcPr>
          <w:p w14:paraId="66D81A5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480" w:type="dxa"/>
            <w:tcBorders>
              <w:tl2br w:val="nil"/>
              <w:tr2bl w:val="nil"/>
            </w:tcBorders>
            <w:noWrap/>
            <w:vAlign w:val="center"/>
          </w:tcPr>
          <w:p w14:paraId="13410B2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0.001</w:t>
            </w:r>
          </w:p>
        </w:tc>
        <w:tc>
          <w:tcPr>
            <w:tcW w:w="377" w:type="dxa"/>
            <w:tcBorders>
              <w:tl2br w:val="nil"/>
              <w:tr2bl w:val="nil"/>
            </w:tcBorders>
            <w:noWrap/>
            <w:vAlign w:val="center"/>
          </w:tcPr>
          <w:p w14:paraId="594053A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0.03</w:t>
            </w:r>
          </w:p>
        </w:tc>
      </w:tr>
      <w:tr w14:paraId="54B0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033" w:type="dxa"/>
            <w:gridSpan w:val="2"/>
            <w:vMerge w:val="restart"/>
            <w:tcBorders>
              <w:tl2br w:val="nil"/>
              <w:tr2bl w:val="nil"/>
            </w:tcBorders>
            <w:noWrap/>
            <w:vAlign w:val="center"/>
          </w:tcPr>
          <w:p w14:paraId="3BC79C1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w:t>
            </w:r>
            <w:r>
              <w:rPr>
                <w:rFonts w:hint="default" w:ascii="Times New Roman" w:hAnsi="Times New Roman" w:eastAsia="宋体" w:cs="Times New Roman"/>
                <w:bCs w:val="0"/>
                <w:snapToGrid w:val="0"/>
                <w:color w:val="auto"/>
                <w:kern w:val="0"/>
                <w:sz w:val="21"/>
                <w:szCs w:val="21"/>
                <w:highlight w:val="none"/>
                <w:lang w:val="en-US" w:eastAsia="zh-CN"/>
              </w:rPr>
              <w:t>源名称</w:t>
            </w:r>
          </w:p>
        </w:tc>
        <w:tc>
          <w:tcPr>
            <w:tcW w:w="632" w:type="dxa"/>
            <w:vMerge w:val="restart"/>
            <w:tcBorders>
              <w:tl2br w:val="nil"/>
              <w:tr2bl w:val="nil"/>
            </w:tcBorders>
            <w:shd w:val="clear" w:color="auto" w:fill="auto"/>
            <w:noWrap/>
            <w:vAlign w:val="center"/>
          </w:tcPr>
          <w:p w14:paraId="5C0AFFB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bidi="ar-SA"/>
              </w:rPr>
            </w:pPr>
            <w:r>
              <w:rPr>
                <w:rFonts w:hint="default" w:ascii="Times New Roman" w:hAnsi="Times New Roman" w:eastAsia="宋体" w:cs="Times New Roman"/>
                <w:bCs w:val="0"/>
                <w:snapToGrid w:val="0"/>
                <w:color w:val="auto"/>
                <w:kern w:val="0"/>
                <w:sz w:val="21"/>
                <w:szCs w:val="21"/>
                <w:highlight w:val="none"/>
                <w:lang w:val="en-US" w:eastAsia="zh-CN"/>
              </w:rPr>
              <w:t>X坐标</w:t>
            </w:r>
          </w:p>
        </w:tc>
        <w:tc>
          <w:tcPr>
            <w:tcW w:w="632" w:type="dxa"/>
            <w:vMerge w:val="restart"/>
            <w:tcBorders>
              <w:tl2br w:val="nil"/>
              <w:tr2bl w:val="nil"/>
            </w:tcBorders>
            <w:shd w:val="clear" w:color="auto" w:fill="auto"/>
            <w:noWrap/>
            <w:vAlign w:val="center"/>
          </w:tcPr>
          <w:p w14:paraId="7835C5D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bidi="ar-SA"/>
              </w:rPr>
            </w:pPr>
            <w:r>
              <w:rPr>
                <w:rFonts w:hint="default" w:ascii="Times New Roman" w:hAnsi="Times New Roman" w:eastAsia="宋体" w:cs="Times New Roman"/>
                <w:bCs w:val="0"/>
                <w:snapToGrid w:val="0"/>
                <w:color w:val="auto"/>
                <w:kern w:val="0"/>
                <w:sz w:val="21"/>
                <w:szCs w:val="21"/>
                <w:highlight w:val="none"/>
                <w:lang w:val="en-US" w:eastAsia="zh-CN"/>
              </w:rPr>
              <w:t>Y坐标</w:t>
            </w:r>
          </w:p>
        </w:tc>
        <w:tc>
          <w:tcPr>
            <w:tcW w:w="1054" w:type="dxa"/>
            <w:vMerge w:val="restart"/>
            <w:tcBorders>
              <w:tl2br w:val="nil"/>
              <w:tr2bl w:val="nil"/>
            </w:tcBorders>
            <w:noWrap/>
            <w:vAlign w:val="center"/>
          </w:tcPr>
          <w:p w14:paraId="634F774C">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面源高度</w:t>
            </w:r>
          </w:p>
          <w:p w14:paraId="04B41ED0">
            <w:pPr>
              <w:jc w:val="center"/>
              <w:rPr>
                <w:rFonts w:hint="default"/>
                <w:color w:val="auto"/>
                <w:highlight w:val="none"/>
                <w:lang w:val="en-US" w:eastAsia="zh-CN"/>
              </w:rPr>
            </w:pP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1054" w:type="dxa"/>
            <w:vMerge w:val="restart"/>
            <w:tcBorders>
              <w:tl2br w:val="nil"/>
              <w:tr2bl w:val="nil"/>
            </w:tcBorders>
            <w:noWrap/>
            <w:vAlign w:val="center"/>
          </w:tcPr>
          <w:p w14:paraId="5F845E22">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面源长度</w:t>
            </w:r>
          </w:p>
          <w:p w14:paraId="07269770">
            <w:pPr>
              <w:jc w:val="center"/>
              <w:rPr>
                <w:rFonts w:hint="eastAsia"/>
                <w:color w:val="auto"/>
                <w:highlight w:val="none"/>
                <w:lang w:val="en-US" w:eastAsia="zh-CN"/>
              </w:rPr>
            </w:pP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1480" w:type="dxa"/>
            <w:gridSpan w:val="2"/>
            <w:vMerge w:val="restart"/>
            <w:tcBorders>
              <w:tl2br w:val="nil"/>
              <w:tr2bl w:val="nil"/>
            </w:tcBorders>
            <w:noWrap/>
            <w:vAlign w:val="center"/>
          </w:tcPr>
          <w:p w14:paraId="4962EA9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面源宽度</w:t>
            </w:r>
          </w:p>
          <w:p w14:paraId="2CCF275F">
            <w:pPr>
              <w:jc w:val="center"/>
              <w:rPr>
                <w:rFonts w:hint="eastAsia"/>
                <w:color w:val="auto"/>
                <w:highlight w:val="none"/>
                <w:lang w:val="en-US" w:eastAsia="zh-CN"/>
              </w:rPr>
            </w:pPr>
            <w:r>
              <w:rPr>
                <w:rFonts w:hint="eastAsia" w:cs="Times New Roman"/>
                <w:bCs w:val="0"/>
                <w:snapToGrid w:val="0"/>
                <w:color w:val="auto"/>
                <w:kern w:val="0"/>
                <w:sz w:val="21"/>
                <w:szCs w:val="21"/>
                <w:highlight w:val="none"/>
                <w:lang w:val="en-US" w:eastAsia="zh-CN"/>
              </w:rPr>
              <w:t>（</w:t>
            </w:r>
            <w:r>
              <w:rPr>
                <w:rFonts w:hint="default" w:ascii="Times New Roman" w:hAnsi="Times New Roman" w:eastAsia="宋体" w:cs="Times New Roman"/>
                <w:bCs w:val="0"/>
                <w:snapToGrid w:val="0"/>
                <w:color w:val="auto"/>
                <w:kern w:val="0"/>
                <w:sz w:val="21"/>
                <w:szCs w:val="21"/>
                <w:highlight w:val="none"/>
                <w:lang w:val="en-US" w:eastAsia="zh-CN"/>
              </w:rPr>
              <w:t>m</w:t>
            </w:r>
            <w:r>
              <w:rPr>
                <w:rFonts w:hint="eastAsia" w:cs="Times New Roman"/>
                <w:bCs w:val="0"/>
                <w:snapToGrid w:val="0"/>
                <w:color w:val="auto"/>
                <w:kern w:val="0"/>
                <w:sz w:val="21"/>
                <w:szCs w:val="21"/>
                <w:highlight w:val="none"/>
                <w:lang w:val="en-US" w:eastAsia="zh-CN"/>
              </w:rPr>
              <w:t>）</w:t>
            </w:r>
          </w:p>
        </w:tc>
        <w:tc>
          <w:tcPr>
            <w:tcW w:w="4083" w:type="dxa"/>
            <w:gridSpan w:val="10"/>
            <w:tcBorders>
              <w:tl2br w:val="nil"/>
              <w:tr2bl w:val="nil"/>
            </w:tcBorders>
            <w:noWrap/>
            <w:vAlign w:val="center"/>
          </w:tcPr>
          <w:p w14:paraId="3F0100A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评价因子源强</w:t>
            </w:r>
            <w:r>
              <w:rPr>
                <w:rFonts w:hint="eastAsia" w:cs="Times New Roman"/>
                <w:bCs w:val="0"/>
                <w:snapToGrid w:val="0"/>
                <w:color w:val="auto"/>
                <w:kern w:val="0"/>
                <w:sz w:val="21"/>
                <w:szCs w:val="21"/>
                <w:highlight w:val="none"/>
                <w:lang w:val="en-US" w:eastAsia="zh-CN"/>
              </w:rPr>
              <w:t>（</w:t>
            </w:r>
            <w:r>
              <w:rPr>
                <w:rFonts w:hint="eastAsia" w:ascii="Times New Roman" w:hAnsi="Times New Roman" w:eastAsia="宋体" w:cs="Times New Roman"/>
                <w:bCs w:val="0"/>
                <w:snapToGrid w:val="0"/>
                <w:color w:val="auto"/>
                <w:kern w:val="0"/>
                <w:sz w:val="21"/>
                <w:szCs w:val="21"/>
                <w:highlight w:val="none"/>
                <w:lang w:val="en-US" w:eastAsia="zh-CN"/>
              </w:rPr>
              <w:t>kg/h</w:t>
            </w:r>
            <w:r>
              <w:rPr>
                <w:rFonts w:hint="eastAsia" w:cs="Times New Roman"/>
                <w:bCs w:val="0"/>
                <w:snapToGrid w:val="0"/>
                <w:color w:val="auto"/>
                <w:kern w:val="0"/>
                <w:sz w:val="21"/>
                <w:szCs w:val="21"/>
                <w:highlight w:val="none"/>
                <w:lang w:val="en-US" w:eastAsia="zh-CN"/>
              </w:rPr>
              <w:t>）</w:t>
            </w:r>
          </w:p>
        </w:tc>
      </w:tr>
      <w:tr w14:paraId="22F9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033" w:type="dxa"/>
            <w:gridSpan w:val="2"/>
            <w:vMerge w:val="continue"/>
            <w:tcBorders>
              <w:tl2br w:val="nil"/>
              <w:tr2bl w:val="nil"/>
            </w:tcBorders>
            <w:noWrap/>
            <w:vAlign w:val="center"/>
          </w:tcPr>
          <w:p w14:paraId="56D9A9A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c>
          <w:tcPr>
            <w:tcW w:w="632" w:type="dxa"/>
            <w:vMerge w:val="continue"/>
            <w:tcBorders>
              <w:tl2br w:val="nil"/>
              <w:tr2bl w:val="nil"/>
            </w:tcBorders>
            <w:shd w:val="clear" w:color="auto" w:fill="auto"/>
            <w:noWrap/>
            <w:vAlign w:val="center"/>
          </w:tcPr>
          <w:p w14:paraId="3DA683F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632" w:type="dxa"/>
            <w:vMerge w:val="continue"/>
            <w:tcBorders>
              <w:tl2br w:val="nil"/>
              <w:tr2bl w:val="nil"/>
            </w:tcBorders>
            <w:shd w:val="clear" w:color="auto" w:fill="auto"/>
            <w:noWrap/>
            <w:vAlign w:val="center"/>
          </w:tcPr>
          <w:p w14:paraId="3581D4B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1054" w:type="dxa"/>
            <w:vMerge w:val="continue"/>
            <w:tcBorders>
              <w:tl2br w:val="nil"/>
              <w:tr2bl w:val="nil"/>
            </w:tcBorders>
            <w:noWrap/>
            <w:vAlign w:val="center"/>
          </w:tcPr>
          <w:p w14:paraId="4A4A744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c>
          <w:tcPr>
            <w:tcW w:w="1054" w:type="dxa"/>
            <w:vMerge w:val="continue"/>
            <w:tcBorders>
              <w:tl2br w:val="nil"/>
              <w:tr2bl w:val="nil"/>
            </w:tcBorders>
            <w:noWrap/>
            <w:vAlign w:val="center"/>
          </w:tcPr>
          <w:p w14:paraId="27922554">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c>
          <w:tcPr>
            <w:tcW w:w="1480" w:type="dxa"/>
            <w:gridSpan w:val="2"/>
            <w:vMerge w:val="continue"/>
            <w:tcBorders>
              <w:tl2br w:val="nil"/>
              <w:tr2bl w:val="nil"/>
            </w:tcBorders>
            <w:noWrap/>
            <w:vAlign w:val="center"/>
          </w:tcPr>
          <w:p w14:paraId="2177BC69">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p>
        </w:tc>
        <w:tc>
          <w:tcPr>
            <w:tcW w:w="1732" w:type="dxa"/>
            <w:gridSpan w:val="4"/>
            <w:tcBorders>
              <w:tl2br w:val="nil"/>
              <w:tr2bl w:val="nil"/>
            </w:tcBorders>
            <w:noWrap/>
            <w:vAlign w:val="center"/>
          </w:tcPr>
          <w:p w14:paraId="61AA4E4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NMHC</w:t>
            </w:r>
          </w:p>
        </w:tc>
        <w:tc>
          <w:tcPr>
            <w:tcW w:w="1175" w:type="dxa"/>
            <w:gridSpan w:val="3"/>
            <w:tcBorders>
              <w:tl2br w:val="nil"/>
              <w:tr2bl w:val="nil"/>
            </w:tcBorders>
            <w:noWrap/>
            <w:vAlign w:val="center"/>
          </w:tcPr>
          <w:p w14:paraId="3F68EEF8">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H</w:t>
            </w:r>
            <w:r>
              <w:rPr>
                <w:rFonts w:hint="eastAsia" w:cs="Times New Roman"/>
                <w:bCs w:val="0"/>
                <w:snapToGrid w:val="0"/>
                <w:color w:val="auto"/>
                <w:kern w:val="0"/>
                <w:sz w:val="21"/>
                <w:szCs w:val="21"/>
                <w:highlight w:val="none"/>
                <w:vertAlign w:val="subscript"/>
                <w:lang w:val="en-US" w:eastAsia="zh-CN"/>
              </w:rPr>
              <w:t>2</w:t>
            </w:r>
            <w:r>
              <w:rPr>
                <w:rFonts w:hint="eastAsia" w:cs="Times New Roman"/>
                <w:bCs w:val="0"/>
                <w:snapToGrid w:val="0"/>
                <w:color w:val="auto"/>
                <w:kern w:val="0"/>
                <w:sz w:val="21"/>
                <w:szCs w:val="21"/>
                <w:highlight w:val="none"/>
                <w:lang w:val="en-US" w:eastAsia="zh-CN"/>
              </w:rPr>
              <w:t>S</w:t>
            </w:r>
          </w:p>
        </w:tc>
        <w:tc>
          <w:tcPr>
            <w:tcW w:w="1176" w:type="dxa"/>
            <w:gridSpan w:val="3"/>
            <w:tcBorders>
              <w:tl2br w:val="nil"/>
              <w:tr2bl w:val="nil"/>
            </w:tcBorders>
            <w:noWrap/>
            <w:vAlign w:val="center"/>
          </w:tcPr>
          <w:p w14:paraId="0DC7CF0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氨</w:t>
            </w:r>
          </w:p>
        </w:tc>
      </w:tr>
      <w:tr w14:paraId="1D1C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tblHeader/>
          <w:jc w:val="center"/>
        </w:trPr>
        <w:tc>
          <w:tcPr>
            <w:tcW w:w="2934" w:type="dxa"/>
            <w:vMerge w:val="restart"/>
            <w:tcBorders>
              <w:tl2br w:val="nil"/>
              <w:tr2bl w:val="nil"/>
            </w:tcBorders>
            <w:noWrap/>
            <w:vAlign w:val="center"/>
          </w:tcPr>
          <w:p w14:paraId="41807EF2">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olor w:val="auto"/>
                <w:highlight w:val="none"/>
                <w:lang w:val="en-US" w:eastAsia="zh-CN"/>
              </w:rPr>
              <w:t>技术公司</w:t>
            </w:r>
            <w:r>
              <w:rPr>
                <w:rFonts w:hint="eastAsia" w:ascii="Times New Roman" w:hAnsi="Times New Roman" w:eastAsia="宋体" w:cs="Times New Roman"/>
                <w:bCs w:val="0"/>
                <w:snapToGrid w:val="0"/>
                <w:color w:val="auto"/>
                <w:kern w:val="0"/>
                <w:sz w:val="21"/>
                <w:szCs w:val="21"/>
                <w:highlight w:val="none"/>
                <w:lang w:val="en-US" w:eastAsia="zh-CN"/>
              </w:rPr>
              <w:t>长链二元酸扩产项目</w:t>
            </w:r>
          </w:p>
        </w:tc>
        <w:tc>
          <w:tcPr>
            <w:tcW w:w="2099" w:type="dxa"/>
            <w:tcBorders>
              <w:tl2br w:val="nil"/>
              <w:tr2bl w:val="nil"/>
            </w:tcBorders>
            <w:noWrap/>
            <w:vAlign w:val="center"/>
          </w:tcPr>
          <w:p w14:paraId="0FF345D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罐区无组织</w:t>
            </w:r>
          </w:p>
        </w:tc>
        <w:tc>
          <w:tcPr>
            <w:tcW w:w="632" w:type="dxa"/>
            <w:tcBorders>
              <w:tl2br w:val="nil"/>
              <w:tr2bl w:val="nil"/>
            </w:tcBorders>
            <w:shd w:val="clear" w:color="auto" w:fill="auto"/>
            <w:noWrap/>
            <w:vAlign w:val="center"/>
          </w:tcPr>
          <w:p w14:paraId="6640AD3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260</w:t>
            </w:r>
          </w:p>
        </w:tc>
        <w:tc>
          <w:tcPr>
            <w:tcW w:w="632" w:type="dxa"/>
            <w:tcBorders>
              <w:tl2br w:val="nil"/>
              <w:tr2bl w:val="nil"/>
            </w:tcBorders>
            <w:shd w:val="clear" w:color="auto" w:fill="auto"/>
            <w:noWrap/>
            <w:vAlign w:val="center"/>
          </w:tcPr>
          <w:p w14:paraId="3189935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380</w:t>
            </w:r>
          </w:p>
        </w:tc>
        <w:tc>
          <w:tcPr>
            <w:tcW w:w="1054" w:type="dxa"/>
            <w:tcBorders>
              <w:tl2br w:val="nil"/>
              <w:tr2bl w:val="nil"/>
            </w:tcBorders>
            <w:noWrap/>
            <w:vAlign w:val="center"/>
          </w:tcPr>
          <w:p w14:paraId="312680B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10</w:t>
            </w:r>
          </w:p>
        </w:tc>
        <w:tc>
          <w:tcPr>
            <w:tcW w:w="1054" w:type="dxa"/>
            <w:tcBorders>
              <w:tl2br w:val="nil"/>
              <w:tr2bl w:val="nil"/>
            </w:tcBorders>
            <w:noWrap/>
            <w:vAlign w:val="center"/>
          </w:tcPr>
          <w:p w14:paraId="140F6FA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86</w:t>
            </w:r>
          </w:p>
        </w:tc>
        <w:tc>
          <w:tcPr>
            <w:tcW w:w="1480" w:type="dxa"/>
            <w:gridSpan w:val="2"/>
            <w:tcBorders>
              <w:tl2br w:val="nil"/>
              <w:tr2bl w:val="nil"/>
            </w:tcBorders>
            <w:noWrap/>
            <w:vAlign w:val="center"/>
          </w:tcPr>
          <w:p w14:paraId="553D515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40</w:t>
            </w:r>
          </w:p>
        </w:tc>
        <w:tc>
          <w:tcPr>
            <w:tcW w:w="1732" w:type="dxa"/>
            <w:gridSpan w:val="4"/>
            <w:tcBorders>
              <w:tl2br w:val="nil"/>
              <w:tr2bl w:val="nil"/>
            </w:tcBorders>
            <w:noWrap/>
            <w:vAlign w:val="center"/>
          </w:tcPr>
          <w:p w14:paraId="02E0C32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0.357</w:t>
            </w:r>
          </w:p>
        </w:tc>
        <w:tc>
          <w:tcPr>
            <w:tcW w:w="1175" w:type="dxa"/>
            <w:gridSpan w:val="3"/>
            <w:tcBorders>
              <w:tl2br w:val="nil"/>
              <w:tr2bl w:val="nil"/>
            </w:tcBorders>
            <w:noWrap/>
            <w:vAlign w:val="center"/>
          </w:tcPr>
          <w:p w14:paraId="66CA766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176" w:type="dxa"/>
            <w:gridSpan w:val="3"/>
            <w:tcBorders>
              <w:tl2br w:val="nil"/>
              <w:tr2bl w:val="nil"/>
            </w:tcBorders>
            <w:noWrap/>
            <w:vAlign w:val="center"/>
          </w:tcPr>
          <w:p w14:paraId="278AE33C">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0748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70D61AC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0D42C0D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提取装置无组织</w:t>
            </w:r>
          </w:p>
        </w:tc>
        <w:tc>
          <w:tcPr>
            <w:tcW w:w="632" w:type="dxa"/>
            <w:tcBorders>
              <w:tl2br w:val="nil"/>
              <w:tr2bl w:val="nil"/>
            </w:tcBorders>
            <w:shd w:val="clear" w:color="auto" w:fill="auto"/>
            <w:noWrap/>
            <w:vAlign w:val="center"/>
          </w:tcPr>
          <w:p w14:paraId="1FB11FA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456</w:t>
            </w:r>
          </w:p>
        </w:tc>
        <w:tc>
          <w:tcPr>
            <w:tcW w:w="632" w:type="dxa"/>
            <w:tcBorders>
              <w:tl2br w:val="nil"/>
              <w:tr2bl w:val="nil"/>
            </w:tcBorders>
            <w:shd w:val="clear" w:color="auto" w:fill="auto"/>
            <w:noWrap/>
            <w:vAlign w:val="center"/>
          </w:tcPr>
          <w:p w14:paraId="5250F5F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375</w:t>
            </w:r>
          </w:p>
        </w:tc>
        <w:tc>
          <w:tcPr>
            <w:tcW w:w="1054" w:type="dxa"/>
            <w:tcBorders>
              <w:tl2br w:val="nil"/>
              <w:tr2bl w:val="nil"/>
            </w:tcBorders>
            <w:noWrap/>
            <w:vAlign w:val="center"/>
          </w:tcPr>
          <w:p w14:paraId="36528DD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24</w:t>
            </w:r>
          </w:p>
        </w:tc>
        <w:tc>
          <w:tcPr>
            <w:tcW w:w="1054" w:type="dxa"/>
            <w:tcBorders>
              <w:tl2br w:val="nil"/>
              <w:tr2bl w:val="nil"/>
            </w:tcBorders>
            <w:noWrap/>
            <w:vAlign w:val="center"/>
          </w:tcPr>
          <w:p w14:paraId="51C5E9F3">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88</w:t>
            </w:r>
          </w:p>
        </w:tc>
        <w:tc>
          <w:tcPr>
            <w:tcW w:w="1480" w:type="dxa"/>
            <w:gridSpan w:val="2"/>
            <w:tcBorders>
              <w:tl2br w:val="nil"/>
              <w:tr2bl w:val="nil"/>
            </w:tcBorders>
            <w:noWrap/>
            <w:vAlign w:val="center"/>
          </w:tcPr>
          <w:p w14:paraId="6800D39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53</w:t>
            </w:r>
          </w:p>
        </w:tc>
        <w:tc>
          <w:tcPr>
            <w:tcW w:w="1732" w:type="dxa"/>
            <w:gridSpan w:val="4"/>
            <w:tcBorders>
              <w:tl2br w:val="nil"/>
              <w:tr2bl w:val="nil"/>
            </w:tcBorders>
            <w:noWrap/>
            <w:vAlign w:val="center"/>
          </w:tcPr>
          <w:p w14:paraId="60AD594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1.776</w:t>
            </w:r>
          </w:p>
        </w:tc>
        <w:tc>
          <w:tcPr>
            <w:tcW w:w="1175" w:type="dxa"/>
            <w:gridSpan w:val="3"/>
            <w:tcBorders>
              <w:tl2br w:val="nil"/>
              <w:tr2bl w:val="nil"/>
            </w:tcBorders>
            <w:noWrap/>
            <w:vAlign w:val="center"/>
          </w:tcPr>
          <w:p w14:paraId="76B09A5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176" w:type="dxa"/>
            <w:gridSpan w:val="3"/>
            <w:tcBorders>
              <w:tl2br w:val="nil"/>
              <w:tr2bl w:val="nil"/>
            </w:tcBorders>
            <w:noWrap/>
            <w:vAlign w:val="center"/>
          </w:tcPr>
          <w:p w14:paraId="08EE9448">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5FFC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restart"/>
            <w:tcBorders>
              <w:tl2br w:val="nil"/>
              <w:tr2bl w:val="nil"/>
            </w:tcBorders>
            <w:noWrap/>
            <w:vAlign w:val="center"/>
          </w:tcPr>
          <w:p w14:paraId="6F743D8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default" w:ascii="Times New Roman" w:hAnsi="Times New Roman" w:eastAsia="宋体" w:cs="Times New Roman"/>
                <w:bCs w:val="0"/>
                <w:snapToGrid w:val="0"/>
                <w:color w:val="auto"/>
                <w:kern w:val="0"/>
                <w:sz w:val="21"/>
                <w:szCs w:val="21"/>
                <w:highlight w:val="none"/>
                <w:lang w:val="en-US" w:eastAsia="zh-CN"/>
              </w:rPr>
              <w:t>材料公司年产20000吨LCDN项目</w:t>
            </w:r>
          </w:p>
        </w:tc>
        <w:tc>
          <w:tcPr>
            <w:tcW w:w="2099" w:type="dxa"/>
            <w:tcBorders>
              <w:tl2br w:val="nil"/>
              <w:tr2bl w:val="nil"/>
            </w:tcBorders>
            <w:noWrap/>
            <w:vAlign w:val="center"/>
          </w:tcPr>
          <w:p w14:paraId="4903FE4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LCDN生产装置</w:t>
            </w:r>
            <w:r>
              <w:rPr>
                <w:rFonts w:hint="default" w:ascii="Times New Roman" w:hAnsi="Times New Roman" w:eastAsia="宋体" w:cs="Times New Roman"/>
                <w:color w:val="auto"/>
                <w:sz w:val="21"/>
                <w:szCs w:val="21"/>
                <w:highlight w:val="none"/>
                <w:lang w:val="en-US" w:eastAsia="zh-CN"/>
              </w:rPr>
              <w:t>无组织</w:t>
            </w:r>
          </w:p>
        </w:tc>
        <w:tc>
          <w:tcPr>
            <w:tcW w:w="632" w:type="dxa"/>
            <w:tcBorders>
              <w:tl2br w:val="nil"/>
              <w:tr2bl w:val="nil"/>
            </w:tcBorders>
            <w:shd w:val="clear" w:color="auto" w:fill="auto"/>
            <w:noWrap/>
            <w:vAlign w:val="center"/>
          </w:tcPr>
          <w:p w14:paraId="2C562AA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-66</w:t>
            </w:r>
          </w:p>
        </w:tc>
        <w:tc>
          <w:tcPr>
            <w:tcW w:w="632" w:type="dxa"/>
            <w:tcBorders>
              <w:tl2br w:val="nil"/>
              <w:tr2bl w:val="nil"/>
            </w:tcBorders>
            <w:shd w:val="clear" w:color="auto" w:fill="auto"/>
            <w:noWrap/>
            <w:vAlign w:val="center"/>
          </w:tcPr>
          <w:p w14:paraId="05EDD95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282</w:t>
            </w:r>
          </w:p>
        </w:tc>
        <w:tc>
          <w:tcPr>
            <w:tcW w:w="1054" w:type="dxa"/>
            <w:tcBorders>
              <w:tl2br w:val="nil"/>
              <w:tr2bl w:val="nil"/>
            </w:tcBorders>
            <w:noWrap/>
            <w:vAlign w:val="center"/>
          </w:tcPr>
          <w:p w14:paraId="1510FB49">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10.5</w:t>
            </w:r>
          </w:p>
        </w:tc>
        <w:tc>
          <w:tcPr>
            <w:tcW w:w="1054" w:type="dxa"/>
            <w:tcBorders>
              <w:tl2br w:val="nil"/>
              <w:tr2bl w:val="nil"/>
            </w:tcBorders>
            <w:noWrap/>
            <w:vAlign w:val="center"/>
          </w:tcPr>
          <w:p w14:paraId="10A0398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96</w:t>
            </w:r>
          </w:p>
        </w:tc>
        <w:tc>
          <w:tcPr>
            <w:tcW w:w="1480" w:type="dxa"/>
            <w:gridSpan w:val="2"/>
            <w:tcBorders>
              <w:tl2br w:val="nil"/>
              <w:tr2bl w:val="nil"/>
            </w:tcBorders>
            <w:noWrap/>
            <w:vAlign w:val="center"/>
          </w:tcPr>
          <w:p w14:paraId="781C728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66</w:t>
            </w:r>
          </w:p>
        </w:tc>
        <w:tc>
          <w:tcPr>
            <w:tcW w:w="1732" w:type="dxa"/>
            <w:gridSpan w:val="4"/>
            <w:tcBorders>
              <w:tl2br w:val="nil"/>
              <w:tr2bl w:val="nil"/>
            </w:tcBorders>
            <w:noWrap/>
            <w:vAlign w:val="center"/>
          </w:tcPr>
          <w:p w14:paraId="18974011">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0.38</w:t>
            </w:r>
          </w:p>
        </w:tc>
        <w:tc>
          <w:tcPr>
            <w:tcW w:w="1175" w:type="dxa"/>
            <w:gridSpan w:val="3"/>
            <w:tcBorders>
              <w:tl2br w:val="nil"/>
              <w:tr2bl w:val="nil"/>
            </w:tcBorders>
            <w:noWrap/>
            <w:vAlign w:val="center"/>
          </w:tcPr>
          <w:p w14:paraId="7E764DF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176" w:type="dxa"/>
            <w:gridSpan w:val="3"/>
            <w:tcBorders>
              <w:tl2br w:val="nil"/>
              <w:tr2bl w:val="nil"/>
            </w:tcBorders>
            <w:noWrap/>
            <w:vAlign w:val="center"/>
          </w:tcPr>
          <w:p w14:paraId="446FC5E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4B59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736EA19D">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451DD4A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甲醇制氢装置</w:t>
            </w:r>
            <w:r>
              <w:rPr>
                <w:rFonts w:hint="default" w:ascii="Times New Roman" w:hAnsi="Times New Roman" w:eastAsia="宋体" w:cs="Times New Roman"/>
                <w:color w:val="auto"/>
                <w:sz w:val="21"/>
                <w:szCs w:val="21"/>
                <w:highlight w:val="none"/>
                <w:lang w:val="en-US" w:eastAsia="zh-CN"/>
              </w:rPr>
              <w:t>无组织</w:t>
            </w:r>
          </w:p>
        </w:tc>
        <w:tc>
          <w:tcPr>
            <w:tcW w:w="632" w:type="dxa"/>
            <w:tcBorders>
              <w:tl2br w:val="nil"/>
              <w:tr2bl w:val="nil"/>
            </w:tcBorders>
            <w:shd w:val="clear" w:color="auto" w:fill="auto"/>
            <w:noWrap/>
            <w:vAlign w:val="center"/>
          </w:tcPr>
          <w:p w14:paraId="58B484F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-76</w:t>
            </w:r>
          </w:p>
        </w:tc>
        <w:tc>
          <w:tcPr>
            <w:tcW w:w="632" w:type="dxa"/>
            <w:tcBorders>
              <w:tl2br w:val="nil"/>
              <w:tr2bl w:val="nil"/>
            </w:tcBorders>
            <w:shd w:val="clear" w:color="auto" w:fill="auto"/>
            <w:noWrap/>
            <w:vAlign w:val="center"/>
          </w:tcPr>
          <w:p w14:paraId="417852B1">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355</w:t>
            </w:r>
          </w:p>
        </w:tc>
        <w:tc>
          <w:tcPr>
            <w:tcW w:w="1054" w:type="dxa"/>
            <w:tcBorders>
              <w:tl2br w:val="nil"/>
              <w:tr2bl w:val="nil"/>
            </w:tcBorders>
            <w:noWrap/>
            <w:vAlign w:val="center"/>
          </w:tcPr>
          <w:p w14:paraId="59C054DD">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5.5</w:t>
            </w:r>
          </w:p>
        </w:tc>
        <w:tc>
          <w:tcPr>
            <w:tcW w:w="1054" w:type="dxa"/>
            <w:tcBorders>
              <w:tl2br w:val="nil"/>
              <w:tr2bl w:val="nil"/>
            </w:tcBorders>
            <w:noWrap/>
            <w:vAlign w:val="center"/>
          </w:tcPr>
          <w:p w14:paraId="5838D77A">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82.2</w:t>
            </w:r>
          </w:p>
        </w:tc>
        <w:tc>
          <w:tcPr>
            <w:tcW w:w="1480" w:type="dxa"/>
            <w:gridSpan w:val="2"/>
            <w:tcBorders>
              <w:tl2br w:val="nil"/>
              <w:tr2bl w:val="nil"/>
            </w:tcBorders>
            <w:noWrap/>
            <w:vAlign w:val="center"/>
          </w:tcPr>
          <w:p w14:paraId="5331AF8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1732" w:type="dxa"/>
            <w:gridSpan w:val="4"/>
            <w:tcBorders>
              <w:tl2br w:val="nil"/>
              <w:tr2bl w:val="nil"/>
            </w:tcBorders>
            <w:noWrap/>
            <w:vAlign w:val="center"/>
          </w:tcPr>
          <w:p w14:paraId="16C024C4">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0.08</w:t>
            </w:r>
          </w:p>
        </w:tc>
        <w:tc>
          <w:tcPr>
            <w:tcW w:w="1175" w:type="dxa"/>
            <w:gridSpan w:val="3"/>
            <w:tcBorders>
              <w:tl2br w:val="nil"/>
              <w:tr2bl w:val="nil"/>
            </w:tcBorders>
            <w:noWrap/>
            <w:vAlign w:val="center"/>
          </w:tcPr>
          <w:p w14:paraId="14308C2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176" w:type="dxa"/>
            <w:gridSpan w:val="3"/>
            <w:tcBorders>
              <w:tl2br w:val="nil"/>
              <w:tr2bl w:val="nil"/>
            </w:tcBorders>
            <w:noWrap/>
            <w:vAlign w:val="center"/>
          </w:tcPr>
          <w:p w14:paraId="363C5BA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0B49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vMerge w:val="continue"/>
            <w:tcBorders>
              <w:tl2br w:val="nil"/>
              <w:tr2bl w:val="nil"/>
            </w:tcBorders>
            <w:noWrap/>
            <w:vAlign w:val="center"/>
          </w:tcPr>
          <w:p w14:paraId="30AD8E7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p>
        </w:tc>
        <w:tc>
          <w:tcPr>
            <w:tcW w:w="2099" w:type="dxa"/>
            <w:tcBorders>
              <w:tl2br w:val="nil"/>
              <w:tr2bl w:val="nil"/>
            </w:tcBorders>
            <w:noWrap/>
            <w:vAlign w:val="center"/>
          </w:tcPr>
          <w:p w14:paraId="31D509C2">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罐区无组织</w:t>
            </w:r>
          </w:p>
        </w:tc>
        <w:tc>
          <w:tcPr>
            <w:tcW w:w="632" w:type="dxa"/>
            <w:tcBorders>
              <w:tl2br w:val="nil"/>
              <w:tr2bl w:val="nil"/>
            </w:tcBorders>
            <w:shd w:val="clear" w:color="auto" w:fill="auto"/>
            <w:noWrap/>
            <w:vAlign w:val="center"/>
          </w:tcPr>
          <w:p w14:paraId="13AA25E9">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-171</w:t>
            </w:r>
          </w:p>
        </w:tc>
        <w:tc>
          <w:tcPr>
            <w:tcW w:w="632" w:type="dxa"/>
            <w:tcBorders>
              <w:tl2br w:val="nil"/>
              <w:tr2bl w:val="nil"/>
            </w:tcBorders>
            <w:shd w:val="clear" w:color="auto" w:fill="auto"/>
            <w:noWrap/>
            <w:vAlign w:val="center"/>
          </w:tcPr>
          <w:p w14:paraId="40BBBC98">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252</w:t>
            </w:r>
          </w:p>
        </w:tc>
        <w:tc>
          <w:tcPr>
            <w:tcW w:w="1054" w:type="dxa"/>
            <w:tcBorders>
              <w:tl2br w:val="nil"/>
              <w:tr2bl w:val="nil"/>
            </w:tcBorders>
            <w:noWrap/>
            <w:vAlign w:val="center"/>
          </w:tcPr>
          <w:p w14:paraId="53DE4018">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1.2</w:t>
            </w:r>
          </w:p>
        </w:tc>
        <w:tc>
          <w:tcPr>
            <w:tcW w:w="1054" w:type="dxa"/>
            <w:tcBorders>
              <w:tl2br w:val="nil"/>
              <w:tr2bl w:val="nil"/>
            </w:tcBorders>
            <w:noWrap/>
            <w:vAlign w:val="center"/>
          </w:tcPr>
          <w:p w14:paraId="3929C72B">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34</w:t>
            </w:r>
          </w:p>
        </w:tc>
        <w:tc>
          <w:tcPr>
            <w:tcW w:w="1480" w:type="dxa"/>
            <w:gridSpan w:val="2"/>
            <w:tcBorders>
              <w:tl2br w:val="nil"/>
              <w:tr2bl w:val="nil"/>
            </w:tcBorders>
            <w:noWrap/>
            <w:vAlign w:val="center"/>
          </w:tcPr>
          <w:p w14:paraId="258171A7">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27</w:t>
            </w:r>
          </w:p>
        </w:tc>
        <w:tc>
          <w:tcPr>
            <w:tcW w:w="1732" w:type="dxa"/>
            <w:gridSpan w:val="4"/>
            <w:tcBorders>
              <w:tl2br w:val="nil"/>
              <w:tr2bl w:val="nil"/>
            </w:tcBorders>
            <w:noWrap/>
            <w:vAlign w:val="center"/>
          </w:tcPr>
          <w:p w14:paraId="475AC583">
            <w:pPr>
              <w:keepNext w:val="0"/>
              <w:keepLines w:val="0"/>
              <w:pageBreakBefore w:val="0"/>
              <w:widowControl w:val="0"/>
              <w:kinsoku/>
              <w:wordWrap/>
              <w:overflowPunct/>
              <w:topLinePunct w:val="0"/>
              <w:autoSpaceDE/>
              <w:autoSpaceDN/>
              <w:bidi w:val="0"/>
              <w:adjustRightInd/>
              <w:snapToGrid/>
              <w:spacing w:before="0" w:beforeAutospacing="0" w:after="0" w:afterAutospacing="0"/>
              <w:ind w:firstLine="0" w:firstLineChars="0"/>
              <w:jc w:val="center"/>
              <w:textAlignment w:val="center"/>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0.023</w:t>
            </w:r>
          </w:p>
        </w:tc>
        <w:tc>
          <w:tcPr>
            <w:tcW w:w="1175" w:type="dxa"/>
            <w:gridSpan w:val="3"/>
            <w:tcBorders>
              <w:tl2br w:val="nil"/>
              <w:tr2bl w:val="nil"/>
            </w:tcBorders>
            <w:noWrap/>
            <w:vAlign w:val="center"/>
          </w:tcPr>
          <w:p w14:paraId="421848D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176" w:type="dxa"/>
            <w:gridSpan w:val="3"/>
            <w:tcBorders>
              <w:tl2br w:val="nil"/>
              <w:tr2bl w:val="nil"/>
            </w:tcBorders>
            <w:noWrap/>
            <w:vAlign w:val="center"/>
          </w:tcPr>
          <w:p w14:paraId="57C1416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r>
      <w:tr w14:paraId="6F55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934" w:type="dxa"/>
            <w:tcBorders>
              <w:tl2br w:val="nil"/>
              <w:tr2bl w:val="nil"/>
            </w:tcBorders>
            <w:noWrap/>
            <w:vAlign w:val="center"/>
          </w:tcPr>
          <w:p w14:paraId="6E54E1F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color w:val="auto"/>
                <w:highlight w:val="none"/>
                <w:lang w:val="en-US" w:eastAsia="zh-CN"/>
              </w:rPr>
              <w:t>乌苏市西区</w:t>
            </w:r>
            <w:r>
              <w:rPr>
                <w:rFonts w:hint="eastAsia" w:cs="Times New Roman"/>
                <w:bCs w:val="0"/>
                <w:snapToGrid w:val="0"/>
                <w:color w:val="auto"/>
                <w:kern w:val="0"/>
                <w:sz w:val="21"/>
                <w:szCs w:val="21"/>
                <w:highlight w:val="none"/>
                <w:lang w:val="en-US" w:eastAsia="zh-CN"/>
              </w:rPr>
              <w:t>污水处理厂</w:t>
            </w:r>
            <w:r>
              <w:rPr>
                <w:rFonts w:hint="eastAsia" w:ascii="Times New Roman" w:hAnsi="Times New Roman" w:eastAsia="宋体" w:cs="Times New Roman"/>
                <w:bCs w:val="0"/>
                <w:snapToGrid w:val="0"/>
                <w:color w:val="auto"/>
                <w:kern w:val="0"/>
                <w:sz w:val="21"/>
                <w:szCs w:val="21"/>
                <w:highlight w:val="none"/>
                <w:lang w:val="en-US" w:eastAsia="zh-CN"/>
              </w:rPr>
              <w:t>二期工程</w:t>
            </w:r>
          </w:p>
        </w:tc>
        <w:tc>
          <w:tcPr>
            <w:tcW w:w="2099" w:type="dxa"/>
            <w:tcBorders>
              <w:tl2br w:val="nil"/>
              <w:tr2bl w:val="nil"/>
            </w:tcBorders>
            <w:noWrap/>
            <w:vAlign w:val="center"/>
          </w:tcPr>
          <w:p w14:paraId="0270ABD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污水处理厂</w:t>
            </w:r>
            <w:r>
              <w:rPr>
                <w:rFonts w:hint="eastAsia" w:ascii="Times New Roman" w:hAnsi="Times New Roman" w:eastAsia="宋体" w:cs="Times New Roman"/>
                <w:bCs w:val="0"/>
                <w:snapToGrid w:val="0"/>
                <w:color w:val="auto"/>
                <w:kern w:val="0"/>
                <w:sz w:val="21"/>
                <w:szCs w:val="21"/>
                <w:highlight w:val="none"/>
                <w:lang w:val="en-US" w:eastAsia="zh-CN"/>
              </w:rPr>
              <w:t>恶臭面源</w:t>
            </w:r>
          </w:p>
        </w:tc>
        <w:tc>
          <w:tcPr>
            <w:tcW w:w="632" w:type="dxa"/>
            <w:tcBorders>
              <w:tl2br w:val="nil"/>
              <w:tr2bl w:val="nil"/>
            </w:tcBorders>
            <w:shd w:val="clear" w:color="auto" w:fill="auto"/>
            <w:noWrap/>
            <w:vAlign w:val="center"/>
          </w:tcPr>
          <w:p w14:paraId="5A09ED4B">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1352</w:t>
            </w:r>
          </w:p>
        </w:tc>
        <w:tc>
          <w:tcPr>
            <w:tcW w:w="632" w:type="dxa"/>
            <w:tcBorders>
              <w:tl2br w:val="nil"/>
              <w:tr2bl w:val="nil"/>
            </w:tcBorders>
            <w:shd w:val="clear" w:color="auto" w:fill="auto"/>
            <w:noWrap/>
            <w:vAlign w:val="center"/>
          </w:tcPr>
          <w:p w14:paraId="0B9E6517">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bidi="ar-SA"/>
              </w:rPr>
            </w:pPr>
            <w:r>
              <w:rPr>
                <w:rFonts w:hint="eastAsia" w:cs="Times New Roman"/>
                <w:bCs w:val="0"/>
                <w:snapToGrid w:val="0"/>
                <w:color w:val="auto"/>
                <w:kern w:val="0"/>
                <w:sz w:val="21"/>
                <w:szCs w:val="21"/>
                <w:highlight w:val="none"/>
                <w:lang w:val="en-US" w:eastAsia="zh-CN" w:bidi="ar-SA"/>
              </w:rPr>
              <w:t>1310</w:t>
            </w:r>
          </w:p>
        </w:tc>
        <w:tc>
          <w:tcPr>
            <w:tcW w:w="1054" w:type="dxa"/>
            <w:tcBorders>
              <w:tl2br w:val="nil"/>
              <w:tr2bl w:val="nil"/>
            </w:tcBorders>
            <w:noWrap/>
            <w:vAlign w:val="center"/>
          </w:tcPr>
          <w:p w14:paraId="432B9A2E">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6</w:t>
            </w:r>
          </w:p>
        </w:tc>
        <w:tc>
          <w:tcPr>
            <w:tcW w:w="1054" w:type="dxa"/>
            <w:tcBorders>
              <w:tl2br w:val="nil"/>
              <w:tr2bl w:val="nil"/>
            </w:tcBorders>
            <w:noWrap/>
            <w:vAlign w:val="center"/>
          </w:tcPr>
          <w:p w14:paraId="5A8DF88A">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223</w:t>
            </w:r>
          </w:p>
        </w:tc>
        <w:tc>
          <w:tcPr>
            <w:tcW w:w="1480" w:type="dxa"/>
            <w:gridSpan w:val="2"/>
            <w:tcBorders>
              <w:tl2br w:val="nil"/>
              <w:tr2bl w:val="nil"/>
            </w:tcBorders>
            <w:noWrap/>
            <w:vAlign w:val="center"/>
          </w:tcPr>
          <w:p w14:paraId="5444B100">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173</w:t>
            </w:r>
          </w:p>
        </w:tc>
        <w:tc>
          <w:tcPr>
            <w:tcW w:w="1732" w:type="dxa"/>
            <w:gridSpan w:val="4"/>
            <w:tcBorders>
              <w:tl2br w:val="nil"/>
              <w:tr2bl w:val="nil"/>
            </w:tcBorders>
            <w:noWrap/>
            <w:vAlign w:val="center"/>
          </w:tcPr>
          <w:p w14:paraId="69AD70D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w:t>
            </w:r>
          </w:p>
        </w:tc>
        <w:tc>
          <w:tcPr>
            <w:tcW w:w="1175" w:type="dxa"/>
            <w:gridSpan w:val="3"/>
            <w:tcBorders>
              <w:tl2br w:val="nil"/>
              <w:tr2bl w:val="nil"/>
            </w:tcBorders>
            <w:noWrap/>
            <w:vAlign w:val="center"/>
          </w:tcPr>
          <w:p w14:paraId="728F6FBF">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bCs w:val="0"/>
                <w:snapToGrid w:val="0"/>
                <w:color w:val="auto"/>
                <w:kern w:val="0"/>
                <w:sz w:val="21"/>
                <w:szCs w:val="21"/>
                <w:highlight w:val="none"/>
                <w:lang w:val="en-US" w:eastAsia="zh-CN"/>
              </w:rPr>
            </w:pPr>
            <w:r>
              <w:rPr>
                <w:rFonts w:hint="eastAsia" w:cs="Times New Roman"/>
                <w:bCs w:val="0"/>
                <w:snapToGrid w:val="0"/>
                <w:color w:val="auto"/>
                <w:kern w:val="0"/>
                <w:sz w:val="21"/>
                <w:szCs w:val="21"/>
                <w:highlight w:val="none"/>
                <w:lang w:val="en-US" w:eastAsia="zh-CN"/>
              </w:rPr>
              <w:t>0.0012</w:t>
            </w:r>
          </w:p>
        </w:tc>
        <w:tc>
          <w:tcPr>
            <w:tcW w:w="1176" w:type="dxa"/>
            <w:gridSpan w:val="3"/>
            <w:tcBorders>
              <w:tl2br w:val="nil"/>
              <w:tr2bl w:val="nil"/>
            </w:tcBorders>
            <w:noWrap/>
            <w:vAlign w:val="center"/>
          </w:tcPr>
          <w:p w14:paraId="719D4378">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bCs w:val="0"/>
                <w:snapToGrid w:val="0"/>
                <w:color w:val="auto"/>
                <w:kern w:val="0"/>
                <w:sz w:val="21"/>
                <w:szCs w:val="21"/>
                <w:highlight w:val="none"/>
                <w:lang w:val="en-US" w:eastAsia="zh-CN"/>
              </w:rPr>
            </w:pPr>
            <w:r>
              <w:rPr>
                <w:rFonts w:hint="eastAsia" w:ascii="Times New Roman" w:hAnsi="Times New Roman" w:eastAsia="宋体" w:cs="Times New Roman"/>
                <w:bCs w:val="0"/>
                <w:snapToGrid w:val="0"/>
                <w:color w:val="auto"/>
                <w:kern w:val="0"/>
                <w:sz w:val="21"/>
                <w:szCs w:val="21"/>
                <w:highlight w:val="none"/>
                <w:lang w:val="en-US" w:eastAsia="zh-CN"/>
              </w:rPr>
              <w:t>0.032</w:t>
            </w:r>
          </w:p>
        </w:tc>
      </w:tr>
    </w:tbl>
    <w:p w14:paraId="16EC577E">
      <w:pPr>
        <w:pStyle w:val="68"/>
        <w:rPr>
          <w:color w:val="auto"/>
          <w:highlight w:val="none"/>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50DA99BE">
      <w:pPr>
        <w:ind w:firstLine="482"/>
        <w:jc w:val="center"/>
        <w:rPr>
          <w:b/>
          <w:color w:val="auto"/>
          <w:kern w:val="0"/>
          <w:highlight w:val="none"/>
        </w:rPr>
      </w:pPr>
      <w:r>
        <w:rPr>
          <w:b/>
          <w:color w:val="auto"/>
          <w:kern w:val="0"/>
          <w:highlight w:val="none"/>
        </w:rPr>
        <w:t>表</w:t>
      </w:r>
      <w:r>
        <w:rPr>
          <w:rFonts w:hint="eastAsia"/>
          <w:b/>
          <w:color w:val="auto"/>
          <w:kern w:val="0"/>
          <w:highlight w:val="none"/>
        </w:rPr>
        <w:t>6</w:t>
      </w:r>
      <w:r>
        <w:rPr>
          <w:b/>
          <w:color w:val="auto"/>
          <w:kern w:val="0"/>
          <w:highlight w:val="none"/>
        </w:rPr>
        <w:t>.2-1</w:t>
      </w:r>
      <w:r>
        <w:rPr>
          <w:rFonts w:hint="eastAsia"/>
          <w:b/>
          <w:color w:val="auto"/>
          <w:kern w:val="0"/>
          <w:highlight w:val="none"/>
          <w:lang w:val="en-US" w:eastAsia="zh-CN"/>
        </w:rPr>
        <w:t>9</w:t>
      </w:r>
      <w:r>
        <w:rPr>
          <w:b/>
          <w:color w:val="auto"/>
          <w:kern w:val="0"/>
          <w:highlight w:val="none"/>
        </w:rPr>
        <w:t xml:space="preserve"> </w:t>
      </w:r>
      <w:r>
        <w:rPr>
          <w:rFonts w:hint="eastAsia"/>
          <w:b/>
          <w:color w:val="auto"/>
          <w:kern w:val="0"/>
          <w:highlight w:val="none"/>
        </w:rPr>
        <w:t>本项目正常工况下</w:t>
      </w:r>
      <w:r>
        <w:rPr>
          <w:b/>
          <w:color w:val="auto"/>
          <w:kern w:val="0"/>
          <w:highlight w:val="none"/>
        </w:rPr>
        <w:t>最大落地浓度及其发生的时间统计一览表</w:t>
      </w:r>
    </w:p>
    <w:tbl>
      <w:tblPr>
        <w:tblStyle w:val="56"/>
        <w:tblW w:w="50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19"/>
        <w:gridCol w:w="896"/>
        <w:gridCol w:w="1428"/>
        <w:gridCol w:w="1745"/>
        <w:gridCol w:w="1764"/>
        <w:gridCol w:w="1577"/>
        <w:gridCol w:w="1901"/>
        <w:gridCol w:w="1487"/>
        <w:gridCol w:w="1073"/>
        <w:gridCol w:w="1095"/>
      </w:tblGrid>
      <w:tr w14:paraId="5B22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55" w:hRule="atLeast"/>
          <w:tblHeader/>
        </w:trPr>
        <w:tc>
          <w:tcPr>
            <w:tcW w:w="364" w:type="pct"/>
            <w:tcBorders>
              <w:tl2br w:val="nil"/>
              <w:tr2bl w:val="nil"/>
            </w:tcBorders>
            <w:noWrap/>
            <w:vAlign w:val="center"/>
          </w:tcPr>
          <w:p w14:paraId="2AB4D257">
            <w:pPr>
              <w:spacing w:line="360" w:lineRule="exact"/>
              <w:jc w:val="center"/>
              <w:rPr>
                <w:rFonts w:cstheme="minorBidi"/>
                <w:color w:val="auto"/>
                <w:szCs w:val="21"/>
                <w:highlight w:val="none"/>
              </w:rPr>
            </w:pPr>
            <w:r>
              <w:rPr>
                <w:rFonts w:hint="eastAsia" w:cstheme="minorBidi"/>
                <w:color w:val="auto"/>
                <w:szCs w:val="21"/>
                <w:highlight w:val="none"/>
              </w:rPr>
              <w:t>污染因子</w:t>
            </w:r>
          </w:p>
        </w:tc>
        <w:tc>
          <w:tcPr>
            <w:tcW w:w="320" w:type="pct"/>
            <w:tcBorders>
              <w:tl2br w:val="nil"/>
              <w:tr2bl w:val="nil"/>
            </w:tcBorders>
            <w:noWrap/>
            <w:vAlign w:val="center"/>
          </w:tcPr>
          <w:p w14:paraId="2F873112">
            <w:pPr>
              <w:spacing w:line="360" w:lineRule="exact"/>
              <w:jc w:val="center"/>
              <w:rPr>
                <w:rFonts w:cstheme="minorBidi"/>
                <w:color w:val="auto"/>
                <w:szCs w:val="21"/>
                <w:highlight w:val="none"/>
              </w:rPr>
            </w:pPr>
            <w:r>
              <w:rPr>
                <w:rFonts w:cstheme="minorBidi"/>
                <w:color w:val="auto"/>
                <w:szCs w:val="21"/>
                <w:highlight w:val="none"/>
              </w:rPr>
              <w:t>序号</w:t>
            </w:r>
          </w:p>
        </w:tc>
        <w:tc>
          <w:tcPr>
            <w:tcW w:w="510" w:type="pct"/>
            <w:tcBorders>
              <w:tl2br w:val="nil"/>
              <w:tr2bl w:val="nil"/>
            </w:tcBorders>
            <w:vAlign w:val="center"/>
          </w:tcPr>
          <w:p w14:paraId="11CBAAF4">
            <w:pPr>
              <w:spacing w:line="360" w:lineRule="exact"/>
              <w:jc w:val="center"/>
              <w:rPr>
                <w:rFonts w:cstheme="minorBidi"/>
                <w:color w:val="auto"/>
                <w:szCs w:val="21"/>
                <w:highlight w:val="none"/>
              </w:rPr>
            </w:pPr>
            <w:r>
              <w:rPr>
                <w:rFonts w:cstheme="minorBidi"/>
                <w:color w:val="auto"/>
                <w:szCs w:val="21"/>
                <w:highlight w:val="none"/>
              </w:rPr>
              <w:t>点名称</w:t>
            </w:r>
          </w:p>
        </w:tc>
        <w:tc>
          <w:tcPr>
            <w:tcW w:w="623" w:type="pct"/>
            <w:tcBorders>
              <w:tl2br w:val="nil"/>
              <w:tr2bl w:val="nil"/>
            </w:tcBorders>
            <w:noWrap/>
            <w:vAlign w:val="center"/>
          </w:tcPr>
          <w:p w14:paraId="4BEA7024">
            <w:pPr>
              <w:spacing w:line="360" w:lineRule="exact"/>
              <w:jc w:val="center"/>
              <w:rPr>
                <w:rFonts w:cstheme="minorBidi"/>
                <w:color w:val="auto"/>
                <w:szCs w:val="21"/>
                <w:highlight w:val="none"/>
              </w:rPr>
            </w:pPr>
            <w:r>
              <w:rPr>
                <w:rFonts w:cstheme="minorBidi"/>
                <w:color w:val="auto"/>
                <w:szCs w:val="21"/>
                <w:highlight w:val="none"/>
              </w:rPr>
              <w:t>点坐标</w:t>
            </w:r>
          </w:p>
          <w:p w14:paraId="36A493C2">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x，y</w:t>
            </w:r>
            <w:r>
              <w:rPr>
                <w:rFonts w:hint="eastAsia" w:cstheme="minorBidi"/>
                <w:color w:val="auto"/>
                <w:szCs w:val="21"/>
                <w:highlight w:val="none"/>
                <w:lang w:eastAsia="zh-CN"/>
              </w:rPr>
              <w:t>）</w:t>
            </w:r>
          </w:p>
        </w:tc>
        <w:tc>
          <w:tcPr>
            <w:tcW w:w="630" w:type="pct"/>
            <w:tcBorders>
              <w:tl2br w:val="nil"/>
              <w:tr2bl w:val="nil"/>
            </w:tcBorders>
            <w:noWrap/>
            <w:vAlign w:val="center"/>
          </w:tcPr>
          <w:p w14:paraId="5518A2DF">
            <w:pPr>
              <w:spacing w:line="360" w:lineRule="exact"/>
              <w:jc w:val="center"/>
              <w:rPr>
                <w:rFonts w:cstheme="minorBidi"/>
                <w:color w:val="auto"/>
                <w:szCs w:val="21"/>
                <w:highlight w:val="none"/>
              </w:rPr>
            </w:pPr>
            <w:r>
              <w:rPr>
                <w:rFonts w:cstheme="minorBidi"/>
                <w:color w:val="auto"/>
                <w:szCs w:val="21"/>
                <w:highlight w:val="none"/>
              </w:rPr>
              <w:t>浓度类型</w:t>
            </w:r>
          </w:p>
        </w:tc>
        <w:tc>
          <w:tcPr>
            <w:tcW w:w="563" w:type="pct"/>
            <w:tcBorders>
              <w:tl2br w:val="nil"/>
              <w:tr2bl w:val="nil"/>
            </w:tcBorders>
            <w:noWrap/>
            <w:vAlign w:val="center"/>
          </w:tcPr>
          <w:p w14:paraId="64DD1B68">
            <w:pPr>
              <w:spacing w:line="360" w:lineRule="exact"/>
              <w:jc w:val="center"/>
              <w:rPr>
                <w:rFonts w:cstheme="minorBidi"/>
                <w:color w:val="auto"/>
                <w:szCs w:val="21"/>
                <w:highlight w:val="none"/>
              </w:rPr>
            </w:pPr>
            <w:r>
              <w:rPr>
                <w:rFonts w:cstheme="minorBidi"/>
                <w:color w:val="auto"/>
                <w:szCs w:val="21"/>
                <w:highlight w:val="none"/>
              </w:rPr>
              <w:t>浓度增量</w:t>
            </w:r>
          </w:p>
          <w:p w14:paraId="16006360">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mg/m</w:t>
            </w:r>
            <w:r>
              <w:rPr>
                <w:rFonts w:cstheme="minorBidi"/>
                <w:color w:val="auto"/>
                <w:szCs w:val="21"/>
                <w:highlight w:val="none"/>
                <w:vertAlign w:val="superscript"/>
              </w:rPr>
              <w:t>3</w:t>
            </w:r>
            <w:r>
              <w:rPr>
                <w:rFonts w:hint="eastAsia" w:cstheme="minorBidi"/>
                <w:color w:val="auto"/>
                <w:szCs w:val="21"/>
                <w:highlight w:val="none"/>
                <w:lang w:eastAsia="zh-CN"/>
              </w:rPr>
              <w:t>）</w:t>
            </w:r>
          </w:p>
        </w:tc>
        <w:tc>
          <w:tcPr>
            <w:tcW w:w="679" w:type="pct"/>
            <w:tcBorders>
              <w:tl2br w:val="nil"/>
              <w:tr2bl w:val="nil"/>
            </w:tcBorders>
            <w:noWrap/>
            <w:vAlign w:val="center"/>
          </w:tcPr>
          <w:p w14:paraId="70CE745B">
            <w:pPr>
              <w:spacing w:line="360" w:lineRule="exact"/>
              <w:jc w:val="center"/>
              <w:rPr>
                <w:rFonts w:cstheme="minorBidi"/>
                <w:color w:val="auto"/>
                <w:szCs w:val="21"/>
                <w:highlight w:val="none"/>
              </w:rPr>
            </w:pPr>
            <w:r>
              <w:rPr>
                <w:rFonts w:cstheme="minorBidi"/>
                <w:color w:val="auto"/>
                <w:szCs w:val="21"/>
                <w:highlight w:val="none"/>
              </w:rPr>
              <w:t>出现时间</w:t>
            </w:r>
          </w:p>
          <w:p w14:paraId="2B2DCF36">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YYMMDDHH</w:t>
            </w:r>
            <w:r>
              <w:rPr>
                <w:rFonts w:hint="eastAsia" w:cstheme="minorBidi"/>
                <w:color w:val="auto"/>
                <w:szCs w:val="21"/>
                <w:highlight w:val="none"/>
                <w:lang w:eastAsia="zh-CN"/>
              </w:rPr>
              <w:t>）</w:t>
            </w:r>
          </w:p>
        </w:tc>
        <w:tc>
          <w:tcPr>
            <w:tcW w:w="531" w:type="pct"/>
            <w:tcBorders>
              <w:tl2br w:val="nil"/>
              <w:tr2bl w:val="nil"/>
            </w:tcBorders>
            <w:noWrap/>
            <w:vAlign w:val="center"/>
          </w:tcPr>
          <w:p w14:paraId="00A5D5CD">
            <w:pPr>
              <w:spacing w:line="360" w:lineRule="exact"/>
              <w:jc w:val="center"/>
              <w:rPr>
                <w:rFonts w:cstheme="minorBidi"/>
                <w:color w:val="auto"/>
                <w:szCs w:val="21"/>
                <w:highlight w:val="none"/>
              </w:rPr>
            </w:pPr>
            <w:r>
              <w:rPr>
                <w:rFonts w:cstheme="minorBidi"/>
                <w:color w:val="auto"/>
                <w:szCs w:val="21"/>
                <w:highlight w:val="none"/>
              </w:rPr>
              <w:t>评价标准</w:t>
            </w:r>
          </w:p>
          <w:p w14:paraId="088E7BF1">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mg/m</w:t>
            </w:r>
            <w:r>
              <w:rPr>
                <w:rFonts w:cstheme="minorBidi"/>
                <w:color w:val="auto"/>
                <w:szCs w:val="21"/>
                <w:highlight w:val="none"/>
                <w:vertAlign w:val="superscript"/>
              </w:rPr>
              <w:t>3</w:t>
            </w:r>
            <w:r>
              <w:rPr>
                <w:rFonts w:hint="eastAsia" w:cstheme="minorBidi"/>
                <w:color w:val="auto"/>
                <w:szCs w:val="21"/>
                <w:highlight w:val="none"/>
                <w:lang w:eastAsia="zh-CN"/>
              </w:rPr>
              <w:t>）</w:t>
            </w:r>
          </w:p>
        </w:tc>
        <w:tc>
          <w:tcPr>
            <w:tcW w:w="383" w:type="pct"/>
            <w:tcBorders>
              <w:tl2br w:val="nil"/>
              <w:tr2bl w:val="nil"/>
            </w:tcBorders>
            <w:noWrap/>
            <w:vAlign w:val="center"/>
          </w:tcPr>
          <w:p w14:paraId="7AD45D20">
            <w:pPr>
              <w:spacing w:line="360" w:lineRule="exact"/>
              <w:jc w:val="center"/>
              <w:rPr>
                <w:rFonts w:cstheme="minorBidi"/>
                <w:color w:val="auto"/>
                <w:szCs w:val="21"/>
                <w:highlight w:val="none"/>
              </w:rPr>
            </w:pPr>
            <w:r>
              <w:rPr>
                <w:rFonts w:cstheme="minorBidi"/>
                <w:color w:val="auto"/>
                <w:szCs w:val="21"/>
                <w:highlight w:val="none"/>
              </w:rPr>
              <w:t>占标率</w:t>
            </w:r>
          </w:p>
          <w:p w14:paraId="42B46EF7">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cstheme="minorBidi"/>
                <w:color w:val="auto"/>
                <w:szCs w:val="21"/>
                <w:highlight w:val="none"/>
              </w:rPr>
              <w:t>%</w:t>
            </w:r>
            <w:r>
              <w:rPr>
                <w:rFonts w:hint="eastAsia" w:cstheme="minorBidi"/>
                <w:color w:val="auto"/>
                <w:szCs w:val="21"/>
                <w:highlight w:val="none"/>
                <w:lang w:eastAsia="zh-CN"/>
              </w:rPr>
              <w:t>）</w:t>
            </w:r>
          </w:p>
        </w:tc>
        <w:tc>
          <w:tcPr>
            <w:tcW w:w="391" w:type="pct"/>
            <w:tcBorders>
              <w:tl2br w:val="nil"/>
              <w:tr2bl w:val="nil"/>
            </w:tcBorders>
            <w:vAlign w:val="center"/>
          </w:tcPr>
          <w:p w14:paraId="5B6ACBAB">
            <w:pPr>
              <w:spacing w:line="360" w:lineRule="exact"/>
              <w:jc w:val="center"/>
              <w:rPr>
                <w:rFonts w:cstheme="minorBidi"/>
                <w:color w:val="auto"/>
                <w:szCs w:val="21"/>
                <w:highlight w:val="none"/>
              </w:rPr>
            </w:pPr>
            <w:r>
              <w:rPr>
                <w:rFonts w:cstheme="minorBidi"/>
                <w:color w:val="auto"/>
                <w:szCs w:val="21"/>
                <w:highlight w:val="none"/>
              </w:rPr>
              <w:t>是否超标</w:t>
            </w:r>
          </w:p>
        </w:tc>
      </w:tr>
      <w:tr w14:paraId="2E81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4F72CFE5">
            <w:pPr>
              <w:spacing w:line="360" w:lineRule="exact"/>
              <w:jc w:val="center"/>
              <w:rPr>
                <w:rFonts w:cstheme="minorBidi"/>
                <w:color w:val="auto"/>
                <w:szCs w:val="21"/>
                <w:highlight w:val="none"/>
              </w:rPr>
            </w:pPr>
            <w:r>
              <w:rPr>
                <w:rFonts w:hint="eastAsia" w:cstheme="minorBidi"/>
                <w:color w:val="auto"/>
                <w:szCs w:val="21"/>
                <w:highlight w:val="none"/>
              </w:rPr>
              <w:t>SO</w:t>
            </w:r>
            <w:r>
              <w:rPr>
                <w:rFonts w:hint="eastAsia" w:cstheme="minorBidi"/>
                <w:color w:val="auto"/>
                <w:szCs w:val="21"/>
                <w:highlight w:val="none"/>
                <w:vertAlign w:val="subscript"/>
              </w:rPr>
              <w:t>2</w:t>
            </w:r>
          </w:p>
        </w:tc>
        <w:tc>
          <w:tcPr>
            <w:tcW w:w="320" w:type="pct"/>
            <w:vMerge w:val="restart"/>
            <w:tcBorders>
              <w:tl2br w:val="nil"/>
              <w:tr2bl w:val="nil"/>
            </w:tcBorders>
            <w:noWrap/>
            <w:vAlign w:val="center"/>
          </w:tcPr>
          <w:p w14:paraId="06C2B942">
            <w:pPr>
              <w:spacing w:line="360" w:lineRule="exact"/>
              <w:jc w:val="center"/>
              <w:rPr>
                <w:rFonts w:cstheme="minorBidi"/>
                <w:color w:val="auto"/>
                <w:szCs w:val="21"/>
                <w:highlight w:val="none"/>
              </w:rPr>
            </w:pPr>
            <w:r>
              <w:rPr>
                <w:rFonts w:cstheme="minorBidi"/>
                <w:color w:val="auto"/>
                <w:szCs w:val="21"/>
                <w:highlight w:val="none"/>
              </w:rPr>
              <w:t>1</w:t>
            </w:r>
          </w:p>
        </w:tc>
        <w:tc>
          <w:tcPr>
            <w:tcW w:w="510" w:type="pct"/>
            <w:vMerge w:val="restart"/>
            <w:tcBorders>
              <w:tl2br w:val="nil"/>
              <w:tr2bl w:val="nil"/>
            </w:tcBorders>
            <w:vAlign w:val="center"/>
          </w:tcPr>
          <w:p w14:paraId="5C6C0C47">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23" w:type="pct"/>
            <w:vMerge w:val="restart"/>
            <w:tcBorders>
              <w:tl2br w:val="nil"/>
              <w:tr2bl w:val="nil"/>
            </w:tcBorders>
            <w:noWrap/>
            <w:vAlign w:val="center"/>
          </w:tcPr>
          <w:p w14:paraId="75F09D0F">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noWrap/>
            <w:vAlign w:val="center"/>
          </w:tcPr>
          <w:p w14:paraId="1BD0F793">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noWrap/>
            <w:vAlign w:val="center"/>
          </w:tcPr>
          <w:p w14:paraId="73432625">
            <w:pPr>
              <w:spacing w:line="360" w:lineRule="exact"/>
              <w:jc w:val="center"/>
              <w:rPr>
                <w:rFonts w:cstheme="minorBidi"/>
                <w:color w:val="auto"/>
                <w:szCs w:val="21"/>
                <w:highlight w:val="none"/>
              </w:rPr>
            </w:pPr>
            <w:r>
              <w:rPr>
                <w:rFonts w:hint="eastAsia"/>
                <w:color w:val="auto"/>
                <w:highlight w:val="none"/>
              </w:rPr>
              <w:t>7.71E-04</w:t>
            </w:r>
          </w:p>
        </w:tc>
        <w:tc>
          <w:tcPr>
            <w:tcW w:w="679" w:type="pct"/>
            <w:tcBorders>
              <w:tl2br w:val="nil"/>
              <w:tr2bl w:val="nil"/>
            </w:tcBorders>
            <w:noWrap/>
            <w:vAlign w:val="center"/>
          </w:tcPr>
          <w:p w14:paraId="1D435423">
            <w:pPr>
              <w:spacing w:line="360" w:lineRule="exact"/>
              <w:jc w:val="center"/>
              <w:rPr>
                <w:rFonts w:cstheme="minorBidi"/>
                <w:color w:val="auto"/>
                <w:szCs w:val="21"/>
                <w:highlight w:val="none"/>
              </w:rPr>
            </w:pPr>
            <w:r>
              <w:rPr>
                <w:rFonts w:hint="eastAsia"/>
                <w:color w:val="auto"/>
                <w:highlight w:val="none"/>
              </w:rPr>
              <w:t>24041519</w:t>
            </w:r>
          </w:p>
        </w:tc>
        <w:tc>
          <w:tcPr>
            <w:tcW w:w="531" w:type="pct"/>
            <w:tcBorders>
              <w:tl2br w:val="nil"/>
              <w:tr2bl w:val="nil"/>
            </w:tcBorders>
            <w:noWrap/>
            <w:vAlign w:val="center"/>
          </w:tcPr>
          <w:p w14:paraId="40CD8F95">
            <w:pPr>
              <w:spacing w:line="360" w:lineRule="exact"/>
              <w:jc w:val="center"/>
              <w:rPr>
                <w:rFonts w:cstheme="minorBidi"/>
                <w:color w:val="auto"/>
                <w:szCs w:val="21"/>
                <w:highlight w:val="none"/>
              </w:rPr>
            </w:pPr>
            <w:r>
              <w:rPr>
                <w:rFonts w:hint="eastAsia"/>
                <w:color w:val="auto"/>
                <w:highlight w:val="none"/>
              </w:rPr>
              <w:t>5.00E-01</w:t>
            </w:r>
          </w:p>
        </w:tc>
        <w:tc>
          <w:tcPr>
            <w:tcW w:w="383" w:type="pct"/>
            <w:tcBorders>
              <w:tl2br w:val="nil"/>
              <w:tr2bl w:val="nil"/>
            </w:tcBorders>
            <w:noWrap/>
            <w:vAlign w:val="center"/>
          </w:tcPr>
          <w:p w14:paraId="6EF88C05">
            <w:pPr>
              <w:spacing w:line="360" w:lineRule="exact"/>
              <w:jc w:val="center"/>
              <w:rPr>
                <w:rFonts w:cstheme="minorBidi"/>
                <w:color w:val="auto"/>
                <w:szCs w:val="21"/>
                <w:highlight w:val="none"/>
              </w:rPr>
            </w:pPr>
            <w:r>
              <w:rPr>
                <w:rFonts w:hint="eastAsia"/>
                <w:color w:val="auto"/>
                <w:highlight w:val="none"/>
              </w:rPr>
              <w:t>0.15</w:t>
            </w:r>
          </w:p>
        </w:tc>
        <w:tc>
          <w:tcPr>
            <w:tcW w:w="391" w:type="pct"/>
            <w:tcBorders>
              <w:tl2br w:val="nil"/>
              <w:tr2bl w:val="nil"/>
            </w:tcBorders>
            <w:vAlign w:val="center"/>
          </w:tcPr>
          <w:p w14:paraId="4A378F1D">
            <w:pPr>
              <w:spacing w:line="360" w:lineRule="exact"/>
              <w:jc w:val="center"/>
              <w:rPr>
                <w:rFonts w:cstheme="minorBidi"/>
                <w:color w:val="auto"/>
                <w:szCs w:val="21"/>
                <w:highlight w:val="none"/>
              </w:rPr>
            </w:pPr>
            <w:r>
              <w:rPr>
                <w:rFonts w:hint="eastAsia"/>
                <w:color w:val="auto"/>
                <w:highlight w:val="none"/>
              </w:rPr>
              <w:t>达标</w:t>
            </w:r>
          </w:p>
        </w:tc>
      </w:tr>
      <w:tr w14:paraId="4353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68219219">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353341F9">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7526606E">
            <w:pPr>
              <w:spacing w:line="360" w:lineRule="exact"/>
              <w:jc w:val="center"/>
              <w:rPr>
                <w:rFonts w:cstheme="minorBidi"/>
                <w:color w:val="auto"/>
                <w:szCs w:val="21"/>
                <w:highlight w:val="none"/>
              </w:rPr>
            </w:pPr>
          </w:p>
        </w:tc>
        <w:tc>
          <w:tcPr>
            <w:tcW w:w="623" w:type="pct"/>
            <w:vMerge w:val="continue"/>
            <w:tcBorders>
              <w:tl2br w:val="nil"/>
              <w:tr2bl w:val="nil"/>
            </w:tcBorders>
            <w:noWrap/>
            <w:vAlign w:val="center"/>
          </w:tcPr>
          <w:p w14:paraId="4FD6CA12">
            <w:pPr>
              <w:spacing w:line="360" w:lineRule="exact"/>
              <w:jc w:val="center"/>
              <w:rPr>
                <w:rFonts w:cstheme="minorBidi"/>
                <w:color w:val="auto"/>
                <w:szCs w:val="21"/>
                <w:highlight w:val="none"/>
              </w:rPr>
            </w:pPr>
          </w:p>
        </w:tc>
        <w:tc>
          <w:tcPr>
            <w:tcW w:w="630" w:type="pct"/>
            <w:tcBorders>
              <w:tl2br w:val="nil"/>
              <w:tr2bl w:val="nil"/>
            </w:tcBorders>
            <w:noWrap/>
            <w:vAlign w:val="center"/>
          </w:tcPr>
          <w:p w14:paraId="7E6C9841">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563" w:type="pct"/>
            <w:tcBorders>
              <w:tl2br w:val="nil"/>
              <w:tr2bl w:val="nil"/>
            </w:tcBorders>
            <w:noWrap/>
            <w:vAlign w:val="center"/>
          </w:tcPr>
          <w:p w14:paraId="6D386BB9">
            <w:pPr>
              <w:spacing w:line="360" w:lineRule="exact"/>
              <w:jc w:val="center"/>
              <w:rPr>
                <w:rFonts w:cstheme="minorBidi"/>
                <w:color w:val="auto"/>
                <w:szCs w:val="21"/>
                <w:highlight w:val="none"/>
              </w:rPr>
            </w:pPr>
            <w:r>
              <w:rPr>
                <w:rFonts w:hint="eastAsia"/>
                <w:color w:val="auto"/>
                <w:highlight w:val="none"/>
              </w:rPr>
              <w:t>4.84E-05</w:t>
            </w:r>
          </w:p>
        </w:tc>
        <w:tc>
          <w:tcPr>
            <w:tcW w:w="679" w:type="pct"/>
            <w:tcBorders>
              <w:tl2br w:val="nil"/>
              <w:tr2bl w:val="nil"/>
            </w:tcBorders>
            <w:noWrap/>
            <w:vAlign w:val="center"/>
          </w:tcPr>
          <w:p w14:paraId="7AC3668A">
            <w:pPr>
              <w:spacing w:line="360" w:lineRule="exact"/>
              <w:jc w:val="center"/>
              <w:rPr>
                <w:rFonts w:cstheme="minorBidi"/>
                <w:color w:val="auto"/>
                <w:szCs w:val="21"/>
                <w:highlight w:val="none"/>
              </w:rPr>
            </w:pPr>
            <w:r>
              <w:rPr>
                <w:rFonts w:hint="eastAsia"/>
                <w:color w:val="auto"/>
                <w:highlight w:val="none"/>
              </w:rPr>
              <w:t>240722</w:t>
            </w:r>
          </w:p>
        </w:tc>
        <w:tc>
          <w:tcPr>
            <w:tcW w:w="531" w:type="pct"/>
            <w:tcBorders>
              <w:tl2br w:val="nil"/>
              <w:tr2bl w:val="nil"/>
            </w:tcBorders>
            <w:noWrap/>
            <w:vAlign w:val="center"/>
          </w:tcPr>
          <w:p w14:paraId="70CFF82B">
            <w:pPr>
              <w:spacing w:line="360" w:lineRule="exact"/>
              <w:jc w:val="center"/>
              <w:rPr>
                <w:rFonts w:cstheme="minorBidi"/>
                <w:color w:val="auto"/>
                <w:szCs w:val="21"/>
                <w:highlight w:val="none"/>
              </w:rPr>
            </w:pPr>
            <w:r>
              <w:rPr>
                <w:rFonts w:hint="eastAsia"/>
                <w:color w:val="auto"/>
                <w:highlight w:val="none"/>
              </w:rPr>
              <w:t>1.50E-01</w:t>
            </w:r>
          </w:p>
        </w:tc>
        <w:tc>
          <w:tcPr>
            <w:tcW w:w="383" w:type="pct"/>
            <w:tcBorders>
              <w:tl2br w:val="nil"/>
              <w:tr2bl w:val="nil"/>
            </w:tcBorders>
            <w:noWrap/>
            <w:vAlign w:val="center"/>
          </w:tcPr>
          <w:p w14:paraId="1C71D3FF">
            <w:pPr>
              <w:spacing w:line="360" w:lineRule="exact"/>
              <w:jc w:val="center"/>
              <w:rPr>
                <w:rFonts w:cstheme="minorBidi"/>
                <w:color w:val="auto"/>
                <w:szCs w:val="21"/>
                <w:highlight w:val="none"/>
              </w:rPr>
            </w:pPr>
            <w:r>
              <w:rPr>
                <w:rFonts w:hint="eastAsia"/>
                <w:color w:val="auto"/>
                <w:highlight w:val="none"/>
              </w:rPr>
              <w:t>0.03</w:t>
            </w:r>
          </w:p>
        </w:tc>
        <w:tc>
          <w:tcPr>
            <w:tcW w:w="391" w:type="pct"/>
            <w:tcBorders>
              <w:tl2br w:val="nil"/>
              <w:tr2bl w:val="nil"/>
            </w:tcBorders>
            <w:vAlign w:val="center"/>
          </w:tcPr>
          <w:p w14:paraId="30A8033D">
            <w:pPr>
              <w:spacing w:line="360" w:lineRule="exact"/>
              <w:jc w:val="center"/>
              <w:rPr>
                <w:rFonts w:cstheme="minorBidi"/>
                <w:color w:val="auto"/>
                <w:szCs w:val="21"/>
                <w:highlight w:val="none"/>
              </w:rPr>
            </w:pPr>
            <w:r>
              <w:rPr>
                <w:rFonts w:hint="eastAsia"/>
                <w:color w:val="auto"/>
                <w:highlight w:val="none"/>
              </w:rPr>
              <w:t>达标</w:t>
            </w:r>
          </w:p>
        </w:tc>
      </w:tr>
      <w:tr w14:paraId="222F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25B58B9C">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4E10C9F4">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4CC471AC">
            <w:pPr>
              <w:spacing w:line="360" w:lineRule="exact"/>
              <w:jc w:val="center"/>
              <w:rPr>
                <w:rFonts w:cstheme="minorBidi"/>
                <w:color w:val="auto"/>
                <w:szCs w:val="21"/>
                <w:highlight w:val="none"/>
              </w:rPr>
            </w:pPr>
          </w:p>
        </w:tc>
        <w:tc>
          <w:tcPr>
            <w:tcW w:w="623" w:type="pct"/>
            <w:vMerge w:val="continue"/>
            <w:tcBorders>
              <w:tl2br w:val="nil"/>
              <w:tr2bl w:val="nil"/>
            </w:tcBorders>
            <w:noWrap/>
            <w:vAlign w:val="center"/>
          </w:tcPr>
          <w:p w14:paraId="1C9F6089">
            <w:pPr>
              <w:spacing w:line="360" w:lineRule="exact"/>
              <w:jc w:val="center"/>
              <w:rPr>
                <w:rFonts w:cstheme="minorBidi"/>
                <w:color w:val="auto"/>
                <w:szCs w:val="21"/>
                <w:highlight w:val="none"/>
              </w:rPr>
            </w:pPr>
          </w:p>
        </w:tc>
        <w:tc>
          <w:tcPr>
            <w:tcW w:w="630" w:type="pct"/>
            <w:tcBorders>
              <w:tl2br w:val="nil"/>
              <w:tr2bl w:val="nil"/>
            </w:tcBorders>
            <w:noWrap/>
            <w:vAlign w:val="center"/>
          </w:tcPr>
          <w:p w14:paraId="60D02C8B">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563" w:type="pct"/>
            <w:tcBorders>
              <w:tl2br w:val="nil"/>
              <w:tr2bl w:val="nil"/>
            </w:tcBorders>
            <w:noWrap/>
            <w:vAlign w:val="center"/>
          </w:tcPr>
          <w:p w14:paraId="7E898E34">
            <w:pPr>
              <w:spacing w:line="360" w:lineRule="exact"/>
              <w:jc w:val="center"/>
              <w:rPr>
                <w:rFonts w:cstheme="minorBidi"/>
                <w:color w:val="auto"/>
                <w:szCs w:val="21"/>
                <w:highlight w:val="none"/>
              </w:rPr>
            </w:pPr>
            <w:r>
              <w:rPr>
                <w:rFonts w:hint="eastAsia"/>
                <w:color w:val="auto"/>
                <w:highlight w:val="none"/>
              </w:rPr>
              <w:t>2.33E-06</w:t>
            </w:r>
          </w:p>
        </w:tc>
        <w:tc>
          <w:tcPr>
            <w:tcW w:w="679" w:type="pct"/>
            <w:tcBorders>
              <w:tl2br w:val="nil"/>
              <w:tr2bl w:val="nil"/>
            </w:tcBorders>
            <w:noWrap/>
            <w:vAlign w:val="center"/>
          </w:tcPr>
          <w:p w14:paraId="60092FB3">
            <w:pPr>
              <w:spacing w:line="360" w:lineRule="exact"/>
              <w:jc w:val="center"/>
              <w:rPr>
                <w:rFonts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6AC2D4F7">
            <w:pPr>
              <w:spacing w:line="360" w:lineRule="exact"/>
              <w:jc w:val="center"/>
              <w:rPr>
                <w:rFonts w:cstheme="minorBidi"/>
                <w:color w:val="auto"/>
                <w:szCs w:val="21"/>
                <w:highlight w:val="none"/>
              </w:rPr>
            </w:pPr>
            <w:r>
              <w:rPr>
                <w:rFonts w:hint="eastAsia"/>
                <w:color w:val="auto"/>
                <w:highlight w:val="none"/>
              </w:rPr>
              <w:t>6.00E-02</w:t>
            </w:r>
          </w:p>
        </w:tc>
        <w:tc>
          <w:tcPr>
            <w:tcW w:w="383" w:type="pct"/>
            <w:tcBorders>
              <w:tl2br w:val="nil"/>
              <w:tr2bl w:val="nil"/>
            </w:tcBorders>
            <w:noWrap/>
            <w:vAlign w:val="center"/>
          </w:tcPr>
          <w:p w14:paraId="3D5FAC74">
            <w:pPr>
              <w:spacing w:line="360" w:lineRule="exact"/>
              <w:jc w:val="center"/>
              <w:rPr>
                <w:rFonts w:cstheme="minorBidi"/>
                <w:color w:val="auto"/>
                <w:szCs w:val="21"/>
                <w:highlight w:val="none"/>
              </w:rPr>
            </w:pPr>
            <w:r>
              <w:rPr>
                <w:rFonts w:hint="eastAsia"/>
                <w:color w:val="auto"/>
                <w:highlight w:val="none"/>
              </w:rPr>
              <w:t>0.00</w:t>
            </w:r>
          </w:p>
        </w:tc>
        <w:tc>
          <w:tcPr>
            <w:tcW w:w="391" w:type="pct"/>
            <w:tcBorders>
              <w:tl2br w:val="nil"/>
              <w:tr2bl w:val="nil"/>
            </w:tcBorders>
            <w:vAlign w:val="center"/>
          </w:tcPr>
          <w:p w14:paraId="2CA09EBB">
            <w:pPr>
              <w:spacing w:line="360" w:lineRule="exact"/>
              <w:jc w:val="center"/>
              <w:rPr>
                <w:rFonts w:cstheme="minorBidi"/>
                <w:color w:val="auto"/>
                <w:szCs w:val="21"/>
                <w:highlight w:val="none"/>
              </w:rPr>
            </w:pPr>
            <w:r>
              <w:rPr>
                <w:rFonts w:hint="eastAsia"/>
                <w:color w:val="auto"/>
                <w:highlight w:val="none"/>
              </w:rPr>
              <w:t>达标</w:t>
            </w:r>
          </w:p>
        </w:tc>
      </w:tr>
      <w:tr w14:paraId="63F9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7" w:hRule="atLeast"/>
          <w:tblHeader/>
        </w:trPr>
        <w:tc>
          <w:tcPr>
            <w:tcW w:w="364" w:type="pct"/>
            <w:vMerge w:val="continue"/>
            <w:tcBorders>
              <w:tl2br w:val="nil"/>
              <w:tr2bl w:val="nil"/>
            </w:tcBorders>
            <w:noWrap/>
            <w:vAlign w:val="center"/>
          </w:tcPr>
          <w:p w14:paraId="5F61C5F1">
            <w:pPr>
              <w:spacing w:line="360" w:lineRule="exact"/>
              <w:jc w:val="center"/>
              <w:rPr>
                <w:rFonts w:cstheme="minorBidi"/>
                <w:color w:val="auto"/>
                <w:szCs w:val="21"/>
                <w:highlight w:val="none"/>
              </w:rPr>
            </w:pPr>
          </w:p>
        </w:tc>
        <w:tc>
          <w:tcPr>
            <w:tcW w:w="320" w:type="pct"/>
            <w:vMerge w:val="restart"/>
            <w:tcBorders>
              <w:tl2br w:val="nil"/>
              <w:tr2bl w:val="nil"/>
            </w:tcBorders>
            <w:noWrap/>
            <w:vAlign w:val="center"/>
          </w:tcPr>
          <w:p w14:paraId="101C0407">
            <w:pPr>
              <w:spacing w:line="360" w:lineRule="exact"/>
              <w:jc w:val="center"/>
              <w:rPr>
                <w:rFonts w:cstheme="minorBidi"/>
                <w:color w:val="auto"/>
                <w:szCs w:val="21"/>
                <w:highlight w:val="none"/>
              </w:rPr>
            </w:pPr>
            <w:r>
              <w:rPr>
                <w:rFonts w:hint="eastAsia" w:cstheme="minorBidi"/>
                <w:color w:val="auto"/>
                <w:szCs w:val="21"/>
                <w:highlight w:val="none"/>
              </w:rPr>
              <w:t>2</w:t>
            </w:r>
          </w:p>
        </w:tc>
        <w:tc>
          <w:tcPr>
            <w:tcW w:w="510" w:type="pct"/>
            <w:vMerge w:val="restart"/>
            <w:tcBorders>
              <w:tl2br w:val="nil"/>
              <w:tr2bl w:val="nil"/>
            </w:tcBorders>
            <w:vAlign w:val="center"/>
          </w:tcPr>
          <w:p w14:paraId="0C845B02">
            <w:pPr>
              <w:spacing w:line="360" w:lineRule="exact"/>
              <w:jc w:val="center"/>
              <w:rPr>
                <w:rFonts w:cstheme="minorBidi"/>
                <w:color w:val="auto"/>
                <w:szCs w:val="21"/>
                <w:highlight w:val="none"/>
              </w:rPr>
            </w:pPr>
            <w:r>
              <w:rPr>
                <w:rFonts w:cstheme="minorBidi"/>
                <w:color w:val="auto"/>
                <w:szCs w:val="21"/>
                <w:highlight w:val="none"/>
              </w:rPr>
              <w:t>网格</w:t>
            </w:r>
          </w:p>
        </w:tc>
        <w:tc>
          <w:tcPr>
            <w:tcW w:w="623" w:type="pct"/>
            <w:tcBorders>
              <w:tl2br w:val="nil"/>
              <w:tr2bl w:val="nil"/>
            </w:tcBorders>
            <w:noWrap/>
            <w:vAlign w:val="center"/>
          </w:tcPr>
          <w:p w14:paraId="74D109EA">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87，-5</w:t>
            </w:r>
            <w:r>
              <w:rPr>
                <w:rFonts w:hint="eastAsia" w:cstheme="minorBidi"/>
                <w:color w:val="auto"/>
                <w:szCs w:val="21"/>
                <w:highlight w:val="none"/>
                <w:lang w:eastAsia="zh-CN"/>
              </w:rPr>
              <w:t>）</w:t>
            </w:r>
          </w:p>
        </w:tc>
        <w:tc>
          <w:tcPr>
            <w:tcW w:w="630" w:type="pct"/>
            <w:tcBorders>
              <w:tl2br w:val="nil"/>
              <w:tr2bl w:val="nil"/>
            </w:tcBorders>
            <w:noWrap/>
            <w:vAlign w:val="center"/>
          </w:tcPr>
          <w:p w14:paraId="39D6C985">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noWrap/>
            <w:vAlign w:val="center"/>
          </w:tcPr>
          <w:p w14:paraId="3FD2F8F7">
            <w:pPr>
              <w:spacing w:line="360" w:lineRule="exact"/>
              <w:jc w:val="center"/>
              <w:rPr>
                <w:rFonts w:cstheme="minorBidi"/>
                <w:color w:val="auto"/>
                <w:szCs w:val="21"/>
                <w:highlight w:val="none"/>
              </w:rPr>
            </w:pPr>
            <w:r>
              <w:rPr>
                <w:rFonts w:hint="eastAsia"/>
                <w:color w:val="auto"/>
                <w:highlight w:val="none"/>
              </w:rPr>
              <w:t>1.02E-02</w:t>
            </w:r>
          </w:p>
        </w:tc>
        <w:tc>
          <w:tcPr>
            <w:tcW w:w="679" w:type="pct"/>
            <w:tcBorders>
              <w:tl2br w:val="nil"/>
              <w:tr2bl w:val="nil"/>
            </w:tcBorders>
            <w:noWrap/>
            <w:vAlign w:val="center"/>
          </w:tcPr>
          <w:p w14:paraId="16860F57">
            <w:pPr>
              <w:spacing w:line="360" w:lineRule="exact"/>
              <w:jc w:val="center"/>
              <w:rPr>
                <w:rFonts w:cstheme="minorBidi"/>
                <w:color w:val="auto"/>
                <w:szCs w:val="21"/>
                <w:highlight w:val="none"/>
              </w:rPr>
            </w:pPr>
            <w:r>
              <w:rPr>
                <w:rFonts w:hint="eastAsia"/>
                <w:color w:val="auto"/>
                <w:highlight w:val="none"/>
              </w:rPr>
              <w:t>24092513</w:t>
            </w:r>
          </w:p>
        </w:tc>
        <w:tc>
          <w:tcPr>
            <w:tcW w:w="531" w:type="pct"/>
            <w:tcBorders>
              <w:tl2br w:val="nil"/>
              <w:tr2bl w:val="nil"/>
            </w:tcBorders>
            <w:noWrap/>
            <w:vAlign w:val="center"/>
          </w:tcPr>
          <w:p w14:paraId="2EB1034B">
            <w:pPr>
              <w:spacing w:line="360" w:lineRule="exact"/>
              <w:jc w:val="center"/>
              <w:rPr>
                <w:rFonts w:cstheme="minorBidi"/>
                <w:color w:val="auto"/>
                <w:szCs w:val="21"/>
                <w:highlight w:val="none"/>
              </w:rPr>
            </w:pPr>
            <w:r>
              <w:rPr>
                <w:rFonts w:hint="eastAsia"/>
                <w:color w:val="auto"/>
                <w:highlight w:val="none"/>
              </w:rPr>
              <w:t>5.00E-01</w:t>
            </w:r>
          </w:p>
        </w:tc>
        <w:tc>
          <w:tcPr>
            <w:tcW w:w="383" w:type="pct"/>
            <w:tcBorders>
              <w:tl2br w:val="nil"/>
              <w:tr2bl w:val="nil"/>
            </w:tcBorders>
            <w:noWrap/>
            <w:vAlign w:val="center"/>
          </w:tcPr>
          <w:p w14:paraId="780F9A5F">
            <w:pPr>
              <w:spacing w:line="360" w:lineRule="exact"/>
              <w:jc w:val="center"/>
              <w:rPr>
                <w:rFonts w:cstheme="minorBidi"/>
                <w:color w:val="auto"/>
                <w:szCs w:val="21"/>
                <w:highlight w:val="none"/>
              </w:rPr>
            </w:pPr>
            <w:r>
              <w:rPr>
                <w:rFonts w:hint="eastAsia"/>
                <w:color w:val="auto"/>
                <w:highlight w:val="none"/>
              </w:rPr>
              <w:t>2.04</w:t>
            </w:r>
          </w:p>
        </w:tc>
        <w:tc>
          <w:tcPr>
            <w:tcW w:w="391" w:type="pct"/>
            <w:tcBorders>
              <w:tl2br w:val="nil"/>
              <w:tr2bl w:val="nil"/>
            </w:tcBorders>
            <w:vAlign w:val="center"/>
          </w:tcPr>
          <w:p w14:paraId="15E4C9F9">
            <w:pPr>
              <w:spacing w:line="360" w:lineRule="exact"/>
              <w:jc w:val="center"/>
              <w:rPr>
                <w:rFonts w:cstheme="minorBidi"/>
                <w:color w:val="auto"/>
                <w:szCs w:val="21"/>
                <w:highlight w:val="none"/>
              </w:rPr>
            </w:pPr>
            <w:r>
              <w:rPr>
                <w:rFonts w:hint="eastAsia"/>
                <w:color w:val="auto"/>
                <w:highlight w:val="none"/>
              </w:rPr>
              <w:t>达标</w:t>
            </w:r>
          </w:p>
        </w:tc>
      </w:tr>
      <w:tr w14:paraId="1736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512A73FD">
            <w:pPr>
              <w:pStyle w:val="768"/>
              <w:rPr>
                <w:color w:val="auto"/>
                <w:highlight w:val="none"/>
              </w:rPr>
            </w:pPr>
          </w:p>
        </w:tc>
        <w:tc>
          <w:tcPr>
            <w:tcW w:w="320" w:type="pct"/>
            <w:vMerge w:val="continue"/>
            <w:tcBorders>
              <w:tl2br w:val="nil"/>
              <w:tr2bl w:val="nil"/>
            </w:tcBorders>
            <w:noWrap/>
            <w:vAlign w:val="center"/>
          </w:tcPr>
          <w:p w14:paraId="4358A125">
            <w:pPr>
              <w:pStyle w:val="768"/>
              <w:rPr>
                <w:color w:val="auto"/>
                <w:highlight w:val="none"/>
              </w:rPr>
            </w:pPr>
          </w:p>
        </w:tc>
        <w:tc>
          <w:tcPr>
            <w:tcW w:w="510" w:type="pct"/>
            <w:vMerge w:val="continue"/>
            <w:tcBorders>
              <w:tl2br w:val="nil"/>
              <w:tr2bl w:val="nil"/>
            </w:tcBorders>
            <w:vAlign w:val="center"/>
          </w:tcPr>
          <w:p w14:paraId="57AB5C3A">
            <w:pPr>
              <w:pStyle w:val="768"/>
              <w:rPr>
                <w:color w:val="auto"/>
                <w:highlight w:val="none"/>
              </w:rPr>
            </w:pPr>
          </w:p>
        </w:tc>
        <w:tc>
          <w:tcPr>
            <w:tcW w:w="623" w:type="pct"/>
            <w:tcBorders>
              <w:tl2br w:val="nil"/>
              <w:tr2bl w:val="nil"/>
            </w:tcBorders>
            <w:noWrap/>
            <w:vAlign w:val="center"/>
          </w:tcPr>
          <w:p w14:paraId="7E7533D5">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187，195</w:t>
            </w:r>
            <w:r>
              <w:rPr>
                <w:rFonts w:hint="eastAsia" w:cstheme="minorBidi"/>
                <w:color w:val="auto"/>
                <w:szCs w:val="21"/>
                <w:highlight w:val="none"/>
                <w:lang w:eastAsia="zh-CN"/>
              </w:rPr>
              <w:t>）</w:t>
            </w:r>
          </w:p>
        </w:tc>
        <w:tc>
          <w:tcPr>
            <w:tcW w:w="630" w:type="pct"/>
            <w:tcBorders>
              <w:tl2br w:val="nil"/>
              <w:tr2bl w:val="nil"/>
            </w:tcBorders>
            <w:noWrap/>
            <w:vAlign w:val="center"/>
          </w:tcPr>
          <w:p w14:paraId="009A35E5">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563" w:type="pct"/>
            <w:tcBorders>
              <w:tl2br w:val="nil"/>
              <w:tr2bl w:val="nil"/>
            </w:tcBorders>
            <w:noWrap/>
            <w:vAlign w:val="center"/>
          </w:tcPr>
          <w:p w14:paraId="0C03DCCC">
            <w:pPr>
              <w:spacing w:line="360" w:lineRule="exact"/>
              <w:jc w:val="center"/>
              <w:rPr>
                <w:rFonts w:cstheme="minorBidi"/>
                <w:color w:val="auto"/>
                <w:szCs w:val="21"/>
                <w:highlight w:val="none"/>
              </w:rPr>
            </w:pPr>
            <w:r>
              <w:rPr>
                <w:rFonts w:hint="eastAsia"/>
                <w:color w:val="auto"/>
                <w:highlight w:val="none"/>
              </w:rPr>
              <w:t>8.61E-04</w:t>
            </w:r>
          </w:p>
        </w:tc>
        <w:tc>
          <w:tcPr>
            <w:tcW w:w="679" w:type="pct"/>
            <w:tcBorders>
              <w:tl2br w:val="nil"/>
              <w:tr2bl w:val="nil"/>
            </w:tcBorders>
            <w:noWrap/>
            <w:vAlign w:val="center"/>
          </w:tcPr>
          <w:p w14:paraId="1FA5C880">
            <w:pPr>
              <w:spacing w:line="360" w:lineRule="exact"/>
              <w:jc w:val="center"/>
              <w:rPr>
                <w:rFonts w:cstheme="minorBidi"/>
                <w:color w:val="auto"/>
                <w:szCs w:val="21"/>
                <w:highlight w:val="none"/>
              </w:rPr>
            </w:pPr>
            <w:r>
              <w:rPr>
                <w:rFonts w:hint="eastAsia"/>
                <w:color w:val="auto"/>
                <w:highlight w:val="none"/>
              </w:rPr>
              <w:t>240619</w:t>
            </w:r>
          </w:p>
        </w:tc>
        <w:tc>
          <w:tcPr>
            <w:tcW w:w="531" w:type="pct"/>
            <w:tcBorders>
              <w:tl2br w:val="nil"/>
              <w:tr2bl w:val="nil"/>
            </w:tcBorders>
            <w:noWrap/>
            <w:vAlign w:val="center"/>
          </w:tcPr>
          <w:p w14:paraId="06C1580A">
            <w:pPr>
              <w:spacing w:line="360" w:lineRule="exact"/>
              <w:jc w:val="center"/>
              <w:rPr>
                <w:rFonts w:cstheme="minorBidi"/>
                <w:color w:val="auto"/>
                <w:szCs w:val="21"/>
                <w:highlight w:val="none"/>
              </w:rPr>
            </w:pPr>
            <w:r>
              <w:rPr>
                <w:rFonts w:hint="eastAsia"/>
                <w:color w:val="auto"/>
                <w:highlight w:val="none"/>
              </w:rPr>
              <w:t>1.50E-01</w:t>
            </w:r>
          </w:p>
        </w:tc>
        <w:tc>
          <w:tcPr>
            <w:tcW w:w="383" w:type="pct"/>
            <w:tcBorders>
              <w:tl2br w:val="nil"/>
              <w:tr2bl w:val="nil"/>
            </w:tcBorders>
            <w:noWrap/>
            <w:vAlign w:val="center"/>
          </w:tcPr>
          <w:p w14:paraId="5DAADE95">
            <w:pPr>
              <w:spacing w:line="360" w:lineRule="exact"/>
              <w:jc w:val="center"/>
              <w:rPr>
                <w:rFonts w:cstheme="minorBidi"/>
                <w:color w:val="auto"/>
                <w:szCs w:val="21"/>
                <w:highlight w:val="none"/>
              </w:rPr>
            </w:pPr>
            <w:r>
              <w:rPr>
                <w:rFonts w:hint="eastAsia"/>
                <w:color w:val="auto"/>
                <w:highlight w:val="none"/>
              </w:rPr>
              <w:t>0.57</w:t>
            </w:r>
          </w:p>
        </w:tc>
        <w:tc>
          <w:tcPr>
            <w:tcW w:w="391" w:type="pct"/>
            <w:tcBorders>
              <w:tl2br w:val="nil"/>
              <w:tr2bl w:val="nil"/>
            </w:tcBorders>
            <w:vAlign w:val="center"/>
          </w:tcPr>
          <w:p w14:paraId="1F57216A">
            <w:pPr>
              <w:spacing w:line="360" w:lineRule="exact"/>
              <w:jc w:val="center"/>
              <w:rPr>
                <w:rFonts w:cstheme="minorBidi"/>
                <w:color w:val="auto"/>
                <w:szCs w:val="21"/>
                <w:highlight w:val="none"/>
              </w:rPr>
            </w:pPr>
            <w:r>
              <w:rPr>
                <w:rFonts w:hint="eastAsia"/>
                <w:color w:val="auto"/>
                <w:highlight w:val="none"/>
              </w:rPr>
              <w:t>达标</w:t>
            </w:r>
          </w:p>
        </w:tc>
      </w:tr>
      <w:tr w14:paraId="26D3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1458107C">
            <w:pPr>
              <w:pStyle w:val="768"/>
              <w:rPr>
                <w:color w:val="auto"/>
                <w:highlight w:val="none"/>
              </w:rPr>
            </w:pPr>
          </w:p>
        </w:tc>
        <w:tc>
          <w:tcPr>
            <w:tcW w:w="320" w:type="pct"/>
            <w:vMerge w:val="continue"/>
            <w:tcBorders>
              <w:tl2br w:val="nil"/>
              <w:tr2bl w:val="nil"/>
            </w:tcBorders>
            <w:noWrap/>
            <w:vAlign w:val="center"/>
          </w:tcPr>
          <w:p w14:paraId="73F4E536">
            <w:pPr>
              <w:pStyle w:val="768"/>
              <w:rPr>
                <w:color w:val="auto"/>
                <w:highlight w:val="none"/>
              </w:rPr>
            </w:pPr>
          </w:p>
        </w:tc>
        <w:tc>
          <w:tcPr>
            <w:tcW w:w="510" w:type="pct"/>
            <w:vMerge w:val="continue"/>
            <w:tcBorders>
              <w:tl2br w:val="nil"/>
              <w:tr2bl w:val="nil"/>
            </w:tcBorders>
            <w:vAlign w:val="center"/>
          </w:tcPr>
          <w:p w14:paraId="35815805">
            <w:pPr>
              <w:pStyle w:val="768"/>
              <w:rPr>
                <w:color w:val="auto"/>
                <w:highlight w:val="none"/>
              </w:rPr>
            </w:pPr>
          </w:p>
        </w:tc>
        <w:tc>
          <w:tcPr>
            <w:tcW w:w="623" w:type="pct"/>
            <w:tcBorders>
              <w:tl2br w:val="nil"/>
              <w:tr2bl w:val="nil"/>
            </w:tcBorders>
            <w:noWrap/>
            <w:vAlign w:val="center"/>
          </w:tcPr>
          <w:p w14:paraId="476627CF">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187，-105</w:t>
            </w:r>
            <w:r>
              <w:rPr>
                <w:rFonts w:hint="eastAsia" w:cstheme="minorBidi"/>
                <w:color w:val="auto"/>
                <w:szCs w:val="21"/>
                <w:highlight w:val="none"/>
                <w:lang w:eastAsia="zh-CN"/>
              </w:rPr>
              <w:t>）</w:t>
            </w:r>
          </w:p>
        </w:tc>
        <w:tc>
          <w:tcPr>
            <w:tcW w:w="630" w:type="pct"/>
            <w:tcBorders>
              <w:tl2br w:val="nil"/>
              <w:tr2bl w:val="nil"/>
            </w:tcBorders>
            <w:noWrap/>
            <w:vAlign w:val="center"/>
          </w:tcPr>
          <w:p w14:paraId="06107748">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563" w:type="pct"/>
            <w:tcBorders>
              <w:tl2br w:val="nil"/>
              <w:tr2bl w:val="nil"/>
            </w:tcBorders>
            <w:noWrap/>
            <w:vAlign w:val="center"/>
          </w:tcPr>
          <w:p w14:paraId="4B455A37">
            <w:pPr>
              <w:spacing w:line="360" w:lineRule="exact"/>
              <w:jc w:val="center"/>
              <w:rPr>
                <w:rFonts w:cstheme="minorBidi"/>
                <w:color w:val="auto"/>
                <w:szCs w:val="21"/>
                <w:highlight w:val="none"/>
              </w:rPr>
            </w:pPr>
            <w:r>
              <w:rPr>
                <w:rFonts w:hint="eastAsia"/>
                <w:color w:val="auto"/>
                <w:highlight w:val="none"/>
              </w:rPr>
              <w:t>2.03E-04</w:t>
            </w:r>
          </w:p>
        </w:tc>
        <w:tc>
          <w:tcPr>
            <w:tcW w:w="679" w:type="pct"/>
            <w:tcBorders>
              <w:tl2br w:val="nil"/>
              <w:tr2bl w:val="nil"/>
            </w:tcBorders>
            <w:noWrap/>
            <w:vAlign w:val="center"/>
          </w:tcPr>
          <w:p w14:paraId="1FF3521A">
            <w:pPr>
              <w:spacing w:line="360" w:lineRule="exact"/>
              <w:jc w:val="center"/>
              <w:rPr>
                <w:rFonts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5BDC0540">
            <w:pPr>
              <w:spacing w:line="360" w:lineRule="exact"/>
              <w:jc w:val="center"/>
              <w:rPr>
                <w:rFonts w:cstheme="minorBidi"/>
                <w:color w:val="auto"/>
                <w:szCs w:val="21"/>
                <w:highlight w:val="none"/>
              </w:rPr>
            </w:pPr>
            <w:r>
              <w:rPr>
                <w:rFonts w:hint="eastAsia"/>
                <w:color w:val="auto"/>
                <w:highlight w:val="none"/>
              </w:rPr>
              <w:t>6.00E-02</w:t>
            </w:r>
          </w:p>
        </w:tc>
        <w:tc>
          <w:tcPr>
            <w:tcW w:w="383" w:type="pct"/>
            <w:tcBorders>
              <w:tl2br w:val="nil"/>
              <w:tr2bl w:val="nil"/>
            </w:tcBorders>
            <w:noWrap/>
            <w:vAlign w:val="center"/>
          </w:tcPr>
          <w:p w14:paraId="10CB15AD">
            <w:pPr>
              <w:spacing w:line="360" w:lineRule="exact"/>
              <w:jc w:val="center"/>
              <w:rPr>
                <w:rFonts w:cstheme="minorBidi"/>
                <w:color w:val="auto"/>
                <w:szCs w:val="21"/>
                <w:highlight w:val="none"/>
              </w:rPr>
            </w:pPr>
            <w:r>
              <w:rPr>
                <w:rFonts w:hint="eastAsia"/>
                <w:color w:val="auto"/>
                <w:highlight w:val="none"/>
              </w:rPr>
              <w:t>0.34</w:t>
            </w:r>
          </w:p>
        </w:tc>
        <w:tc>
          <w:tcPr>
            <w:tcW w:w="391" w:type="pct"/>
            <w:tcBorders>
              <w:tl2br w:val="nil"/>
              <w:tr2bl w:val="nil"/>
            </w:tcBorders>
            <w:vAlign w:val="center"/>
          </w:tcPr>
          <w:p w14:paraId="1F3152B0">
            <w:pPr>
              <w:spacing w:line="360" w:lineRule="exact"/>
              <w:jc w:val="center"/>
              <w:rPr>
                <w:rFonts w:cstheme="minorBidi"/>
                <w:color w:val="auto"/>
                <w:szCs w:val="21"/>
                <w:highlight w:val="none"/>
              </w:rPr>
            </w:pPr>
            <w:r>
              <w:rPr>
                <w:rFonts w:hint="eastAsia"/>
                <w:color w:val="auto"/>
                <w:highlight w:val="none"/>
              </w:rPr>
              <w:t>达标</w:t>
            </w:r>
          </w:p>
        </w:tc>
      </w:tr>
      <w:tr w14:paraId="758C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6F3E9CB2">
            <w:pPr>
              <w:spacing w:line="360" w:lineRule="exact"/>
              <w:jc w:val="center"/>
              <w:rPr>
                <w:rFonts w:cstheme="minorBidi"/>
                <w:color w:val="auto"/>
                <w:szCs w:val="21"/>
                <w:highlight w:val="none"/>
              </w:rPr>
            </w:pPr>
            <w:r>
              <w:rPr>
                <w:rFonts w:hint="eastAsia" w:cstheme="minorBidi"/>
                <w:color w:val="auto"/>
                <w:szCs w:val="21"/>
                <w:highlight w:val="none"/>
              </w:rPr>
              <w:t>NO</w:t>
            </w:r>
            <w:r>
              <w:rPr>
                <w:rFonts w:hint="eastAsia" w:cstheme="minorBidi"/>
                <w:color w:val="auto"/>
                <w:szCs w:val="21"/>
                <w:highlight w:val="none"/>
                <w:vertAlign w:val="subscript"/>
              </w:rPr>
              <w:t>2</w:t>
            </w:r>
          </w:p>
        </w:tc>
        <w:tc>
          <w:tcPr>
            <w:tcW w:w="320" w:type="pct"/>
            <w:vMerge w:val="restart"/>
            <w:tcBorders>
              <w:tl2br w:val="nil"/>
              <w:tr2bl w:val="nil"/>
            </w:tcBorders>
            <w:noWrap/>
            <w:vAlign w:val="center"/>
          </w:tcPr>
          <w:p w14:paraId="7FBE1698">
            <w:pPr>
              <w:spacing w:line="360" w:lineRule="exact"/>
              <w:jc w:val="center"/>
              <w:rPr>
                <w:rFonts w:cstheme="minorBidi"/>
                <w:color w:val="auto"/>
                <w:szCs w:val="21"/>
                <w:highlight w:val="none"/>
              </w:rPr>
            </w:pPr>
            <w:r>
              <w:rPr>
                <w:rFonts w:hint="eastAsia" w:cstheme="minorBidi"/>
                <w:color w:val="auto"/>
                <w:szCs w:val="21"/>
                <w:highlight w:val="none"/>
              </w:rPr>
              <w:t>1</w:t>
            </w:r>
          </w:p>
        </w:tc>
        <w:tc>
          <w:tcPr>
            <w:tcW w:w="510" w:type="pct"/>
            <w:vMerge w:val="restart"/>
            <w:tcBorders>
              <w:tl2br w:val="nil"/>
              <w:tr2bl w:val="nil"/>
            </w:tcBorders>
            <w:vAlign w:val="center"/>
          </w:tcPr>
          <w:p w14:paraId="6381B4DB">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23" w:type="pct"/>
            <w:vMerge w:val="restart"/>
            <w:tcBorders>
              <w:tl2br w:val="nil"/>
              <w:tr2bl w:val="nil"/>
            </w:tcBorders>
            <w:noWrap/>
            <w:vAlign w:val="center"/>
          </w:tcPr>
          <w:p w14:paraId="7794D911">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noWrap/>
            <w:vAlign w:val="center"/>
          </w:tcPr>
          <w:p w14:paraId="27418F74">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noWrap/>
            <w:vAlign w:val="center"/>
          </w:tcPr>
          <w:p w14:paraId="22E70CC9">
            <w:pPr>
              <w:spacing w:line="360" w:lineRule="exact"/>
              <w:jc w:val="center"/>
              <w:rPr>
                <w:rFonts w:cstheme="minorBidi"/>
                <w:color w:val="auto"/>
                <w:szCs w:val="21"/>
                <w:highlight w:val="none"/>
              </w:rPr>
            </w:pPr>
            <w:r>
              <w:rPr>
                <w:rFonts w:hint="eastAsia"/>
                <w:color w:val="auto"/>
                <w:highlight w:val="none"/>
              </w:rPr>
              <w:t>9.58E-04</w:t>
            </w:r>
          </w:p>
        </w:tc>
        <w:tc>
          <w:tcPr>
            <w:tcW w:w="679" w:type="pct"/>
            <w:tcBorders>
              <w:tl2br w:val="nil"/>
              <w:tr2bl w:val="nil"/>
            </w:tcBorders>
            <w:noWrap/>
            <w:vAlign w:val="center"/>
          </w:tcPr>
          <w:p w14:paraId="576D1B70">
            <w:pPr>
              <w:spacing w:line="360" w:lineRule="exact"/>
              <w:jc w:val="center"/>
              <w:rPr>
                <w:rFonts w:cstheme="minorBidi"/>
                <w:color w:val="auto"/>
                <w:szCs w:val="21"/>
                <w:highlight w:val="none"/>
              </w:rPr>
            </w:pPr>
            <w:r>
              <w:rPr>
                <w:rFonts w:hint="eastAsia"/>
                <w:color w:val="auto"/>
                <w:highlight w:val="none"/>
              </w:rPr>
              <w:t>24041519</w:t>
            </w:r>
          </w:p>
        </w:tc>
        <w:tc>
          <w:tcPr>
            <w:tcW w:w="531" w:type="pct"/>
            <w:tcBorders>
              <w:tl2br w:val="nil"/>
              <w:tr2bl w:val="nil"/>
            </w:tcBorders>
            <w:noWrap/>
            <w:vAlign w:val="center"/>
          </w:tcPr>
          <w:p w14:paraId="735684C6">
            <w:pPr>
              <w:spacing w:line="360" w:lineRule="exact"/>
              <w:jc w:val="center"/>
              <w:rPr>
                <w:rFonts w:cstheme="minorBidi"/>
                <w:color w:val="auto"/>
                <w:szCs w:val="21"/>
                <w:highlight w:val="none"/>
              </w:rPr>
            </w:pPr>
            <w:r>
              <w:rPr>
                <w:rFonts w:hint="eastAsia"/>
                <w:color w:val="auto"/>
                <w:highlight w:val="none"/>
              </w:rPr>
              <w:t>2.00E-01</w:t>
            </w:r>
          </w:p>
        </w:tc>
        <w:tc>
          <w:tcPr>
            <w:tcW w:w="383" w:type="pct"/>
            <w:tcBorders>
              <w:tl2br w:val="nil"/>
              <w:tr2bl w:val="nil"/>
            </w:tcBorders>
            <w:noWrap/>
            <w:vAlign w:val="center"/>
          </w:tcPr>
          <w:p w14:paraId="3DE22E9F">
            <w:pPr>
              <w:spacing w:line="360" w:lineRule="exact"/>
              <w:jc w:val="center"/>
              <w:rPr>
                <w:rFonts w:cstheme="minorBidi"/>
                <w:color w:val="auto"/>
                <w:szCs w:val="21"/>
                <w:highlight w:val="none"/>
              </w:rPr>
            </w:pPr>
            <w:r>
              <w:rPr>
                <w:rFonts w:hint="eastAsia"/>
                <w:color w:val="auto"/>
                <w:highlight w:val="none"/>
              </w:rPr>
              <w:t>0.48</w:t>
            </w:r>
          </w:p>
        </w:tc>
        <w:tc>
          <w:tcPr>
            <w:tcW w:w="391" w:type="pct"/>
            <w:tcBorders>
              <w:tl2br w:val="nil"/>
              <w:tr2bl w:val="nil"/>
            </w:tcBorders>
            <w:vAlign w:val="center"/>
          </w:tcPr>
          <w:p w14:paraId="78537A8D">
            <w:pPr>
              <w:spacing w:line="360" w:lineRule="exact"/>
              <w:jc w:val="center"/>
              <w:rPr>
                <w:rFonts w:cstheme="minorBidi"/>
                <w:color w:val="auto"/>
                <w:szCs w:val="21"/>
                <w:highlight w:val="none"/>
              </w:rPr>
            </w:pPr>
            <w:r>
              <w:rPr>
                <w:rFonts w:hint="eastAsia"/>
                <w:color w:val="auto"/>
                <w:highlight w:val="none"/>
              </w:rPr>
              <w:t>达标</w:t>
            </w:r>
          </w:p>
        </w:tc>
      </w:tr>
      <w:tr w14:paraId="069A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369CA362">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594362B6">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6F7E495C">
            <w:pPr>
              <w:spacing w:line="360" w:lineRule="exact"/>
              <w:jc w:val="center"/>
              <w:rPr>
                <w:rFonts w:cstheme="minorBidi"/>
                <w:color w:val="auto"/>
                <w:szCs w:val="21"/>
                <w:highlight w:val="none"/>
              </w:rPr>
            </w:pPr>
          </w:p>
        </w:tc>
        <w:tc>
          <w:tcPr>
            <w:tcW w:w="623" w:type="pct"/>
            <w:vMerge w:val="continue"/>
            <w:tcBorders>
              <w:tl2br w:val="nil"/>
              <w:tr2bl w:val="nil"/>
            </w:tcBorders>
            <w:noWrap/>
            <w:vAlign w:val="center"/>
          </w:tcPr>
          <w:p w14:paraId="5CD0EFE8">
            <w:pPr>
              <w:spacing w:line="360" w:lineRule="exact"/>
              <w:jc w:val="center"/>
              <w:rPr>
                <w:rFonts w:cstheme="minorBidi"/>
                <w:color w:val="auto"/>
                <w:szCs w:val="21"/>
                <w:highlight w:val="none"/>
              </w:rPr>
            </w:pPr>
          </w:p>
        </w:tc>
        <w:tc>
          <w:tcPr>
            <w:tcW w:w="630" w:type="pct"/>
            <w:tcBorders>
              <w:tl2br w:val="nil"/>
              <w:tr2bl w:val="nil"/>
            </w:tcBorders>
            <w:noWrap/>
            <w:vAlign w:val="center"/>
          </w:tcPr>
          <w:p w14:paraId="2D516A24">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563" w:type="pct"/>
            <w:tcBorders>
              <w:tl2br w:val="nil"/>
              <w:tr2bl w:val="nil"/>
            </w:tcBorders>
            <w:noWrap/>
            <w:vAlign w:val="center"/>
          </w:tcPr>
          <w:p w14:paraId="43145BB2">
            <w:pPr>
              <w:spacing w:line="360" w:lineRule="exact"/>
              <w:jc w:val="center"/>
              <w:rPr>
                <w:rFonts w:cstheme="minorBidi"/>
                <w:color w:val="auto"/>
                <w:szCs w:val="21"/>
                <w:highlight w:val="none"/>
              </w:rPr>
            </w:pPr>
            <w:r>
              <w:rPr>
                <w:rFonts w:hint="eastAsia"/>
                <w:color w:val="auto"/>
                <w:highlight w:val="none"/>
              </w:rPr>
              <w:t>6.01E-05</w:t>
            </w:r>
          </w:p>
        </w:tc>
        <w:tc>
          <w:tcPr>
            <w:tcW w:w="679" w:type="pct"/>
            <w:tcBorders>
              <w:tl2br w:val="nil"/>
              <w:tr2bl w:val="nil"/>
            </w:tcBorders>
            <w:noWrap/>
            <w:vAlign w:val="center"/>
          </w:tcPr>
          <w:p w14:paraId="324DE227">
            <w:pPr>
              <w:spacing w:line="360" w:lineRule="exact"/>
              <w:jc w:val="center"/>
              <w:rPr>
                <w:rFonts w:cstheme="minorBidi"/>
                <w:color w:val="auto"/>
                <w:szCs w:val="21"/>
                <w:highlight w:val="none"/>
              </w:rPr>
            </w:pPr>
            <w:r>
              <w:rPr>
                <w:rFonts w:hint="eastAsia"/>
                <w:color w:val="auto"/>
                <w:highlight w:val="none"/>
              </w:rPr>
              <w:t>240722</w:t>
            </w:r>
          </w:p>
        </w:tc>
        <w:tc>
          <w:tcPr>
            <w:tcW w:w="531" w:type="pct"/>
            <w:tcBorders>
              <w:tl2br w:val="nil"/>
              <w:tr2bl w:val="nil"/>
            </w:tcBorders>
            <w:noWrap/>
            <w:vAlign w:val="center"/>
          </w:tcPr>
          <w:p w14:paraId="0D15EE44">
            <w:pPr>
              <w:spacing w:line="360" w:lineRule="exact"/>
              <w:jc w:val="center"/>
              <w:rPr>
                <w:rFonts w:cstheme="minorBidi"/>
                <w:color w:val="auto"/>
                <w:szCs w:val="21"/>
                <w:highlight w:val="none"/>
              </w:rPr>
            </w:pPr>
            <w:r>
              <w:rPr>
                <w:rFonts w:hint="eastAsia"/>
                <w:color w:val="auto"/>
                <w:highlight w:val="none"/>
              </w:rPr>
              <w:t>8.00E-02</w:t>
            </w:r>
          </w:p>
        </w:tc>
        <w:tc>
          <w:tcPr>
            <w:tcW w:w="383" w:type="pct"/>
            <w:tcBorders>
              <w:tl2br w:val="nil"/>
              <w:tr2bl w:val="nil"/>
            </w:tcBorders>
            <w:noWrap/>
            <w:vAlign w:val="center"/>
          </w:tcPr>
          <w:p w14:paraId="2858E483">
            <w:pPr>
              <w:spacing w:line="360" w:lineRule="exact"/>
              <w:jc w:val="center"/>
              <w:rPr>
                <w:rFonts w:cstheme="minorBidi"/>
                <w:color w:val="auto"/>
                <w:szCs w:val="21"/>
                <w:highlight w:val="none"/>
              </w:rPr>
            </w:pPr>
            <w:r>
              <w:rPr>
                <w:rFonts w:hint="eastAsia"/>
                <w:color w:val="auto"/>
                <w:highlight w:val="none"/>
              </w:rPr>
              <w:t>0.08</w:t>
            </w:r>
          </w:p>
        </w:tc>
        <w:tc>
          <w:tcPr>
            <w:tcW w:w="391" w:type="pct"/>
            <w:tcBorders>
              <w:tl2br w:val="nil"/>
              <w:tr2bl w:val="nil"/>
            </w:tcBorders>
            <w:vAlign w:val="center"/>
          </w:tcPr>
          <w:p w14:paraId="786A49F1">
            <w:pPr>
              <w:spacing w:line="360" w:lineRule="exact"/>
              <w:jc w:val="center"/>
              <w:rPr>
                <w:rFonts w:cstheme="minorBidi"/>
                <w:color w:val="auto"/>
                <w:szCs w:val="21"/>
                <w:highlight w:val="none"/>
              </w:rPr>
            </w:pPr>
            <w:r>
              <w:rPr>
                <w:rFonts w:hint="eastAsia"/>
                <w:color w:val="auto"/>
                <w:highlight w:val="none"/>
              </w:rPr>
              <w:t>达标</w:t>
            </w:r>
          </w:p>
        </w:tc>
      </w:tr>
      <w:tr w14:paraId="5706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2083197A">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4F407B87">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237D2836">
            <w:pPr>
              <w:spacing w:line="360" w:lineRule="exact"/>
              <w:jc w:val="center"/>
              <w:rPr>
                <w:rFonts w:cstheme="minorBidi"/>
                <w:color w:val="auto"/>
                <w:szCs w:val="21"/>
                <w:highlight w:val="none"/>
              </w:rPr>
            </w:pPr>
          </w:p>
        </w:tc>
        <w:tc>
          <w:tcPr>
            <w:tcW w:w="623" w:type="pct"/>
            <w:vMerge w:val="continue"/>
            <w:tcBorders>
              <w:tl2br w:val="nil"/>
              <w:tr2bl w:val="nil"/>
            </w:tcBorders>
            <w:noWrap/>
            <w:vAlign w:val="center"/>
          </w:tcPr>
          <w:p w14:paraId="3B1C0159">
            <w:pPr>
              <w:spacing w:line="360" w:lineRule="exact"/>
              <w:jc w:val="center"/>
              <w:rPr>
                <w:rFonts w:cstheme="minorBidi"/>
                <w:color w:val="auto"/>
                <w:szCs w:val="21"/>
                <w:highlight w:val="none"/>
              </w:rPr>
            </w:pPr>
          </w:p>
        </w:tc>
        <w:tc>
          <w:tcPr>
            <w:tcW w:w="630" w:type="pct"/>
            <w:tcBorders>
              <w:tl2br w:val="nil"/>
              <w:tr2bl w:val="nil"/>
            </w:tcBorders>
            <w:noWrap/>
            <w:vAlign w:val="center"/>
          </w:tcPr>
          <w:p w14:paraId="2E271230">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563" w:type="pct"/>
            <w:tcBorders>
              <w:tl2br w:val="nil"/>
              <w:tr2bl w:val="nil"/>
            </w:tcBorders>
            <w:noWrap/>
            <w:vAlign w:val="center"/>
          </w:tcPr>
          <w:p w14:paraId="4B3EE1AB">
            <w:pPr>
              <w:spacing w:line="360" w:lineRule="exact"/>
              <w:jc w:val="center"/>
              <w:rPr>
                <w:rFonts w:cstheme="minorBidi"/>
                <w:color w:val="auto"/>
                <w:szCs w:val="21"/>
                <w:highlight w:val="none"/>
              </w:rPr>
            </w:pPr>
            <w:r>
              <w:rPr>
                <w:rFonts w:hint="eastAsia"/>
                <w:color w:val="auto"/>
                <w:highlight w:val="none"/>
              </w:rPr>
              <w:t>2.90E-06</w:t>
            </w:r>
          </w:p>
        </w:tc>
        <w:tc>
          <w:tcPr>
            <w:tcW w:w="679" w:type="pct"/>
            <w:tcBorders>
              <w:tl2br w:val="nil"/>
              <w:tr2bl w:val="nil"/>
            </w:tcBorders>
            <w:noWrap/>
            <w:vAlign w:val="center"/>
          </w:tcPr>
          <w:p w14:paraId="78E1961C">
            <w:pPr>
              <w:spacing w:line="360" w:lineRule="exact"/>
              <w:jc w:val="center"/>
              <w:rPr>
                <w:rFonts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6590D0EE">
            <w:pPr>
              <w:spacing w:line="360" w:lineRule="exact"/>
              <w:jc w:val="center"/>
              <w:rPr>
                <w:rFonts w:cstheme="minorBidi"/>
                <w:color w:val="auto"/>
                <w:szCs w:val="21"/>
                <w:highlight w:val="none"/>
              </w:rPr>
            </w:pPr>
            <w:r>
              <w:rPr>
                <w:rFonts w:hint="eastAsia"/>
                <w:color w:val="auto"/>
                <w:highlight w:val="none"/>
              </w:rPr>
              <w:t>4.00E-02</w:t>
            </w:r>
          </w:p>
        </w:tc>
        <w:tc>
          <w:tcPr>
            <w:tcW w:w="383" w:type="pct"/>
            <w:tcBorders>
              <w:tl2br w:val="nil"/>
              <w:tr2bl w:val="nil"/>
            </w:tcBorders>
            <w:noWrap/>
            <w:vAlign w:val="center"/>
          </w:tcPr>
          <w:p w14:paraId="158374D3">
            <w:pPr>
              <w:spacing w:line="360" w:lineRule="exact"/>
              <w:jc w:val="center"/>
              <w:rPr>
                <w:rFonts w:cstheme="minorBidi"/>
                <w:color w:val="auto"/>
                <w:szCs w:val="21"/>
                <w:highlight w:val="none"/>
              </w:rPr>
            </w:pPr>
            <w:r>
              <w:rPr>
                <w:rFonts w:hint="eastAsia"/>
                <w:color w:val="auto"/>
                <w:highlight w:val="none"/>
              </w:rPr>
              <w:t>0.01</w:t>
            </w:r>
          </w:p>
        </w:tc>
        <w:tc>
          <w:tcPr>
            <w:tcW w:w="391" w:type="pct"/>
            <w:tcBorders>
              <w:tl2br w:val="nil"/>
              <w:tr2bl w:val="nil"/>
            </w:tcBorders>
            <w:vAlign w:val="center"/>
          </w:tcPr>
          <w:p w14:paraId="7CB550A2">
            <w:pPr>
              <w:spacing w:line="360" w:lineRule="exact"/>
              <w:jc w:val="center"/>
              <w:rPr>
                <w:rFonts w:cstheme="minorBidi"/>
                <w:color w:val="auto"/>
                <w:szCs w:val="21"/>
                <w:highlight w:val="none"/>
              </w:rPr>
            </w:pPr>
            <w:r>
              <w:rPr>
                <w:rFonts w:hint="eastAsia"/>
                <w:color w:val="auto"/>
                <w:highlight w:val="none"/>
              </w:rPr>
              <w:t>达标</w:t>
            </w:r>
          </w:p>
        </w:tc>
      </w:tr>
      <w:tr w14:paraId="2C6A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blHeader/>
        </w:trPr>
        <w:tc>
          <w:tcPr>
            <w:tcW w:w="364" w:type="pct"/>
            <w:vMerge w:val="continue"/>
            <w:tcBorders>
              <w:tl2br w:val="nil"/>
              <w:tr2bl w:val="nil"/>
            </w:tcBorders>
            <w:noWrap/>
            <w:vAlign w:val="center"/>
          </w:tcPr>
          <w:p w14:paraId="522B5DB3">
            <w:pPr>
              <w:spacing w:line="360" w:lineRule="exact"/>
              <w:jc w:val="center"/>
              <w:rPr>
                <w:rFonts w:cstheme="minorBidi"/>
                <w:color w:val="auto"/>
                <w:szCs w:val="21"/>
                <w:highlight w:val="none"/>
              </w:rPr>
            </w:pPr>
          </w:p>
        </w:tc>
        <w:tc>
          <w:tcPr>
            <w:tcW w:w="320" w:type="pct"/>
            <w:vMerge w:val="restart"/>
            <w:tcBorders>
              <w:tl2br w:val="nil"/>
              <w:tr2bl w:val="nil"/>
            </w:tcBorders>
            <w:noWrap/>
            <w:vAlign w:val="center"/>
          </w:tcPr>
          <w:p w14:paraId="21DB50A1">
            <w:pPr>
              <w:spacing w:line="360" w:lineRule="exact"/>
              <w:jc w:val="center"/>
              <w:rPr>
                <w:rFonts w:cstheme="minorBidi"/>
                <w:color w:val="auto"/>
                <w:szCs w:val="21"/>
                <w:highlight w:val="none"/>
              </w:rPr>
            </w:pPr>
            <w:r>
              <w:rPr>
                <w:rFonts w:hint="eastAsia" w:cstheme="minorBidi"/>
                <w:color w:val="auto"/>
                <w:szCs w:val="21"/>
                <w:highlight w:val="none"/>
              </w:rPr>
              <w:t>2</w:t>
            </w:r>
          </w:p>
        </w:tc>
        <w:tc>
          <w:tcPr>
            <w:tcW w:w="510" w:type="pct"/>
            <w:vMerge w:val="restart"/>
            <w:tcBorders>
              <w:tl2br w:val="nil"/>
              <w:tr2bl w:val="nil"/>
            </w:tcBorders>
            <w:vAlign w:val="center"/>
          </w:tcPr>
          <w:p w14:paraId="1E3B3550">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1745" w:type="dxa"/>
            <w:tcBorders>
              <w:tl2br w:val="nil"/>
              <w:tr2bl w:val="nil"/>
            </w:tcBorders>
            <w:noWrap/>
            <w:vAlign w:val="center"/>
          </w:tcPr>
          <w:p w14:paraId="5F33DF6B">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87，-5</w:t>
            </w:r>
            <w:r>
              <w:rPr>
                <w:rFonts w:hint="eastAsia" w:cstheme="minorBidi"/>
                <w:color w:val="auto"/>
                <w:szCs w:val="21"/>
                <w:highlight w:val="none"/>
                <w:lang w:eastAsia="zh-CN"/>
              </w:rPr>
              <w:t>）</w:t>
            </w:r>
          </w:p>
        </w:tc>
        <w:tc>
          <w:tcPr>
            <w:tcW w:w="630" w:type="pct"/>
            <w:tcBorders>
              <w:tl2br w:val="nil"/>
              <w:tr2bl w:val="nil"/>
            </w:tcBorders>
            <w:noWrap/>
            <w:vAlign w:val="center"/>
          </w:tcPr>
          <w:p w14:paraId="029CFE8F">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noWrap/>
            <w:vAlign w:val="center"/>
          </w:tcPr>
          <w:p w14:paraId="0F2DB8BB">
            <w:pPr>
              <w:spacing w:line="360" w:lineRule="exact"/>
              <w:jc w:val="center"/>
              <w:rPr>
                <w:rFonts w:cstheme="minorBidi"/>
                <w:color w:val="auto"/>
                <w:szCs w:val="21"/>
                <w:highlight w:val="none"/>
              </w:rPr>
            </w:pPr>
            <w:r>
              <w:rPr>
                <w:rFonts w:hint="eastAsia"/>
                <w:color w:val="auto"/>
                <w:highlight w:val="none"/>
              </w:rPr>
              <w:t>1.27E-02</w:t>
            </w:r>
          </w:p>
        </w:tc>
        <w:tc>
          <w:tcPr>
            <w:tcW w:w="679" w:type="pct"/>
            <w:tcBorders>
              <w:tl2br w:val="nil"/>
              <w:tr2bl w:val="nil"/>
            </w:tcBorders>
            <w:noWrap/>
            <w:vAlign w:val="center"/>
          </w:tcPr>
          <w:p w14:paraId="445E75BD">
            <w:pPr>
              <w:spacing w:line="360" w:lineRule="exact"/>
              <w:jc w:val="center"/>
              <w:rPr>
                <w:rFonts w:cstheme="minorBidi"/>
                <w:color w:val="auto"/>
                <w:szCs w:val="21"/>
                <w:highlight w:val="none"/>
              </w:rPr>
            </w:pPr>
            <w:r>
              <w:rPr>
                <w:rFonts w:hint="eastAsia"/>
                <w:color w:val="auto"/>
                <w:highlight w:val="none"/>
              </w:rPr>
              <w:t>24092513</w:t>
            </w:r>
          </w:p>
        </w:tc>
        <w:tc>
          <w:tcPr>
            <w:tcW w:w="531" w:type="pct"/>
            <w:tcBorders>
              <w:tl2br w:val="nil"/>
              <w:tr2bl w:val="nil"/>
            </w:tcBorders>
            <w:noWrap/>
            <w:vAlign w:val="center"/>
          </w:tcPr>
          <w:p w14:paraId="749B4184">
            <w:pPr>
              <w:spacing w:line="360" w:lineRule="exact"/>
              <w:jc w:val="center"/>
              <w:rPr>
                <w:rFonts w:cstheme="minorBidi"/>
                <w:color w:val="auto"/>
                <w:szCs w:val="21"/>
                <w:highlight w:val="none"/>
              </w:rPr>
            </w:pPr>
            <w:r>
              <w:rPr>
                <w:rFonts w:hint="eastAsia"/>
                <w:color w:val="auto"/>
                <w:highlight w:val="none"/>
              </w:rPr>
              <w:t>2.00E-01</w:t>
            </w:r>
          </w:p>
        </w:tc>
        <w:tc>
          <w:tcPr>
            <w:tcW w:w="383" w:type="pct"/>
            <w:tcBorders>
              <w:tl2br w:val="nil"/>
              <w:tr2bl w:val="nil"/>
            </w:tcBorders>
            <w:noWrap/>
            <w:vAlign w:val="center"/>
          </w:tcPr>
          <w:p w14:paraId="7AED51B0">
            <w:pPr>
              <w:spacing w:line="360" w:lineRule="exact"/>
              <w:jc w:val="center"/>
              <w:rPr>
                <w:rFonts w:cstheme="minorBidi"/>
                <w:color w:val="auto"/>
                <w:szCs w:val="21"/>
                <w:highlight w:val="none"/>
              </w:rPr>
            </w:pPr>
            <w:r>
              <w:rPr>
                <w:rFonts w:hint="eastAsia"/>
                <w:color w:val="auto"/>
                <w:highlight w:val="none"/>
              </w:rPr>
              <w:t>6.35</w:t>
            </w:r>
          </w:p>
        </w:tc>
        <w:tc>
          <w:tcPr>
            <w:tcW w:w="391" w:type="pct"/>
            <w:tcBorders>
              <w:tl2br w:val="nil"/>
              <w:tr2bl w:val="nil"/>
            </w:tcBorders>
            <w:vAlign w:val="center"/>
          </w:tcPr>
          <w:p w14:paraId="2743D08A">
            <w:pPr>
              <w:spacing w:line="360" w:lineRule="exact"/>
              <w:jc w:val="center"/>
              <w:rPr>
                <w:rFonts w:cstheme="minorBidi"/>
                <w:color w:val="auto"/>
                <w:szCs w:val="21"/>
                <w:highlight w:val="none"/>
              </w:rPr>
            </w:pPr>
            <w:r>
              <w:rPr>
                <w:rFonts w:hint="eastAsia"/>
                <w:color w:val="auto"/>
                <w:highlight w:val="none"/>
              </w:rPr>
              <w:t>达标</w:t>
            </w:r>
          </w:p>
        </w:tc>
      </w:tr>
      <w:tr w14:paraId="108A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blHeader/>
        </w:trPr>
        <w:tc>
          <w:tcPr>
            <w:tcW w:w="364" w:type="pct"/>
            <w:vMerge w:val="continue"/>
            <w:tcBorders>
              <w:tl2br w:val="nil"/>
              <w:tr2bl w:val="nil"/>
            </w:tcBorders>
            <w:noWrap/>
            <w:vAlign w:val="center"/>
          </w:tcPr>
          <w:p w14:paraId="62578DEF">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2C389484">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7535BD9F">
            <w:pPr>
              <w:spacing w:line="360" w:lineRule="exact"/>
              <w:jc w:val="center"/>
              <w:rPr>
                <w:rFonts w:cstheme="minorBidi"/>
                <w:color w:val="auto"/>
                <w:szCs w:val="21"/>
                <w:highlight w:val="none"/>
              </w:rPr>
            </w:pPr>
          </w:p>
        </w:tc>
        <w:tc>
          <w:tcPr>
            <w:tcW w:w="1745" w:type="dxa"/>
            <w:tcBorders>
              <w:tl2br w:val="nil"/>
              <w:tr2bl w:val="nil"/>
            </w:tcBorders>
            <w:noWrap/>
            <w:vAlign w:val="center"/>
          </w:tcPr>
          <w:p w14:paraId="7B36F240">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187，195</w:t>
            </w:r>
            <w:r>
              <w:rPr>
                <w:rFonts w:hint="eastAsia" w:cstheme="minorBidi"/>
                <w:color w:val="auto"/>
                <w:szCs w:val="21"/>
                <w:highlight w:val="none"/>
                <w:lang w:eastAsia="zh-CN"/>
              </w:rPr>
              <w:t>）</w:t>
            </w:r>
          </w:p>
        </w:tc>
        <w:tc>
          <w:tcPr>
            <w:tcW w:w="630" w:type="pct"/>
            <w:tcBorders>
              <w:tl2br w:val="nil"/>
              <w:tr2bl w:val="nil"/>
            </w:tcBorders>
            <w:noWrap/>
            <w:vAlign w:val="center"/>
          </w:tcPr>
          <w:p w14:paraId="3D578B45">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563" w:type="pct"/>
            <w:tcBorders>
              <w:tl2br w:val="nil"/>
              <w:tr2bl w:val="nil"/>
            </w:tcBorders>
            <w:noWrap/>
            <w:vAlign w:val="center"/>
          </w:tcPr>
          <w:p w14:paraId="056E49B7">
            <w:pPr>
              <w:spacing w:line="360" w:lineRule="exact"/>
              <w:jc w:val="center"/>
              <w:rPr>
                <w:rFonts w:cstheme="minorBidi"/>
                <w:color w:val="auto"/>
                <w:szCs w:val="21"/>
                <w:highlight w:val="none"/>
              </w:rPr>
            </w:pPr>
            <w:r>
              <w:rPr>
                <w:rFonts w:hint="eastAsia"/>
                <w:color w:val="auto"/>
                <w:highlight w:val="none"/>
              </w:rPr>
              <w:t>1.07E-03</w:t>
            </w:r>
          </w:p>
        </w:tc>
        <w:tc>
          <w:tcPr>
            <w:tcW w:w="679" w:type="pct"/>
            <w:tcBorders>
              <w:tl2br w:val="nil"/>
              <w:tr2bl w:val="nil"/>
            </w:tcBorders>
            <w:noWrap/>
            <w:vAlign w:val="center"/>
          </w:tcPr>
          <w:p w14:paraId="76A05129">
            <w:pPr>
              <w:spacing w:line="360" w:lineRule="exact"/>
              <w:jc w:val="center"/>
              <w:rPr>
                <w:rFonts w:cstheme="minorBidi"/>
                <w:color w:val="auto"/>
                <w:szCs w:val="21"/>
                <w:highlight w:val="none"/>
              </w:rPr>
            </w:pPr>
            <w:r>
              <w:rPr>
                <w:rFonts w:hint="eastAsia"/>
                <w:color w:val="auto"/>
                <w:highlight w:val="none"/>
              </w:rPr>
              <w:t>240619</w:t>
            </w:r>
          </w:p>
        </w:tc>
        <w:tc>
          <w:tcPr>
            <w:tcW w:w="531" w:type="pct"/>
            <w:tcBorders>
              <w:tl2br w:val="nil"/>
              <w:tr2bl w:val="nil"/>
            </w:tcBorders>
            <w:noWrap/>
            <w:vAlign w:val="center"/>
          </w:tcPr>
          <w:p w14:paraId="39D6B02C">
            <w:pPr>
              <w:spacing w:line="360" w:lineRule="exact"/>
              <w:jc w:val="center"/>
              <w:rPr>
                <w:rFonts w:cstheme="minorBidi"/>
                <w:color w:val="auto"/>
                <w:szCs w:val="21"/>
                <w:highlight w:val="none"/>
              </w:rPr>
            </w:pPr>
            <w:r>
              <w:rPr>
                <w:rFonts w:hint="eastAsia"/>
                <w:color w:val="auto"/>
                <w:highlight w:val="none"/>
              </w:rPr>
              <w:t>8.00E-02</w:t>
            </w:r>
          </w:p>
        </w:tc>
        <w:tc>
          <w:tcPr>
            <w:tcW w:w="383" w:type="pct"/>
            <w:tcBorders>
              <w:tl2br w:val="nil"/>
              <w:tr2bl w:val="nil"/>
            </w:tcBorders>
            <w:noWrap/>
            <w:vAlign w:val="center"/>
          </w:tcPr>
          <w:p w14:paraId="18CD39EE">
            <w:pPr>
              <w:spacing w:line="360" w:lineRule="exact"/>
              <w:jc w:val="center"/>
              <w:rPr>
                <w:rFonts w:cstheme="minorBidi"/>
                <w:color w:val="auto"/>
                <w:szCs w:val="21"/>
                <w:highlight w:val="none"/>
              </w:rPr>
            </w:pPr>
            <w:r>
              <w:rPr>
                <w:rFonts w:hint="eastAsia"/>
                <w:color w:val="auto"/>
                <w:highlight w:val="none"/>
              </w:rPr>
              <w:t>1.34</w:t>
            </w:r>
          </w:p>
        </w:tc>
        <w:tc>
          <w:tcPr>
            <w:tcW w:w="391" w:type="pct"/>
            <w:tcBorders>
              <w:tl2br w:val="nil"/>
              <w:tr2bl w:val="nil"/>
            </w:tcBorders>
            <w:vAlign w:val="center"/>
          </w:tcPr>
          <w:p w14:paraId="040527B8">
            <w:pPr>
              <w:spacing w:line="360" w:lineRule="exact"/>
              <w:jc w:val="center"/>
              <w:rPr>
                <w:rFonts w:cstheme="minorBidi"/>
                <w:color w:val="auto"/>
                <w:szCs w:val="21"/>
                <w:highlight w:val="none"/>
              </w:rPr>
            </w:pPr>
            <w:r>
              <w:rPr>
                <w:rFonts w:hint="eastAsia"/>
                <w:color w:val="auto"/>
                <w:highlight w:val="none"/>
              </w:rPr>
              <w:t>达标</w:t>
            </w:r>
          </w:p>
        </w:tc>
      </w:tr>
      <w:tr w14:paraId="5B47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38BAAA56">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5FC1E4FF">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3B5203D1">
            <w:pPr>
              <w:spacing w:line="360" w:lineRule="exact"/>
              <w:jc w:val="center"/>
              <w:rPr>
                <w:rFonts w:cstheme="minorBidi"/>
                <w:color w:val="auto"/>
                <w:szCs w:val="21"/>
                <w:highlight w:val="none"/>
              </w:rPr>
            </w:pPr>
          </w:p>
        </w:tc>
        <w:tc>
          <w:tcPr>
            <w:tcW w:w="1745" w:type="dxa"/>
            <w:tcBorders>
              <w:tl2br w:val="nil"/>
              <w:tr2bl w:val="nil"/>
            </w:tcBorders>
            <w:noWrap/>
            <w:vAlign w:val="center"/>
          </w:tcPr>
          <w:p w14:paraId="484F7D59">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187，-105</w:t>
            </w:r>
            <w:r>
              <w:rPr>
                <w:rFonts w:hint="eastAsia" w:cstheme="minorBidi"/>
                <w:color w:val="auto"/>
                <w:szCs w:val="21"/>
                <w:highlight w:val="none"/>
                <w:lang w:eastAsia="zh-CN"/>
              </w:rPr>
              <w:t>）</w:t>
            </w:r>
          </w:p>
        </w:tc>
        <w:tc>
          <w:tcPr>
            <w:tcW w:w="630" w:type="pct"/>
            <w:tcBorders>
              <w:tl2br w:val="nil"/>
              <w:tr2bl w:val="nil"/>
            </w:tcBorders>
            <w:noWrap/>
            <w:vAlign w:val="center"/>
          </w:tcPr>
          <w:p w14:paraId="6DA0CC4E">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563" w:type="pct"/>
            <w:tcBorders>
              <w:tl2br w:val="nil"/>
              <w:tr2bl w:val="nil"/>
            </w:tcBorders>
            <w:noWrap/>
            <w:vAlign w:val="center"/>
          </w:tcPr>
          <w:p w14:paraId="26566B3A">
            <w:pPr>
              <w:spacing w:line="360" w:lineRule="exact"/>
              <w:jc w:val="center"/>
              <w:rPr>
                <w:rFonts w:cstheme="minorBidi"/>
                <w:color w:val="auto"/>
                <w:szCs w:val="21"/>
                <w:highlight w:val="none"/>
              </w:rPr>
            </w:pPr>
            <w:r>
              <w:rPr>
                <w:rFonts w:hint="eastAsia"/>
                <w:color w:val="auto"/>
                <w:highlight w:val="none"/>
              </w:rPr>
              <w:t>2.53E-04</w:t>
            </w:r>
          </w:p>
        </w:tc>
        <w:tc>
          <w:tcPr>
            <w:tcW w:w="679" w:type="pct"/>
            <w:tcBorders>
              <w:tl2br w:val="nil"/>
              <w:tr2bl w:val="nil"/>
            </w:tcBorders>
            <w:noWrap/>
            <w:vAlign w:val="center"/>
          </w:tcPr>
          <w:p w14:paraId="190314D2">
            <w:pPr>
              <w:spacing w:line="360" w:lineRule="exact"/>
              <w:jc w:val="center"/>
              <w:rPr>
                <w:rFonts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2A3BF6EA">
            <w:pPr>
              <w:spacing w:line="360" w:lineRule="exact"/>
              <w:jc w:val="center"/>
              <w:rPr>
                <w:rFonts w:cstheme="minorBidi"/>
                <w:color w:val="auto"/>
                <w:szCs w:val="21"/>
                <w:highlight w:val="none"/>
              </w:rPr>
            </w:pPr>
            <w:r>
              <w:rPr>
                <w:rFonts w:hint="eastAsia"/>
                <w:color w:val="auto"/>
                <w:highlight w:val="none"/>
              </w:rPr>
              <w:t>4.00E-02</w:t>
            </w:r>
          </w:p>
        </w:tc>
        <w:tc>
          <w:tcPr>
            <w:tcW w:w="383" w:type="pct"/>
            <w:tcBorders>
              <w:tl2br w:val="nil"/>
              <w:tr2bl w:val="nil"/>
            </w:tcBorders>
            <w:noWrap/>
            <w:vAlign w:val="center"/>
          </w:tcPr>
          <w:p w14:paraId="5D6D7802">
            <w:pPr>
              <w:spacing w:line="360" w:lineRule="exact"/>
              <w:jc w:val="center"/>
              <w:rPr>
                <w:rFonts w:cstheme="minorBidi"/>
                <w:color w:val="auto"/>
                <w:szCs w:val="21"/>
                <w:highlight w:val="none"/>
              </w:rPr>
            </w:pPr>
            <w:r>
              <w:rPr>
                <w:rFonts w:hint="eastAsia"/>
                <w:color w:val="auto"/>
                <w:highlight w:val="none"/>
              </w:rPr>
              <w:t>0.63</w:t>
            </w:r>
          </w:p>
        </w:tc>
        <w:tc>
          <w:tcPr>
            <w:tcW w:w="391" w:type="pct"/>
            <w:tcBorders>
              <w:tl2br w:val="nil"/>
              <w:tr2bl w:val="nil"/>
            </w:tcBorders>
            <w:vAlign w:val="center"/>
          </w:tcPr>
          <w:p w14:paraId="4B93EFE7">
            <w:pPr>
              <w:spacing w:line="360" w:lineRule="exact"/>
              <w:jc w:val="center"/>
              <w:rPr>
                <w:rFonts w:cstheme="minorBidi"/>
                <w:color w:val="auto"/>
                <w:szCs w:val="21"/>
                <w:highlight w:val="none"/>
              </w:rPr>
            </w:pPr>
            <w:r>
              <w:rPr>
                <w:rFonts w:hint="eastAsia"/>
                <w:color w:val="auto"/>
                <w:highlight w:val="none"/>
              </w:rPr>
              <w:t>达标</w:t>
            </w:r>
          </w:p>
        </w:tc>
      </w:tr>
      <w:tr w14:paraId="05AB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1491CF5E">
            <w:pPr>
              <w:spacing w:line="360" w:lineRule="exact"/>
              <w:jc w:val="center"/>
              <w:rPr>
                <w:rFonts w:cstheme="minorBidi"/>
                <w:color w:val="auto"/>
                <w:szCs w:val="21"/>
                <w:highlight w:val="none"/>
              </w:rPr>
            </w:pPr>
            <w:r>
              <w:rPr>
                <w:rFonts w:hint="eastAsia" w:cstheme="minorBidi"/>
                <w:color w:val="auto"/>
                <w:szCs w:val="21"/>
                <w:highlight w:val="none"/>
              </w:rPr>
              <w:t>PM</w:t>
            </w:r>
            <w:r>
              <w:rPr>
                <w:rFonts w:hint="eastAsia" w:cstheme="minorBidi"/>
                <w:color w:val="auto"/>
                <w:szCs w:val="21"/>
                <w:highlight w:val="none"/>
                <w:vertAlign w:val="subscript"/>
              </w:rPr>
              <w:t>10</w:t>
            </w:r>
          </w:p>
        </w:tc>
        <w:tc>
          <w:tcPr>
            <w:tcW w:w="320" w:type="pct"/>
            <w:vMerge w:val="restart"/>
            <w:tcBorders>
              <w:tl2br w:val="nil"/>
              <w:tr2bl w:val="nil"/>
            </w:tcBorders>
            <w:noWrap/>
            <w:vAlign w:val="center"/>
          </w:tcPr>
          <w:p w14:paraId="45260378">
            <w:pPr>
              <w:spacing w:line="360" w:lineRule="exact"/>
              <w:jc w:val="center"/>
              <w:rPr>
                <w:rFonts w:cstheme="minorBidi"/>
                <w:color w:val="auto"/>
                <w:szCs w:val="21"/>
                <w:highlight w:val="none"/>
              </w:rPr>
            </w:pPr>
            <w:r>
              <w:rPr>
                <w:rFonts w:hint="eastAsia" w:cstheme="minorBidi"/>
                <w:color w:val="auto"/>
                <w:szCs w:val="21"/>
                <w:highlight w:val="none"/>
              </w:rPr>
              <w:t>1</w:t>
            </w:r>
          </w:p>
        </w:tc>
        <w:tc>
          <w:tcPr>
            <w:tcW w:w="510" w:type="pct"/>
            <w:vMerge w:val="restart"/>
            <w:tcBorders>
              <w:tl2br w:val="nil"/>
              <w:tr2bl w:val="nil"/>
            </w:tcBorders>
            <w:vAlign w:val="center"/>
          </w:tcPr>
          <w:p w14:paraId="237C4950">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23" w:type="pct"/>
            <w:vMerge w:val="restart"/>
            <w:tcBorders>
              <w:tl2br w:val="nil"/>
              <w:tr2bl w:val="nil"/>
            </w:tcBorders>
            <w:noWrap/>
            <w:vAlign w:val="center"/>
          </w:tcPr>
          <w:p w14:paraId="0D50A88E">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noWrap/>
            <w:vAlign w:val="center"/>
          </w:tcPr>
          <w:p w14:paraId="1ABAEEB7">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563" w:type="pct"/>
            <w:tcBorders>
              <w:tl2br w:val="nil"/>
              <w:tr2bl w:val="nil"/>
            </w:tcBorders>
            <w:noWrap/>
            <w:vAlign w:val="center"/>
          </w:tcPr>
          <w:p w14:paraId="7CB5B574">
            <w:pPr>
              <w:spacing w:line="360" w:lineRule="exact"/>
              <w:jc w:val="center"/>
              <w:rPr>
                <w:rFonts w:cstheme="minorBidi"/>
                <w:color w:val="auto"/>
                <w:szCs w:val="21"/>
                <w:highlight w:val="none"/>
              </w:rPr>
            </w:pPr>
            <w:r>
              <w:rPr>
                <w:rFonts w:hint="eastAsia"/>
                <w:color w:val="auto"/>
                <w:highlight w:val="none"/>
              </w:rPr>
              <w:t>1.00E-04</w:t>
            </w:r>
          </w:p>
        </w:tc>
        <w:tc>
          <w:tcPr>
            <w:tcW w:w="679" w:type="pct"/>
            <w:tcBorders>
              <w:tl2br w:val="nil"/>
              <w:tr2bl w:val="nil"/>
            </w:tcBorders>
            <w:noWrap/>
            <w:vAlign w:val="center"/>
          </w:tcPr>
          <w:p w14:paraId="4DDD1F6A">
            <w:pPr>
              <w:spacing w:line="360" w:lineRule="exact"/>
              <w:jc w:val="center"/>
              <w:rPr>
                <w:rFonts w:cstheme="minorBidi"/>
                <w:color w:val="auto"/>
                <w:szCs w:val="21"/>
                <w:highlight w:val="none"/>
              </w:rPr>
            </w:pPr>
            <w:r>
              <w:rPr>
                <w:rFonts w:hint="eastAsia"/>
                <w:color w:val="auto"/>
                <w:highlight w:val="none"/>
              </w:rPr>
              <w:t>240722</w:t>
            </w:r>
          </w:p>
        </w:tc>
        <w:tc>
          <w:tcPr>
            <w:tcW w:w="531" w:type="pct"/>
            <w:tcBorders>
              <w:tl2br w:val="nil"/>
              <w:tr2bl w:val="nil"/>
            </w:tcBorders>
            <w:noWrap/>
            <w:vAlign w:val="center"/>
          </w:tcPr>
          <w:p w14:paraId="004813D2">
            <w:pPr>
              <w:spacing w:line="360" w:lineRule="exact"/>
              <w:jc w:val="center"/>
              <w:rPr>
                <w:rFonts w:cstheme="minorBidi"/>
                <w:color w:val="auto"/>
                <w:szCs w:val="21"/>
                <w:highlight w:val="none"/>
              </w:rPr>
            </w:pPr>
            <w:r>
              <w:rPr>
                <w:rFonts w:hint="eastAsia"/>
                <w:color w:val="auto"/>
                <w:highlight w:val="none"/>
              </w:rPr>
              <w:t>1.20E-01</w:t>
            </w:r>
          </w:p>
        </w:tc>
        <w:tc>
          <w:tcPr>
            <w:tcW w:w="383" w:type="pct"/>
            <w:tcBorders>
              <w:tl2br w:val="nil"/>
              <w:tr2bl w:val="nil"/>
            </w:tcBorders>
            <w:noWrap/>
            <w:vAlign w:val="center"/>
          </w:tcPr>
          <w:p w14:paraId="3E726056">
            <w:pPr>
              <w:spacing w:line="360" w:lineRule="exact"/>
              <w:jc w:val="center"/>
              <w:rPr>
                <w:rFonts w:cstheme="minorBidi"/>
                <w:color w:val="auto"/>
                <w:szCs w:val="21"/>
                <w:highlight w:val="none"/>
              </w:rPr>
            </w:pPr>
            <w:r>
              <w:rPr>
                <w:rFonts w:hint="eastAsia"/>
                <w:color w:val="auto"/>
                <w:highlight w:val="none"/>
              </w:rPr>
              <w:t>0.08</w:t>
            </w:r>
          </w:p>
        </w:tc>
        <w:tc>
          <w:tcPr>
            <w:tcW w:w="391" w:type="pct"/>
            <w:tcBorders>
              <w:tl2br w:val="nil"/>
              <w:tr2bl w:val="nil"/>
            </w:tcBorders>
            <w:vAlign w:val="center"/>
          </w:tcPr>
          <w:p w14:paraId="1D81788C">
            <w:pPr>
              <w:spacing w:line="360" w:lineRule="exact"/>
              <w:jc w:val="center"/>
              <w:rPr>
                <w:rFonts w:cstheme="minorBidi"/>
                <w:color w:val="auto"/>
                <w:szCs w:val="21"/>
                <w:highlight w:val="none"/>
              </w:rPr>
            </w:pPr>
            <w:r>
              <w:rPr>
                <w:rFonts w:hint="eastAsia"/>
                <w:color w:val="auto"/>
                <w:highlight w:val="none"/>
              </w:rPr>
              <w:t>达标</w:t>
            </w:r>
          </w:p>
        </w:tc>
      </w:tr>
      <w:tr w14:paraId="0500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6BA16254">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1EFA85F8">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4131C7AE">
            <w:pPr>
              <w:spacing w:line="360" w:lineRule="exact"/>
              <w:jc w:val="center"/>
              <w:rPr>
                <w:rFonts w:cstheme="minorBidi"/>
                <w:color w:val="auto"/>
                <w:szCs w:val="21"/>
                <w:highlight w:val="none"/>
              </w:rPr>
            </w:pPr>
          </w:p>
        </w:tc>
        <w:tc>
          <w:tcPr>
            <w:tcW w:w="623" w:type="pct"/>
            <w:vMerge w:val="continue"/>
            <w:tcBorders>
              <w:tl2br w:val="nil"/>
              <w:tr2bl w:val="nil"/>
            </w:tcBorders>
            <w:noWrap/>
            <w:vAlign w:val="center"/>
          </w:tcPr>
          <w:p w14:paraId="1BB6B76D">
            <w:pPr>
              <w:spacing w:line="360" w:lineRule="exact"/>
              <w:jc w:val="center"/>
              <w:rPr>
                <w:rFonts w:cstheme="minorBidi"/>
                <w:color w:val="auto"/>
                <w:szCs w:val="21"/>
                <w:highlight w:val="none"/>
              </w:rPr>
            </w:pPr>
          </w:p>
        </w:tc>
        <w:tc>
          <w:tcPr>
            <w:tcW w:w="630" w:type="pct"/>
            <w:tcBorders>
              <w:tl2br w:val="nil"/>
              <w:tr2bl w:val="nil"/>
            </w:tcBorders>
            <w:noWrap/>
            <w:vAlign w:val="center"/>
          </w:tcPr>
          <w:p w14:paraId="6B22ABB8">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563" w:type="pct"/>
            <w:tcBorders>
              <w:tl2br w:val="nil"/>
              <w:tr2bl w:val="nil"/>
            </w:tcBorders>
            <w:noWrap/>
            <w:vAlign w:val="center"/>
          </w:tcPr>
          <w:p w14:paraId="15B8D5E9">
            <w:pPr>
              <w:spacing w:line="360" w:lineRule="exact"/>
              <w:jc w:val="center"/>
              <w:rPr>
                <w:rFonts w:cstheme="minorBidi"/>
                <w:color w:val="auto"/>
                <w:szCs w:val="21"/>
                <w:highlight w:val="none"/>
              </w:rPr>
            </w:pPr>
            <w:r>
              <w:rPr>
                <w:rFonts w:hint="eastAsia"/>
                <w:color w:val="auto"/>
                <w:highlight w:val="none"/>
              </w:rPr>
              <w:t>7.15E-06</w:t>
            </w:r>
          </w:p>
        </w:tc>
        <w:tc>
          <w:tcPr>
            <w:tcW w:w="679" w:type="pct"/>
            <w:tcBorders>
              <w:tl2br w:val="nil"/>
              <w:tr2bl w:val="nil"/>
            </w:tcBorders>
            <w:noWrap/>
            <w:vAlign w:val="center"/>
          </w:tcPr>
          <w:p w14:paraId="6EF449BA">
            <w:pPr>
              <w:spacing w:line="360" w:lineRule="exact"/>
              <w:jc w:val="center"/>
              <w:rPr>
                <w:rFonts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6E365023">
            <w:pPr>
              <w:spacing w:line="360" w:lineRule="exact"/>
              <w:jc w:val="center"/>
              <w:rPr>
                <w:rFonts w:cstheme="minorBidi"/>
                <w:color w:val="auto"/>
                <w:szCs w:val="21"/>
                <w:highlight w:val="none"/>
              </w:rPr>
            </w:pPr>
            <w:r>
              <w:rPr>
                <w:rFonts w:hint="eastAsia"/>
                <w:color w:val="auto"/>
                <w:highlight w:val="none"/>
              </w:rPr>
              <w:t>6.00E-02</w:t>
            </w:r>
          </w:p>
        </w:tc>
        <w:tc>
          <w:tcPr>
            <w:tcW w:w="383" w:type="pct"/>
            <w:tcBorders>
              <w:tl2br w:val="nil"/>
              <w:tr2bl w:val="nil"/>
            </w:tcBorders>
            <w:noWrap/>
            <w:vAlign w:val="center"/>
          </w:tcPr>
          <w:p w14:paraId="0E486203">
            <w:pPr>
              <w:spacing w:line="360" w:lineRule="exact"/>
              <w:jc w:val="center"/>
              <w:rPr>
                <w:rFonts w:cstheme="minorBidi"/>
                <w:color w:val="auto"/>
                <w:szCs w:val="21"/>
                <w:highlight w:val="none"/>
              </w:rPr>
            </w:pPr>
            <w:r>
              <w:rPr>
                <w:rFonts w:hint="eastAsia"/>
                <w:color w:val="auto"/>
                <w:highlight w:val="none"/>
              </w:rPr>
              <w:t>0.01</w:t>
            </w:r>
          </w:p>
        </w:tc>
        <w:tc>
          <w:tcPr>
            <w:tcW w:w="391" w:type="pct"/>
            <w:tcBorders>
              <w:tl2br w:val="nil"/>
              <w:tr2bl w:val="nil"/>
            </w:tcBorders>
            <w:vAlign w:val="center"/>
          </w:tcPr>
          <w:p w14:paraId="7B4B6985">
            <w:pPr>
              <w:spacing w:line="360" w:lineRule="exact"/>
              <w:jc w:val="center"/>
              <w:rPr>
                <w:rFonts w:cstheme="minorBidi"/>
                <w:color w:val="auto"/>
                <w:szCs w:val="21"/>
                <w:highlight w:val="none"/>
              </w:rPr>
            </w:pPr>
            <w:r>
              <w:rPr>
                <w:rFonts w:hint="eastAsia"/>
                <w:color w:val="auto"/>
                <w:highlight w:val="none"/>
              </w:rPr>
              <w:t>达标</w:t>
            </w:r>
          </w:p>
        </w:tc>
      </w:tr>
      <w:tr w14:paraId="2456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60190FFF">
            <w:pPr>
              <w:spacing w:line="360" w:lineRule="exact"/>
              <w:jc w:val="center"/>
              <w:rPr>
                <w:rFonts w:cstheme="minorBidi"/>
                <w:color w:val="auto"/>
                <w:szCs w:val="21"/>
                <w:highlight w:val="none"/>
              </w:rPr>
            </w:pPr>
          </w:p>
        </w:tc>
        <w:tc>
          <w:tcPr>
            <w:tcW w:w="320" w:type="pct"/>
            <w:vMerge w:val="restart"/>
            <w:tcBorders>
              <w:tl2br w:val="nil"/>
              <w:tr2bl w:val="nil"/>
            </w:tcBorders>
            <w:noWrap/>
            <w:vAlign w:val="center"/>
          </w:tcPr>
          <w:p w14:paraId="75C10281">
            <w:pPr>
              <w:spacing w:line="360" w:lineRule="exact"/>
              <w:jc w:val="center"/>
              <w:rPr>
                <w:rFonts w:cstheme="minorBidi"/>
                <w:color w:val="auto"/>
                <w:szCs w:val="21"/>
                <w:highlight w:val="none"/>
              </w:rPr>
            </w:pPr>
            <w:r>
              <w:rPr>
                <w:rFonts w:hint="eastAsia" w:cstheme="minorBidi"/>
                <w:color w:val="auto"/>
                <w:szCs w:val="21"/>
                <w:highlight w:val="none"/>
              </w:rPr>
              <w:t>2</w:t>
            </w:r>
          </w:p>
        </w:tc>
        <w:tc>
          <w:tcPr>
            <w:tcW w:w="510" w:type="pct"/>
            <w:vMerge w:val="restart"/>
            <w:tcBorders>
              <w:tl2br w:val="nil"/>
              <w:tr2bl w:val="nil"/>
            </w:tcBorders>
            <w:vAlign w:val="center"/>
          </w:tcPr>
          <w:p w14:paraId="229160DD">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23" w:type="pct"/>
            <w:tcBorders>
              <w:tl2br w:val="nil"/>
              <w:tr2bl w:val="nil"/>
            </w:tcBorders>
            <w:noWrap/>
            <w:vAlign w:val="center"/>
          </w:tcPr>
          <w:p w14:paraId="12F41C0B">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187，195</w:t>
            </w:r>
            <w:r>
              <w:rPr>
                <w:rFonts w:hint="eastAsia" w:cstheme="minorBidi"/>
                <w:color w:val="auto"/>
                <w:szCs w:val="21"/>
                <w:highlight w:val="none"/>
                <w:lang w:eastAsia="zh-CN"/>
              </w:rPr>
              <w:t>）</w:t>
            </w:r>
          </w:p>
        </w:tc>
        <w:tc>
          <w:tcPr>
            <w:tcW w:w="630" w:type="pct"/>
            <w:tcBorders>
              <w:tl2br w:val="nil"/>
              <w:tr2bl w:val="nil"/>
            </w:tcBorders>
            <w:noWrap/>
            <w:vAlign w:val="center"/>
          </w:tcPr>
          <w:p w14:paraId="26D211E4">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563" w:type="pct"/>
            <w:tcBorders>
              <w:tl2br w:val="nil"/>
              <w:tr2bl w:val="nil"/>
            </w:tcBorders>
            <w:noWrap/>
            <w:vAlign w:val="center"/>
          </w:tcPr>
          <w:p w14:paraId="7BDD2EC5">
            <w:pPr>
              <w:spacing w:line="360" w:lineRule="exact"/>
              <w:jc w:val="center"/>
              <w:rPr>
                <w:rFonts w:cstheme="minorBidi"/>
                <w:color w:val="auto"/>
                <w:szCs w:val="21"/>
                <w:highlight w:val="none"/>
              </w:rPr>
            </w:pPr>
            <w:r>
              <w:rPr>
                <w:rFonts w:hint="eastAsia"/>
                <w:color w:val="auto"/>
                <w:highlight w:val="none"/>
              </w:rPr>
              <w:t>1.35E-03</w:t>
            </w:r>
          </w:p>
        </w:tc>
        <w:tc>
          <w:tcPr>
            <w:tcW w:w="679" w:type="pct"/>
            <w:tcBorders>
              <w:tl2br w:val="nil"/>
              <w:tr2bl w:val="nil"/>
            </w:tcBorders>
            <w:noWrap/>
            <w:vAlign w:val="center"/>
          </w:tcPr>
          <w:p w14:paraId="0B85D20F">
            <w:pPr>
              <w:spacing w:line="360" w:lineRule="exact"/>
              <w:jc w:val="center"/>
              <w:rPr>
                <w:rFonts w:cstheme="minorBidi"/>
                <w:color w:val="auto"/>
                <w:szCs w:val="21"/>
                <w:highlight w:val="none"/>
              </w:rPr>
            </w:pPr>
            <w:r>
              <w:rPr>
                <w:rFonts w:hint="eastAsia"/>
                <w:color w:val="auto"/>
                <w:highlight w:val="none"/>
              </w:rPr>
              <w:t>240619</w:t>
            </w:r>
          </w:p>
        </w:tc>
        <w:tc>
          <w:tcPr>
            <w:tcW w:w="531" w:type="pct"/>
            <w:tcBorders>
              <w:tl2br w:val="nil"/>
              <w:tr2bl w:val="nil"/>
            </w:tcBorders>
            <w:noWrap/>
            <w:vAlign w:val="center"/>
          </w:tcPr>
          <w:p w14:paraId="4AB9D2EA">
            <w:pPr>
              <w:spacing w:line="360" w:lineRule="exact"/>
              <w:jc w:val="center"/>
              <w:rPr>
                <w:rFonts w:cstheme="minorBidi"/>
                <w:color w:val="auto"/>
                <w:szCs w:val="21"/>
                <w:highlight w:val="none"/>
              </w:rPr>
            </w:pPr>
            <w:r>
              <w:rPr>
                <w:rFonts w:hint="eastAsia"/>
                <w:color w:val="auto"/>
                <w:highlight w:val="none"/>
              </w:rPr>
              <w:t>1.20E-01</w:t>
            </w:r>
          </w:p>
        </w:tc>
        <w:tc>
          <w:tcPr>
            <w:tcW w:w="383" w:type="pct"/>
            <w:tcBorders>
              <w:tl2br w:val="nil"/>
              <w:tr2bl w:val="nil"/>
            </w:tcBorders>
            <w:noWrap/>
            <w:vAlign w:val="center"/>
          </w:tcPr>
          <w:p w14:paraId="6173C878">
            <w:pPr>
              <w:spacing w:line="360" w:lineRule="exact"/>
              <w:jc w:val="center"/>
              <w:rPr>
                <w:rFonts w:cstheme="minorBidi"/>
                <w:color w:val="auto"/>
                <w:szCs w:val="21"/>
                <w:highlight w:val="none"/>
              </w:rPr>
            </w:pPr>
            <w:r>
              <w:rPr>
                <w:rFonts w:hint="eastAsia"/>
                <w:color w:val="auto"/>
                <w:highlight w:val="none"/>
              </w:rPr>
              <w:t>1.13</w:t>
            </w:r>
          </w:p>
        </w:tc>
        <w:tc>
          <w:tcPr>
            <w:tcW w:w="391" w:type="pct"/>
            <w:tcBorders>
              <w:tl2br w:val="nil"/>
              <w:tr2bl w:val="nil"/>
            </w:tcBorders>
            <w:vAlign w:val="center"/>
          </w:tcPr>
          <w:p w14:paraId="22AA19E3">
            <w:pPr>
              <w:spacing w:line="360" w:lineRule="exact"/>
              <w:jc w:val="center"/>
              <w:rPr>
                <w:rFonts w:cstheme="minorBidi"/>
                <w:color w:val="auto"/>
                <w:szCs w:val="21"/>
                <w:highlight w:val="none"/>
              </w:rPr>
            </w:pPr>
            <w:r>
              <w:rPr>
                <w:rFonts w:hint="eastAsia"/>
                <w:color w:val="auto"/>
                <w:highlight w:val="none"/>
              </w:rPr>
              <w:t>达标</w:t>
            </w:r>
          </w:p>
        </w:tc>
      </w:tr>
      <w:tr w14:paraId="6BA6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2A229373">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49655C86">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390432AC">
            <w:pPr>
              <w:spacing w:line="360" w:lineRule="exact"/>
              <w:jc w:val="center"/>
              <w:rPr>
                <w:rFonts w:cstheme="minorBidi"/>
                <w:color w:val="auto"/>
                <w:szCs w:val="21"/>
                <w:highlight w:val="none"/>
              </w:rPr>
            </w:pPr>
          </w:p>
        </w:tc>
        <w:tc>
          <w:tcPr>
            <w:tcW w:w="623" w:type="pct"/>
            <w:tcBorders>
              <w:tl2br w:val="nil"/>
              <w:tr2bl w:val="nil"/>
            </w:tcBorders>
            <w:noWrap/>
            <w:vAlign w:val="center"/>
          </w:tcPr>
          <w:p w14:paraId="71B9B0D3">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-205</w:t>
            </w:r>
            <w:r>
              <w:rPr>
                <w:rFonts w:hint="eastAsia" w:cstheme="minorBidi"/>
                <w:color w:val="auto"/>
                <w:szCs w:val="21"/>
                <w:highlight w:val="none"/>
                <w:lang w:eastAsia="zh-CN"/>
              </w:rPr>
              <w:t>）</w:t>
            </w:r>
          </w:p>
        </w:tc>
        <w:tc>
          <w:tcPr>
            <w:tcW w:w="630" w:type="pct"/>
            <w:tcBorders>
              <w:tl2br w:val="nil"/>
              <w:tr2bl w:val="nil"/>
            </w:tcBorders>
            <w:noWrap/>
            <w:vAlign w:val="center"/>
          </w:tcPr>
          <w:p w14:paraId="31C90215">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563" w:type="pct"/>
            <w:tcBorders>
              <w:tl2br w:val="nil"/>
              <w:tr2bl w:val="nil"/>
            </w:tcBorders>
            <w:noWrap/>
            <w:vAlign w:val="center"/>
          </w:tcPr>
          <w:p w14:paraId="31B45BC0">
            <w:pPr>
              <w:spacing w:line="360" w:lineRule="exact"/>
              <w:jc w:val="center"/>
              <w:rPr>
                <w:rFonts w:cstheme="minorBidi"/>
                <w:color w:val="auto"/>
                <w:szCs w:val="21"/>
                <w:highlight w:val="none"/>
              </w:rPr>
            </w:pPr>
            <w:r>
              <w:rPr>
                <w:rFonts w:hint="eastAsia"/>
                <w:color w:val="auto"/>
                <w:highlight w:val="none"/>
              </w:rPr>
              <w:t>2.78E-04</w:t>
            </w:r>
          </w:p>
        </w:tc>
        <w:tc>
          <w:tcPr>
            <w:tcW w:w="679" w:type="pct"/>
            <w:tcBorders>
              <w:tl2br w:val="nil"/>
              <w:tr2bl w:val="nil"/>
            </w:tcBorders>
            <w:noWrap/>
            <w:vAlign w:val="center"/>
          </w:tcPr>
          <w:p w14:paraId="0AA30450">
            <w:pPr>
              <w:spacing w:line="360" w:lineRule="exact"/>
              <w:jc w:val="center"/>
              <w:rPr>
                <w:rFonts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0EBE6E39">
            <w:pPr>
              <w:spacing w:line="360" w:lineRule="exact"/>
              <w:jc w:val="center"/>
              <w:rPr>
                <w:rFonts w:cstheme="minorBidi"/>
                <w:color w:val="auto"/>
                <w:szCs w:val="21"/>
                <w:highlight w:val="none"/>
              </w:rPr>
            </w:pPr>
            <w:r>
              <w:rPr>
                <w:rFonts w:hint="eastAsia"/>
                <w:color w:val="auto"/>
                <w:highlight w:val="none"/>
              </w:rPr>
              <w:t>6.00E-02</w:t>
            </w:r>
          </w:p>
        </w:tc>
        <w:tc>
          <w:tcPr>
            <w:tcW w:w="383" w:type="pct"/>
            <w:tcBorders>
              <w:tl2br w:val="nil"/>
              <w:tr2bl w:val="nil"/>
            </w:tcBorders>
            <w:noWrap/>
            <w:vAlign w:val="center"/>
          </w:tcPr>
          <w:p w14:paraId="451D4D49">
            <w:pPr>
              <w:spacing w:line="360" w:lineRule="exact"/>
              <w:jc w:val="center"/>
              <w:rPr>
                <w:rFonts w:cstheme="minorBidi"/>
                <w:color w:val="auto"/>
                <w:szCs w:val="21"/>
                <w:highlight w:val="none"/>
              </w:rPr>
            </w:pPr>
            <w:r>
              <w:rPr>
                <w:rFonts w:hint="eastAsia"/>
                <w:color w:val="auto"/>
                <w:highlight w:val="none"/>
              </w:rPr>
              <w:t>0.46</w:t>
            </w:r>
          </w:p>
        </w:tc>
        <w:tc>
          <w:tcPr>
            <w:tcW w:w="391" w:type="pct"/>
            <w:tcBorders>
              <w:tl2br w:val="nil"/>
              <w:tr2bl w:val="nil"/>
            </w:tcBorders>
            <w:vAlign w:val="center"/>
          </w:tcPr>
          <w:p w14:paraId="12747AFE">
            <w:pPr>
              <w:spacing w:line="360" w:lineRule="exact"/>
              <w:jc w:val="center"/>
              <w:rPr>
                <w:rFonts w:cstheme="minorBidi"/>
                <w:color w:val="auto"/>
                <w:szCs w:val="21"/>
                <w:highlight w:val="none"/>
              </w:rPr>
            </w:pPr>
            <w:r>
              <w:rPr>
                <w:rFonts w:hint="eastAsia"/>
                <w:color w:val="auto"/>
                <w:highlight w:val="none"/>
              </w:rPr>
              <w:t>达标</w:t>
            </w:r>
          </w:p>
        </w:tc>
      </w:tr>
      <w:tr w14:paraId="6613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5089AB01">
            <w:pPr>
              <w:spacing w:line="360" w:lineRule="exact"/>
              <w:jc w:val="center"/>
              <w:rPr>
                <w:rFonts w:hint="default" w:eastAsia="宋体" w:cstheme="minorBidi"/>
                <w:color w:val="auto"/>
                <w:szCs w:val="21"/>
                <w:highlight w:val="none"/>
                <w:lang w:val="en-US" w:eastAsia="zh-CN"/>
              </w:rPr>
            </w:pPr>
            <w:r>
              <w:rPr>
                <w:rFonts w:hint="eastAsia" w:cstheme="minorBidi"/>
                <w:color w:val="auto"/>
                <w:szCs w:val="21"/>
                <w:highlight w:val="none"/>
                <w:lang w:val="en-US" w:eastAsia="zh-CN"/>
              </w:rPr>
              <w:t>PM</w:t>
            </w:r>
            <w:r>
              <w:rPr>
                <w:rFonts w:hint="eastAsia" w:cstheme="minorBidi"/>
                <w:color w:val="auto"/>
                <w:szCs w:val="21"/>
                <w:highlight w:val="none"/>
                <w:vertAlign w:val="subscript"/>
                <w:lang w:val="en-US" w:eastAsia="zh-CN"/>
              </w:rPr>
              <w:t>2.5</w:t>
            </w:r>
          </w:p>
        </w:tc>
        <w:tc>
          <w:tcPr>
            <w:tcW w:w="320" w:type="pct"/>
            <w:vMerge w:val="restart"/>
            <w:tcBorders>
              <w:tl2br w:val="nil"/>
              <w:tr2bl w:val="nil"/>
            </w:tcBorders>
            <w:shd w:val="clear" w:color="auto" w:fill="auto"/>
            <w:noWrap/>
            <w:vAlign w:val="center"/>
          </w:tcPr>
          <w:p w14:paraId="0A32CBB7">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w:t>
            </w:r>
          </w:p>
        </w:tc>
        <w:tc>
          <w:tcPr>
            <w:tcW w:w="510" w:type="pct"/>
            <w:vMerge w:val="restart"/>
            <w:tcBorders>
              <w:tl2br w:val="nil"/>
              <w:tr2bl w:val="nil"/>
            </w:tcBorders>
            <w:shd w:val="clear" w:color="auto" w:fill="auto"/>
            <w:vAlign w:val="center"/>
          </w:tcPr>
          <w:p w14:paraId="04D738CD">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哈尔扎木村</w:t>
            </w:r>
          </w:p>
        </w:tc>
        <w:tc>
          <w:tcPr>
            <w:tcW w:w="623" w:type="pct"/>
            <w:vMerge w:val="restart"/>
            <w:tcBorders>
              <w:tl2br w:val="nil"/>
              <w:tr2bl w:val="nil"/>
            </w:tcBorders>
            <w:noWrap/>
            <w:vAlign w:val="center"/>
          </w:tcPr>
          <w:p w14:paraId="12746A20">
            <w:pPr>
              <w:spacing w:line="360" w:lineRule="exact"/>
              <w:jc w:val="center"/>
              <w:rPr>
                <w:rFonts w:hint="eastAsia"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4A7D5012">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日平均</w:t>
            </w:r>
          </w:p>
        </w:tc>
        <w:tc>
          <w:tcPr>
            <w:tcW w:w="563" w:type="pct"/>
            <w:tcBorders>
              <w:tl2br w:val="nil"/>
              <w:tr2bl w:val="nil"/>
            </w:tcBorders>
            <w:noWrap/>
            <w:vAlign w:val="center"/>
          </w:tcPr>
          <w:p w14:paraId="49C07D2C">
            <w:pPr>
              <w:spacing w:line="360" w:lineRule="exact"/>
              <w:jc w:val="center"/>
              <w:rPr>
                <w:rFonts w:hint="eastAsia" w:cstheme="minorBidi"/>
                <w:color w:val="auto"/>
                <w:szCs w:val="21"/>
                <w:highlight w:val="none"/>
              </w:rPr>
            </w:pPr>
            <w:r>
              <w:rPr>
                <w:rFonts w:hint="eastAsia"/>
                <w:color w:val="auto"/>
                <w:highlight w:val="none"/>
              </w:rPr>
              <w:t>5.02E-05</w:t>
            </w:r>
          </w:p>
        </w:tc>
        <w:tc>
          <w:tcPr>
            <w:tcW w:w="679" w:type="pct"/>
            <w:tcBorders>
              <w:tl2br w:val="nil"/>
              <w:tr2bl w:val="nil"/>
            </w:tcBorders>
            <w:noWrap/>
            <w:vAlign w:val="center"/>
          </w:tcPr>
          <w:p w14:paraId="44DF2413">
            <w:pPr>
              <w:spacing w:line="360" w:lineRule="exact"/>
              <w:jc w:val="center"/>
              <w:rPr>
                <w:rFonts w:hint="eastAsia" w:cstheme="minorBidi"/>
                <w:color w:val="auto"/>
                <w:szCs w:val="21"/>
                <w:highlight w:val="none"/>
              </w:rPr>
            </w:pPr>
            <w:r>
              <w:rPr>
                <w:rFonts w:hint="eastAsia"/>
                <w:color w:val="auto"/>
                <w:highlight w:val="none"/>
              </w:rPr>
              <w:t>240722</w:t>
            </w:r>
          </w:p>
        </w:tc>
        <w:tc>
          <w:tcPr>
            <w:tcW w:w="531" w:type="pct"/>
            <w:tcBorders>
              <w:tl2br w:val="nil"/>
              <w:tr2bl w:val="nil"/>
            </w:tcBorders>
            <w:noWrap/>
            <w:vAlign w:val="center"/>
          </w:tcPr>
          <w:p w14:paraId="2FD3924B">
            <w:pPr>
              <w:spacing w:line="360" w:lineRule="exact"/>
              <w:jc w:val="center"/>
              <w:rPr>
                <w:rFonts w:hint="eastAsia" w:cstheme="minorBidi"/>
                <w:color w:val="auto"/>
                <w:szCs w:val="21"/>
                <w:highlight w:val="none"/>
              </w:rPr>
            </w:pPr>
            <w:r>
              <w:rPr>
                <w:rFonts w:hint="eastAsia"/>
                <w:color w:val="auto"/>
                <w:highlight w:val="none"/>
              </w:rPr>
              <w:t>6.00E-02</w:t>
            </w:r>
          </w:p>
        </w:tc>
        <w:tc>
          <w:tcPr>
            <w:tcW w:w="383" w:type="pct"/>
            <w:tcBorders>
              <w:tl2br w:val="nil"/>
              <w:tr2bl w:val="nil"/>
            </w:tcBorders>
            <w:noWrap/>
            <w:vAlign w:val="center"/>
          </w:tcPr>
          <w:p w14:paraId="10479CB7">
            <w:pPr>
              <w:spacing w:line="360" w:lineRule="exact"/>
              <w:jc w:val="center"/>
              <w:rPr>
                <w:rFonts w:hint="eastAsia" w:cstheme="minorBidi"/>
                <w:color w:val="auto"/>
                <w:szCs w:val="21"/>
                <w:highlight w:val="none"/>
              </w:rPr>
            </w:pPr>
            <w:r>
              <w:rPr>
                <w:rFonts w:hint="eastAsia"/>
                <w:color w:val="auto"/>
                <w:highlight w:val="none"/>
              </w:rPr>
              <w:t>0.08</w:t>
            </w:r>
          </w:p>
        </w:tc>
        <w:tc>
          <w:tcPr>
            <w:tcW w:w="391" w:type="pct"/>
            <w:tcBorders>
              <w:tl2br w:val="nil"/>
              <w:tr2bl w:val="nil"/>
            </w:tcBorders>
            <w:vAlign w:val="center"/>
          </w:tcPr>
          <w:p w14:paraId="5892CA3D">
            <w:pPr>
              <w:spacing w:line="360" w:lineRule="exact"/>
              <w:jc w:val="center"/>
              <w:rPr>
                <w:rFonts w:hint="eastAsia" w:cstheme="minorBidi"/>
                <w:color w:val="auto"/>
                <w:szCs w:val="21"/>
                <w:highlight w:val="none"/>
              </w:rPr>
            </w:pPr>
            <w:r>
              <w:rPr>
                <w:rFonts w:hint="eastAsia"/>
                <w:color w:val="auto"/>
                <w:highlight w:val="none"/>
              </w:rPr>
              <w:t>达标</w:t>
            </w:r>
          </w:p>
        </w:tc>
      </w:tr>
      <w:tr w14:paraId="7A59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34B2FE08">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4C820E7D">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4AA54C5E">
            <w:pPr>
              <w:spacing w:line="360" w:lineRule="exact"/>
              <w:jc w:val="center"/>
              <w:rPr>
                <w:rFonts w:cstheme="minorBidi"/>
                <w:color w:val="auto"/>
                <w:szCs w:val="21"/>
                <w:highlight w:val="none"/>
              </w:rPr>
            </w:pPr>
          </w:p>
        </w:tc>
        <w:tc>
          <w:tcPr>
            <w:tcW w:w="623" w:type="pct"/>
            <w:vMerge w:val="continue"/>
            <w:tcBorders>
              <w:tl2br w:val="nil"/>
              <w:tr2bl w:val="nil"/>
            </w:tcBorders>
            <w:noWrap/>
            <w:vAlign w:val="center"/>
          </w:tcPr>
          <w:p w14:paraId="5828AF34">
            <w:pPr>
              <w:spacing w:line="360" w:lineRule="exact"/>
              <w:jc w:val="center"/>
              <w:rPr>
                <w:rFonts w:hint="eastAsia" w:cstheme="minorBidi"/>
                <w:color w:val="auto"/>
                <w:szCs w:val="21"/>
                <w:highlight w:val="none"/>
              </w:rPr>
            </w:pPr>
          </w:p>
        </w:tc>
        <w:tc>
          <w:tcPr>
            <w:tcW w:w="630" w:type="pct"/>
            <w:tcBorders>
              <w:tl2br w:val="nil"/>
              <w:tr2bl w:val="nil"/>
            </w:tcBorders>
            <w:shd w:val="clear" w:color="auto" w:fill="auto"/>
            <w:noWrap/>
            <w:vAlign w:val="center"/>
          </w:tcPr>
          <w:p w14:paraId="05D33B59">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全时段</w:t>
            </w:r>
          </w:p>
        </w:tc>
        <w:tc>
          <w:tcPr>
            <w:tcW w:w="563" w:type="pct"/>
            <w:tcBorders>
              <w:tl2br w:val="nil"/>
              <w:tr2bl w:val="nil"/>
            </w:tcBorders>
            <w:noWrap/>
            <w:vAlign w:val="center"/>
          </w:tcPr>
          <w:p w14:paraId="724601DE">
            <w:pPr>
              <w:spacing w:line="360" w:lineRule="exact"/>
              <w:jc w:val="center"/>
              <w:rPr>
                <w:rFonts w:hint="eastAsia" w:cstheme="minorBidi"/>
                <w:color w:val="auto"/>
                <w:szCs w:val="21"/>
                <w:highlight w:val="none"/>
              </w:rPr>
            </w:pPr>
            <w:r>
              <w:rPr>
                <w:rFonts w:hint="eastAsia"/>
                <w:color w:val="auto"/>
                <w:highlight w:val="none"/>
              </w:rPr>
              <w:t>3.57E-06</w:t>
            </w:r>
          </w:p>
        </w:tc>
        <w:tc>
          <w:tcPr>
            <w:tcW w:w="679" w:type="pct"/>
            <w:tcBorders>
              <w:tl2br w:val="nil"/>
              <w:tr2bl w:val="nil"/>
            </w:tcBorders>
            <w:noWrap/>
            <w:vAlign w:val="center"/>
          </w:tcPr>
          <w:p w14:paraId="5B2534C6">
            <w:pPr>
              <w:spacing w:line="360" w:lineRule="exact"/>
              <w:jc w:val="center"/>
              <w:rPr>
                <w:rFonts w:hint="eastAsia"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3331C121">
            <w:pPr>
              <w:spacing w:line="360" w:lineRule="exact"/>
              <w:jc w:val="center"/>
              <w:rPr>
                <w:rFonts w:hint="eastAsia" w:cstheme="minorBidi"/>
                <w:color w:val="auto"/>
                <w:szCs w:val="21"/>
                <w:highlight w:val="none"/>
              </w:rPr>
            </w:pPr>
            <w:r>
              <w:rPr>
                <w:rFonts w:hint="eastAsia"/>
                <w:color w:val="auto"/>
                <w:highlight w:val="none"/>
              </w:rPr>
              <w:t>3.00E-02</w:t>
            </w:r>
          </w:p>
        </w:tc>
        <w:tc>
          <w:tcPr>
            <w:tcW w:w="383" w:type="pct"/>
            <w:tcBorders>
              <w:tl2br w:val="nil"/>
              <w:tr2bl w:val="nil"/>
            </w:tcBorders>
            <w:noWrap/>
            <w:vAlign w:val="center"/>
          </w:tcPr>
          <w:p w14:paraId="5AAC80AC">
            <w:pPr>
              <w:spacing w:line="360" w:lineRule="exact"/>
              <w:jc w:val="center"/>
              <w:rPr>
                <w:rFonts w:hint="eastAsia" w:cstheme="minorBidi"/>
                <w:color w:val="auto"/>
                <w:szCs w:val="21"/>
                <w:highlight w:val="none"/>
              </w:rPr>
            </w:pPr>
            <w:r>
              <w:rPr>
                <w:rFonts w:hint="eastAsia"/>
                <w:color w:val="auto"/>
                <w:highlight w:val="none"/>
              </w:rPr>
              <w:t>0.01</w:t>
            </w:r>
          </w:p>
        </w:tc>
        <w:tc>
          <w:tcPr>
            <w:tcW w:w="391" w:type="pct"/>
            <w:tcBorders>
              <w:tl2br w:val="nil"/>
              <w:tr2bl w:val="nil"/>
            </w:tcBorders>
            <w:vAlign w:val="center"/>
          </w:tcPr>
          <w:p w14:paraId="1D0631F3">
            <w:pPr>
              <w:spacing w:line="360" w:lineRule="exact"/>
              <w:jc w:val="center"/>
              <w:rPr>
                <w:rFonts w:hint="eastAsia" w:cstheme="minorBidi"/>
                <w:color w:val="auto"/>
                <w:szCs w:val="21"/>
                <w:highlight w:val="none"/>
              </w:rPr>
            </w:pPr>
            <w:r>
              <w:rPr>
                <w:rFonts w:hint="eastAsia"/>
                <w:color w:val="auto"/>
                <w:highlight w:val="none"/>
              </w:rPr>
              <w:t>达标</w:t>
            </w:r>
          </w:p>
        </w:tc>
      </w:tr>
      <w:tr w14:paraId="057E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0EC78D9C">
            <w:pPr>
              <w:spacing w:line="360" w:lineRule="exact"/>
              <w:jc w:val="center"/>
              <w:rPr>
                <w:rFonts w:cstheme="minorBidi"/>
                <w:color w:val="auto"/>
                <w:szCs w:val="21"/>
                <w:highlight w:val="none"/>
              </w:rPr>
            </w:pPr>
          </w:p>
        </w:tc>
        <w:tc>
          <w:tcPr>
            <w:tcW w:w="320" w:type="pct"/>
            <w:vMerge w:val="restart"/>
            <w:tcBorders>
              <w:tl2br w:val="nil"/>
              <w:tr2bl w:val="nil"/>
            </w:tcBorders>
            <w:shd w:val="clear" w:color="auto" w:fill="auto"/>
            <w:noWrap/>
            <w:vAlign w:val="center"/>
          </w:tcPr>
          <w:p w14:paraId="71B6DC77">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2</w:t>
            </w:r>
          </w:p>
        </w:tc>
        <w:tc>
          <w:tcPr>
            <w:tcW w:w="510" w:type="pct"/>
            <w:vMerge w:val="restart"/>
            <w:tcBorders>
              <w:tl2br w:val="nil"/>
              <w:tr2bl w:val="nil"/>
            </w:tcBorders>
            <w:shd w:val="clear" w:color="auto" w:fill="auto"/>
            <w:vAlign w:val="center"/>
          </w:tcPr>
          <w:p w14:paraId="55129B23">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网格</w:t>
            </w:r>
          </w:p>
        </w:tc>
        <w:tc>
          <w:tcPr>
            <w:tcW w:w="623" w:type="pct"/>
            <w:tcBorders>
              <w:tl2br w:val="nil"/>
              <w:tr2bl w:val="nil"/>
            </w:tcBorders>
            <w:noWrap/>
            <w:vAlign w:val="center"/>
          </w:tcPr>
          <w:p w14:paraId="62ED24DA">
            <w:pPr>
              <w:spacing w:line="360" w:lineRule="exact"/>
              <w:jc w:val="center"/>
              <w:rPr>
                <w:rFonts w:hint="eastAsia"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195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357D6639">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日平均</w:t>
            </w:r>
          </w:p>
        </w:tc>
        <w:tc>
          <w:tcPr>
            <w:tcW w:w="563" w:type="pct"/>
            <w:tcBorders>
              <w:tl2br w:val="nil"/>
              <w:tr2bl w:val="nil"/>
            </w:tcBorders>
            <w:noWrap/>
            <w:vAlign w:val="center"/>
          </w:tcPr>
          <w:p w14:paraId="1B61104A">
            <w:pPr>
              <w:spacing w:line="360" w:lineRule="exact"/>
              <w:jc w:val="center"/>
              <w:rPr>
                <w:rFonts w:hint="eastAsia" w:cstheme="minorBidi"/>
                <w:color w:val="auto"/>
                <w:szCs w:val="21"/>
                <w:highlight w:val="none"/>
              </w:rPr>
            </w:pPr>
            <w:r>
              <w:rPr>
                <w:rFonts w:hint="eastAsia"/>
                <w:color w:val="auto"/>
                <w:highlight w:val="none"/>
              </w:rPr>
              <w:t>6.76E-04</w:t>
            </w:r>
          </w:p>
        </w:tc>
        <w:tc>
          <w:tcPr>
            <w:tcW w:w="679" w:type="pct"/>
            <w:tcBorders>
              <w:tl2br w:val="nil"/>
              <w:tr2bl w:val="nil"/>
            </w:tcBorders>
            <w:noWrap/>
            <w:vAlign w:val="center"/>
          </w:tcPr>
          <w:p w14:paraId="48DA7C38">
            <w:pPr>
              <w:spacing w:line="360" w:lineRule="exact"/>
              <w:jc w:val="center"/>
              <w:rPr>
                <w:rFonts w:hint="eastAsia" w:cstheme="minorBidi"/>
                <w:color w:val="auto"/>
                <w:szCs w:val="21"/>
                <w:highlight w:val="none"/>
              </w:rPr>
            </w:pPr>
            <w:r>
              <w:rPr>
                <w:rFonts w:hint="eastAsia"/>
                <w:color w:val="auto"/>
                <w:highlight w:val="none"/>
              </w:rPr>
              <w:t>240619</w:t>
            </w:r>
          </w:p>
        </w:tc>
        <w:tc>
          <w:tcPr>
            <w:tcW w:w="531" w:type="pct"/>
            <w:tcBorders>
              <w:tl2br w:val="nil"/>
              <w:tr2bl w:val="nil"/>
            </w:tcBorders>
            <w:noWrap/>
            <w:vAlign w:val="center"/>
          </w:tcPr>
          <w:p w14:paraId="07CFF8BD">
            <w:pPr>
              <w:spacing w:line="360" w:lineRule="exact"/>
              <w:jc w:val="center"/>
              <w:rPr>
                <w:rFonts w:hint="eastAsia" w:cstheme="minorBidi"/>
                <w:color w:val="auto"/>
                <w:szCs w:val="21"/>
                <w:highlight w:val="none"/>
              </w:rPr>
            </w:pPr>
            <w:r>
              <w:rPr>
                <w:rFonts w:hint="eastAsia"/>
                <w:color w:val="auto"/>
                <w:highlight w:val="none"/>
              </w:rPr>
              <w:t>6.00E-02</w:t>
            </w:r>
          </w:p>
        </w:tc>
        <w:tc>
          <w:tcPr>
            <w:tcW w:w="383" w:type="pct"/>
            <w:tcBorders>
              <w:tl2br w:val="nil"/>
              <w:tr2bl w:val="nil"/>
            </w:tcBorders>
            <w:noWrap/>
            <w:vAlign w:val="center"/>
          </w:tcPr>
          <w:p w14:paraId="11DBDEA1">
            <w:pPr>
              <w:spacing w:line="360" w:lineRule="exact"/>
              <w:jc w:val="center"/>
              <w:rPr>
                <w:rFonts w:hint="eastAsia" w:cstheme="minorBidi"/>
                <w:color w:val="auto"/>
                <w:szCs w:val="21"/>
                <w:highlight w:val="none"/>
              </w:rPr>
            </w:pPr>
            <w:r>
              <w:rPr>
                <w:rFonts w:hint="eastAsia"/>
                <w:color w:val="auto"/>
                <w:highlight w:val="none"/>
              </w:rPr>
              <w:t>1.13</w:t>
            </w:r>
          </w:p>
        </w:tc>
        <w:tc>
          <w:tcPr>
            <w:tcW w:w="391" w:type="pct"/>
            <w:tcBorders>
              <w:tl2br w:val="nil"/>
              <w:tr2bl w:val="nil"/>
            </w:tcBorders>
            <w:vAlign w:val="center"/>
          </w:tcPr>
          <w:p w14:paraId="7868EF54">
            <w:pPr>
              <w:spacing w:line="360" w:lineRule="exact"/>
              <w:jc w:val="center"/>
              <w:rPr>
                <w:rFonts w:hint="eastAsia" w:cstheme="minorBidi"/>
                <w:color w:val="auto"/>
                <w:szCs w:val="21"/>
                <w:highlight w:val="none"/>
              </w:rPr>
            </w:pPr>
            <w:r>
              <w:rPr>
                <w:rFonts w:hint="eastAsia"/>
                <w:color w:val="auto"/>
                <w:highlight w:val="none"/>
              </w:rPr>
              <w:t>达标</w:t>
            </w:r>
          </w:p>
        </w:tc>
      </w:tr>
      <w:tr w14:paraId="4BF1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19091BFD">
            <w:pPr>
              <w:spacing w:line="360" w:lineRule="exact"/>
              <w:jc w:val="center"/>
              <w:rPr>
                <w:rFonts w:cstheme="minorBidi"/>
                <w:color w:val="auto"/>
                <w:szCs w:val="21"/>
                <w:highlight w:val="none"/>
              </w:rPr>
            </w:pPr>
          </w:p>
        </w:tc>
        <w:tc>
          <w:tcPr>
            <w:tcW w:w="320" w:type="pct"/>
            <w:vMerge w:val="continue"/>
            <w:tcBorders>
              <w:tl2br w:val="nil"/>
              <w:tr2bl w:val="nil"/>
            </w:tcBorders>
            <w:noWrap/>
            <w:vAlign w:val="center"/>
          </w:tcPr>
          <w:p w14:paraId="31FB8D87">
            <w:pPr>
              <w:spacing w:line="360" w:lineRule="exact"/>
              <w:jc w:val="center"/>
              <w:rPr>
                <w:rFonts w:cstheme="minorBidi"/>
                <w:color w:val="auto"/>
                <w:szCs w:val="21"/>
                <w:highlight w:val="none"/>
              </w:rPr>
            </w:pPr>
          </w:p>
        </w:tc>
        <w:tc>
          <w:tcPr>
            <w:tcW w:w="510" w:type="pct"/>
            <w:vMerge w:val="continue"/>
            <w:tcBorders>
              <w:tl2br w:val="nil"/>
              <w:tr2bl w:val="nil"/>
            </w:tcBorders>
            <w:vAlign w:val="center"/>
          </w:tcPr>
          <w:p w14:paraId="005D12F3">
            <w:pPr>
              <w:spacing w:line="360" w:lineRule="exact"/>
              <w:jc w:val="center"/>
              <w:rPr>
                <w:rFonts w:cstheme="minorBidi"/>
                <w:color w:val="auto"/>
                <w:szCs w:val="21"/>
                <w:highlight w:val="none"/>
              </w:rPr>
            </w:pPr>
          </w:p>
        </w:tc>
        <w:tc>
          <w:tcPr>
            <w:tcW w:w="623" w:type="pct"/>
            <w:tcBorders>
              <w:tl2br w:val="nil"/>
              <w:tr2bl w:val="nil"/>
            </w:tcBorders>
            <w:noWrap/>
            <w:vAlign w:val="center"/>
          </w:tcPr>
          <w:p w14:paraId="3ACD5D3F">
            <w:pPr>
              <w:spacing w:line="360" w:lineRule="exact"/>
              <w:jc w:val="center"/>
              <w:rPr>
                <w:rFonts w:hint="eastAsia"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-205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74EFCDAF">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全时段</w:t>
            </w:r>
          </w:p>
        </w:tc>
        <w:tc>
          <w:tcPr>
            <w:tcW w:w="563" w:type="pct"/>
            <w:tcBorders>
              <w:tl2br w:val="nil"/>
              <w:tr2bl w:val="nil"/>
            </w:tcBorders>
            <w:noWrap/>
            <w:vAlign w:val="center"/>
          </w:tcPr>
          <w:p w14:paraId="0C3EBE4B">
            <w:pPr>
              <w:spacing w:line="360" w:lineRule="exact"/>
              <w:jc w:val="center"/>
              <w:rPr>
                <w:rFonts w:hint="eastAsia" w:cstheme="minorBidi"/>
                <w:color w:val="auto"/>
                <w:szCs w:val="21"/>
                <w:highlight w:val="none"/>
              </w:rPr>
            </w:pPr>
            <w:r>
              <w:rPr>
                <w:rFonts w:hint="eastAsia"/>
                <w:color w:val="auto"/>
                <w:highlight w:val="none"/>
              </w:rPr>
              <w:t>1.39E-04</w:t>
            </w:r>
          </w:p>
        </w:tc>
        <w:tc>
          <w:tcPr>
            <w:tcW w:w="679" w:type="pct"/>
            <w:tcBorders>
              <w:tl2br w:val="nil"/>
              <w:tr2bl w:val="nil"/>
            </w:tcBorders>
            <w:noWrap/>
            <w:vAlign w:val="center"/>
          </w:tcPr>
          <w:p w14:paraId="21751E97">
            <w:pPr>
              <w:spacing w:line="360" w:lineRule="exact"/>
              <w:jc w:val="center"/>
              <w:rPr>
                <w:rFonts w:hint="eastAsia" w:cstheme="minorBidi"/>
                <w:color w:val="auto"/>
                <w:szCs w:val="21"/>
                <w:highlight w:val="none"/>
              </w:rPr>
            </w:pPr>
            <w:r>
              <w:rPr>
                <w:rFonts w:hint="eastAsia"/>
                <w:color w:val="auto"/>
                <w:highlight w:val="none"/>
              </w:rPr>
              <w:t>平均值</w:t>
            </w:r>
          </w:p>
        </w:tc>
        <w:tc>
          <w:tcPr>
            <w:tcW w:w="531" w:type="pct"/>
            <w:tcBorders>
              <w:tl2br w:val="nil"/>
              <w:tr2bl w:val="nil"/>
            </w:tcBorders>
            <w:noWrap/>
            <w:vAlign w:val="center"/>
          </w:tcPr>
          <w:p w14:paraId="21722711">
            <w:pPr>
              <w:spacing w:line="360" w:lineRule="exact"/>
              <w:jc w:val="center"/>
              <w:rPr>
                <w:rFonts w:hint="eastAsia" w:cstheme="minorBidi"/>
                <w:color w:val="auto"/>
                <w:szCs w:val="21"/>
                <w:highlight w:val="none"/>
              </w:rPr>
            </w:pPr>
            <w:r>
              <w:rPr>
                <w:rFonts w:hint="eastAsia"/>
                <w:color w:val="auto"/>
                <w:highlight w:val="none"/>
              </w:rPr>
              <w:t>3.00E-02</w:t>
            </w:r>
          </w:p>
        </w:tc>
        <w:tc>
          <w:tcPr>
            <w:tcW w:w="383" w:type="pct"/>
            <w:tcBorders>
              <w:tl2br w:val="nil"/>
              <w:tr2bl w:val="nil"/>
            </w:tcBorders>
            <w:noWrap/>
            <w:vAlign w:val="center"/>
          </w:tcPr>
          <w:p w14:paraId="1CB9DFEF">
            <w:pPr>
              <w:spacing w:line="360" w:lineRule="exact"/>
              <w:jc w:val="center"/>
              <w:rPr>
                <w:rFonts w:hint="eastAsia" w:cstheme="minorBidi"/>
                <w:color w:val="auto"/>
                <w:szCs w:val="21"/>
                <w:highlight w:val="none"/>
              </w:rPr>
            </w:pPr>
            <w:r>
              <w:rPr>
                <w:rFonts w:hint="eastAsia"/>
                <w:color w:val="auto"/>
                <w:highlight w:val="none"/>
              </w:rPr>
              <w:t>0.46</w:t>
            </w:r>
          </w:p>
        </w:tc>
        <w:tc>
          <w:tcPr>
            <w:tcW w:w="391" w:type="pct"/>
            <w:tcBorders>
              <w:tl2br w:val="nil"/>
              <w:tr2bl w:val="nil"/>
            </w:tcBorders>
            <w:vAlign w:val="center"/>
          </w:tcPr>
          <w:p w14:paraId="57F8C11C">
            <w:pPr>
              <w:spacing w:line="360" w:lineRule="exact"/>
              <w:jc w:val="center"/>
              <w:rPr>
                <w:rFonts w:hint="eastAsia" w:cstheme="minorBidi"/>
                <w:color w:val="auto"/>
                <w:szCs w:val="21"/>
                <w:highlight w:val="none"/>
              </w:rPr>
            </w:pPr>
            <w:r>
              <w:rPr>
                <w:rFonts w:hint="eastAsia"/>
                <w:color w:val="auto"/>
                <w:highlight w:val="none"/>
              </w:rPr>
              <w:t>达标</w:t>
            </w:r>
          </w:p>
        </w:tc>
      </w:tr>
      <w:tr w14:paraId="0570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566DB364">
            <w:pPr>
              <w:spacing w:line="360" w:lineRule="exact"/>
              <w:jc w:val="center"/>
              <w:rPr>
                <w:rFonts w:hint="default" w:eastAsia="宋体" w:cstheme="minorBidi"/>
                <w:color w:val="auto"/>
                <w:szCs w:val="21"/>
                <w:highlight w:val="none"/>
                <w:lang w:val="en-US" w:eastAsia="zh-CN"/>
              </w:rPr>
            </w:pPr>
            <w:r>
              <w:rPr>
                <w:rFonts w:hint="eastAsia" w:cstheme="minorBidi"/>
                <w:color w:val="auto"/>
                <w:szCs w:val="21"/>
                <w:highlight w:val="none"/>
                <w:lang w:val="en-US" w:eastAsia="zh-CN"/>
              </w:rPr>
              <w:t>NH</w:t>
            </w:r>
            <w:r>
              <w:rPr>
                <w:rFonts w:hint="eastAsia" w:cstheme="minorBidi"/>
                <w:color w:val="auto"/>
                <w:szCs w:val="21"/>
                <w:highlight w:val="none"/>
                <w:vertAlign w:val="subscript"/>
                <w:lang w:val="en-US" w:eastAsia="zh-CN"/>
              </w:rPr>
              <w:t>3</w:t>
            </w:r>
          </w:p>
        </w:tc>
        <w:tc>
          <w:tcPr>
            <w:tcW w:w="320" w:type="pct"/>
            <w:tcBorders>
              <w:tl2br w:val="nil"/>
              <w:tr2bl w:val="nil"/>
            </w:tcBorders>
            <w:shd w:val="clear" w:color="auto" w:fill="auto"/>
            <w:noWrap/>
            <w:vAlign w:val="center"/>
          </w:tcPr>
          <w:p w14:paraId="5B38E3B6">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w:t>
            </w:r>
          </w:p>
        </w:tc>
        <w:tc>
          <w:tcPr>
            <w:tcW w:w="510" w:type="pct"/>
            <w:tcBorders>
              <w:tl2br w:val="nil"/>
              <w:tr2bl w:val="nil"/>
            </w:tcBorders>
            <w:shd w:val="clear" w:color="auto" w:fill="auto"/>
            <w:vAlign w:val="center"/>
          </w:tcPr>
          <w:p w14:paraId="4E4DCFDA">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哈尔扎木村</w:t>
            </w:r>
          </w:p>
        </w:tc>
        <w:tc>
          <w:tcPr>
            <w:tcW w:w="623" w:type="pct"/>
            <w:tcBorders>
              <w:tl2br w:val="nil"/>
              <w:tr2bl w:val="nil"/>
            </w:tcBorders>
            <w:noWrap/>
            <w:vAlign w:val="center"/>
          </w:tcPr>
          <w:p w14:paraId="127654FE">
            <w:pPr>
              <w:spacing w:line="360" w:lineRule="exact"/>
              <w:jc w:val="center"/>
              <w:rPr>
                <w:rFonts w:hint="eastAsia"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49EBE506">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563" w:type="pct"/>
            <w:tcBorders>
              <w:tl2br w:val="nil"/>
              <w:tr2bl w:val="nil"/>
            </w:tcBorders>
            <w:noWrap/>
            <w:vAlign w:val="center"/>
          </w:tcPr>
          <w:p w14:paraId="28B71491">
            <w:pPr>
              <w:spacing w:line="360" w:lineRule="exact"/>
              <w:jc w:val="center"/>
              <w:rPr>
                <w:rFonts w:hint="eastAsia" w:cstheme="minorBidi"/>
                <w:color w:val="auto"/>
                <w:szCs w:val="21"/>
                <w:highlight w:val="none"/>
              </w:rPr>
            </w:pPr>
            <w:r>
              <w:rPr>
                <w:rFonts w:hint="eastAsia"/>
                <w:color w:val="auto"/>
                <w:highlight w:val="none"/>
              </w:rPr>
              <w:t>5.31E-04</w:t>
            </w:r>
          </w:p>
        </w:tc>
        <w:tc>
          <w:tcPr>
            <w:tcW w:w="679" w:type="pct"/>
            <w:tcBorders>
              <w:tl2br w:val="nil"/>
              <w:tr2bl w:val="nil"/>
            </w:tcBorders>
            <w:noWrap/>
            <w:vAlign w:val="center"/>
          </w:tcPr>
          <w:p w14:paraId="49A38F9B">
            <w:pPr>
              <w:spacing w:line="360" w:lineRule="exact"/>
              <w:jc w:val="center"/>
              <w:rPr>
                <w:rFonts w:hint="eastAsia" w:cstheme="minorBidi"/>
                <w:color w:val="auto"/>
                <w:szCs w:val="21"/>
                <w:highlight w:val="none"/>
              </w:rPr>
            </w:pPr>
            <w:r>
              <w:rPr>
                <w:rFonts w:hint="eastAsia"/>
                <w:color w:val="auto"/>
                <w:highlight w:val="none"/>
              </w:rPr>
              <w:t>24041519</w:t>
            </w:r>
          </w:p>
        </w:tc>
        <w:tc>
          <w:tcPr>
            <w:tcW w:w="531" w:type="pct"/>
            <w:tcBorders>
              <w:tl2br w:val="nil"/>
              <w:tr2bl w:val="nil"/>
            </w:tcBorders>
            <w:noWrap/>
            <w:vAlign w:val="center"/>
          </w:tcPr>
          <w:p w14:paraId="2B0ECDA0">
            <w:pPr>
              <w:spacing w:line="360" w:lineRule="exact"/>
              <w:jc w:val="center"/>
              <w:rPr>
                <w:rFonts w:hint="eastAsia" w:cstheme="minorBidi"/>
                <w:color w:val="auto"/>
                <w:szCs w:val="21"/>
                <w:highlight w:val="none"/>
              </w:rPr>
            </w:pPr>
            <w:r>
              <w:rPr>
                <w:rFonts w:hint="eastAsia"/>
                <w:color w:val="auto"/>
                <w:highlight w:val="none"/>
              </w:rPr>
              <w:t>2.00E-01</w:t>
            </w:r>
          </w:p>
        </w:tc>
        <w:tc>
          <w:tcPr>
            <w:tcW w:w="383" w:type="pct"/>
            <w:tcBorders>
              <w:tl2br w:val="nil"/>
              <w:tr2bl w:val="nil"/>
            </w:tcBorders>
            <w:noWrap/>
            <w:vAlign w:val="center"/>
          </w:tcPr>
          <w:p w14:paraId="7DAEA7AC">
            <w:pPr>
              <w:spacing w:line="360" w:lineRule="exact"/>
              <w:jc w:val="center"/>
              <w:rPr>
                <w:rFonts w:hint="eastAsia" w:cstheme="minorBidi"/>
                <w:color w:val="auto"/>
                <w:szCs w:val="21"/>
                <w:highlight w:val="none"/>
              </w:rPr>
            </w:pPr>
            <w:r>
              <w:rPr>
                <w:rFonts w:hint="eastAsia"/>
                <w:color w:val="auto"/>
                <w:highlight w:val="none"/>
              </w:rPr>
              <w:t>0.27</w:t>
            </w:r>
          </w:p>
        </w:tc>
        <w:tc>
          <w:tcPr>
            <w:tcW w:w="391" w:type="pct"/>
            <w:tcBorders>
              <w:tl2br w:val="nil"/>
              <w:tr2bl w:val="nil"/>
            </w:tcBorders>
            <w:vAlign w:val="center"/>
          </w:tcPr>
          <w:p w14:paraId="73B419C3">
            <w:pPr>
              <w:spacing w:line="360" w:lineRule="exact"/>
              <w:jc w:val="center"/>
              <w:rPr>
                <w:rFonts w:hint="eastAsia" w:cstheme="minorBidi"/>
                <w:color w:val="auto"/>
                <w:szCs w:val="21"/>
                <w:highlight w:val="none"/>
              </w:rPr>
            </w:pPr>
            <w:r>
              <w:rPr>
                <w:rFonts w:hint="eastAsia"/>
                <w:color w:val="auto"/>
                <w:highlight w:val="none"/>
              </w:rPr>
              <w:t>达标</w:t>
            </w:r>
          </w:p>
        </w:tc>
      </w:tr>
      <w:tr w14:paraId="35B8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49F8E8B1">
            <w:pPr>
              <w:spacing w:line="360" w:lineRule="exact"/>
              <w:jc w:val="center"/>
              <w:rPr>
                <w:rFonts w:cstheme="minorBidi"/>
                <w:color w:val="auto"/>
                <w:szCs w:val="21"/>
                <w:highlight w:val="none"/>
              </w:rPr>
            </w:pPr>
          </w:p>
        </w:tc>
        <w:tc>
          <w:tcPr>
            <w:tcW w:w="320" w:type="pct"/>
            <w:tcBorders>
              <w:tl2br w:val="nil"/>
              <w:tr2bl w:val="nil"/>
            </w:tcBorders>
            <w:shd w:val="clear" w:color="auto" w:fill="auto"/>
            <w:noWrap/>
            <w:vAlign w:val="center"/>
          </w:tcPr>
          <w:p w14:paraId="4D095B88">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2</w:t>
            </w:r>
          </w:p>
        </w:tc>
        <w:tc>
          <w:tcPr>
            <w:tcW w:w="510" w:type="pct"/>
            <w:tcBorders>
              <w:tl2br w:val="nil"/>
              <w:tr2bl w:val="nil"/>
            </w:tcBorders>
            <w:shd w:val="clear" w:color="auto" w:fill="auto"/>
            <w:vAlign w:val="center"/>
          </w:tcPr>
          <w:p w14:paraId="257D6E98">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网格</w:t>
            </w:r>
          </w:p>
        </w:tc>
        <w:tc>
          <w:tcPr>
            <w:tcW w:w="623" w:type="pct"/>
            <w:tcBorders>
              <w:tl2br w:val="nil"/>
              <w:tr2bl w:val="nil"/>
            </w:tcBorders>
            <w:noWrap/>
            <w:vAlign w:val="center"/>
          </w:tcPr>
          <w:p w14:paraId="23CB3FA9">
            <w:pPr>
              <w:spacing w:line="360" w:lineRule="exact"/>
              <w:jc w:val="center"/>
              <w:rPr>
                <w:rFonts w:hint="eastAsia" w:eastAsia="宋体" w:cstheme="minorBidi"/>
                <w:color w:val="auto"/>
                <w:szCs w:val="21"/>
                <w:highlight w:val="none"/>
                <w:lang w:val="en-US" w:eastAsia="zh-CN"/>
              </w:rPr>
            </w:pPr>
            <w:r>
              <w:rPr>
                <w:rFonts w:hint="eastAsia" w:cstheme="minorBidi"/>
                <w:color w:val="auto"/>
                <w:szCs w:val="21"/>
                <w:highlight w:val="none"/>
                <w:lang w:val="en-US" w:eastAsia="zh-CN"/>
              </w:rPr>
              <w:t>（-113，-105）</w:t>
            </w:r>
          </w:p>
        </w:tc>
        <w:tc>
          <w:tcPr>
            <w:tcW w:w="630" w:type="pct"/>
            <w:tcBorders>
              <w:tl2br w:val="nil"/>
              <w:tr2bl w:val="nil"/>
            </w:tcBorders>
            <w:shd w:val="clear" w:color="auto" w:fill="auto"/>
            <w:noWrap/>
            <w:vAlign w:val="center"/>
          </w:tcPr>
          <w:p w14:paraId="6B78C877">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563" w:type="pct"/>
            <w:tcBorders>
              <w:tl2br w:val="nil"/>
              <w:tr2bl w:val="nil"/>
            </w:tcBorders>
            <w:noWrap/>
            <w:vAlign w:val="center"/>
          </w:tcPr>
          <w:p w14:paraId="4D06F18A">
            <w:pPr>
              <w:spacing w:line="360" w:lineRule="exact"/>
              <w:jc w:val="center"/>
              <w:rPr>
                <w:rFonts w:hint="eastAsia" w:cstheme="minorBidi"/>
                <w:color w:val="auto"/>
                <w:szCs w:val="21"/>
                <w:highlight w:val="none"/>
              </w:rPr>
            </w:pPr>
            <w:r>
              <w:rPr>
                <w:rFonts w:hint="eastAsia"/>
                <w:color w:val="auto"/>
                <w:highlight w:val="none"/>
              </w:rPr>
              <w:t>3.42E-03</w:t>
            </w:r>
          </w:p>
        </w:tc>
        <w:tc>
          <w:tcPr>
            <w:tcW w:w="679" w:type="pct"/>
            <w:tcBorders>
              <w:tl2br w:val="nil"/>
              <w:tr2bl w:val="nil"/>
            </w:tcBorders>
            <w:noWrap/>
            <w:vAlign w:val="center"/>
          </w:tcPr>
          <w:p w14:paraId="57E9DDBD">
            <w:pPr>
              <w:spacing w:line="360" w:lineRule="exact"/>
              <w:jc w:val="center"/>
              <w:rPr>
                <w:rFonts w:hint="eastAsia" w:cstheme="minorBidi"/>
                <w:color w:val="auto"/>
                <w:szCs w:val="21"/>
                <w:highlight w:val="none"/>
              </w:rPr>
            </w:pPr>
            <w:r>
              <w:rPr>
                <w:rFonts w:hint="eastAsia"/>
                <w:color w:val="auto"/>
                <w:highlight w:val="none"/>
              </w:rPr>
              <w:t>24061009</w:t>
            </w:r>
          </w:p>
        </w:tc>
        <w:tc>
          <w:tcPr>
            <w:tcW w:w="531" w:type="pct"/>
            <w:tcBorders>
              <w:tl2br w:val="nil"/>
              <w:tr2bl w:val="nil"/>
            </w:tcBorders>
            <w:noWrap/>
            <w:vAlign w:val="center"/>
          </w:tcPr>
          <w:p w14:paraId="234C6577">
            <w:pPr>
              <w:spacing w:line="360" w:lineRule="exact"/>
              <w:jc w:val="center"/>
              <w:rPr>
                <w:rFonts w:hint="eastAsia" w:cstheme="minorBidi"/>
                <w:color w:val="auto"/>
                <w:szCs w:val="21"/>
                <w:highlight w:val="none"/>
              </w:rPr>
            </w:pPr>
            <w:r>
              <w:rPr>
                <w:rFonts w:hint="eastAsia"/>
                <w:color w:val="auto"/>
                <w:highlight w:val="none"/>
              </w:rPr>
              <w:t>2.00E-01</w:t>
            </w:r>
          </w:p>
        </w:tc>
        <w:tc>
          <w:tcPr>
            <w:tcW w:w="383" w:type="pct"/>
            <w:tcBorders>
              <w:tl2br w:val="nil"/>
              <w:tr2bl w:val="nil"/>
            </w:tcBorders>
            <w:noWrap/>
            <w:vAlign w:val="center"/>
          </w:tcPr>
          <w:p w14:paraId="28EFF24F">
            <w:pPr>
              <w:spacing w:line="360" w:lineRule="exact"/>
              <w:jc w:val="center"/>
              <w:rPr>
                <w:rFonts w:hint="eastAsia" w:cstheme="minorBidi"/>
                <w:color w:val="auto"/>
                <w:szCs w:val="21"/>
                <w:highlight w:val="none"/>
              </w:rPr>
            </w:pPr>
            <w:r>
              <w:rPr>
                <w:rFonts w:hint="eastAsia"/>
                <w:color w:val="auto"/>
                <w:highlight w:val="none"/>
              </w:rPr>
              <w:t>1.71</w:t>
            </w:r>
          </w:p>
        </w:tc>
        <w:tc>
          <w:tcPr>
            <w:tcW w:w="391" w:type="pct"/>
            <w:tcBorders>
              <w:tl2br w:val="nil"/>
              <w:tr2bl w:val="nil"/>
            </w:tcBorders>
            <w:vAlign w:val="center"/>
          </w:tcPr>
          <w:p w14:paraId="531407F1">
            <w:pPr>
              <w:spacing w:line="360" w:lineRule="exact"/>
              <w:jc w:val="center"/>
              <w:rPr>
                <w:rFonts w:hint="eastAsia" w:cstheme="minorBidi"/>
                <w:color w:val="auto"/>
                <w:szCs w:val="21"/>
                <w:highlight w:val="none"/>
              </w:rPr>
            </w:pPr>
            <w:r>
              <w:rPr>
                <w:rFonts w:hint="eastAsia"/>
                <w:color w:val="auto"/>
                <w:highlight w:val="none"/>
              </w:rPr>
              <w:t>达标</w:t>
            </w:r>
          </w:p>
        </w:tc>
      </w:tr>
      <w:tr w14:paraId="6B65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1ECB3643">
            <w:pPr>
              <w:spacing w:line="360" w:lineRule="exact"/>
              <w:jc w:val="center"/>
              <w:rPr>
                <w:rFonts w:hint="default" w:eastAsia="宋体" w:cstheme="minorBidi"/>
                <w:color w:val="auto"/>
                <w:szCs w:val="21"/>
                <w:highlight w:val="none"/>
                <w:lang w:val="en-US" w:eastAsia="zh-CN"/>
              </w:rPr>
            </w:pPr>
            <w:r>
              <w:rPr>
                <w:rFonts w:hint="eastAsia" w:cstheme="minorBidi"/>
                <w:color w:val="auto"/>
                <w:szCs w:val="21"/>
                <w:highlight w:val="none"/>
                <w:lang w:val="en-US" w:eastAsia="zh-CN"/>
              </w:rPr>
              <w:t>H</w:t>
            </w:r>
            <w:r>
              <w:rPr>
                <w:rFonts w:hint="eastAsia" w:cstheme="minorBidi"/>
                <w:color w:val="auto"/>
                <w:szCs w:val="21"/>
                <w:highlight w:val="none"/>
                <w:vertAlign w:val="subscript"/>
                <w:lang w:val="en-US" w:eastAsia="zh-CN"/>
              </w:rPr>
              <w:t>2</w:t>
            </w:r>
            <w:r>
              <w:rPr>
                <w:rFonts w:hint="eastAsia" w:cstheme="minorBidi"/>
                <w:color w:val="auto"/>
                <w:szCs w:val="21"/>
                <w:highlight w:val="none"/>
                <w:lang w:val="en-US" w:eastAsia="zh-CN"/>
              </w:rPr>
              <w:t>S</w:t>
            </w:r>
          </w:p>
        </w:tc>
        <w:tc>
          <w:tcPr>
            <w:tcW w:w="320" w:type="pct"/>
            <w:tcBorders>
              <w:tl2br w:val="nil"/>
              <w:tr2bl w:val="nil"/>
            </w:tcBorders>
            <w:shd w:val="clear" w:color="auto" w:fill="auto"/>
            <w:noWrap/>
            <w:vAlign w:val="center"/>
          </w:tcPr>
          <w:p w14:paraId="3BBE7EB8">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w:t>
            </w:r>
          </w:p>
        </w:tc>
        <w:tc>
          <w:tcPr>
            <w:tcW w:w="510" w:type="pct"/>
            <w:tcBorders>
              <w:tl2br w:val="nil"/>
              <w:tr2bl w:val="nil"/>
            </w:tcBorders>
            <w:shd w:val="clear" w:color="auto" w:fill="auto"/>
            <w:vAlign w:val="center"/>
          </w:tcPr>
          <w:p w14:paraId="38615977">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哈尔扎木村</w:t>
            </w:r>
          </w:p>
        </w:tc>
        <w:tc>
          <w:tcPr>
            <w:tcW w:w="623" w:type="pct"/>
            <w:tcBorders>
              <w:tl2br w:val="nil"/>
              <w:tr2bl w:val="nil"/>
            </w:tcBorders>
            <w:noWrap/>
            <w:vAlign w:val="center"/>
          </w:tcPr>
          <w:p w14:paraId="3CD760A6">
            <w:pPr>
              <w:spacing w:line="360" w:lineRule="exact"/>
              <w:jc w:val="center"/>
              <w:rPr>
                <w:rFonts w:hint="eastAsia"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429C18F4">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563" w:type="pct"/>
            <w:tcBorders>
              <w:tl2br w:val="nil"/>
              <w:tr2bl w:val="nil"/>
            </w:tcBorders>
            <w:noWrap/>
            <w:vAlign w:val="center"/>
          </w:tcPr>
          <w:p w14:paraId="3E0A576D">
            <w:pPr>
              <w:spacing w:line="360" w:lineRule="exact"/>
              <w:jc w:val="center"/>
              <w:rPr>
                <w:rFonts w:hint="eastAsia" w:cstheme="minorBidi"/>
                <w:color w:val="auto"/>
                <w:szCs w:val="21"/>
                <w:highlight w:val="none"/>
              </w:rPr>
            </w:pPr>
            <w:r>
              <w:rPr>
                <w:rFonts w:hint="eastAsia"/>
                <w:color w:val="auto"/>
                <w:highlight w:val="none"/>
              </w:rPr>
              <w:t>8.01E-05</w:t>
            </w:r>
          </w:p>
        </w:tc>
        <w:tc>
          <w:tcPr>
            <w:tcW w:w="679" w:type="pct"/>
            <w:tcBorders>
              <w:tl2br w:val="nil"/>
              <w:tr2bl w:val="nil"/>
            </w:tcBorders>
            <w:noWrap/>
            <w:vAlign w:val="center"/>
          </w:tcPr>
          <w:p w14:paraId="197526C7">
            <w:pPr>
              <w:spacing w:line="360" w:lineRule="exact"/>
              <w:jc w:val="center"/>
              <w:rPr>
                <w:rFonts w:hint="eastAsia" w:cstheme="minorBidi"/>
                <w:color w:val="auto"/>
                <w:szCs w:val="21"/>
                <w:highlight w:val="none"/>
              </w:rPr>
            </w:pPr>
            <w:r>
              <w:rPr>
                <w:rFonts w:hint="eastAsia"/>
                <w:color w:val="auto"/>
                <w:highlight w:val="none"/>
              </w:rPr>
              <w:t>24041519</w:t>
            </w:r>
          </w:p>
        </w:tc>
        <w:tc>
          <w:tcPr>
            <w:tcW w:w="531" w:type="pct"/>
            <w:tcBorders>
              <w:tl2br w:val="nil"/>
              <w:tr2bl w:val="nil"/>
            </w:tcBorders>
            <w:noWrap/>
            <w:vAlign w:val="center"/>
          </w:tcPr>
          <w:p w14:paraId="324007E2">
            <w:pPr>
              <w:spacing w:line="360" w:lineRule="exact"/>
              <w:jc w:val="center"/>
              <w:rPr>
                <w:rFonts w:hint="eastAsia" w:cstheme="minorBidi"/>
                <w:color w:val="auto"/>
                <w:szCs w:val="21"/>
                <w:highlight w:val="none"/>
              </w:rPr>
            </w:pPr>
            <w:r>
              <w:rPr>
                <w:rFonts w:hint="eastAsia"/>
                <w:color w:val="auto"/>
                <w:highlight w:val="none"/>
              </w:rPr>
              <w:t>1.00E-02</w:t>
            </w:r>
          </w:p>
        </w:tc>
        <w:tc>
          <w:tcPr>
            <w:tcW w:w="383" w:type="pct"/>
            <w:tcBorders>
              <w:tl2br w:val="nil"/>
              <w:tr2bl w:val="nil"/>
            </w:tcBorders>
            <w:noWrap/>
            <w:vAlign w:val="center"/>
          </w:tcPr>
          <w:p w14:paraId="2DD232AC">
            <w:pPr>
              <w:spacing w:line="360" w:lineRule="exact"/>
              <w:jc w:val="center"/>
              <w:rPr>
                <w:rFonts w:hint="eastAsia" w:cstheme="minorBidi"/>
                <w:color w:val="auto"/>
                <w:szCs w:val="21"/>
                <w:highlight w:val="none"/>
              </w:rPr>
            </w:pPr>
            <w:r>
              <w:rPr>
                <w:rFonts w:hint="eastAsia"/>
                <w:color w:val="auto"/>
                <w:highlight w:val="none"/>
              </w:rPr>
              <w:t>0.80</w:t>
            </w:r>
          </w:p>
        </w:tc>
        <w:tc>
          <w:tcPr>
            <w:tcW w:w="391" w:type="pct"/>
            <w:tcBorders>
              <w:tl2br w:val="nil"/>
              <w:tr2bl w:val="nil"/>
            </w:tcBorders>
            <w:vAlign w:val="center"/>
          </w:tcPr>
          <w:p w14:paraId="07B3F845">
            <w:pPr>
              <w:spacing w:line="360" w:lineRule="exact"/>
              <w:jc w:val="center"/>
              <w:rPr>
                <w:rFonts w:hint="eastAsia" w:cstheme="minorBidi"/>
                <w:color w:val="auto"/>
                <w:szCs w:val="21"/>
                <w:highlight w:val="none"/>
              </w:rPr>
            </w:pPr>
            <w:r>
              <w:rPr>
                <w:rFonts w:hint="eastAsia"/>
                <w:color w:val="auto"/>
                <w:highlight w:val="none"/>
              </w:rPr>
              <w:t>达标</w:t>
            </w:r>
          </w:p>
        </w:tc>
      </w:tr>
      <w:tr w14:paraId="415E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continue"/>
            <w:tcBorders>
              <w:tl2br w:val="nil"/>
              <w:tr2bl w:val="nil"/>
            </w:tcBorders>
            <w:noWrap/>
            <w:vAlign w:val="center"/>
          </w:tcPr>
          <w:p w14:paraId="3DF6EA4E">
            <w:pPr>
              <w:spacing w:line="360" w:lineRule="exact"/>
              <w:jc w:val="center"/>
              <w:rPr>
                <w:rFonts w:cstheme="minorBidi"/>
                <w:color w:val="auto"/>
                <w:szCs w:val="21"/>
                <w:highlight w:val="none"/>
              </w:rPr>
            </w:pPr>
          </w:p>
        </w:tc>
        <w:tc>
          <w:tcPr>
            <w:tcW w:w="320" w:type="pct"/>
            <w:tcBorders>
              <w:tl2br w:val="nil"/>
              <w:tr2bl w:val="nil"/>
            </w:tcBorders>
            <w:shd w:val="clear" w:color="auto" w:fill="auto"/>
            <w:noWrap/>
            <w:vAlign w:val="center"/>
          </w:tcPr>
          <w:p w14:paraId="1A91D340">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2</w:t>
            </w:r>
          </w:p>
        </w:tc>
        <w:tc>
          <w:tcPr>
            <w:tcW w:w="510" w:type="pct"/>
            <w:tcBorders>
              <w:tl2br w:val="nil"/>
              <w:tr2bl w:val="nil"/>
            </w:tcBorders>
            <w:shd w:val="clear" w:color="auto" w:fill="auto"/>
            <w:vAlign w:val="center"/>
          </w:tcPr>
          <w:p w14:paraId="6DFD5E57">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网格</w:t>
            </w:r>
          </w:p>
        </w:tc>
        <w:tc>
          <w:tcPr>
            <w:tcW w:w="623" w:type="pct"/>
            <w:tcBorders>
              <w:tl2br w:val="nil"/>
              <w:tr2bl w:val="nil"/>
            </w:tcBorders>
            <w:noWrap/>
            <w:vAlign w:val="center"/>
          </w:tcPr>
          <w:p w14:paraId="32CA5226">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val="en-US" w:eastAsia="zh-CN"/>
              </w:rPr>
              <w:t>（-113，-105）</w:t>
            </w:r>
          </w:p>
        </w:tc>
        <w:tc>
          <w:tcPr>
            <w:tcW w:w="630" w:type="pct"/>
            <w:tcBorders>
              <w:tl2br w:val="nil"/>
              <w:tr2bl w:val="nil"/>
            </w:tcBorders>
            <w:shd w:val="clear" w:color="auto" w:fill="auto"/>
            <w:noWrap/>
            <w:vAlign w:val="center"/>
          </w:tcPr>
          <w:p w14:paraId="7F33D175">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563" w:type="pct"/>
            <w:tcBorders>
              <w:tl2br w:val="nil"/>
              <w:tr2bl w:val="nil"/>
            </w:tcBorders>
            <w:noWrap/>
            <w:vAlign w:val="center"/>
          </w:tcPr>
          <w:p w14:paraId="51C65A42">
            <w:pPr>
              <w:spacing w:line="360" w:lineRule="exact"/>
              <w:jc w:val="center"/>
              <w:rPr>
                <w:rFonts w:hint="eastAsia" w:cstheme="minorBidi"/>
                <w:color w:val="auto"/>
                <w:szCs w:val="21"/>
                <w:highlight w:val="none"/>
              </w:rPr>
            </w:pPr>
            <w:r>
              <w:rPr>
                <w:rFonts w:hint="eastAsia"/>
                <w:color w:val="auto"/>
                <w:highlight w:val="none"/>
              </w:rPr>
              <w:t>6.33E-04</w:t>
            </w:r>
          </w:p>
        </w:tc>
        <w:tc>
          <w:tcPr>
            <w:tcW w:w="679" w:type="pct"/>
            <w:tcBorders>
              <w:tl2br w:val="nil"/>
              <w:tr2bl w:val="nil"/>
            </w:tcBorders>
            <w:noWrap/>
            <w:vAlign w:val="center"/>
          </w:tcPr>
          <w:p w14:paraId="5B8F7FA7">
            <w:pPr>
              <w:spacing w:line="360" w:lineRule="exact"/>
              <w:jc w:val="center"/>
              <w:rPr>
                <w:rFonts w:hint="eastAsia" w:cstheme="minorBidi"/>
                <w:color w:val="auto"/>
                <w:szCs w:val="21"/>
                <w:highlight w:val="none"/>
              </w:rPr>
            </w:pPr>
            <w:r>
              <w:rPr>
                <w:rFonts w:hint="eastAsia"/>
                <w:color w:val="auto"/>
                <w:highlight w:val="none"/>
              </w:rPr>
              <w:t>24061009</w:t>
            </w:r>
          </w:p>
        </w:tc>
        <w:tc>
          <w:tcPr>
            <w:tcW w:w="531" w:type="pct"/>
            <w:tcBorders>
              <w:tl2br w:val="nil"/>
              <w:tr2bl w:val="nil"/>
            </w:tcBorders>
            <w:noWrap/>
            <w:vAlign w:val="center"/>
          </w:tcPr>
          <w:p w14:paraId="159653BA">
            <w:pPr>
              <w:spacing w:line="360" w:lineRule="exact"/>
              <w:jc w:val="center"/>
              <w:rPr>
                <w:rFonts w:hint="eastAsia" w:cstheme="minorBidi"/>
                <w:color w:val="auto"/>
                <w:szCs w:val="21"/>
                <w:highlight w:val="none"/>
              </w:rPr>
            </w:pPr>
            <w:r>
              <w:rPr>
                <w:rFonts w:hint="eastAsia"/>
                <w:color w:val="auto"/>
                <w:highlight w:val="none"/>
              </w:rPr>
              <w:t>1.00E-02</w:t>
            </w:r>
          </w:p>
        </w:tc>
        <w:tc>
          <w:tcPr>
            <w:tcW w:w="383" w:type="pct"/>
            <w:tcBorders>
              <w:tl2br w:val="nil"/>
              <w:tr2bl w:val="nil"/>
            </w:tcBorders>
            <w:noWrap/>
            <w:vAlign w:val="center"/>
          </w:tcPr>
          <w:p w14:paraId="45CD970E">
            <w:pPr>
              <w:spacing w:line="360" w:lineRule="exact"/>
              <w:jc w:val="center"/>
              <w:rPr>
                <w:rFonts w:hint="eastAsia" w:cstheme="minorBidi"/>
                <w:color w:val="auto"/>
                <w:szCs w:val="21"/>
                <w:highlight w:val="none"/>
              </w:rPr>
            </w:pPr>
            <w:r>
              <w:rPr>
                <w:rFonts w:hint="eastAsia"/>
                <w:color w:val="auto"/>
                <w:highlight w:val="none"/>
              </w:rPr>
              <w:t>6.33</w:t>
            </w:r>
          </w:p>
        </w:tc>
        <w:tc>
          <w:tcPr>
            <w:tcW w:w="391" w:type="pct"/>
            <w:tcBorders>
              <w:tl2br w:val="nil"/>
              <w:tr2bl w:val="nil"/>
            </w:tcBorders>
            <w:vAlign w:val="center"/>
          </w:tcPr>
          <w:p w14:paraId="17AB481C">
            <w:pPr>
              <w:spacing w:line="360" w:lineRule="exact"/>
              <w:jc w:val="center"/>
              <w:rPr>
                <w:rFonts w:hint="eastAsia" w:cstheme="minorBidi"/>
                <w:color w:val="auto"/>
                <w:szCs w:val="21"/>
                <w:highlight w:val="none"/>
              </w:rPr>
            </w:pPr>
            <w:r>
              <w:rPr>
                <w:rFonts w:hint="eastAsia"/>
                <w:color w:val="auto"/>
                <w:highlight w:val="none"/>
              </w:rPr>
              <w:t>达标</w:t>
            </w:r>
          </w:p>
        </w:tc>
      </w:tr>
      <w:tr w14:paraId="5DAA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64" w:type="pct"/>
            <w:vMerge w:val="restart"/>
            <w:tcBorders>
              <w:tl2br w:val="nil"/>
              <w:tr2bl w:val="nil"/>
            </w:tcBorders>
            <w:noWrap/>
            <w:vAlign w:val="center"/>
          </w:tcPr>
          <w:p w14:paraId="7421E031">
            <w:pPr>
              <w:spacing w:line="360" w:lineRule="exact"/>
              <w:jc w:val="center"/>
              <w:rPr>
                <w:rFonts w:cstheme="minorBidi"/>
                <w:color w:val="auto"/>
                <w:szCs w:val="21"/>
                <w:highlight w:val="none"/>
              </w:rPr>
            </w:pPr>
            <w:r>
              <w:rPr>
                <w:rFonts w:hint="eastAsia" w:cstheme="minorBidi"/>
                <w:color w:val="auto"/>
                <w:szCs w:val="21"/>
                <w:highlight w:val="none"/>
              </w:rPr>
              <w:t>H</w:t>
            </w:r>
            <w:r>
              <w:rPr>
                <w:rFonts w:hint="eastAsia" w:cstheme="minorBidi"/>
                <w:color w:val="auto"/>
                <w:szCs w:val="21"/>
                <w:highlight w:val="none"/>
                <w:vertAlign w:val="subscript"/>
              </w:rPr>
              <w:t>2</w:t>
            </w:r>
            <w:r>
              <w:rPr>
                <w:rFonts w:hint="eastAsia" w:cstheme="minorBidi"/>
                <w:color w:val="auto"/>
                <w:szCs w:val="21"/>
                <w:highlight w:val="none"/>
              </w:rPr>
              <w:t>SO</w:t>
            </w:r>
            <w:r>
              <w:rPr>
                <w:rFonts w:hint="eastAsia" w:cstheme="minorBidi"/>
                <w:color w:val="auto"/>
                <w:szCs w:val="21"/>
                <w:highlight w:val="none"/>
                <w:vertAlign w:val="subscript"/>
              </w:rPr>
              <w:t>4</w:t>
            </w:r>
          </w:p>
        </w:tc>
        <w:tc>
          <w:tcPr>
            <w:tcW w:w="320" w:type="pct"/>
            <w:tcBorders>
              <w:tl2br w:val="nil"/>
              <w:tr2bl w:val="nil"/>
            </w:tcBorders>
            <w:noWrap/>
            <w:vAlign w:val="center"/>
          </w:tcPr>
          <w:p w14:paraId="3BDB2E79">
            <w:pPr>
              <w:spacing w:line="360" w:lineRule="exact"/>
              <w:jc w:val="center"/>
              <w:rPr>
                <w:rFonts w:cstheme="minorBidi"/>
                <w:color w:val="auto"/>
                <w:szCs w:val="21"/>
                <w:highlight w:val="none"/>
              </w:rPr>
            </w:pPr>
            <w:r>
              <w:rPr>
                <w:rFonts w:hint="eastAsia" w:cstheme="minorBidi"/>
                <w:color w:val="auto"/>
                <w:szCs w:val="21"/>
                <w:highlight w:val="none"/>
              </w:rPr>
              <w:t>1</w:t>
            </w:r>
          </w:p>
        </w:tc>
        <w:tc>
          <w:tcPr>
            <w:tcW w:w="510" w:type="pct"/>
            <w:tcBorders>
              <w:tl2br w:val="nil"/>
              <w:tr2bl w:val="nil"/>
            </w:tcBorders>
            <w:shd w:val="clear" w:color="auto" w:fill="auto"/>
            <w:vAlign w:val="center"/>
          </w:tcPr>
          <w:p w14:paraId="73EA3A27">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23" w:type="pct"/>
            <w:tcBorders>
              <w:tl2br w:val="nil"/>
              <w:tr2bl w:val="nil"/>
            </w:tcBorders>
            <w:shd w:val="clear" w:color="auto" w:fill="auto"/>
            <w:noWrap/>
            <w:vAlign w:val="center"/>
          </w:tcPr>
          <w:p w14:paraId="00AD7D68">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2B7290EC">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shd w:val="clear" w:color="auto" w:fill="auto"/>
            <w:noWrap/>
            <w:vAlign w:val="center"/>
          </w:tcPr>
          <w:p w14:paraId="74B872A2">
            <w:pPr>
              <w:spacing w:line="360" w:lineRule="exact"/>
              <w:jc w:val="center"/>
              <w:rPr>
                <w:rFonts w:cstheme="minorBidi"/>
                <w:color w:val="auto"/>
                <w:szCs w:val="21"/>
                <w:highlight w:val="none"/>
              </w:rPr>
            </w:pPr>
            <w:r>
              <w:rPr>
                <w:rFonts w:hint="eastAsia"/>
                <w:color w:val="auto"/>
                <w:highlight w:val="none"/>
              </w:rPr>
              <w:t>1.24E-03</w:t>
            </w:r>
          </w:p>
        </w:tc>
        <w:tc>
          <w:tcPr>
            <w:tcW w:w="679" w:type="pct"/>
            <w:tcBorders>
              <w:tl2br w:val="nil"/>
              <w:tr2bl w:val="nil"/>
            </w:tcBorders>
            <w:shd w:val="clear" w:color="auto" w:fill="auto"/>
            <w:noWrap/>
            <w:vAlign w:val="center"/>
          </w:tcPr>
          <w:p w14:paraId="30237D06">
            <w:pPr>
              <w:spacing w:line="360" w:lineRule="exact"/>
              <w:jc w:val="center"/>
              <w:rPr>
                <w:rFonts w:cstheme="minorBidi"/>
                <w:color w:val="auto"/>
                <w:szCs w:val="21"/>
                <w:highlight w:val="none"/>
              </w:rPr>
            </w:pPr>
            <w:r>
              <w:rPr>
                <w:rFonts w:hint="eastAsia"/>
                <w:color w:val="auto"/>
                <w:highlight w:val="none"/>
              </w:rPr>
              <w:t>24041519</w:t>
            </w:r>
          </w:p>
        </w:tc>
        <w:tc>
          <w:tcPr>
            <w:tcW w:w="531" w:type="pct"/>
            <w:tcBorders>
              <w:tl2br w:val="nil"/>
              <w:tr2bl w:val="nil"/>
            </w:tcBorders>
            <w:shd w:val="clear" w:color="auto" w:fill="auto"/>
            <w:noWrap/>
            <w:vAlign w:val="center"/>
          </w:tcPr>
          <w:p w14:paraId="1BE74196">
            <w:pPr>
              <w:spacing w:line="360" w:lineRule="exact"/>
              <w:jc w:val="center"/>
              <w:rPr>
                <w:rFonts w:cstheme="minorBidi"/>
                <w:color w:val="auto"/>
                <w:szCs w:val="21"/>
                <w:highlight w:val="none"/>
              </w:rPr>
            </w:pPr>
            <w:r>
              <w:rPr>
                <w:rFonts w:hint="eastAsia"/>
                <w:color w:val="auto"/>
                <w:highlight w:val="none"/>
              </w:rPr>
              <w:t>3.00E-01</w:t>
            </w:r>
          </w:p>
        </w:tc>
        <w:tc>
          <w:tcPr>
            <w:tcW w:w="383" w:type="pct"/>
            <w:tcBorders>
              <w:tl2br w:val="nil"/>
              <w:tr2bl w:val="nil"/>
            </w:tcBorders>
            <w:shd w:val="clear" w:color="auto" w:fill="auto"/>
            <w:noWrap/>
            <w:vAlign w:val="center"/>
          </w:tcPr>
          <w:p w14:paraId="5789FE0F">
            <w:pPr>
              <w:spacing w:line="360" w:lineRule="exact"/>
              <w:jc w:val="center"/>
              <w:rPr>
                <w:rFonts w:cstheme="minorBidi"/>
                <w:color w:val="auto"/>
                <w:szCs w:val="21"/>
                <w:highlight w:val="none"/>
              </w:rPr>
            </w:pPr>
            <w:r>
              <w:rPr>
                <w:rFonts w:hint="eastAsia"/>
                <w:color w:val="auto"/>
                <w:highlight w:val="none"/>
              </w:rPr>
              <w:t>0.41</w:t>
            </w:r>
          </w:p>
        </w:tc>
        <w:tc>
          <w:tcPr>
            <w:tcW w:w="391" w:type="pct"/>
            <w:tcBorders>
              <w:tl2br w:val="nil"/>
              <w:tr2bl w:val="nil"/>
            </w:tcBorders>
            <w:shd w:val="clear" w:color="auto" w:fill="auto"/>
            <w:vAlign w:val="center"/>
          </w:tcPr>
          <w:p w14:paraId="482ACBFA">
            <w:pPr>
              <w:spacing w:line="360" w:lineRule="exact"/>
              <w:jc w:val="center"/>
              <w:rPr>
                <w:rFonts w:cstheme="minorBidi"/>
                <w:color w:val="auto"/>
                <w:szCs w:val="21"/>
                <w:highlight w:val="none"/>
              </w:rPr>
            </w:pPr>
            <w:r>
              <w:rPr>
                <w:rFonts w:hint="eastAsia"/>
                <w:color w:val="auto"/>
                <w:highlight w:val="none"/>
              </w:rPr>
              <w:t>达标</w:t>
            </w:r>
          </w:p>
        </w:tc>
      </w:tr>
      <w:tr w14:paraId="6DA0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blHeader/>
        </w:trPr>
        <w:tc>
          <w:tcPr>
            <w:tcW w:w="364" w:type="pct"/>
            <w:vMerge w:val="continue"/>
            <w:tcBorders>
              <w:tl2br w:val="nil"/>
              <w:tr2bl w:val="nil"/>
            </w:tcBorders>
            <w:noWrap/>
            <w:vAlign w:val="center"/>
          </w:tcPr>
          <w:p w14:paraId="4BF2C58C">
            <w:pPr>
              <w:spacing w:line="360" w:lineRule="exact"/>
              <w:jc w:val="center"/>
              <w:rPr>
                <w:rFonts w:cstheme="minorBidi"/>
                <w:color w:val="auto"/>
                <w:szCs w:val="21"/>
                <w:highlight w:val="none"/>
              </w:rPr>
            </w:pPr>
          </w:p>
        </w:tc>
        <w:tc>
          <w:tcPr>
            <w:tcW w:w="320" w:type="pct"/>
            <w:tcBorders>
              <w:tl2br w:val="nil"/>
              <w:tr2bl w:val="nil"/>
            </w:tcBorders>
            <w:noWrap/>
            <w:vAlign w:val="center"/>
          </w:tcPr>
          <w:p w14:paraId="3F76CA11">
            <w:pPr>
              <w:spacing w:line="360" w:lineRule="exact"/>
              <w:jc w:val="center"/>
              <w:rPr>
                <w:rFonts w:cstheme="minorBidi"/>
                <w:color w:val="auto"/>
                <w:szCs w:val="21"/>
                <w:highlight w:val="none"/>
              </w:rPr>
            </w:pPr>
            <w:r>
              <w:rPr>
                <w:rFonts w:hint="eastAsia" w:cstheme="minorBidi"/>
                <w:color w:val="auto"/>
                <w:szCs w:val="21"/>
                <w:highlight w:val="none"/>
              </w:rPr>
              <w:t>2</w:t>
            </w:r>
          </w:p>
        </w:tc>
        <w:tc>
          <w:tcPr>
            <w:tcW w:w="510" w:type="pct"/>
            <w:tcBorders>
              <w:tl2br w:val="nil"/>
              <w:tr2bl w:val="nil"/>
            </w:tcBorders>
            <w:shd w:val="clear" w:color="auto" w:fill="auto"/>
            <w:vAlign w:val="center"/>
          </w:tcPr>
          <w:p w14:paraId="52FF8BAC">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23" w:type="pct"/>
            <w:tcBorders>
              <w:tl2br w:val="nil"/>
              <w:tr2bl w:val="nil"/>
            </w:tcBorders>
            <w:shd w:val="clear" w:color="auto" w:fill="auto"/>
            <w:noWrap/>
            <w:vAlign w:val="center"/>
          </w:tcPr>
          <w:p w14:paraId="175299D4">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-13</w:t>
            </w:r>
            <w:r>
              <w:rPr>
                <w:rFonts w:hint="eastAsia" w:cstheme="minorBidi"/>
                <w:color w:val="auto"/>
                <w:szCs w:val="21"/>
                <w:highlight w:val="none"/>
                <w:lang w:eastAsia="zh-CN"/>
              </w:rPr>
              <w:t>，</w:t>
            </w:r>
            <w:r>
              <w:rPr>
                <w:rFonts w:hint="eastAsia" w:cstheme="minorBidi"/>
                <w:color w:val="auto"/>
                <w:szCs w:val="21"/>
                <w:highlight w:val="none"/>
                <w:lang w:val="en-US" w:eastAsia="zh-CN"/>
              </w:rPr>
              <w:t>-105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0B197E97">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shd w:val="clear" w:color="auto" w:fill="auto"/>
            <w:noWrap/>
            <w:vAlign w:val="center"/>
          </w:tcPr>
          <w:p w14:paraId="42E82645">
            <w:pPr>
              <w:spacing w:line="360" w:lineRule="exact"/>
              <w:jc w:val="center"/>
              <w:rPr>
                <w:rFonts w:cstheme="minorBidi"/>
                <w:color w:val="auto"/>
                <w:szCs w:val="21"/>
                <w:highlight w:val="none"/>
              </w:rPr>
            </w:pPr>
            <w:r>
              <w:rPr>
                <w:rFonts w:hint="eastAsia"/>
                <w:color w:val="auto"/>
                <w:highlight w:val="none"/>
              </w:rPr>
              <w:t>7.88E-03</w:t>
            </w:r>
          </w:p>
        </w:tc>
        <w:tc>
          <w:tcPr>
            <w:tcW w:w="679" w:type="pct"/>
            <w:tcBorders>
              <w:tl2br w:val="nil"/>
              <w:tr2bl w:val="nil"/>
            </w:tcBorders>
            <w:shd w:val="clear" w:color="auto" w:fill="auto"/>
            <w:noWrap/>
            <w:vAlign w:val="center"/>
          </w:tcPr>
          <w:p w14:paraId="004768C5">
            <w:pPr>
              <w:spacing w:line="360" w:lineRule="exact"/>
              <w:jc w:val="center"/>
              <w:rPr>
                <w:rFonts w:cstheme="minorBidi"/>
                <w:color w:val="auto"/>
                <w:szCs w:val="21"/>
                <w:highlight w:val="none"/>
              </w:rPr>
            </w:pPr>
            <w:r>
              <w:rPr>
                <w:rFonts w:hint="eastAsia"/>
                <w:color w:val="auto"/>
                <w:highlight w:val="none"/>
              </w:rPr>
              <w:t>24061009</w:t>
            </w:r>
          </w:p>
        </w:tc>
        <w:tc>
          <w:tcPr>
            <w:tcW w:w="531" w:type="pct"/>
            <w:tcBorders>
              <w:tl2br w:val="nil"/>
              <w:tr2bl w:val="nil"/>
            </w:tcBorders>
            <w:shd w:val="clear" w:color="auto" w:fill="auto"/>
            <w:noWrap/>
            <w:vAlign w:val="center"/>
          </w:tcPr>
          <w:p w14:paraId="4003542B">
            <w:pPr>
              <w:spacing w:line="360" w:lineRule="exact"/>
              <w:jc w:val="center"/>
              <w:rPr>
                <w:rFonts w:cstheme="minorBidi"/>
                <w:color w:val="auto"/>
                <w:szCs w:val="21"/>
                <w:highlight w:val="none"/>
              </w:rPr>
            </w:pPr>
            <w:r>
              <w:rPr>
                <w:rFonts w:hint="eastAsia"/>
                <w:color w:val="auto"/>
                <w:highlight w:val="none"/>
              </w:rPr>
              <w:t>3.00E-01</w:t>
            </w:r>
          </w:p>
        </w:tc>
        <w:tc>
          <w:tcPr>
            <w:tcW w:w="383" w:type="pct"/>
            <w:tcBorders>
              <w:tl2br w:val="nil"/>
              <w:tr2bl w:val="nil"/>
            </w:tcBorders>
            <w:shd w:val="clear" w:color="auto" w:fill="auto"/>
            <w:noWrap/>
            <w:vAlign w:val="center"/>
          </w:tcPr>
          <w:p w14:paraId="70261D58">
            <w:pPr>
              <w:spacing w:line="360" w:lineRule="exact"/>
              <w:jc w:val="center"/>
              <w:rPr>
                <w:rFonts w:cstheme="minorBidi"/>
                <w:color w:val="auto"/>
                <w:szCs w:val="21"/>
                <w:highlight w:val="none"/>
              </w:rPr>
            </w:pPr>
            <w:r>
              <w:rPr>
                <w:rFonts w:hint="eastAsia"/>
                <w:color w:val="auto"/>
                <w:highlight w:val="none"/>
              </w:rPr>
              <w:t>2.63</w:t>
            </w:r>
          </w:p>
        </w:tc>
        <w:tc>
          <w:tcPr>
            <w:tcW w:w="391" w:type="pct"/>
            <w:tcBorders>
              <w:tl2br w:val="nil"/>
              <w:tr2bl w:val="nil"/>
            </w:tcBorders>
            <w:shd w:val="clear" w:color="auto" w:fill="auto"/>
            <w:vAlign w:val="center"/>
          </w:tcPr>
          <w:p w14:paraId="01B1CDD2">
            <w:pPr>
              <w:spacing w:line="360" w:lineRule="exact"/>
              <w:jc w:val="center"/>
              <w:rPr>
                <w:rFonts w:cstheme="minorBidi"/>
                <w:color w:val="auto"/>
                <w:szCs w:val="21"/>
                <w:highlight w:val="none"/>
              </w:rPr>
            </w:pPr>
            <w:r>
              <w:rPr>
                <w:rFonts w:hint="eastAsia"/>
                <w:color w:val="auto"/>
                <w:highlight w:val="none"/>
              </w:rPr>
              <w:t>达标</w:t>
            </w:r>
          </w:p>
        </w:tc>
      </w:tr>
      <w:tr w14:paraId="26F8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7" w:hRule="atLeast"/>
          <w:tblHeader/>
        </w:trPr>
        <w:tc>
          <w:tcPr>
            <w:tcW w:w="364" w:type="pct"/>
            <w:vMerge w:val="restart"/>
            <w:tcBorders>
              <w:tl2br w:val="nil"/>
              <w:tr2bl w:val="nil"/>
            </w:tcBorders>
            <w:noWrap/>
            <w:vAlign w:val="center"/>
          </w:tcPr>
          <w:p w14:paraId="1D2DABA3">
            <w:pPr>
              <w:spacing w:line="360" w:lineRule="exact"/>
              <w:jc w:val="center"/>
              <w:rPr>
                <w:rFonts w:cstheme="minorBidi"/>
                <w:color w:val="auto"/>
                <w:szCs w:val="21"/>
                <w:highlight w:val="none"/>
              </w:rPr>
            </w:pPr>
            <w:r>
              <w:rPr>
                <w:rFonts w:hint="eastAsia" w:cstheme="minorBidi"/>
                <w:color w:val="auto"/>
                <w:szCs w:val="21"/>
                <w:highlight w:val="none"/>
              </w:rPr>
              <w:t>NMHC</w:t>
            </w:r>
          </w:p>
        </w:tc>
        <w:tc>
          <w:tcPr>
            <w:tcW w:w="320" w:type="pct"/>
            <w:tcBorders>
              <w:tl2br w:val="nil"/>
              <w:tr2bl w:val="nil"/>
            </w:tcBorders>
            <w:noWrap/>
            <w:vAlign w:val="center"/>
          </w:tcPr>
          <w:p w14:paraId="7B1A84B1">
            <w:pPr>
              <w:spacing w:line="360" w:lineRule="exact"/>
              <w:jc w:val="center"/>
              <w:rPr>
                <w:rFonts w:cstheme="minorBidi"/>
                <w:color w:val="auto"/>
                <w:szCs w:val="21"/>
                <w:highlight w:val="none"/>
              </w:rPr>
            </w:pPr>
            <w:r>
              <w:rPr>
                <w:rFonts w:hint="eastAsia" w:cstheme="minorBidi"/>
                <w:color w:val="auto"/>
                <w:szCs w:val="21"/>
                <w:highlight w:val="none"/>
              </w:rPr>
              <w:t>1</w:t>
            </w:r>
          </w:p>
        </w:tc>
        <w:tc>
          <w:tcPr>
            <w:tcW w:w="510" w:type="pct"/>
            <w:tcBorders>
              <w:tl2br w:val="nil"/>
              <w:tr2bl w:val="nil"/>
            </w:tcBorders>
            <w:shd w:val="clear" w:color="auto" w:fill="auto"/>
            <w:vAlign w:val="center"/>
          </w:tcPr>
          <w:p w14:paraId="690115C6">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23" w:type="pct"/>
            <w:tcBorders>
              <w:tl2br w:val="nil"/>
              <w:tr2bl w:val="nil"/>
            </w:tcBorders>
            <w:shd w:val="clear" w:color="auto" w:fill="auto"/>
            <w:noWrap/>
            <w:vAlign w:val="center"/>
          </w:tcPr>
          <w:p w14:paraId="7302C84B">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30DC0B53">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shd w:val="clear" w:color="auto" w:fill="auto"/>
            <w:noWrap/>
            <w:vAlign w:val="center"/>
          </w:tcPr>
          <w:p w14:paraId="06C11DFA">
            <w:pPr>
              <w:spacing w:line="360" w:lineRule="exact"/>
              <w:jc w:val="center"/>
              <w:rPr>
                <w:rFonts w:cstheme="minorBidi"/>
                <w:color w:val="auto"/>
                <w:szCs w:val="21"/>
                <w:highlight w:val="none"/>
              </w:rPr>
            </w:pPr>
            <w:r>
              <w:rPr>
                <w:rFonts w:hint="eastAsia"/>
                <w:color w:val="auto"/>
                <w:highlight w:val="none"/>
              </w:rPr>
              <w:t>1.17E-03</w:t>
            </w:r>
          </w:p>
        </w:tc>
        <w:tc>
          <w:tcPr>
            <w:tcW w:w="679" w:type="pct"/>
            <w:tcBorders>
              <w:tl2br w:val="nil"/>
              <w:tr2bl w:val="nil"/>
            </w:tcBorders>
            <w:shd w:val="clear" w:color="auto" w:fill="auto"/>
            <w:noWrap/>
            <w:vAlign w:val="center"/>
          </w:tcPr>
          <w:p w14:paraId="243B01C4">
            <w:pPr>
              <w:spacing w:line="360" w:lineRule="exact"/>
              <w:jc w:val="center"/>
              <w:rPr>
                <w:rFonts w:cstheme="minorBidi"/>
                <w:color w:val="auto"/>
                <w:szCs w:val="21"/>
                <w:highlight w:val="none"/>
              </w:rPr>
            </w:pPr>
            <w:r>
              <w:rPr>
                <w:rFonts w:hint="eastAsia"/>
                <w:color w:val="auto"/>
                <w:highlight w:val="none"/>
              </w:rPr>
              <w:t>24123110</w:t>
            </w:r>
          </w:p>
        </w:tc>
        <w:tc>
          <w:tcPr>
            <w:tcW w:w="531" w:type="pct"/>
            <w:tcBorders>
              <w:tl2br w:val="nil"/>
              <w:tr2bl w:val="nil"/>
            </w:tcBorders>
            <w:shd w:val="clear" w:color="auto" w:fill="auto"/>
            <w:noWrap/>
            <w:vAlign w:val="center"/>
          </w:tcPr>
          <w:p w14:paraId="452A6D29">
            <w:pPr>
              <w:spacing w:line="360" w:lineRule="exact"/>
              <w:jc w:val="center"/>
              <w:rPr>
                <w:rFonts w:cstheme="minorBidi"/>
                <w:color w:val="auto"/>
                <w:szCs w:val="21"/>
                <w:highlight w:val="none"/>
              </w:rPr>
            </w:pPr>
            <w:r>
              <w:rPr>
                <w:rFonts w:hint="eastAsia"/>
                <w:color w:val="auto"/>
                <w:highlight w:val="none"/>
              </w:rPr>
              <w:t>2.00E+00</w:t>
            </w:r>
          </w:p>
        </w:tc>
        <w:tc>
          <w:tcPr>
            <w:tcW w:w="383" w:type="pct"/>
            <w:tcBorders>
              <w:tl2br w:val="nil"/>
              <w:tr2bl w:val="nil"/>
            </w:tcBorders>
            <w:shd w:val="clear" w:color="auto" w:fill="auto"/>
            <w:noWrap/>
            <w:vAlign w:val="center"/>
          </w:tcPr>
          <w:p w14:paraId="4BFEAD37">
            <w:pPr>
              <w:spacing w:line="360" w:lineRule="exact"/>
              <w:jc w:val="center"/>
              <w:rPr>
                <w:rFonts w:cstheme="minorBidi"/>
                <w:color w:val="auto"/>
                <w:szCs w:val="21"/>
                <w:highlight w:val="none"/>
              </w:rPr>
            </w:pPr>
            <w:r>
              <w:rPr>
                <w:rFonts w:hint="eastAsia"/>
                <w:color w:val="auto"/>
                <w:highlight w:val="none"/>
              </w:rPr>
              <w:t>0.06</w:t>
            </w:r>
          </w:p>
        </w:tc>
        <w:tc>
          <w:tcPr>
            <w:tcW w:w="391" w:type="pct"/>
            <w:tcBorders>
              <w:tl2br w:val="nil"/>
              <w:tr2bl w:val="nil"/>
            </w:tcBorders>
            <w:shd w:val="clear" w:color="auto" w:fill="auto"/>
            <w:vAlign w:val="center"/>
          </w:tcPr>
          <w:p w14:paraId="2D9A82F1">
            <w:pPr>
              <w:spacing w:line="360" w:lineRule="exact"/>
              <w:jc w:val="center"/>
              <w:rPr>
                <w:rFonts w:cstheme="minorBidi"/>
                <w:color w:val="auto"/>
                <w:szCs w:val="21"/>
                <w:highlight w:val="none"/>
              </w:rPr>
            </w:pPr>
            <w:r>
              <w:rPr>
                <w:rFonts w:hint="eastAsia"/>
                <w:color w:val="auto"/>
                <w:highlight w:val="none"/>
              </w:rPr>
              <w:t>达标</w:t>
            </w:r>
          </w:p>
        </w:tc>
      </w:tr>
      <w:tr w14:paraId="27EF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2" w:hRule="atLeast"/>
          <w:tblHeader/>
        </w:trPr>
        <w:tc>
          <w:tcPr>
            <w:tcW w:w="364" w:type="pct"/>
            <w:vMerge w:val="continue"/>
            <w:tcBorders>
              <w:tl2br w:val="nil"/>
              <w:tr2bl w:val="nil"/>
            </w:tcBorders>
            <w:noWrap/>
            <w:vAlign w:val="center"/>
          </w:tcPr>
          <w:p w14:paraId="10B8ED47">
            <w:pPr>
              <w:spacing w:line="360" w:lineRule="exact"/>
              <w:jc w:val="center"/>
              <w:rPr>
                <w:rFonts w:cstheme="minorBidi"/>
                <w:color w:val="auto"/>
                <w:szCs w:val="21"/>
                <w:highlight w:val="none"/>
              </w:rPr>
            </w:pPr>
          </w:p>
        </w:tc>
        <w:tc>
          <w:tcPr>
            <w:tcW w:w="320" w:type="pct"/>
            <w:tcBorders>
              <w:tl2br w:val="nil"/>
              <w:tr2bl w:val="nil"/>
            </w:tcBorders>
            <w:noWrap/>
            <w:vAlign w:val="center"/>
          </w:tcPr>
          <w:p w14:paraId="196B3C5E">
            <w:pPr>
              <w:spacing w:line="360" w:lineRule="exact"/>
              <w:jc w:val="center"/>
              <w:rPr>
                <w:rFonts w:cstheme="minorBidi"/>
                <w:color w:val="auto"/>
                <w:szCs w:val="21"/>
                <w:highlight w:val="none"/>
              </w:rPr>
            </w:pPr>
            <w:r>
              <w:rPr>
                <w:rFonts w:hint="eastAsia" w:cstheme="minorBidi"/>
                <w:color w:val="auto"/>
                <w:szCs w:val="21"/>
                <w:highlight w:val="none"/>
              </w:rPr>
              <w:t>2</w:t>
            </w:r>
          </w:p>
        </w:tc>
        <w:tc>
          <w:tcPr>
            <w:tcW w:w="510" w:type="pct"/>
            <w:tcBorders>
              <w:tl2br w:val="nil"/>
              <w:tr2bl w:val="nil"/>
            </w:tcBorders>
            <w:shd w:val="clear" w:color="auto" w:fill="auto"/>
            <w:vAlign w:val="center"/>
          </w:tcPr>
          <w:p w14:paraId="597C0BE6">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23" w:type="pct"/>
            <w:tcBorders>
              <w:tl2br w:val="nil"/>
              <w:tr2bl w:val="nil"/>
            </w:tcBorders>
            <w:shd w:val="clear" w:color="auto" w:fill="auto"/>
            <w:noWrap/>
            <w:vAlign w:val="center"/>
          </w:tcPr>
          <w:p w14:paraId="1E0072AB">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-13</w:t>
            </w:r>
            <w:r>
              <w:rPr>
                <w:rFonts w:hint="eastAsia" w:cstheme="minorBidi"/>
                <w:color w:val="auto"/>
                <w:szCs w:val="21"/>
                <w:highlight w:val="none"/>
                <w:lang w:eastAsia="zh-CN"/>
              </w:rPr>
              <w:t>，</w:t>
            </w:r>
            <w:r>
              <w:rPr>
                <w:rFonts w:hint="eastAsia" w:cstheme="minorBidi"/>
                <w:color w:val="auto"/>
                <w:szCs w:val="21"/>
                <w:highlight w:val="none"/>
                <w:lang w:val="en-US" w:eastAsia="zh-CN"/>
              </w:rPr>
              <w:t>95</w:t>
            </w:r>
            <w:r>
              <w:rPr>
                <w:rFonts w:hint="eastAsia" w:cstheme="minorBidi"/>
                <w:color w:val="auto"/>
                <w:szCs w:val="21"/>
                <w:highlight w:val="none"/>
                <w:lang w:eastAsia="zh-CN"/>
              </w:rPr>
              <w:t>）</w:t>
            </w:r>
          </w:p>
        </w:tc>
        <w:tc>
          <w:tcPr>
            <w:tcW w:w="630" w:type="pct"/>
            <w:tcBorders>
              <w:tl2br w:val="nil"/>
              <w:tr2bl w:val="nil"/>
            </w:tcBorders>
            <w:shd w:val="clear" w:color="auto" w:fill="auto"/>
            <w:noWrap/>
            <w:vAlign w:val="center"/>
          </w:tcPr>
          <w:p w14:paraId="0682F053">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563" w:type="pct"/>
            <w:tcBorders>
              <w:tl2br w:val="nil"/>
              <w:tr2bl w:val="nil"/>
            </w:tcBorders>
            <w:shd w:val="clear" w:color="auto" w:fill="auto"/>
            <w:noWrap/>
            <w:vAlign w:val="center"/>
          </w:tcPr>
          <w:p w14:paraId="72580CD6">
            <w:pPr>
              <w:spacing w:line="360" w:lineRule="exact"/>
              <w:jc w:val="center"/>
              <w:rPr>
                <w:rFonts w:cstheme="minorBidi"/>
                <w:color w:val="auto"/>
                <w:szCs w:val="21"/>
                <w:highlight w:val="none"/>
              </w:rPr>
            </w:pPr>
            <w:r>
              <w:rPr>
                <w:rFonts w:hint="eastAsia"/>
                <w:color w:val="auto"/>
                <w:highlight w:val="none"/>
              </w:rPr>
              <w:t>9.75E-03</w:t>
            </w:r>
          </w:p>
        </w:tc>
        <w:tc>
          <w:tcPr>
            <w:tcW w:w="679" w:type="pct"/>
            <w:tcBorders>
              <w:tl2br w:val="nil"/>
              <w:tr2bl w:val="nil"/>
            </w:tcBorders>
            <w:shd w:val="clear" w:color="auto" w:fill="auto"/>
            <w:noWrap/>
            <w:vAlign w:val="center"/>
          </w:tcPr>
          <w:p w14:paraId="69201CBA">
            <w:pPr>
              <w:spacing w:line="360" w:lineRule="exact"/>
              <w:jc w:val="center"/>
              <w:rPr>
                <w:rFonts w:cstheme="minorBidi"/>
                <w:color w:val="auto"/>
                <w:szCs w:val="21"/>
                <w:highlight w:val="none"/>
              </w:rPr>
            </w:pPr>
            <w:r>
              <w:rPr>
                <w:rFonts w:hint="eastAsia"/>
                <w:color w:val="auto"/>
                <w:highlight w:val="none"/>
              </w:rPr>
              <w:t>24122514</w:t>
            </w:r>
          </w:p>
        </w:tc>
        <w:tc>
          <w:tcPr>
            <w:tcW w:w="531" w:type="pct"/>
            <w:tcBorders>
              <w:tl2br w:val="nil"/>
              <w:tr2bl w:val="nil"/>
            </w:tcBorders>
            <w:shd w:val="clear" w:color="auto" w:fill="auto"/>
            <w:noWrap/>
            <w:vAlign w:val="center"/>
          </w:tcPr>
          <w:p w14:paraId="6AA50C9A">
            <w:pPr>
              <w:spacing w:line="360" w:lineRule="exact"/>
              <w:jc w:val="center"/>
              <w:rPr>
                <w:rFonts w:cstheme="minorBidi"/>
                <w:color w:val="auto"/>
                <w:szCs w:val="21"/>
                <w:highlight w:val="none"/>
              </w:rPr>
            </w:pPr>
            <w:r>
              <w:rPr>
                <w:rFonts w:hint="eastAsia"/>
                <w:color w:val="auto"/>
                <w:highlight w:val="none"/>
              </w:rPr>
              <w:t>2.00E+00</w:t>
            </w:r>
          </w:p>
        </w:tc>
        <w:tc>
          <w:tcPr>
            <w:tcW w:w="383" w:type="pct"/>
            <w:tcBorders>
              <w:tl2br w:val="nil"/>
              <w:tr2bl w:val="nil"/>
            </w:tcBorders>
            <w:shd w:val="clear" w:color="auto" w:fill="auto"/>
            <w:noWrap/>
            <w:vAlign w:val="center"/>
          </w:tcPr>
          <w:p w14:paraId="74B275EB">
            <w:pPr>
              <w:spacing w:line="360" w:lineRule="exact"/>
              <w:jc w:val="center"/>
              <w:rPr>
                <w:rFonts w:cstheme="minorBidi"/>
                <w:color w:val="auto"/>
                <w:szCs w:val="21"/>
                <w:highlight w:val="none"/>
              </w:rPr>
            </w:pPr>
            <w:r>
              <w:rPr>
                <w:rFonts w:hint="eastAsia"/>
                <w:color w:val="auto"/>
                <w:highlight w:val="none"/>
              </w:rPr>
              <w:t>0.49</w:t>
            </w:r>
          </w:p>
        </w:tc>
        <w:tc>
          <w:tcPr>
            <w:tcW w:w="391" w:type="pct"/>
            <w:tcBorders>
              <w:tl2br w:val="nil"/>
              <w:tr2bl w:val="nil"/>
            </w:tcBorders>
            <w:shd w:val="clear" w:color="auto" w:fill="auto"/>
            <w:vAlign w:val="center"/>
          </w:tcPr>
          <w:p w14:paraId="5DCB9FB8">
            <w:pPr>
              <w:spacing w:line="360" w:lineRule="exact"/>
              <w:jc w:val="center"/>
              <w:rPr>
                <w:rFonts w:cstheme="minorBidi"/>
                <w:color w:val="auto"/>
                <w:szCs w:val="21"/>
                <w:highlight w:val="none"/>
              </w:rPr>
            </w:pPr>
            <w:r>
              <w:rPr>
                <w:rFonts w:hint="eastAsia"/>
                <w:color w:val="auto"/>
                <w:highlight w:val="none"/>
              </w:rPr>
              <w:t>达标</w:t>
            </w:r>
          </w:p>
        </w:tc>
      </w:tr>
    </w:tbl>
    <w:p w14:paraId="28B098EC">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cs="Times New Roman"/>
          <w:color w:val="auto"/>
          <w:highlight w:val="none"/>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cs="Times New Roman"/>
          <w:snapToGrid w:val="0"/>
          <w:color w:val="auto"/>
          <w:kern w:val="0"/>
          <w:sz w:val="24"/>
          <w:highlight w:val="none"/>
        </w:rPr>
        <w:t>从</w:t>
      </w:r>
      <w:r>
        <w:rPr>
          <w:rFonts w:hint="eastAsia" w:ascii="Times New Roman" w:hAnsi="Times New Roman" w:cs="Times New Roman"/>
          <w:snapToGrid w:val="0"/>
          <w:color w:val="auto"/>
          <w:kern w:val="0"/>
          <w:sz w:val="24"/>
          <w:highlight w:val="none"/>
        </w:rPr>
        <w:t>上表</w:t>
      </w:r>
      <w:r>
        <w:rPr>
          <w:rFonts w:ascii="Times New Roman" w:hAnsi="Times New Roman" w:cs="Times New Roman"/>
          <w:snapToGrid w:val="0"/>
          <w:color w:val="auto"/>
          <w:kern w:val="0"/>
          <w:sz w:val="24"/>
          <w:highlight w:val="none"/>
        </w:rPr>
        <w:t>可以看出：</w:t>
      </w:r>
      <w:r>
        <w:rPr>
          <w:rFonts w:hint="eastAsia" w:ascii="Times New Roman" w:hAnsi="Times New Roman" w:cs="Times New Roman"/>
          <w:snapToGrid w:val="0"/>
          <w:color w:val="auto"/>
          <w:kern w:val="0"/>
          <w:sz w:val="24"/>
          <w:highlight w:val="none"/>
        </w:rPr>
        <w:t>新增污染源正常排放下污染物短期浓度贡献值的最大浓度占标率≤100%，新增污染源正常排放下污染物年均浓度贡献值的最大浓度占标率≤30%</w:t>
      </w:r>
      <w:r>
        <w:rPr>
          <w:rFonts w:ascii="Times New Roman" w:hAnsi="Times New Roman" w:cs="Times New Roman"/>
          <w:snapToGrid w:val="0"/>
          <w:color w:val="auto"/>
          <w:kern w:val="0"/>
          <w:sz w:val="24"/>
          <w:highlight w:val="none"/>
        </w:rPr>
        <w:t>。</w:t>
      </w:r>
    </w:p>
    <w:p w14:paraId="28D4F23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6.2.1.6正常工况下污染物叠加预测及结果分析</w:t>
      </w:r>
    </w:p>
    <w:p w14:paraId="43CEAB3B">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新增污染源正常排放下，叠加背景浓度后各污染物最大落地浓度、发生的时间及占标率统计见表</w:t>
      </w:r>
      <w:r>
        <w:rPr>
          <w:rFonts w:hint="eastAsia" w:ascii="Times New Roman" w:hAnsi="Times New Roman" w:eastAsia="宋体" w:cs="Times New Roman"/>
          <w:snapToGrid w:val="0"/>
          <w:color w:val="auto"/>
          <w:kern w:val="0"/>
          <w:highlight w:val="none"/>
        </w:rPr>
        <w:t>6</w:t>
      </w:r>
      <w:r>
        <w:rPr>
          <w:rFonts w:ascii="Times New Roman" w:hAnsi="Times New Roman" w:eastAsia="宋体" w:cs="Times New Roman"/>
          <w:snapToGrid w:val="0"/>
          <w:color w:val="auto"/>
          <w:kern w:val="0"/>
          <w:highlight w:val="none"/>
        </w:rPr>
        <w:t>.2-</w:t>
      </w:r>
      <w:r>
        <w:rPr>
          <w:rFonts w:hint="eastAsia" w:ascii="Times New Roman" w:hAnsi="Times New Roman" w:eastAsia="宋体" w:cs="Times New Roman"/>
          <w:snapToGrid w:val="0"/>
          <w:color w:val="auto"/>
          <w:kern w:val="0"/>
          <w:highlight w:val="none"/>
          <w:lang w:val="en-US" w:eastAsia="zh-CN"/>
        </w:rPr>
        <w:t>20</w:t>
      </w:r>
      <w:r>
        <w:rPr>
          <w:rFonts w:ascii="Times New Roman" w:hAnsi="Times New Roman" w:eastAsia="宋体" w:cs="Times New Roman"/>
          <w:snapToGrid w:val="0"/>
          <w:color w:val="auto"/>
          <w:kern w:val="0"/>
          <w:highlight w:val="none"/>
        </w:rPr>
        <w:t>。其中：</w:t>
      </w:r>
    </w:p>
    <w:p w14:paraId="254B6F9A">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（1）SO</w:t>
      </w:r>
      <w:r>
        <w:rPr>
          <w:rFonts w:ascii="Times New Roman" w:hAnsi="Times New Roman" w:eastAsia="宋体" w:cs="Times New Roman"/>
          <w:snapToGrid w:val="0"/>
          <w:color w:val="auto"/>
          <w:kern w:val="0"/>
          <w:highlight w:val="none"/>
          <w:vertAlign w:val="subscript"/>
        </w:rPr>
        <w:t>2</w:t>
      </w:r>
      <w:r>
        <w:rPr>
          <w:rFonts w:ascii="Times New Roman" w:hAnsi="Times New Roman" w:eastAsia="宋体" w:cs="Times New Roman"/>
          <w:snapToGrid w:val="0"/>
          <w:color w:val="auto"/>
          <w:kern w:val="0"/>
          <w:highlight w:val="none"/>
        </w:rPr>
        <w:t>、NO</w:t>
      </w:r>
      <w:r>
        <w:rPr>
          <w:rFonts w:ascii="Times New Roman" w:hAnsi="Times New Roman" w:eastAsia="宋体" w:cs="Times New Roman"/>
          <w:snapToGrid w:val="0"/>
          <w:color w:val="auto"/>
          <w:kern w:val="0"/>
          <w:highlight w:val="none"/>
          <w:vertAlign w:val="subscript"/>
        </w:rPr>
        <w:t>2</w:t>
      </w:r>
      <w:r>
        <w:rPr>
          <w:rFonts w:ascii="Times New Roman" w:hAnsi="Times New Roman" w:eastAsia="宋体" w:cs="Times New Roman"/>
          <w:snapToGrid w:val="0"/>
          <w:color w:val="auto"/>
          <w:kern w:val="0"/>
          <w:highlight w:val="none"/>
        </w:rPr>
        <w:t>为叠加背景浓度</w:t>
      </w:r>
      <w:r>
        <w:rPr>
          <w:rFonts w:hint="eastAsia" w:ascii="Times New Roman" w:hAnsi="Times New Roman" w:eastAsia="宋体" w:cs="Times New Roman"/>
          <w:snapToGrid w:val="0"/>
          <w:color w:val="auto"/>
          <w:kern w:val="0"/>
          <w:highlight w:val="none"/>
        </w:rPr>
        <w:t>+在建拟建项目污染源</w:t>
      </w:r>
      <w:r>
        <w:rPr>
          <w:rFonts w:ascii="Times New Roman" w:hAnsi="Times New Roman" w:eastAsia="宋体" w:cs="Times New Roman"/>
          <w:snapToGrid w:val="0"/>
          <w:color w:val="auto"/>
          <w:kern w:val="0"/>
          <w:highlight w:val="none"/>
        </w:rPr>
        <w:t>后保证率日平均及年平均评价结果；</w:t>
      </w:r>
    </w:p>
    <w:p w14:paraId="5D251700">
      <w:pPr>
        <w:pStyle w:val="504"/>
        <w:adjustRightInd w:val="0"/>
        <w:snapToGrid w:val="0"/>
        <w:spacing w:line="360" w:lineRule="auto"/>
        <w:ind w:firstLine="480"/>
        <w:rPr>
          <w:rFonts w:ascii="Times New Roman" w:hAnsi="Times New Roman" w:eastAsia="宋体" w:cs="Times New Roman"/>
          <w:snapToGrid w:val="0"/>
          <w:color w:val="auto"/>
          <w:kern w:val="0"/>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rPr>
        <w:t>2</w:t>
      </w:r>
      <w:r>
        <w:rPr>
          <w:rFonts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rPr>
        <w:t>H</w:t>
      </w:r>
      <w:r>
        <w:rPr>
          <w:rFonts w:hint="eastAsia" w:ascii="Times New Roman" w:hAnsi="Times New Roman" w:eastAsia="宋体" w:cs="Times New Roman"/>
          <w:snapToGrid w:val="0"/>
          <w:color w:val="auto"/>
          <w:kern w:val="0"/>
          <w:highlight w:val="none"/>
          <w:vertAlign w:val="subscript"/>
        </w:rPr>
        <w:t>2</w:t>
      </w:r>
      <w:r>
        <w:rPr>
          <w:rFonts w:hint="eastAsia" w:ascii="Times New Roman" w:hAnsi="Times New Roman" w:eastAsia="宋体" w:cs="Times New Roman"/>
          <w:snapToGrid w:val="0"/>
          <w:color w:val="auto"/>
          <w:kern w:val="0"/>
          <w:highlight w:val="none"/>
        </w:rPr>
        <w:t>SO</w:t>
      </w:r>
      <w:r>
        <w:rPr>
          <w:rFonts w:hint="eastAsia" w:ascii="Times New Roman" w:hAnsi="Times New Roman" w:eastAsia="宋体" w:cs="Times New Roman"/>
          <w:snapToGrid w:val="0"/>
          <w:color w:val="auto"/>
          <w:kern w:val="0"/>
          <w:highlight w:val="none"/>
          <w:vertAlign w:val="subscript"/>
        </w:rPr>
        <w:t>4</w:t>
      </w:r>
      <w:r>
        <w:rPr>
          <w:rFonts w:hint="eastAsia" w:ascii="Times New Roman" w:hAnsi="Times New Roman" w:eastAsia="宋体" w:cs="Times New Roman"/>
          <w:snapToGrid w:val="0"/>
          <w:color w:val="auto"/>
          <w:kern w:val="0"/>
          <w:highlight w:val="none"/>
          <w:vertAlign w:val="baseline"/>
          <w:lang w:eastAsia="zh-CN"/>
        </w:rPr>
        <w:t>、</w:t>
      </w:r>
      <w:r>
        <w:rPr>
          <w:rFonts w:hint="eastAsia" w:ascii="Times New Roman" w:hAnsi="Times New Roman" w:eastAsia="宋体" w:cs="Times New Roman"/>
          <w:snapToGrid w:val="0"/>
          <w:color w:val="auto"/>
          <w:kern w:val="0"/>
          <w:highlight w:val="none"/>
          <w:vertAlign w:val="baseline"/>
          <w:lang w:val="en-US" w:eastAsia="zh-CN"/>
        </w:rPr>
        <w:t>NH</w:t>
      </w:r>
      <w:r>
        <w:rPr>
          <w:rFonts w:hint="eastAsia" w:ascii="Times New Roman" w:hAnsi="Times New Roman" w:eastAsia="宋体" w:cs="Times New Roman"/>
          <w:snapToGrid w:val="0"/>
          <w:color w:val="auto"/>
          <w:kern w:val="0"/>
          <w:highlight w:val="none"/>
          <w:vertAlign w:val="subscript"/>
          <w:lang w:val="en-US" w:eastAsia="zh-CN"/>
        </w:rPr>
        <w:t>3</w:t>
      </w:r>
      <w:r>
        <w:rPr>
          <w:rFonts w:hint="eastAsia" w:ascii="Times New Roman" w:hAnsi="Times New Roman" w:eastAsia="宋体" w:cs="Times New Roman"/>
          <w:snapToGrid w:val="0"/>
          <w:color w:val="auto"/>
          <w:kern w:val="0"/>
          <w:highlight w:val="none"/>
          <w:vertAlign w:val="baseline"/>
          <w:lang w:val="en-US" w:eastAsia="zh-CN"/>
        </w:rPr>
        <w:t>、</w:t>
      </w:r>
      <w:r>
        <w:rPr>
          <w:rFonts w:hint="eastAsia" w:ascii="Times New Roman" w:hAnsi="Times New Roman" w:eastAsia="宋体" w:cs="Times New Roman"/>
          <w:snapToGrid w:val="0"/>
          <w:color w:val="auto"/>
          <w:kern w:val="0"/>
          <w:highlight w:val="none"/>
        </w:rPr>
        <w:t>NMHC</w:t>
      </w:r>
      <w:r>
        <w:rPr>
          <w:rFonts w:hint="eastAsia" w:ascii="Times New Roman" w:hAnsi="Times New Roman" w:eastAsia="宋体" w:cs="Times New Roman"/>
          <w:snapToGrid w:val="0"/>
          <w:color w:val="auto"/>
          <w:kern w:val="0"/>
          <w:highlight w:val="none"/>
          <w:lang w:val="en-US" w:eastAsia="zh-CN"/>
        </w:rPr>
        <w:t>和H</w:t>
      </w:r>
      <w:r>
        <w:rPr>
          <w:rFonts w:hint="eastAsia" w:ascii="Times New Roman" w:hAnsi="Times New Roman" w:eastAsia="宋体" w:cs="Times New Roman"/>
          <w:snapToGrid w:val="0"/>
          <w:color w:val="auto"/>
          <w:kern w:val="0"/>
          <w:highlight w:val="none"/>
          <w:vertAlign w:val="subscript"/>
          <w:lang w:val="en-US" w:eastAsia="zh-CN"/>
        </w:rPr>
        <w:t>2</w:t>
      </w:r>
      <w:r>
        <w:rPr>
          <w:rFonts w:hint="eastAsia" w:ascii="Times New Roman" w:hAnsi="Times New Roman" w:eastAsia="宋体" w:cs="Times New Roman"/>
          <w:snapToGrid w:val="0"/>
          <w:color w:val="auto"/>
          <w:kern w:val="0"/>
          <w:highlight w:val="none"/>
          <w:lang w:val="en-US" w:eastAsia="zh-CN"/>
        </w:rPr>
        <w:t>S</w:t>
      </w:r>
      <w:r>
        <w:rPr>
          <w:rFonts w:ascii="Times New Roman" w:hAnsi="Times New Roman" w:eastAsia="宋体" w:cs="Times New Roman"/>
          <w:snapToGrid w:val="0"/>
          <w:color w:val="auto"/>
          <w:kern w:val="0"/>
          <w:highlight w:val="none"/>
        </w:rPr>
        <w:t>为叠加背景浓度</w:t>
      </w:r>
      <w:r>
        <w:rPr>
          <w:rFonts w:hint="eastAsia" w:ascii="Times New Roman" w:hAnsi="Times New Roman" w:eastAsia="宋体" w:cs="Times New Roman"/>
          <w:snapToGrid w:val="0"/>
          <w:color w:val="auto"/>
          <w:kern w:val="0"/>
          <w:highlight w:val="none"/>
        </w:rPr>
        <w:t>+在建拟建项目污染源</w:t>
      </w:r>
      <w:r>
        <w:rPr>
          <w:rFonts w:ascii="Times New Roman" w:hAnsi="Times New Roman" w:eastAsia="宋体" w:cs="Times New Roman"/>
          <w:snapToGrid w:val="0"/>
          <w:color w:val="auto"/>
          <w:kern w:val="0"/>
          <w:highlight w:val="none"/>
        </w:rPr>
        <w:t>后短期浓度后的评价结果</w:t>
      </w:r>
      <w:r>
        <w:rPr>
          <w:rFonts w:hint="eastAsia" w:ascii="Times New Roman" w:hAnsi="Times New Roman" w:eastAsia="宋体" w:cs="Times New Roman"/>
          <w:snapToGrid w:val="0"/>
          <w:color w:val="auto"/>
          <w:kern w:val="0"/>
          <w:highlight w:val="none"/>
        </w:rPr>
        <w:t>。</w:t>
      </w:r>
    </w:p>
    <w:p w14:paraId="1182AF33">
      <w:pPr>
        <w:ind w:firstLine="482"/>
        <w:jc w:val="center"/>
        <w:rPr>
          <w:b/>
          <w:color w:val="auto"/>
          <w:kern w:val="0"/>
          <w:highlight w:val="none"/>
        </w:rPr>
      </w:pPr>
      <w:r>
        <w:rPr>
          <w:b/>
          <w:color w:val="auto"/>
          <w:kern w:val="0"/>
          <w:highlight w:val="none"/>
        </w:rPr>
        <w:t>表</w:t>
      </w:r>
      <w:r>
        <w:rPr>
          <w:rFonts w:hint="eastAsia"/>
          <w:b/>
          <w:color w:val="auto"/>
          <w:kern w:val="0"/>
          <w:highlight w:val="none"/>
        </w:rPr>
        <w:t>6</w:t>
      </w:r>
      <w:r>
        <w:rPr>
          <w:b/>
          <w:color w:val="auto"/>
          <w:kern w:val="0"/>
          <w:highlight w:val="none"/>
        </w:rPr>
        <w:t>.2-</w:t>
      </w:r>
      <w:r>
        <w:rPr>
          <w:rFonts w:hint="eastAsia"/>
          <w:b/>
          <w:color w:val="auto"/>
          <w:kern w:val="0"/>
          <w:highlight w:val="none"/>
          <w:lang w:val="en-US" w:eastAsia="zh-CN"/>
        </w:rPr>
        <w:t>20</w:t>
      </w:r>
      <w:r>
        <w:rPr>
          <w:b/>
          <w:color w:val="auto"/>
          <w:kern w:val="0"/>
          <w:highlight w:val="none"/>
        </w:rPr>
        <w:t xml:space="preserve"> </w:t>
      </w:r>
      <w:r>
        <w:rPr>
          <w:rFonts w:hint="eastAsia"/>
          <w:b/>
          <w:color w:val="auto"/>
          <w:kern w:val="0"/>
          <w:highlight w:val="none"/>
        </w:rPr>
        <w:t>本项目</w:t>
      </w:r>
      <w:r>
        <w:rPr>
          <w:b/>
          <w:color w:val="auto"/>
          <w:kern w:val="0"/>
          <w:highlight w:val="none"/>
        </w:rPr>
        <w:t>叠加后各污染物保证率日均值和年均值预测结果一览表</w:t>
      </w:r>
    </w:p>
    <w:tbl>
      <w:tblPr>
        <w:tblStyle w:val="56"/>
        <w:tblW w:w="50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01"/>
        <w:gridCol w:w="503"/>
        <w:gridCol w:w="1251"/>
        <w:gridCol w:w="1752"/>
        <w:gridCol w:w="1001"/>
        <w:gridCol w:w="1001"/>
        <w:gridCol w:w="1715"/>
        <w:gridCol w:w="1001"/>
        <w:gridCol w:w="2002"/>
        <w:gridCol w:w="1004"/>
        <w:gridCol w:w="964"/>
        <w:gridCol w:w="1005"/>
      </w:tblGrid>
      <w:tr w14:paraId="4D25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tcBorders>
              <w:tl2br w:val="nil"/>
              <w:tr2bl w:val="nil"/>
            </w:tcBorders>
            <w:noWrap/>
            <w:vAlign w:val="center"/>
          </w:tcPr>
          <w:p w14:paraId="15ADC9C8">
            <w:pPr>
              <w:spacing w:line="360" w:lineRule="exact"/>
              <w:jc w:val="center"/>
              <w:rPr>
                <w:rFonts w:cstheme="minorBidi"/>
                <w:color w:val="auto"/>
                <w:szCs w:val="21"/>
                <w:highlight w:val="none"/>
              </w:rPr>
            </w:pPr>
            <w:r>
              <w:rPr>
                <w:rFonts w:hint="eastAsia" w:cstheme="minorBidi"/>
                <w:color w:val="auto"/>
                <w:szCs w:val="21"/>
                <w:highlight w:val="none"/>
              </w:rPr>
              <w:t>污染因子</w:t>
            </w:r>
          </w:p>
        </w:tc>
        <w:tc>
          <w:tcPr>
            <w:tcW w:w="177" w:type="pct"/>
            <w:tcBorders>
              <w:tl2br w:val="nil"/>
              <w:tr2bl w:val="nil"/>
            </w:tcBorders>
            <w:noWrap/>
            <w:vAlign w:val="center"/>
          </w:tcPr>
          <w:p w14:paraId="62A76FB1">
            <w:pPr>
              <w:spacing w:line="360" w:lineRule="exact"/>
              <w:jc w:val="center"/>
              <w:rPr>
                <w:rFonts w:cstheme="minorBidi"/>
                <w:color w:val="auto"/>
                <w:szCs w:val="21"/>
                <w:highlight w:val="none"/>
              </w:rPr>
            </w:pPr>
            <w:r>
              <w:rPr>
                <w:rFonts w:cstheme="minorBidi"/>
                <w:color w:val="auto"/>
                <w:szCs w:val="21"/>
                <w:highlight w:val="none"/>
              </w:rPr>
              <w:t>序号</w:t>
            </w:r>
          </w:p>
        </w:tc>
        <w:tc>
          <w:tcPr>
            <w:tcW w:w="440" w:type="pct"/>
            <w:tcBorders>
              <w:tl2br w:val="nil"/>
              <w:tr2bl w:val="nil"/>
            </w:tcBorders>
            <w:vAlign w:val="center"/>
          </w:tcPr>
          <w:p w14:paraId="78C38442">
            <w:pPr>
              <w:spacing w:line="360" w:lineRule="exact"/>
              <w:jc w:val="center"/>
              <w:rPr>
                <w:rFonts w:cstheme="minorBidi"/>
                <w:color w:val="auto"/>
                <w:szCs w:val="21"/>
                <w:highlight w:val="none"/>
              </w:rPr>
            </w:pPr>
            <w:r>
              <w:rPr>
                <w:rFonts w:cstheme="minorBidi"/>
                <w:color w:val="auto"/>
                <w:szCs w:val="21"/>
                <w:highlight w:val="none"/>
              </w:rPr>
              <w:t>点名称</w:t>
            </w:r>
          </w:p>
        </w:tc>
        <w:tc>
          <w:tcPr>
            <w:tcW w:w="616" w:type="pct"/>
            <w:tcBorders>
              <w:tl2br w:val="nil"/>
              <w:tr2bl w:val="nil"/>
            </w:tcBorders>
            <w:noWrap/>
            <w:vAlign w:val="center"/>
          </w:tcPr>
          <w:p w14:paraId="528351EC">
            <w:pPr>
              <w:spacing w:line="360" w:lineRule="exact"/>
              <w:jc w:val="center"/>
              <w:rPr>
                <w:rFonts w:cstheme="minorBidi"/>
                <w:color w:val="auto"/>
                <w:szCs w:val="21"/>
                <w:highlight w:val="none"/>
              </w:rPr>
            </w:pPr>
            <w:r>
              <w:rPr>
                <w:rFonts w:cstheme="minorBidi"/>
                <w:color w:val="auto"/>
                <w:szCs w:val="21"/>
                <w:highlight w:val="none"/>
              </w:rPr>
              <w:t>点坐标</w:t>
            </w:r>
          </w:p>
          <w:p w14:paraId="2AFD1817">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x，y</w:t>
            </w:r>
            <w:r>
              <w:rPr>
                <w:rFonts w:hint="eastAsia" w:cstheme="minorBidi"/>
                <w:color w:val="auto"/>
                <w:szCs w:val="21"/>
                <w:highlight w:val="none"/>
                <w:lang w:eastAsia="zh-CN"/>
              </w:rPr>
              <w:t>）</w:t>
            </w:r>
          </w:p>
        </w:tc>
        <w:tc>
          <w:tcPr>
            <w:tcW w:w="352" w:type="pct"/>
            <w:tcBorders>
              <w:tl2br w:val="nil"/>
              <w:tr2bl w:val="nil"/>
            </w:tcBorders>
            <w:noWrap/>
            <w:vAlign w:val="center"/>
          </w:tcPr>
          <w:p w14:paraId="5C2E9760">
            <w:pPr>
              <w:spacing w:line="360" w:lineRule="exact"/>
              <w:jc w:val="center"/>
              <w:rPr>
                <w:rFonts w:cstheme="minorBidi"/>
                <w:color w:val="auto"/>
                <w:szCs w:val="21"/>
                <w:highlight w:val="none"/>
              </w:rPr>
            </w:pPr>
            <w:r>
              <w:rPr>
                <w:rFonts w:cstheme="minorBidi"/>
                <w:color w:val="auto"/>
                <w:szCs w:val="21"/>
                <w:highlight w:val="none"/>
              </w:rPr>
              <w:t>浓度类型</w:t>
            </w:r>
          </w:p>
        </w:tc>
        <w:tc>
          <w:tcPr>
            <w:tcW w:w="352" w:type="pct"/>
            <w:tcBorders>
              <w:tl2br w:val="nil"/>
              <w:tr2bl w:val="nil"/>
            </w:tcBorders>
            <w:noWrap/>
            <w:vAlign w:val="center"/>
          </w:tcPr>
          <w:p w14:paraId="08B39194">
            <w:pPr>
              <w:spacing w:line="360" w:lineRule="exact"/>
              <w:jc w:val="center"/>
              <w:rPr>
                <w:rFonts w:cstheme="minorBidi"/>
                <w:color w:val="auto"/>
                <w:szCs w:val="21"/>
                <w:highlight w:val="none"/>
              </w:rPr>
            </w:pPr>
            <w:r>
              <w:rPr>
                <w:rFonts w:cstheme="minorBidi"/>
                <w:color w:val="auto"/>
                <w:szCs w:val="21"/>
                <w:highlight w:val="none"/>
              </w:rPr>
              <w:t>浓度增量</w:t>
            </w:r>
          </w:p>
          <w:p w14:paraId="606F0261">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mg/m</w:t>
            </w:r>
            <w:r>
              <w:rPr>
                <w:rFonts w:cstheme="minorBidi"/>
                <w:color w:val="auto"/>
                <w:szCs w:val="21"/>
                <w:highlight w:val="none"/>
                <w:vertAlign w:val="superscript"/>
              </w:rPr>
              <w:t>3</w:t>
            </w:r>
            <w:r>
              <w:rPr>
                <w:rFonts w:hint="eastAsia" w:cstheme="minorBidi"/>
                <w:color w:val="auto"/>
                <w:szCs w:val="21"/>
                <w:highlight w:val="none"/>
                <w:lang w:eastAsia="zh-CN"/>
              </w:rPr>
              <w:t>）</w:t>
            </w:r>
          </w:p>
        </w:tc>
        <w:tc>
          <w:tcPr>
            <w:tcW w:w="603" w:type="pct"/>
            <w:tcBorders>
              <w:tl2br w:val="nil"/>
              <w:tr2bl w:val="nil"/>
            </w:tcBorders>
            <w:noWrap/>
            <w:vAlign w:val="center"/>
          </w:tcPr>
          <w:p w14:paraId="5EDF9765">
            <w:pPr>
              <w:spacing w:line="360" w:lineRule="exact"/>
              <w:jc w:val="center"/>
              <w:rPr>
                <w:rFonts w:cstheme="minorBidi"/>
                <w:color w:val="auto"/>
                <w:szCs w:val="21"/>
                <w:highlight w:val="none"/>
              </w:rPr>
            </w:pPr>
            <w:r>
              <w:rPr>
                <w:rFonts w:cstheme="minorBidi"/>
                <w:color w:val="auto"/>
                <w:szCs w:val="21"/>
                <w:highlight w:val="none"/>
              </w:rPr>
              <w:t>出现时间</w:t>
            </w:r>
          </w:p>
          <w:p w14:paraId="7C78D850">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YYMMDDHH</w:t>
            </w:r>
            <w:r>
              <w:rPr>
                <w:rFonts w:hint="eastAsia" w:cstheme="minorBidi"/>
                <w:color w:val="auto"/>
                <w:szCs w:val="21"/>
                <w:highlight w:val="none"/>
                <w:lang w:eastAsia="zh-CN"/>
              </w:rPr>
              <w:t>）</w:t>
            </w:r>
          </w:p>
        </w:tc>
        <w:tc>
          <w:tcPr>
            <w:tcW w:w="352" w:type="pct"/>
            <w:tcBorders>
              <w:tl2br w:val="nil"/>
              <w:tr2bl w:val="nil"/>
            </w:tcBorders>
            <w:noWrap/>
            <w:vAlign w:val="center"/>
          </w:tcPr>
          <w:p w14:paraId="2969E8FC">
            <w:pPr>
              <w:pStyle w:val="768"/>
              <w:rPr>
                <w:color w:val="auto"/>
                <w:highlight w:val="none"/>
              </w:rPr>
            </w:pPr>
            <w:r>
              <w:rPr>
                <w:color w:val="auto"/>
                <w:highlight w:val="none"/>
              </w:rPr>
              <w:t>背景浓度</w:t>
            </w:r>
          </w:p>
          <w:p w14:paraId="7BEAA325">
            <w:pPr>
              <w:pStyle w:val="768"/>
              <w:rPr>
                <w:rFonts w:hint="eastAsia" w:eastAsia="宋体"/>
                <w:color w:val="auto"/>
                <w:highlight w:val="none"/>
                <w:lang w:eastAsia="zh-CN"/>
              </w:rPr>
            </w:pPr>
            <w:r>
              <w:rPr>
                <w:rFonts w:hint="eastAsia"/>
                <w:color w:val="auto"/>
                <w:highlight w:val="none"/>
                <w:lang w:eastAsia="zh-CN"/>
              </w:rPr>
              <w:t>（</w:t>
            </w:r>
            <w:r>
              <w:rPr>
                <w:color w:val="auto"/>
                <w:highlight w:val="none"/>
              </w:rPr>
              <w:t>mg/m</w:t>
            </w:r>
            <w:r>
              <w:rPr>
                <w:color w:val="auto"/>
                <w:highlight w:val="none"/>
                <w:vertAlign w:val="superscript"/>
              </w:rPr>
              <w:t>3</w:t>
            </w:r>
            <w:r>
              <w:rPr>
                <w:rFonts w:hint="eastAsia"/>
                <w:color w:val="auto"/>
                <w:highlight w:val="none"/>
                <w:lang w:eastAsia="zh-CN"/>
              </w:rPr>
              <w:t>）</w:t>
            </w:r>
          </w:p>
        </w:tc>
        <w:tc>
          <w:tcPr>
            <w:tcW w:w="704" w:type="pct"/>
            <w:tcBorders>
              <w:tl2br w:val="nil"/>
              <w:tr2bl w:val="nil"/>
            </w:tcBorders>
            <w:noWrap/>
            <w:vAlign w:val="center"/>
          </w:tcPr>
          <w:p w14:paraId="42415F88">
            <w:pPr>
              <w:pStyle w:val="768"/>
              <w:rPr>
                <w:color w:val="auto"/>
                <w:highlight w:val="none"/>
              </w:rPr>
            </w:pPr>
            <w:r>
              <w:rPr>
                <w:color w:val="auto"/>
                <w:highlight w:val="none"/>
              </w:rPr>
              <w:t>叠加背景后的浓度</w:t>
            </w:r>
          </w:p>
          <w:p w14:paraId="2C1AC42D">
            <w:pPr>
              <w:pStyle w:val="768"/>
              <w:rPr>
                <w:rFonts w:hint="eastAsia" w:eastAsia="宋体"/>
                <w:color w:val="auto"/>
                <w:highlight w:val="none"/>
                <w:lang w:eastAsia="zh-CN"/>
              </w:rPr>
            </w:pPr>
            <w:r>
              <w:rPr>
                <w:rFonts w:hint="eastAsia"/>
                <w:color w:val="auto"/>
                <w:highlight w:val="none"/>
                <w:lang w:eastAsia="zh-CN"/>
              </w:rPr>
              <w:t>（</w:t>
            </w:r>
            <w:r>
              <w:rPr>
                <w:color w:val="auto"/>
                <w:highlight w:val="none"/>
              </w:rPr>
              <w:t>mg/m</w:t>
            </w:r>
            <w:r>
              <w:rPr>
                <w:color w:val="auto"/>
                <w:highlight w:val="none"/>
                <w:vertAlign w:val="superscript"/>
              </w:rPr>
              <w:t>3</w:t>
            </w:r>
            <w:r>
              <w:rPr>
                <w:rFonts w:hint="eastAsia"/>
                <w:color w:val="auto"/>
                <w:highlight w:val="none"/>
                <w:lang w:eastAsia="zh-CN"/>
              </w:rPr>
              <w:t>）</w:t>
            </w:r>
          </w:p>
        </w:tc>
        <w:tc>
          <w:tcPr>
            <w:tcW w:w="353" w:type="pct"/>
            <w:tcBorders>
              <w:tl2br w:val="nil"/>
              <w:tr2bl w:val="nil"/>
            </w:tcBorders>
            <w:noWrap/>
            <w:vAlign w:val="center"/>
          </w:tcPr>
          <w:p w14:paraId="07A67CF8">
            <w:pPr>
              <w:spacing w:line="360" w:lineRule="exact"/>
              <w:jc w:val="center"/>
              <w:rPr>
                <w:rFonts w:cstheme="minorBidi"/>
                <w:color w:val="auto"/>
                <w:szCs w:val="21"/>
                <w:highlight w:val="none"/>
              </w:rPr>
            </w:pPr>
            <w:r>
              <w:rPr>
                <w:rFonts w:cstheme="minorBidi"/>
                <w:color w:val="auto"/>
                <w:szCs w:val="21"/>
                <w:highlight w:val="none"/>
              </w:rPr>
              <w:t>评价标准</w:t>
            </w:r>
          </w:p>
          <w:p w14:paraId="239B8084">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cstheme="minorBidi"/>
                <w:color w:val="auto"/>
                <w:szCs w:val="21"/>
                <w:highlight w:val="none"/>
              </w:rPr>
              <w:t>mg/m</w:t>
            </w:r>
            <w:r>
              <w:rPr>
                <w:rFonts w:cstheme="minorBidi"/>
                <w:color w:val="auto"/>
                <w:szCs w:val="21"/>
                <w:highlight w:val="none"/>
                <w:vertAlign w:val="superscript"/>
              </w:rPr>
              <w:t>3</w:t>
            </w:r>
            <w:r>
              <w:rPr>
                <w:rFonts w:hint="eastAsia" w:cstheme="minorBidi"/>
                <w:color w:val="auto"/>
                <w:szCs w:val="21"/>
                <w:highlight w:val="none"/>
                <w:lang w:eastAsia="zh-CN"/>
              </w:rPr>
              <w:t>）</w:t>
            </w:r>
          </w:p>
        </w:tc>
        <w:tc>
          <w:tcPr>
            <w:tcW w:w="339" w:type="pct"/>
            <w:tcBorders>
              <w:tl2br w:val="nil"/>
              <w:tr2bl w:val="nil"/>
            </w:tcBorders>
            <w:noWrap/>
            <w:vAlign w:val="center"/>
          </w:tcPr>
          <w:p w14:paraId="59563FE1">
            <w:pPr>
              <w:spacing w:line="360" w:lineRule="exact"/>
              <w:jc w:val="center"/>
              <w:rPr>
                <w:rFonts w:cstheme="minorBidi"/>
                <w:color w:val="auto"/>
                <w:szCs w:val="21"/>
                <w:highlight w:val="none"/>
              </w:rPr>
            </w:pPr>
            <w:r>
              <w:rPr>
                <w:rFonts w:cstheme="minorBidi"/>
                <w:color w:val="auto"/>
                <w:szCs w:val="21"/>
                <w:highlight w:val="none"/>
              </w:rPr>
              <w:t>占标率</w:t>
            </w:r>
          </w:p>
          <w:p w14:paraId="25833421">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cstheme="minorBidi"/>
                <w:color w:val="auto"/>
                <w:szCs w:val="21"/>
                <w:highlight w:val="none"/>
              </w:rPr>
              <w:t>%</w:t>
            </w:r>
            <w:r>
              <w:rPr>
                <w:rFonts w:hint="eastAsia" w:cstheme="minorBidi"/>
                <w:color w:val="auto"/>
                <w:szCs w:val="21"/>
                <w:highlight w:val="none"/>
                <w:lang w:eastAsia="zh-CN"/>
              </w:rPr>
              <w:t>）</w:t>
            </w:r>
          </w:p>
        </w:tc>
        <w:tc>
          <w:tcPr>
            <w:tcW w:w="353" w:type="pct"/>
            <w:tcBorders>
              <w:tl2br w:val="nil"/>
              <w:tr2bl w:val="nil"/>
            </w:tcBorders>
            <w:vAlign w:val="center"/>
          </w:tcPr>
          <w:p w14:paraId="0AF4290F">
            <w:pPr>
              <w:spacing w:line="360" w:lineRule="exact"/>
              <w:jc w:val="center"/>
              <w:rPr>
                <w:rFonts w:cstheme="minorBidi"/>
                <w:color w:val="auto"/>
                <w:szCs w:val="21"/>
                <w:highlight w:val="none"/>
              </w:rPr>
            </w:pPr>
            <w:r>
              <w:rPr>
                <w:rFonts w:cstheme="minorBidi"/>
                <w:color w:val="auto"/>
                <w:szCs w:val="21"/>
                <w:highlight w:val="none"/>
              </w:rPr>
              <w:t>是否超标</w:t>
            </w:r>
          </w:p>
        </w:tc>
      </w:tr>
      <w:tr w14:paraId="026E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tblHeader/>
        </w:trPr>
        <w:tc>
          <w:tcPr>
            <w:tcW w:w="352" w:type="pct"/>
            <w:vMerge w:val="restart"/>
            <w:tcBorders>
              <w:tl2br w:val="nil"/>
              <w:tr2bl w:val="nil"/>
            </w:tcBorders>
            <w:noWrap/>
            <w:vAlign w:val="center"/>
          </w:tcPr>
          <w:p w14:paraId="08BC5816">
            <w:pPr>
              <w:spacing w:line="360" w:lineRule="exact"/>
              <w:jc w:val="center"/>
              <w:rPr>
                <w:rFonts w:cstheme="minorBidi"/>
                <w:color w:val="auto"/>
                <w:szCs w:val="21"/>
                <w:highlight w:val="none"/>
              </w:rPr>
            </w:pPr>
            <w:r>
              <w:rPr>
                <w:rFonts w:hint="eastAsia" w:cstheme="minorBidi"/>
                <w:color w:val="auto"/>
                <w:szCs w:val="21"/>
                <w:highlight w:val="none"/>
              </w:rPr>
              <w:t>SO</w:t>
            </w:r>
            <w:r>
              <w:rPr>
                <w:rFonts w:hint="eastAsia" w:cstheme="minorBidi"/>
                <w:color w:val="auto"/>
                <w:szCs w:val="21"/>
                <w:highlight w:val="none"/>
                <w:vertAlign w:val="subscript"/>
              </w:rPr>
              <w:t>2</w:t>
            </w:r>
          </w:p>
        </w:tc>
        <w:tc>
          <w:tcPr>
            <w:tcW w:w="177" w:type="pct"/>
            <w:vMerge w:val="restart"/>
            <w:tcBorders>
              <w:tl2br w:val="nil"/>
              <w:tr2bl w:val="nil"/>
            </w:tcBorders>
            <w:noWrap/>
            <w:vAlign w:val="center"/>
          </w:tcPr>
          <w:p w14:paraId="6FEAD72D">
            <w:pPr>
              <w:spacing w:line="360" w:lineRule="exact"/>
              <w:jc w:val="center"/>
              <w:rPr>
                <w:rFonts w:cstheme="minorBidi"/>
                <w:color w:val="auto"/>
                <w:szCs w:val="21"/>
                <w:highlight w:val="none"/>
              </w:rPr>
            </w:pPr>
            <w:r>
              <w:rPr>
                <w:rFonts w:hint="eastAsia" w:cstheme="minorBidi"/>
                <w:color w:val="auto"/>
                <w:szCs w:val="21"/>
                <w:highlight w:val="none"/>
              </w:rPr>
              <w:t>1</w:t>
            </w:r>
          </w:p>
        </w:tc>
        <w:tc>
          <w:tcPr>
            <w:tcW w:w="440" w:type="pct"/>
            <w:vMerge w:val="restart"/>
            <w:tcBorders>
              <w:tl2br w:val="nil"/>
              <w:tr2bl w:val="nil"/>
            </w:tcBorders>
            <w:vAlign w:val="center"/>
          </w:tcPr>
          <w:p w14:paraId="59730244">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16" w:type="pct"/>
            <w:vMerge w:val="restart"/>
            <w:tcBorders>
              <w:tl2br w:val="nil"/>
              <w:tr2bl w:val="nil"/>
            </w:tcBorders>
            <w:noWrap/>
            <w:vAlign w:val="center"/>
          </w:tcPr>
          <w:p w14:paraId="751E67EA">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352" w:type="pct"/>
            <w:tcBorders>
              <w:tl2br w:val="nil"/>
              <w:tr2bl w:val="nil"/>
            </w:tcBorders>
            <w:noWrap/>
            <w:vAlign w:val="center"/>
          </w:tcPr>
          <w:p w14:paraId="556BC7EF">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352" w:type="pct"/>
            <w:tcBorders>
              <w:tl2br w:val="nil"/>
              <w:tr2bl w:val="nil"/>
            </w:tcBorders>
            <w:noWrap/>
            <w:vAlign w:val="center"/>
          </w:tcPr>
          <w:p w14:paraId="10DBEC5E">
            <w:pPr>
              <w:spacing w:line="360" w:lineRule="exact"/>
              <w:jc w:val="center"/>
              <w:rPr>
                <w:rFonts w:cstheme="minorBidi"/>
                <w:color w:val="auto"/>
                <w:szCs w:val="21"/>
                <w:highlight w:val="none"/>
              </w:rPr>
            </w:pPr>
            <w:r>
              <w:rPr>
                <w:rFonts w:hint="eastAsia"/>
                <w:color w:val="auto"/>
                <w:highlight w:val="none"/>
              </w:rPr>
              <w:t>6.80E-05</w:t>
            </w:r>
          </w:p>
        </w:tc>
        <w:tc>
          <w:tcPr>
            <w:tcW w:w="603" w:type="pct"/>
            <w:tcBorders>
              <w:tl2br w:val="nil"/>
              <w:tr2bl w:val="nil"/>
            </w:tcBorders>
            <w:noWrap/>
            <w:vAlign w:val="center"/>
          </w:tcPr>
          <w:p w14:paraId="4D1CEA6A">
            <w:pPr>
              <w:spacing w:line="360" w:lineRule="exact"/>
              <w:jc w:val="center"/>
              <w:rPr>
                <w:rFonts w:cstheme="minorBidi"/>
                <w:color w:val="auto"/>
                <w:szCs w:val="21"/>
                <w:highlight w:val="none"/>
              </w:rPr>
            </w:pPr>
            <w:r>
              <w:rPr>
                <w:rFonts w:hint="eastAsia"/>
                <w:color w:val="auto"/>
                <w:highlight w:val="none"/>
              </w:rPr>
              <w:t>240722</w:t>
            </w:r>
          </w:p>
        </w:tc>
        <w:tc>
          <w:tcPr>
            <w:tcW w:w="352" w:type="pct"/>
            <w:tcBorders>
              <w:tl2br w:val="nil"/>
              <w:tr2bl w:val="nil"/>
            </w:tcBorders>
            <w:noWrap/>
            <w:vAlign w:val="center"/>
          </w:tcPr>
          <w:p w14:paraId="5C313035">
            <w:pPr>
              <w:spacing w:line="360" w:lineRule="exact"/>
              <w:jc w:val="center"/>
              <w:rPr>
                <w:rFonts w:cstheme="minorBidi"/>
                <w:color w:val="auto"/>
                <w:szCs w:val="21"/>
                <w:highlight w:val="none"/>
              </w:rPr>
            </w:pPr>
            <w:r>
              <w:rPr>
                <w:rFonts w:hint="eastAsia"/>
                <w:color w:val="auto"/>
                <w:highlight w:val="none"/>
              </w:rPr>
              <w:t>1.50E-02</w:t>
            </w:r>
          </w:p>
        </w:tc>
        <w:tc>
          <w:tcPr>
            <w:tcW w:w="704" w:type="pct"/>
            <w:tcBorders>
              <w:tl2br w:val="nil"/>
              <w:tr2bl w:val="nil"/>
            </w:tcBorders>
            <w:noWrap/>
            <w:vAlign w:val="center"/>
          </w:tcPr>
          <w:p w14:paraId="3168F2CE">
            <w:pPr>
              <w:spacing w:line="360" w:lineRule="exact"/>
              <w:jc w:val="center"/>
              <w:rPr>
                <w:rFonts w:cstheme="minorBidi"/>
                <w:color w:val="auto"/>
                <w:szCs w:val="21"/>
                <w:highlight w:val="none"/>
              </w:rPr>
            </w:pPr>
            <w:r>
              <w:rPr>
                <w:rFonts w:hint="eastAsia"/>
                <w:color w:val="auto"/>
                <w:highlight w:val="none"/>
              </w:rPr>
              <w:t>1.51E-02</w:t>
            </w:r>
          </w:p>
        </w:tc>
        <w:tc>
          <w:tcPr>
            <w:tcW w:w="353" w:type="pct"/>
            <w:tcBorders>
              <w:tl2br w:val="nil"/>
              <w:tr2bl w:val="nil"/>
            </w:tcBorders>
            <w:noWrap/>
            <w:vAlign w:val="center"/>
          </w:tcPr>
          <w:p w14:paraId="16DFAE87">
            <w:pPr>
              <w:spacing w:line="360" w:lineRule="exact"/>
              <w:jc w:val="center"/>
              <w:rPr>
                <w:rFonts w:cstheme="minorBidi"/>
                <w:color w:val="auto"/>
                <w:szCs w:val="21"/>
                <w:highlight w:val="none"/>
              </w:rPr>
            </w:pPr>
            <w:r>
              <w:rPr>
                <w:rFonts w:hint="eastAsia"/>
                <w:color w:val="auto"/>
                <w:highlight w:val="none"/>
              </w:rPr>
              <w:t>1.50E-01</w:t>
            </w:r>
          </w:p>
        </w:tc>
        <w:tc>
          <w:tcPr>
            <w:tcW w:w="339" w:type="pct"/>
            <w:tcBorders>
              <w:tl2br w:val="nil"/>
              <w:tr2bl w:val="nil"/>
            </w:tcBorders>
            <w:noWrap/>
            <w:vAlign w:val="center"/>
          </w:tcPr>
          <w:p w14:paraId="5BC1D78E">
            <w:pPr>
              <w:spacing w:line="360" w:lineRule="exact"/>
              <w:jc w:val="center"/>
              <w:rPr>
                <w:rFonts w:cstheme="minorBidi"/>
                <w:color w:val="auto"/>
                <w:szCs w:val="21"/>
                <w:highlight w:val="none"/>
              </w:rPr>
            </w:pPr>
            <w:r>
              <w:rPr>
                <w:rFonts w:hint="eastAsia"/>
                <w:color w:val="auto"/>
                <w:highlight w:val="none"/>
              </w:rPr>
              <w:t>10.05</w:t>
            </w:r>
          </w:p>
        </w:tc>
        <w:tc>
          <w:tcPr>
            <w:tcW w:w="353" w:type="pct"/>
            <w:tcBorders>
              <w:tl2br w:val="nil"/>
              <w:tr2bl w:val="nil"/>
            </w:tcBorders>
            <w:vAlign w:val="center"/>
          </w:tcPr>
          <w:p w14:paraId="4CA86E3D">
            <w:pPr>
              <w:spacing w:line="360" w:lineRule="exact"/>
              <w:jc w:val="center"/>
              <w:rPr>
                <w:rFonts w:cstheme="minorBidi"/>
                <w:color w:val="auto"/>
                <w:szCs w:val="21"/>
                <w:highlight w:val="none"/>
              </w:rPr>
            </w:pPr>
            <w:r>
              <w:rPr>
                <w:rFonts w:hint="eastAsia"/>
                <w:color w:val="auto"/>
                <w:highlight w:val="none"/>
              </w:rPr>
              <w:t>达标</w:t>
            </w:r>
          </w:p>
        </w:tc>
      </w:tr>
      <w:tr w14:paraId="3AA6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continue"/>
            <w:tcBorders>
              <w:tl2br w:val="nil"/>
              <w:tr2bl w:val="nil"/>
            </w:tcBorders>
            <w:noWrap/>
            <w:vAlign w:val="center"/>
          </w:tcPr>
          <w:p w14:paraId="367FA2BC">
            <w:pPr>
              <w:spacing w:line="360" w:lineRule="exact"/>
              <w:jc w:val="center"/>
              <w:rPr>
                <w:rFonts w:cstheme="minorBidi"/>
                <w:color w:val="auto"/>
                <w:szCs w:val="21"/>
                <w:highlight w:val="none"/>
              </w:rPr>
            </w:pPr>
          </w:p>
        </w:tc>
        <w:tc>
          <w:tcPr>
            <w:tcW w:w="177" w:type="pct"/>
            <w:vMerge w:val="continue"/>
            <w:tcBorders>
              <w:tl2br w:val="nil"/>
              <w:tr2bl w:val="nil"/>
            </w:tcBorders>
            <w:noWrap/>
            <w:vAlign w:val="center"/>
          </w:tcPr>
          <w:p w14:paraId="3EE76157">
            <w:pPr>
              <w:spacing w:line="360" w:lineRule="exact"/>
              <w:jc w:val="center"/>
              <w:rPr>
                <w:rFonts w:cstheme="minorBidi"/>
                <w:color w:val="auto"/>
                <w:szCs w:val="21"/>
                <w:highlight w:val="none"/>
              </w:rPr>
            </w:pPr>
          </w:p>
        </w:tc>
        <w:tc>
          <w:tcPr>
            <w:tcW w:w="440" w:type="pct"/>
            <w:vMerge w:val="continue"/>
            <w:tcBorders>
              <w:tl2br w:val="nil"/>
              <w:tr2bl w:val="nil"/>
            </w:tcBorders>
            <w:vAlign w:val="center"/>
          </w:tcPr>
          <w:p w14:paraId="24CCCA45">
            <w:pPr>
              <w:spacing w:line="360" w:lineRule="exact"/>
              <w:jc w:val="center"/>
              <w:rPr>
                <w:rFonts w:cstheme="minorBidi"/>
                <w:color w:val="auto"/>
                <w:szCs w:val="21"/>
                <w:highlight w:val="none"/>
              </w:rPr>
            </w:pPr>
          </w:p>
        </w:tc>
        <w:tc>
          <w:tcPr>
            <w:tcW w:w="616" w:type="pct"/>
            <w:vMerge w:val="continue"/>
            <w:tcBorders>
              <w:tl2br w:val="nil"/>
              <w:tr2bl w:val="nil"/>
            </w:tcBorders>
            <w:noWrap/>
            <w:vAlign w:val="center"/>
          </w:tcPr>
          <w:p w14:paraId="0BDB305B">
            <w:pPr>
              <w:spacing w:line="360" w:lineRule="exact"/>
              <w:jc w:val="center"/>
              <w:rPr>
                <w:rFonts w:cstheme="minorBidi"/>
                <w:color w:val="auto"/>
                <w:szCs w:val="21"/>
                <w:highlight w:val="none"/>
              </w:rPr>
            </w:pPr>
          </w:p>
        </w:tc>
        <w:tc>
          <w:tcPr>
            <w:tcW w:w="352" w:type="pct"/>
            <w:tcBorders>
              <w:tl2br w:val="nil"/>
              <w:tr2bl w:val="nil"/>
            </w:tcBorders>
            <w:noWrap/>
            <w:vAlign w:val="center"/>
          </w:tcPr>
          <w:p w14:paraId="0A2BA265">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352" w:type="pct"/>
            <w:tcBorders>
              <w:tl2br w:val="nil"/>
              <w:tr2bl w:val="nil"/>
            </w:tcBorders>
            <w:noWrap/>
            <w:vAlign w:val="center"/>
          </w:tcPr>
          <w:p w14:paraId="23415CD7">
            <w:pPr>
              <w:spacing w:line="360" w:lineRule="exact"/>
              <w:jc w:val="center"/>
              <w:rPr>
                <w:rFonts w:cstheme="minorBidi"/>
                <w:color w:val="auto"/>
                <w:szCs w:val="21"/>
                <w:highlight w:val="none"/>
              </w:rPr>
            </w:pPr>
            <w:r>
              <w:rPr>
                <w:rFonts w:hint="eastAsia"/>
                <w:color w:val="auto"/>
                <w:highlight w:val="none"/>
              </w:rPr>
              <w:t>3.23E-06</w:t>
            </w:r>
          </w:p>
        </w:tc>
        <w:tc>
          <w:tcPr>
            <w:tcW w:w="603" w:type="pct"/>
            <w:tcBorders>
              <w:tl2br w:val="nil"/>
              <w:tr2bl w:val="nil"/>
            </w:tcBorders>
            <w:noWrap/>
            <w:vAlign w:val="center"/>
          </w:tcPr>
          <w:p w14:paraId="2AD06DFB">
            <w:pPr>
              <w:spacing w:line="360" w:lineRule="exact"/>
              <w:jc w:val="center"/>
              <w:rPr>
                <w:rFonts w:cstheme="minorBidi"/>
                <w:color w:val="auto"/>
                <w:szCs w:val="21"/>
                <w:highlight w:val="none"/>
              </w:rPr>
            </w:pPr>
            <w:r>
              <w:rPr>
                <w:rFonts w:hint="eastAsia"/>
                <w:color w:val="auto"/>
                <w:highlight w:val="none"/>
              </w:rPr>
              <w:t>平均值</w:t>
            </w:r>
          </w:p>
        </w:tc>
        <w:tc>
          <w:tcPr>
            <w:tcW w:w="352" w:type="pct"/>
            <w:tcBorders>
              <w:tl2br w:val="nil"/>
              <w:tr2bl w:val="nil"/>
            </w:tcBorders>
            <w:noWrap/>
            <w:vAlign w:val="center"/>
          </w:tcPr>
          <w:p w14:paraId="4E255928">
            <w:pPr>
              <w:spacing w:line="360" w:lineRule="exact"/>
              <w:jc w:val="center"/>
              <w:rPr>
                <w:rFonts w:cstheme="minorBidi"/>
                <w:color w:val="auto"/>
                <w:szCs w:val="21"/>
                <w:highlight w:val="none"/>
              </w:rPr>
            </w:pPr>
            <w:r>
              <w:rPr>
                <w:rFonts w:hint="eastAsia"/>
                <w:color w:val="auto"/>
                <w:highlight w:val="none"/>
              </w:rPr>
              <w:t>8.00E-03</w:t>
            </w:r>
          </w:p>
        </w:tc>
        <w:tc>
          <w:tcPr>
            <w:tcW w:w="704" w:type="pct"/>
            <w:tcBorders>
              <w:tl2br w:val="nil"/>
              <w:tr2bl w:val="nil"/>
            </w:tcBorders>
            <w:noWrap/>
            <w:vAlign w:val="center"/>
          </w:tcPr>
          <w:p w14:paraId="34B962E3">
            <w:pPr>
              <w:spacing w:line="360" w:lineRule="exact"/>
              <w:jc w:val="center"/>
              <w:rPr>
                <w:rFonts w:cstheme="minorBidi"/>
                <w:color w:val="auto"/>
                <w:szCs w:val="21"/>
                <w:highlight w:val="none"/>
              </w:rPr>
            </w:pPr>
            <w:r>
              <w:rPr>
                <w:rFonts w:hint="eastAsia"/>
                <w:color w:val="auto"/>
                <w:highlight w:val="none"/>
              </w:rPr>
              <w:t>8.00E-03</w:t>
            </w:r>
          </w:p>
        </w:tc>
        <w:tc>
          <w:tcPr>
            <w:tcW w:w="353" w:type="pct"/>
            <w:tcBorders>
              <w:tl2br w:val="nil"/>
              <w:tr2bl w:val="nil"/>
            </w:tcBorders>
            <w:noWrap/>
            <w:vAlign w:val="center"/>
          </w:tcPr>
          <w:p w14:paraId="1F9337D3">
            <w:pPr>
              <w:spacing w:line="360" w:lineRule="exact"/>
              <w:jc w:val="center"/>
              <w:rPr>
                <w:rFonts w:cstheme="minorBidi"/>
                <w:color w:val="auto"/>
                <w:szCs w:val="21"/>
                <w:highlight w:val="none"/>
              </w:rPr>
            </w:pPr>
            <w:r>
              <w:rPr>
                <w:rFonts w:hint="eastAsia"/>
                <w:color w:val="auto"/>
                <w:highlight w:val="none"/>
              </w:rPr>
              <w:t>6.00E-02</w:t>
            </w:r>
          </w:p>
        </w:tc>
        <w:tc>
          <w:tcPr>
            <w:tcW w:w="339" w:type="pct"/>
            <w:tcBorders>
              <w:tl2br w:val="nil"/>
              <w:tr2bl w:val="nil"/>
            </w:tcBorders>
            <w:noWrap/>
            <w:vAlign w:val="center"/>
          </w:tcPr>
          <w:p w14:paraId="4DF524D7">
            <w:pPr>
              <w:spacing w:line="360" w:lineRule="exact"/>
              <w:jc w:val="center"/>
              <w:rPr>
                <w:rFonts w:cstheme="minorBidi"/>
                <w:color w:val="auto"/>
                <w:szCs w:val="21"/>
                <w:highlight w:val="none"/>
              </w:rPr>
            </w:pPr>
            <w:r>
              <w:rPr>
                <w:rFonts w:hint="eastAsia"/>
                <w:color w:val="auto"/>
                <w:highlight w:val="none"/>
              </w:rPr>
              <w:t>13.34</w:t>
            </w:r>
          </w:p>
        </w:tc>
        <w:tc>
          <w:tcPr>
            <w:tcW w:w="353" w:type="pct"/>
            <w:tcBorders>
              <w:tl2br w:val="nil"/>
              <w:tr2bl w:val="nil"/>
            </w:tcBorders>
            <w:vAlign w:val="center"/>
          </w:tcPr>
          <w:p w14:paraId="2BC6928F">
            <w:pPr>
              <w:spacing w:line="360" w:lineRule="exact"/>
              <w:jc w:val="center"/>
              <w:rPr>
                <w:rFonts w:cstheme="minorBidi"/>
                <w:color w:val="auto"/>
                <w:szCs w:val="21"/>
                <w:highlight w:val="none"/>
              </w:rPr>
            </w:pPr>
            <w:r>
              <w:rPr>
                <w:rFonts w:hint="eastAsia"/>
                <w:color w:val="auto"/>
                <w:highlight w:val="none"/>
              </w:rPr>
              <w:t>达标</w:t>
            </w:r>
          </w:p>
        </w:tc>
      </w:tr>
      <w:tr w14:paraId="0171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0" w:hRule="atLeast"/>
          <w:tblHeader/>
        </w:trPr>
        <w:tc>
          <w:tcPr>
            <w:tcW w:w="352" w:type="pct"/>
            <w:vMerge w:val="continue"/>
            <w:tcBorders>
              <w:tl2br w:val="nil"/>
              <w:tr2bl w:val="nil"/>
            </w:tcBorders>
            <w:noWrap/>
            <w:vAlign w:val="center"/>
          </w:tcPr>
          <w:p w14:paraId="2B941473">
            <w:pPr>
              <w:spacing w:line="360" w:lineRule="exact"/>
              <w:jc w:val="center"/>
              <w:rPr>
                <w:rFonts w:cstheme="minorBidi"/>
                <w:color w:val="auto"/>
                <w:szCs w:val="21"/>
                <w:highlight w:val="none"/>
              </w:rPr>
            </w:pPr>
          </w:p>
        </w:tc>
        <w:tc>
          <w:tcPr>
            <w:tcW w:w="177" w:type="pct"/>
            <w:vMerge w:val="restart"/>
            <w:tcBorders>
              <w:tl2br w:val="nil"/>
              <w:tr2bl w:val="nil"/>
            </w:tcBorders>
            <w:noWrap/>
            <w:vAlign w:val="center"/>
          </w:tcPr>
          <w:p w14:paraId="14D2B074">
            <w:pPr>
              <w:spacing w:line="360" w:lineRule="exact"/>
              <w:jc w:val="center"/>
              <w:rPr>
                <w:rFonts w:cstheme="minorBidi"/>
                <w:color w:val="auto"/>
                <w:szCs w:val="21"/>
                <w:highlight w:val="none"/>
              </w:rPr>
            </w:pPr>
            <w:r>
              <w:rPr>
                <w:rFonts w:hint="eastAsia" w:cstheme="minorBidi"/>
                <w:color w:val="auto"/>
                <w:szCs w:val="21"/>
                <w:highlight w:val="none"/>
              </w:rPr>
              <w:t>2</w:t>
            </w:r>
          </w:p>
        </w:tc>
        <w:tc>
          <w:tcPr>
            <w:tcW w:w="440" w:type="pct"/>
            <w:vMerge w:val="restart"/>
            <w:tcBorders>
              <w:tl2br w:val="nil"/>
              <w:tr2bl w:val="nil"/>
            </w:tcBorders>
            <w:shd w:val="clear" w:color="auto" w:fill="auto"/>
            <w:vAlign w:val="center"/>
          </w:tcPr>
          <w:p w14:paraId="0F701832">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16" w:type="pct"/>
            <w:tcBorders>
              <w:tl2br w:val="nil"/>
              <w:tr2bl w:val="nil"/>
            </w:tcBorders>
            <w:shd w:val="clear" w:color="auto" w:fill="auto"/>
            <w:noWrap/>
            <w:vAlign w:val="center"/>
          </w:tcPr>
          <w:p w14:paraId="1E888ACF">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195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61913182">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352" w:type="pct"/>
            <w:tcBorders>
              <w:tl2br w:val="nil"/>
              <w:tr2bl w:val="nil"/>
            </w:tcBorders>
            <w:shd w:val="clear" w:color="auto" w:fill="auto"/>
            <w:noWrap/>
            <w:vAlign w:val="center"/>
          </w:tcPr>
          <w:p w14:paraId="6F1BAD3F">
            <w:pPr>
              <w:spacing w:line="360" w:lineRule="exact"/>
              <w:jc w:val="center"/>
              <w:rPr>
                <w:rFonts w:cstheme="minorBidi"/>
                <w:color w:val="auto"/>
                <w:szCs w:val="21"/>
                <w:highlight w:val="none"/>
              </w:rPr>
            </w:pPr>
            <w:r>
              <w:rPr>
                <w:rFonts w:hint="eastAsia"/>
                <w:color w:val="auto"/>
                <w:highlight w:val="none"/>
              </w:rPr>
              <w:t>8.62E-04</w:t>
            </w:r>
          </w:p>
        </w:tc>
        <w:tc>
          <w:tcPr>
            <w:tcW w:w="603" w:type="pct"/>
            <w:tcBorders>
              <w:tl2br w:val="nil"/>
              <w:tr2bl w:val="nil"/>
            </w:tcBorders>
            <w:shd w:val="clear" w:color="auto" w:fill="auto"/>
            <w:noWrap/>
            <w:vAlign w:val="center"/>
          </w:tcPr>
          <w:p w14:paraId="54D75BED">
            <w:pPr>
              <w:spacing w:line="360" w:lineRule="exact"/>
              <w:jc w:val="center"/>
              <w:rPr>
                <w:rFonts w:cstheme="minorBidi"/>
                <w:color w:val="auto"/>
                <w:szCs w:val="21"/>
                <w:highlight w:val="none"/>
              </w:rPr>
            </w:pPr>
            <w:r>
              <w:rPr>
                <w:rFonts w:hint="eastAsia"/>
                <w:color w:val="auto"/>
                <w:highlight w:val="none"/>
              </w:rPr>
              <w:t>240619</w:t>
            </w:r>
          </w:p>
        </w:tc>
        <w:tc>
          <w:tcPr>
            <w:tcW w:w="352" w:type="pct"/>
            <w:tcBorders>
              <w:tl2br w:val="nil"/>
              <w:tr2bl w:val="nil"/>
            </w:tcBorders>
            <w:shd w:val="clear" w:color="auto" w:fill="auto"/>
            <w:noWrap/>
            <w:vAlign w:val="center"/>
          </w:tcPr>
          <w:p w14:paraId="24BD5242">
            <w:pPr>
              <w:spacing w:line="360" w:lineRule="exact"/>
              <w:jc w:val="center"/>
              <w:rPr>
                <w:rFonts w:cstheme="minorBidi"/>
                <w:color w:val="auto"/>
                <w:szCs w:val="21"/>
                <w:highlight w:val="none"/>
              </w:rPr>
            </w:pPr>
            <w:r>
              <w:rPr>
                <w:rFonts w:hint="eastAsia"/>
                <w:color w:val="auto"/>
                <w:highlight w:val="none"/>
              </w:rPr>
              <w:t>1.50E-02</w:t>
            </w:r>
          </w:p>
        </w:tc>
        <w:tc>
          <w:tcPr>
            <w:tcW w:w="704" w:type="pct"/>
            <w:tcBorders>
              <w:tl2br w:val="nil"/>
              <w:tr2bl w:val="nil"/>
            </w:tcBorders>
            <w:shd w:val="clear" w:color="auto" w:fill="auto"/>
            <w:noWrap/>
            <w:vAlign w:val="center"/>
          </w:tcPr>
          <w:p w14:paraId="32EA7E3C">
            <w:pPr>
              <w:spacing w:line="360" w:lineRule="exact"/>
              <w:jc w:val="center"/>
              <w:rPr>
                <w:rFonts w:cstheme="minorBidi"/>
                <w:color w:val="auto"/>
                <w:szCs w:val="21"/>
                <w:highlight w:val="none"/>
              </w:rPr>
            </w:pPr>
            <w:r>
              <w:rPr>
                <w:rFonts w:hint="eastAsia"/>
                <w:color w:val="auto"/>
                <w:highlight w:val="none"/>
              </w:rPr>
              <w:t>1.59E-02</w:t>
            </w:r>
          </w:p>
        </w:tc>
        <w:tc>
          <w:tcPr>
            <w:tcW w:w="353" w:type="pct"/>
            <w:tcBorders>
              <w:tl2br w:val="nil"/>
              <w:tr2bl w:val="nil"/>
            </w:tcBorders>
            <w:shd w:val="clear" w:color="auto" w:fill="auto"/>
            <w:noWrap/>
            <w:vAlign w:val="center"/>
          </w:tcPr>
          <w:p w14:paraId="09FFC657">
            <w:pPr>
              <w:spacing w:line="360" w:lineRule="exact"/>
              <w:jc w:val="center"/>
              <w:rPr>
                <w:rFonts w:cstheme="minorBidi"/>
                <w:color w:val="auto"/>
                <w:szCs w:val="21"/>
                <w:highlight w:val="none"/>
              </w:rPr>
            </w:pPr>
            <w:r>
              <w:rPr>
                <w:rFonts w:hint="eastAsia"/>
                <w:color w:val="auto"/>
                <w:highlight w:val="none"/>
              </w:rPr>
              <w:t>1.50E-01</w:t>
            </w:r>
          </w:p>
        </w:tc>
        <w:tc>
          <w:tcPr>
            <w:tcW w:w="339" w:type="pct"/>
            <w:tcBorders>
              <w:tl2br w:val="nil"/>
              <w:tr2bl w:val="nil"/>
            </w:tcBorders>
            <w:shd w:val="clear" w:color="auto" w:fill="auto"/>
            <w:noWrap/>
            <w:vAlign w:val="center"/>
          </w:tcPr>
          <w:p w14:paraId="5DF6FE88">
            <w:pPr>
              <w:spacing w:line="360" w:lineRule="exact"/>
              <w:jc w:val="center"/>
              <w:rPr>
                <w:rFonts w:cstheme="minorBidi"/>
                <w:color w:val="auto"/>
                <w:szCs w:val="21"/>
                <w:highlight w:val="none"/>
              </w:rPr>
            </w:pPr>
            <w:r>
              <w:rPr>
                <w:rFonts w:hint="eastAsia"/>
                <w:color w:val="auto"/>
                <w:highlight w:val="none"/>
              </w:rPr>
              <w:t>10.57</w:t>
            </w:r>
          </w:p>
        </w:tc>
        <w:tc>
          <w:tcPr>
            <w:tcW w:w="353" w:type="pct"/>
            <w:tcBorders>
              <w:tl2br w:val="nil"/>
              <w:tr2bl w:val="nil"/>
            </w:tcBorders>
            <w:shd w:val="clear" w:color="auto" w:fill="auto"/>
            <w:vAlign w:val="center"/>
          </w:tcPr>
          <w:p w14:paraId="2C107089">
            <w:pPr>
              <w:spacing w:line="360" w:lineRule="exact"/>
              <w:jc w:val="center"/>
              <w:rPr>
                <w:rFonts w:cstheme="minorBidi"/>
                <w:color w:val="auto"/>
                <w:szCs w:val="21"/>
                <w:highlight w:val="none"/>
              </w:rPr>
            </w:pPr>
            <w:r>
              <w:rPr>
                <w:rFonts w:hint="eastAsia"/>
                <w:color w:val="auto"/>
                <w:highlight w:val="none"/>
              </w:rPr>
              <w:t>达标</w:t>
            </w:r>
          </w:p>
        </w:tc>
      </w:tr>
      <w:tr w14:paraId="7F58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continue"/>
            <w:tcBorders>
              <w:tl2br w:val="nil"/>
              <w:tr2bl w:val="nil"/>
            </w:tcBorders>
            <w:noWrap/>
            <w:vAlign w:val="center"/>
          </w:tcPr>
          <w:p w14:paraId="7E30BB1D">
            <w:pPr>
              <w:spacing w:line="360" w:lineRule="exact"/>
              <w:jc w:val="center"/>
              <w:rPr>
                <w:rFonts w:cstheme="minorBidi"/>
                <w:color w:val="auto"/>
                <w:szCs w:val="21"/>
                <w:highlight w:val="none"/>
              </w:rPr>
            </w:pPr>
          </w:p>
        </w:tc>
        <w:tc>
          <w:tcPr>
            <w:tcW w:w="177" w:type="pct"/>
            <w:vMerge w:val="continue"/>
            <w:tcBorders>
              <w:tl2br w:val="nil"/>
              <w:tr2bl w:val="nil"/>
            </w:tcBorders>
            <w:noWrap/>
            <w:vAlign w:val="center"/>
          </w:tcPr>
          <w:p w14:paraId="0797ADE1">
            <w:pPr>
              <w:spacing w:line="360" w:lineRule="exact"/>
              <w:jc w:val="center"/>
              <w:rPr>
                <w:rFonts w:cstheme="minorBidi"/>
                <w:color w:val="auto"/>
                <w:szCs w:val="21"/>
                <w:highlight w:val="none"/>
              </w:rPr>
            </w:pPr>
          </w:p>
        </w:tc>
        <w:tc>
          <w:tcPr>
            <w:tcW w:w="440" w:type="pct"/>
            <w:vMerge w:val="continue"/>
            <w:tcBorders>
              <w:tl2br w:val="nil"/>
              <w:tr2bl w:val="nil"/>
            </w:tcBorders>
            <w:vAlign w:val="center"/>
          </w:tcPr>
          <w:p w14:paraId="75D8C7FD">
            <w:pPr>
              <w:spacing w:line="360" w:lineRule="exact"/>
              <w:jc w:val="center"/>
              <w:rPr>
                <w:rFonts w:cstheme="minorBidi"/>
                <w:color w:val="auto"/>
                <w:szCs w:val="21"/>
                <w:highlight w:val="none"/>
              </w:rPr>
            </w:pPr>
          </w:p>
        </w:tc>
        <w:tc>
          <w:tcPr>
            <w:tcW w:w="616" w:type="pct"/>
            <w:tcBorders>
              <w:tl2br w:val="nil"/>
              <w:tr2bl w:val="nil"/>
            </w:tcBorders>
            <w:shd w:val="clear" w:color="auto" w:fill="auto"/>
            <w:noWrap/>
            <w:vAlign w:val="center"/>
          </w:tcPr>
          <w:p w14:paraId="3CB6B611">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-105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6E79006C">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352" w:type="pct"/>
            <w:tcBorders>
              <w:tl2br w:val="nil"/>
              <w:tr2bl w:val="nil"/>
            </w:tcBorders>
            <w:shd w:val="clear" w:color="auto" w:fill="auto"/>
            <w:noWrap/>
            <w:vAlign w:val="center"/>
          </w:tcPr>
          <w:p w14:paraId="11BA14B6">
            <w:pPr>
              <w:spacing w:line="360" w:lineRule="exact"/>
              <w:jc w:val="center"/>
              <w:rPr>
                <w:rFonts w:cstheme="minorBidi"/>
                <w:color w:val="auto"/>
                <w:szCs w:val="21"/>
                <w:highlight w:val="none"/>
              </w:rPr>
            </w:pPr>
            <w:r>
              <w:rPr>
                <w:rFonts w:hint="eastAsia"/>
                <w:color w:val="auto"/>
                <w:highlight w:val="none"/>
              </w:rPr>
              <w:t>2.23E-04</w:t>
            </w:r>
          </w:p>
        </w:tc>
        <w:tc>
          <w:tcPr>
            <w:tcW w:w="603" w:type="pct"/>
            <w:tcBorders>
              <w:tl2br w:val="nil"/>
              <w:tr2bl w:val="nil"/>
            </w:tcBorders>
            <w:shd w:val="clear" w:color="auto" w:fill="auto"/>
            <w:noWrap/>
            <w:vAlign w:val="center"/>
          </w:tcPr>
          <w:p w14:paraId="7A7F0FC4">
            <w:pPr>
              <w:spacing w:line="360" w:lineRule="exact"/>
              <w:jc w:val="center"/>
              <w:rPr>
                <w:rFonts w:cstheme="minorBidi"/>
                <w:color w:val="auto"/>
                <w:szCs w:val="21"/>
                <w:highlight w:val="none"/>
              </w:rPr>
            </w:pPr>
            <w:r>
              <w:rPr>
                <w:rFonts w:hint="eastAsia"/>
                <w:color w:val="auto"/>
                <w:highlight w:val="none"/>
              </w:rPr>
              <w:t>平均值</w:t>
            </w:r>
          </w:p>
        </w:tc>
        <w:tc>
          <w:tcPr>
            <w:tcW w:w="352" w:type="pct"/>
            <w:tcBorders>
              <w:tl2br w:val="nil"/>
              <w:tr2bl w:val="nil"/>
            </w:tcBorders>
            <w:shd w:val="clear" w:color="auto" w:fill="auto"/>
            <w:noWrap/>
            <w:vAlign w:val="center"/>
          </w:tcPr>
          <w:p w14:paraId="14B6897F">
            <w:pPr>
              <w:spacing w:line="360" w:lineRule="exact"/>
              <w:jc w:val="center"/>
              <w:rPr>
                <w:rFonts w:cstheme="minorBidi"/>
                <w:color w:val="auto"/>
                <w:szCs w:val="21"/>
                <w:highlight w:val="none"/>
              </w:rPr>
            </w:pPr>
            <w:r>
              <w:rPr>
                <w:rFonts w:hint="eastAsia"/>
                <w:color w:val="auto"/>
                <w:highlight w:val="none"/>
              </w:rPr>
              <w:t>8.00E-03</w:t>
            </w:r>
          </w:p>
        </w:tc>
        <w:tc>
          <w:tcPr>
            <w:tcW w:w="704" w:type="pct"/>
            <w:tcBorders>
              <w:tl2br w:val="nil"/>
              <w:tr2bl w:val="nil"/>
            </w:tcBorders>
            <w:shd w:val="clear" w:color="auto" w:fill="auto"/>
            <w:noWrap/>
            <w:vAlign w:val="center"/>
          </w:tcPr>
          <w:p w14:paraId="40C461A6">
            <w:pPr>
              <w:spacing w:line="360" w:lineRule="exact"/>
              <w:jc w:val="center"/>
              <w:rPr>
                <w:rFonts w:cstheme="minorBidi"/>
                <w:color w:val="auto"/>
                <w:szCs w:val="21"/>
                <w:highlight w:val="none"/>
              </w:rPr>
            </w:pPr>
            <w:r>
              <w:rPr>
                <w:rFonts w:hint="eastAsia"/>
                <w:color w:val="auto"/>
                <w:highlight w:val="none"/>
              </w:rPr>
              <w:t>8.22E-03</w:t>
            </w:r>
          </w:p>
        </w:tc>
        <w:tc>
          <w:tcPr>
            <w:tcW w:w="353" w:type="pct"/>
            <w:tcBorders>
              <w:tl2br w:val="nil"/>
              <w:tr2bl w:val="nil"/>
            </w:tcBorders>
            <w:shd w:val="clear" w:color="auto" w:fill="auto"/>
            <w:noWrap/>
            <w:vAlign w:val="center"/>
          </w:tcPr>
          <w:p w14:paraId="13B4D3F1">
            <w:pPr>
              <w:spacing w:line="360" w:lineRule="exact"/>
              <w:jc w:val="center"/>
              <w:rPr>
                <w:rFonts w:cstheme="minorBidi"/>
                <w:color w:val="auto"/>
                <w:szCs w:val="21"/>
                <w:highlight w:val="none"/>
              </w:rPr>
            </w:pPr>
            <w:r>
              <w:rPr>
                <w:rFonts w:hint="eastAsia"/>
                <w:color w:val="auto"/>
                <w:highlight w:val="none"/>
              </w:rPr>
              <w:t>6.00E-02</w:t>
            </w:r>
          </w:p>
        </w:tc>
        <w:tc>
          <w:tcPr>
            <w:tcW w:w="339" w:type="pct"/>
            <w:tcBorders>
              <w:tl2br w:val="nil"/>
              <w:tr2bl w:val="nil"/>
            </w:tcBorders>
            <w:shd w:val="clear" w:color="auto" w:fill="auto"/>
            <w:noWrap/>
            <w:vAlign w:val="center"/>
          </w:tcPr>
          <w:p w14:paraId="5DADCF0A">
            <w:pPr>
              <w:spacing w:line="360" w:lineRule="exact"/>
              <w:jc w:val="center"/>
              <w:rPr>
                <w:rFonts w:cstheme="minorBidi"/>
                <w:color w:val="auto"/>
                <w:szCs w:val="21"/>
                <w:highlight w:val="none"/>
              </w:rPr>
            </w:pPr>
            <w:r>
              <w:rPr>
                <w:rFonts w:hint="eastAsia"/>
                <w:color w:val="auto"/>
                <w:highlight w:val="none"/>
              </w:rPr>
              <w:t>13.70</w:t>
            </w:r>
          </w:p>
        </w:tc>
        <w:tc>
          <w:tcPr>
            <w:tcW w:w="353" w:type="pct"/>
            <w:tcBorders>
              <w:tl2br w:val="nil"/>
              <w:tr2bl w:val="nil"/>
            </w:tcBorders>
            <w:shd w:val="clear" w:color="auto" w:fill="auto"/>
            <w:vAlign w:val="center"/>
          </w:tcPr>
          <w:p w14:paraId="2BC05855">
            <w:pPr>
              <w:spacing w:line="360" w:lineRule="exact"/>
              <w:jc w:val="center"/>
              <w:rPr>
                <w:rFonts w:cstheme="minorBidi"/>
                <w:color w:val="auto"/>
                <w:szCs w:val="21"/>
                <w:highlight w:val="none"/>
              </w:rPr>
            </w:pPr>
            <w:r>
              <w:rPr>
                <w:rFonts w:hint="eastAsia"/>
                <w:color w:val="auto"/>
                <w:highlight w:val="none"/>
              </w:rPr>
              <w:t>达标</w:t>
            </w:r>
          </w:p>
        </w:tc>
      </w:tr>
      <w:tr w14:paraId="1B2B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blHeader/>
        </w:trPr>
        <w:tc>
          <w:tcPr>
            <w:tcW w:w="352" w:type="pct"/>
            <w:vMerge w:val="restart"/>
            <w:tcBorders>
              <w:tl2br w:val="nil"/>
              <w:tr2bl w:val="nil"/>
            </w:tcBorders>
            <w:noWrap/>
            <w:vAlign w:val="center"/>
          </w:tcPr>
          <w:p w14:paraId="43162C85">
            <w:pPr>
              <w:spacing w:line="360" w:lineRule="exact"/>
              <w:jc w:val="center"/>
              <w:rPr>
                <w:rFonts w:cstheme="minorBidi"/>
                <w:color w:val="auto"/>
                <w:szCs w:val="21"/>
                <w:highlight w:val="none"/>
              </w:rPr>
            </w:pPr>
            <w:r>
              <w:rPr>
                <w:rFonts w:hint="eastAsia" w:cstheme="minorBidi"/>
                <w:color w:val="auto"/>
                <w:szCs w:val="21"/>
                <w:highlight w:val="none"/>
              </w:rPr>
              <w:t>NO</w:t>
            </w:r>
            <w:r>
              <w:rPr>
                <w:rFonts w:hint="eastAsia" w:cstheme="minorBidi"/>
                <w:color w:val="auto"/>
                <w:szCs w:val="21"/>
                <w:highlight w:val="none"/>
                <w:vertAlign w:val="subscript"/>
              </w:rPr>
              <w:t>2</w:t>
            </w:r>
          </w:p>
        </w:tc>
        <w:tc>
          <w:tcPr>
            <w:tcW w:w="177" w:type="pct"/>
            <w:vMerge w:val="restart"/>
            <w:tcBorders>
              <w:tl2br w:val="nil"/>
              <w:tr2bl w:val="nil"/>
            </w:tcBorders>
            <w:noWrap/>
            <w:vAlign w:val="center"/>
          </w:tcPr>
          <w:p w14:paraId="6410A2B7">
            <w:pPr>
              <w:spacing w:line="360" w:lineRule="exact"/>
              <w:jc w:val="center"/>
              <w:rPr>
                <w:rFonts w:cstheme="minorBidi"/>
                <w:color w:val="auto"/>
                <w:szCs w:val="21"/>
                <w:highlight w:val="none"/>
              </w:rPr>
            </w:pPr>
            <w:r>
              <w:rPr>
                <w:rFonts w:hint="eastAsia" w:cstheme="minorBidi"/>
                <w:color w:val="auto"/>
                <w:szCs w:val="21"/>
                <w:highlight w:val="none"/>
              </w:rPr>
              <w:t>1</w:t>
            </w:r>
          </w:p>
        </w:tc>
        <w:tc>
          <w:tcPr>
            <w:tcW w:w="440" w:type="pct"/>
            <w:vMerge w:val="restart"/>
            <w:tcBorders>
              <w:tl2br w:val="nil"/>
              <w:tr2bl w:val="nil"/>
            </w:tcBorders>
            <w:vAlign w:val="center"/>
          </w:tcPr>
          <w:p w14:paraId="2F471A80">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16" w:type="pct"/>
            <w:vMerge w:val="restart"/>
            <w:tcBorders>
              <w:tl2br w:val="nil"/>
              <w:tr2bl w:val="nil"/>
            </w:tcBorders>
            <w:shd w:val="clear" w:color="auto" w:fill="auto"/>
            <w:noWrap/>
            <w:vAlign w:val="center"/>
          </w:tcPr>
          <w:p w14:paraId="6E9B2A85">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352" w:type="pct"/>
            <w:tcBorders>
              <w:tl2br w:val="nil"/>
              <w:tr2bl w:val="nil"/>
            </w:tcBorders>
            <w:noWrap/>
            <w:vAlign w:val="center"/>
          </w:tcPr>
          <w:p w14:paraId="4DB78C6A">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352" w:type="pct"/>
            <w:tcBorders>
              <w:tl2br w:val="nil"/>
              <w:tr2bl w:val="nil"/>
            </w:tcBorders>
            <w:noWrap/>
            <w:vAlign w:val="center"/>
          </w:tcPr>
          <w:p w14:paraId="3B22140A">
            <w:pPr>
              <w:spacing w:line="360" w:lineRule="exact"/>
              <w:jc w:val="center"/>
              <w:rPr>
                <w:rFonts w:cstheme="minorBidi"/>
                <w:color w:val="auto"/>
                <w:szCs w:val="21"/>
                <w:highlight w:val="none"/>
              </w:rPr>
            </w:pPr>
            <w:r>
              <w:rPr>
                <w:rFonts w:hint="eastAsia"/>
                <w:color w:val="auto"/>
                <w:highlight w:val="none"/>
              </w:rPr>
              <w:t>1.47E-04</w:t>
            </w:r>
          </w:p>
        </w:tc>
        <w:tc>
          <w:tcPr>
            <w:tcW w:w="603" w:type="pct"/>
            <w:tcBorders>
              <w:tl2br w:val="nil"/>
              <w:tr2bl w:val="nil"/>
            </w:tcBorders>
            <w:noWrap/>
            <w:vAlign w:val="center"/>
          </w:tcPr>
          <w:p w14:paraId="05975425">
            <w:pPr>
              <w:spacing w:line="360" w:lineRule="exact"/>
              <w:jc w:val="center"/>
              <w:rPr>
                <w:rFonts w:cstheme="minorBidi"/>
                <w:color w:val="auto"/>
                <w:szCs w:val="21"/>
                <w:highlight w:val="none"/>
              </w:rPr>
            </w:pPr>
            <w:r>
              <w:rPr>
                <w:rFonts w:hint="eastAsia"/>
                <w:color w:val="auto"/>
                <w:highlight w:val="none"/>
              </w:rPr>
              <w:t>240722</w:t>
            </w:r>
          </w:p>
        </w:tc>
        <w:tc>
          <w:tcPr>
            <w:tcW w:w="352" w:type="pct"/>
            <w:tcBorders>
              <w:tl2br w:val="nil"/>
              <w:tr2bl w:val="nil"/>
            </w:tcBorders>
            <w:noWrap/>
            <w:vAlign w:val="center"/>
          </w:tcPr>
          <w:p w14:paraId="109BAECF">
            <w:pPr>
              <w:spacing w:line="360" w:lineRule="exact"/>
              <w:jc w:val="center"/>
              <w:rPr>
                <w:rFonts w:cstheme="minorBidi"/>
                <w:color w:val="auto"/>
                <w:szCs w:val="21"/>
                <w:highlight w:val="none"/>
              </w:rPr>
            </w:pPr>
            <w:r>
              <w:rPr>
                <w:rFonts w:hint="eastAsia"/>
                <w:color w:val="auto"/>
                <w:highlight w:val="none"/>
              </w:rPr>
              <w:t>5.80E-02</w:t>
            </w:r>
          </w:p>
        </w:tc>
        <w:tc>
          <w:tcPr>
            <w:tcW w:w="704" w:type="pct"/>
            <w:tcBorders>
              <w:tl2br w:val="nil"/>
              <w:tr2bl w:val="nil"/>
            </w:tcBorders>
            <w:noWrap/>
            <w:vAlign w:val="center"/>
          </w:tcPr>
          <w:p w14:paraId="4C8B1A36">
            <w:pPr>
              <w:spacing w:line="360" w:lineRule="exact"/>
              <w:jc w:val="center"/>
              <w:rPr>
                <w:rFonts w:cstheme="minorBidi"/>
                <w:color w:val="auto"/>
                <w:szCs w:val="21"/>
                <w:highlight w:val="none"/>
              </w:rPr>
            </w:pPr>
            <w:r>
              <w:rPr>
                <w:rFonts w:hint="eastAsia"/>
                <w:color w:val="auto"/>
                <w:highlight w:val="none"/>
              </w:rPr>
              <w:t>5.81E-02</w:t>
            </w:r>
          </w:p>
        </w:tc>
        <w:tc>
          <w:tcPr>
            <w:tcW w:w="353" w:type="pct"/>
            <w:tcBorders>
              <w:tl2br w:val="nil"/>
              <w:tr2bl w:val="nil"/>
            </w:tcBorders>
            <w:noWrap/>
            <w:vAlign w:val="center"/>
          </w:tcPr>
          <w:p w14:paraId="0F059EFC">
            <w:pPr>
              <w:spacing w:line="360" w:lineRule="exact"/>
              <w:jc w:val="center"/>
              <w:rPr>
                <w:rFonts w:cstheme="minorBidi"/>
                <w:color w:val="auto"/>
                <w:szCs w:val="21"/>
                <w:highlight w:val="none"/>
              </w:rPr>
            </w:pPr>
            <w:r>
              <w:rPr>
                <w:rFonts w:hint="eastAsia"/>
                <w:color w:val="auto"/>
                <w:highlight w:val="none"/>
              </w:rPr>
              <w:t>8.00E-02</w:t>
            </w:r>
          </w:p>
        </w:tc>
        <w:tc>
          <w:tcPr>
            <w:tcW w:w="339" w:type="pct"/>
            <w:tcBorders>
              <w:tl2br w:val="nil"/>
              <w:tr2bl w:val="nil"/>
            </w:tcBorders>
            <w:noWrap/>
            <w:vAlign w:val="center"/>
          </w:tcPr>
          <w:p w14:paraId="665FBA8E">
            <w:pPr>
              <w:spacing w:line="360" w:lineRule="exact"/>
              <w:jc w:val="center"/>
              <w:rPr>
                <w:rFonts w:cstheme="minorBidi"/>
                <w:color w:val="auto"/>
                <w:szCs w:val="21"/>
                <w:highlight w:val="none"/>
              </w:rPr>
            </w:pPr>
            <w:r>
              <w:rPr>
                <w:rFonts w:hint="eastAsia"/>
                <w:color w:val="auto"/>
                <w:highlight w:val="none"/>
              </w:rPr>
              <w:t>72.68</w:t>
            </w:r>
          </w:p>
        </w:tc>
        <w:tc>
          <w:tcPr>
            <w:tcW w:w="353" w:type="pct"/>
            <w:tcBorders>
              <w:tl2br w:val="nil"/>
              <w:tr2bl w:val="nil"/>
            </w:tcBorders>
            <w:vAlign w:val="center"/>
          </w:tcPr>
          <w:p w14:paraId="1D031ED8">
            <w:pPr>
              <w:spacing w:line="360" w:lineRule="exact"/>
              <w:jc w:val="center"/>
              <w:rPr>
                <w:rFonts w:cstheme="minorBidi"/>
                <w:color w:val="auto"/>
                <w:szCs w:val="21"/>
                <w:highlight w:val="none"/>
              </w:rPr>
            </w:pPr>
            <w:r>
              <w:rPr>
                <w:rFonts w:hint="eastAsia"/>
                <w:color w:val="auto"/>
                <w:highlight w:val="none"/>
              </w:rPr>
              <w:t>达标</w:t>
            </w:r>
          </w:p>
        </w:tc>
      </w:tr>
      <w:tr w14:paraId="7404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continue"/>
            <w:tcBorders>
              <w:tl2br w:val="nil"/>
              <w:tr2bl w:val="nil"/>
            </w:tcBorders>
            <w:noWrap/>
            <w:vAlign w:val="center"/>
          </w:tcPr>
          <w:p w14:paraId="175DED25">
            <w:pPr>
              <w:spacing w:line="360" w:lineRule="exact"/>
              <w:jc w:val="center"/>
              <w:rPr>
                <w:rFonts w:cstheme="minorBidi"/>
                <w:color w:val="auto"/>
                <w:szCs w:val="21"/>
                <w:highlight w:val="none"/>
              </w:rPr>
            </w:pPr>
          </w:p>
        </w:tc>
        <w:tc>
          <w:tcPr>
            <w:tcW w:w="177" w:type="pct"/>
            <w:vMerge w:val="continue"/>
            <w:tcBorders>
              <w:tl2br w:val="nil"/>
              <w:tr2bl w:val="nil"/>
            </w:tcBorders>
            <w:noWrap/>
            <w:vAlign w:val="center"/>
          </w:tcPr>
          <w:p w14:paraId="2B0A45BE">
            <w:pPr>
              <w:spacing w:line="360" w:lineRule="exact"/>
              <w:jc w:val="center"/>
              <w:rPr>
                <w:rFonts w:cstheme="minorBidi"/>
                <w:color w:val="auto"/>
                <w:szCs w:val="21"/>
                <w:highlight w:val="none"/>
              </w:rPr>
            </w:pPr>
          </w:p>
        </w:tc>
        <w:tc>
          <w:tcPr>
            <w:tcW w:w="440" w:type="pct"/>
            <w:vMerge w:val="continue"/>
            <w:tcBorders>
              <w:tl2br w:val="nil"/>
              <w:tr2bl w:val="nil"/>
            </w:tcBorders>
            <w:vAlign w:val="center"/>
          </w:tcPr>
          <w:p w14:paraId="5DFA696F">
            <w:pPr>
              <w:spacing w:line="360" w:lineRule="exact"/>
              <w:jc w:val="center"/>
              <w:rPr>
                <w:rFonts w:cstheme="minorBidi"/>
                <w:color w:val="auto"/>
                <w:szCs w:val="21"/>
                <w:highlight w:val="none"/>
              </w:rPr>
            </w:pPr>
          </w:p>
        </w:tc>
        <w:tc>
          <w:tcPr>
            <w:tcW w:w="616" w:type="pct"/>
            <w:vMerge w:val="continue"/>
            <w:tcBorders>
              <w:tl2br w:val="nil"/>
              <w:tr2bl w:val="nil"/>
            </w:tcBorders>
            <w:noWrap/>
            <w:vAlign w:val="center"/>
          </w:tcPr>
          <w:p w14:paraId="5130471E">
            <w:pPr>
              <w:spacing w:line="360" w:lineRule="exact"/>
              <w:jc w:val="center"/>
              <w:rPr>
                <w:rFonts w:cstheme="minorBidi"/>
                <w:color w:val="auto"/>
                <w:szCs w:val="21"/>
                <w:highlight w:val="none"/>
              </w:rPr>
            </w:pPr>
          </w:p>
        </w:tc>
        <w:tc>
          <w:tcPr>
            <w:tcW w:w="352" w:type="pct"/>
            <w:tcBorders>
              <w:tl2br w:val="nil"/>
              <w:tr2bl w:val="nil"/>
            </w:tcBorders>
            <w:noWrap/>
            <w:vAlign w:val="center"/>
          </w:tcPr>
          <w:p w14:paraId="0BD14963">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352" w:type="pct"/>
            <w:tcBorders>
              <w:tl2br w:val="nil"/>
              <w:tr2bl w:val="nil"/>
            </w:tcBorders>
            <w:noWrap/>
            <w:vAlign w:val="center"/>
          </w:tcPr>
          <w:p w14:paraId="0E8479FA">
            <w:pPr>
              <w:spacing w:line="360" w:lineRule="exact"/>
              <w:jc w:val="center"/>
              <w:rPr>
                <w:rFonts w:cstheme="minorBidi"/>
                <w:color w:val="auto"/>
                <w:szCs w:val="21"/>
                <w:highlight w:val="none"/>
              </w:rPr>
            </w:pPr>
            <w:r>
              <w:rPr>
                <w:rFonts w:hint="eastAsia"/>
                <w:color w:val="auto"/>
                <w:highlight w:val="none"/>
              </w:rPr>
              <w:t>6.71E-06</w:t>
            </w:r>
          </w:p>
        </w:tc>
        <w:tc>
          <w:tcPr>
            <w:tcW w:w="603" w:type="pct"/>
            <w:tcBorders>
              <w:tl2br w:val="nil"/>
              <w:tr2bl w:val="nil"/>
            </w:tcBorders>
            <w:noWrap/>
            <w:vAlign w:val="center"/>
          </w:tcPr>
          <w:p w14:paraId="0AE1604E">
            <w:pPr>
              <w:spacing w:line="360" w:lineRule="exact"/>
              <w:jc w:val="center"/>
              <w:rPr>
                <w:rFonts w:cstheme="minorBidi"/>
                <w:color w:val="auto"/>
                <w:szCs w:val="21"/>
                <w:highlight w:val="none"/>
              </w:rPr>
            </w:pPr>
            <w:r>
              <w:rPr>
                <w:rFonts w:hint="eastAsia"/>
                <w:color w:val="auto"/>
                <w:highlight w:val="none"/>
              </w:rPr>
              <w:t>平均值</w:t>
            </w:r>
          </w:p>
        </w:tc>
        <w:tc>
          <w:tcPr>
            <w:tcW w:w="352" w:type="pct"/>
            <w:tcBorders>
              <w:tl2br w:val="nil"/>
              <w:tr2bl w:val="nil"/>
            </w:tcBorders>
            <w:noWrap/>
            <w:vAlign w:val="center"/>
          </w:tcPr>
          <w:p w14:paraId="6F0F96C4">
            <w:pPr>
              <w:spacing w:line="360" w:lineRule="exact"/>
              <w:jc w:val="center"/>
              <w:rPr>
                <w:rFonts w:cstheme="minorBidi"/>
                <w:color w:val="auto"/>
                <w:szCs w:val="21"/>
                <w:highlight w:val="none"/>
              </w:rPr>
            </w:pPr>
            <w:r>
              <w:rPr>
                <w:rFonts w:hint="eastAsia"/>
                <w:color w:val="auto"/>
                <w:highlight w:val="none"/>
              </w:rPr>
              <w:t>2.30E-02</w:t>
            </w:r>
          </w:p>
        </w:tc>
        <w:tc>
          <w:tcPr>
            <w:tcW w:w="704" w:type="pct"/>
            <w:tcBorders>
              <w:tl2br w:val="nil"/>
              <w:tr2bl w:val="nil"/>
            </w:tcBorders>
            <w:noWrap/>
            <w:vAlign w:val="center"/>
          </w:tcPr>
          <w:p w14:paraId="20F29942">
            <w:pPr>
              <w:spacing w:line="360" w:lineRule="exact"/>
              <w:jc w:val="center"/>
              <w:rPr>
                <w:rFonts w:cstheme="minorBidi"/>
                <w:color w:val="auto"/>
                <w:szCs w:val="21"/>
                <w:highlight w:val="none"/>
              </w:rPr>
            </w:pPr>
            <w:r>
              <w:rPr>
                <w:rFonts w:hint="eastAsia"/>
                <w:color w:val="auto"/>
                <w:highlight w:val="none"/>
              </w:rPr>
              <w:t>2.30E-02</w:t>
            </w:r>
          </w:p>
        </w:tc>
        <w:tc>
          <w:tcPr>
            <w:tcW w:w="353" w:type="pct"/>
            <w:tcBorders>
              <w:tl2br w:val="nil"/>
              <w:tr2bl w:val="nil"/>
            </w:tcBorders>
            <w:noWrap/>
            <w:vAlign w:val="center"/>
          </w:tcPr>
          <w:p w14:paraId="1E43AB0A">
            <w:pPr>
              <w:spacing w:line="360" w:lineRule="exact"/>
              <w:jc w:val="center"/>
              <w:rPr>
                <w:rFonts w:cstheme="minorBidi"/>
                <w:color w:val="auto"/>
                <w:szCs w:val="21"/>
                <w:highlight w:val="none"/>
              </w:rPr>
            </w:pPr>
            <w:r>
              <w:rPr>
                <w:rFonts w:hint="eastAsia"/>
                <w:color w:val="auto"/>
                <w:highlight w:val="none"/>
              </w:rPr>
              <w:t>4.00E-02</w:t>
            </w:r>
          </w:p>
        </w:tc>
        <w:tc>
          <w:tcPr>
            <w:tcW w:w="339" w:type="pct"/>
            <w:tcBorders>
              <w:tl2br w:val="nil"/>
              <w:tr2bl w:val="nil"/>
            </w:tcBorders>
            <w:noWrap/>
            <w:vAlign w:val="center"/>
          </w:tcPr>
          <w:p w14:paraId="4CB693A3">
            <w:pPr>
              <w:spacing w:line="360" w:lineRule="exact"/>
              <w:jc w:val="center"/>
              <w:rPr>
                <w:rFonts w:cstheme="minorBidi"/>
                <w:color w:val="auto"/>
                <w:szCs w:val="21"/>
                <w:highlight w:val="none"/>
              </w:rPr>
            </w:pPr>
            <w:r>
              <w:rPr>
                <w:rFonts w:hint="eastAsia"/>
                <w:color w:val="auto"/>
                <w:highlight w:val="none"/>
              </w:rPr>
              <w:t>57.52</w:t>
            </w:r>
          </w:p>
        </w:tc>
        <w:tc>
          <w:tcPr>
            <w:tcW w:w="353" w:type="pct"/>
            <w:tcBorders>
              <w:tl2br w:val="nil"/>
              <w:tr2bl w:val="nil"/>
            </w:tcBorders>
            <w:vAlign w:val="center"/>
          </w:tcPr>
          <w:p w14:paraId="1EE26E6C">
            <w:pPr>
              <w:spacing w:line="360" w:lineRule="exact"/>
              <w:jc w:val="center"/>
              <w:rPr>
                <w:rFonts w:cstheme="minorBidi"/>
                <w:color w:val="auto"/>
                <w:szCs w:val="21"/>
                <w:highlight w:val="none"/>
              </w:rPr>
            </w:pPr>
            <w:r>
              <w:rPr>
                <w:rFonts w:hint="eastAsia"/>
                <w:color w:val="auto"/>
                <w:highlight w:val="none"/>
              </w:rPr>
              <w:t>达标</w:t>
            </w:r>
          </w:p>
        </w:tc>
      </w:tr>
      <w:tr w14:paraId="18BD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blHeader/>
        </w:trPr>
        <w:tc>
          <w:tcPr>
            <w:tcW w:w="352" w:type="pct"/>
            <w:vMerge w:val="continue"/>
            <w:tcBorders>
              <w:tl2br w:val="nil"/>
              <w:tr2bl w:val="nil"/>
            </w:tcBorders>
            <w:noWrap/>
            <w:vAlign w:val="center"/>
          </w:tcPr>
          <w:p w14:paraId="7938F302">
            <w:pPr>
              <w:spacing w:line="360" w:lineRule="exact"/>
              <w:jc w:val="center"/>
              <w:rPr>
                <w:rFonts w:cstheme="minorBidi"/>
                <w:color w:val="auto"/>
                <w:szCs w:val="21"/>
                <w:highlight w:val="none"/>
              </w:rPr>
            </w:pPr>
          </w:p>
        </w:tc>
        <w:tc>
          <w:tcPr>
            <w:tcW w:w="177" w:type="pct"/>
            <w:vMerge w:val="restart"/>
            <w:tcBorders>
              <w:tl2br w:val="nil"/>
              <w:tr2bl w:val="nil"/>
            </w:tcBorders>
            <w:noWrap/>
            <w:vAlign w:val="center"/>
          </w:tcPr>
          <w:p w14:paraId="4846C34C">
            <w:pPr>
              <w:spacing w:line="360" w:lineRule="exact"/>
              <w:jc w:val="center"/>
              <w:rPr>
                <w:rFonts w:cstheme="minorBidi"/>
                <w:color w:val="auto"/>
                <w:szCs w:val="21"/>
                <w:highlight w:val="none"/>
              </w:rPr>
            </w:pPr>
            <w:r>
              <w:rPr>
                <w:rFonts w:hint="eastAsia" w:cstheme="minorBidi"/>
                <w:color w:val="auto"/>
                <w:szCs w:val="21"/>
                <w:highlight w:val="none"/>
              </w:rPr>
              <w:t>2</w:t>
            </w:r>
          </w:p>
        </w:tc>
        <w:tc>
          <w:tcPr>
            <w:tcW w:w="440" w:type="pct"/>
            <w:vMerge w:val="restart"/>
            <w:tcBorders>
              <w:tl2br w:val="nil"/>
              <w:tr2bl w:val="nil"/>
            </w:tcBorders>
            <w:vAlign w:val="center"/>
          </w:tcPr>
          <w:p w14:paraId="5AE85FF8">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16" w:type="pct"/>
            <w:tcBorders>
              <w:tl2br w:val="nil"/>
              <w:tr2bl w:val="nil"/>
            </w:tcBorders>
            <w:noWrap/>
            <w:vAlign w:val="center"/>
          </w:tcPr>
          <w:p w14:paraId="7EB1C34C">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-105</w:t>
            </w:r>
            <w:r>
              <w:rPr>
                <w:rFonts w:hint="eastAsia" w:cstheme="minorBidi"/>
                <w:color w:val="auto"/>
                <w:szCs w:val="21"/>
                <w:highlight w:val="none"/>
                <w:lang w:eastAsia="zh-CN"/>
              </w:rPr>
              <w:t>）</w:t>
            </w:r>
          </w:p>
        </w:tc>
        <w:tc>
          <w:tcPr>
            <w:tcW w:w="352" w:type="pct"/>
            <w:tcBorders>
              <w:tl2br w:val="nil"/>
              <w:tr2bl w:val="nil"/>
            </w:tcBorders>
            <w:noWrap/>
            <w:vAlign w:val="center"/>
          </w:tcPr>
          <w:p w14:paraId="3E641620">
            <w:pPr>
              <w:spacing w:line="360" w:lineRule="exact"/>
              <w:jc w:val="center"/>
              <w:rPr>
                <w:rFonts w:cstheme="minorBidi"/>
                <w:color w:val="auto"/>
                <w:szCs w:val="21"/>
                <w:highlight w:val="none"/>
              </w:rPr>
            </w:pPr>
            <w:r>
              <w:rPr>
                <w:rFonts w:hint="eastAsia" w:cstheme="minorBidi"/>
                <w:color w:val="auto"/>
                <w:szCs w:val="21"/>
                <w:highlight w:val="none"/>
              </w:rPr>
              <w:t>日平均</w:t>
            </w:r>
          </w:p>
        </w:tc>
        <w:tc>
          <w:tcPr>
            <w:tcW w:w="352" w:type="pct"/>
            <w:tcBorders>
              <w:tl2br w:val="nil"/>
              <w:tr2bl w:val="nil"/>
            </w:tcBorders>
            <w:noWrap/>
            <w:vAlign w:val="center"/>
          </w:tcPr>
          <w:p w14:paraId="2A93ABD4">
            <w:pPr>
              <w:spacing w:line="360" w:lineRule="exact"/>
              <w:jc w:val="center"/>
              <w:rPr>
                <w:rFonts w:cstheme="minorBidi"/>
                <w:color w:val="auto"/>
                <w:szCs w:val="21"/>
                <w:highlight w:val="none"/>
              </w:rPr>
            </w:pPr>
            <w:r>
              <w:rPr>
                <w:rFonts w:hint="eastAsia"/>
                <w:color w:val="auto"/>
                <w:highlight w:val="none"/>
              </w:rPr>
              <w:t>1.12E-03</w:t>
            </w:r>
          </w:p>
        </w:tc>
        <w:tc>
          <w:tcPr>
            <w:tcW w:w="603" w:type="pct"/>
            <w:tcBorders>
              <w:tl2br w:val="nil"/>
              <w:tr2bl w:val="nil"/>
            </w:tcBorders>
            <w:noWrap/>
            <w:vAlign w:val="center"/>
          </w:tcPr>
          <w:p w14:paraId="369AE05C">
            <w:pPr>
              <w:spacing w:line="360" w:lineRule="exact"/>
              <w:jc w:val="center"/>
              <w:rPr>
                <w:rFonts w:cstheme="minorBidi"/>
                <w:color w:val="auto"/>
                <w:szCs w:val="21"/>
                <w:highlight w:val="none"/>
              </w:rPr>
            </w:pPr>
            <w:r>
              <w:rPr>
                <w:rFonts w:hint="eastAsia"/>
                <w:color w:val="auto"/>
                <w:highlight w:val="none"/>
              </w:rPr>
              <w:t>240711</w:t>
            </w:r>
          </w:p>
        </w:tc>
        <w:tc>
          <w:tcPr>
            <w:tcW w:w="352" w:type="pct"/>
            <w:tcBorders>
              <w:tl2br w:val="nil"/>
              <w:tr2bl w:val="nil"/>
            </w:tcBorders>
            <w:noWrap/>
            <w:vAlign w:val="center"/>
          </w:tcPr>
          <w:p w14:paraId="05E9EDD0">
            <w:pPr>
              <w:spacing w:line="360" w:lineRule="exact"/>
              <w:jc w:val="center"/>
              <w:rPr>
                <w:rFonts w:cstheme="minorBidi"/>
                <w:color w:val="auto"/>
                <w:szCs w:val="21"/>
                <w:highlight w:val="none"/>
              </w:rPr>
            </w:pPr>
            <w:r>
              <w:rPr>
                <w:rFonts w:hint="eastAsia"/>
                <w:color w:val="auto"/>
                <w:highlight w:val="none"/>
              </w:rPr>
              <w:t>5.80E-02</w:t>
            </w:r>
          </w:p>
        </w:tc>
        <w:tc>
          <w:tcPr>
            <w:tcW w:w="704" w:type="pct"/>
            <w:tcBorders>
              <w:tl2br w:val="nil"/>
              <w:tr2bl w:val="nil"/>
            </w:tcBorders>
            <w:noWrap/>
            <w:vAlign w:val="center"/>
          </w:tcPr>
          <w:p w14:paraId="08CCBF93">
            <w:pPr>
              <w:spacing w:line="360" w:lineRule="exact"/>
              <w:jc w:val="center"/>
              <w:rPr>
                <w:rFonts w:cstheme="minorBidi"/>
                <w:color w:val="auto"/>
                <w:szCs w:val="21"/>
                <w:highlight w:val="none"/>
              </w:rPr>
            </w:pPr>
            <w:r>
              <w:rPr>
                <w:rFonts w:hint="eastAsia"/>
                <w:color w:val="auto"/>
                <w:highlight w:val="none"/>
              </w:rPr>
              <w:t>5.91E-02</w:t>
            </w:r>
          </w:p>
        </w:tc>
        <w:tc>
          <w:tcPr>
            <w:tcW w:w="353" w:type="pct"/>
            <w:tcBorders>
              <w:tl2br w:val="nil"/>
              <w:tr2bl w:val="nil"/>
            </w:tcBorders>
            <w:noWrap/>
            <w:vAlign w:val="center"/>
          </w:tcPr>
          <w:p w14:paraId="7DF4CD98">
            <w:pPr>
              <w:spacing w:line="360" w:lineRule="exact"/>
              <w:jc w:val="center"/>
              <w:rPr>
                <w:rFonts w:cstheme="minorBidi"/>
                <w:color w:val="auto"/>
                <w:szCs w:val="21"/>
                <w:highlight w:val="none"/>
              </w:rPr>
            </w:pPr>
            <w:r>
              <w:rPr>
                <w:rFonts w:hint="eastAsia"/>
                <w:color w:val="auto"/>
                <w:highlight w:val="none"/>
              </w:rPr>
              <w:t>8.00E-02</w:t>
            </w:r>
          </w:p>
        </w:tc>
        <w:tc>
          <w:tcPr>
            <w:tcW w:w="339" w:type="pct"/>
            <w:tcBorders>
              <w:tl2br w:val="nil"/>
              <w:tr2bl w:val="nil"/>
            </w:tcBorders>
            <w:noWrap/>
            <w:vAlign w:val="center"/>
          </w:tcPr>
          <w:p w14:paraId="2C738D75">
            <w:pPr>
              <w:spacing w:line="360" w:lineRule="exact"/>
              <w:jc w:val="center"/>
              <w:rPr>
                <w:rFonts w:cstheme="minorBidi"/>
                <w:color w:val="auto"/>
                <w:szCs w:val="21"/>
                <w:highlight w:val="none"/>
              </w:rPr>
            </w:pPr>
            <w:r>
              <w:rPr>
                <w:rFonts w:hint="eastAsia"/>
                <w:color w:val="auto"/>
                <w:highlight w:val="none"/>
              </w:rPr>
              <w:t>73.90</w:t>
            </w:r>
          </w:p>
        </w:tc>
        <w:tc>
          <w:tcPr>
            <w:tcW w:w="353" w:type="pct"/>
            <w:tcBorders>
              <w:tl2br w:val="nil"/>
              <w:tr2bl w:val="nil"/>
            </w:tcBorders>
            <w:vAlign w:val="center"/>
          </w:tcPr>
          <w:p w14:paraId="08CB3E54">
            <w:pPr>
              <w:spacing w:line="360" w:lineRule="exact"/>
              <w:jc w:val="center"/>
              <w:rPr>
                <w:rFonts w:cstheme="minorBidi"/>
                <w:color w:val="auto"/>
                <w:szCs w:val="21"/>
                <w:highlight w:val="none"/>
              </w:rPr>
            </w:pPr>
            <w:r>
              <w:rPr>
                <w:rFonts w:hint="eastAsia"/>
                <w:color w:val="auto"/>
                <w:highlight w:val="none"/>
              </w:rPr>
              <w:t>达标</w:t>
            </w:r>
          </w:p>
        </w:tc>
      </w:tr>
      <w:tr w14:paraId="533A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continue"/>
            <w:tcBorders>
              <w:tl2br w:val="nil"/>
              <w:tr2bl w:val="nil"/>
            </w:tcBorders>
            <w:noWrap/>
            <w:vAlign w:val="center"/>
          </w:tcPr>
          <w:p w14:paraId="6D0A6181">
            <w:pPr>
              <w:spacing w:line="360" w:lineRule="exact"/>
              <w:jc w:val="center"/>
              <w:rPr>
                <w:rFonts w:cstheme="minorBidi"/>
                <w:color w:val="auto"/>
                <w:szCs w:val="21"/>
                <w:highlight w:val="none"/>
              </w:rPr>
            </w:pPr>
          </w:p>
        </w:tc>
        <w:tc>
          <w:tcPr>
            <w:tcW w:w="177" w:type="pct"/>
            <w:vMerge w:val="continue"/>
            <w:tcBorders>
              <w:tl2br w:val="nil"/>
              <w:tr2bl w:val="nil"/>
            </w:tcBorders>
            <w:noWrap/>
            <w:vAlign w:val="center"/>
          </w:tcPr>
          <w:p w14:paraId="45ADC454">
            <w:pPr>
              <w:spacing w:line="360" w:lineRule="exact"/>
              <w:jc w:val="center"/>
              <w:rPr>
                <w:rFonts w:cstheme="minorBidi"/>
                <w:color w:val="auto"/>
                <w:szCs w:val="21"/>
                <w:highlight w:val="none"/>
              </w:rPr>
            </w:pPr>
          </w:p>
        </w:tc>
        <w:tc>
          <w:tcPr>
            <w:tcW w:w="440" w:type="pct"/>
            <w:vMerge w:val="continue"/>
            <w:tcBorders>
              <w:tl2br w:val="nil"/>
              <w:tr2bl w:val="nil"/>
            </w:tcBorders>
            <w:vAlign w:val="center"/>
          </w:tcPr>
          <w:p w14:paraId="03DD2E1E">
            <w:pPr>
              <w:spacing w:line="360" w:lineRule="exact"/>
              <w:jc w:val="center"/>
              <w:rPr>
                <w:rFonts w:cstheme="minorBidi"/>
                <w:color w:val="auto"/>
                <w:szCs w:val="21"/>
                <w:highlight w:val="none"/>
              </w:rPr>
            </w:pPr>
          </w:p>
        </w:tc>
        <w:tc>
          <w:tcPr>
            <w:tcW w:w="616" w:type="pct"/>
            <w:tcBorders>
              <w:tl2br w:val="nil"/>
              <w:tr2bl w:val="nil"/>
            </w:tcBorders>
            <w:noWrap/>
            <w:vAlign w:val="center"/>
          </w:tcPr>
          <w:p w14:paraId="081677D9">
            <w:pPr>
              <w:spacing w:line="360" w:lineRule="exact"/>
              <w:jc w:val="center"/>
              <w:rPr>
                <w:rFonts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187</w:t>
            </w:r>
            <w:r>
              <w:rPr>
                <w:rFonts w:hint="eastAsia" w:cstheme="minorBidi"/>
                <w:color w:val="auto"/>
                <w:szCs w:val="21"/>
                <w:highlight w:val="none"/>
                <w:lang w:eastAsia="zh-CN"/>
              </w:rPr>
              <w:t>，</w:t>
            </w:r>
            <w:r>
              <w:rPr>
                <w:rFonts w:hint="eastAsia" w:cstheme="minorBidi"/>
                <w:color w:val="auto"/>
                <w:szCs w:val="21"/>
                <w:highlight w:val="none"/>
                <w:lang w:val="en-US" w:eastAsia="zh-CN"/>
              </w:rPr>
              <w:t>-105</w:t>
            </w:r>
            <w:r>
              <w:rPr>
                <w:rFonts w:hint="eastAsia" w:cstheme="minorBidi"/>
                <w:color w:val="auto"/>
                <w:szCs w:val="21"/>
                <w:highlight w:val="none"/>
                <w:lang w:eastAsia="zh-CN"/>
              </w:rPr>
              <w:t>）</w:t>
            </w:r>
          </w:p>
        </w:tc>
        <w:tc>
          <w:tcPr>
            <w:tcW w:w="352" w:type="pct"/>
            <w:tcBorders>
              <w:tl2br w:val="nil"/>
              <w:tr2bl w:val="nil"/>
            </w:tcBorders>
            <w:noWrap/>
            <w:vAlign w:val="center"/>
          </w:tcPr>
          <w:p w14:paraId="6224BACE">
            <w:pPr>
              <w:spacing w:line="360" w:lineRule="exact"/>
              <w:jc w:val="center"/>
              <w:rPr>
                <w:rFonts w:cstheme="minorBidi"/>
                <w:color w:val="auto"/>
                <w:szCs w:val="21"/>
                <w:highlight w:val="none"/>
              </w:rPr>
            </w:pPr>
            <w:r>
              <w:rPr>
                <w:rFonts w:hint="eastAsia" w:cstheme="minorBidi"/>
                <w:color w:val="auto"/>
                <w:szCs w:val="21"/>
                <w:highlight w:val="none"/>
              </w:rPr>
              <w:t>全时段</w:t>
            </w:r>
          </w:p>
        </w:tc>
        <w:tc>
          <w:tcPr>
            <w:tcW w:w="352" w:type="pct"/>
            <w:tcBorders>
              <w:tl2br w:val="nil"/>
              <w:tr2bl w:val="nil"/>
            </w:tcBorders>
            <w:noWrap/>
            <w:vAlign w:val="center"/>
          </w:tcPr>
          <w:p w14:paraId="0176DF15">
            <w:pPr>
              <w:spacing w:line="360" w:lineRule="exact"/>
              <w:jc w:val="center"/>
              <w:rPr>
                <w:rFonts w:cstheme="minorBidi"/>
                <w:color w:val="auto"/>
                <w:szCs w:val="21"/>
                <w:highlight w:val="none"/>
              </w:rPr>
            </w:pPr>
            <w:r>
              <w:rPr>
                <w:rFonts w:hint="eastAsia"/>
                <w:color w:val="auto"/>
                <w:highlight w:val="none"/>
              </w:rPr>
              <w:t>3.15E-04</w:t>
            </w:r>
          </w:p>
        </w:tc>
        <w:tc>
          <w:tcPr>
            <w:tcW w:w="603" w:type="pct"/>
            <w:tcBorders>
              <w:tl2br w:val="nil"/>
              <w:tr2bl w:val="nil"/>
            </w:tcBorders>
            <w:noWrap/>
            <w:vAlign w:val="center"/>
          </w:tcPr>
          <w:p w14:paraId="6F3836A7">
            <w:pPr>
              <w:spacing w:line="360" w:lineRule="exact"/>
              <w:jc w:val="center"/>
              <w:rPr>
                <w:rFonts w:cstheme="minorBidi"/>
                <w:color w:val="auto"/>
                <w:szCs w:val="21"/>
                <w:highlight w:val="none"/>
              </w:rPr>
            </w:pPr>
            <w:r>
              <w:rPr>
                <w:rFonts w:hint="eastAsia"/>
                <w:color w:val="auto"/>
                <w:highlight w:val="none"/>
              </w:rPr>
              <w:t>平均值</w:t>
            </w:r>
          </w:p>
        </w:tc>
        <w:tc>
          <w:tcPr>
            <w:tcW w:w="352" w:type="pct"/>
            <w:tcBorders>
              <w:tl2br w:val="nil"/>
              <w:tr2bl w:val="nil"/>
            </w:tcBorders>
            <w:noWrap/>
            <w:vAlign w:val="center"/>
          </w:tcPr>
          <w:p w14:paraId="34B78355">
            <w:pPr>
              <w:spacing w:line="360" w:lineRule="exact"/>
              <w:jc w:val="center"/>
              <w:rPr>
                <w:rFonts w:cstheme="minorBidi"/>
                <w:color w:val="auto"/>
                <w:szCs w:val="21"/>
                <w:highlight w:val="none"/>
              </w:rPr>
            </w:pPr>
            <w:r>
              <w:rPr>
                <w:rFonts w:hint="eastAsia"/>
                <w:color w:val="auto"/>
                <w:highlight w:val="none"/>
              </w:rPr>
              <w:t>2.30E-02</w:t>
            </w:r>
          </w:p>
        </w:tc>
        <w:tc>
          <w:tcPr>
            <w:tcW w:w="704" w:type="pct"/>
            <w:tcBorders>
              <w:tl2br w:val="nil"/>
              <w:tr2bl w:val="nil"/>
            </w:tcBorders>
            <w:noWrap/>
            <w:vAlign w:val="center"/>
          </w:tcPr>
          <w:p w14:paraId="3F542CCF">
            <w:pPr>
              <w:spacing w:line="360" w:lineRule="exact"/>
              <w:jc w:val="center"/>
              <w:rPr>
                <w:rFonts w:cstheme="minorBidi"/>
                <w:color w:val="auto"/>
                <w:szCs w:val="21"/>
                <w:highlight w:val="none"/>
              </w:rPr>
            </w:pPr>
            <w:r>
              <w:rPr>
                <w:rFonts w:hint="eastAsia"/>
                <w:color w:val="auto"/>
                <w:highlight w:val="none"/>
              </w:rPr>
              <w:t>2.33E-02</w:t>
            </w:r>
          </w:p>
        </w:tc>
        <w:tc>
          <w:tcPr>
            <w:tcW w:w="353" w:type="pct"/>
            <w:tcBorders>
              <w:tl2br w:val="nil"/>
              <w:tr2bl w:val="nil"/>
            </w:tcBorders>
            <w:noWrap/>
            <w:vAlign w:val="center"/>
          </w:tcPr>
          <w:p w14:paraId="5518B9FF">
            <w:pPr>
              <w:spacing w:line="360" w:lineRule="exact"/>
              <w:jc w:val="center"/>
              <w:rPr>
                <w:rFonts w:cstheme="minorBidi"/>
                <w:color w:val="auto"/>
                <w:szCs w:val="21"/>
                <w:highlight w:val="none"/>
              </w:rPr>
            </w:pPr>
            <w:r>
              <w:rPr>
                <w:rFonts w:hint="eastAsia"/>
                <w:color w:val="auto"/>
                <w:highlight w:val="none"/>
              </w:rPr>
              <w:t>4.00E-02</w:t>
            </w:r>
          </w:p>
        </w:tc>
        <w:tc>
          <w:tcPr>
            <w:tcW w:w="339" w:type="pct"/>
            <w:tcBorders>
              <w:tl2br w:val="nil"/>
              <w:tr2bl w:val="nil"/>
            </w:tcBorders>
            <w:noWrap/>
            <w:vAlign w:val="center"/>
          </w:tcPr>
          <w:p w14:paraId="22CC5D68">
            <w:pPr>
              <w:spacing w:line="360" w:lineRule="exact"/>
              <w:jc w:val="center"/>
              <w:rPr>
                <w:rFonts w:cstheme="minorBidi"/>
                <w:color w:val="auto"/>
                <w:szCs w:val="21"/>
                <w:highlight w:val="none"/>
              </w:rPr>
            </w:pPr>
            <w:r>
              <w:rPr>
                <w:rFonts w:hint="eastAsia"/>
                <w:color w:val="auto"/>
                <w:highlight w:val="none"/>
              </w:rPr>
              <w:t>58.29</w:t>
            </w:r>
          </w:p>
        </w:tc>
        <w:tc>
          <w:tcPr>
            <w:tcW w:w="353" w:type="pct"/>
            <w:tcBorders>
              <w:tl2br w:val="nil"/>
              <w:tr2bl w:val="nil"/>
            </w:tcBorders>
            <w:vAlign w:val="center"/>
          </w:tcPr>
          <w:p w14:paraId="42CE009A">
            <w:pPr>
              <w:spacing w:line="360" w:lineRule="exact"/>
              <w:jc w:val="center"/>
              <w:rPr>
                <w:rFonts w:cstheme="minorBidi"/>
                <w:color w:val="auto"/>
                <w:szCs w:val="21"/>
                <w:highlight w:val="none"/>
              </w:rPr>
            </w:pPr>
            <w:r>
              <w:rPr>
                <w:rFonts w:hint="eastAsia"/>
                <w:color w:val="auto"/>
                <w:highlight w:val="none"/>
              </w:rPr>
              <w:t>达标</w:t>
            </w:r>
          </w:p>
        </w:tc>
      </w:tr>
      <w:tr w14:paraId="30E4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restart"/>
            <w:tcBorders>
              <w:tl2br w:val="nil"/>
              <w:tr2bl w:val="nil"/>
            </w:tcBorders>
            <w:noWrap/>
            <w:vAlign w:val="center"/>
          </w:tcPr>
          <w:p w14:paraId="72C2D4FA">
            <w:pPr>
              <w:spacing w:line="360" w:lineRule="exact"/>
              <w:jc w:val="center"/>
              <w:rPr>
                <w:rFonts w:cstheme="minorBidi"/>
                <w:color w:val="auto"/>
                <w:szCs w:val="21"/>
                <w:highlight w:val="none"/>
              </w:rPr>
            </w:pPr>
            <w:r>
              <w:rPr>
                <w:rFonts w:hint="eastAsia" w:cstheme="minorBidi"/>
                <w:color w:val="auto"/>
                <w:szCs w:val="21"/>
                <w:highlight w:val="none"/>
              </w:rPr>
              <w:t>H</w:t>
            </w:r>
            <w:r>
              <w:rPr>
                <w:rFonts w:hint="eastAsia" w:cstheme="minorBidi"/>
                <w:color w:val="auto"/>
                <w:szCs w:val="21"/>
                <w:highlight w:val="none"/>
                <w:vertAlign w:val="subscript"/>
              </w:rPr>
              <w:t>2</w:t>
            </w:r>
            <w:r>
              <w:rPr>
                <w:rFonts w:hint="eastAsia" w:cstheme="minorBidi"/>
                <w:color w:val="auto"/>
                <w:szCs w:val="21"/>
                <w:highlight w:val="none"/>
              </w:rPr>
              <w:t>SO</w:t>
            </w:r>
            <w:r>
              <w:rPr>
                <w:rFonts w:hint="eastAsia" w:cstheme="minorBidi"/>
                <w:color w:val="auto"/>
                <w:szCs w:val="21"/>
                <w:highlight w:val="none"/>
                <w:vertAlign w:val="subscript"/>
              </w:rPr>
              <w:t>4</w:t>
            </w:r>
          </w:p>
        </w:tc>
        <w:tc>
          <w:tcPr>
            <w:tcW w:w="177" w:type="pct"/>
            <w:tcBorders>
              <w:tl2br w:val="nil"/>
              <w:tr2bl w:val="nil"/>
            </w:tcBorders>
            <w:noWrap/>
            <w:vAlign w:val="center"/>
          </w:tcPr>
          <w:p w14:paraId="0C92FDC7">
            <w:pPr>
              <w:spacing w:line="360" w:lineRule="exact"/>
              <w:jc w:val="center"/>
              <w:rPr>
                <w:rFonts w:cstheme="minorBidi"/>
                <w:color w:val="auto"/>
                <w:szCs w:val="21"/>
                <w:highlight w:val="none"/>
              </w:rPr>
            </w:pPr>
            <w:r>
              <w:rPr>
                <w:rFonts w:hint="eastAsia" w:cstheme="minorBidi"/>
                <w:color w:val="auto"/>
                <w:szCs w:val="21"/>
                <w:highlight w:val="none"/>
              </w:rPr>
              <w:t>1</w:t>
            </w:r>
          </w:p>
        </w:tc>
        <w:tc>
          <w:tcPr>
            <w:tcW w:w="440" w:type="pct"/>
            <w:tcBorders>
              <w:tl2br w:val="nil"/>
              <w:tr2bl w:val="nil"/>
            </w:tcBorders>
            <w:shd w:val="clear" w:color="auto" w:fill="auto"/>
            <w:vAlign w:val="center"/>
          </w:tcPr>
          <w:p w14:paraId="434BF182">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16" w:type="pct"/>
            <w:tcBorders>
              <w:tl2br w:val="nil"/>
              <w:tr2bl w:val="nil"/>
            </w:tcBorders>
            <w:shd w:val="clear" w:color="auto" w:fill="auto"/>
            <w:noWrap/>
            <w:vAlign w:val="center"/>
          </w:tcPr>
          <w:p w14:paraId="5139BE02">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65E43F46">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055CA0E5">
            <w:pPr>
              <w:spacing w:line="360" w:lineRule="exact"/>
              <w:jc w:val="center"/>
              <w:rPr>
                <w:rFonts w:cstheme="minorBidi"/>
                <w:color w:val="auto"/>
                <w:szCs w:val="21"/>
                <w:highlight w:val="none"/>
              </w:rPr>
            </w:pPr>
            <w:r>
              <w:rPr>
                <w:rFonts w:hint="eastAsia"/>
                <w:color w:val="auto"/>
                <w:highlight w:val="none"/>
              </w:rPr>
              <w:t>1.24E-03</w:t>
            </w:r>
          </w:p>
        </w:tc>
        <w:tc>
          <w:tcPr>
            <w:tcW w:w="603" w:type="pct"/>
            <w:tcBorders>
              <w:tl2br w:val="nil"/>
              <w:tr2bl w:val="nil"/>
            </w:tcBorders>
            <w:shd w:val="clear" w:color="auto" w:fill="auto"/>
            <w:noWrap/>
            <w:vAlign w:val="center"/>
          </w:tcPr>
          <w:p w14:paraId="113642CF">
            <w:pPr>
              <w:spacing w:line="360" w:lineRule="exact"/>
              <w:jc w:val="center"/>
              <w:rPr>
                <w:rFonts w:cstheme="minorBidi"/>
                <w:color w:val="auto"/>
                <w:szCs w:val="21"/>
                <w:highlight w:val="none"/>
              </w:rPr>
            </w:pPr>
            <w:r>
              <w:rPr>
                <w:rFonts w:hint="eastAsia"/>
                <w:color w:val="auto"/>
                <w:highlight w:val="none"/>
              </w:rPr>
              <w:t>24041519</w:t>
            </w:r>
          </w:p>
        </w:tc>
        <w:tc>
          <w:tcPr>
            <w:tcW w:w="352" w:type="pct"/>
            <w:tcBorders>
              <w:tl2br w:val="nil"/>
              <w:tr2bl w:val="nil"/>
            </w:tcBorders>
            <w:shd w:val="clear" w:color="auto" w:fill="auto"/>
            <w:noWrap/>
            <w:vAlign w:val="center"/>
          </w:tcPr>
          <w:p w14:paraId="357603E6">
            <w:pPr>
              <w:spacing w:line="360" w:lineRule="exact"/>
              <w:jc w:val="center"/>
              <w:rPr>
                <w:rFonts w:cstheme="minorBidi"/>
                <w:color w:val="auto"/>
                <w:szCs w:val="21"/>
                <w:highlight w:val="none"/>
              </w:rPr>
            </w:pPr>
            <w:r>
              <w:rPr>
                <w:rFonts w:hint="eastAsia"/>
                <w:color w:val="auto"/>
                <w:highlight w:val="none"/>
              </w:rPr>
              <w:t>6.00E-05</w:t>
            </w:r>
          </w:p>
        </w:tc>
        <w:tc>
          <w:tcPr>
            <w:tcW w:w="704" w:type="pct"/>
            <w:tcBorders>
              <w:tl2br w:val="nil"/>
              <w:tr2bl w:val="nil"/>
            </w:tcBorders>
            <w:shd w:val="clear" w:color="auto" w:fill="auto"/>
            <w:noWrap/>
            <w:vAlign w:val="center"/>
          </w:tcPr>
          <w:p w14:paraId="338A30B9">
            <w:pPr>
              <w:spacing w:line="360" w:lineRule="exact"/>
              <w:jc w:val="center"/>
              <w:rPr>
                <w:rFonts w:cstheme="minorBidi"/>
                <w:color w:val="auto"/>
                <w:szCs w:val="21"/>
                <w:highlight w:val="none"/>
              </w:rPr>
            </w:pPr>
            <w:r>
              <w:rPr>
                <w:rFonts w:hint="eastAsia"/>
                <w:color w:val="auto"/>
                <w:highlight w:val="none"/>
              </w:rPr>
              <w:t>1.30E-03</w:t>
            </w:r>
          </w:p>
        </w:tc>
        <w:tc>
          <w:tcPr>
            <w:tcW w:w="353" w:type="pct"/>
            <w:tcBorders>
              <w:tl2br w:val="nil"/>
              <w:tr2bl w:val="nil"/>
            </w:tcBorders>
            <w:shd w:val="clear" w:color="auto" w:fill="auto"/>
            <w:noWrap/>
            <w:vAlign w:val="center"/>
          </w:tcPr>
          <w:p w14:paraId="076E2EB6">
            <w:pPr>
              <w:spacing w:line="360" w:lineRule="exact"/>
              <w:jc w:val="center"/>
              <w:rPr>
                <w:rFonts w:cstheme="minorBidi"/>
                <w:color w:val="auto"/>
                <w:szCs w:val="21"/>
                <w:highlight w:val="none"/>
              </w:rPr>
            </w:pPr>
            <w:r>
              <w:rPr>
                <w:rFonts w:hint="eastAsia"/>
                <w:color w:val="auto"/>
                <w:highlight w:val="none"/>
              </w:rPr>
              <w:t>3.00E-01</w:t>
            </w:r>
          </w:p>
        </w:tc>
        <w:tc>
          <w:tcPr>
            <w:tcW w:w="339" w:type="pct"/>
            <w:tcBorders>
              <w:tl2br w:val="nil"/>
              <w:tr2bl w:val="nil"/>
            </w:tcBorders>
            <w:shd w:val="clear" w:color="auto" w:fill="auto"/>
            <w:noWrap/>
            <w:vAlign w:val="center"/>
          </w:tcPr>
          <w:p w14:paraId="02AB76F4">
            <w:pPr>
              <w:spacing w:line="360" w:lineRule="exact"/>
              <w:jc w:val="center"/>
              <w:rPr>
                <w:rFonts w:cstheme="minorBidi"/>
                <w:color w:val="auto"/>
                <w:szCs w:val="21"/>
                <w:highlight w:val="none"/>
              </w:rPr>
            </w:pPr>
            <w:r>
              <w:rPr>
                <w:rFonts w:hint="eastAsia"/>
                <w:color w:val="auto"/>
                <w:highlight w:val="none"/>
              </w:rPr>
              <w:t>0.43</w:t>
            </w:r>
          </w:p>
        </w:tc>
        <w:tc>
          <w:tcPr>
            <w:tcW w:w="353" w:type="pct"/>
            <w:tcBorders>
              <w:tl2br w:val="nil"/>
              <w:tr2bl w:val="nil"/>
            </w:tcBorders>
            <w:shd w:val="clear" w:color="auto" w:fill="auto"/>
            <w:vAlign w:val="center"/>
          </w:tcPr>
          <w:p w14:paraId="35778E20">
            <w:pPr>
              <w:spacing w:line="360" w:lineRule="exact"/>
              <w:jc w:val="center"/>
              <w:rPr>
                <w:rFonts w:cstheme="minorBidi"/>
                <w:color w:val="auto"/>
                <w:szCs w:val="21"/>
                <w:highlight w:val="none"/>
              </w:rPr>
            </w:pPr>
            <w:r>
              <w:rPr>
                <w:rFonts w:hint="eastAsia"/>
                <w:color w:val="auto"/>
                <w:highlight w:val="none"/>
              </w:rPr>
              <w:t>达标</w:t>
            </w:r>
          </w:p>
        </w:tc>
      </w:tr>
      <w:tr w14:paraId="01E1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continue"/>
            <w:tcBorders>
              <w:tl2br w:val="nil"/>
              <w:tr2bl w:val="nil"/>
            </w:tcBorders>
            <w:noWrap/>
            <w:vAlign w:val="center"/>
          </w:tcPr>
          <w:p w14:paraId="612B71E3">
            <w:pPr>
              <w:spacing w:line="360" w:lineRule="exact"/>
              <w:jc w:val="center"/>
              <w:rPr>
                <w:rFonts w:cstheme="minorBidi"/>
                <w:color w:val="auto"/>
                <w:szCs w:val="21"/>
                <w:highlight w:val="none"/>
              </w:rPr>
            </w:pPr>
          </w:p>
        </w:tc>
        <w:tc>
          <w:tcPr>
            <w:tcW w:w="177" w:type="pct"/>
            <w:tcBorders>
              <w:tl2br w:val="nil"/>
              <w:tr2bl w:val="nil"/>
            </w:tcBorders>
            <w:noWrap/>
            <w:vAlign w:val="center"/>
          </w:tcPr>
          <w:p w14:paraId="35D96778">
            <w:pPr>
              <w:spacing w:line="360" w:lineRule="exact"/>
              <w:jc w:val="center"/>
              <w:rPr>
                <w:rFonts w:cstheme="minorBidi"/>
                <w:color w:val="auto"/>
                <w:szCs w:val="21"/>
                <w:highlight w:val="none"/>
              </w:rPr>
            </w:pPr>
            <w:r>
              <w:rPr>
                <w:rFonts w:hint="eastAsia" w:cstheme="minorBidi"/>
                <w:color w:val="auto"/>
                <w:szCs w:val="21"/>
                <w:highlight w:val="none"/>
              </w:rPr>
              <w:t>2</w:t>
            </w:r>
          </w:p>
        </w:tc>
        <w:tc>
          <w:tcPr>
            <w:tcW w:w="440" w:type="pct"/>
            <w:tcBorders>
              <w:tl2br w:val="nil"/>
              <w:tr2bl w:val="nil"/>
            </w:tcBorders>
            <w:shd w:val="clear" w:color="auto" w:fill="auto"/>
            <w:vAlign w:val="center"/>
          </w:tcPr>
          <w:p w14:paraId="3C785822">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16" w:type="pct"/>
            <w:tcBorders>
              <w:tl2br w:val="nil"/>
              <w:tr2bl w:val="nil"/>
            </w:tcBorders>
            <w:shd w:val="clear" w:color="auto" w:fill="auto"/>
            <w:noWrap/>
            <w:vAlign w:val="center"/>
          </w:tcPr>
          <w:p w14:paraId="6069DD39">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-13</w:t>
            </w:r>
            <w:r>
              <w:rPr>
                <w:rFonts w:hint="eastAsia" w:cstheme="minorBidi"/>
                <w:color w:val="auto"/>
                <w:szCs w:val="21"/>
                <w:highlight w:val="none"/>
                <w:lang w:eastAsia="zh-CN"/>
              </w:rPr>
              <w:t>，</w:t>
            </w:r>
            <w:r>
              <w:rPr>
                <w:rFonts w:hint="eastAsia" w:cstheme="minorBidi"/>
                <w:color w:val="auto"/>
                <w:szCs w:val="21"/>
                <w:highlight w:val="none"/>
                <w:lang w:val="en-US" w:eastAsia="zh-CN"/>
              </w:rPr>
              <w:t>-105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6A1AE1C6">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0485CBE6">
            <w:pPr>
              <w:spacing w:line="360" w:lineRule="exact"/>
              <w:jc w:val="center"/>
              <w:rPr>
                <w:rFonts w:cstheme="minorBidi"/>
                <w:color w:val="auto"/>
                <w:szCs w:val="21"/>
                <w:highlight w:val="none"/>
              </w:rPr>
            </w:pPr>
            <w:r>
              <w:rPr>
                <w:rFonts w:hint="eastAsia"/>
                <w:color w:val="auto"/>
                <w:highlight w:val="none"/>
              </w:rPr>
              <w:t>7.90E-03</w:t>
            </w:r>
          </w:p>
        </w:tc>
        <w:tc>
          <w:tcPr>
            <w:tcW w:w="603" w:type="pct"/>
            <w:tcBorders>
              <w:tl2br w:val="nil"/>
              <w:tr2bl w:val="nil"/>
            </w:tcBorders>
            <w:shd w:val="clear" w:color="auto" w:fill="auto"/>
            <w:noWrap/>
            <w:vAlign w:val="center"/>
          </w:tcPr>
          <w:p w14:paraId="300C62AA">
            <w:pPr>
              <w:spacing w:line="360" w:lineRule="exact"/>
              <w:jc w:val="center"/>
              <w:rPr>
                <w:rFonts w:cstheme="minorBidi"/>
                <w:color w:val="auto"/>
                <w:szCs w:val="21"/>
                <w:highlight w:val="none"/>
              </w:rPr>
            </w:pPr>
            <w:r>
              <w:rPr>
                <w:rFonts w:hint="eastAsia"/>
                <w:color w:val="auto"/>
                <w:highlight w:val="none"/>
              </w:rPr>
              <w:t>24061009</w:t>
            </w:r>
          </w:p>
        </w:tc>
        <w:tc>
          <w:tcPr>
            <w:tcW w:w="352" w:type="pct"/>
            <w:tcBorders>
              <w:tl2br w:val="nil"/>
              <w:tr2bl w:val="nil"/>
            </w:tcBorders>
            <w:shd w:val="clear" w:color="auto" w:fill="auto"/>
            <w:noWrap/>
            <w:vAlign w:val="center"/>
          </w:tcPr>
          <w:p w14:paraId="65BD227A">
            <w:pPr>
              <w:spacing w:line="360" w:lineRule="exact"/>
              <w:jc w:val="center"/>
              <w:rPr>
                <w:rFonts w:cstheme="minorBidi"/>
                <w:color w:val="auto"/>
                <w:szCs w:val="21"/>
                <w:highlight w:val="none"/>
              </w:rPr>
            </w:pPr>
            <w:r>
              <w:rPr>
                <w:rFonts w:hint="eastAsia"/>
                <w:color w:val="auto"/>
                <w:highlight w:val="none"/>
              </w:rPr>
              <w:t>6.00E-05</w:t>
            </w:r>
          </w:p>
        </w:tc>
        <w:tc>
          <w:tcPr>
            <w:tcW w:w="704" w:type="pct"/>
            <w:tcBorders>
              <w:tl2br w:val="nil"/>
              <w:tr2bl w:val="nil"/>
            </w:tcBorders>
            <w:shd w:val="clear" w:color="auto" w:fill="auto"/>
            <w:noWrap/>
            <w:vAlign w:val="center"/>
          </w:tcPr>
          <w:p w14:paraId="5400A281">
            <w:pPr>
              <w:spacing w:line="360" w:lineRule="exact"/>
              <w:jc w:val="center"/>
              <w:rPr>
                <w:rFonts w:cstheme="minorBidi"/>
                <w:color w:val="auto"/>
                <w:szCs w:val="21"/>
                <w:highlight w:val="none"/>
              </w:rPr>
            </w:pPr>
            <w:r>
              <w:rPr>
                <w:rFonts w:hint="eastAsia"/>
                <w:color w:val="auto"/>
                <w:highlight w:val="none"/>
              </w:rPr>
              <w:t>7.96E-03</w:t>
            </w:r>
          </w:p>
        </w:tc>
        <w:tc>
          <w:tcPr>
            <w:tcW w:w="353" w:type="pct"/>
            <w:tcBorders>
              <w:tl2br w:val="nil"/>
              <w:tr2bl w:val="nil"/>
            </w:tcBorders>
            <w:shd w:val="clear" w:color="auto" w:fill="auto"/>
            <w:noWrap/>
            <w:vAlign w:val="center"/>
          </w:tcPr>
          <w:p w14:paraId="34020698">
            <w:pPr>
              <w:spacing w:line="360" w:lineRule="exact"/>
              <w:jc w:val="center"/>
              <w:rPr>
                <w:rFonts w:cstheme="minorBidi"/>
                <w:color w:val="auto"/>
                <w:szCs w:val="21"/>
                <w:highlight w:val="none"/>
              </w:rPr>
            </w:pPr>
            <w:r>
              <w:rPr>
                <w:rFonts w:hint="eastAsia"/>
                <w:color w:val="auto"/>
                <w:highlight w:val="none"/>
              </w:rPr>
              <w:t>3.00E-01</w:t>
            </w:r>
          </w:p>
        </w:tc>
        <w:tc>
          <w:tcPr>
            <w:tcW w:w="339" w:type="pct"/>
            <w:tcBorders>
              <w:tl2br w:val="nil"/>
              <w:tr2bl w:val="nil"/>
            </w:tcBorders>
            <w:shd w:val="clear" w:color="auto" w:fill="auto"/>
            <w:noWrap/>
            <w:vAlign w:val="center"/>
          </w:tcPr>
          <w:p w14:paraId="7E1A33EB">
            <w:pPr>
              <w:spacing w:line="360" w:lineRule="exact"/>
              <w:jc w:val="center"/>
              <w:rPr>
                <w:rFonts w:cstheme="minorBidi"/>
                <w:color w:val="auto"/>
                <w:szCs w:val="21"/>
                <w:highlight w:val="none"/>
              </w:rPr>
            </w:pPr>
            <w:r>
              <w:rPr>
                <w:rFonts w:hint="eastAsia"/>
                <w:color w:val="auto"/>
                <w:highlight w:val="none"/>
              </w:rPr>
              <w:t>2.65</w:t>
            </w:r>
          </w:p>
        </w:tc>
        <w:tc>
          <w:tcPr>
            <w:tcW w:w="353" w:type="pct"/>
            <w:tcBorders>
              <w:tl2br w:val="nil"/>
              <w:tr2bl w:val="nil"/>
            </w:tcBorders>
            <w:shd w:val="clear" w:color="auto" w:fill="auto"/>
            <w:vAlign w:val="center"/>
          </w:tcPr>
          <w:p w14:paraId="12B8404D">
            <w:pPr>
              <w:spacing w:line="360" w:lineRule="exact"/>
              <w:jc w:val="center"/>
              <w:rPr>
                <w:rFonts w:cstheme="minorBidi"/>
                <w:color w:val="auto"/>
                <w:szCs w:val="21"/>
                <w:highlight w:val="none"/>
              </w:rPr>
            </w:pPr>
            <w:r>
              <w:rPr>
                <w:rFonts w:hint="eastAsia"/>
                <w:color w:val="auto"/>
                <w:highlight w:val="none"/>
              </w:rPr>
              <w:t>达标</w:t>
            </w:r>
          </w:p>
        </w:tc>
      </w:tr>
      <w:tr w14:paraId="0896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tblHeader/>
        </w:trPr>
        <w:tc>
          <w:tcPr>
            <w:tcW w:w="352" w:type="pct"/>
            <w:vMerge w:val="restart"/>
            <w:tcBorders>
              <w:tl2br w:val="nil"/>
              <w:tr2bl w:val="nil"/>
            </w:tcBorders>
            <w:noWrap/>
            <w:vAlign w:val="center"/>
          </w:tcPr>
          <w:p w14:paraId="7A4BADA7">
            <w:pPr>
              <w:spacing w:line="360" w:lineRule="exact"/>
              <w:jc w:val="center"/>
              <w:rPr>
                <w:rFonts w:cstheme="minorBidi"/>
                <w:color w:val="auto"/>
                <w:szCs w:val="21"/>
                <w:highlight w:val="none"/>
              </w:rPr>
            </w:pPr>
            <w:r>
              <w:rPr>
                <w:rFonts w:hint="eastAsia" w:cstheme="minorBidi"/>
                <w:color w:val="auto"/>
                <w:szCs w:val="21"/>
                <w:highlight w:val="none"/>
              </w:rPr>
              <w:t>NMHC</w:t>
            </w:r>
          </w:p>
        </w:tc>
        <w:tc>
          <w:tcPr>
            <w:tcW w:w="177" w:type="pct"/>
            <w:tcBorders>
              <w:tl2br w:val="nil"/>
              <w:tr2bl w:val="nil"/>
            </w:tcBorders>
            <w:noWrap/>
            <w:vAlign w:val="center"/>
          </w:tcPr>
          <w:p w14:paraId="3394BE7E">
            <w:pPr>
              <w:spacing w:line="360" w:lineRule="exact"/>
              <w:jc w:val="center"/>
              <w:rPr>
                <w:rFonts w:cstheme="minorBidi"/>
                <w:color w:val="auto"/>
                <w:szCs w:val="21"/>
                <w:highlight w:val="none"/>
              </w:rPr>
            </w:pPr>
            <w:r>
              <w:rPr>
                <w:rFonts w:hint="eastAsia" w:cstheme="minorBidi"/>
                <w:color w:val="auto"/>
                <w:szCs w:val="21"/>
                <w:highlight w:val="none"/>
              </w:rPr>
              <w:t>1</w:t>
            </w:r>
          </w:p>
        </w:tc>
        <w:tc>
          <w:tcPr>
            <w:tcW w:w="440" w:type="pct"/>
            <w:tcBorders>
              <w:tl2br w:val="nil"/>
              <w:tr2bl w:val="nil"/>
            </w:tcBorders>
            <w:shd w:val="clear" w:color="auto" w:fill="auto"/>
            <w:vAlign w:val="center"/>
          </w:tcPr>
          <w:p w14:paraId="152E90C7">
            <w:pPr>
              <w:spacing w:line="360" w:lineRule="exact"/>
              <w:jc w:val="center"/>
              <w:rPr>
                <w:rFonts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616" w:type="pct"/>
            <w:tcBorders>
              <w:tl2br w:val="nil"/>
              <w:tr2bl w:val="nil"/>
            </w:tcBorders>
            <w:shd w:val="clear" w:color="auto" w:fill="auto"/>
            <w:noWrap/>
            <w:vAlign w:val="center"/>
          </w:tcPr>
          <w:p w14:paraId="7B71AC02">
            <w:pPr>
              <w:spacing w:line="360" w:lineRule="exact"/>
              <w:jc w:val="center"/>
              <w:rPr>
                <w:rFonts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2612ED34">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401092DE">
            <w:pPr>
              <w:spacing w:line="360" w:lineRule="exact"/>
              <w:jc w:val="center"/>
              <w:rPr>
                <w:rFonts w:cstheme="minorBidi"/>
                <w:color w:val="auto"/>
                <w:szCs w:val="21"/>
                <w:highlight w:val="none"/>
              </w:rPr>
            </w:pPr>
            <w:r>
              <w:rPr>
                <w:rFonts w:hint="eastAsia"/>
                <w:color w:val="auto"/>
                <w:highlight w:val="none"/>
              </w:rPr>
              <w:t>8.32E-02</w:t>
            </w:r>
          </w:p>
        </w:tc>
        <w:tc>
          <w:tcPr>
            <w:tcW w:w="603" w:type="pct"/>
            <w:tcBorders>
              <w:tl2br w:val="nil"/>
              <w:tr2bl w:val="nil"/>
            </w:tcBorders>
            <w:shd w:val="clear" w:color="auto" w:fill="auto"/>
            <w:noWrap/>
            <w:vAlign w:val="center"/>
          </w:tcPr>
          <w:p w14:paraId="5333B043">
            <w:pPr>
              <w:spacing w:line="360" w:lineRule="exact"/>
              <w:jc w:val="center"/>
              <w:rPr>
                <w:rFonts w:cstheme="minorBidi"/>
                <w:color w:val="auto"/>
                <w:szCs w:val="21"/>
                <w:highlight w:val="none"/>
              </w:rPr>
            </w:pPr>
            <w:r>
              <w:rPr>
                <w:rFonts w:hint="eastAsia"/>
                <w:color w:val="auto"/>
                <w:highlight w:val="none"/>
              </w:rPr>
              <w:t>24123110</w:t>
            </w:r>
          </w:p>
        </w:tc>
        <w:tc>
          <w:tcPr>
            <w:tcW w:w="352" w:type="pct"/>
            <w:tcBorders>
              <w:tl2br w:val="nil"/>
              <w:tr2bl w:val="nil"/>
            </w:tcBorders>
            <w:shd w:val="clear" w:color="auto" w:fill="auto"/>
            <w:noWrap/>
            <w:vAlign w:val="center"/>
          </w:tcPr>
          <w:p w14:paraId="3860D45A">
            <w:pPr>
              <w:spacing w:line="360" w:lineRule="exact"/>
              <w:jc w:val="center"/>
              <w:rPr>
                <w:rFonts w:cstheme="minorBidi"/>
                <w:color w:val="auto"/>
                <w:szCs w:val="21"/>
                <w:highlight w:val="none"/>
              </w:rPr>
            </w:pPr>
            <w:r>
              <w:rPr>
                <w:rFonts w:hint="eastAsia"/>
                <w:color w:val="auto"/>
                <w:highlight w:val="none"/>
              </w:rPr>
              <w:t>7.80E-04</w:t>
            </w:r>
          </w:p>
        </w:tc>
        <w:tc>
          <w:tcPr>
            <w:tcW w:w="704" w:type="pct"/>
            <w:tcBorders>
              <w:tl2br w:val="nil"/>
              <w:tr2bl w:val="nil"/>
            </w:tcBorders>
            <w:shd w:val="clear" w:color="auto" w:fill="auto"/>
            <w:noWrap/>
            <w:vAlign w:val="center"/>
          </w:tcPr>
          <w:p w14:paraId="14FCA4E6">
            <w:pPr>
              <w:spacing w:line="360" w:lineRule="exact"/>
              <w:jc w:val="center"/>
              <w:rPr>
                <w:rFonts w:cstheme="minorBidi"/>
                <w:color w:val="auto"/>
                <w:szCs w:val="21"/>
                <w:highlight w:val="none"/>
              </w:rPr>
            </w:pPr>
            <w:r>
              <w:rPr>
                <w:rFonts w:hint="eastAsia"/>
                <w:color w:val="auto"/>
                <w:highlight w:val="none"/>
              </w:rPr>
              <w:t>8.39E-02</w:t>
            </w:r>
          </w:p>
        </w:tc>
        <w:tc>
          <w:tcPr>
            <w:tcW w:w="353" w:type="pct"/>
            <w:tcBorders>
              <w:tl2br w:val="nil"/>
              <w:tr2bl w:val="nil"/>
            </w:tcBorders>
            <w:shd w:val="clear" w:color="auto" w:fill="auto"/>
            <w:noWrap/>
            <w:vAlign w:val="center"/>
          </w:tcPr>
          <w:p w14:paraId="0A8A8B86">
            <w:pPr>
              <w:spacing w:line="360" w:lineRule="exact"/>
              <w:jc w:val="center"/>
              <w:rPr>
                <w:rFonts w:cstheme="minorBidi"/>
                <w:color w:val="auto"/>
                <w:szCs w:val="21"/>
                <w:highlight w:val="none"/>
              </w:rPr>
            </w:pPr>
            <w:r>
              <w:rPr>
                <w:rFonts w:hint="eastAsia"/>
                <w:color w:val="auto"/>
                <w:highlight w:val="none"/>
              </w:rPr>
              <w:t>2.00E+00</w:t>
            </w:r>
          </w:p>
        </w:tc>
        <w:tc>
          <w:tcPr>
            <w:tcW w:w="339" w:type="pct"/>
            <w:tcBorders>
              <w:tl2br w:val="nil"/>
              <w:tr2bl w:val="nil"/>
            </w:tcBorders>
            <w:shd w:val="clear" w:color="auto" w:fill="auto"/>
            <w:noWrap/>
            <w:vAlign w:val="center"/>
          </w:tcPr>
          <w:p w14:paraId="35FC451F">
            <w:pPr>
              <w:spacing w:line="360" w:lineRule="exact"/>
              <w:jc w:val="center"/>
              <w:rPr>
                <w:rFonts w:cstheme="minorBidi"/>
                <w:color w:val="auto"/>
                <w:szCs w:val="21"/>
                <w:highlight w:val="none"/>
              </w:rPr>
            </w:pPr>
            <w:r>
              <w:rPr>
                <w:rFonts w:hint="eastAsia"/>
                <w:color w:val="auto"/>
                <w:highlight w:val="none"/>
              </w:rPr>
              <w:t>4.20</w:t>
            </w:r>
          </w:p>
        </w:tc>
        <w:tc>
          <w:tcPr>
            <w:tcW w:w="353" w:type="pct"/>
            <w:tcBorders>
              <w:tl2br w:val="nil"/>
              <w:tr2bl w:val="nil"/>
            </w:tcBorders>
            <w:shd w:val="clear" w:color="auto" w:fill="auto"/>
            <w:vAlign w:val="center"/>
          </w:tcPr>
          <w:p w14:paraId="482D7FAC">
            <w:pPr>
              <w:spacing w:line="360" w:lineRule="exact"/>
              <w:jc w:val="center"/>
              <w:rPr>
                <w:rFonts w:cstheme="minorBidi"/>
                <w:color w:val="auto"/>
                <w:szCs w:val="21"/>
                <w:highlight w:val="none"/>
              </w:rPr>
            </w:pPr>
            <w:r>
              <w:rPr>
                <w:rFonts w:hint="eastAsia"/>
                <w:color w:val="auto"/>
                <w:highlight w:val="none"/>
              </w:rPr>
              <w:t>达标</w:t>
            </w:r>
          </w:p>
        </w:tc>
      </w:tr>
      <w:tr w14:paraId="15CB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blHeader/>
        </w:trPr>
        <w:tc>
          <w:tcPr>
            <w:tcW w:w="352" w:type="pct"/>
            <w:vMerge w:val="continue"/>
            <w:tcBorders>
              <w:tl2br w:val="nil"/>
              <w:tr2bl w:val="nil"/>
            </w:tcBorders>
            <w:noWrap/>
            <w:vAlign w:val="center"/>
          </w:tcPr>
          <w:p w14:paraId="4BE365EE">
            <w:pPr>
              <w:spacing w:line="360" w:lineRule="exact"/>
              <w:jc w:val="center"/>
              <w:rPr>
                <w:rFonts w:cstheme="minorBidi"/>
                <w:color w:val="auto"/>
                <w:szCs w:val="21"/>
                <w:highlight w:val="none"/>
              </w:rPr>
            </w:pPr>
          </w:p>
        </w:tc>
        <w:tc>
          <w:tcPr>
            <w:tcW w:w="177" w:type="pct"/>
            <w:tcBorders>
              <w:tl2br w:val="nil"/>
              <w:tr2bl w:val="nil"/>
            </w:tcBorders>
            <w:noWrap/>
            <w:vAlign w:val="center"/>
          </w:tcPr>
          <w:p w14:paraId="13536C03">
            <w:pPr>
              <w:spacing w:line="360" w:lineRule="exact"/>
              <w:jc w:val="center"/>
              <w:rPr>
                <w:rFonts w:cstheme="minorBidi"/>
                <w:color w:val="auto"/>
                <w:szCs w:val="21"/>
                <w:highlight w:val="none"/>
              </w:rPr>
            </w:pPr>
            <w:r>
              <w:rPr>
                <w:rFonts w:hint="eastAsia" w:cstheme="minorBidi"/>
                <w:color w:val="auto"/>
                <w:szCs w:val="21"/>
                <w:highlight w:val="none"/>
              </w:rPr>
              <w:t>2</w:t>
            </w:r>
          </w:p>
        </w:tc>
        <w:tc>
          <w:tcPr>
            <w:tcW w:w="440" w:type="pct"/>
            <w:tcBorders>
              <w:tl2br w:val="nil"/>
              <w:tr2bl w:val="nil"/>
            </w:tcBorders>
            <w:shd w:val="clear" w:color="auto" w:fill="auto"/>
            <w:vAlign w:val="center"/>
          </w:tcPr>
          <w:p w14:paraId="310DBFF5">
            <w:pPr>
              <w:spacing w:line="360" w:lineRule="exact"/>
              <w:jc w:val="center"/>
              <w:rPr>
                <w:rFonts w:cstheme="minorBidi"/>
                <w:color w:val="auto"/>
                <w:szCs w:val="21"/>
                <w:highlight w:val="none"/>
              </w:rPr>
            </w:pPr>
            <w:r>
              <w:rPr>
                <w:rFonts w:hint="eastAsia" w:cstheme="minorBidi"/>
                <w:color w:val="auto"/>
                <w:szCs w:val="21"/>
                <w:highlight w:val="none"/>
              </w:rPr>
              <w:t>网格</w:t>
            </w:r>
          </w:p>
        </w:tc>
        <w:tc>
          <w:tcPr>
            <w:tcW w:w="616" w:type="pct"/>
            <w:tcBorders>
              <w:tl2br w:val="nil"/>
              <w:tr2bl w:val="nil"/>
            </w:tcBorders>
            <w:shd w:val="clear" w:color="auto" w:fill="auto"/>
            <w:noWrap/>
            <w:vAlign w:val="center"/>
          </w:tcPr>
          <w:p w14:paraId="5C8B661B">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387</w:t>
            </w:r>
            <w:r>
              <w:rPr>
                <w:rFonts w:hint="eastAsia" w:cstheme="minorBidi"/>
                <w:color w:val="auto"/>
                <w:szCs w:val="21"/>
                <w:highlight w:val="none"/>
                <w:lang w:eastAsia="zh-CN"/>
              </w:rPr>
              <w:t>，</w:t>
            </w:r>
            <w:r>
              <w:rPr>
                <w:rFonts w:hint="eastAsia" w:cstheme="minorBidi"/>
                <w:color w:val="auto"/>
                <w:szCs w:val="21"/>
                <w:highlight w:val="none"/>
                <w:lang w:val="en-US" w:eastAsia="zh-CN"/>
              </w:rPr>
              <w:t>395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2230F9C1">
            <w:pPr>
              <w:spacing w:line="360" w:lineRule="exact"/>
              <w:jc w:val="center"/>
              <w:rPr>
                <w:rFonts w:cstheme="minorBidi"/>
                <w:color w:val="auto"/>
                <w:szCs w:val="21"/>
                <w:highlight w:val="none"/>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75CADE0B">
            <w:pPr>
              <w:spacing w:line="360" w:lineRule="exact"/>
              <w:jc w:val="center"/>
              <w:rPr>
                <w:rFonts w:cstheme="minorBidi"/>
                <w:color w:val="auto"/>
                <w:szCs w:val="21"/>
                <w:highlight w:val="none"/>
              </w:rPr>
            </w:pPr>
            <w:r>
              <w:rPr>
                <w:rFonts w:hint="eastAsia"/>
                <w:color w:val="auto"/>
                <w:highlight w:val="none"/>
              </w:rPr>
              <w:t>8.32E-02</w:t>
            </w:r>
          </w:p>
        </w:tc>
        <w:tc>
          <w:tcPr>
            <w:tcW w:w="603" w:type="pct"/>
            <w:tcBorders>
              <w:tl2br w:val="nil"/>
              <w:tr2bl w:val="nil"/>
            </w:tcBorders>
            <w:shd w:val="clear" w:color="auto" w:fill="auto"/>
            <w:noWrap/>
            <w:vAlign w:val="center"/>
          </w:tcPr>
          <w:p w14:paraId="386C852A">
            <w:pPr>
              <w:spacing w:line="360" w:lineRule="exact"/>
              <w:jc w:val="center"/>
              <w:rPr>
                <w:rFonts w:cstheme="minorBidi"/>
                <w:color w:val="auto"/>
                <w:szCs w:val="21"/>
                <w:highlight w:val="none"/>
              </w:rPr>
            </w:pPr>
            <w:r>
              <w:rPr>
                <w:rFonts w:hint="eastAsia"/>
                <w:color w:val="auto"/>
                <w:highlight w:val="none"/>
              </w:rPr>
              <w:t>24123110</w:t>
            </w:r>
          </w:p>
        </w:tc>
        <w:tc>
          <w:tcPr>
            <w:tcW w:w="352" w:type="pct"/>
            <w:tcBorders>
              <w:tl2br w:val="nil"/>
              <w:tr2bl w:val="nil"/>
            </w:tcBorders>
            <w:shd w:val="clear" w:color="auto" w:fill="auto"/>
            <w:noWrap/>
            <w:vAlign w:val="center"/>
          </w:tcPr>
          <w:p w14:paraId="43D70318">
            <w:pPr>
              <w:spacing w:line="360" w:lineRule="exact"/>
              <w:jc w:val="center"/>
              <w:rPr>
                <w:rFonts w:cstheme="minorBidi"/>
                <w:color w:val="auto"/>
                <w:szCs w:val="21"/>
                <w:highlight w:val="none"/>
              </w:rPr>
            </w:pPr>
            <w:r>
              <w:rPr>
                <w:rFonts w:hint="eastAsia"/>
                <w:color w:val="auto"/>
                <w:highlight w:val="none"/>
              </w:rPr>
              <w:t>7.80E-04</w:t>
            </w:r>
          </w:p>
        </w:tc>
        <w:tc>
          <w:tcPr>
            <w:tcW w:w="704" w:type="pct"/>
            <w:tcBorders>
              <w:tl2br w:val="nil"/>
              <w:tr2bl w:val="nil"/>
            </w:tcBorders>
            <w:shd w:val="clear" w:color="auto" w:fill="auto"/>
            <w:noWrap/>
            <w:vAlign w:val="center"/>
          </w:tcPr>
          <w:p w14:paraId="7898ACB4">
            <w:pPr>
              <w:spacing w:line="360" w:lineRule="exact"/>
              <w:jc w:val="center"/>
              <w:rPr>
                <w:rFonts w:cstheme="minorBidi"/>
                <w:color w:val="auto"/>
                <w:szCs w:val="21"/>
                <w:highlight w:val="none"/>
              </w:rPr>
            </w:pPr>
            <w:r>
              <w:rPr>
                <w:rFonts w:hint="eastAsia"/>
                <w:color w:val="auto"/>
                <w:highlight w:val="none"/>
              </w:rPr>
              <w:t>8.39E-02</w:t>
            </w:r>
          </w:p>
        </w:tc>
        <w:tc>
          <w:tcPr>
            <w:tcW w:w="353" w:type="pct"/>
            <w:tcBorders>
              <w:tl2br w:val="nil"/>
              <w:tr2bl w:val="nil"/>
            </w:tcBorders>
            <w:shd w:val="clear" w:color="auto" w:fill="auto"/>
            <w:noWrap/>
            <w:vAlign w:val="center"/>
          </w:tcPr>
          <w:p w14:paraId="0376BE26">
            <w:pPr>
              <w:spacing w:line="360" w:lineRule="exact"/>
              <w:jc w:val="center"/>
              <w:rPr>
                <w:rFonts w:cstheme="minorBidi"/>
                <w:color w:val="auto"/>
                <w:szCs w:val="21"/>
                <w:highlight w:val="none"/>
              </w:rPr>
            </w:pPr>
            <w:r>
              <w:rPr>
                <w:rFonts w:hint="eastAsia"/>
                <w:color w:val="auto"/>
                <w:highlight w:val="none"/>
              </w:rPr>
              <w:t>2.00E+00</w:t>
            </w:r>
          </w:p>
        </w:tc>
        <w:tc>
          <w:tcPr>
            <w:tcW w:w="339" w:type="pct"/>
            <w:tcBorders>
              <w:tl2br w:val="nil"/>
              <w:tr2bl w:val="nil"/>
            </w:tcBorders>
            <w:shd w:val="clear" w:color="auto" w:fill="auto"/>
            <w:noWrap/>
            <w:vAlign w:val="center"/>
          </w:tcPr>
          <w:p w14:paraId="6C702CB9">
            <w:pPr>
              <w:spacing w:line="360" w:lineRule="exact"/>
              <w:jc w:val="center"/>
              <w:rPr>
                <w:rFonts w:cstheme="minorBidi"/>
                <w:color w:val="auto"/>
                <w:szCs w:val="21"/>
                <w:highlight w:val="none"/>
              </w:rPr>
            </w:pPr>
            <w:r>
              <w:rPr>
                <w:rFonts w:hint="eastAsia"/>
                <w:color w:val="auto"/>
                <w:highlight w:val="none"/>
              </w:rPr>
              <w:t>4.20</w:t>
            </w:r>
          </w:p>
        </w:tc>
        <w:tc>
          <w:tcPr>
            <w:tcW w:w="353" w:type="pct"/>
            <w:tcBorders>
              <w:tl2br w:val="nil"/>
              <w:tr2bl w:val="nil"/>
            </w:tcBorders>
            <w:shd w:val="clear" w:color="auto" w:fill="auto"/>
            <w:vAlign w:val="center"/>
          </w:tcPr>
          <w:p w14:paraId="40F90501">
            <w:pPr>
              <w:spacing w:line="360" w:lineRule="exact"/>
              <w:jc w:val="center"/>
              <w:rPr>
                <w:rFonts w:cstheme="minorBidi"/>
                <w:color w:val="auto"/>
                <w:szCs w:val="21"/>
                <w:highlight w:val="none"/>
              </w:rPr>
            </w:pPr>
            <w:r>
              <w:rPr>
                <w:rFonts w:hint="eastAsia"/>
                <w:color w:val="auto"/>
                <w:highlight w:val="none"/>
              </w:rPr>
              <w:t>达标</w:t>
            </w:r>
          </w:p>
        </w:tc>
      </w:tr>
      <w:tr w14:paraId="7395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blHeader/>
        </w:trPr>
        <w:tc>
          <w:tcPr>
            <w:tcW w:w="352" w:type="pct"/>
            <w:vMerge w:val="restart"/>
            <w:tcBorders>
              <w:tl2br w:val="nil"/>
              <w:tr2bl w:val="nil"/>
            </w:tcBorders>
            <w:noWrap/>
            <w:vAlign w:val="center"/>
          </w:tcPr>
          <w:p w14:paraId="43F79215">
            <w:pPr>
              <w:spacing w:line="360" w:lineRule="exact"/>
              <w:jc w:val="center"/>
              <w:rPr>
                <w:rFonts w:hint="default" w:eastAsia="宋体" w:cstheme="minorBidi"/>
                <w:color w:val="auto"/>
                <w:szCs w:val="21"/>
                <w:highlight w:val="none"/>
                <w:lang w:val="en-US" w:eastAsia="zh-CN"/>
              </w:rPr>
            </w:pPr>
            <w:r>
              <w:rPr>
                <w:rFonts w:hint="eastAsia" w:cstheme="minorBidi"/>
                <w:color w:val="auto"/>
                <w:szCs w:val="21"/>
                <w:highlight w:val="none"/>
                <w:lang w:val="en-US" w:eastAsia="zh-CN"/>
              </w:rPr>
              <w:t>NH</w:t>
            </w:r>
            <w:r>
              <w:rPr>
                <w:rFonts w:hint="eastAsia" w:cstheme="minorBidi"/>
                <w:color w:val="auto"/>
                <w:szCs w:val="21"/>
                <w:highlight w:val="none"/>
                <w:vertAlign w:val="subscript"/>
                <w:lang w:val="en-US" w:eastAsia="zh-CN"/>
              </w:rPr>
              <w:t>3</w:t>
            </w:r>
          </w:p>
        </w:tc>
        <w:tc>
          <w:tcPr>
            <w:tcW w:w="177" w:type="pct"/>
            <w:tcBorders>
              <w:tl2br w:val="nil"/>
              <w:tr2bl w:val="nil"/>
            </w:tcBorders>
            <w:shd w:val="clear" w:color="auto" w:fill="auto"/>
            <w:noWrap/>
            <w:vAlign w:val="center"/>
          </w:tcPr>
          <w:p w14:paraId="3DCABEE0">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w:t>
            </w:r>
          </w:p>
        </w:tc>
        <w:tc>
          <w:tcPr>
            <w:tcW w:w="440" w:type="pct"/>
            <w:tcBorders>
              <w:tl2br w:val="nil"/>
              <w:tr2bl w:val="nil"/>
            </w:tcBorders>
            <w:shd w:val="clear" w:color="auto" w:fill="auto"/>
            <w:vAlign w:val="center"/>
          </w:tcPr>
          <w:p w14:paraId="702FDEFA">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哈尔扎木村</w:t>
            </w:r>
          </w:p>
        </w:tc>
        <w:tc>
          <w:tcPr>
            <w:tcW w:w="616" w:type="pct"/>
            <w:tcBorders>
              <w:tl2br w:val="nil"/>
              <w:tr2bl w:val="nil"/>
            </w:tcBorders>
            <w:shd w:val="clear" w:color="auto" w:fill="auto"/>
            <w:noWrap/>
            <w:vAlign w:val="center"/>
          </w:tcPr>
          <w:p w14:paraId="289123AB">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360615D3">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25785E9B">
            <w:pPr>
              <w:spacing w:line="360" w:lineRule="exact"/>
              <w:jc w:val="center"/>
              <w:rPr>
                <w:rFonts w:hint="eastAsia" w:cstheme="minorBidi"/>
                <w:color w:val="auto"/>
                <w:szCs w:val="21"/>
                <w:highlight w:val="none"/>
              </w:rPr>
            </w:pPr>
            <w:r>
              <w:rPr>
                <w:rFonts w:hint="eastAsia"/>
                <w:color w:val="auto"/>
                <w:highlight w:val="none"/>
              </w:rPr>
              <w:t>3.60E-03</w:t>
            </w:r>
          </w:p>
        </w:tc>
        <w:tc>
          <w:tcPr>
            <w:tcW w:w="603" w:type="pct"/>
            <w:tcBorders>
              <w:tl2br w:val="nil"/>
              <w:tr2bl w:val="nil"/>
            </w:tcBorders>
            <w:shd w:val="clear" w:color="auto" w:fill="auto"/>
            <w:noWrap/>
            <w:vAlign w:val="center"/>
          </w:tcPr>
          <w:p w14:paraId="77CC63AE">
            <w:pPr>
              <w:spacing w:line="360" w:lineRule="exact"/>
              <w:jc w:val="center"/>
              <w:rPr>
                <w:rFonts w:hint="eastAsia" w:cstheme="minorBidi"/>
                <w:color w:val="auto"/>
                <w:szCs w:val="21"/>
                <w:highlight w:val="none"/>
              </w:rPr>
            </w:pPr>
            <w:r>
              <w:rPr>
                <w:rFonts w:hint="eastAsia"/>
                <w:color w:val="auto"/>
                <w:highlight w:val="none"/>
              </w:rPr>
              <w:t>24012420</w:t>
            </w:r>
          </w:p>
        </w:tc>
        <w:tc>
          <w:tcPr>
            <w:tcW w:w="352" w:type="pct"/>
            <w:tcBorders>
              <w:tl2br w:val="nil"/>
              <w:tr2bl w:val="nil"/>
            </w:tcBorders>
            <w:shd w:val="clear" w:color="auto" w:fill="auto"/>
            <w:noWrap/>
            <w:vAlign w:val="center"/>
          </w:tcPr>
          <w:p w14:paraId="799325AF">
            <w:pPr>
              <w:spacing w:line="360" w:lineRule="exact"/>
              <w:jc w:val="center"/>
              <w:rPr>
                <w:rFonts w:hint="eastAsia" w:cstheme="minorBidi"/>
                <w:color w:val="auto"/>
                <w:szCs w:val="21"/>
                <w:highlight w:val="none"/>
              </w:rPr>
            </w:pPr>
            <w:r>
              <w:rPr>
                <w:rFonts w:hint="eastAsia"/>
                <w:color w:val="auto"/>
                <w:highlight w:val="none"/>
              </w:rPr>
              <w:t>1.30E-04</w:t>
            </w:r>
          </w:p>
        </w:tc>
        <w:tc>
          <w:tcPr>
            <w:tcW w:w="704" w:type="pct"/>
            <w:tcBorders>
              <w:tl2br w:val="nil"/>
              <w:tr2bl w:val="nil"/>
            </w:tcBorders>
            <w:shd w:val="clear" w:color="auto" w:fill="auto"/>
            <w:noWrap/>
            <w:vAlign w:val="center"/>
          </w:tcPr>
          <w:p w14:paraId="5CB43259">
            <w:pPr>
              <w:spacing w:line="360" w:lineRule="exact"/>
              <w:jc w:val="center"/>
              <w:rPr>
                <w:rFonts w:hint="eastAsia" w:cstheme="minorBidi"/>
                <w:color w:val="auto"/>
                <w:szCs w:val="21"/>
                <w:highlight w:val="none"/>
              </w:rPr>
            </w:pPr>
            <w:r>
              <w:rPr>
                <w:rFonts w:hint="eastAsia"/>
                <w:color w:val="auto"/>
                <w:highlight w:val="none"/>
              </w:rPr>
              <w:t>3.73E-03</w:t>
            </w:r>
          </w:p>
        </w:tc>
        <w:tc>
          <w:tcPr>
            <w:tcW w:w="353" w:type="pct"/>
            <w:tcBorders>
              <w:tl2br w:val="nil"/>
              <w:tr2bl w:val="nil"/>
            </w:tcBorders>
            <w:shd w:val="clear" w:color="auto" w:fill="auto"/>
            <w:noWrap/>
            <w:vAlign w:val="center"/>
          </w:tcPr>
          <w:p w14:paraId="1AB8DBE0">
            <w:pPr>
              <w:spacing w:line="360" w:lineRule="exact"/>
              <w:jc w:val="center"/>
              <w:rPr>
                <w:rFonts w:hint="eastAsia" w:cstheme="minorBidi"/>
                <w:color w:val="auto"/>
                <w:szCs w:val="21"/>
                <w:highlight w:val="none"/>
              </w:rPr>
            </w:pPr>
            <w:r>
              <w:rPr>
                <w:rFonts w:hint="eastAsia"/>
                <w:color w:val="auto"/>
                <w:highlight w:val="none"/>
              </w:rPr>
              <w:t>2.00E-01</w:t>
            </w:r>
          </w:p>
        </w:tc>
        <w:tc>
          <w:tcPr>
            <w:tcW w:w="339" w:type="pct"/>
            <w:tcBorders>
              <w:tl2br w:val="nil"/>
              <w:tr2bl w:val="nil"/>
            </w:tcBorders>
            <w:shd w:val="clear" w:color="auto" w:fill="auto"/>
            <w:noWrap/>
            <w:vAlign w:val="center"/>
          </w:tcPr>
          <w:p w14:paraId="2DF738A5">
            <w:pPr>
              <w:spacing w:line="360" w:lineRule="exact"/>
              <w:jc w:val="center"/>
              <w:rPr>
                <w:rFonts w:hint="eastAsia" w:cstheme="minorBidi"/>
                <w:color w:val="auto"/>
                <w:szCs w:val="21"/>
                <w:highlight w:val="none"/>
              </w:rPr>
            </w:pPr>
            <w:r>
              <w:rPr>
                <w:rFonts w:hint="eastAsia"/>
                <w:color w:val="auto"/>
                <w:highlight w:val="none"/>
              </w:rPr>
              <w:t>1.86</w:t>
            </w:r>
          </w:p>
        </w:tc>
        <w:tc>
          <w:tcPr>
            <w:tcW w:w="353" w:type="pct"/>
            <w:tcBorders>
              <w:tl2br w:val="nil"/>
              <w:tr2bl w:val="nil"/>
            </w:tcBorders>
            <w:shd w:val="clear" w:color="auto" w:fill="auto"/>
            <w:vAlign w:val="center"/>
          </w:tcPr>
          <w:p w14:paraId="1AB95A7E">
            <w:pPr>
              <w:spacing w:line="360" w:lineRule="exact"/>
              <w:jc w:val="center"/>
              <w:rPr>
                <w:rFonts w:hint="eastAsia" w:cstheme="minorBidi"/>
                <w:color w:val="auto"/>
                <w:szCs w:val="21"/>
                <w:highlight w:val="none"/>
              </w:rPr>
            </w:pPr>
            <w:r>
              <w:rPr>
                <w:rFonts w:hint="eastAsia"/>
                <w:color w:val="auto"/>
                <w:highlight w:val="none"/>
              </w:rPr>
              <w:t>达标</w:t>
            </w:r>
          </w:p>
        </w:tc>
      </w:tr>
      <w:tr w14:paraId="73E9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blHeader/>
        </w:trPr>
        <w:tc>
          <w:tcPr>
            <w:tcW w:w="352" w:type="pct"/>
            <w:vMerge w:val="continue"/>
            <w:tcBorders>
              <w:tl2br w:val="nil"/>
              <w:tr2bl w:val="nil"/>
            </w:tcBorders>
            <w:noWrap/>
            <w:vAlign w:val="center"/>
          </w:tcPr>
          <w:p w14:paraId="560B2EB8">
            <w:pPr>
              <w:spacing w:line="360" w:lineRule="exact"/>
              <w:jc w:val="center"/>
              <w:rPr>
                <w:rFonts w:cstheme="minorBidi"/>
                <w:color w:val="auto"/>
                <w:szCs w:val="21"/>
                <w:highlight w:val="none"/>
              </w:rPr>
            </w:pPr>
          </w:p>
        </w:tc>
        <w:tc>
          <w:tcPr>
            <w:tcW w:w="177" w:type="pct"/>
            <w:tcBorders>
              <w:tl2br w:val="nil"/>
              <w:tr2bl w:val="nil"/>
            </w:tcBorders>
            <w:shd w:val="clear" w:color="auto" w:fill="auto"/>
            <w:noWrap/>
            <w:vAlign w:val="center"/>
          </w:tcPr>
          <w:p w14:paraId="75C53CCA">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2</w:t>
            </w:r>
          </w:p>
        </w:tc>
        <w:tc>
          <w:tcPr>
            <w:tcW w:w="440" w:type="pct"/>
            <w:tcBorders>
              <w:tl2br w:val="nil"/>
              <w:tr2bl w:val="nil"/>
            </w:tcBorders>
            <w:shd w:val="clear" w:color="auto" w:fill="auto"/>
            <w:vAlign w:val="center"/>
          </w:tcPr>
          <w:p w14:paraId="39BEB354">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网格</w:t>
            </w:r>
          </w:p>
        </w:tc>
        <w:tc>
          <w:tcPr>
            <w:tcW w:w="616" w:type="pct"/>
            <w:tcBorders>
              <w:tl2br w:val="nil"/>
              <w:tr2bl w:val="nil"/>
            </w:tcBorders>
            <w:shd w:val="clear" w:color="auto" w:fill="auto"/>
            <w:noWrap/>
            <w:vAlign w:val="center"/>
          </w:tcPr>
          <w:p w14:paraId="793D37E2">
            <w:pPr>
              <w:spacing w:line="360" w:lineRule="exact"/>
              <w:jc w:val="center"/>
              <w:rPr>
                <w:rFonts w:hint="eastAsia" w:eastAsia="宋体" w:cstheme="minorBidi"/>
                <w:color w:val="auto"/>
                <w:szCs w:val="21"/>
                <w:highlight w:val="none"/>
                <w:lang w:eastAsia="zh-CN"/>
              </w:rPr>
            </w:pPr>
            <w:r>
              <w:rPr>
                <w:rFonts w:hint="eastAsia" w:cstheme="minorBidi"/>
                <w:color w:val="auto"/>
                <w:szCs w:val="21"/>
                <w:highlight w:val="none"/>
                <w:lang w:eastAsia="zh-CN"/>
              </w:rPr>
              <w:t>（</w:t>
            </w:r>
            <w:r>
              <w:rPr>
                <w:rFonts w:hint="eastAsia" w:cstheme="minorBidi"/>
                <w:color w:val="auto"/>
                <w:szCs w:val="21"/>
                <w:highlight w:val="none"/>
                <w:lang w:val="en-US" w:eastAsia="zh-CN"/>
              </w:rPr>
              <w:t>887</w:t>
            </w:r>
            <w:r>
              <w:rPr>
                <w:rFonts w:hint="eastAsia" w:cstheme="minorBidi"/>
                <w:color w:val="auto"/>
                <w:szCs w:val="21"/>
                <w:highlight w:val="none"/>
                <w:lang w:eastAsia="zh-CN"/>
              </w:rPr>
              <w:t>，</w:t>
            </w:r>
            <w:r>
              <w:rPr>
                <w:rFonts w:hint="eastAsia" w:cstheme="minorBidi"/>
                <w:color w:val="auto"/>
                <w:szCs w:val="21"/>
                <w:highlight w:val="none"/>
                <w:lang w:val="en-US" w:eastAsia="zh-CN"/>
              </w:rPr>
              <w:t>1495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641FA56B">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5F061B8B">
            <w:pPr>
              <w:spacing w:line="360" w:lineRule="exact"/>
              <w:jc w:val="center"/>
              <w:rPr>
                <w:rFonts w:hint="eastAsia" w:cstheme="minorBidi"/>
                <w:color w:val="auto"/>
                <w:szCs w:val="21"/>
                <w:highlight w:val="none"/>
              </w:rPr>
            </w:pPr>
            <w:r>
              <w:rPr>
                <w:rFonts w:hint="eastAsia"/>
                <w:color w:val="auto"/>
                <w:highlight w:val="none"/>
              </w:rPr>
              <w:t>8.77E-03</w:t>
            </w:r>
          </w:p>
        </w:tc>
        <w:tc>
          <w:tcPr>
            <w:tcW w:w="603" w:type="pct"/>
            <w:tcBorders>
              <w:tl2br w:val="nil"/>
              <w:tr2bl w:val="nil"/>
            </w:tcBorders>
            <w:shd w:val="clear" w:color="auto" w:fill="auto"/>
            <w:noWrap/>
            <w:vAlign w:val="center"/>
          </w:tcPr>
          <w:p w14:paraId="6DE738A5">
            <w:pPr>
              <w:spacing w:line="360" w:lineRule="exact"/>
              <w:jc w:val="center"/>
              <w:rPr>
                <w:rFonts w:hint="eastAsia" w:cstheme="minorBidi"/>
                <w:color w:val="auto"/>
                <w:szCs w:val="21"/>
                <w:highlight w:val="none"/>
              </w:rPr>
            </w:pPr>
            <w:r>
              <w:rPr>
                <w:rFonts w:hint="eastAsia"/>
                <w:color w:val="auto"/>
                <w:highlight w:val="none"/>
              </w:rPr>
              <w:t>24123110</w:t>
            </w:r>
          </w:p>
        </w:tc>
        <w:tc>
          <w:tcPr>
            <w:tcW w:w="352" w:type="pct"/>
            <w:tcBorders>
              <w:tl2br w:val="nil"/>
              <w:tr2bl w:val="nil"/>
            </w:tcBorders>
            <w:shd w:val="clear" w:color="auto" w:fill="auto"/>
            <w:noWrap/>
            <w:vAlign w:val="center"/>
          </w:tcPr>
          <w:p w14:paraId="672586AF">
            <w:pPr>
              <w:spacing w:line="360" w:lineRule="exact"/>
              <w:jc w:val="center"/>
              <w:rPr>
                <w:rFonts w:hint="eastAsia" w:cstheme="minorBidi"/>
                <w:color w:val="auto"/>
                <w:szCs w:val="21"/>
                <w:highlight w:val="none"/>
              </w:rPr>
            </w:pPr>
            <w:r>
              <w:rPr>
                <w:rFonts w:hint="eastAsia"/>
                <w:color w:val="auto"/>
                <w:highlight w:val="none"/>
              </w:rPr>
              <w:t>1.30E-04</w:t>
            </w:r>
          </w:p>
        </w:tc>
        <w:tc>
          <w:tcPr>
            <w:tcW w:w="704" w:type="pct"/>
            <w:tcBorders>
              <w:tl2br w:val="nil"/>
              <w:tr2bl w:val="nil"/>
            </w:tcBorders>
            <w:shd w:val="clear" w:color="auto" w:fill="auto"/>
            <w:noWrap/>
            <w:vAlign w:val="center"/>
          </w:tcPr>
          <w:p w14:paraId="20C1FF1E">
            <w:pPr>
              <w:spacing w:line="360" w:lineRule="exact"/>
              <w:jc w:val="center"/>
              <w:rPr>
                <w:rFonts w:hint="eastAsia" w:cstheme="minorBidi"/>
                <w:color w:val="auto"/>
                <w:szCs w:val="21"/>
                <w:highlight w:val="none"/>
              </w:rPr>
            </w:pPr>
            <w:r>
              <w:rPr>
                <w:rFonts w:hint="eastAsia"/>
                <w:color w:val="auto"/>
                <w:highlight w:val="none"/>
              </w:rPr>
              <w:t>8.90E-03</w:t>
            </w:r>
          </w:p>
        </w:tc>
        <w:tc>
          <w:tcPr>
            <w:tcW w:w="353" w:type="pct"/>
            <w:tcBorders>
              <w:tl2br w:val="nil"/>
              <w:tr2bl w:val="nil"/>
            </w:tcBorders>
            <w:shd w:val="clear" w:color="auto" w:fill="auto"/>
            <w:noWrap/>
            <w:vAlign w:val="center"/>
          </w:tcPr>
          <w:p w14:paraId="23F39381">
            <w:pPr>
              <w:spacing w:line="360" w:lineRule="exact"/>
              <w:jc w:val="center"/>
              <w:rPr>
                <w:rFonts w:hint="eastAsia" w:cstheme="minorBidi"/>
                <w:color w:val="auto"/>
                <w:szCs w:val="21"/>
                <w:highlight w:val="none"/>
              </w:rPr>
            </w:pPr>
            <w:r>
              <w:rPr>
                <w:rFonts w:hint="eastAsia"/>
                <w:color w:val="auto"/>
                <w:highlight w:val="none"/>
              </w:rPr>
              <w:t>2.00E-01</w:t>
            </w:r>
          </w:p>
        </w:tc>
        <w:tc>
          <w:tcPr>
            <w:tcW w:w="339" w:type="pct"/>
            <w:tcBorders>
              <w:tl2br w:val="nil"/>
              <w:tr2bl w:val="nil"/>
            </w:tcBorders>
            <w:shd w:val="clear" w:color="auto" w:fill="auto"/>
            <w:noWrap/>
            <w:vAlign w:val="center"/>
          </w:tcPr>
          <w:p w14:paraId="40AB0457">
            <w:pPr>
              <w:spacing w:line="360" w:lineRule="exact"/>
              <w:jc w:val="center"/>
              <w:rPr>
                <w:rFonts w:hint="eastAsia" w:cstheme="minorBidi"/>
                <w:color w:val="auto"/>
                <w:szCs w:val="21"/>
                <w:highlight w:val="none"/>
              </w:rPr>
            </w:pPr>
            <w:r>
              <w:rPr>
                <w:rFonts w:hint="eastAsia"/>
                <w:color w:val="auto"/>
                <w:highlight w:val="none"/>
              </w:rPr>
              <w:t>4.45</w:t>
            </w:r>
          </w:p>
        </w:tc>
        <w:tc>
          <w:tcPr>
            <w:tcW w:w="353" w:type="pct"/>
            <w:tcBorders>
              <w:tl2br w:val="nil"/>
              <w:tr2bl w:val="nil"/>
            </w:tcBorders>
            <w:shd w:val="clear" w:color="auto" w:fill="auto"/>
            <w:vAlign w:val="center"/>
          </w:tcPr>
          <w:p w14:paraId="45CA1C65">
            <w:pPr>
              <w:spacing w:line="360" w:lineRule="exact"/>
              <w:jc w:val="center"/>
              <w:rPr>
                <w:rFonts w:hint="eastAsia" w:cstheme="minorBidi"/>
                <w:color w:val="auto"/>
                <w:szCs w:val="21"/>
                <w:highlight w:val="none"/>
              </w:rPr>
            </w:pPr>
            <w:r>
              <w:rPr>
                <w:rFonts w:hint="eastAsia"/>
                <w:color w:val="auto"/>
                <w:highlight w:val="none"/>
              </w:rPr>
              <w:t>达标</w:t>
            </w:r>
          </w:p>
        </w:tc>
      </w:tr>
      <w:tr w14:paraId="7EF7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blHeader/>
        </w:trPr>
        <w:tc>
          <w:tcPr>
            <w:tcW w:w="352" w:type="pct"/>
            <w:vMerge w:val="restart"/>
            <w:tcBorders>
              <w:tl2br w:val="nil"/>
              <w:tr2bl w:val="nil"/>
            </w:tcBorders>
            <w:noWrap/>
            <w:vAlign w:val="center"/>
          </w:tcPr>
          <w:p w14:paraId="57B89366">
            <w:pPr>
              <w:spacing w:line="360" w:lineRule="exact"/>
              <w:jc w:val="center"/>
              <w:rPr>
                <w:rFonts w:hint="default" w:eastAsia="宋体" w:cstheme="minorBidi"/>
                <w:color w:val="auto"/>
                <w:szCs w:val="21"/>
                <w:highlight w:val="none"/>
                <w:lang w:val="en-US" w:eastAsia="zh-CN"/>
              </w:rPr>
            </w:pPr>
            <w:r>
              <w:rPr>
                <w:rFonts w:hint="eastAsia" w:cstheme="minorBidi"/>
                <w:color w:val="auto"/>
                <w:szCs w:val="21"/>
                <w:highlight w:val="none"/>
                <w:lang w:val="en-US" w:eastAsia="zh-CN"/>
              </w:rPr>
              <w:t>H</w:t>
            </w:r>
            <w:r>
              <w:rPr>
                <w:rFonts w:hint="eastAsia" w:cstheme="minorBidi"/>
                <w:color w:val="auto"/>
                <w:szCs w:val="21"/>
                <w:highlight w:val="none"/>
                <w:vertAlign w:val="subscript"/>
                <w:lang w:val="en-US" w:eastAsia="zh-CN"/>
              </w:rPr>
              <w:t>2</w:t>
            </w:r>
            <w:r>
              <w:rPr>
                <w:rFonts w:hint="eastAsia" w:cstheme="minorBidi"/>
                <w:color w:val="auto"/>
                <w:szCs w:val="21"/>
                <w:highlight w:val="none"/>
                <w:lang w:val="en-US" w:eastAsia="zh-CN"/>
              </w:rPr>
              <w:t>S</w:t>
            </w:r>
          </w:p>
        </w:tc>
        <w:tc>
          <w:tcPr>
            <w:tcW w:w="177" w:type="pct"/>
            <w:tcBorders>
              <w:tl2br w:val="nil"/>
              <w:tr2bl w:val="nil"/>
            </w:tcBorders>
            <w:shd w:val="clear" w:color="auto" w:fill="auto"/>
            <w:noWrap/>
            <w:vAlign w:val="center"/>
          </w:tcPr>
          <w:p w14:paraId="578D3B34">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w:t>
            </w:r>
          </w:p>
        </w:tc>
        <w:tc>
          <w:tcPr>
            <w:tcW w:w="440" w:type="pct"/>
            <w:tcBorders>
              <w:tl2br w:val="nil"/>
              <w:tr2bl w:val="nil"/>
            </w:tcBorders>
            <w:shd w:val="clear" w:color="auto" w:fill="auto"/>
            <w:vAlign w:val="center"/>
          </w:tcPr>
          <w:p w14:paraId="41D4FB16">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哈尔扎木村</w:t>
            </w:r>
          </w:p>
        </w:tc>
        <w:tc>
          <w:tcPr>
            <w:tcW w:w="616" w:type="pct"/>
            <w:tcBorders>
              <w:tl2br w:val="nil"/>
              <w:tr2bl w:val="nil"/>
            </w:tcBorders>
            <w:shd w:val="clear" w:color="auto" w:fill="auto"/>
            <w:noWrap/>
            <w:vAlign w:val="center"/>
          </w:tcPr>
          <w:p w14:paraId="44DCDFFD">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lang w:eastAsia="zh-CN"/>
              </w:rPr>
              <w:t>（</w:t>
            </w:r>
            <w:r>
              <w:rPr>
                <w:rFonts w:hint="eastAsia" w:cs="Times New Roman"/>
                <w:color w:val="auto"/>
                <w:kern w:val="0"/>
                <w:sz w:val="21"/>
                <w:szCs w:val="21"/>
                <w:highlight w:val="none"/>
                <w:lang w:val="en-US" w:eastAsia="zh-CN"/>
              </w:rPr>
              <w:t>-3030，1505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0BE38773">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045F8B45">
            <w:pPr>
              <w:spacing w:line="360" w:lineRule="exact"/>
              <w:jc w:val="center"/>
              <w:rPr>
                <w:rFonts w:hint="eastAsia" w:cstheme="minorBidi"/>
                <w:color w:val="auto"/>
                <w:szCs w:val="21"/>
                <w:highlight w:val="none"/>
              </w:rPr>
            </w:pPr>
            <w:r>
              <w:rPr>
                <w:rFonts w:hint="eastAsia"/>
                <w:color w:val="auto"/>
                <w:highlight w:val="none"/>
              </w:rPr>
              <w:t>8.00E-05</w:t>
            </w:r>
          </w:p>
        </w:tc>
        <w:tc>
          <w:tcPr>
            <w:tcW w:w="603" w:type="pct"/>
            <w:tcBorders>
              <w:tl2br w:val="nil"/>
              <w:tr2bl w:val="nil"/>
            </w:tcBorders>
            <w:shd w:val="clear" w:color="auto" w:fill="auto"/>
            <w:noWrap/>
            <w:vAlign w:val="center"/>
          </w:tcPr>
          <w:p w14:paraId="2F6BF011">
            <w:pPr>
              <w:spacing w:line="360" w:lineRule="exact"/>
              <w:jc w:val="center"/>
              <w:rPr>
                <w:rFonts w:hint="eastAsia" w:cstheme="minorBidi"/>
                <w:color w:val="auto"/>
                <w:szCs w:val="21"/>
                <w:highlight w:val="none"/>
              </w:rPr>
            </w:pPr>
            <w:r>
              <w:rPr>
                <w:rFonts w:hint="eastAsia"/>
                <w:color w:val="auto"/>
                <w:highlight w:val="none"/>
              </w:rPr>
              <w:t>24041519</w:t>
            </w:r>
          </w:p>
        </w:tc>
        <w:tc>
          <w:tcPr>
            <w:tcW w:w="352" w:type="pct"/>
            <w:tcBorders>
              <w:tl2br w:val="nil"/>
              <w:tr2bl w:val="nil"/>
            </w:tcBorders>
            <w:shd w:val="clear" w:color="auto" w:fill="auto"/>
            <w:noWrap/>
            <w:vAlign w:val="center"/>
          </w:tcPr>
          <w:p w14:paraId="117475C3">
            <w:pPr>
              <w:spacing w:line="360" w:lineRule="exact"/>
              <w:jc w:val="center"/>
              <w:rPr>
                <w:rFonts w:hint="eastAsia" w:cstheme="minorBidi"/>
                <w:color w:val="auto"/>
                <w:szCs w:val="21"/>
                <w:highlight w:val="none"/>
              </w:rPr>
            </w:pPr>
            <w:r>
              <w:rPr>
                <w:rFonts w:hint="eastAsia"/>
                <w:color w:val="auto"/>
                <w:highlight w:val="none"/>
              </w:rPr>
              <w:t>0.00E+00</w:t>
            </w:r>
          </w:p>
        </w:tc>
        <w:tc>
          <w:tcPr>
            <w:tcW w:w="704" w:type="pct"/>
            <w:tcBorders>
              <w:tl2br w:val="nil"/>
              <w:tr2bl w:val="nil"/>
            </w:tcBorders>
            <w:shd w:val="clear" w:color="auto" w:fill="auto"/>
            <w:noWrap/>
            <w:vAlign w:val="center"/>
          </w:tcPr>
          <w:p w14:paraId="134484CA">
            <w:pPr>
              <w:spacing w:line="360" w:lineRule="exact"/>
              <w:jc w:val="center"/>
              <w:rPr>
                <w:rFonts w:hint="eastAsia" w:cstheme="minorBidi"/>
                <w:color w:val="auto"/>
                <w:szCs w:val="21"/>
                <w:highlight w:val="none"/>
              </w:rPr>
            </w:pPr>
            <w:r>
              <w:rPr>
                <w:rFonts w:hint="eastAsia"/>
                <w:color w:val="auto"/>
                <w:highlight w:val="none"/>
              </w:rPr>
              <w:t>8.00E-05</w:t>
            </w:r>
          </w:p>
        </w:tc>
        <w:tc>
          <w:tcPr>
            <w:tcW w:w="353" w:type="pct"/>
            <w:tcBorders>
              <w:tl2br w:val="nil"/>
              <w:tr2bl w:val="nil"/>
            </w:tcBorders>
            <w:shd w:val="clear" w:color="auto" w:fill="auto"/>
            <w:noWrap/>
            <w:vAlign w:val="center"/>
          </w:tcPr>
          <w:p w14:paraId="3C23A868">
            <w:pPr>
              <w:spacing w:line="360" w:lineRule="exact"/>
              <w:jc w:val="center"/>
              <w:rPr>
                <w:rFonts w:hint="eastAsia" w:cstheme="minorBidi"/>
                <w:color w:val="auto"/>
                <w:szCs w:val="21"/>
                <w:highlight w:val="none"/>
              </w:rPr>
            </w:pPr>
            <w:r>
              <w:rPr>
                <w:rFonts w:hint="eastAsia"/>
                <w:color w:val="auto"/>
                <w:highlight w:val="none"/>
              </w:rPr>
              <w:t>1.00E-02</w:t>
            </w:r>
          </w:p>
        </w:tc>
        <w:tc>
          <w:tcPr>
            <w:tcW w:w="339" w:type="pct"/>
            <w:tcBorders>
              <w:tl2br w:val="nil"/>
              <w:tr2bl w:val="nil"/>
            </w:tcBorders>
            <w:shd w:val="clear" w:color="auto" w:fill="auto"/>
            <w:noWrap/>
            <w:vAlign w:val="center"/>
          </w:tcPr>
          <w:p w14:paraId="152CB5A7">
            <w:pPr>
              <w:spacing w:line="360" w:lineRule="exact"/>
              <w:jc w:val="center"/>
              <w:rPr>
                <w:rFonts w:hint="eastAsia" w:cstheme="minorBidi"/>
                <w:color w:val="auto"/>
                <w:szCs w:val="21"/>
                <w:highlight w:val="none"/>
              </w:rPr>
            </w:pPr>
            <w:r>
              <w:rPr>
                <w:rFonts w:hint="eastAsia"/>
                <w:color w:val="auto"/>
                <w:highlight w:val="none"/>
              </w:rPr>
              <w:t>0.80</w:t>
            </w:r>
          </w:p>
        </w:tc>
        <w:tc>
          <w:tcPr>
            <w:tcW w:w="353" w:type="pct"/>
            <w:tcBorders>
              <w:tl2br w:val="nil"/>
              <w:tr2bl w:val="nil"/>
            </w:tcBorders>
            <w:shd w:val="clear" w:color="auto" w:fill="auto"/>
            <w:vAlign w:val="center"/>
          </w:tcPr>
          <w:p w14:paraId="4EF2CBF2">
            <w:pPr>
              <w:spacing w:line="360" w:lineRule="exact"/>
              <w:jc w:val="center"/>
              <w:rPr>
                <w:rFonts w:hint="eastAsia" w:cstheme="minorBidi"/>
                <w:color w:val="auto"/>
                <w:szCs w:val="21"/>
                <w:highlight w:val="none"/>
              </w:rPr>
            </w:pPr>
            <w:r>
              <w:rPr>
                <w:rFonts w:hint="eastAsia"/>
                <w:color w:val="auto"/>
                <w:highlight w:val="none"/>
              </w:rPr>
              <w:t>达标</w:t>
            </w:r>
          </w:p>
        </w:tc>
      </w:tr>
      <w:tr w14:paraId="4D4F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blHeader/>
        </w:trPr>
        <w:tc>
          <w:tcPr>
            <w:tcW w:w="352" w:type="pct"/>
            <w:vMerge w:val="continue"/>
            <w:tcBorders>
              <w:tl2br w:val="nil"/>
              <w:tr2bl w:val="nil"/>
            </w:tcBorders>
            <w:noWrap/>
            <w:vAlign w:val="center"/>
          </w:tcPr>
          <w:p w14:paraId="4C91A81D">
            <w:pPr>
              <w:spacing w:line="360" w:lineRule="exact"/>
              <w:jc w:val="center"/>
              <w:rPr>
                <w:rFonts w:cstheme="minorBidi"/>
                <w:color w:val="auto"/>
                <w:szCs w:val="21"/>
                <w:highlight w:val="none"/>
              </w:rPr>
            </w:pPr>
          </w:p>
        </w:tc>
        <w:tc>
          <w:tcPr>
            <w:tcW w:w="177" w:type="pct"/>
            <w:tcBorders>
              <w:tl2br w:val="nil"/>
              <w:tr2bl w:val="nil"/>
            </w:tcBorders>
            <w:shd w:val="clear" w:color="auto" w:fill="auto"/>
            <w:noWrap/>
            <w:vAlign w:val="center"/>
          </w:tcPr>
          <w:p w14:paraId="1515C68C">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2</w:t>
            </w:r>
          </w:p>
        </w:tc>
        <w:tc>
          <w:tcPr>
            <w:tcW w:w="440" w:type="pct"/>
            <w:tcBorders>
              <w:tl2br w:val="nil"/>
              <w:tr2bl w:val="nil"/>
            </w:tcBorders>
            <w:shd w:val="clear" w:color="auto" w:fill="auto"/>
            <w:vAlign w:val="center"/>
          </w:tcPr>
          <w:p w14:paraId="08E5A2D3">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网格</w:t>
            </w:r>
          </w:p>
        </w:tc>
        <w:tc>
          <w:tcPr>
            <w:tcW w:w="616" w:type="pct"/>
            <w:tcBorders>
              <w:tl2br w:val="nil"/>
              <w:tr2bl w:val="nil"/>
            </w:tcBorders>
            <w:shd w:val="clear" w:color="auto" w:fill="auto"/>
            <w:noWrap/>
            <w:vAlign w:val="center"/>
          </w:tcPr>
          <w:p w14:paraId="0AFC23ED">
            <w:pPr>
              <w:spacing w:line="360" w:lineRule="exact"/>
              <w:jc w:val="center"/>
              <w:rPr>
                <w:rFonts w:hint="eastAsia" w:cstheme="minorBidi"/>
                <w:color w:val="auto"/>
                <w:szCs w:val="21"/>
                <w:highlight w:val="none"/>
              </w:rPr>
            </w:pPr>
            <w:r>
              <w:rPr>
                <w:rFonts w:hint="eastAsia" w:cstheme="minorBidi"/>
                <w:color w:val="auto"/>
                <w:szCs w:val="21"/>
                <w:highlight w:val="none"/>
                <w:lang w:eastAsia="zh-CN"/>
              </w:rPr>
              <w:t>（</w:t>
            </w:r>
            <w:r>
              <w:rPr>
                <w:rFonts w:hint="eastAsia" w:cstheme="minorBidi"/>
                <w:color w:val="auto"/>
                <w:szCs w:val="21"/>
                <w:highlight w:val="none"/>
                <w:lang w:val="en-US" w:eastAsia="zh-CN"/>
              </w:rPr>
              <w:t>-113</w:t>
            </w:r>
            <w:r>
              <w:rPr>
                <w:rFonts w:hint="eastAsia" w:cstheme="minorBidi"/>
                <w:color w:val="auto"/>
                <w:szCs w:val="21"/>
                <w:highlight w:val="none"/>
                <w:lang w:eastAsia="zh-CN"/>
              </w:rPr>
              <w:t>，</w:t>
            </w:r>
            <w:r>
              <w:rPr>
                <w:rFonts w:hint="eastAsia" w:cstheme="minorBidi"/>
                <w:color w:val="auto"/>
                <w:szCs w:val="21"/>
                <w:highlight w:val="none"/>
                <w:lang w:val="en-US" w:eastAsia="zh-CN"/>
              </w:rPr>
              <w:t>-105</w:t>
            </w:r>
            <w:r>
              <w:rPr>
                <w:rFonts w:hint="eastAsia" w:cstheme="minorBidi"/>
                <w:color w:val="auto"/>
                <w:szCs w:val="21"/>
                <w:highlight w:val="none"/>
                <w:lang w:eastAsia="zh-CN"/>
              </w:rPr>
              <w:t>）</w:t>
            </w:r>
          </w:p>
        </w:tc>
        <w:tc>
          <w:tcPr>
            <w:tcW w:w="352" w:type="pct"/>
            <w:tcBorders>
              <w:tl2br w:val="nil"/>
              <w:tr2bl w:val="nil"/>
            </w:tcBorders>
            <w:shd w:val="clear" w:color="auto" w:fill="auto"/>
            <w:noWrap/>
            <w:vAlign w:val="center"/>
          </w:tcPr>
          <w:p w14:paraId="7A2F79C2">
            <w:pPr>
              <w:spacing w:line="360" w:lineRule="exact"/>
              <w:jc w:val="center"/>
              <w:rPr>
                <w:rFonts w:hint="eastAsia" w:ascii="Times New Roman" w:hAnsi="Times New Roman" w:eastAsia="宋体" w:cstheme="minorBidi"/>
                <w:color w:val="auto"/>
                <w:kern w:val="2"/>
                <w:sz w:val="21"/>
                <w:szCs w:val="21"/>
                <w:highlight w:val="none"/>
                <w:lang w:val="en-US" w:eastAsia="zh-CN" w:bidi="ar-SA"/>
              </w:rPr>
            </w:pPr>
            <w:r>
              <w:rPr>
                <w:rFonts w:hint="eastAsia" w:cstheme="minorBidi"/>
                <w:color w:val="auto"/>
                <w:szCs w:val="21"/>
                <w:highlight w:val="none"/>
              </w:rPr>
              <w:t>1小时</w:t>
            </w:r>
          </w:p>
        </w:tc>
        <w:tc>
          <w:tcPr>
            <w:tcW w:w="352" w:type="pct"/>
            <w:tcBorders>
              <w:tl2br w:val="nil"/>
              <w:tr2bl w:val="nil"/>
            </w:tcBorders>
            <w:shd w:val="clear" w:color="auto" w:fill="auto"/>
            <w:noWrap/>
            <w:vAlign w:val="center"/>
          </w:tcPr>
          <w:p w14:paraId="7F206C7C">
            <w:pPr>
              <w:spacing w:line="360" w:lineRule="exact"/>
              <w:jc w:val="center"/>
              <w:rPr>
                <w:rFonts w:hint="eastAsia" w:cstheme="minorBidi"/>
                <w:color w:val="auto"/>
                <w:szCs w:val="21"/>
                <w:highlight w:val="none"/>
              </w:rPr>
            </w:pPr>
            <w:r>
              <w:rPr>
                <w:rFonts w:hint="eastAsia"/>
                <w:color w:val="auto"/>
                <w:highlight w:val="none"/>
              </w:rPr>
              <w:t>6.33E-04</w:t>
            </w:r>
          </w:p>
        </w:tc>
        <w:tc>
          <w:tcPr>
            <w:tcW w:w="603" w:type="pct"/>
            <w:tcBorders>
              <w:tl2br w:val="nil"/>
              <w:tr2bl w:val="nil"/>
            </w:tcBorders>
            <w:shd w:val="clear" w:color="auto" w:fill="auto"/>
            <w:noWrap/>
            <w:vAlign w:val="center"/>
          </w:tcPr>
          <w:p w14:paraId="3D4E0764">
            <w:pPr>
              <w:spacing w:line="360" w:lineRule="exact"/>
              <w:jc w:val="center"/>
              <w:rPr>
                <w:rFonts w:hint="eastAsia" w:cstheme="minorBidi"/>
                <w:color w:val="auto"/>
                <w:szCs w:val="21"/>
                <w:highlight w:val="none"/>
              </w:rPr>
            </w:pPr>
            <w:r>
              <w:rPr>
                <w:rFonts w:hint="eastAsia"/>
                <w:color w:val="auto"/>
                <w:highlight w:val="none"/>
              </w:rPr>
              <w:t>24061009</w:t>
            </w:r>
          </w:p>
        </w:tc>
        <w:tc>
          <w:tcPr>
            <w:tcW w:w="352" w:type="pct"/>
            <w:tcBorders>
              <w:tl2br w:val="nil"/>
              <w:tr2bl w:val="nil"/>
            </w:tcBorders>
            <w:shd w:val="clear" w:color="auto" w:fill="auto"/>
            <w:noWrap/>
            <w:vAlign w:val="center"/>
          </w:tcPr>
          <w:p w14:paraId="7168F513">
            <w:pPr>
              <w:spacing w:line="360" w:lineRule="exact"/>
              <w:jc w:val="center"/>
              <w:rPr>
                <w:rFonts w:hint="eastAsia" w:cstheme="minorBidi"/>
                <w:color w:val="auto"/>
                <w:szCs w:val="21"/>
                <w:highlight w:val="none"/>
              </w:rPr>
            </w:pPr>
            <w:r>
              <w:rPr>
                <w:rFonts w:hint="eastAsia"/>
                <w:color w:val="auto"/>
                <w:highlight w:val="none"/>
              </w:rPr>
              <w:t>0.00E+00</w:t>
            </w:r>
          </w:p>
        </w:tc>
        <w:tc>
          <w:tcPr>
            <w:tcW w:w="704" w:type="pct"/>
            <w:tcBorders>
              <w:tl2br w:val="nil"/>
              <w:tr2bl w:val="nil"/>
            </w:tcBorders>
            <w:shd w:val="clear" w:color="auto" w:fill="auto"/>
            <w:noWrap/>
            <w:vAlign w:val="center"/>
          </w:tcPr>
          <w:p w14:paraId="53797430">
            <w:pPr>
              <w:spacing w:line="360" w:lineRule="exact"/>
              <w:jc w:val="center"/>
              <w:rPr>
                <w:rFonts w:hint="eastAsia" w:cstheme="minorBidi"/>
                <w:color w:val="auto"/>
                <w:szCs w:val="21"/>
                <w:highlight w:val="none"/>
              </w:rPr>
            </w:pPr>
            <w:r>
              <w:rPr>
                <w:rFonts w:hint="eastAsia"/>
                <w:color w:val="auto"/>
                <w:highlight w:val="none"/>
              </w:rPr>
              <w:t>6.33E-04</w:t>
            </w:r>
          </w:p>
        </w:tc>
        <w:tc>
          <w:tcPr>
            <w:tcW w:w="353" w:type="pct"/>
            <w:tcBorders>
              <w:tl2br w:val="nil"/>
              <w:tr2bl w:val="nil"/>
            </w:tcBorders>
            <w:shd w:val="clear" w:color="auto" w:fill="auto"/>
            <w:noWrap/>
            <w:vAlign w:val="center"/>
          </w:tcPr>
          <w:p w14:paraId="53D54C40">
            <w:pPr>
              <w:spacing w:line="360" w:lineRule="exact"/>
              <w:jc w:val="center"/>
              <w:rPr>
                <w:rFonts w:hint="eastAsia" w:cstheme="minorBidi"/>
                <w:color w:val="auto"/>
                <w:szCs w:val="21"/>
                <w:highlight w:val="none"/>
              </w:rPr>
            </w:pPr>
            <w:r>
              <w:rPr>
                <w:rFonts w:hint="eastAsia"/>
                <w:color w:val="auto"/>
                <w:highlight w:val="none"/>
              </w:rPr>
              <w:t>1.00E-02</w:t>
            </w:r>
          </w:p>
        </w:tc>
        <w:tc>
          <w:tcPr>
            <w:tcW w:w="339" w:type="pct"/>
            <w:tcBorders>
              <w:tl2br w:val="nil"/>
              <w:tr2bl w:val="nil"/>
            </w:tcBorders>
            <w:shd w:val="clear" w:color="auto" w:fill="auto"/>
            <w:noWrap/>
            <w:vAlign w:val="center"/>
          </w:tcPr>
          <w:p w14:paraId="6CC850E0">
            <w:pPr>
              <w:spacing w:line="360" w:lineRule="exact"/>
              <w:jc w:val="center"/>
              <w:rPr>
                <w:rFonts w:hint="eastAsia" w:cstheme="minorBidi"/>
                <w:color w:val="auto"/>
                <w:szCs w:val="21"/>
                <w:highlight w:val="none"/>
              </w:rPr>
            </w:pPr>
            <w:r>
              <w:rPr>
                <w:rFonts w:hint="eastAsia"/>
                <w:color w:val="auto"/>
                <w:highlight w:val="none"/>
              </w:rPr>
              <w:t>6.33</w:t>
            </w:r>
          </w:p>
        </w:tc>
        <w:tc>
          <w:tcPr>
            <w:tcW w:w="353" w:type="pct"/>
            <w:tcBorders>
              <w:tl2br w:val="nil"/>
              <w:tr2bl w:val="nil"/>
            </w:tcBorders>
            <w:shd w:val="clear" w:color="auto" w:fill="auto"/>
            <w:vAlign w:val="center"/>
          </w:tcPr>
          <w:p w14:paraId="02E6A4B2">
            <w:pPr>
              <w:spacing w:line="360" w:lineRule="exact"/>
              <w:jc w:val="center"/>
              <w:rPr>
                <w:rFonts w:hint="eastAsia" w:cstheme="minorBidi"/>
                <w:color w:val="auto"/>
                <w:szCs w:val="21"/>
                <w:highlight w:val="none"/>
              </w:rPr>
            </w:pPr>
            <w:r>
              <w:rPr>
                <w:rFonts w:hint="eastAsia"/>
                <w:color w:val="auto"/>
                <w:highlight w:val="none"/>
              </w:rPr>
              <w:t>达标</w:t>
            </w:r>
          </w:p>
        </w:tc>
      </w:tr>
    </w:tbl>
    <w:p w14:paraId="3BBBCB2F">
      <w:pPr>
        <w:pStyle w:val="68"/>
        <w:rPr>
          <w:rFonts w:hint="eastAsia" w:eastAsia="黑体"/>
          <w:color w:val="auto"/>
          <w:kern w:val="0"/>
          <w:highlight w:val="none"/>
          <w:lang w:val="en-US" w:eastAsia="zh-CN"/>
        </w:rPr>
      </w:pPr>
    </w:p>
    <w:p w14:paraId="50471EF4">
      <w:pPr>
        <w:pStyle w:val="504"/>
        <w:adjustRightInd w:val="0"/>
        <w:snapToGrid w:val="0"/>
        <w:spacing w:line="360" w:lineRule="auto"/>
        <w:ind w:firstLine="480"/>
        <w:rPr>
          <w:rFonts w:ascii="Times New Roman" w:hAnsi="Times New Roman" w:eastAsia="宋体" w:cs="Times New Roman"/>
          <w:snapToGrid w:val="0"/>
          <w:color w:val="auto"/>
          <w:kern w:val="0"/>
          <w:highlight w:val="none"/>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5A680AA3">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lang w:eastAsia="zh-CN"/>
        </w:rPr>
      </w:pPr>
      <w:r>
        <w:rPr>
          <w:rFonts w:hint="eastAsia" w:ascii="Times New Roman" w:hAnsi="Times New Roman" w:eastAsia="宋体" w:cs="Times New Roman"/>
          <w:snapToGrid w:val="0"/>
          <w:color w:val="auto"/>
          <w:kern w:val="0"/>
          <w:highlight w:val="none"/>
        </w:rPr>
        <w:t>由上表可知，SO</w:t>
      </w:r>
      <w:r>
        <w:rPr>
          <w:rFonts w:hint="eastAsia" w:ascii="Times New Roman" w:hAnsi="Times New Roman" w:eastAsia="宋体" w:cs="Times New Roman"/>
          <w:snapToGrid w:val="0"/>
          <w:color w:val="auto"/>
          <w:kern w:val="0"/>
          <w:highlight w:val="none"/>
          <w:vertAlign w:val="subscript"/>
        </w:rPr>
        <w:t>2</w:t>
      </w:r>
      <w:r>
        <w:rPr>
          <w:rFonts w:hint="eastAsia" w:ascii="Times New Roman" w:hAnsi="Times New Roman" w:eastAsia="宋体" w:cs="Times New Roman"/>
          <w:snapToGrid w:val="0"/>
          <w:color w:val="auto"/>
          <w:kern w:val="0"/>
          <w:highlight w:val="none"/>
        </w:rPr>
        <w:t>、NO</w:t>
      </w:r>
      <w:r>
        <w:rPr>
          <w:rFonts w:hint="eastAsia" w:ascii="Times New Roman" w:hAnsi="Times New Roman" w:eastAsia="宋体" w:cs="Times New Roman"/>
          <w:snapToGrid w:val="0"/>
          <w:color w:val="auto"/>
          <w:kern w:val="0"/>
          <w:highlight w:val="none"/>
          <w:vertAlign w:val="subscript"/>
        </w:rPr>
        <w:t>2</w:t>
      </w:r>
      <w:r>
        <w:rPr>
          <w:rFonts w:ascii="Times New Roman" w:hAnsi="Times New Roman" w:eastAsia="宋体" w:cs="Times New Roman"/>
          <w:snapToGrid w:val="0"/>
          <w:color w:val="auto"/>
          <w:kern w:val="0"/>
          <w:highlight w:val="none"/>
        </w:rPr>
        <w:t>叠加背景浓度</w:t>
      </w:r>
      <w:r>
        <w:rPr>
          <w:rFonts w:hint="eastAsia" w:ascii="Times New Roman" w:hAnsi="Times New Roman" w:eastAsia="宋体" w:cs="Times New Roman"/>
          <w:snapToGrid w:val="0"/>
          <w:color w:val="auto"/>
          <w:kern w:val="0"/>
          <w:highlight w:val="none"/>
        </w:rPr>
        <w:t>+在建拟建项目污染源后，保证率日平均质量浓度和年平均质量浓度均符合《环境空气质量标准》（GB3095-20</w:t>
      </w:r>
      <w:r>
        <w:rPr>
          <w:rFonts w:hint="eastAsia" w:ascii="Times New Roman" w:hAnsi="Times New Roman" w:eastAsia="宋体" w:cs="Times New Roman"/>
          <w:snapToGrid w:val="0"/>
          <w:color w:val="auto"/>
          <w:kern w:val="0"/>
          <w:highlight w:val="none"/>
          <w:lang w:val="en-US" w:eastAsia="zh-CN"/>
        </w:rPr>
        <w:t>26</w:t>
      </w:r>
      <w:r>
        <w:rPr>
          <w:rFonts w:hint="eastAsia"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lang w:val="en-US" w:eastAsia="zh-CN"/>
        </w:rPr>
        <w:t>过渡阶段</w:t>
      </w:r>
      <w:r>
        <w:rPr>
          <w:rFonts w:hint="eastAsia" w:ascii="Times New Roman" w:hAnsi="Times New Roman" w:eastAsia="宋体" w:cs="Times New Roman"/>
          <w:snapToGrid w:val="0"/>
          <w:color w:val="auto"/>
          <w:kern w:val="0"/>
          <w:highlight w:val="none"/>
        </w:rPr>
        <w:t>二级标准</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H</w:t>
      </w:r>
      <w:r>
        <w:rPr>
          <w:rFonts w:hint="eastAsia" w:ascii="Times New Roman" w:hAnsi="Times New Roman" w:eastAsia="宋体" w:cs="Times New Roman"/>
          <w:snapToGrid w:val="0"/>
          <w:color w:val="auto"/>
          <w:kern w:val="0"/>
          <w:highlight w:val="none"/>
          <w:vertAlign w:val="subscript"/>
        </w:rPr>
        <w:t>2</w:t>
      </w:r>
      <w:r>
        <w:rPr>
          <w:rFonts w:hint="eastAsia" w:ascii="Times New Roman" w:hAnsi="Times New Roman" w:eastAsia="宋体" w:cs="Times New Roman"/>
          <w:snapToGrid w:val="0"/>
          <w:color w:val="auto"/>
          <w:kern w:val="0"/>
          <w:highlight w:val="none"/>
        </w:rPr>
        <w:t>SO</w:t>
      </w:r>
      <w:r>
        <w:rPr>
          <w:rFonts w:hint="eastAsia" w:ascii="Times New Roman" w:hAnsi="Times New Roman" w:eastAsia="宋体" w:cs="Times New Roman"/>
          <w:snapToGrid w:val="0"/>
          <w:color w:val="auto"/>
          <w:kern w:val="0"/>
          <w:highlight w:val="none"/>
          <w:vertAlign w:val="subscript"/>
        </w:rPr>
        <w:t>4</w:t>
      </w:r>
      <w:r>
        <w:rPr>
          <w:rFonts w:hint="eastAsia" w:ascii="Times New Roman" w:hAnsi="Times New Roman" w:eastAsia="宋体" w:cs="Times New Roman"/>
          <w:snapToGrid w:val="0"/>
          <w:color w:val="auto"/>
          <w:kern w:val="0"/>
          <w:highlight w:val="none"/>
          <w:vertAlign w:val="baseline"/>
          <w:lang w:val="en-US" w:eastAsia="zh-CN"/>
        </w:rPr>
        <w:t>和NH</w:t>
      </w:r>
      <w:r>
        <w:rPr>
          <w:rFonts w:hint="eastAsia" w:ascii="Times New Roman" w:hAnsi="Times New Roman" w:eastAsia="宋体" w:cs="Times New Roman"/>
          <w:snapToGrid w:val="0"/>
          <w:color w:val="auto"/>
          <w:kern w:val="0"/>
          <w:highlight w:val="none"/>
          <w:vertAlign w:val="subscript"/>
          <w:lang w:val="en-US" w:eastAsia="zh-CN"/>
        </w:rPr>
        <w:t>3</w:t>
      </w:r>
      <w:r>
        <w:rPr>
          <w:rFonts w:hint="eastAsia" w:ascii="Times New Roman" w:hAnsi="Times New Roman" w:eastAsia="宋体" w:cs="Times New Roman"/>
          <w:snapToGrid w:val="0"/>
          <w:color w:val="auto"/>
          <w:kern w:val="0"/>
          <w:highlight w:val="none"/>
        </w:rPr>
        <w:t>叠加背景</w:t>
      </w:r>
      <w:r>
        <w:rPr>
          <w:rFonts w:ascii="Times New Roman" w:hAnsi="Times New Roman" w:eastAsia="宋体" w:cs="Times New Roman"/>
          <w:snapToGrid w:val="0"/>
          <w:color w:val="auto"/>
          <w:kern w:val="0"/>
          <w:highlight w:val="none"/>
        </w:rPr>
        <w:t>浓度</w:t>
      </w:r>
      <w:r>
        <w:rPr>
          <w:rFonts w:hint="eastAsia" w:ascii="Times New Roman" w:hAnsi="Times New Roman" w:eastAsia="宋体" w:cs="Times New Roman"/>
          <w:snapToGrid w:val="0"/>
          <w:color w:val="auto"/>
          <w:kern w:val="0"/>
          <w:highlight w:val="none"/>
        </w:rPr>
        <w:t>+在建拟建项目污染源后，短期浓度满足《环境影响评价技术导则 大气环境》（HJ 2.2-2018）附录D标准</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NMHC叠加背景</w:t>
      </w:r>
      <w:r>
        <w:rPr>
          <w:rFonts w:ascii="Times New Roman" w:hAnsi="Times New Roman" w:eastAsia="宋体" w:cs="Times New Roman"/>
          <w:snapToGrid w:val="0"/>
          <w:color w:val="auto"/>
          <w:kern w:val="0"/>
          <w:highlight w:val="none"/>
        </w:rPr>
        <w:t>浓度</w:t>
      </w:r>
      <w:r>
        <w:rPr>
          <w:rFonts w:hint="eastAsia" w:ascii="Times New Roman" w:hAnsi="Times New Roman" w:eastAsia="宋体" w:cs="Times New Roman"/>
          <w:snapToGrid w:val="0"/>
          <w:color w:val="auto"/>
          <w:kern w:val="0"/>
          <w:highlight w:val="none"/>
        </w:rPr>
        <w:t>+在建拟建项目污染源后，短期浓度满足</w:t>
      </w:r>
      <w:r>
        <w:rPr>
          <w:rFonts w:hint="eastAsia"/>
          <w:snapToGrid w:val="0"/>
          <w:color w:val="auto"/>
          <w:kern w:val="0"/>
          <w:sz w:val="24"/>
          <w:highlight w:val="none"/>
        </w:rPr>
        <w:t>《大气污染物综合排放标准详解》</w:t>
      </w:r>
      <w:r>
        <w:rPr>
          <w:rFonts w:hint="eastAsia" w:ascii="Times New Roman" w:hAnsi="Times New Roman" w:eastAsia="宋体" w:cs="Times New Roman"/>
          <w:snapToGrid w:val="0"/>
          <w:color w:val="auto"/>
          <w:kern w:val="0"/>
          <w:highlight w:val="none"/>
        </w:rPr>
        <w:t>中的浓度限值标准</w:t>
      </w:r>
      <w:r>
        <w:rPr>
          <w:rFonts w:hint="eastAsia" w:ascii="Times New Roman" w:hAnsi="Times New Roman" w:eastAsia="宋体" w:cs="Times New Roman"/>
          <w:snapToGrid w:val="0"/>
          <w:color w:val="auto"/>
          <w:kern w:val="0"/>
          <w:highlight w:val="none"/>
          <w:lang w:val="en-US" w:eastAsia="zh-CN"/>
        </w:rPr>
        <w:t>；H</w:t>
      </w:r>
      <w:r>
        <w:rPr>
          <w:rFonts w:hint="eastAsia" w:ascii="Times New Roman" w:hAnsi="Times New Roman" w:eastAsia="宋体" w:cs="Times New Roman"/>
          <w:snapToGrid w:val="0"/>
          <w:color w:val="auto"/>
          <w:kern w:val="0"/>
          <w:highlight w:val="none"/>
          <w:vertAlign w:val="subscript"/>
          <w:lang w:val="en-US" w:eastAsia="zh-CN"/>
        </w:rPr>
        <w:t>2</w:t>
      </w:r>
      <w:r>
        <w:rPr>
          <w:rFonts w:hint="eastAsia" w:ascii="Times New Roman" w:hAnsi="Times New Roman" w:eastAsia="宋体" w:cs="Times New Roman"/>
          <w:snapToGrid w:val="0"/>
          <w:color w:val="auto"/>
          <w:kern w:val="0"/>
          <w:highlight w:val="none"/>
          <w:lang w:val="en-US" w:eastAsia="zh-CN"/>
        </w:rPr>
        <w:t>S</w:t>
      </w:r>
      <w:r>
        <w:rPr>
          <w:rFonts w:hint="eastAsia" w:ascii="Times New Roman" w:hAnsi="Times New Roman" w:eastAsia="宋体" w:cs="Times New Roman"/>
          <w:snapToGrid w:val="0"/>
          <w:color w:val="auto"/>
          <w:kern w:val="0"/>
          <w:highlight w:val="none"/>
        </w:rPr>
        <w:t>叠加背景</w:t>
      </w:r>
      <w:r>
        <w:rPr>
          <w:rFonts w:ascii="Times New Roman" w:hAnsi="Times New Roman" w:eastAsia="宋体" w:cs="Times New Roman"/>
          <w:snapToGrid w:val="0"/>
          <w:color w:val="auto"/>
          <w:kern w:val="0"/>
          <w:highlight w:val="none"/>
        </w:rPr>
        <w:t>浓度</w:t>
      </w:r>
      <w:r>
        <w:rPr>
          <w:rFonts w:hint="eastAsia" w:ascii="Times New Roman" w:hAnsi="Times New Roman" w:eastAsia="宋体" w:cs="Times New Roman"/>
          <w:snapToGrid w:val="0"/>
          <w:color w:val="auto"/>
          <w:kern w:val="0"/>
          <w:highlight w:val="none"/>
        </w:rPr>
        <w:t>后，短期浓度满足《环境影响评价技术导则 大气环境》（HJ 2.2-2018）附录D中的浓度限值标准</w:t>
      </w:r>
      <w:r>
        <w:rPr>
          <w:rFonts w:hint="eastAsia" w:ascii="Times New Roman" w:hAnsi="Times New Roman" w:eastAsia="宋体" w:cs="Times New Roman"/>
          <w:snapToGrid w:val="0"/>
          <w:color w:val="auto"/>
          <w:kern w:val="0"/>
          <w:highlight w:val="none"/>
          <w:lang w:eastAsia="zh-CN"/>
        </w:rPr>
        <w:t>。</w:t>
      </w:r>
    </w:p>
    <w:p w14:paraId="74E02B1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6.2.1.7非正常工况下污染物预测及结果分析</w:t>
      </w:r>
    </w:p>
    <w:p w14:paraId="6D926A9D">
      <w:pPr>
        <w:spacing w:line="360" w:lineRule="auto"/>
        <w:ind w:firstLine="480"/>
        <w:rPr>
          <w:color w:val="auto"/>
          <w:sz w:val="24"/>
          <w:highlight w:val="none"/>
        </w:rPr>
      </w:pPr>
      <w:r>
        <w:rPr>
          <w:color w:val="auto"/>
          <w:sz w:val="24"/>
          <w:highlight w:val="none"/>
        </w:rPr>
        <w:t>非正常工况下，污染物预测最大浓度贡献值及达标情况见表</w:t>
      </w:r>
      <w:r>
        <w:rPr>
          <w:rFonts w:hint="eastAsia"/>
          <w:color w:val="auto"/>
          <w:sz w:val="24"/>
          <w:highlight w:val="none"/>
        </w:rPr>
        <w:t>6.2-</w:t>
      </w:r>
      <w:r>
        <w:rPr>
          <w:rFonts w:hint="eastAsia"/>
          <w:color w:val="auto"/>
          <w:sz w:val="24"/>
          <w:highlight w:val="none"/>
          <w:lang w:val="en-US" w:eastAsia="zh-CN"/>
        </w:rPr>
        <w:t>21</w:t>
      </w:r>
      <w:r>
        <w:rPr>
          <w:color w:val="auto"/>
          <w:sz w:val="24"/>
          <w:highlight w:val="none"/>
        </w:rPr>
        <w:t>。</w:t>
      </w:r>
    </w:p>
    <w:p w14:paraId="35CA9579">
      <w:pPr>
        <w:jc w:val="center"/>
        <w:rPr>
          <w:b/>
          <w:bCs/>
          <w:color w:val="auto"/>
          <w:highlight w:val="none"/>
        </w:rPr>
      </w:pPr>
      <w:r>
        <w:rPr>
          <w:b/>
          <w:bCs/>
          <w:color w:val="auto"/>
          <w:highlight w:val="none"/>
        </w:rPr>
        <w:t>表</w:t>
      </w:r>
      <w:r>
        <w:rPr>
          <w:rFonts w:hint="eastAsia"/>
          <w:b/>
          <w:bCs/>
          <w:color w:val="auto"/>
          <w:highlight w:val="none"/>
        </w:rPr>
        <w:t>6.2-</w:t>
      </w:r>
      <w:r>
        <w:rPr>
          <w:rFonts w:hint="eastAsia"/>
          <w:b/>
          <w:bCs/>
          <w:color w:val="auto"/>
          <w:highlight w:val="none"/>
          <w:lang w:val="en-US" w:eastAsia="zh-CN"/>
        </w:rPr>
        <w:t>21</w:t>
      </w:r>
      <w:r>
        <w:rPr>
          <w:b/>
          <w:bCs/>
          <w:color w:val="auto"/>
          <w:highlight w:val="none"/>
        </w:rPr>
        <w:t xml:space="preserve"> 非正常工况下</w:t>
      </w:r>
      <w:r>
        <w:rPr>
          <w:rFonts w:hint="eastAsia"/>
          <w:b/>
          <w:bCs/>
          <w:color w:val="auto"/>
          <w:highlight w:val="none"/>
          <w:lang w:val="en-US" w:eastAsia="zh-CN"/>
        </w:rPr>
        <w:t>污染物</w:t>
      </w:r>
      <w:r>
        <w:rPr>
          <w:b/>
          <w:bCs/>
          <w:color w:val="auto"/>
          <w:highlight w:val="none"/>
        </w:rPr>
        <w:t>小时落地浓度贡献值分析</w:t>
      </w:r>
    </w:p>
    <w:tbl>
      <w:tblPr>
        <w:tblStyle w:val="57"/>
        <w:tblW w:w="8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0"/>
        <w:gridCol w:w="471"/>
        <w:gridCol w:w="995"/>
        <w:gridCol w:w="1394"/>
        <w:gridCol w:w="519"/>
        <w:gridCol w:w="776"/>
        <w:gridCol w:w="1455"/>
        <w:gridCol w:w="915"/>
        <w:gridCol w:w="855"/>
        <w:gridCol w:w="530"/>
      </w:tblGrid>
      <w:tr w14:paraId="1C03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320" w:type="dxa"/>
            <w:tcBorders>
              <w:tl2br w:val="nil"/>
              <w:tr2bl w:val="nil"/>
            </w:tcBorders>
            <w:noWrap/>
            <w:vAlign w:val="center"/>
          </w:tcPr>
          <w:p w14:paraId="2B00B9D6">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序号</w:t>
            </w:r>
          </w:p>
        </w:tc>
        <w:tc>
          <w:tcPr>
            <w:tcW w:w="471" w:type="dxa"/>
            <w:tcBorders>
              <w:tl2br w:val="nil"/>
              <w:tr2bl w:val="nil"/>
            </w:tcBorders>
            <w:noWrap/>
            <w:vAlign w:val="center"/>
          </w:tcPr>
          <w:p w14:paraId="4FB5FC64">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highlight w:val="none"/>
                <w:lang w:val="en-US" w:eastAsia="zh-CN"/>
              </w:rPr>
            </w:pPr>
            <w:r>
              <w:rPr>
                <w:rFonts w:hint="eastAsia" w:eastAsia="宋体"/>
                <w:color w:val="auto"/>
                <w:highlight w:val="none"/>
                <w:lang w:val="en-US" w:eastAsia="zh-CN"/>
              </w:rPr>
              <w:t>污染物</w:t>
            </w:r>
          </w:p>
        </w:tc>
        <w:tc>
          <w:tcPr>
            <w:tcW w:w="995" w:type="dxa"/>
            <w:tcBorders>
              <w:tl2br w:val="nil"/>
              <w:tr2bl w:val="nil"/>
            </w:tcBorders>
            <w:noWrap/>
            <w:vAlign w:val="center"/>
          </w:tcPr>
          <w:p w14:paraId="72440324">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名称</w:t>
            </w:r>
          </w:p>
        </w:tc>
        <w:tc>
          <w:tcPr>
            <w:tcW w:w="1394" w:type="dxa"/>
            <w:tcBorders>
              <w:tl2br w:val="nil"/>
              <w:tr2bl w:val="nil"/>
            </w:tcBorders>
            <w:noWrap/>
            <w:vAlign w:val="center"/>
          </w:tcPr>
          <w:p w14:paraId="3764DEE3">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highlight w:val="none"/>
                <w:lang w:eastAsia="zh-CN"/>
              </w:rPr>
            </w:pPr>
            <w:r>
              <w:rPr>
                <w:rFonts w:eastAsia="Times New Roman"/>
                <w:color w:val="auto"/>
                <w:highlight w:val="none"/>
              </w:rPr>
              <w:t>点坐标</w:t>
            </w:r>
            <w:r>
              <w:rPr>
                <w:rFonts w:hint="eastAsia" w:eastAsia="宋体"/>
                <w:color w:val="auto"/>
                <w:highlight w:val="none"/>
                <w:lang w:eastAsia="zh-CN"/>
              </w:rPr>
              <w:t>（</w:t>
            </w:r>
            <w:r>
              <w:rPr>
                <w:rFonts w:eastAsia="Times New Roman"/>
                <w:color w:val="auto"/>
                <w:highlight w:val="none"/>
              </w:rPr>
              <w:t>x,y</w:t>
            </w:r>
            <w:r>
              <w:rPr>
                <w:rFonts w:hint="eastAsia" w:eastAsia="宋体"/>
                <w:color w:val="auto"/>
                <w:highlight w:val="none"/>
                <w:lang w:eastAsia="zh-CN"/>
              </w:rPr>
              <w:t>）</w:t>
            </w:r>
          </w:p>
        </w:tc>
        <w:tc>
          <w:tcPr>
            <w:tcW w:w="519" w:type="dxa"/>
            <w:tcBorders>
              <w:tl2br w:val="nil"/>
              <w:tr2bl w:val="nil"/>
            </w:tcBorders>
            <w:noWrap/>
            <w:vAlign w:val="center"/>
          </w:tcPr>
          <w:p w14:paraId="058F3014">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浓度</w:t>
            </w:r>
          </w:p>
          <w:p w14:paraId="3BC0FE92">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类型</w:t>
            </w:r>
          </w:p>
        </w:tc>
        <w:tc>
          <w:tcPr>
            <w:tcW w:w="776" w:type="dxa"/>
            <w:tcBorders>
              <w:tl2br w:val="nil"/>
              <w:tr2bl w:val="nil"/>
            </w:tcBorders>
            <w:noWrap/>
            <w:vAlign w:val="center"/>
          </w:tcPr>
          <w:p w14:paraId="6B1A3FEC">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浓度</w:t>
            </w:r>
          </w:p>
          <w:p w14:paraId="3B6F4206">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增量</w:t>
            </w:r>
          </w:p>
          <w:p w14:paraId="76633CC9">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highlight w:val="none"/>
                <w:lang w:eastAsia="zh-CN"/>
              </w:rPr>
            </w:pPr>
            <w:r>
              <w:rPr>
                <w:rFonts w:hint="eastAsia"/>
                <w:color w:val="auto"/>
                <w:highlight w:val="none"/>
                <w:lang w:val="en-US" w:eastAsia="zh-CN"/>
              </w:rPr>
              <w:t>(</w:t>
            </w:r>
            <w:r>
              <w:rPr>
                <w:rFonts w:hint="eastAsia" w:eastAsia="Times New Roman"/>
                <w:color w:val="auto"/>
                <w:highlight w:val="none"/>
              </w:rPr>
              <w:t>m</w:t>
            </w:r>
            <w:r>
              <w:rPr>
                <w:rFonts w:eastAsia="Times New Roman"/>
                <w:color w:val="auto"/>
                <w:highlight w:val="none"/>
              </w:rPr>
              <w:t>g/m</w:t>
            </w:r>
            <w:r>
              <w:rPr>
                <w:rFonts w:eastAsia="Times New Roman"/>
                <w:color w:val="auto"/>
                <w:highlight w:val="none"/>
                <w:vertAlign w:val="superscript"/>
              </w:rPr>
              <w:t>3</w:t>
            </w:r>
            <w:r>
              <w:rPr>
                <w:rFonts w:hint="eastAsia"/>
                <w:color w:val="auto"/>
                <w:highlight w:val="none"/>
                <w:lang w:val="en-US" w:eastAsia="zh-CN"/>
              </w:rPr>
              <w:t>)</w:t>
            </w:r>
          </w:p>
        </w:tc>
        <w:tc>
          <w:tcPr>
            <w:tcW w:w="1455" w:type="dxa"/>
            <w:tcBorders>
              <w:tl2br w:val="nil"/>
              <w:tr2bl w:val="nil"/>
            </w:tcBorders>
            <w:noWrap/>
            <w:vAlign w:val="center"/>
          </w:tcPr>
          <w:p w14:paraId="47997B6C">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出现时间</w:t>
            </w:r>
          </w:p>
          <w:p w14:paraId="20D189A9">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highlight w:val="none"/>
                <w:lang w:eastAsia="zh-CN"/>
              </w:rPr>
            </w:pPr>
            <w:r>
              <w:rPr>
                <w:rFonts w:hint="eastAsia"/>
                <w:color w:val="auto"/>
                <w:highlight w:val="none"/>
                <w:lang w:val="en-US" w:eastAsia="zh-CN"/>
              </w:rPr>
              <w:t>(</w:t>
            </w:r>
            <w:r>
              <w:rPr>
                <w:rFonts w:eastAsia="Times New Roman"/>
                <w:color w:val="auto"/>
                <w:highlight w:val="none"/>
              </w:rPr>
              <w:t>YYMMDDHH</w:t>
            </w:r>
            <w:r>
              <w:rPr>
                <w:rFonts w:hint="eastAsia"/>
                <w:color w:val="auto"/>
                <w:highlight w:val="none"/>
                <w:lang w:val="en-US" w:eastAsia="zh-CN"/>
              </w:rPr>
              <w:t>)</w:t>
            </w:r>
          </w:p>
        </w:tc>
        <w:tc>
          <w:tcPr>
            <w:tcW w:w="915" w:type="dxa"/>
            <w:tcBorders>
              <w:tl2br w:val="nil"/>
              <w:tr2bl w:val="nil"/>
            </w:tcBorders>
            <w:noWrap/>
            <w:vAlign w:val="center"/>
          </w:tcPr>
          <w:p w14:paraId="5A918036">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highlight w:val="none"/>
                <w:lang w:eastAsia="zh-CN"/>
              </w:rPr>
            </w:pPr>
            <w:r>
              <w:rPr>
                <w:rFonts w:eastAsia="Times New Roman"/>
                <w:color w:val="auto"/>
                <w:highlight w:val="none"/>
              </w:rPr>
              <w:t>评价标准</w:t>
            </w:r>
            <w:r>
              <w:rPr>
                <w:rFonts w:hint="eastAsia" w:eastAsia="宋体"/>
                <w:color w:val="auto"/>
                <w:highlight w:val="none"/>
                <w:lang w:eastAsia="zh-CN"/>
              </w:rPr>
              <w:t>（</w:t>
            </w:r>
            <w:r>
              <w:rPr>
                <w:rFonts w:hint="eastAsia" w:eastAsia="Times New Roman"/>
                <w:color w:val="auto"/>
                <w:highlight w:val="none"/>
              </w:rPr>
              <w:t>m</w:t>
            </w:r>
            <w:r>
              <w:rPr>
                <w:rFonts w:eastAsia="Times New Roman"/>
                <w:color w:val="auto"/>
                <w:highlight w:val="none"/>
              </w:rPr>
              <w:t>g/m</w:t>
            </w:r>
            <w:r>
              <w:rPr>
                <w:rFonts w:eastAsia="Times New Roman"/>
                <w:color w:val="auto"/>
                <w:highlight w:val="none"/>
                <w:vertAlign w:val="superscript"/>
              </w:rPr>
              <w:t>3</w:t>
            </w:r>
            <w:r>
              <w:rPr>
                <w:rFonts w:hint="eastAsia" w:eastAsia="宋体"/>
                <w:color w:val="auto"/>
                <w:highlight w:val="none"/>
                <w:lang w:eastAsia="zh-CN"/>
              </w:rPr>
              <w:t>）</w:t>
            </w:r>
          </w:p>
        </w:tc>
        <w:tc>
          <w:tcPr>
            <w:tcW w:w="855" w:type="dxa"/>
            <w:tcBorders>
              <w:tl2br w:val="nil"/>
              <w:tr2bl w:val="nil"/>
            </w:tcBorders>
            <w:noWrap/>
            <w:vAlign w:val="center"/>
          </w:tcPr>
          <w:p w14:paraId="774D9713">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占标率</w:t>
            </w:r>
          </w:p>
          <w:p w14:paraId="665B28A1">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hint="eastAsia" w:eastAsia="宋体"/>
                <w:color w:val="auto"/>
                <w:highlight w:val="none"/>
                <w:lang w:val="en-US" w:eastAsia="zh-CN"/>
              </w:rPr>
              <w:t>（</w:t>
            </w:r>
            <w:r>
              <w:rPr>
                <w:rFonts w:eastAsia="Times New Roman"/>
                <w:color w:val="auto"/>
                <w:highlight w:val="none"/>
              </w:rPr>
              <w:t>%</w:t>
            </w:r>
            <w:r>
              <w:rPr>
                <w:rFonts w:hint="eastAsia" w:eastAsia="宋体"/>
                <w:color w:val="auto"/>
                <w:highlight w:val="none"/>
                <w:lang w:val="en-US" w:eastAsia="zh-CN"/>
              </w:rPr>
              <w:t>）</w:t>
            </w:r>
          </w:p>
        </w:tc>
        <w:tc>
          <w:tcPr>
            <w:tcW w:w="530" w:type="dxa"/>
            <w:tcBorders>
              <w:tl2br w:val="nil"/>
              <w:tr2bl w:val="nil"/>
            </w:tcBorders>
            <w:noWrap/>
            <w:vAlign w:val="center"/>
          </w:tcPr>
          <w:p w14:paraId="33F15C19">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是否</w:t>
            </w:r>
          </w:p>
          <w:p w14:paraId="5AB0CB0F">
            <w:pPr>
              <w:pStyle w:val="768"/>
              <w:keepNext w:val="0"/>
              <w:keepLines w:val="0"/>
              <w:pageBreakBefore w:val="0"/>
              <w:widowControl w:val="0"/>
              <w:kinsoku/>
              <w:wordWrap/>
              <w:overflowPunct/>
              <w:topLinePunct w:val="0"/>
              <w:autoSpaceDE/>
              <w:autoSpaceDN/>
              <w:bidi w:val="0"/>
              <w:adjustRightInd/>
              <w:snapToGrid/>
              <w:spacing w:line="240" w:lineRule="auto"/>
              <w:textAlignment w:val="auto"/>
              <w:rPr>
                <w:rFonts w:eastAsia="Times New Roman"/>
                <w:color w:val="auto"/>
                <w:highlight w:val="none"/>
              </w:rPr>
            </w:pPr>
            <w:r>
              <w:rPr>
                <w:rFonts w:eastAsia="Times New Roman"/>
                <w:color w:val="auto"/>
                <w:highlight w:val="none"/>
              </w:rPr>
              <w:t>超标</w:t>
            </w:r>
          </w:p>
        </w:tc>
      </w:tr>
      <w:tr w14:paraId="765B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0" w:type="dxa"/>
            <w:vMerge w:val="restart"/>
            <w:tcBorders>
              <w:tl2br w:val="nil"/>
              <w:tr2bl w:val="nil"/>
            </w:tcBorders>
            <w:noWrap/>
            <w:vAlign w:val="center"/>
          </w:tcPr>
          <w:p w14:paraId="3EF1FB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r>
              <w:rPr>
                <w:rFonts w:hint="eastAsia" w:eastAsia="Times New Roman" w:cstheme="minorBidi"/>
                <w:color w:val="auto"/>
                <w:szCs w:val="21"/>
                <w:highlight w:val="none"/>
              </w:rPr>
              <w:t>1</w:t>
            </w:r>
          </w:p>
        </w:tc>
        <w:tc>
          <w:tcPr>
            <w:tcW w:w="471" w:type="dxa"/>
            <w:vMerge w:val="restart"/>
            <w:tcBorders>
              <w:tl2br w:val="nil"/>
              <w:tr2bl w:val="nil"/>
            </w:tcBorders>
            <w:noWrap/>
            <w:vAlign w:val="center"/>
          </w:tcPr>
          <w:p w14:paraId="29311E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heme="minorBidi"/>
                <w:color w:val="auto"/>
                <w:szCs w:val="21"/>
                <w:highlight w:val="none"/>
                <w:lang w:val="en-US" w:eastAsia="zh-CN"/>
              </w:rPr>
            </w:pPr>
            <w:r>
              <w:rPr>
                <w:rFonts w:hint="eastAsia" w:eastAsia="宋体" w:cstheme="minorBidi"/>
                <w:color w:val="auto"/>
                <w:szCs w:val="21"/>
                <w:highlight w:val="none"/>
                <w:lang w:val="en-US" w:eastAsia="zh-CN"/>
              </w:rPr>
              <w:t>H</w:t>
            </w:r>
            <w:r>
              <w:rPr>
                <w:rFonts w:hint="eastAsia" w:eastAsia="宋体" w:cstheme="minorBidi"/>
                <w:color w:val="auto"/>
                <w:szCs w:val="21"/>
                <w:highlight w:val="none"/>
                <w:vertAlign w:val="subscript"/>
                <w:lang w:val="en-US" w:eastAsia="zh-CN"/>
              </w:rPr>
              <w:t>2</w:t>
            </w:r>
            <w:r>
              <w:rPr>
                <w:rFonts w:hint="eastAsia" w:eastAsia="宋体" w:cstheme="minorBidi"/>
                <w:color w:val="auto"/>
                <w:szCs w:val="21"/>
                <w:highlight w:val="none"/>
                <w:lang w:val="en-US" w:eastAsia="zh-CN"/>
              </w:rPr>
              <w:t>S</w:t>
            </w:r>
          </w:p>
        </w:tc>
        <w:tc>
          <w:tcPr>
            <w:tcW w:w="995" w:type="dxa"/>
            <w:tcBorders>
              <w:tl2br w:val="nil"/>
              <w:tr2bl w:val="nil"/>
            </w:tcBorders>
            <w:noWrap/>
            <w:vAlign w:val="center"/>
          </w:tcPr>
          <w:p w14:paraId="410583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r>
              <w:rPr>
                <w:rFonts w:hint="eastAsia" w:ascii="Times New Roman" w:hAnsi="Times New Roman" w:eastAsia="宋体" w:cs="Times New Roman"/>
                <w:snapToGrid w:val="0"/>
                <w:color w:val="auto"/>
                <w:kern w:val="0"/>
                <w:sz w:val="21"/>
                <w:szCs w:val="21"/>
                <w:highlight w:val="none"/>
              </w:rPr>
              <w:t>哈尔扎木村</w:t>
            </w:r>
          </w:p>
        </w:tc>
        <w:tc>
          <w:tcPr>
            <w:tcW w:w="1394" w:type="dxa"/>
            <w:tcBorders>
              <w:tl2br w:val="nil"/>
              <w:tr2bl w:val="nil"/>
            </w:tcBorders>
            <w:noWrap/>
            <w:vAlign w:val="center"/>
          </w:tcPr>
          <w:p w14:paraId="2E717C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imes New Roman" w:cstheme="minorBidi"/>
                <w:color w:val="auto"/>
                <w:kern w:val="2"/>
                <w:sz w:val="21"/>
                <w:szCs w:val="21"/>
                <w:highlight w:val="none"/>
                <w:lang w:val="en-US" w:eastAsia="zh-CN" w:bidi="ar-SA"/>
              </w:rPr>
            </w:pPr>
            <w:r>
              <w:rPr>
                <w:rFonts w:hint="eastAsia" w:eastAsia="Times New Roman" w:cstheme="minorBidi"/>
                <w:color w:val="auto"/>
                <w:kern w:val="2"/>
                <w:sz w:val="21"/>
                <w:szCs w:val="21"/>
                <w:highlight w:val="none"/>
                <w:lang w:val="en-US" w:eastAsia="zh-CN" w:bidi="ar-SA"/>
              </w:rPr>
              <w:t>（-3030，1505）</w:t>
            </w:r>
          </w:p>
        </w:tc>
        <w:tc>
          <w:tcPr>
            <w:tcW w:w="519" w:type="dxa"/>
            <w:tcBorders>
              <w:tl2br w:val="nil"/>
              <w:tr2bl w:val="nil"/>
            </w:tcBorders>
            <w:noWrap/>
            <w:vAlign w:val="center"/>
          </w:tcPr>
          <w:p w14:paraId="20CAB7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heme="minorBidi"/>
                <w:color w:val="auto"/>
                <w:szCs w:val="21"/>
                <w:highlight w:val="none"/>
                <w:lang w:eastAsia="zh-CN"/>
              </w:rPr>
            </w:pPr>
            <w:r>
              <w:rPr>
                <w:rFonts w:hint="eastAsia" w:eastAsia="Times New Roman" w:cstheme="minorBidi"/>
                <w:color w:val="auto"/>
                <w:szCs w:val="21"/>
                <w:highlight w:val="none"/>
              </w:rPr>
              <w:t>1</w:t>
            </w:r>
            <w:r>
              <w:rPr>
                <w:rFonts w:hint="eastAsia" w:eastAsia="宋体" w:cstheme="minorBidi"/>
                <w:color w:val="auto"/>
                <w:szCs w:val="21"/>
                <w:highlight w:val="none"/>
                <w:lang w:val="en-US" w:eastAsia="zh-CN"/>
              </w:rPr>
              <w:t>h</w:t>
            </w:r>
          </w:p>
        </w:tc>
        <w:tc>
          <w:tcPr>
            <w:tcW w:w="776" w:type="dxa"/>
            <w:tcBorders>
              <w:tl2br w:val="nil"/>
              <w:tr2bl w:val="nil"/>
            </w:tcBorders>
            <w:noWrap/>
            <w:vAlign w:val="center"/>
          </w:tcPr>
          <w:p w14:paraId="5347CC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pacing w:val="-6"/>
                <w:sz w:val="21"/>
                <w:szCs w:val="21"/>
                <w:highlight w:val="none"/>
              </w:rPr>
            </w:pPr>
            <w:r>
              <w:rPr>
                <w:rFonts w:hint="eastAsia"/>
                <w:color w:val="auto"/>
                <w:highlight w:val="none"/>
              </w:rPr>
              <w:t>4.81E-05</w:t>
            </w:r>
          </w:p>
        </w:tc>
        <w:tc>
          <w:tcPr>
            <w:tcW w:w="1455" w:type="dxa"/>
            <w:tcBorders>
              <w:tl2br w:val="nil"/>
              <w:tr2bl w:val="nil"/>
            </w:tcBorders>
            <w:noWrap/>
            <w:vAlign w:val="center"/>
          </w:tcPr>
          <w:p w14:paraId="6250DF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r>
              <w:rPr>
                <w:rFonts w:hint="eastAsia"/>
                <w:color w:val="auto"/>
                <w:highlight w:val="none"/>
              </w:rPr>
              <w:t>24041519</w:t>
            </w:r>
          </w:p>
        </w:tc>
        <w:tc>
          <w:tcPr>
            <w:tcW w:w="915" w:type="dxa"/>
            <w:tcBorders>
              <w:tl2br w:val="nil"/>
              <w:tr2bl w:val="nil"/>
            </w:tcBorders>
            <w:noWrap/>
            <w:vAlign w:val="center"/>
          </w:tcPr>
          <w:p w14:paraId="51A672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eastAsia="Times New Roman" w:cstheme="minorBidi"/>
                <w:color w:val="auto"/>
                <w:spacing w:val="-6"/>
                <w:sz w:val="21"/>
                <w:szCs w:val="21"/>
                <w:highlight w:val="none"/>
              </w:rPr>
            </w:pPr>
            <w:r>
              <w:rPr>
                <w:rFonts w:hint="eastAsia"/>
                <w:color w:val="auto"/>
                <w:highlight w:val="none"/>
              </w:rPr>
              <w:t>1.00E-02</w:t>
            </w:r>
          </w:p>
        </w:tc>
        <w:tc>
          <w:tcPr>
            <w:tcW w:w="855" w:type="dxa"/>
            <w:tcBorders>
              <w:tl2br w:val="nil"/>
              <w:tr2bl w:val="nil"/>
            </w:tcBorders>
            <w:noWrap/>
            <w:vAlign w:val="center"/>
          </w:tcPr>
          <w:p w14:paraId="6E8939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r>
              <w:rPr>
                <w:rFonts w:hint="eastAsia"/>
                <w:color w:val="auto"/>
                <w:highlight w:val="none"/>
              </w:rPr>
              <w:t>0.48</w:t>
            </w:r>
          </w:p>
        </w:tc>
        <w:tc>
          <w:tcPr>
            <w:tcW w:w="530" w:type="dxa"/>
            <w:tcBorders>
              <w:tl2br w:val="nil"/>
              <w:tr2bl w:val="nil"/>
            </w:tcBorders>
            <w:noWrap/>
            <w:vAlign w:val="center"/>
          </w:tcPr>
          <w:p w14:paraId="23A2FD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r>
              <w:rPr>
                <w:rFonts w:hint="eastAsia"/>
                <w:color w:val="auto"/>
                <w:highlight w:val="none"/>
              </w:rPr>
              <w:t>达标</w:t>
            </w:r>
          </w:p>
        </w:tc>
      </w:tr>
      <w:tr w14:paraId="402D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0" w:type="dxa"/>
            <w:vMerge w:val="continue"/>
            <w:tcBorders>
              <w:tl2br w:val="nil"/>
              <w:tr2bl w:val="nil"/>
            </w:tcBorders>
            <w:shd w:val="clear" w:color="auto" w:fill="auto"/>
            <w:noWrap/>
            <w:vAlign w:val="center"/>
          </w:tcPr>
          <w:p w14:paraId="086A6F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p>
        </w:tc>
        <w:tc>
          <w:tcPr>
            <w:tcW w:w="471" w:type="dxa"/>
            <w:vMerge w:val="continue"/>
            <w:tcBorders>
              <w:tl2br w:val="nil"/>
              <w:tr2bl w:val="nil"/>
            </w:tcBorders>
            <w:shd w:val="clear" w:color="auto" w:fill="auto"/>
            <w:noWrap/>
            <w:vAlign w:val="center"/>
          </w:tcPr>
          <w:p w14:paraId="26D819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imes New Roman" w:cstheme="minorBidi"/>
                <w:color w:val="auto"/>
                <w:szCs w:val="21"/>
                <w:highlight w:val="none"/>
              </w:rPr>
            </w:pPr>
          </w:p>
        </w:tc>
        <w:tc>
          <w:tcPr>
            <w:tcW w:w="995" w:type="dxa"/>
            <w:tcBorders>
              <w:tl2br w:val="nil"/>
              <w:tr2bl w:val="nil"/>
            </w:tcBorders>
            <w:shd w:val="clear" w:color="auto" w:fill="auto"/>
            <w:noWrap/>
            <w:vAlign w:val="center"/>
          </w:tcPr>
          <w:p w14:paraId="60748D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eastAsia="Times New Roman" w:cstheme="minorBidi"/>
                <w:color w:val="auto"/>
                <w:szCs w:val="21"/>
                <w:highlight w:val="none"/>
              </w:rPr>
              <w:t>网格</w:t>
            </w:r>
          </w:p>
        </w:tc>
        <w:tc>
          <w:tcPr>
            <w:tcW w:w="1394" w:type="dxa"/>
            <w:tcBorders>
              <w:tl2br w:val="nil"/>
              <w:tr2bl w:val="nil"/>
            </w:tcBorders>
            <w:shd w:val="clear" w:color="auto" w:fill="auto"/>
            <w:noWrap/>
            <w:vAlign w:val="center"/>
          </w:tcPr>
          <w:p w14:paraId="179D1E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imes New Roman" w:cstheme="minorBidi"/>
                <w:color w:val="auto"/>
                <w:kern w:val="2"/>
                <w:sz w:val="21"/>
                <w:szCs w:val="21"/>
                <w:highlight w:val="none"/>
                <w:lang w:val="en-US" w:eastAsia="zh-CN" w:bidi="ar-SA"/>
              </w:rPr>
            </w:pPr>
            <w:r>
              <w:rPr>
                <w:rFonts w:hint="eastAsia" w:eastAsia="Times New Roman" w:cstheme="minorBidi"/>
                <w:color w:val="auto"/>
                <w:kern w:val="2"/>
                <w:sz w:val="21"/>
                <w:szCs w:val="21"/>
                <w:highlight w:val="none"/>
                <w:lang w:val="en-US" w:eastAsia="zh-CN" w:bidi="ar-SA"/>
              </w:rPr>
              <w:t>(-113，-105)</w:t>
            </w:r>
          </w:p>
        </w:tc>
        <w:tc>
          <w:tcPr>
            <w:tcW w:w="519" w:type="dxa"/>
            <w:tcBorders>
              <w:tl2br w:val="nil"/>
              <w:tr2bl w:val="nil"/>
            </w:tcBorders>
            <w:shd w:val="clear" w:color="auto" w:fill="auto"/>
            <w:noWrap/>
            <w:vAlign w:val="center"/>
          </w:tcPr>
          <w:p w14:paraId="61996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heme="minorBidi"/>
                <w:color w:val="auto"/>
                <w:kern w:val="2"/>
                <w:sz w:val="21"/>
                <w:szCs w:val="21"/>
                <w:highlight w:val="none"/>
                <w:lang w:val="en-US" w:eastAsia="zh-CN" w:bidi="ar-SA"/>
              </w:rPr>
            </w:pPr>
            <w:r>
              <w:rPr>
                <w:rFonts w:hint="eastAsia" w:eastAsia="Times New Roman" w:cstheme="minorBidi"/>
                <w:color w:val="auto"/>
                <w:szCs w:val="21"/>
                <w:highlight w:val="none"/>
              </w:rPr>
              <w:t>1</w:t>
            </w:r>
            <w:r>
              <w:rPr>
                <w:rFonts w:hint="eastAsia" w:eastAsia="宋体" w:cstheme="minorBidi"/>
                <w:color w:val="auto"/>
                <w:szCs w:val="21"/>
                <w:highlight w:val="none"/>
                <w:lang w:val="en-US" w:eastAsia="zh-CN"/>
              </w:rPr>
              <w:t>h</w:t>
            </w:r>
          </w:p>
        </w:tc>
        <w:tc>
          <w:tcPr>
            <w:tcW w:w="776" w:type="dxa"/>
            <w:tcBorders>
              <w:tl2br w:val="nil"/>
              <w:tr2bl w:val="nil"/>
            </w:tcBorders>
            <w:shd w:val="clear" w:color="auto" w:fill="auto"/>
            <w:noWrap/>
            <w:vAlign w:val="center"/>
          </w:tcPr>
          <w:p w14:paraId="42C3EB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spacing w:val="-6"/>
                <w:kern w:val="2"/>
                <w:sz w:val="21"/>
                <w:szCs w:val="21"/>
                <w:highlight w:val="none"/>
                <w:lang w:val="en-US" w:eastAsia="zh-CN" w:bidi="ar-SA"/>
              </w:rPr>
            </w:pPr>
            <w:r>
              <w:rPr>
                <w:rFonts w:hint="eastAsia"/>
                <w:color w:val="auto"/>
                <w:highlight w:val="none"/>
              </w:rPr>
              <w:t>5.79E-04</w:t>
            </w:r>
          </w:p>
        </w:tc>
        <w:tc>
          <w:tcPr>
            <w:tcW w:w="1455" w:type="dxa"/>
            <w:tcBorders>
              <w:tl2br w:val="nil"/>
              <w:tr2bl w:val="nil"/>
            </w:tcBorders>
            <w:shd w:val="clear" w:color="auto" w:fill="auto"/>
            <w:noWrap/>
            <w:vAlign w:val="center"/>
          </w:tcPr>
          <w:p w14:paraId="5AE30C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24061009</w:t>
            </w:r>
          </w:p>
        </w:tc>
        <w:tc>
          <w:tcPr>
            <w:tcW w:w="915" w:type="dxa"/>
            <w:tcBorders>
              <w:tl2br w:val="nil"/>
              <w:tr2bl w:val="nil"/>
            </w:tcBorders>
            <w:shd w:val="clear" w:color="auto" w:fill="auto"/>
            <w:noWrap/>
            <w:vAlign w:val="center"/>
          </w:tcPr>
          <w:p w14:paraId="5A1B028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Times New Roman" w:cstheme="minorBidi"/>
                <w:color w:val="auto"/>
                <w:spacing w:val="-6"/>
                <w:kern w:val="2"/>
                <w:sz w:val="21"/>
                <w:szCs w:val="21"/>
                <w:highlight w:val="none"/>
                <w:lang w:val="en-US" w:eastAsia="zh-CN" w:bidi="ar-SA"/>
              </w:rPr>
            </w:pPr>
            <w:r>
              <w:rPr>
                <w:rFonts w:hint="eastAsia"/>
                <w:color w:val="auto"/>
                <w:highlight w:val="none"/>
              </w:rPr>
              <w:t>1.00E-02</w:t>
            </w:r>
          </w:p>
        </w:tc>
        <w:tc>
          <w:tcPr>
            <w:tcW w:w="855" w:type="dxa"/>
            <w:tcBorders>
              <w:tl2br w:val="nil"/>
              <w:tr2bl w:val="nil"/>
            </w:tcBorders>
            <w:shd w:val="clear" w:color="auto" w:fill="auto"/>
            <w:noWrap/>
            <w:vAlign w:val="center"/>
          </w:tcPr>
          <w:p w14:paraId="38BEBE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5.79</w:t>
            </w:r>
          </w:p>
        </w:tc>
        <w:tc>
          <w:tcPr>
            <w:tcW w:w="530" w:type="dxa"/>
            <w:tcBorders>
              <w:tl2br w:val="nil"/>
              <w:tr2bl w:val="nil"/>
            </w:tcBorders>
            <w:shd w:val="clear" w:color="auto" w:fill="auto"/>
            <w:noWrap/>
            <w:vAlign w:val="center"/>
          </w:tcPr>
          <w:p w14:paraId="24219B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达标</w:t>
            </w:r>
          </w:p>
        </w:tc>
      </w:tr>
      <w:tr w14:paraId="185B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0" w:type="dxa"/>
            <w:vMerge w:val="restart"/>
            <w:tcBorders>
              <w:tl2br w:val="nil"/>
              <w:tr2bl w:val="nil"/>
            </w:tcBorders>
            <w:noWrap/>
            <w:vAlign w:val="center"/>
          </w:tcPr>
          <w:p w14:paraId="1378DF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imes New Roman" w:cstheme="minorBidi"/>
                <w:color w:val="auto"/>
                <w:szCs w:val="21"/>
                <w:highlight w:val="none"/>
              </w:rPr>
            </w:pPr>
            <w:r>
              <w:rPr>
                <w:rFonts w:hint="eastAsia" w:eastAsia="Times New Roman" w:cstheme="minorBidi"/>
                <w:color w:val="auto"/>
                <w:szCs w:val="21"/>
                <w:highlight w:val="none"/>
              </w:rPr>
              <w:t>2</w:t>
            </w:r>
          </w:p>
        </w:tc>
        <w:tc>
          <w:tcPr>
            <w:tcW w:w="471" w:type="dxa"/>
            <w:vMerge w:val="restart"/>
            <w:tcBorders>
              <w:tl2br w:val="nil"/>
              <w:tr2bl w:val="nil"/>
            </w:tcBorders>
            <w:noWrap/>
            <w:vAlign w:val="center"/>
          </w:tcPr>
          <w:p w14:paraId="78552E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heme="minorBidi"/>
                <w:color w:val="auto"/>
                <w:szCs w:val="21"/>
                <w:highlight w:val="none"/>
                <w:lang w:val="en-US" w:eastAsia="zh-CN"/>
              </w:rPr>
            </w:pPr>
            <w:r>
              <w:rPr>
                <w:rFonts w:hint="eastAsia" w:eastAsia="宋体" w:cstheme="minorBidi"/>
                <w:color w:val="auto"/>
                <w:szCs w:val="21"/>
                <w:highlight w:val="none"/>
                <w:lang w:val="en-US" w:eastAsia="zh-CN"/>
              </w:rPr>
              <w:t>NH</w:t>
            </w:r>
            <w:r>
              <w:rPr>
                <w:rFonts w:hint="eastAsia" w:eastAsia="宋体" w:cstheme="minorBidi"/>
                <w:color w:val="auto"/>
                <w:szCs w:val="21"/>
                <w:highlight w:val="none"/>
                <w:vertAlign w:val="subscript"/>
                <w:lang w:val="en-US" w:eastAsia="zh-CN"/>
              </w:rPr>
              <w:t>3</w:t>
            </w:r>
          </w:p>
        </w:tc>
        <w:tc>
          <w:tcPr>
            <w:tcW w:w="995" w:type="dxa"/>
            <w:tcBorders>
              <w:tl2br w:val="nil"/>
              <w:tr2bl w:val="nil"/>
            </w:tcBorders>
            <w:shd w:val="clear" w:color="auto" w:fill="auto"/>
            <w:noWrap/>
            <w:vAlign w:val="center"/>
          </w:tcPr>
          <w:p w14:paraId="07369E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rPr>
              <w:t>哈尔扎木村</w:t>
            </w:r>
          </w:p>
        </w:tc>
        <w:tc>
          <w:tcPr>
            <w:tcW w:w="1394" w:type="dxa"/>
            <w:tcBorders>
              <w:tl2br w:val="nil"/>
              <w:tr2bl w:val="nil"/>
            </w:tcBorders>
            <w:shd w:val="clear" w:color="auto" w:fill="auto"/>
            <w:noWrap/>
            <w:vAlign w:val="center"/>
          </w:tcPr>
          <w:p w14:paraId="55B2FF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imes New Roman" w:cstheme="minorBidi"/>
                <w:color w:val="auto"/>
                <w:kern w:val="2"/>
                <w:sz w:val="21"/>
                <w:szCs w:val="21"/>
                <w:highlight w:val="none"/>
                <w:lang w:val="en-US" w:eastAsia="zh-CN" w:bidi="ar-SA"/>
              </w:rPr>
            </w:pPr>
            <w:r>
              <w:rPr>
                <w:rFonts w:hint="eastAsia" w:eastAsia="Times New Roman" w:cstheme="minorBidi"/>
                <w:color w:val="auto"/>
                <w:kern w:val="2"/>
                <w:sz w:val="21"/>
                <w:szCs w:val="21"/>
                <w:highlight w:val="none"/>
                <w:lang w:val="en-US" w:eastAsia="zh-CN" w:bidi="ar-SA"/>
              </w:rPr>
              <w:t>（-3030，1505）</w:t>
            </w:r>
          </w:p>
        </w:tc>
        <w:tc>
          <w:tcPr>
            <w:tcW w:w="519" w:type="dxa"/>
            <w:tcBorders>
              <w:tl2br w:val="nil"/>
              <w:tr2bl w:val="nil"/>
            </w:tcBorders>
            <w:shd w:val="clear" w:color="auto" w:fill="auto"/>
            <w:noWrap/>
            <w:vAlign w:val="center"/>
          </w:tcPr>
          <w:p w14:paraId="201E2D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heme="minorBidi"/>
                <w:color w:val="auto"/>
                <w:kern w:val="2"/>
                <w:sz w:val="21"/>
                <w:szCs w:val="21"/>
                <w:highlight w:val="none"/>
                <w:lang w:val="en-US" w:eastAsia="zh-CN" w:bidi="ar-SA"/>
              </w:rPr>
            </w:pPr>
            <w:r>
              <w:rPr>
                <w:rFonts w:hint="eastAsia" w:eastAsia="Times New Roman" w:cstheme="minorBidi"/>
                <w:color w:val="auto"/>
                <w:szCs w:val="21"/>
                <w:highlight w:val="none"/>
              </w:rPr>
              <w:t>1</w:t>
            </w:r>
            <w:r>
              <w:rPr>
                <w:rFonts w:hint="eastAsia" w:eastAsia="宋体" w:cstheme="minorBidi"/>
                <w:color w:val="auto"/>
                <w:szCs w:val="21"/>
                <w:highlight w:val="none"/>
                <w:lang w:val="en-US" w:eastAsia="zh-CN"/>
              </w:rPr>
              <w:t>h</w:t>
            </w:r>
          </w:p>
        </w:tc>
        <w:tc>
          <w:tcPr>
            <w:tcW w:w="776" w:type="dxa"/>
            <w:tcBorders>
              <w:tl2br w:val="nil"/>
              <w:tr2bl w:val="nil"/>
            </w:tcBorders>
            <w:shd w:val="clear" w:color="auto" w:fill="auto"/>
            <w:noWrap/>
            <w:vAlign w:val="center"/>
          </w:tcPr>
          <w:p w14:paraId="557592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spacing w:val="-6"/>
                <w:kern w:val="2"/>
                <w:sz w:val="21"/>
                <w:szCs w:val="21"/>
                <w:highlight w:val="none"/>
                <w:lang w:val="en-US" w:eastAsia="zh-CN" w:bidi="ar-SA"/>
              </w:rPr>
            </w:pPr>
            <w:r>
              <w:rPr>
                <w:rFonts w:hint="eastAsia"/>
                <w:color w:val="auto"/>
                <w:highlight w:val="none"/>
              </w:rPr>
              <w:t>1.06E-03</w:t>
            </w:r>
          </w:p>
        </w:tc>
        <w:tc>
          <w:tcPr>
            <w:tcW w:w="1455" w:type="dxa"/>
            <w:tcBorders>
              <w:tl2br w:val="nil"/>
              <w:tr2bl w:val="nil"/>
            </w:tcBorders>
            <w:shd w:val="clear" w:color="auto" w:fill="auto"/>
            <w:noWrap/>
            <w:vAlign w:val="center"/>
          </w:tcPr>
          <w:p w14:paraId="670F6B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24041519</w:t>
            </w:r>
          </w:p>
        </w:tc>
        <w:tc>
          <w:tcPr>
            <w:tcW w:w="915" w:type="dxa"/>
            <w:tcBorders>
              <w:tl2br w:val="nil"/>
              <w:tr2bl w:val="nil"/>
            </w:tcBorders>
            <w:shd w:val="clear" w:color="auto" w:fill="auto"/>
            <w:noWrap/>
            <w:vAlign w:val="center"/>
          </w:tcPr>
          <w:p w14:paraId="25DB14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Times New Roman" w:cstheme="minorBidi"/>
                <w:color w:val="auto"/>
                <w:spacing w:val="-6"/>
                <w:kern w:val="2"/>
                <w:sz w:val="21"/>
                <w:szCs w:val="21"/>
                <w:highlight w:val="none"/>
                <w:lang w:val="en-US" w:eastAsia="zh-CN" w:bidi="ar-SA"/>
              </w:rPr>
            </w:pPr>
            <w:r>
              <w:rPr>
                <w:rFonts w:hint="eastAsia"/>
                <w:color w:val="auto"/>
                <w:highlight w:val="none"/>
              </w:rPr>
              <w:t>2.00E-01</w:t>
            </w:r>
          </w:p>
        </w:tc>
        <w:tc>
          <w:tcPr>
            <w:tcW w:w="855" w:type="dxa"/>
            <w:tcBorders>
              <w:tl2br w:val="nil"/>
              <w:tr2bl w:val="nil"/>
            </w:tcBorders>
            <w:shd w:val="clear" w:color="auto" w:fill="auto"/>
            <w:noWrap/>
            <w:vAlign w:val="center"/>
          </w:tcPr>
          <w:p w14:paraId="37895E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0.53</w:t>
            </w:r>
          </w:p>
        </w:tc>
        <w:tc>
          <w:tcPr>
            <w:tcW w:w="530" w:type="dxa"/>
            <w:tcBorders>
              <w:tl2br w:val="nil"/>
              <w:tr2bl w:val="nil"/>
            </w:tcBorders>
            <w:shd w:val="clear" w:color="auto" w:fill="auto"/>
            <w:noWrap/>
            <w:vAlign w:val="center"/>
          </w:tcPr>
          <w:p w14:paraId="2AFC4F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达标</w:t>
            </w:r>
          </w:p>
        </w:tc>
      </w:tr>
      <w:tr w14:paraId="2DC1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0" w:type="dxa"/>
            <w:vMerge w:val="continue"/>
            <w:tcBorders>
              <w:tl2br w:val="nil"/>
              <w:tr2bl w:val="nil"/>
            </w:tcBorders>
            <w:noWrap/>
            <w:vAlign w:val="center"/>
          </w:tcPr>
          <w:p w14:paraId="7CF150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p>
        </w:tc>
        <w:tc>
          <w:tcPr>
            <w:tcW w:w="471" w:type="dxa"/>
            <w:vMerge w:val="continue"/>
            <w:tcBorders>
              <w:tl2br w:val="nil"/>
              <w:tr2bl w:val="nil"/>
            </w:tcBorders>
            <w:noWrap/>
            <w:vAlign w:val="center"/>
          </w:tcPr>
          <w:p w14:paraId="17482F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imes New Roman" w:cstheme="minorBidi"/>
                <w:color w:val="auto"/>
                <w:szCs w:val="21"/>
                <w:highlight w:val="none"/>
              </w:rPr>
            </w:pPr>
          </w:p>
        </w:tc>
        <w:tc>
          <w:tcPr>
            <w:tcW w:w="995" w:type="dxa"/>
            <w:tcBorders>
              <w:tl2br w:val="nil"/>
              <w:tr2bl w:val="nil"/>
            </w:tcBorders>
            <w:shd w:val="clear" w:color="auto" w:fill="auto"/>
            <w:noWrap/>
            <w:vAlign w:val="center"/>
          </w:tcPr>
          <w:p w14:paraId="44BC6B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eastAsia="Times New Roman" w:cstheme="minorBidi"/>
                <w:color w:val="auto"/>
                <w:szCs w:val="21"/>
                <w:highlight w:val="none"/>
              </w:rPr>
              <w:t>网格</w:t>
            </w:r>
          </w:p>
        </w:tc>
        <w:tc>
          <w:tcPr>
            <w:tcW w:w="1394" w:type="dxa"/>
            <w:tcBorders>
              <w:tl2br w:val="nil"/>
              <w:tr2bl w:val="nil"/>
            </w:tcBorders>
            <w:shd w:val="clear" w:color="auto" w:fill="auto"/>
            <w:noWrap/>
            <w:vAlign w:val="center"/>
          </w:tcPr>
          <w:p w14:paraId="35EBC3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imes New Roman" w:cstheme="minorBidi"/>
                <w:color w:val="auto"/>
                <w:kern w:val="2"/>
                <w:sz w:val="21"/>
                <w:szCs w:val="21"/>
                <w:highlight w:val="none"/>
                <w:lang w:val="en-US" w:eastAsia="zh-CN" w:bidi="ar-SA"/>
              </w:rPr>
            </w:pPr>
            <w:r>
              <w:rPr>
                <w:rFonts w:hint="eastAsia" w:eastAsia="Times New Roman" w:cstheme="minorBidi"/>
                <w:color w:val="auto"/>
                <w:kern w:val="2"/>
                <w:sz w:val="21"/>
                <w:szCs w:val="21"/>
                <w:highlight w:val="none"/>
                <w:lang w:val="en-US" w:eastAsia="zh-CN" w:bidi="ar-SA"/>
              </w:rPr>
              <w:t>(-113，-105)</w:t>
            </w:r>
          </w:p>
        </w:tc>
        <w:tc>
          <w:tcPr>
            <w:tcW w:w="519" w:type="dxa"/>
            <w:tcBorders>
              <w:tl2br w:val="nil"/>
              <w:tr2bl w:val="nil"/>
            </w:tcBorders>
            <w:shd w:val="clear" w:color="auto" w:fill="auto"/>
            <w:noWrap/>
            <w:vAlign w:val="center"/>
          </w:tcPr>
          <w:p w14:paraId="18D8B1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heme="minorBidi"/>
                <w:color w:val="auto"/>
                <w:kern w:val="2"/>
                <w:sz w:val="21"/>
                <w:szCs w:val="21"/>
                <w:highlight w:val="none"/>
                <w:lang w:val="en-US" w:eastAsia="zh-CN" w:bidi="ar-SA"/>
              </w:rPr>
            </w:pPr>
            <w:r>
              <w:rPr>
                <w:rFonts w:hint="eastAsia" w:eastAsia="Times New Roman" w:cstheme="minorBidi"/>
                <w:color w:val="auto"/>
                <w:szCs w:val="21"/>
                <w:highlight w:val="none"/>
              </w:rPr>
              <w:t>1</w:t>
            </w:r>
            <w:r>
              <w:rPr>
                <w:rFonts w:hint="eastAsia" w:eastAsia="宋体" w:cstheme="minorBidi"/>
                <w:color w:val="auto"/>
                <w:szCs w:val="21"/>
                <w:highlight w:val="none"/>
                <w:lang w:val="en-US" w:eastAsia="zh-CN"/>
              </w:rPr>
              <w:t>h</w:t>
            </w:r>
          </w:p>
        </w:tc>
        <w:tc>
          <w:tcPr>
            <w:tcW w:w="776" w:type="dxa"/>
            <w:tcBorders>
              <w:tl2br w:val="nil"/>
              <w:tr2bl w:val="nil"/>
            </w:tcBorders>
            <w:shd w:val="clear" w:color="auto" w:fill="auto"/>
            <w:noWrap/>
            <w:vAlign w:val="center"/>
          </w:tcPr>
          <w:p w14:paraId="7A1BC2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spacing w:val="-6"/>
                <w:kern w:val="2"/>
                <w:sz w:val="21"/>
                <w:szCs w:val="21"/>
                <w:highlight w:val="none"/>
                <w:lang w:val="en-US" w:eastAsia="zh-CN" w:bidi="ar-SA"/>
              </w:rPr>
            </w:pPr>
            <w:r>
              <w:rPr>
                <w:rFonts w:hint="eastAsia"/>
                <w:color w:val="auto"/>
                <w:highlight w:val="none"/>
              </w:rPr>
              <w:t>1.04E-02</w:t>
            </w:r>
          </w:p>
        </w:tc>
        <w:tc>
          <w:tcPr>
            <w:tcW w:w="1455" w:type="dxa"/>
            <w:tcBorders>
              <w:tl2br w:val="nil"/>
              <w:tr2bl w:val="nil"/>
            </w:tcBorders>
            <w:shd w:val="clear" w:color="auto" w:fill="auto"/>
            <w:noWrap/>
            <w:vAlign w:val="center"/>
          </w:tcPr>
          <w:p w14:paraId="73A28E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24061009</w:t>
            </w:r>
          </w:p>
        </w:tc>
        <w:tc>
          <w:tcPr>
            <w:tcW w:w="915" w:type="dxa"/>
            <w:tcBorders>
              <w:tl2br w:val="nil"/>
              <w:tr2bl w:val="nil"/>
            </w:tcBorders>
            <w:shd w:val="clear" w:color="auto" w:fill="auto"/>
            <w:noWrap/>
            <w:vAlign w:val="center"/>
          </w:tcPr>
          <w:p w14:paraId="6BCC34F5">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Times New Roman" w:cstheme="minorBidi"/>
                <w:color w:val="auto"/>
                <w:spacing w:val="-6"/>
                <w:kern w:val="2"/>
                <w:sz w:val="21"/>
                <w:szCs w:val="21"/>
                <w:highlight w:val="none"/>
                <w:lang w:val="en-US" w:eastAsia="zh-CN" w:bidi="ar-SA"/>
              </w:rPr>
            </w:pPr>
            <w:r>
              <w:rPr>
                <w:rFonts w:hint="eastAsia"/>
                <w:color w:val="auto"/>
                <w:highlight w:val="none"/>
              </w:rPr>
              <w:t>2.00E-01</w:t>
            </w:r>
          </w:p>
        </w:tc>
        <w:tc>
          <w:tcPr>
            <w:tcW w:w="855" w:type="dxa"/>
            <w:tcBorders>
              <w:tl2br w:val="nil"/>
              <w:tr2bl w:val="nil"/>
            </w:tcBorders>
            <w:shd w:val="clear" w:color="auto" w:fill="auto"/>
            <w:noWrap/>
            <w:vAlign w:val="center"/>
          </w:tcPr>
          <w:p w14:paraId="3465C2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5.18</w:t>
            </w:r>
          </w:p>
        </w:tc>
        <w:tc>
          <w:tcPr>
            <w:tcW w:w="530" w:type="dxa"/>
            <w:tcBorders>
              <w:tl2br w:val="nil"/>
              <w:tr2bl w:val="nil"/>
            </w:tcBorders>
            <w:shd w:val="clear" w:color="auto" w:fill="auto"/>
            <w:noWrap/>
            <w:vAlign w:val="center"/>
          </w:tcPr>
          <w:p w14:paraId="051E91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heme="minorBidi"/>
                <w:color w:val="auto"/>
                <w:kern w:val="2"/>
                <w:sz w:val="21"/>
                <w:szCs w:val="21"/>
                <w:highlight w:val="none"/>
                <w:lang w:val="en-US" w:eastAsia="zh-CN" w:bidi="ar-SA"/>
              </w:rPr>
            </w:pPr>
            <w:r>
              <w:rPr>
                <w:rFonts w:hint="eastAsia"/>
                <w:color w:val="auto"/>
                <w:highlight w:val="none"/>
              </w:rPr>
              <w:t>达标</w:t>
            </w:r>
          </w:p>
        </w:tc>
      </w:tr>
    </w:tbl>
    <w:p w14:paraId="18628822">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snapToGrid w:val="0"/>
          <w:color w:val="auto"/>
          <w:kern w:val="0"/>
          <w:sz w:val="24"/>
          <w:highlight w:val="none"/>
        </w:rPr>
        <w:t>从非正常工况的预测结果可以看出，当发生非正常工况时，所排放的污染物的小时落地浓度占标率相比正常工况下均有一定的提高，对周围环境敏感目标造成影响。因此，项目运营需加强生产管理，避免事故排放，减少对周围大气环境和环境保护目标的影响。</w:t>
      </w:r>
    </w:p>
    <w:p w14:paraId="24CF8AB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6.2.1.8大气环境防护距离计算</w:t>
      </w:r>
    </w:p>
    <w:p w14:paraId="725CD6BA">
      <w:pPr>
        <w:spacing w:line="360" w:lineRule="auto"/>
        <w:ind w:firstLine="510"/>
        <w:rPr>
          <w:color w:val="auto"/>
          <w:sz w:val="24"/>
          <w:highlight w:val="none"/>
        </w:rPr>
      </w:pPr>
      <w:r>
        <w:rPr>
          <w:rFonts w:hint="eastAsia"/>
          <w:color w:val="auto"/>
          <w:sz w:val="24"/>
          <w:highlight w:val="none"/>
        </w:rPr>
        <w:t>根据《环境影响评价技术导则</w:t>
      </w:r>
      <w:r>
        <w:rPr>
          <w:color w:val="auto"/>
          <w:sz w:val="24"/>
          <w:highlight w:val="none"/>
        </w:rPr>
        <w:t xml:space="preserve"> </w:t>
      </w:r>
      <w:r>
        <w:rPr>
          <w:rFonts w:hint="eastAsia"/>
          <w:color w:val="auto"/>
          <w:sz w:val="24"/>
          <w:highlight w:val="none"/>
        </w:rPr>
        <w:t>大气环境》（</w:t>
      </w:r>
      <w:r>
        <w:rPr>
          <w:color w:val="auto"/>
          <w:sz w:val="24"/>
          <w:highlight w:val="none"/>
        </w:rPr>
        <w:t>HJ2.2-2018</w:t>
      </w:r>
      <w:r>
        <w:rPr>
          <w:rFonts w:hint="eastAsia"/>
          <w:color w:val="auto"/>
          <w:sz w:val="24"/>
          <w:highlight w:val="none"/>
        </w:rPr>
        <w:t>）要求，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1AF1ACB5">
      <w:pPr>
        <w:spacing w:line="360" w:lineRule="auto"/>
        <w:ind w:firstLine="510"/>
        <w:rPr>
          <w:color w:val="auto"/>
          <w:sz w:val="24"/>
          <w:highlight w:val="none"/>
        </w:rPr>
      </w:pPr>
      <w:r>
        <w:rPr>
          <w:rFonts w:hint="eastAsia"/>
          <w:color w:val="auto"/>
          <w:sz w:val="24"/>
          <w:highlight w:val="none"/>
        </w:rPr>
        <w:t>根据AERMOD模型计算，本项目大气污染物贡献浓度在厂界外均未出现浓度超标点，因此，本项目无需设置大气环境防护距离。</w:t>
      </w:r>
    </w:p>
    <w:p w14:paraId="2D46BBB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6.2.1.9区域环境变化分析</w:t>
      </w:r>
    </w:p>
    <w:p w14:paraId="441AD997">
      <w:pPr>
        <w:pageBreakBefore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根据《环境影响评价技术导则</w:t>
      </w:r>
      <w:r>
        <w:rPr>
          <w:rFonts w:hint="eastAsia" w:ascii="Times New Roman" w:hAnsi="Times New Roman" w:eastAsia="宋体" w:cs="Times New Roman"/>
          <w:color w:val="auto"/>
          <w:kern w:val="0"/>
          <w:sz w:val="24"/>
          <w:szCs w:val="24"/>
          <w:highlight w:val="none"/>
          <w:lang w:val="en-US" w:eastAsia="zh-CN"/>
        </w:rPr>
        <w:t xml:space="preserve"> </w:t>
      </w:r>
      <w:r>
        <w:rPr>
          <w:rFonts w:hint="eastAsia" w:ascii="Times New Roman" w:hAnsi="Times New Roman" w:eastAsia="宋体" w:cs="Times New Roman"/>
          <w:color w:val="auto"/>
          <w:kern w:val="0"/>
          <w:sz w:val="24"/>
          <w:szCs w:val="24"/>
          <w:highlight w:val="none"/>
        </w:rPr>
        <w:t>大气环境》（HJ2.2-2018）需对区域环境空气质量变化情况进行分析。</w:t>
      </w:r>
    </w:p>
    <w:p w14:paraId="30B06D1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eastAsia="宋体"/>
          <w:snapToGrid w:val="0"/>
          <w:color w:val="auto"/>
          <w:kern w:val="0"/>
          <w:sz w:val="24"/>
          <w:highlight w:val="none"/>
          <w:lang w:eastAsia="zh-CN"/>
        </w:rPr>
      </w:pPr>
      <w:r>
        <w:rPr>
          <w:rFonts w:hint="eastAsia"/>
          <w:snapToGrid w:val="0"/>
          <w:color w:val="auto"/>
          <w:kern w:val="0"/>
          <w:sz w:val="24"/>
          <w:highlight w:val="none"/>
        </w:rPr>
        <w:t>本项目PM</w:t>
      </w:r>
      <w:r>
        <w:rPr>
          <w:rFonts w:hint="eastAsia"/>
          <w:snapToGrid w:val="0"/>
          <w:color w:val="auto"/>
          <w:kern w:val="0"/>
          <w:sz w:val="24"/>
          <w:highlight w:val="none"/>
          <w:vertAlign w:val="subscript"/>
        </w:rPr>
        <w:t>10</w:t>
      </w:r>
      <w:r>
        <w:rPr>
          <w:rFonts w:hint="eastAsia"/>
          <w:snapToGrid w:val="0"/>
          <w:color w:val="auto"/>
          <w:kern w:val="0"/>
          <w:sz w:val="24"/>
          <w:highlight w:val="none"/>
        </w:rPr>
        <w:t>源在所有网格点上的年平均贡献浓度的算术平均值=</w:t>
      </w:r>
      <w:r>
        <w:rPr>
          <w:rFonts w:hint="eastAsia"/>
          <w:snapToGrid w:val="0"/>
          <w:color w:val="auto"/>
          <w:kern w:val="0"/>
          <w:sz w:val="24"/>
          <w:highlight w:val="none"/>
          <w:lang w:val="en-US" w:eastAsia="zh-CN"/>
        </w:rPr>
        <w:t>0.029665</w:t>
      </w:r>
      <w:r>
        <w:rPr>
          <w:rFonts w:hint="eastAsia"/>
          <w:snapToGrid w:val="0"/>
          <w:color w:val="auto"/>
          <w:kern w:val="0"/>
          <w:sz w:val="24"/>
          <w:highlight w:val="none"/>
        </w:rPr>
        <w:t>（</w:t>
      </w:r>
      <w:r>
        <w:rPr>
          <w:rFonts w:hint="eastAsia"/>
          <w:snapToGrid w:val="0"/>
          <w:color w:val="auto"/>
          <w:kern w:val="0"/>
          <w:sz w:val="24"/>
          <w:highlight w:val="none"/>
          <w:lang w:eastAsia="zh-CN"/>
        </w:rPr>
        <w:t>μg/m</w:t>
      </w:r>
      <w:r>
        <w:rPr>
          <w:rFonts w:hint="eastAsia"/>
          <w:snapToGrid w:val="0"/>
          <w:color w:val="auto"/>
          <w:kern w:val="0"/>
          <w:sz w:val="24"/>
          <w:highlight w:val="none"/>
          <w:vertAlign w:val="superscript"/>
          <w:lang w:eastAsia="zh-CN"/>
        </w:rPr>
        <w:t>3</w:t>
      </w:r>
      <w:r>
        <w:rPr>
          <w:rFonts w:hint="eastAsia"/>
          <w:snapToGrid w:val="0"/>
          <w:color w:val="auto"/>
          <w:kern w:val="0"/>
          <w:sz w:val="24"/>
          <w:highlight w:val="none"/>
        </w:rPr>
        <w:t>），区域削减源在所有网格点上的年平均贡献浓度的算术平均值=0.</w:t>
      </w:r>
      <w:r>
        <w:rPr>
          <w:rFonts w:hint="eastAsia"/>
          <w:snapToGrid w:val="0"/>
          <w:color w:val="auto"/>
          <w:kern w:val="0"/>
          <w:sz w:val="24"/>
          <w:highlight w:val="none"/>
          <w:lang w:val="en-US" w:eastAsia="zh-CN"/>
        </w:rPr>
        <w:t>33193</w:t>
      </w:r>
      <w:r>
        <w:rPr>
          <w:rFonts w:hint="eastAsia"/>
          <w:snapToGrid w:val="0"/>
          <w:color w:val="auto"/>
          <w:kern w:val="0"/>
          <w:sz w:val="24"/>
          <w:highlight w:val="none"/>
        </w:rPr>
        <w:t>（</w:t>
      </w:r>
      <w:r>
        <w:rPr>
          <w:rFonts w:hint="eastAsia"/>
          <w:snapToGrid w:val="0"/>
          <w:color w:val="auto"/>
          <w:kern w:val="0"/>
          <w:sz w:val="24"/>
          <w:highlight w:val="none"/>
          <w:lang w:eastAsia="zh-CN"/>
        </w:rPr>
        <w:t>μg</w:t>
      </w:r>
      <w:r>
        <w:rPr>
          <w:rFonts w:hint="eastAsia"/>
          <w:snapToGrid w:val="0"/>
          <w:color w:val="auto"/>
          <w:kern w:val="0"/>
          <w:sz w:val="24"/>
          <w:highlight w:val="none"/>
        </w:rPr>
        <w:t>/m</w:t>
      </w:r>
      <w:r>
        <w:rPr>
          <w:rFonts w:hint="eastAsia"/>
          <w:snapToGrid w:val="0"/>
          <w:color w:val="auto"/>
          <w:kern w:val="0"/>
          <w:sz w:val="24"/>
          <w:highlight w:val="none"/>
          <w:vertAlign w:val="superscript"/>
        </w:rPr>
        <w:t>3</w:t>
      </w:r>
      <w:r>
        <w:rPr>
          <w:rFonts w:hint="eastAsia"/>
          <w:snapToGrid w:val="0"/>
          <w:color w:val="auto"/>
          <w:kern w:val="0"/>
          <w:sz w:val="24"/>
          <w:highlight w:val="none"/>
        </w:rPr>
        <w:t>），实施削减后预测范围的年平均浓度变化率k=-</w:t>
      </w:r>
      <w:r>
        <w:rPr>
          <w:rFonts w:hint="eastAsia"/>
          <w:snapToGrid w:val="0"/>
          <w:color w:val="auto"/>
          <w:kern w:val="0"/>
          <w:sz w:val="24"/>
          <w:highlight w:val="none"/>
          <w:lang w:val="en-US" w:eastAsia="zh-CN"/>
        </w:rPr>
        <w:t>91.06</w:t>
      </w:r>
      <w:r>
        <w:rPr>
          <w:rFonts w:hint="eastAsia"/>
          <w:snapToGrid w:val="0"/>
          <w:color w:val="auto"/>
          <w:kern w:val="0"/>
          <w:sz w:val="24"/>
          <w:highlight w:val="none"/>
        </w:rPr>
        <w:t>%，浓度变化率k&lt;-20%</w:t>
      </w:r>
      <w:r>
        <w:rPr>
          <w:rFonts w:hint="eastAsia"/>
          <w:snapToGrid w:val="0"/>
          <w:color w:val="auto"/>
          <w:kern w:val="0"/>
          <w:sz w:val="24"/>
          <w:highlight w:val="none"/>
          <w:lang w:eastAsia="zh-CN"/>
        </w:rPr>
        <w:t>。</w:t>
      </w:r>
    </w:p>
    <w:p w14:paraId="4D5EF6C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本项目PM</w:t>
      </w:r>
      <w:r>
        <w:rPr>
          <w:rFonts w:hint="eastAsia"/>
          <w:snapToGrid w:val="0"/>
          <w:color w:val="auto"/>
          <w:kern w:val="0"/>
          <w:sz w:val="24"/>
          <w:highlight w:val="none"/>
          <w:vertAlign w:val="subscript"/>
        </w:rPr>
        <w:t>2.5</w:t>
      </w:r>
      <w:r>
        <w:rPr>
          <w:rFonts w:hint="eastAsia"/>
          <w:snapToGrid w:val="0"/>
          <w:color w:val="auto"/>
          <w:kern w:val="0"/>
          <w:sz w:val="24"/>
          <w:highlight w:val="none"/>
        </w:rPr>
        <w:t>源在所有网格点上的年平均贡献浓度的算术平均值=0.0</w:t>
      </w:r>
      <w:r>
        <w:rPr>
          <w:rFonts w:hint="eastAsia"/>
          <w:snapToGrid w:val="0"/>
          <w:color w:val="auto"/>
          <w:kern w:val="0"/>
          <w:sz w:val="24"/>
          <w:highlight w:val="none"/>
          <w:lang w:val="en-US" w:eastAsia="zh-CN"/>
        </w:rPr>
        <w:t>14840</w:t>
      </w:r>
      <w:r>
        <w:rPr>
          <w:rFonts w:hint="eastAsia"/>
          <w:snapToGrid w:val="0"/>
          <w:color w:val="auto"/>
          <w:kern w:val="0"/>
          <w:sz w:val="24"/>
          <w:highlight w:val="none"/>
        </w:rPr>
        <w:t>（</w:t>
      </w:r>
      <w:r>
        <w:rPr>
          <w:rFonts w:hint="eastAsia"/>
          <w:snapToGrid w:val="0"/>
          <w:color w:val="auto"/>
          <w:kern w:val="0"/>
          <w:sz w:val="24"/>
          <w:highlight w:val="none"/>
          <w:lang w:eastAsia="zh-CN"/>
        </w:rPr>
        <w:t>μg</w:t>
      </w:r>
      <w:r>
        <w:rPr>
          <w:rFonts w:hint="eastAsia"/>
          <w:snapToGrid w:val="0"/>
          <w:color w:val="auto"/>
          <w:kern w:val="0"/>
          <w:sz w:val="24"/>
          <w:highlight w:val="none"/>
        </w:rPr>
        <w:t>/m</w:t>
      </w:r>
      <w:r>
        <w:rPr>
          <w:rFonts w:hint="eastAsia"/>
          <w:snapToGrid w:val="0"/>
          <w:color w:val="auto"/>
          <w:kern w:val="0"/>
          <w:sz w:val="24"/>
          <w:highlight w:val="none"/>
          <w:vertAlign w:val="superscript"/>
        </w:rPr>
        <w:t>3</w:t>
      </w:r>
      <w:r>
        <w:rPr>
          <w:rFonts w:hint="eastAsia"/>
          <w:snapToGrid w:val="0"/>
          <w:color w:val="auto"/>
          <w:kern w:val="0"/>
          <w:sz w:val="24"/>
          <w:highlight w:val="none"/>
        </w:rPr>
        <w:t>），区域削减源在所有网格点上的年平均贡献浓度的算术平均值=0.0</w:t>
      </w:r>
      <w:r>
        <w:rPr>
          <w:rFonts w:hint="eastAsia"/>
          <w:snapToGrid w:val="0"/>
          <w:color w:val="auto"/>
          <w:kern w:val="0"/>
          <w:sz w:val="24"/>
          <w:highlight w:val="none"/>
          <w:lang w:val="en-US" w:eastAsia="zh-CN"/>
        </w:rPr>
        <w:t>33099</w:t>
      </w:r>
      <w:r>
        <w:rPr>
          <w:rFonts w:hint="eastAsia"/>
          <w:snapToGrid w:val="0"/>
          <w:color w:val="auto"/>
          <w:kern w:val="0"/>
          <w:sz w:val="24"/>
          <w:highlight w:val="none"/>
        </w:rPr>
        <w:t>（</w:t>
      </w:r>
      <w:r>
        <w:rPr>
          <w:rFonts w:hint="eastAsia"/>
          <w:snapToGrid w:val="0"/>
          <w:color w:val="auto"/>
          <w:kern w:val="0"/>
          <w:sz w:val="24"/>
          <w:highlight w:val="none"/>
          <w:lang w:eastAsia="zh-CN"/>
        </w:rPr>
        <w:t>μg</w:t>
      </w:r>
      <w:r>
        <w:rPr>
          <w:rFonts w:hint="eastAsia"/>
          <w:snapToGrid w:val="0"/>
          <w:color w:val="auto"/>
          <w:kern w:val="0"/>
          <w:sz w:val="24"/>
          <w:highlight w:val="none"/>
        </w:rPr>
        <w:t>/m</w:t>
      </w:r>
      <w:r>
        <w:rPr>
          <w:rFonts w:hint="eastAsia"/>
          <w:snapToGrid w:val="0"/>
          <w:color w:val="auto"/>
          <w:kern w:val="0"/>
          <w:sz w:val="24"/>
          <w:highlight w:val="none"/>
          <w:vertAlign w:val="superscript"/>
        </w:rPr>
        <w:t>3</w:t>
      </w:r>
      <w:r>
        <w:rPr>
          <w:rFonts w:hint="eastAsia"/>
          <w:snapToGrid w:val="0"/>
          <w:color w:val="auto"/>
          <w:kern w:val="0"/>
          <w:sz w:val="24"/>
          <w:highlight w:val="none"/>
        </w:rPr>
        <w:t>），实施削减后预测范围的颗粒物年平均浓度变化率k=-</w:t>
      </w:r>
      <w:r>
        <w:rPr>
          <w:rFonts w:hint="eastAsia"/>
          <w:snapToGrid w:val="0"/>
          <w:color w:val="auto"/>
          <w:kern w:val="0"/>
          <w:sz w:val="24"/>
          <w:highlight w:val="none"/>
          <w:lang w:val="en-US" w:eastAsia="zh-CN"/>
        </w:rPr>
        <w:t>55.17</w:t>
      </w:r>
      <w:r>
        <w:rPr>
          <w:rFonts w:hint="eastAsia"/>
          <w:snapToGrid w:val="0"/>
          <w:color w:val="auto"/>
          <w:kern w:val="0"/>
          <w:sz w:val="24"/>
          <w:highlight w:val="none"/>
        </w:rPr>
        <w:t>%，浓度变化率k&lt;-20%。</w:t>
      </w:r>
    </w:p>
    <w:p w14:paraId="0E5B4BA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因此，</w:t>
      </w:r>
      <w:r>
        <w:rPr>
          <w:color w:val="auto"/>
          <w:kern w:val="0"/>
          <w:sz w:val="24"/>
          <w:highlight w:val="none"/>
        </w:rPr>
        <w:t>本项目PM</w:t>
      </w:r>
      <w:r>
        <w:rPr>
          <w:color w:val="auto"/>
          <w:kern w:val="0"/>
          <w:sz w:val="24"/>
          <w:highlight w:val="none"/>
          <w:vertAlign w:val="subscript"/>
        </w:rPr>
        <w:t>10</w:t>
      </w:r>
      <w:r>
        <w:rPr>
          <w:color w:val="auto"/>
          <w:kern w:val="0"/>
          <w:sz w:val="24"/>
          <w:highlight w:val="none"/>
        </w:rPr>
        <w:t>、PM</w:t>
      </w:r>
      <w:r>
        <w:rPr>
          <w:color w:val="auto"/>
          <w:kern w:val="0"/>
          <w:sz w:val="24"/>
          <w:highlight w:val="none"/>
          <w:vertAlign w:val="subscript"/>
        </w:rPr>
        <w:t>2.5</w:t>
      </w:r>
      <w:r>
        <w:rPr>
          <w:color w:val="auto"/>
          <w:kern w:val="0"/>
          <w:sz w:val="24"/>
          <w:highlight w:val="none"/>
        </w:rPr>
        <w:t>实施削减后预测范围的颗粒物年平均浓度变化率k</w:t>
      </w:r>
      <w:r>
        <w:rPr>
          <w:rFonts w:hint="eastAsia"/>
          <w:color w:val="auto"/>
          <w:kern w:val="0"/>
          <w:sz w:val="24"/>
          <w:highlight w:val="none"/>
          <w:lang w:val="en-US" w:eastAsia="zh-CN"/>
        </w:rPr>
        <w:t>均</w:t>
      </w:r>
      <w:r>
        <w:rPr>
          <w:color w:val="auto"/>
          <w:kern w:val="0"/>
          <w:sz w:val="24"/>
          <w:highlight w:val="none"/>
        </w:rPr>
        <w:t>&lt;-20%</w:t>
      </w:r>
      <w:r>
        <w:rPr>
          <w:rFonts w:hint="eastAsia"/>
          <w:color w:val="auto"/>
          <w:kern w:val="0"/>
          <w:sz w:val="24"/>
          <w:highlight w:val="none"/>
          <w:lang w:eastAsia="zh-CN"/>
        </w:rPr>
        <w:t>，</w:t>
      </w:r>
      <w:r>
        <w:rPr>
          <w:rFonts w:hint="eastAsia"/>
          <w:snapToGrid w:val="0"/>
          <w:color w:val="auto"/>
          <w:kern w:val="0"/>
          <w:sz w:val="24"/>
          <w:highlight w:val="none"/>
        </w:rPr>
        <w:t>可</w:t>
      </w:r>
      <w:r>
        <w:rPr>
          <w:rFonts w:hint="eastAsia"/>
          <w:snapToGrid w:val="0"/>
          <w:color w:val="auto"/>
          <w:kern w:val="0"/>
          <w:sz w:val="24"/>
          <w:highlight w:val="none"/>
          <w:lang w:val="en-US" w:eastAsia="zh-CN"/>
        </w:rPr>
        <w:t>判断区域大气环境影响可以接受</w:t>
      </w:r>
      <w:r>
        <w:rPr>
          <w:rFonts w:hint="eastAsia"/>
          <w:snapToGrid w:val="0"/>
          <w:color w:val="auto"/>
          <w:kern w:val="0"/>
          <w:sz w:val="24"/>
          <w:highlight w:val="none"/>
        </w:rPr>
        <w:t>。</w:t>
      </w:r>
    </w:p>
    <w:p w14:paraId="07D50F1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6.2.1.10大气污染物排放量核算</w:t>
      </w:r>
    </w:p>
    <w:p w14:paraId="73C4F9FC">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（1）有组织排放量核算</w:t>
      </w:r>
    </w:p>
    <w:p w14:paraId="7FEF4CE4">
      <w:pPr>
        <w:widowControl/>
        <w:adjustRightInd w:val="0"/>
        <w:snapToGrid w:val="0"/>
        <w:spacing w:line="360" w:lineRule="auto"/>
        <w:ind w:firstLine="480" w:firstLineChars="200"/>
        <w:rPr>
          <w:color w:val="auto"/>
          <w:highlight w:val="none"/>
        </w:rPr>
      </w:pPr>
      <w:r>
        <w:rPr>
          <w:rFonts w:hint="eastAsia"/>
          <w:color w:val="auto"/>
          <w:kern w:val="0"/>
          <w:sz w:val="24"/>
          <w:highlight w:val="none"/>
        </w:rPr>
        <w:t>本项目运行期，在各类环保设施正常运行的情况下，废气有组织排放量核算见表6.2-2</w:t>
      </w:r>
      <w:r>
        <w:rPr>
          <w:rFonts w:hint="eastAsia"/>
          <w:color w:val="auto"/>
          <w:kern w:val="0"/>
          <w:sz w:val="24"/>
          <w:highlight w:val="none"/>
          <w:lang w:val="en-US" w:eastAsia="zh-CN"/>
        </w:rPr>
        <w:t>2</w:t>
      </w:r>
      <w:r>
        <w:rPr>
          <w:rFonts w:hint="eastAsia"/>
          <w:color w:val="auto"/>
          <w:kern w:val="0"/>
          <w:sz w:val="24"/>
          <w:highlight w:val="none"/>
        </w:rPr>
        <w:t>。</w:t>
      </w:r>
    </w:p>
    <w:p w14:paraId="165DCDEA">
      <w:pPr>
        <w:jc w:val="center"/>
        <w:rPr>
          <w:b/>
          <w:bCs/>
          <w:color w:val="auto"/>
          <w:highlight w:val="none"/>
        </w:rPr>
      </w:pPr>
      <w:r>
        <w:rPr>
          <w:b/>
          <w:bCs/>
          <w:color w:val="auto"/>
          <w:highlight w:val="none"/>
        </w:rPr>
        <w:t>表</w:t>
      </w:r>
      <w:r>
        <w:rPr>
          <w:rFonts w:hint="eastAsia"/>
          <w:b/>
          <w:bCs/>
          <w:color w:val="auto"/>
          <w:highlight w:val="none"/>
        </w:rPr>
        <w:t>6</w:t>
      </w:r>
      <w:r>
        <w:rPr>
          <w:b/>
          <w:bCs/>
          <w:color w:val="auto"/>
          <w:highlight w:val="none"/>
        </w:rPr>
        <w:t>.2-</w:t>
      </w:r>
      <w:r>
        <w:rPr>
          <w:rFonts w:hint="eastAsia"/>
          <w:b/>
          <w:bCs/>
          <w:color w:val="auto"/>
          <w:highlight w:val="none"/>
        </w:rPr>
        <w:t>2</w:t>
      </w:r>
      <w:r>
        <w:rPr>
          <w:rFonts w:hint="eastAsia"/>
          <w:b/>
          <w:bCs/>
          <w:color w:val="auto"/>
          <w:highlight w:val="none"/>
          <w:lang w:val="en-US" w:eastAsia="zh-CN"/>
        </w:rPr>
        <w:t>2</w:t>
      </w:r>
      <w:r>
        <w:rPr>
          <w:rFonts w:hint="eastAsia"/>
          <w:b/>
          <w:bCs/>
          <w:color w:val="auto"/>
          <w:highlight w:val="none"/>
        </w:rPr>
        <w:t xml:space="preserve"> </w:t>
      </w:r>
      <w:r>
        <w:rPr>
          <w:b/>
          <w:bCs/>
          <w:color w:val="auto"/>
          <w:highlight w:val="none"/>
        </w:rPr>
        <w:t>项目大气污染物有组织排放核算表</w:t>
      </w:r>
    </w:p>
    <w:tbl>
      <w:tblPr>
        <w:tblStyle w:val="56"/>
        <w:tblW w:w="50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335"/>
        <w:gridCol w:w="1319"/>
        <w:gridCol w:w="1881"/>
        <w:gridCol w:w="32"/>
        <w:gridCol w:w="1059"/>
        <w:gridCol w:w="1272"/>
        <w:gridCol w:w="1035"/>
        <w:gridCol w:w="77"/>
        <w:gridCol w:w="1313"/>
      </w:tblGrid>
      <w:tr w14:paraId="1BEE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60" w:hRule="atLeast"/>
        </w:trPr>
        <w:tc>
          <w:tcPr>
            <w:tcW w:w="202" w:type="pct"/>
            <w:vMerge w:val="restart"/>
            <w:vAlign w:val="center"/>
          </w:tcPr>
          <w:p w14:paraId="3EECF03E">
            <w:pPr>
              <w:widowControl/>
              <w:spacing w:line="360" w:lineRule="exact"/>
              <w:jc w:val="center"/>
              <w:rPr>
                <w:color w:val="auto"/>
                <w:szCs w:val="21"/>
                <w:highlight w:val="none"/>
              </w:rPr>
            </w:pPr>
            <w:r>
              <w:rPr>
                <w:color w:val="auto"/>
                <w:szCs w:val="21"/>
                <w:highlight w:val="none"/>
              </w:rPr>
              <w:t>序号</w:t>
            </w:r>
          </w:p>
        </w:tc>
        <w:tc>
          <w:tcPr>
            <w:tcW w:w="1941" w:type="pct"/>
            <w:gridSpan w:val="3"/>
            <w:vMerge w:val="restart"/>
            <w:vAlign w:val="center"/>
          </w:tcPr>
          <w:p w14:paraId="4D8FD58A">
            <w:pPr>
              <w:widowControl/>
              <w:spacing w:line="360" w:lineRule="exact"/>
              <w:jc w:val="center"/>
              <w:rPr>
                <w:color w:val="auto"/>
                <w:szCs w:val="21"/>
                <w:highlight w:val="none"/>
              </w:rPr>
            </w:pPr>
            <w:r>
              <w:rPr>
                <w:color w:val="auto"/>
                <w:szCs w:val="21"/>
                <w:highlight w:val="none"/>
              </w:rPr>
              <w:t>排放口编号</w:t>
            </w:r>
          </w:p>
        </w:tc>
        <w:tc>
          <w:tcPr>
            <w:tcW w:w="636" w:type="pct"/>
            <w:vMerge w:val="restart"/>
            <w:vAlign w:val="center"/>
          </w:tcPr>
          <w:p w14:paraId="07DE030D">
            <w:pPr>
              <w:widowControl/>
              <w:spacing w:line="360" w:lineRule="exact"/>
              <w:jc w:val="center"/>
              <w:rPr>
                <w:color w:val="auto"/>
                <w:szCs w:val="21"/>
                <w:highlight w:val="none"/>
              </w:rPr>
            </w:pPr>
            <w:r>
              <w:rPr>
                <w:color w:val="auto"/>
                <w:szCs w:val="21"/>
                <w:highlight w:val="none"/>
              </w:rPr>
              <w:t>污染物</w:t>
            </w:r>
          </w:p>
        </w:tc>
        <w:tc>
          <w:tcPr>
            <w:tcW w:w="764" w:type="pct"/>
            <w:vMerge w:val="restart"/>
            <w:vAlign w:val="center"/>
          </w:tcPr>
          <w:p w14:paraId="2CBA136E">
            <w:pPr>
              <w:widowControl/>
              <w:spacing w:line="360" w:lineRule="exact"/>
              <w:jc w:val="center"/>
              <w:rPr>
                <w:color w:val="auto"/>
                <w:szCs w:val="21"/>
                <w:highlight w:val="none"/>
              </w:rPr>
            </w:pPr>
            <w:r>
              <w:rPr>
                <w:color w:val="auto"/>
                <w:szCs w:val="21"/>
                <w:highlight w:val="none"/>
              </w:rPr>
              <w:t>核算排放浓度/（mg/m</w:t>
            </w:r>
            <w:r>
              <w:rPr>
                <w:color w:val="auto"/>
                <w:szCs w:val="21"/>
                <w:highlight w:val="none"/>
                <w:vertAlign w:val="superscript"/>
              </w:rPr>
              <w:t>3</w:t>
            </w:r>
            <w:r>
              <w:rPr>
                <w:color w:val="auto"/>
                <w:szCs w:val="21"/>
                <w:highlight w:val="none"/>
              </w:rPr>
              <w:t>）</w:t>
            </w:r>
          </w:p>
        </w:tc>
        <w:tc>
          <w:tcPr>
            <w:tcW w:w="668" w:type="pct"/>
            <w:gridSpan w:val="2"/>
            <w:vMerge w:val="restart"/>
            <w:vAlign w:val="center"/>
          </w:tcPr>
          <w:p w14:paraId="49CCCB3F">
            <w:pPr>
              <w:widowControl/>
              <w:spacing w:line="360" w:lineRule="exact"/>
              <w:jc w:val="center"/>
              <w:rPr>
                <w:color w:val="auto"/>
                <w:szCs w:val="21"/>
                <w:highlight w:val="none"/>
              </w:rPr>
            </w:pPr>
            <w:r>
              <w:rPr>
                <w:color w:val="auto"/>
                <w:szCs w:val="21"/>
                <w:highlight w:val="none"/>
              </w:rPr>
              <w:t>核算排放速率/（kg/h）</w:t>
            </w:r>
          </w:p>
        </w:tc>
        <w:tc>
          <w:tcPr>
            <w:tcW w:w="788" w:type="pct"/>
            <w:vMerge w:val="restart"/>
            <w:vAlign w:val="center"/>
          </w:tcPr>
          <w:p w14:paraId="448F2D1C">
            <w:pPr>
              <w:widowControl/>
              <w:spacing w:line="360" w:lineRule="exact"/>
              <w:jc w:val="center"/>
              <w:rPr>
                <w:color w:val="auto"/>
                <w:szCs w:val="21"/>
                <w:highlight w:val="none"/>
              </w:rPr>
            </w:pPr>
            <w:r>
              <w:rPr>
                <w:color w:val="auto"/>
                <w:szCs w:val="21"/>
                <w:highlight w:val="none"/>
              </w:rPr>
              <w:t>核算年排放量/（t/a）</w:t>
            </w:r>
          </w:p>
        </w:tc>
      </w:tr>
      <w:tr w14:paraId="4BF2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60" w:hRule="atLeast"/>
        </w:trPr>
        <w:tc>
          <w:tcPr>
            <w:tcW w:w="202" w:type="pct"/>
            <w:vMerge w:val="continue"/>
            <w:vAlign w:val="center"/>
          </w:tcPr>
          <w:p w14:paraId="23FECE4F">
            <w:pPr>
              <w:widowControl/>
              <w:spacing w:line="360" w:lineRule="exact"/>
              <w:jc w:val="center"/>
              <w:rPr>
                <w:color w:val="auto"/>
                <w:szCs w:val="21"/>
                <w:highlight w:val="none"/>
              </w:rPr>
            </w:pPr>
          </w:p>
        </w:tc>
        <w:tc>
          <w:tcPr>
            <w:tcW w:w="1941" w:type="pct"/>
            <w:gridSpan w:val="3"/>
            <w:vMerge w:val="continue"/>
            <w:vAlign w:val="center"/>
          </w:tcPr>
          <w:p w14:paraId="13D4F700">
            <w:pPr>
              <w:widowControl/>
              <w:spacing w:line="360" w:lineRule="exact"/>
              <w:jc w:val="center"/>
              <w:rPr>
                <w:color w:val="auto"/>
                <w:szCs w:val="21"/>
                <w:highlight w:val="none"/>
              </w:rPr>
            </w:pPr>
          </w:p>
        </w:tc>
        <w:tc>
          <w:tcPr>
            <w:tcW w:w="636" w:type="pct"/>
            <w:vMerge w:val="continue"/>
            <w:vAlign w:val="center"/>
          </w:tcPr>
          <w:p w14:paraId="70D0103B">
            <w:pPr>
              <w:widowControl/>
              <w:spacing w:line="360" w:lineRule="exact"/>
              <w:jc w:val="center"/>
              <w:rPr>
                <w:color w:val="auto"/>
                <w:szCs w:val="21"/>
                <w:highlight w:val="none"/>
              </w:rPr>
            </w:pPr>
          </w:p>
        </w:tc>
        <w:tc>
          <w:tcPr>
            <w:tcW w:w="764" w:type="pct"/>
            <w:vMerge w:val="continue"/>
            <w:vAlign w:val="center"/>
          </w:tcPr>
          <w:p w14:paraId="14B9195E">
            <w:pPr>
              <w:widowControl/>
              <w:spacing w:line="360" w:lineRule="exact"/>
              <w:jc w:val="center"/>
              <w:rPr>
                <w:color w:val="auto"/>
                <w:szCs w:val="21"/>
                <w:highlight w:val="none"/>
              </w:rPr>
            </w:pPr>
          </w:p>
        </w:tc>
        <w:tc>
          <w:tcPr>
            <w:tcW w:w="668" w:type="pct"/>
            <w:gridSpan w:val="2"/>
            <w:vMerge w:val="continue"/>
            <w:vAlign w:val="center"/>
          </w:tcPr>
          <w:p w14:paraId="6397522D">
            <w:pPr>
              <w:widowControl/>
              <w:spacing w:line="360" w:lineRule="exact"/>
              <w:jc w:val="center"/>
              <w:rPr>
                <w:color w:val="auto"/>
                <w:szCs w:val="21"/>
                <w:highlight w:val="none"/>
              </w:rPr>
            </w:pPr>
          </w:p>
        </w:tc>
        <w:tc>
          <w:tcPr>
            <w:tcW w:w="788" w:type="pct"/>
            <w:vMerge w:val="continue"/>
            <w:vAlign w:val="center"/>
          </w:tcPr>
          <w:p w14:paraId="7F1ECD28">
            <w:pPr>
              <w:widowControl/>
              <w:spacing w:line="360" w:lineRule="exact"/>
              <w:jc w:val="center"/>
              <w:rPr>
                <w:color w:val="auto"/>
                <w:szCs w:val="21"/>
                <w:highlight w:val="none"/>
              </w:rPr>
            </w:pPr>
          </w:p>
        </w:tc>
      </w:tr>
      <w:tr w14:paraId="4DA3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5000" w:type="pct"/>
            <w:gridSpan w:val="9"/>
            <w:vAlign w:val="center"/>
          </w:tcPr>
          <w:p w14:paraId="33021088">
            <w:pPr>
              <w:widowControl/>
              <w:spacing w:line="360" w:lineRule="exact"/>
              <w:jc w:val="center"/>
              <w:rPr>
                <w:color w:val="auto"/>
                <w:szCs w:val="21"/>
                <w:highlight w:val="none"/>
              </w:rPr>
            </w:pPr>
            <w:r>
              <w:rPr>
                <w:color w:val="auto"/>
                <w:szCs w:val="21"/>
                <w:highlight w:val="none"/>
              </w:rPr>
              <w:t>主要排放口</w:t>
            </w:r>
          </w:p>
        </w:tc>
      </w:tr>
      <w:tr w14:paraId="0F57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restart"/>
            <w:vAlign w:val="center"/>
          </w:tcPr>
          <w:p w14:paraId="53C48B56">
            <w:pPr>
              <w:widowControl/>
              <w:spacing w:line="360" w:lineRule="exact"/>
              <w:jc w:val="center"/>
              <w:rPr>
                <w:color w:val="auto"/>
                <w:szCs w:val="21"/>
                <w:highlight w:val="none"/>
              </w:rPr>
            </w:pPr>
            <w:r>
              <w:rPr>
                <w:rFonts w:hint="eastAsia"/>
                <w:color w:val="auto"/>
                <w:szCs w:val="21"/>
                <w:highlight w:val="none"/>
              </w:rPr>
              <w:t>1</w:t>
            </w:r>
          </w:p>
        </w:tc>
        <w:tc>
          <w:tcPr>
            <w:tcW w:w="792" w:type="pct"/>
            <w:vMerge w:val="restart"/>
            <w:shd w:val="clear" w:color="auto" w:fill="auto"/>
            <w:vAlign w:val="center"/>
          </w:tcPr>
          <w:p w14:paraId="5984D1BB">
            <w:pPr>
              <w:widowControl/>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DA05</w:t>
            </w:r>
            <w:r>
              <w:rPr>
                <w:rFonts w:hint="eastAsia"/>
                <w:snapToGrid w:val="0"/>
                <w:color w:val="auto"/>
                <w:kern w:val="0"/>
                <w:szCs w:val="21"/>
                <w:highlight w:val="none"/>
                <w:lang w:val="en-US" w:eastAsia="zh-CN"/>
              </w:rPr>
              <w:t>8</w:t>
            </w:r>
            <w:r>
              <w:rPr>
                <w:rFonts w:hint="eastAsia"/>
                <w:snapToGrid w:val="0"/>
                <w:color w:val="auto"/>
                <w:kern w:val="0"/>
                <w:szCs w:val="21"/>
                <w:highlight w:val="none"/>
              </w:rPr>
              <w:t>-DA05</w:t>
            </w:r>
            <w:r>
              <w:rPr>
                <w:rFonts w:hint="eastAsia"/>
                <w:snapToGrid w:val="0"/>
                <w:color w:val="auto"/>
                <w:kern w:val="0"/>
                <w:szCs w:val="21"/>
                <w:highlight w:val="none"/>
                <w:lang w:val="en-US" w:eastAsia="zh-CN"/>
              </w:rPr>
              <w:t>9</w:t>
            </w:r>
          </w:p>
        </w:tc>
        <w:tc>
          <w:tcPr>
            <w:tcW w:w="1148" w:type="pct"/>
            <w:gridSpan w:val="2"/>
            <w:vMerge w:val="restart"/>
            <w:shd w:val="clear" w:color="auto" w:fill="auto"/>
            <w:vAlign w:val="center"/>
          </w:tcPr>
          <w:p w14:paraId="3F3113D5">
            <w:pPr>
              <w:adjustRightInd w:val="0"/>
              <w:snapToGrid w:val="0"/>
              <w:jc w:val="center"/>
              <w:rPr>
                <w:snapToGrid w:val="0"/>
                <w:color w:val="auto"/>
                <w:kern w:val="0"/>
                <w:szCs w:val="21"/>
                <w:highlight w:val="none"/>
              </w:rPr>
            </w:pPr>
            <w:r>
              <w:rPr>
                <w:rFonts w:hint="eastAsia"/>
                <w:snapToGrid w:val="0"/>
                <w:color w:val="auto"/>
                <w:kern w:val="0"/>
                <w:szCs w:val="21"/>
                <w:highlight w:val="none"/>
              </w:rPr>
              <w:t>发酵废气</w:t>
            </w:r>
          </w:p>
        </w:tc>
        <w:tc>
          <w:tcPr>
            <w:tcW w:w="636" w:type="pct"/>
            <w:shd w:val="clear" w:color="auto" w:fill="auto"/>
            <w:vAlign w:val="center"/>
          </w:tcPr>
          <w:p w14:paraId="416A4901">
            <w:pPr>
              <w:adjustRightInd w:val="0"/>
              <w:snapToGrid w:val="0"/>
              <w:spacing w:line="360" w:lineRule="exact"/>
              <w:jc w:val="center"/>
              <w:rPr>
                <w:snapToGrid w:val="0"/>
                <w:color w:val="auto"/>
                <w:kern w:val="0"/>
                <w:szCs w:val="21"/>
                <w:highlight w:val="none"/>
              </w:rPr>
            </w:pPr>
            <w:r>
              <w:rPr>
                <w:rFonts w:hint="eastAsia"/>
                <w:snapToGrid w:val="0"/>
                <w:color w:val="auto"/>
                <w:kern w:val="0"/>
                <w:szCs w:val="21"/>
                <w:highlight w:val="none"/>
              </w:rPr>
              <w:t>颗粒物</w:t>
            </w:r>
          </w:p>
        </w:tc>
        <w:tc>
          <w:tcPr>
            <w:tcW w:w="764" w:type="pct"/>
            <w:shd w:val="clear" w:color="auto" w:fill="auto"/>
            <w:vAlign w:val="center"/>
          </w:tcPr>
          <w:p w14:paraId="685064C0">
            <w:pPr>
              <w:adjustRightInd w:val="0"/>
              <w:snapToGrid w:val="0"/>
              <w:jc w:val="center"/>
              <w:rPr>
                <w:bCs/>
                <w:color w:val="auto"/>
                <w:szCs w:val="21"/>
                <w:highlight w:val="none"/>
              </w:rPr>
            </w:pPr>
            <w:r>
              <w:rPr>
                <w:snapToGrid w:val="0"/>
                <w:color w:val="auto"/>
                <w:kern w:val="0"/>
                <w:szCs w:val="21"/>
                <w:highlight w:val="none"/>
              </w:rPr>
              <w:t>10</w:t>
            </w:r>
          </w:p>
        </w:tc>
        <w:tc>
          <w:tcPr>
            <w:tcW w:w="668" w:type="pct"/>
            <w:gridSpan w:val="2"/>
            <w:shd w:val="clear" w:color="auto" w:fill="auto"/>
            <w:vAlign w:val="center"/>
          </w:tcPr>
          <w:p w14:paraId="6FA409CC">
            <w:pPr>
              <w:adjustRightInd w:val="0"/>
              <w:snapToGrid w:val="0"/>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.53</w:t>
            </w:r>
          </w:p>
        </w:tc>
        <w:tc>
          <w:tcPr>
            <w:tcW w:w="788" w:type="pct"/>
            <w:shd w:val="clear" w:color="auto" w:fill="auto"/>
            <w:vAlign w:val="center"/>
          </w:tcPr>
          <w:p w14:paraId="6BF3D1B8">
            <w:pPr>
              <w:widowControl/>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w:t>
            </w:r>
            <w:r>
              <w:rPr>
                <w:color w:val="auto"/>
                <w:szCs w:val="21"/>
                <w:highlight w:val="none"/>
              </w:rPr>
              <w:t>4.24</w:t>
            </w:r>
          </w:p>
        </w:tc>
      </w:tr>
      <w:tr w14:paraId="0FBC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27BFC79F">
            <w:pPr>
              <w:widowControl/>
              <w:spacing w:line="360" w:lineRule="exact"/>
              <w:jc w:val="center"/>
              <w:rPr>
                <w:color w:val="auto"/>
                <w:szCs w:val="21"/>
                <w:highlight w:val="none"/>
              </w:rPr>
            </w:pPr>
          </w:p>
        </w:tc>
        <w:tc>
          <w:tcPr>
            <w:tcW w:w="792" w:type="pct"/>
            <w:vMerge w:val="continue"/>
            <w:vAlign w:val="center"/>
          </w:tcPr>
          <w:p w14:paraId="275281FA">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69226820">
            <w:pPr>
              <w:adjustRightInd w:val="0"/>
              <w:snapToGrid w:val="0"/>
              <w:spacing w:line="360" w:lineRule="exact"/>
              <w:jc w:val="center"/>
              <w:rPr>
                <w:snapToGrid w:val="0"/>
                <w:color w:val="auto"/>
                <w:kern w:val="0"/>
                <w:szCs w:val="21"/>
                <w:highlight w:val="none"/>
              </w:rPr>
            </w:pPr>
          </w:p>
        </w:tc>
        <w:tc>
          <w:tcPr>
            <w:tcW w:w="636" w:type="pct"/>
            <w:shd w:val="clear" w:color="auto" w:fill="auto"/>
            <w:vAlign w:val="center"/>
          </w:tcPr>
          <w:p w14:paraId="3322D2A4">
            <w:pPr>
              <w:adjustRightInd w:val="0"/>
              <w:snapToGrid w:val="0"/>
              <w:spacing w:line="360" w:lineRule="exact"/>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MHC</w:t>
            </w:r>
          </w:p>
        </w:tc>
        <w:tc>
          <w:tcPr>
            <w:tcW w:w="764" w:type="pct"/>
            <w:shd w:val="clear" w:color="auto" w:fill="auto"/>
            <w:vAlign w:val="center"/>
          </w:tcPr>
          <w:p w14:paraId="6D0F97F1">
            <w:pPr>
              <w:adjustRightInd w:val="0"/>
              <w:snapToGrid w:val="0"/>
              <w:jc w:val="center"/>
              <w:rPr>
                <w:bCs/>
                <w:color w:val="auto"/>
                <w:szCs w:val="21"/>
                <w:highlight w:val="none"/>
              </w:rPr>
            </w:pPr>
            <w:r>
              <w:rPr>
                <w:rFonts w:hint="eastAsia"/>
                <w:snapToGrid w:val="0"/>
                <w:color w:val="auto"/>
                <w:kern w:val="0"/>
                <w:szCs w:val="21"/>
                <w:highlight w:val="none"/>
              </w:rPr>
              <w:t>2</w:t>
            </w:r>
          </w:p>
        </w:tc>
        <w:tc>
          <w:tcPr>
            <w:tcW w:w="668" w:type="pct"/>
            <w:gridSpan w:val="2"/>
            <w:shd w:val="clear" w:color="auto" w:fill="auto"/>
            <w:vAlign w:val="center"/>
          </w:tcPr>
          <w:p w14:paraId="06769B8F">
            <w:pPr>
              <w:adjustRightInd w:val="0"/>
              <w:snapToGrid w:val="0"/>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.11</w:t>
            </w:r>
          </w:p>
        </w:tc>
        <w:tc>
          <w:tcPr>
            <w:tcW w:w="788" w:type="pct"/>
            <w:shd w:val="clear" w:color="auto" w:fill="auto"/>
            <w:vAlign w:val="center"/>
          </w:tcPr>
          <w:p w14:paraId="48139A9E">
            <w:pPr>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w:t>
            </w:r>
            <w:r>
              <w:rPr>
                <w:color w:val="auto"/>
                <w:szCs w:val="21"/>
                <w:highlight w:val="none"/>
              </w:rPr>
              <w:t>0.88</w:t>
            </w:r>
          </w:p>
        </w:tc>
      </w:tr>
      <w:tr w14:paraId="74FE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34C5A18D">
            <w:pPr>
              <w:widowControl/>
              <w:spacing w:line="360" w:lineRule="exact"/>
              <w:jc w:val="center"/>
              <w:rPr>
                <w:color w:val="auto"/>
                <w:szCs w:val="21"/>
                <w:highlight w:val="none"/>
              </w:rPr>
            </w:pPr>
          </w:p>
        </w:tc>
        <w:tc>
          <w:tcPr>
            <w:tcW w:w="792" w:type="pct"/>
            <w:vMerge w:val="continue"/>
            <w:vAlign w:val="center"/>
          </w:tcPr>
          <w:p w14:paraId="5BDD6E3E">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6798B18F">
            <w:pPr>
              <w:adjustRightInd w:val="0"/>
              <w:snapToGrid w:val="0"/>
              <w:spacing w:line="360" w:lineRule="exact"/>
              <w:jc w:val="center"/>
              <w:rPr>
                <w:snapToGrid w:val="0"/>
                <w:color w:val="auto"/>
                <w:kern w:val="0"/>
                <w:szCs w:val="21"/>
                <w:highlight w:val="none"/>
              </w:rPr>
            </w:pPr>
          </w:p>
        </w:tc>
        <w:tc>
          <w:tcPr>
            <w:tcW w:w="636" w:type="pct"/>
            <w:shd w:val="clear" w:color="auto" w:fill="auto"/>
            <w:vAlign w:val="center"/>
          </w:tcPr>
          <w:p w14:paraId="44B4EEF8">
            <w:pPr>
              <w:adjustRightInd w:val="0"/>
              <w:snapToGrid w:val="0"/>
              <w:spacing w:line="360" w:lineRule="exact"/>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p>
        </w:tc>
        <w:tc>
          <w:tcPr>
            <w:tcW w:w="764" w:type="pct"/>
            <w:shd w:val="clear" w:color="auto" w:fill="auto"/>
            <w:vAlign w:val="center"/>
          </w:tcPr>
          <w:p w14:paraId="2C472711">
            <w:pPr>
              <w:adjustRightInd w:val="0"/>
              <w:snapToGrid w:val="0"/>
              <w:jc w:val="center"/>
              <w:rPr>
                <w:bCs/>
                <w:color w:val="auto"/>
                <w:szCs w:val="21"/>
                <w:highlight w:val="none"/>
              </w:rPr>
            </w:pPr>
            <w:r>
              <w:rPr>
                <w:rFonts w:hint="eastAsia"/>
                <w:snapToGrid w:val="0"/>
                <w:color w:val="auto"/>
                <w:kern w:val="0"/>
                <w:szCs w:val="21"/>
                <w:highlight w:val="none"/>
              </w:rPr>
              <w:t>5</w:t>
            </w:r>
          </w:p>
        </w:tc>
        <w:tc>
          <w:tcPr>
            <w:tcW w:w="668" w:type="pct"/>
            <w:gridSpan w:val="2"/>
            <w:shd w:val="clear" w:color="auto" w:fill="auto"/>
            <w:vAlign w:val="center"/>
          </w:tcPr>
          <w:p w14:paraId="1DBD41F0">
            <w:pPr>
              <w:adjustRightInd w:val="0"/>
              <w:snapToGrid w:val="0"/>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.26</w:t>
            </w:r>
          </w:p>
        </w:tc>
        <w:tc>
          <w:tcPr>
            <w:tcW w:w="788" w:type="pct"/>
            <w:shd w:val="clear" w:color="auto" w:fill="auto"/>
            <w:vAlign w:val="center"/>
          </w:tcPr>
          <w:p w14:paraId="1FCA3329">
            <w:pPr>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w:t>
            </w:r>
            <w:r>
              <w:rPr>
                <w:color w:val="auto"/>
                <w:szCs w:val="21"/>
                <w:highlight w:val="none"/>
              </w:rPr>
              <w:t>2.08</w:t>
            </w:r>
          </w:p>
        </w:tc>
      </w:tr>
      <w:tr w14:paraId="4E3B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694A9B55">
            <w:pPr>
              <w:widowControl/>
              <w:spacing w:line="360" w:lineRule="exact"/>
              <w:jc w:val="center"/>
              <w:rPr>
                <w:color w:val="auto"/>
                <w:szCs w:val="21"/>
                <w:highlight w:val="none"/>
              </w:rPr>
            </w:pPr>
          </w:p>
        </w:tc>
        <w:tc>
          <w:tcPr>
            <w:tcW w:w="792" w:type="pct"/>
            <w:vMerge w:val="continue"/>
            <w:vAlign w:val="center"/>
          </w:tcPr>
          <w:p w14:paraId="2981C8F4">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63876016">
            <w:pPr>
              <w:adjustRightInd w:val="0"/>
              <w:snapToGrid w:val="0"/>
              <w:spacing w:line="360" w:lineRule="exact"/>
              <w:jc w:val="center"/>
              <w:rPr>
                <w:snapToGrid w:val="0"/>
                <w:color w:val="auto"/>
                <w:kern w:val="0"/>
                <w:szCs w:val="21"/>
                <w:highlight w:val="none"/>
              </w:rPr>
            </w:pPr>
          </w:p>
        </w:tc>
        <w:tc>
          <w:tcPr>
            <w:tcW w:w="636" w:type="pct"/>
            <w:shd w:val="clear" w:color="auto" w:fill="auto"/>
            <w:vAlign w:val="center"/>
          </w:tcPr>
          <w:p w14:paraId="76E2E2C4">
            <w:pPr>
              <w:adjustRightInd w:val="0"/>
              <w:snapToGrid w:val="0"/>
              <w:spacing w:line="360" w:lineRule="exact"/>
              <w:jc w:val="center"/>
              <w:rPr>
                <w:snapToGrid w:val="0"/>
                <w:color w:val="auto"/>
                <w:kern w:val="0"/>
                <w:szCs w:val="21"/>
                <w:highlight w:val="none"/>
              </w:rPr>
            </w:pP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p>
        </w:tc>
        <w:tc>
          <w:tcPr>
            <w:tcW w:w="764" w:type="pct"/>
            <w:shd w:val="clear" w:color="auto" w:fill="auto"/>
            <w:vAlign w:val="center"/>
          </w:tcPr>
          <w:p w14:paraId="767C2E86">
            <w:pPr>
              <w:adjustRightInd w:val="0"/>
              <w:snapToGrid w:val="0"/>
              <w:jc w:val="center"/>
              <w:rPr>
                <w:bCs/>
                <w:color w:val="auto"/>
                <w:szCs w:val="21"/>
                <w:highlight w:val="none"/>
              </w:rPr>
            </w:pPr>
            <w:r>
              <w:rPr>
                <w:rFonts w:hint="eastAsia"/>
                <w:snapToGrid w:val="0"/>
                <w:color w:val="auto"/>
                <w:kern w:val="0"/>
                <w:szCs w:val="21"/>
                <w:highlight w:val="none"/>
              </w:rPr>
              <w:t>1</w:t>
            </w:r>
          </w:p>
        </w:tc>
        <w:tc>
          <w:tcPr>
            <w:tcW w:w="668" w:type="pct"/>
            <w:gridSpan w:val="2"/>
            <w:shd w:val="clear" w:color="auto" w:fill="auto"/>
            <w:vAlign w:val="center"/>
          </w:tcPr>
          <w:p w14:paraId="37AD5A88">
            <w:pPr>
              <w:adjustRightInd w:val="0"/>
              <w:snapToGrid w:val="0"/>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.05</w:t>
            </w:r>
          </w:p>
        </w:tc>
        <w:tc>
          <w:tcPr>
            <w:tcW w:w="788" w:type="pct"/>
            <w:shd w:val="clear" w:color="auto" w:fill="auto"/>
            <w:vAlign w:val="center"/>
          </w:tcPr>
          <w:p w14:paraId="4D62FD3D">
            <w:pPr>
              <w:jc w:val="center"/>
              <w:rPr>
                <w:bCs/>
                <w:color w:val="auto"/>
                <w:szCs w:val="21"/>
                <w:highlight w:val="none"/>
              </w:rPr>
            </w:pPr>
            <w:r>
              <w:rPr>
                <w:snapToGrid w:val="0"/>
                <w:color w:val="auto"/>
                <w:kern w:val="0"/>
                <w:szCs w:val="21"/>
                <w:highlight w:val="none"/>
              </w:rPr>
              <w:t>2</w:t>
            </w:r>
            <w:r>
              <w:rPr>
                <w:rFonts w:hint="eastAsia"/>
                <w:snapToGrid w:val="0"/>
                <w:color w:val="auto"/>
                <w:kern w:val="0"/>
                <w:szCs w:val="21"/>
                <w:highlight w:val="none"/>
              </w:rPr>
              <w:t>×</w:t>
            </w:r>
            <w:r>
              <w:rPr>
                <w:color w:val="auto"/>
                <w:szCs w:val="21"/>
                <w:highlight w:val="none"/>
              </w:rPr>
              <w:t>0.4</w:t>
            </w:r>
          </w:p>
        </w:tc>
      </w:tr>
      <w:tr w14:paraId="2681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restart"/>
            <w:vAlign w:val="center"/>
          </w:tcPr>
          <w:p w14:paraId="1E027092">
            <w:pPr>
              <w:widowControl/>
              <w:spacing w:line="360" w:lineRule="exact"/>
              <w:jc w:val="center"/>
              <w:rPr>
                <w:color w:val="auto"/>
                <w:szCs w:val="21"/>
                <w:highlight w:val="none"/>
              </w:rPr>
            </w:pPr>
            <w:r>
              <w:rPr>
                <w:rFonts w:hint="eastAsia"/>
                <w:color w:val="auto"/>
                <w:szCs w:val="21"/>
                <w:highlight w:val="none"/>
              </w:rPr>
              <w:t>2</w:t>
            </w:r>
          </w:p>
        </w:tc>
        <w:tc>
          <w:tcPr>
            <w:tcW w:w="792" w:type="pct"/>
            <w:vMerge w:val="restart"/>
            <w:shd w:val="clear" w:color="auto" w:fill="auto"/>
            <w:vAlign w:val="center"/>
          </w:tcPr>
          <w:p w14:paraId="1719B367">
            <w:pPr>
              <w:widowControl/>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rPr>
              <w:t>DA0</w:t>
            </w:r>
            <w:r>
              <w:rPr>
                <w:rFonts w:hint="eastAsia"/>
                <w:snapToGrid w:val="0"/>
                <w:color w:val="auto"/>
                <w:kern w:val="0"/>
                <w:szCs w:val="21"/>
                <w:highlight w:val="none"/>
                <w:lang w:val="en-US" w:eastAsia="zh-CN"/>
              </w:rPr>
              <w:t>60</w:t>
            </w:r>
          </w:p>
        </w:tc>
        <w:tc>
          <w:tcPr>
            <w:tcW w:w="1148" w:type="pct"/>
            <w:gridSpan w:val="2"/>
            <w:vMerge w:val="restart"/>
            <w:shd w:val="clear" w:color="auto" w:fill="auto"/>
            <w:vAlign w:val="center"/>
          </w:tcPr>
          <w:p w14:paraId="6A86034E">
            <w:pPr>
              <w:adjustRightInd w:val="0"/>
              <w:snapToGrid w:val="0"/>
              <w:jc w:val="center"/>
              <w:rPr>
                <w:snapToGrid w:val="0"/>
                <w:color w:val="auto"/>
                <w:kern w:val="0"/>
                <w:szCs w:val="21"/>
                <w:highlight w:val="none"/>
              </w:rPr>
            </w:pPr>
            <w:r>
              <w:rPr>
                <w:rFonts w:hint="eastAsia"/>
                <w:snapToGrid w:val="0"/>
                <w:color w:val="auto"/>
                <w:kern w:val="0"/>
                <w:szCs w:val="21"/>
                <w:highlight w:val="none"/>
              </w:rPr>
              <w:t>酸化废气</w:t>
            </w:r>
          </w:p>
        </w:tc>
        <w:tc>
          <w:tcPr>
            <w:tcW w:w="636" w:type="pct"/>
            <w:shd w:val="clear" w:color="auto" w:fill="auto"/>
            <w:vAlign w:val="center"/>
          </w:tcPr>
          <w:p w14:paraId="4405111D">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NMHC</w:t>
            </w:r>
          </w:p>
        </w:tc>
        <w:tc>
          <w:tcPr>
            <w:tcW w:w="764" w:type="pct"/>
            <w:shd w:val="clear" w:color="auto" w:fill="auto"/>
            <w:vAlign w:val="center"/>
          </w:tcPr>
          <w:p w14:paraId="75913687">
            <w:pPr>
              <w:adjustRightInd w:val="0"/>
              <w:snapToGrid w:val="0"/>
              <w:jc w:val="center"/>
              <w:rPr>
                <w:snapToGrid w:val="0"/>
                <w:color w:val="auto"/>
                <w:kern w:val="0"/>
                <w:szCs w:val="21"/>
                <w:highlight w:val="none"/>
              </w:rPr>
            </w:pPr>
            <w:r>
              <w:rPr>
                <w:snapToGrid w:val="0"/>
                <w:color w:val="auto"/>
                <w:kern w:val="0"/>
                <w:szCs w:val="21"/>
                <w:highlight w:val="none"/>
              </w:rPr>
              <w:t>2.5</w:t>
            </w:r>
          </w:p>
        </w:tc>
        <w:tc>
          <w:tcPr>
            <w:tcW w:w="668" w:type="pct"/>
            <w:gridSpan w:val="2"/>
            <w:shd w:val="clear" w:color="auto" w:fill="auto"/>
            <w:vAlign w:val="center"/>
          </w:tcPr>
          <w:p w14:paraId="1E907D0F">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.08</w:t>
            </w:r>
          </w:p>
        </w:tc>
        <w:tc>
          <w:tcPr>
            <w:tcW w:w="788" w:type="pct"/>
            <w:shd w:val="clear" w:color="auto" w:fill="auto"/>
            <w:vAlign w:val="center"/>
          </w:tcPr>
          <w:p w14:paraId="1D1EE4CC">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.64</w:t>
            </w:r>
          </w:p>
        </w:tc>
      </w:tr>
      <w:tr w14:paraId="0681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26EE82BF">
            <w:pPr>
              <w:widowControl/>
              <w:spacing w:line="360" w:lineRule="exact"/>
              <w:jc w:val="center"/>
              <w:rPr>
                <w:color w:val="auto"/>
                <w:szCs w:val="21"/>
                <w:highlight w:val="none"/>
              </w:rPr>
            </w:pPr>
          </w:p>
        </w:tc>
        <w:tc>
          <w:tcPr>
            <w:tcW w:w="792" w:type="pct"/>
            <w:vMerge w:val="continue"/>
            <w:vAlign w:val="center"/>
          </w:tcPr>
          <w:p w14:paraId="7D41A988">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31205C3B">
            <w:pPr>
              <w:widowControl/>
              <w:adjustRightInd w:val="0"/>
              <w:snapToGrid w:val="0"/>
              <w:jc w:val="center"/>
              <w:rPr>
                <w:snapToGrid w:val="0"/>
                <w:color w:val="auto"/>
                <w:kern w:val="0"/>
                <w:szCs w:val="21"/>
                <w:highlight w:val="none"/>
              </w:rPr>
            </w:pPr>
          </w:p>
        </w:tc>
        <w:tc>
          <w:tcPr>
            <w:tcW w:w="636" w:type="pct"/>
            <w:shd w:val="clear" w:color="auto" w:fill="auto"/>
            <w:vAlign w:val="center"/>
          </w:tcPr>
          <w:p w14:paraId="3328ED51">
            <w:pPr>
              <w:widowControl/>
              <w:adjustRightInd w:val="0"/>
              <w:snapToGrid w:val="0"/>
              <w:jc w:val="center"/>
              <w:rPr>
                <w:snapToGrid w:val="0"/>
                <w:color w:val="auto"/>
                <w:kern w:val="0"/>
                <w:szCs w:val="21"/>
                <w:highlight w:val="none"/>
              </w:rPr>
            </w:pPr>
            <w:r>
              <w:rPr>
                <w:snapToGrid w:val="0"/>
                <w:color w:val="auto"/>
                <w:kern w:val="0"/>
                <w:szCs w:val="21"/>
                <w:highlight w:val="none"/>
              </w:rPr>
              <w:t>硫酸雾</w:t>
            </w:r>
          </w:p>
        </w:tc>
        <w:tc>
          <w:tcPr>
            <w:tcW w:w="764" w:type="pct"/>
            <w:shd w:val="clear" w:color="auto" w:fill="auto"/>
            <w:vAlign w:val="center"/>
          </w:tcPr>
          <w:p w14:paraId="70E49C07">
            <w:pPr>
              <w:adjustRightInd w:val="0"/>
              <w:snapToGrid w:val="0"/>
              <w:jc w:val="center"/>
              <w:rPr>
                <w:snapToGrid w:val="0"/>
                <w:color w:val="auto"/>
                <w:kern w:val="0"/>
                <w:szCs w:val="21"/>
                <w:highlight w:val="none"/>
              </w:rPr>
            </w:pPr>
            <w:r>
              <w:rPr>
                <w:rFonts w:hint="eastAsia"/>
                <w:snapToGrid w:val="0"/>
                <w:color w:val="auto"/>
                <w:kern w:val="0"/>
                <w:szCs w:val="21"/>
                <w:highlight w:val="none"/>
              </w:rPr>
              <w:t>1</w:t>
            </w:r>
            <w:r>
              <w:rPr>
                <w:snapToGrid w:val="0"/>
                <w:color w:val="auto"/>
                <w:kern w:val="0"/>
                <w:szCs w:val="21"/>
                <w:highlight w:val="none"/>
              </w:rPr>
              <w:t>5</w:t>
            </w:r>
          </w:p>
        </w:tc>
        <w:tc>
          <w:tcPr>
            <w:tcW w:w="668" w:type="pct"/>
            <w:gridSpan w:val="2"/>
            <w:shd w:val="clear" w:color="auto" w:fill="auto"/>
            <w:vAlign w:val="center"/>
          </w:tcPr>
          <w:p w14:paraId="4019E1CC">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.47</w:t>
            </w:r>
          </w:p>
        </w:tc>
        <w:tc>
          <w:tcPr>
            <w:tcW w:w="788" w:type="pct"/>
            <w:shd w:val="clear" w:color="auto" w:fill="auto"/>
            <w:vAlign w:val="center"/>
          </w:tcPr>
          <w:p w14:paraId="6ECA4594">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3</w:t>
            </w:r>
            <w:r>
              <w:rPr>
                <w:snapToGrid w:val="0"/>
                <w:color w:val="auto"/>
                <w:kern w:val="0"/>
                <w:szCs w:val="21"/>
                <w:highlight w:val="none"/>
              </w:rPr>
              <w:t>.7</w:t>
            </w:r>
            <w:r>
              <w:rPr>
                <w:rFonts w:hint="eastAsia"/>
                <w:snapToGrid w:val="0"/>
                <w:color w:val="auto"/>
                <w:kern w:val="0"/>
                <w:szCs w:val="21"/>
                <w:highlight w:val="none"/>
                <w:lang w:val="en-US" w:eastAsia="zh-CN"/>
              </w:rPr>
              <w:t>6</w:t>
            </w:r>
          </w:p>
        </w:tc>
      </w:tr>
      <w:tr w14:paraId="5543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restart"/>
            <w:vAlign w:val="center"/>
          </w:tcPr>
          <w:p w14:paraId="75CDCAF2">
            <w:pPr>
              <w:widowControl/>
              <w:spacing w:line="360" w:lineRule="exact"/>
              <w:jc w:val="center"/>
              <w:rPr>
                <w:color w:val="auto"/>
                <w:szCs w:val="21"/>
                <w:highlight w:val="none"/>
              </w:rPr>
            </w:pPr>
            <w:r>
              <w:rPr>
                <w:rFonts w:hint="eastAsia"/>
                <w:color w:val="auto"/>
                <w:szCs w:val="21"/>
                <w:highlight w:val="none"/>
              </w:rPr>
              <w:t>3</w:t>
            </w:r>
          </w:p>
        </w:tc>
        <w:tc>
          <w:tcPr>
            <w:tcW w:w="792" w:type="pct"/>
            <w:vMerge w:val="restart"/>
            <w:shd w:val="clear" w:color="auto" w:fill="auto"/>
            <w:vAlign w:val="center"/>
          </w:tcPr>
          <w:p w14:paraId="0BFEF0B7">
            <w:pPr>
              <w:widowControl/>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rPr>
              <w:t>DA0</w:t>
            </w:r>
            <w:r>
              <w:rPr>
                <w:rFonts w:hint="eastAsia"/>
                <w:snapToGrid w:val="0"/>
                <w:color w:val="auto"/>
                <w:kern w:val="0"/>
                <w:szCs w:val="21"/>
                <w:highlight w:val="none"/>
                <w:lang w:val="en-US" w:eastAsia="zh-CN"/>
              </w:rPr>
              <w:t>61</w:t>
            </w:r>
          </w:p>
        </w:tc>
        <w:tc>
          <w:tcPr>
            <w:tcW w:w="1148" w:type="pct"/>
            <w:gridSpan w:val="2"/>
            <w:vMerge w:val="restart"/>
            <w:shd w:val="clear" w:color="auto" w:fill="auto"/>
            <w:vAlign w:val="center"/>
          </w:tcPr>
          <w:p w14:paraId="3C81A922">
            <w:pPr>
              <w:adjustRightInd w:val="0"/>
              <w:snapToGrid w:val="0"/>
              <w:jc w:val="center"/>
              <w:rPr>
                <w:snapToGrid w:val="0"/>
                <w:color w:val="auto"/>
                <w:kern w:val="0"/>
                <w:szCs w:val="21"/>
                <w:highlight w:val="none"/>
              </w:rPr>
            </w:pPr>
            <w:r>
              <w:rPr>
                <w:rFonts w:hint="eastAsia"/>
                <w:snapToGrid w:val="0"/>
                <w:color w:val="auto"/>
                <w:kern w:val="0"/>
                <w:szCs w:val="21"/>
                <w:highlight w:val="none"/>
              </w:rPr>
              <w:t>粗品干燥废气</w:t>
            </w:r>
          </w:p>
        </w:tc>
        <w:tc>
          <w:tcPr>
            <w:tcW w:w="636" w:type="pct"/>
            <w:shd w:val="clear" w:color="auto" w:fill="auto"/>
            <w:vAlign w:val="center"/>
          </w:tcPr>
          <w:p w14:paraId="1DE5C7AE">
            <w:pPr>
              <w:widowControl/>
              <w:adjustRightInd w:val="0"/>
              <w:snapToGrid w:val="0"/>
              <w:jc w:val="center"/>
              <w:rPr>
                <w:snapToGrid w:val="0"/>
                <w:color w:val="auto"/>
                <w:kern w:val="0"/>
                <w:szCs w:val="21"/>
                <w:highlight w:val="none"/>
              </w:rPr>
            </w:pPr>
            <w:r>
              <w:rPr>
                <w:snapToGrid w:val="0"/>
                <w:color w:val="auto"/>
                <w:kern w:val="0"/>
                <w:szCs w:val="21"/>
                <w:highlight w:val="none"/>
              </w:rPr>
              <w:t>NMHC</w:t>
            </w:r>
          </w:p>
        </w:tc>
        <w:tc>
          <w:tcPr>
            <w:tcW w:w="764" w:type="pct"/>
            <w:shd w:val="clear" w:color="auto" w:fill="auto"/>
            <w:vAlign w:val="center"/>
          </w:tcPr>
          <w:p w14:paraId="6B3A1D0B">
            <w:pPr>
              <w:adjustRightInd w:val="0"/>
              <w:snapToGrid w:val="0"/>
              <w:jc w:val="center"/>
              <w:rPr>
                <w:snapToGrid w:val="0"/>
                <w:color w:val="auto"/>
                <w:kern w:val="0"/>
                <w:szCs w:val="21"/>
                <w:highlight w:val="none"/>
              </w:rPr>
            </w:pPr>
            <w:r>
              <w:rPr>
                <w:snapToGrid w:val="0"/>
                <w:color w:val="auto"/>
                <w:kern w:val="0"/>
                <w:szCs w:val="21"/>
                <w:highlight w:val="none"/>
              </w:rPr>
              <w:t>2.5</w:t>
            </w:r>
          </w:p>
        </w:tc>
        <w:tc>
          <w:tcPr>
            <w:tcW w:w="668" w:type="pct"/>
            <w:gridSpan w:val="2"/>
            <w:shd w:val="clear" w:color="auto" w:fill="auto"/>
            <w:vAlign w:val="center"/>
          </w:tcPr>
          <w:p w14:paraId="11E33C12">
            <w:pPr>
              <w:adjustRightInd w:val="0"/>
              <w:snapToGrid w:val="0"/>
              <w:jc w:val="center"/>
              <w:rPr>
                <w:snapToGrid w:val="0"/>
                <w:color w:val="auto"/>
                <w:kern w:val="0"/>
                <w:szCs w:val="21"/>
                <w:highlight w:val="none"/>
              </w:rPr>
            </w:pPr>
            <w:r>
              <w:rPr>
                <w:snapToGrid w:val="0"/>
                <w:color w:val="auto"/>
                <w:kern w:val="0"/>
                <w:szCs w:val="21"/>
                <w:highlight w:val="none"/>
              </w:rPr>
              <w:t>0.02</w:t>
            </w:r>
          </w:p>
        </w:tc>
        <w:tc>
          <w:tcPr>
            <w:tcW w:w="788" w:type="pct"/>
            <w:shd w:val="clear" w:color="auto" w:fill="auto"/>
            <w:vAlign w:val="center"/>
          </w:tcPr>
          <w:p w14:paraId="74CE1581">
            <w:pPr>
              <w:adjustRightInd w:val="0"/>
              <w:snapToGrid w:val="0"/>
              <w:jc w:val="center"/>
              <w:rPr>
                <w:snapToGrid w:val="0"/>
                <w:color w:val="auto"/>
                <w:kern w:val="0"/>
                <w:szCs w:val="21"/>
                <w:highlight w:val="none"/>
              </w:rPr>
            </w:pPr>
            <w:r>
              <w:rPr>
                <w:snapToGrid w:val="0"/>
                <w:color w:val="auto"/>
                <w:kern w:val="0"/>
                <w:szCs w:val="21"/>
                <w:highlight w:val="none"/>
              </w:rPr>
              <w:t>0.16</w:t>
            </w:r>
          </w:p>
        </w:tc>
      </w:tr>
      <w:tr w14:paraId="60CF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761213DA">
            <w:pPr>
              <w:widowControl/>
              <w:spacing w:line="360" w:lineRule="exact"/>
              <w:jc w:val="center"/>
              <w:rPr>
                <w:color w:val="auto"/>
                <w:szCs w:val="21"/>
                <w:highlight w:val="none"/>
              </w:rPr>
            </w:pPr>
          </w:p>
        </w:tc>
        <w:tc>
          <w:tcPr>
            <w:tcW w:w="792" w:type="pct"/>
            <w:vMerge w:val="continue"/>
            <w:vAlign w:val="center"/>
          </w:tcPr>
          <w:p w14:paraId="58A48A1D">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3EB0C9AA">
            <w:pPr>
              <w:widowControl/>
              <w:adjustRightInd w:val="0"/>
              <w:snapToGrid w:val="0"/>
              <w:jc w:val="center"/>
              <w:rPr>
                <w:snapToGrid w:val="0"/>
                <w:color w:val="auto"/>
                <w:kern w:val="0"/>
                <w:szCs w:val="21"/>
                <w:highlight w:val="none"/>
              </w:rPr>
            </w:pPr>
          </w:p>
        </w:tc>
        <w:tc>
          <w:tcPr>
            <w:tcW w:w="636" w:type="pct"/>
            <w:shd w:val="clear" w:color="auto" w:fill="auto"/>
            <w:vAlign w:val="center"/>
          </w:tcPr>
          <w:p w14:paraId="1BA51418">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颗粒物</w:t>
            </w:r>
          </w:p>
        </w:tc>
        <w:tc>
          <w:tcPr>
            <w:tcW w:w="764" w:type="pct"/>
            <w:shd w:val="clear" w:color="auto" w:fill="auto"/>
            <w:vAlign w:val="center"/>
          </w:tcPr>
          <w:p w14:paraId="52337E0F">
            <w:pPr>
              <w:adjustRightInd w:val="0"/>
              <w:snapToGrid w:val="0"/>
              <w:jc w:val="center"/>
              <w:rPr>
                <w:snapToGrid w:val="0"/>
                <w:color w:val="auto"/>
                <w:kern w:val="0"/>
                <w:szCs w:val="21"/>
                <w:highlight w:val="none"/>
              </w:rPr>
            </w:pPr>
            <w:r>
              <w:rPr>
                <w:rFonts w:hint="eastAsia"/>
                <w:snapToGrid w:val="0"/>
                <w:color w:val="auto"/>
                <w:kern w:val="0"/>
                <w:szCs w:val="21"/>
                <w:highlight w:val="none"/>
              </w:rPr>
              <w:t>1</w:t>
            </w:r>
            <w:r>
              <w:rPr>
                <w:snapToGrid w:val="0"/>
                <w:color w:val="auto"/>
                <w:kern w:val="0"/>
                <w:szCs w:val="21"/>
                <w:highlight w:val="none"/>
              </w:rPr>
              <w:t>0</w:t>
            </w:r>
          </w:p>
        </w:tc>
        <w:tc>
          <w:tcPr>
            <w:tcW w:w="668" w:type="pct"/>
            <w:gridSpan w:val="2"/>
            <w:shd w:val="clear" w:color="auto" w:fill="auto"/>
            <w:vAlign w:val="center"/>
          </w:tcPr>
          <w:p w14:paraId="7DF74F63">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.08</w:t>
            </w:r>
          </w:p>
        </w:tc>
        <w:tc>
          <w:tcPr>
            <w:tcW w:w="788" w:type="pct"/>
            <w:shd w:val="clear" w:color="auto" w:fill="auto"/>
            <w:vAlign w:val="center"/>
          </w:tcPr>
          <w:p w14:paraId="3B7FFE52">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0</w:t>
            </w:r>
            <w:r>
              <w:rPr>
                <w:snapToGrid w:val="0"/>
                <w:color w:val="auto"/>
                <w:kern w:val="0"/>
                <w:szCs w:val="21"/>
                <w:highlight w:val="none"/>
              </w:rPr>
              <w:t>.6</w:t>
            </w:r>
            <w:r>
              <w:rPr>
                <w:rFonts w:hint="eastAsia"/>
                <w:snapToGrid w:val="0"/>
                <w:color w:val="auto"/>
                <w:kern w:val="0"/>
                <w:szCs w:val="21"/>
                <w:highlight w:val="none"/>
                <w:lang w:val="en-US" w:eastAsia="zh-CN"/>
              </w:rPr>
              <w:t>4</w:t>
            </w:r>
          </w:p>
        </w:tc>
      </w:tr>
      <w:tr w14:paraId="1A5B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Align w:val="center"/>
          </w:tcPr>
          <w:p w14:paraId="071EE10A">
            <w:pPr>
              <w:widowControl/>
              <w:spacing w:line="360" w:lineRule="exact"/>
              <w:jc w:val="center"/>
              <w:rPr>
                <w:color w:val="auto"/>
                <w:szCs w:val="21"/>
                <w:highlight w:val="none"/>
              </w:rPr>
            </w:pPr>
            <w:r>
              <w:rPr>
                <w:rFonts w:hint="eastAsia"/>
                <w:color w:val="auto"/>
                <w:szCs w:val="21"/>
                <w:highlight w:val="none"/>
              </w:rPr>
              <w:t>6</w:t>
            </w:r>
          </w:p>
        </w:tc>
        <w:tc>
          <w:tcPr>
            <w:tcW w:w="792" w:type="pct"/>
            <w:shd w:val="clear" w:color="auto" w:fill="auto"/>
            <w:vAlign w:val="center"/>
          </w:tcPr>
          <w:p w14:paraId="4B03318C">
            <w:pPr>
              <w:widowControl/>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DA06</w:t>
            </w:r>
            <w:r>
              <w:rPr>
                <w:rFonts w:hint="eastAsia"/>
                <w:snapToGrid w:val="0"/>
                <w:color w:val="auto"/>
                <w:kern w:val="0"/>
                <w:szCs w:val="21"/>
                <w:highlight w:val="none"/>
                <w:lang w:val="en-US" w:eastAsia="zh-CN"/>
              </w:rPr>
              <w:t>2</w:t>
            </w:r>
          </w:p>
        </w:tc>
        <w:tc>
          <w:tcPr>
            <w:tcW w:w="1148" w:type="pct"/>
            <w:gridSpan w:val="2"/>
            <w:shd w:val="clear" w:color="auto" w:fill="auto"/>
            <w:vAlign w:val="center"/>
          </w:tcPr>
          <w:p w14:paraId="60CB995E">
            <w:pPr>
              <w:adjustRightInd w:val="0"/>
              <w:snapToGrid w:val="0"/>
              <w:jc w:val="center"/>
              <w:rPr>
                <w:snapToGrid w:val="0"/>
                <w:color w:val="auto"/>
                <w:kern w:val="0"/>
                <w:szCs w:val="21"/>
                <w:highlight w:val="none"/>
              </w:rPr>
            </w:pPr>
            <w:r>
              <w:rPr>
                <w:rFonts w:hint="eastAsia"/>
                <w:snapToGrid w:val="0"/>
                <w:color w:val="auto"/>
                <w:kern w:val="0"/>
                <w:szCs w:val="21"/>
                <w:highlight w:val="none"/>
              </w:rPr>
              <w:t>成品干燥废气</w:t>
            </w:r>
          </w:p>
        </w:tc>
        <w:tc>
          <w:tcPr>
            <w:tcW w:w="636" w:type="pct"/>
            <w:shd w:val="clear" w:color="auto" w:fill="auto"/>
            <w:vAlign w:val="center"/>
          </w:tcPr>
          <w:p w14:paraId="111BF683">
            <w:pPr>
              <w:widowControl/>
              <w:adjustRightInd w:val="0"/>
              <w:snapToGrid w:val="0"/>
              <w:jc w:val="center"/>
              <w:rPr>
                <w:snapToGrid w:val="0"/>
                <w:color w:val="auto"/>
                <w:kern w:val="0"/>
                <w:szCs w:val="21"/>
                <w:highlight w:val="none"/>
              </w:rPr>
            </w:pPr>
            <w:r>
              <w:rPr>
                <w:rFonts w:hint="eastAsia"/>
                <w:snapToGrid w:val="0"/>
                <w:color w:val="auto"/>
                <w:kern w:val="0"/>
                <w:szCs w:val="21"/>
                <w:highlight w:val="none"/>
              </w:rPr>
              <w:t>颗粒物</w:t>
            </w:r>
          </w:p>
        </w:tc>
        <w:tc>
          <w:tcPr>
            <w:tcW w:w="764" w:type="pct"/>
            <w:shd w:val="clear" w:color="auto" w:fill="auto"/>
            <w:vAlign w:val="center"/>
          </w:tcPr>
          <w:p w14:paraId="6503D643">
            <w:pPr>
              <w:adjustRightInd w:val="0"/>
              <w:snapToGrid w:val="0"/>
              <w:jc w:val="center"/>
              <w:rPr>
                <w:snapToGrid w:val="0"/>
                <w:color w:val="auto"/>
                <w:kern w:val="0"/>
                <w:szCs w:val="21"/>
                <w:highlight w:val="none"/>
              </w:rPr>
            </w:pPr>
            <w:r>
              <w:rPr>
                <w:rFonts w:hint="eastAsia"/>
                <w:snapToGrid w:val="0"/>
                <w:color w:val="auto"/>
                <w:kern w:val="0"/>
                <w:szCs w:val="21"/>
                <w:highlight w:val="none"/>
              </w:rPr>
              <w:t>2</w:t>
            </w:r>
            <w:r>
              <w:rPr>
                <w:snapToGrid w:val="0"/>
                <w:color w:val="auto"/>
                <w:kern w:val="0"/>
                <w:szCs w:val="21"/>
                <w:highlight w:val="none"/>
              </w:rPr>
              <w:t>0</w:t>
            </w:r>
          </w:p>
        </w:tc>
        <w:tc>
          <w:tcPr>
            <w:tcW w:w="668" w:type="pct"/>
            <w:gridSpan w:val="2"/>
            <w:shd w:val="clear" w:color="auto" w:fill="auto"/>
            <w:vAlign w:val="center"/>
          </w:tcPr>
          <w:p w14:paraId="6B6161EF">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.11</w:t>
            </w:r>
          </w:p>
        </w:tc>
        <w:tc>
          <w:tcPr>
            <w:tcW w:w="788" w:type="pct"/>
            <w:shd w:val="clear" w:color="auto" w:fill="auto"/>
            <w:vAlign w:val="center"/>
          </w:tcPr>
          <w:p w14:paraId="02D9E936">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0</w:t>
            </w:r>
            <w:r>
              <w:rPr>
                <w:snapToGrid w:val="0"/>
                <w:color w:val="auto"/>
                <w:kern w:val="0"/>
                <w:szCs w:val="21"/>
                <w:highlight w:val="none"/>
              </w:rPr>
              <w:t>.8</w:t>
            </w:r>
            <w:r>
              <w:rPr>
                <w:rFonts w:hint="eastAsia"/>
                <w:snapToGrid w:val="0"/>
                <w:color w:val="auto"/>
                <w:kern w:val="0"/>
                <w:szCs w:val="21"/>
                <w:highlight w:val="none"/>
                <w:lang w:val="en-US" w:eastAsia="zh-CN"/>
              </w:rPr>
              <w:t>8</w:t>
            </w:r>
          </w:p>
        </w:tc>
      </w:tr>
      <w:tr w14:paraId="6469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restart"/>
            <w:vAlign w:val="center"/>
          </w:tcPr>
          <w:p w14:paraId="4EBCA34F">
            <w:pPr>
              <w:widowControl/>
              <w:spacing w:line="360" w:lineRule="exact"/>
              <w:jc w:val="center"/>
              <w:rPr>
                <w:color w:val="auto"/>
                <w:szCs w:val="21"/>
                <w:highlight w:val="none"/>
              </w:rPr>
            </w:pPr>
            <w:r>
              <w:rPr>
                <w:rFonts w:hint="eastAsia"/>
                <w:color w:val="auto"/>
                <w:szCs w:val="21"/>
                <w:highlight w:val="none"/>
              </w:rPr>
              <w:t>7</w:t>
            </w:r>
          </w:p>
        </w:tc>
        <w:tc>
          <w:tcPr>
            <w:tcW w:w="792" w:type="pct"/>
            <w:vMerge w:val="restart"/>
            <w:shd w:val="clear" w:color="auto" w:fill="auto"/>
            <w:vAlign w:val="center"/>
          </w:tcPr>
          <w:p w14:paraId="546CAEC9">
            <w:pPr>
              <w:pStyle w:val="768"/>
              <w:adjustRightInd w:val="0"/>
              <w:snapToGrid w:val="0"/>
              <w:rPr>
                <w:rFonts w:hint="eastAsia" w:eastAsia="宋体" w:cs="Times New Roman"/>
                <w:snapToGrid w:val="0"/>
                <w:color w:val="auto"/>
                <w:kern w:val="0"/>
                <w:szCs w:val="21"/>
                <w:highlight w:val="none"/>
                <w:lang w:eastAsia="zh-CN"/>
              </w:rPr>
            </w:pPr>
            <w:r>
              <w:rPr>
                <w:rFonts w:cs="Times New Roman"/>
                <w:snapToGrid w:val="0"/>
                <w:color w:val="auto"/>
                <w:kern w:val="0"/>
                <w:szCs w:val="21"/>
                <w:highlight w:val="none"/>
              </w:rPr>
              <w:t>DA0</w:t>
            </w:r>
            <w:r>
              <w:rPr>
                <w:rFonts w:hint="eastAsia" w:cs="Times New Roman"/>
                <w:snapToGrid w:val="0"/>
                <w:color w:val="auto"/>
                <w:kern w:val="0"/>
                <w:szCs w:val="21"/>
                <w:highlight w:val="none"/>
              </w:rPr>
              <w:t>6</w:t>
            </w:r>
            <w:r>
              <w:rPr>
                <w:rFonts w:hint="eastAsia" w:cs="Times New Roman"/>
                <w:snapToGrid w:val="0"/>
                <w:color w:val="auto"/>
                <w:kern w:val="0"/>
                <w:szCs w:val="21"/>
                <w:highlight w:val="none"/>
                <w:lang w:val="en-US" w:eastAsia="zh-CN"/>
              </w:rPr>
              <w:t>3</w:t>
            </w:r>
          </w:p>
        </w:tc>
        <w:tc>
          <w:tcPr>
            <w:tcW w:w="1148" w:type="pct"/>
            <w:gridSpan w:val="2"/>
            <w:vMerge w:val="restart"/>
            <w:shd w:val="clear" w:color="auto" w:fill="auto"/>
            <w:vAlign w:val="center"/>
          </w:tcPr>
          <w:p w14:paraId="484F6C67">
            <w:pPr>
              <w:adjustRightInd w:val="0"/>
              <w:snapToGrid w:val="0"/>
              <w:jc w:val="center"/>
              <w:rPr>
                <w:snapToGrid w:val="0"/>
                <w:color w:val="auto"/>
                <w:kern w:val="0"/>
                <w:szCs w:val="21"/>
                <w:highlight w:val="none"/>
              </w:rPr>
            </w:pPr>
            <w:r>
              <w:rPr>
                <w:rFonts w:hint="eastAsia"/>
                <w:snapToGrid w:val="0"/>
                <w:color w:val="auto"/>
                <w:kern w:val="0"/>
                <w:szCs w:val="21"/>
                <w:highlight w:val="none"/>
              </w:rPr>
              <w:t>活性炭再生炉烟气</w:t>
            </w:r>
          </w:p>
        </w:tc>
        <w:tc>
          <w:tcPr>
            <w:tcW w:w="636" w:type="pct"/>
            <w:shd w:val="clear" w:color="auto" w:fill="auto"/>
            <w:vAlign w:val="center"/>
          </w:tcPr>
          <w:p w14:paraId="657244DD">
            <w:pPr>
              <w:widowControl/>
              <w:adjustRightInd w:val="0"/>
              <w:snapToGrid w:val="0"/>
              <w:jc w:val="center"/>
              <w:rPr>
                <w:snapToGrid w:val="0"/>
                <w:color w:val="auto"/>
                <w:kern w:val="0"/>
                <w:szCs w:val="21"/>
                <w:highlight w:val="none"/>
              </w:rPr>
            </w:pPr>
            <w:r>
              <w:rPr>
                <w:snapToGrid w:val="0"/>
                <w:color w:val="auto"/>
                <w:kern w:val="0"/>
                <w:szCs w:val="21"/>
                <w:highlight w:val="none"/>
              </w:rPr>
              <w:t>氮氧化物</w:t>
            </w:r>
          </w:p>
        </w:tc>
        <w:tc>
          <w:tcPr>
            <w:tcW w:w="764" w:type="pct"/>
            <w:shd w:val="clear" w:color="auto" w:fill="auto"/>
            <w:vAlign w:val="center"/>
          </w:tcPr>
          <w:p w14:paraId="323D8B31">
            <w:pPr>
              <w:adjustRightInd w:val="0"/>
              <w:snapToGrid w:val="0"/>
              <w:jc w:val="center"/>
              <w:rPr>
                <w:snapToGrid w:val="0"/>
                <w:color w:val="auto"/>
                <w:kern w:val="0"/>
                <w:szCs w:val="21"/>
                <w:highlight w:val="none"/>
              </w:rPr>
            </w:pPr>
            <w:r>
              <w:rPr>
                <w:rFonts w:hint="eastAsia"/>
                <w:snapToGrid w:val="0"/>
                <w:color w:val="auto"/>
                <w:kern w:val="0"/>
                <w:szCs w:val="21"/>
                <w:highlight w:val="none"/>
              </w:rPr>
              <w:t>5</w:t>
            </w:r>
            <w:r>
              <w:rPr>
                <w:snapToGrid w:val="0"/>
                <w:color w:val="auto"/>
                <w:kern w:val="0"/>
                <w:szCs w:val="21"/>
                <w:highlight w:val="none"/>
              </w:rPr>
              <w:t>9.6</w:t>
            </w:r>
          </w:p>
        </w:tc>
        <w:tc>
          <w:tcPr>
            <w:tcW w:w="668" w:type="pct"/>
            <w:gridSpan w:val="2"/>
            <w:shd w:val="clear" w:color="auto" w:fill="auto"/>
            <w:vAlign w:val="center"/>
          </w:tcPr>
          <w:p w14:paraId="0078ACBF">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.41</w:t>
            </w:r>
          </w:p>
        </w:tc>
        <w:tc>
          <w:tcPr>
            <w:tcW w:w="788" w:type="pct"/>
            <w:shd w:val="clear" w:color="auto" w:fill="auto"/>
            <w:vAlign w:val="center"/>
          </w:tcPr>
          <w:p w14:paraId="46F435A1">
            <w:pPr>
              <w:adjustRightInd w:val="0"/>
              <w:snapToGrid w:val="0"/>
              <w:jc w:val="center"/>
              <w:rPr>
                <w:snapToGrid w:val="0"/>
                <w:color w:val="auto"/>
                <w:kern w:val="0"/>
                <w:szCs w:val="21"/>
                <w:highlight w:val="none"/>
              </w:rPr>
            </w:pPr>
            <w:r>
              <w:rPr>
                <w:rFonts w:hint="eastAsia"/>
                <w:snapToGrid w:val="0"/>
                <w:color w:val="auto"/>
                <w:kern w:val="0"/>
                <w:szCs w:val="21"/>
                <w:highlight w:val="none"/>
              </w:rPr>
              <w:t>3</w:t>
            </w:r>
            <w:r>
              <w:rPr>
                <w:snapToGrid w:val="0"/>
                <w:color w:val="auto"/>
                <w:kern w:val="0"/>
                <w:szCs w:val="21"/>
                <w:highlight w:val="none"/>
              </w:rPr>
              <w:t>.28</w:t>
            </w:r>
          </w:p>
        </w:tc>
      </w:tr>
      <w:tr w14:paraId="1C57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6169E3EB">
            <w:pPr>
              <w:widowControl/>
              <w:spacing w:line="360" w:lineRule="exact"/>
              <w:jc w:val="center"/>
              <w:rPr>
                <w:color w:val="auto"/>
                <w:szCs w:val="21"/>
                <w:highlight w:val="none"/>
              </w:rPr>
            </w:pPr>
          </w:p>
        </w:tc>
        <w:tc>
          <w:tcPr>
            <w:tcW w:w="792" w:type="pct"/>
            <w:vMerge w:val="continue"/>
            <w:vAlign w:val="center"/>
          </w:tcPr>
          <w:p w14:paraId="486072DB">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67D2D57A">
            <w:pPr>
              <w:widowControl/>
              <w:adjustRightInd w:val="0"/>
              <w:snapToGrid w:val="0"/>
              <w:jc w:val="center"/>
              <w:rPr>
                <w:snapToGrid w:val="0"/>
                <w:color w:val="auto"/>
                <w:kern w:val="0"/>
                <w:szCs w:val="21"/>
                <w:highlight w:val="none"/>
              </w:rPr>
            </w:pPr>
          </w:p>
        </w:tc>
        <w:tc>
          <w:tcPr>
            <w:tcW w:w="636" w:type="pct"/>
            <w:shd w:val="clear" w:color="auto" w:fill="auto"/>
            <w:vAlign w:val="center"/>
          </w:tcPr>
          <w:p w14:paraId="58A374CF">
            <w:pPr>
              <w:widowControl/>
              <w:adjustRightInd w:val="0"/>
              <w:snapToGrid w:val="0"/>
              <w:jc w:val="center"/>
              <w:rPr>
                <w:snapToGrid w:val="0"/>
                <w:color w:val="auto"/>
                <w:kern w:val="0"/>
                <w:szCs w:val="21"/>
                <w:highlight w:val="none"/>
              </w:rPr>
            </w:pPr>
            <w:r>
              <w:rPr>
                <w:snapToGrid w:val="0"/>
                <w:color w:val="auto"/>
                <w:kern w:val="0"/>
                <w:szCs w:val="21"/>
                <w:highlight w:val="none"/>
              </w:rPr>
              <w:t>二氧化硫</w:t>
            </w:r>
          </w:p>
        </w:tc>
        <w:tc>
          <w:tcPr>
            <w:tcW w:w="764" w:type="pct"/>
            <w:shd w:val="clear" w:color="auto" w:fill="auto"/>
            <w:vAlign w:val="center"/>
          </w:tcPr>
          <w:p w14:paraId="550DD579">
            <w:pPr>
              <w:adjustRightInd w:val="0"/>
              <w:snapToGrid w:val="0"/>
              <w:jc w:val="center"/>
              <w:rPr>
                <w:snapToGrid w:val="0"/>
                <w:color w:val="auto"/>
                <w:kern w:val="0"/>
                <w:szCs w:val="21"/>
                <w:highlight w:val="none"/>
              </w:rPr>
            </w:pPr>
            <w:r>
              <w:rPr>
                <w:rFonts w:hint="eastAsia"/>
                <w:snapToGrid w:val="0"/>
                <w:color w:val="auto"/>
                <w:kern w:val="0"/>
                <w:szCs w:val="21"/>
                <w:highlight w:val="none"/>
              </w:rPr>
              <w:t>4</w:t>
            </w:r>
            <w:r>
              <w:rPr>
                <w:snapToGrid w:val="0"/>
                <w:color w:val="auto"/>
                <w:kern w:val="0"/>
                <w:szCs w:val="21"/>
                <w:highlight w:val="none"/>
              </w:rPr>
              <w:t>7.62</w:t>
            </w:r>
          </w:p>
        </w:tc>
        <w:tc>
          <w:tcPr>
            <w:tcW w:w="668" w:type="pct"/>
            <w:gridSpan w:val="2"/>
            <w:shd w:val="clear" w:color="auto" w:fill="auto"/>
            <w:vAlign w:val="center"/>
          </w:tcPr>
          <w:p w14:paraId="194BED31">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.33</w:t>
            </w:r>
          </w:p>
        </w:tc>
        <w:tc>
          <w:tcPr>
            <w:tcW w:w="788" w:type="pct"/>
            <w:shd w:val="clear" w:color="auto" w:fill="auto"/>
            <w:vAlign w:val="center"/>
          </w:tcPr>
          <w:p w14:paraId="15EAE3E7">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2</w:t>
            </w:r>
            <w:r>
              <w:rPr>
                <w:snapToGrid w:val="0"/>
                <w:color w:val="auto"/>
                <w:kern w:val="0"/>
                <w:szCs w:val="21"/>
                <w:highlight w:val="none"/>
              </w:rPr>
              <w:t>.6</w:t>
            </w:r>
            <w:r>
              <w:rPr>
                <w:rFonts w:hint="eastAsia"/>
                <w:snapToGrid w:val="0"/>
                <w:color w:val="auto"/>
                <w:kern w:val="0"/>
                <w:szCs w:val="21"/>
                <w:highlight w:val="none"/>
                <w:lang w:val="en-US" w:eastAsia="zh-CN"/>
              </w:rPr>
              <w:t>4</w:t>
            </w:r>
          </w:p>
        </w:tc>
      </w:tr>
      <w:tr w14:paraId="4DDC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02" w:type="pct"/>
            <w:vMerge w:val="continue"/>
            <w:vAlign w:val="center"/>
          </w:tcPr>
          <w:p w14:paraId="211A14EB">
            <w:pPr>
              <w:widowControl/>
              <w:spacing w:line="360" w:lineRule="exact"/>
              <w:jc w:val="center"/>
              <w:rPr>
                <w:color w:val="auto"/>
                <w:szCs w:val="21"/>
                <w:highlight w:val="none"/>
              </w:rPr>
            </w:pPr>
          </w:p>
        </w:tc>
        <w:tc>
          <w:tcPr>
            <w:tcW w:w="792" w:type="pct"/>
            <w:vMerge w:val="continue"/>
            <w:vAlign w:val="center"/>
          </w:tcPr>
          <w:p w14:paraId="712CE96D">
            <w:pPr>
              <w:widowControl/>
              <w:spacing w:line="360" w:lineRule="exact"/>
              <w:jc w:val="center"/>
              <w:rPr>
                <w:color w:val="auto"/>
                <w:szCs w:val="21"/>
                <w:highlight w:val="none"/>
              </w:rPr>
            </w:pPr>
          </w:p>
        </w:tc>
        <w:tc>
          <w:tcPr>
            <w:tcW w:w="1148" w:type="pct"/>
            <w:gridSpan w:val="2"/>
            <w:vMerge w:val="continue"/>
            <w:shd w:val="clear" w:color="auto" w:fill="auto"/>
            <w:vAlign w:val="center"/>
          </w:tcPr>
          <w:p w14:paraId="13AE13C8">
            <w:pPr>
              <w:widowControl/>
              <w:adjustRightInd w:val="0"/>
              <w:snapToGrid w:val="0"/>
              <w:jc w:val="center"/>
              <w:rPr>
                <w:snapToGrid w:val="0"/>
                <w:color w:val="auto"/>
                <w:kern w:val="0"/>
                <w:szCs w:val="21"/>
                <w:highlight w:val="none"/>
              </w:rPr>
            </w:pPr>
          </w:p>
        </w:tc>
        <w:tc>
          <w:tcPr>
            <w:tcW w:w="636" w:type="pct"/>
            <w:shd w:val="clear" w:color="auto" w:fill="auto"/>
            <w:vAlign w:val="center"/>
          </w:tcPr>
          <w:p w14:paraId="5B660F35">
            <w:pPr>
              <w:widowControl/>
              <w:adjustRightInd w:val="0"/>
              <w:snapToGrid w:val="0"/>
              <w:jc w:val="center"/>
              <w:rPr>
                <w:snapToGrid w:val="0"/>
                <w:color w:val="auto"/>
                <w:kern w:val="0"/>
                <w:szCs w:val="21"/>
                <w:highlight w:val="none"/>
              </w:rPr>
            </w:pPr>
            <w:r>
              <w:rPr>
                <w:snapToGrid w:val="0"/>
                <w:color w:val="auto"/>
                <w:kern w:val="0"/>
                <w:szCs w:val="21"/>
                <w:highlight w:val="none"/>
              </w:rPr>
              <w:t>颗粒物</w:t>
            </w:r>
          </w:p>
        </w:tc>
        <w:tc>
          <w:tcPr>
            <w:tcW w:w="764" w:type="pct"/>
            <w:shd w:val="clear" w:color="auto" w:fill="auto"/>
            <w:vAlign w:val="center"/>
          </w:tcPr>
          <w:p w14:paraId="3D691D26">
            <w:pPr>
              <w:adjustRightInd w:val="0"/>
              <w:snapToGrid w:val="0"/>
              <w:jc w:val="center"/>
              <w:rPr>
                <w:snapToGrid w:val="0"/>
                <w:color w:val="auto"/>
                <w:kern w:val="0"/>
                <w:szCs w:val="21"/>
                <w:highlight w:val="none"/>
              </w:rPr>
            </w:pPr>
            <w:r>
              <w:rPr>
                <w:rFonts w:hint="eastAsia"/>
                <w:snapToGrid w:val="0"/>
                <w:color w:val="auto"/>
                <w:kern w:val="0"/>
                <w:szCs w:val="21"/>
                <w:highlight w:val="none"/>
              </w:rPr>
              <w:t>9</w:t>
            </w:r>
            <w:r>
              <w:rPr>
                <w:snapToGrid w:val="0"/>
                <w:color w:val="auto"/>
                <w:kern w:val="0"/>
                <w:szCs w:val="21"/>
                <w:highlight w:val="none"/>
              </w:rPr>
              <w:t>.52</w:t>
            </w:r>
          </w:p>
        </w:tc>
        <w:tc>
          <w:tcPr>
            <w:tcW w:w="668" w:type="pct"/>
            <w:gridSpan w:val="2"/>
            <w:shd w:val="clear" w:color="auto" w:fill="auto"/>
            <w:vAlign w:val="center"/>
          </w:tcPr>
          <w:p w14:paraId="77CBD360">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.07</w:t>
            </w:r>
          </w:p>
        </w:tc>
        <w:tc>
          <w:tcPr>
            <w:tcW w:w="788" w:type="pct"/>
            <w:shd w:val="clear" w:color="auto" w:fill="auto"/>
            <w:vAlign w:val="center"/>
          </w:tcPr>
          <w:p w14:paraId="02B0DBD2">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0</w:t>
            </w:r>
            <w:r>
              <w:rPr>
                <w:snapToGrid w:val="0"/>
                <w:color w:val="auto"/>
                <w:kern w:val="0"/>
                <w:szCs w:val="21"/>
                <w:highlight w:val="none"/>
              </w:rPr>
              <w:t>.5</w:t>
            </w:r>
            <w:r>
              <w:rPr>
                <w:rFonts w:hint="eastAsia"/>
                <w:snapToGrid w:val="0"/>
                <w:color w:val="auto"/>
                <w:kern w:val="0"/>
                <w:szCs w:val="21"/>
                <w:highlight w:val="none"/>
                <w:lang w:val="en-US" w:eastAsia="zh-CN"/>
              </w:rPr>
              <w:t>6</w:t>
            </w:r>
          </w:p>
        </w:tc>
      </w:tr>
      <w:tr w14:paraId="64D3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63" w:hRule="atLeast"/>
        </w:trPr>
        <w:tc>
          <w:tcPr>
            <w:tcW w:w="5000" w:type="pct"/>
            <w:gridSpan w:val="9"/>
            <w:vAlign w:val="center"/>
          </w:tcPr>
          <w:p w14:paraId="3972BEF3">
            <w:pPr>
              <w:widowControl/>
              <w:spacing w:line="360" w:lineRule="exact"/>
              <w:jc w:val="center"/>
              <w:rPr>
                <w:color w:val="auto"/>
                <w:szCs w:val="21"/>
                <w:highlight w:val="none"/>
              </w:rPr>
            </w:pPr>
            <w:r>
              <w:rPr>
                <w:color w:val="auto"/>
                <w:szCs w:val="21"/>
                <w:highlight w:val="none"/>
              </w:rPr>
              <w:t>有组织排放总计</w:t>
            </w:r>
          </w:p>
        </w:tc>
      </w:tr>
      <w:tr w14:paraId="6EB2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restart"/>
            <w:vAlign w:val="center"/>
          </w:tcPr>
          <w:p w14:paraId="68C5775B">
            <w:pPr>
              <w:widowControl/>
              <w:spacing w:line="360" w:lineRule="exact"/>
              <w:jc w:val="center"/>
              <w:rPr>
                <w:color w:val="auto"/>
                <w:szCs w:val="21"/>
                <w:highlight w:val="none"/>
              </w:rPr>
            </w:pPr>
            <w:r>
              <w:rPr>
                <w:color w:val="auto"/>
                <w:szCs w:val="21"/>
                <w:highlight w:val="none"/>
              </w:rPr>
              <w:t>全厂有组织排放总计</w:t>
            </w:r>
          </w:p>
        </w:tc>
        <w:tc>
          <w:tcPr>
            <w:tcW w:w="2041" w:type="pct"/>
            <w:gridSpan w:val="4"/>
            <w:vAlign w:val="center"/>
          </w:tcPr>
          <w:p w14:paraId="6D4E7551">
            <w:pPr>
              <w:widowControl/>
              <w:spacing w:line="360" w:lineRule="exact"/>
              <w:jc w:val="center"/>
              <w:rPr>
                <w:color w:val="auto"/>
                <w:szCs w:val="21"/>
                <w:highlight w:val="none"/>
              </w:rPr>
            </w:pPr>
            <w:r>
              <w:rPr>
                <w:color w:val="auto"/>
                <w:szCs w:val="21"/>
                <w:highlight w:val="none"/>
              </w:rPr>
              <w:t>颗粒物</w:t>
            </w:r>
          </w:p>
        </w:tc>
        <w:tc>
          <w:tcPr>
            <w:tcW w:w="834" w:type="pct"/>
            <w:gridSpan w:val="2"/>
            <w:vAlign w:val="center"/>
          </w:tcPr>
          <w:p w14:paraId="7B6EE596">
            <w:pPr>
              <w:spacing w:line="360" w:lineRule="exact"/>
              <w:jc w:val="center"/>
              <w:rPr>
                <w:rFonts w:hint="default" w:eastAsia="宋体"/>
                <w:color w:val="auto"/>
                <w:kern w:val="0"/>
                <w:highlight w:val="none"/>
                <w:lang w:val="en-US" w:eastAsia="zh-CN"/>
              </w:rPr>
            </w:pPr>
            <w:r>
              <w:rPr>
                <w:rFonts w:hint="eastAsia"/>
                <w:color w:val="auto"/>
                <w:kern w:val="0"/>
                <w:szCs w:val="21"/>
                <w:highlight w:val="none"/>
                <w:lang w:val="en-US" w:eastAsia="zh-CN"/>
              </w:rPr>
              <w:t>10.56</w:t>
            </w:r>
          </w:p>
        </w:tc>
      </w:tr>
      <w:tr w14:paraId="2F12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continue"/>
            <w:vAlign w:val="center"/>
          </w:tcPr>
          <w:p w14:paraId="3877FBD1">
            <w:pPr>
              <w:widowControl/>
              <w:spacing w:line="360" w:lineRule="exact"/>
              <w:jc w:val="center"/>
              <w:rPr>
                <w:color w:val="auto"/>
                <w:szCs w:val="21"/>
                <w:highlight w:val="none"/>
              </w:rPr>
            </w:pPr>
          </w:p>
        </w:tc>
        <w:tc>
          <w:tcPr>
            <w:tcW w:w="2041" w:type="pct"/>
            <w:gridSpan w:val="4"/>
            <w:vAlign w:val="center"/>
          </w:tcPr>
          <w:p w14:paraId="66ED258C">
            <w:pPr>
              <w:widowControl/>
              <w:spacing w:line="360" w:lineRule="exact"/>
              <w:jc w:val="center"/>
              <w:rPr>
                <w:color w:val="auto"/>
                <w:szCs w:val="21"/>
                <w:highlight w:val="none"/>
              </w:rPr>
            </w:pPr>
            <w:r>
              <w:rPr>
                <w:color w:val="auto"/>
                <w:szCs w:val="21"/>
                <w:highlight w:val="none"/>
              </w:rPr>
              <w:t>二氧化硫</w:t>
            </w:r>
          </w:p>
        </w:tc>
        <w:tc>
          <w:tcPr>
            <w:tcW w:w="834" w:type="pct"/>
            <w:gridSpan w:val="2"/>
            <w:vAlign w:val="center"/>
          </w:tcPr>
          <w:p w14:paraId="6CF0F775">
            <w:pPr>
              <w:spacing w:line="360" w:lineRule="exact"/>
              <w:jc w:val="center"/>
              <w:rPr>
                <w:rFonts w:hint="default" w:eastAsia="宋体"/>
                <w:color w:val="auto"/>
                <w:kern w:val="0"/>
                <w:highlight w:val="none"/>
                <w:lang w:val="en-US" w:eastAsia="zh-CN"/>
              </w:rPr>
            </w:pPr>
            <w:r>
              <w:rPr>
                <w:rFonts w:hint="eastAsia"/>
                <w:color w:val="auto"/>
                <w:kern w:val="0"/>
                <w:szCs w:val="21"/>
                <w:highlight w:val="none"/>
                <w:lang w:val="en-US" w:eastAsia="zh-CN"/>
              </w:rPr>
              <w:t>2.64</w:t>
            </w:r>
          </w:p>
        </w:tc>
      </w:tr>
      <w:tr w14:paraId="5EEA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continue"/>
            <w:vAlign w:val="center"/>
          </w:tcPr>
          <w:p w14:paraId="5B0E5EBF">
            <w:pPr>
              <w:widowControl/>
              <w:spacing w:line="360" w:lineRule="exact"/>
              <w:jc w:val="center"/>
              <w:rPr>
                <w:color w:val="auto"/>
                <w:szCs w:val="21"/>
                <w:highlight w:val="none"/>
              </w:rPr>
            </w:pPr>
          </w:p>
        </w:tc>
        <w:tc>
          <w:tcPr>
            <w:tcW w:w="2041" w:type="pct"/>
            <w:gridSpan w:val="4"/>
            <w:vAlign w:val="center"/>
          </w:tcPr>
          <w:p w14:paraId="445BA52F">
            <w:pPr>
              <w:widowControl/>
              <w:spacing w:line="360" w:lineRule="exact"/>
              <w:jc w:val="center"/>
              <w:rPr>
                <w:color w:val="auto"/>
                <w:szCs w:val="21"/>
                <w:highlight w:val="none"/>
              </w:rPr>
            </w:pPr>
            <w:r>
              <w:rPr>
                <w:color w:val="auto"/>
                <w:szCs w:val="21"/>
                <w:highlight w:val="none"/>
              </w:rPr>
              <w:t>氮氧化物</w:t>
            </w:r>
          </w:p>
        </w:tc>
        <w:tc>
          <w:tcPr>
            <w:tcW w:w="834" w:type="pct"/>
            <w:gridSpan w:val="2"/>
            <w:vAlign w:val="center"/>
          </w:tcPr>
          <w:p w14:paraId="7E8EEE6A">
            <w:pPr>
              <w:spacing w:line="360" w:lineRule="exact"/>
              <w:jc w:val="center"/>
              <w:rPr>
                <w:rFonts w:hint="default" w:eastAsia="宋体"/>
                <w:color w:val="auto"/>
                <w:kern w:val="0"/>
                <w:highlight w:val="none"/>
                <w:lang w:val="en-US" w:eastAsia="zh-CN"/>
              </w:rPr>
            </w:pPr>
            <w:r>
              <w:rPr>
                <w:rFonts w:hint="eastAsia"/>
                <w:color w:val="auto"/>
                <w:kern w:val="0"/>
                <w:szCs w:val="21"/>
                <w:highlight w:val="none"/>
                <w:lang w:val="en-US" w:eastAsia="zh-CN"/>
              </w:rPr>
              <w:t>3.28</w:t>
            </w:r>
          </w:p>
        </w:tc>
      </w:tr>
      <w:tr w14:paraId="023B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continue"/>
            <w:vAlign w:val="center"/>
          </w:tcPr>
          <w:p w14:paraId="0AEC2A44">
            <w:pPr>
              <w:widowControl/>
              <w:spacing w:line="360" w:lineRule="exact"/>
              <w:jc w:val="center"/>
              <w:rPr>
                <w:color w:val="auto"/>
                <w:szCs w:val="21"/>
                <w:highlight w:val="none"/>
              </w:rPr>
            </w:pPr>
          </w:p>
        </w:tc>
        <w:tc>
          <w:tcPr>
            <w:tcW w:w="2041" w:type="pct"/>
            <w:gridSpan w:val="4"/>
            <w:vAlign w:val="center"/>
          </w:tcPr>
          <w:p w14:paraId="1AC64171">
            <w:pPr>
              <w:pStyle w:val="412"/>
              <w:spacing w:line="360" w:lineRule="exact"/>
              <w:ind w:firstLine="0" w:firstLineChars="0"/>
              <w:rPr>
                <w:rFonts w:cs="Times New Roman"/>
                <w:color w:val="auto"/>
                <w:sz w:val="21"/>
                <w:szCs w:val="21"/>
                <w:highlight w:val="none"/>
              </w:rPr>
            </w:pPr>
            <w:r>
              <w:rPr>
                <w:rFonts w:hint="eastAsia" w:ascii="Times New Roman" w:hAnsi="Times New Roman" w:eastAsia="宋体" w:cs="Times New Roman"/>
                <w:b w:val="0"/>
                <w:color w:val="auto"/>
                <w:sz w:val="21"/>
                <w:szCs w:val="21"/>
                <w:highlight w:val="none"/>
              </w:rPr>
              <w:t>NMHC</w:t>
            </w:r>
          </w:p>
        </w:tc>
        <w:tc>
          <w:tcPr>
            <w:tcW w:w="834" w:type="pct"/>
            <w:gridSpan w:val="2"/>
            <w:vAlign w:val="center"/>
          </w:tcPr>
          <w:p w14:paraId="3308B108">
            <w:pPr>
              <w:spacing w:line="360" w:lineRule="exact"/>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2.56</w:t>
            </w:r>
          </w:p>
        </w:tc>
      </w:tr>
      <w:tr w14:paraId="7833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continue"/>
            <w:vAlign w:val="center"/>
          </w:tcPr>
          <w:p w14:paraId="3F0213B4">
            <w:pPr>
              <w:widowControl/>
              <w:spacing w:line="360" w:lineRule="exact"/>
              <w:jc w:val="center"/>
              <w:rPr>
                <w:color w:val="auto"/>
                <w:szCs w:val="21"/>
                <w:highlight w:val="none"/>
              </w:rPr>
            </w:pPr>
          </w:p>
        </w:tc>
        <w:tc>
          <w:tcPr>
            <w:tcW w:w="2041" w:type="pct"/>
            <w:gridSpan w:val="4"/>
            <w:vAlign w:val="center"/>
          </w:tcPr>
          <w:p w14:paraId="11031B87">
            <w:pPr>
              <w:pStyle w:val="412"/>
              <w:spacing w:line="360" w:lineRule="exact"/>
              <w:ind w:firstLine="0" w:firstLineChars="0"/>
              <w:rPr>
                <w:rFonts w:cs="Times New Roman"/>
                <w:color w:val="auto"/>
                <w:sz w:val="21"/>
                <w:szCs w:val="21"/>
                <w:highlight w:val="none"/>
              </w:rPr>
            </w:pPr>
            <w:r>
              <w:rPr>
                <w:rFonts w:hint="eastAsia" w:ascii="Times New Roman" w:hAnsi="Times New Roman" w:eastAsia="宋体" w:cs="Times New Roman"/>
                <w:b w:val="0"/>
                <w:color w:val="auto"/>
                <w:sz w:val="21"/>
                <w:szCs w:val="21"/>
                <w:highlight w:val="none"/>
              </w:rPr>
              <w:t>H</w:t>
            </w:r>
            <w:r>
              <w:rPr>
                <w:rFonts w:hint="eastAsia" w:ascii="Times New Roman" w:hAnsi="Times New Roman" w:eastAsia="宋体" w:cs="Times New Roman"/>
                <w:b w:val="0"/>
                <w:color w:val="auto"/>
                <w:sz w:val="21"/>
                <w:szCs w:val="21"/>
                <w:highlight w:val="none"/>
                <w:vertAlign w:val="subscript"/>
              </w:rPr>
              <w:t>2</w:t>
            </w:r>
            <w:r>
              <w:rPr>
                <w:rFonts w:hint="eastAsia" w:ascii="Times New Roman" w:hAnsi="Times New Roman" w:eastAsia="宋体" w:cs="Times New Roman"/>
                <w:b w:val="0"/>
                <w:color w:val="auto"/>
                <w:sz w:val="21"/>
                <w:szCs w:val="21"/>
                <w:highlight w:val="none"/>
              </w:rPr>
              <w:t>SO</w:t>
            </w:r>
            <w:r>
              <w:rPr>
                <w:rFonts w:hint="eastAsia" w:ascii="Times New Roman" w:hAnsi="Times New Roman" w:eastAsia="宋体" w:cs="Times New Roman"/>
                <w:b w:val="0"/>
                <w:color w:val="auto"/>
                <w:sz w:val="21"/>
                <w:szCs w:val="21"/>
                <w:highlight w:val="none"/>
                <w:vertAlign w:val="subscript"/>
              </w:rPr>
              <w:t>4</w:t>
            </w:r>
          </w:p>
        </w:tc>
        <w:tc>
          <w:tcPr>
            <w:tcW w:w="834" w:type="pct"/>
            <w:gridSpan w:val="2"/>
            <w:vAlign w:val="center"/>
          </w:tcPr>
          <w:p w14:paraId="22BF807C">
            <w:pPr>
              <w:spacing w:line="360" w:lineRule="exact"/>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3.76</w:t>
            </w:r>
          </w:p>
        </w:tc>
      </w:tr>
      <w:tr w14:paraId="7483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continue"/>
            <w:vAlign w:val="center"/>
          </w:tcPr>
          <w:p w14:paraId="6B2EC447">
            <w:pPr>
              <w:widowControl/>
              <w:spacing w:line="360" w:lineRule="exact"/>
              <w:jc w:val="center"/>
              <w:rPr>
                <w:color w:val="auto"/>
                <w:szCs w:val="21"/>
                <w:highlight w:val="none"/>
              </w:rPr>
            </w:pPr>
          </w:p>
        </w:tc>
        <w:tc>
          <w:tcPr>
            <w:tcW w:w="2041" w:type="pct"/>
            <w:gridSpan w:val="4"/>
            <w:shd w:val="clear" w:color="auto" w:fill="auto"/>
            <w:vAlign w:val="center"/>
          </w:tcPr>
          <w:p w14:paraId="5D3D4F1A">
            <w:pPr>
              <w:adjustRightInd w:val="0"/>
              <w:snapToGrid w:val="0"/>
              <w:spacing w:line="360" w:lineRule="exact"/>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p>
        </w:tc>
        <w:tc>
          <w:tcPr>
            <w:tcW w:w="834" w:type="pct"/>
            <w:gridSpan w:val="2"/>
            <w:vAlign w:val="center"/>
          </w:tcPr>
          <w:p w14:paraId="0A1B0308">
            <w:pPr>
              <w:spacing w:line="360" w:lineRule="exact"/>
              <w:jc w:val="center"/>
              <w:rPr>
                <w:color w:val="auto"/>
                <w:kern w:val="0"/>
                <w:szCs w:val="21"/>
                <w:highlight w:val="none"/>
              </w:rPr>
            </w:pPr>
            <w:r>
              <w:rPr>
                <w:rFonts w:hint="eastAsia"/>
                <w:color w:val="auto"/>
                <w:kern w:val="0"/>
                <w:szCs w:val="21"/>
                <w:highlight w:val="none"/>
              </w:rPr>
              <w:t>4.16</w:t>
            </w:r>
          </w:p>
        </w:tc>
      </w:tr>
      <w:tr w14:paraId="2C5F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c>
          <w:tcPr>
            <w:tcW w:w="2124" w:type="pct"/>
            <w:gridSpan w:val="3"/>
            <w:vMerge w:val="continue"/>
            <w:vAlign w:val="center"/>
          </w:tcPr>
          <w:p w14:paraId="75165336">
            <w:pPr>
              <w:widowControl/>
              <w:spacing w:line="360" w:lineRule="exact"/>
              <w:jc w:val="center"/>
              <w:rPr>
                <w:color w:val="auto"/>
                <w:szCs w:val="21"/>
                <w:highlight w:val="none"/>
              </w:rPr>
            </w:pPr>
          </w:p>
        </w:tc>
        <w:tc>
          <w:tcPr>
            <w:tcW w:w="2041" w:type="pct"/>
            <w:gridSpan w:val="4"/>
            <w:shd w:val="clear" w:color="auto" w:fill="auto"/>
            <w:vAlign w:val="center"/>
          </w:tcPr>
          <w:p w14:paraId="2F517AFD">
            <w:pPr>
              <w:adjustRightInd w:val="0"/>
              <w:snapToGrid w:val="0"/>
              <w:spacing w:line="360" w:lineRule="exact"/>
              <w:jc w:val="center"/>
              <w:rPr>
                <w:snapToGrid w:val="0"/>
                <w:color w:val="auto"/>
                <w:kern w:val="0"/>
                <w:szCs w:val="21"/>
                <w:highlight w:val="none"/>
              </w:rPr>
            </w:pP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p>
        </w:tc>
        <w:tc>
          <w:tcPr>
            <w:tcW w:w="834" w:type="pct"/>
            <w:gridSpan w:val="2"/>
            <w:vAlign w:val="center"/>
          </w:tcPr>
          <w:p w14:paraId="2A5DC360">
            <w:pPr>
              <w:spacing w:line="360" w:lineRule="exact"/>
              <w:jc w:val="center"/>
              <w:rPr>
                <w:color w:val="auto"/>
                <w:kern w:val="0"/>
                <w:szCs w:val="21"/>
                <w:highlight w:val="none"/>
              </w:rPr>
            </w:pPr>
            <w:r>
              <w:rPr>
                <w:rFonts w:hint="eastAsia"/>
                <w:color w:val="auto"/>
                <w:kern w:val="0"/>
                <w:szCs w:val="21"/>
                <w:highlight w:val="none"/>
              </w:rPr>
              <w:t>0.8</w:t>
            </w:r>
          </w:p>
        </w:tc>
      </w:tr>
    </w:tbl>
    <w:p w14:paraId="4AF309FC">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（2）无组织排放量核算</w:t>
      </w:r>
    </w:p>
    <w:p w14:paraId="5075EAA2">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本项目运行期，在各类环保设施正常运行的情况下，废气无组织排放量核算见表6.2-2</w:t>
      </w:r>
      <w:r>
        <w:rPr>
          <w:rFonts w:hint="eastAsia"/>
          <w:color w:val="auto"/>
          <w:kern w:val="0"/>
          <w:sz w:val="24"/>
          <w:highlight w:val="none"/>
          <w:lang w:val="en-US" w:eastAsia="zh-CN"/>
        </w:rPr>
        <w:t>3</w:t>
      </w:r>
      <w:r>
        <w:rPr>
          <w:rFonts w:hint="eastAsia"/>
          <w:color w:val="auto"/>
          <w:kern w:val="0"/>
          <w:sz w:val="24"/>
          <w:highlight w:val="none"/>
        </w:rPr>
        <w:t>。</w:t>
      </w:r>
    </w:p>
    <w:p w14:paraId="71EE2952">
      <w:pPr>
        <w:jc w:val="center"/>
        <w:rPr>
          <w:b/>
          <w:bCs/>
          <w:color w:val="auto"/>
          <w:highlight w:val="none"/>
        </w:rPr>
      </w:pPr>
      <w:r>
        <w:rPr>
          <w:b/>
          <w:bCs/>
          <w:color w:val="auto"/>
          <w:highlight w:val="none"/>
        </w:rPr>
        <w:t>表</w:t>
      </w:r>
      <w:r>
        <w:rPr>
          <w:rFonts w:hint="eastAsia"/>
          <w:b/>
          <w:bCs/>
          <w:color w:val="auto"/>
          <w:highlight w:val="none"/>
        </w:rPr>
        <w:t>6</w:t>
      </w:r>
      <w:r>
        <w:rPr>
          <w:b/>
          <w:bCs/>
          <w:color w:val="auto"/>
          <w:highlight w:val="none"/>
        </w:rPr>
        <w:t>.2-</w:t>
      </w:r>
      <w:r>
        <w:rPr>
          <w:rFonts w:hint="eastAsia"/>
          <w:b/>
          <w:bCs/>
          <w:color w:val="auto"/>
          <w:highlight w:val="none"/>
        </w:rPr>
        <w:t>2</w:t>
      </w:r>
      <w:r>
        <w:rPr>
          <w:rFonts w:hint="eastAsia"/>
          <w:b/>
          <w:bCs/>
          <w:color w:val="auto"/>
          <w:highlight w:val="none"/>
          <w:lang w:val="en-US" w:eastAsia="zh-CN"/>
        </w:rPr>
        <w:t>3</w:t>
      </w:r>
      <w:r>
        <w:rPr>
          <w:rFonts w:hint="eastAsia"/>
          <w:b/>
          <w:bCs/>
          <w:color w:val="auto"/>
          <w:highlight w:val="none"/>
        </w:rPr>
        <w:t xml:space="preserve"> </w:t>
      </w:r>
      <w:r>
        <w:rPr>
          <w:b/>
          <w:bCs/>
          <w:color w:val="auto"/>
          <w:highlight w:val="none"/>
        </w:rPr>
        <w:t>项目废气无组织排放量核算表</w:t>
      </w:r>
    </w:p>
    <w:tbl>
      <w:tblPr>
        <w:tblStyle w:val="78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18"/>
        <w:gridCol w:w="418"/>
        <w:gridCol w:w="840"/>
        <w:gridCol w:w="1911"/>
        <w:gridCol w:w="2039"/>
        <w:gridCol w:w="1741"/>
        <w:gridCol w:w="863"/>
      </w:tblGrid>
      <w:tr w14:paraId="3D50A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vMerge w:val="restart"/>
            <w:tcBorders>
              <w:tl2br w:val="nil"/>
              <w:tr2bl w:val="nil"/>
            </w:tcBorders>
            <w:shd w:val="clear" w:color="auto" w:fill="auto"/>
            <w:vAlign w:val="center"/>
          </w:tcPr>
          <w:p w14:paraId="06FCBB67">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序号</w:t>
            </w:r>
          </w:p>
        </w:tc>
        <w:tc>
          <w:tcPr>
            <w:tcW w:w="254" w:type="pct"/>
            <w:vMerge w:val="restart"/>
            <w:tcBorders>
              <w:tl2br w:val="nil"/>
              <w:tr2bl w:val="nil"/>
            </w:tcBorders>
            <w:shd w:val="clear" w:color="auto" w:fill="auto"/>
            <w:vAlign w:val="center"/>
          </w:tcPr>
          <w:p w14:paraId="5478A4D8">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产污</w:t>
            </w:r>
          </w:p>
          <w:p w14:paraId="0851737A">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环节</w:t>
            </w:r>
          </w:p>
        </w:tc>
        <w:tc>
          <w:tcPr>
            <w:tcW w:w="510" w:type="pct"/>
            <w:vMerge w:val="restart"/>
            <w:tcBorders>
              <w:tl2br w:val="nil"/>
              <w:tr2bl w:val="nil"/>
            </w:tcBorders>
            <w:shd w:val="clear" w:color="auto" w:fill="auto"/>
            <w:vAlign w:val="center"/>
          </w:tcPr>
          <w:p w14:paraId="2EBB1CB8">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污染物</w:t>
            </w:r>
          </w:p>
        </w:tc>
        <w:tc>
          <w:tcPr>
            <w:tcW w:w="1160" w:type="pct"/>
            <w:vMerge w:val="restart"/>
            <w:tcBorders>
              <w:tl2br w:val="nil"/>
              <w:tr2bl w:val="nil"/>
            </w:tcBorders>
            <w:shd w:val="clear" w:color="auto" w:fill="auto"/>
            <w:vAlign w:val="center"/>
          </w:tcPr>
          <w:p w14:paraId="4A67C293">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主要污染防治措施</w:t>
            </w:r>
          </w:p>
        </w:tc>
        <w:tc>
          <w:tcPr>
            <w:tcW w:w="2295" w:type="pct"/>
            <w:gridSpan w:val="2"/>
            <w:tcBorders>
              <w:tl2br w:val="nil"/>
              <w:tr2bl w:val="nil"/>
            </w:tcBorders>
            <w:shd w:val="clear" w:color="auto" w:fill="auto"/>
            <w:vAlign w:val="center"/>
          </w:tcPr>
          <w:p w14:paraId="1F0269D5">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国家或地方污染物排放标准</w:t>
            </w:r>
          </w:p>
        </w:tc>
        <w:tc>
          <w:tcPr>
            <w:tcW w:w="524" w:type="pct"/>
            <w:vMerge w:val="restart"/>
            <w:tcBorders>
              <w:tl2br w:val="nil"/>
              <w:tr2bl w:val="nil"/>
            </w:tcBorders>
            <w:shd w:val="clear" w:color="auto" w:fill="auto"/>
            <w:vAlign w:val="center"/>
          </w:tcPr>
          <w:p w14:paraId="285901D9">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年排放量（t/a）</w:t>
            </w:r>
          </w:p>
        </w:tc>
      </w:tr>
      <w:tr w14:paraId="42E37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vMerge w:val="continue"/>
            <w:tcBorders>
              <w:tl2br w:val="nil"/>
              <w:tr2bl w:val="nil"/>
            </w:tcBorders>
            <w:shd w:val="clear" w:color="auto" w:fill="auto"/>
            <w:vAlign w:val="center"/>
          </w:tcPr>
          <w:p w14:paraId="20C9615A">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p>
        </w:tc>
        <w:tc>
          <w:tcPr>
            <w:tcW w:w="254" w:type="pct"/>
            <w:vMerge w:val="continue"/>
            <w:tcBorders>
              <w:tl2br w:val="nil"/>
              <w:tr2bl w:val="nil"/>
            </w:tcBorders>
            <w:shd w:val="clear" w:color="auto" w:fill="auto"/>
            <w:vAlign w:val="center"/>
          </w:tcPr>
          <w:p w14:paraId="3C996370">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p>
        </w:tc>
        <w:tc>
          <w:tcPr>
            <w:tcW w:w="510" w:type="pct"/>
            <w:vMerge w:val="continue"/>
            <w:tcBorders>
              <w:tl2br w:val="nil"/>
              <w:tr2bl w:val="nil"/>
            </w:tcBorders>
            <w:shd w:val="clear" w:color="auto" w:fill="auto"/>
            <w:vAlign w:val="center"/>
          </w:tcPr>
          <w:p w14:paraId="525CDB8E">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p>
        </w:tc>
        <w:tc>
          <w:tcPr>
            <w:tcW w:w="1160" w:type="pct"/>
            <w:vMerge w:val="continue"/>
            <w:tcBorders>
              <w:tl2br w:val="nil"/>
              <w:tr2bl w:val="nil"/>
            </w:tcBorders>
            <w:shd w:val="clear" w:color="auto" w:fill="auto"/>
            <w:vAlign w:val="center"/>
          </w:tcPr>
          <w:p w14:paraId="7C15C6CC">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p>
        </w:tc>
        <w:tc>
          <w:tcPr>
            <w:tcW w:w="1238" w:type="pct"/>
            <w:tcBorders>
              <w:tl2br w:val="nil"/>
              <w:tr2bl w:val="nil"/>
            </w:tcBorders>
            <w:shd w:val="clear" w:color="auto" w:fill="auto"/>
            <w:vAlign w:val="center"/>
          </w:tcPr>
          <w:p w14:paraId="34D2A274">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标准名称</w:t>
            </w:r>
          </w:p>
        </w:tc>
        <w:tc>
          <w:tcPr>
            <w:tcW w:w="1057" w:type="pct"/>
            <w:tcBorders>
              <w:tl2br w:val="nil"/>
              <w:tr2bl w:val="nil"/>
            </w:tcBorders>
            <w:shd w:val="clear" w:color="auto" w:fill="auto"/>
            <w:vAlign w:val="center"/>
          </w:tcPr>
          <w:p w14:paraId="63B8A41F">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浓度限值（mg/m</w:t>
            </w:r>
            <w:r>
              <w:rPr>
                <w:rFonts w:hint="eastAsia" w:ascii="Times New Roman" w:hAnsi="Times New Roman" w:eastAsia="宋体" w:cs="Times New Roman"/>
                <w:b w:val="0"/>
                <w:bCs w:val="0"/>
                <w:caps w:val="0"/>
                <w:color w:val="auto"/>
                <w:kern w:val="0"/>
                <w:sz w:val="21"/>
                <w:szCs w:val="21"/>
                <w:highlight w:val="none"/>
                <w:vertAlign w:val="superscript"/>
              </w:rPr>
              <w:t>3</w:t>
            </w:r>
            <w:r>
              <w:rPr>
                <w:rFonts w:hint="eastAsia" w:ascii="Times New Roman" w:hAnsi="Times New Roman" w:eastAsia="宋体" w:cs="Times New Roman"/>
                <w:b w:val="0"/>
                <w:bCs w:val="0"/>
                <w:caps w:val="0"/>
                <w:color w:val="auto"/>
                <w:kern w:val="0"/>
                <w:sz w:val="21"/>
                <w:szCs w:val="21"/>
                <w:highlight w:val="none"/>
              </w:rPr>
              <w:t>）</w:t>
            </w:r>
          </w:p>
        </w:tc>
        <w:tc>
          <w:tcPr>
            <w:tcW w:w="524" w:type="pct"/>
            <w:vMerge w:val="continue"/>
            <w:tcBorders>
              <w:tl2br w:val="nil"/>
              <w:tr2bl w:val="nil"/>
            </w:tcBorders>
            <w:shd w:val="clear" w:color="auto" w:fill="auto"/>
            <w:vAlign w:val="center"/>
          </w:tcPr>
          <w:p w14:paraId="6274C39C">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p>
        </w:tc>
      </w:tr>
      <w:tr w14:paraId="40273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tcBorders>
              <w:tl2br w:val="nil"/>
              <w:tr2bl w:val="nil"/>
            </w:tcBorders>
            <w:shd w:val="clear" w:color="auto" w:fill="auto"/>
            <w:vAlign w:val="center"/>
          </w:tcPr>
          <w:p w14:paraId="414AB38A">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1</w:t>
            </w:r>
          </w:p>
        </w:tc>
        <w:tc>
          <w:tcPr>
            <w:tcW w:w="254" w:type="pct"/>
            <w:tcBorders>
              <w:tl2br w:val="nil"/>
              <w:tr2bl w:val="nil"/>
            </w:tcBorders>
            <w:shd w:val="clear" w:color="auto" w:fill="auto"/>
            <w:vAlign w:val="center"/>
          </w:tcPr>
          <w:p w14:paraId="430CD6A7">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罐区无组织</w:t>
            </w:r>
          </w:p>
        </w:tc>
        <w:tc>
          <w:tcPr>
            <w:tcW w:w="510" w:type="pct"/>
            <w:tcBorders>
              <w:tl2br w:val="nil"/>
              <w:tr2bl w:val="nil"/>
            </w:tcBorders>
            <w:shd w:val="clear" w:color="auto" w:fill="auto"/>
            <w:vAlign w:val="center"/>
          </w:tcPr>
          <w:p w14:paraId="6D6622BE">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NMHC</w:t>
            </w:r>
          </w:p>
        </w:tc>
        <w:tc>
          <w:tcPr>
            <w:tcW w:w="1160" w:type="pct"/>
            <w:tcBorders>
              <w:tl2br w:val="nil"/>
              <w:tr2bl w:val="nil"/>
            </w:tcBorders>
            <w:shd w:val="clear" w:color="auto" w:fill="auto"/>
            <w:vAlign w:val="center"/>
          </w:tcPr>
          <w:p w14:paraId="707697A5">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储罐密闭</w:t>
            </w:r>
          </w:p>
        </w:tc>
        <w:tc>
          <w:tcPr>
            <w:tcW w:w="1238" w:type="pct"/>
            <w:tcBorders>
              <w:tl2br w:val="nil"/>
              <w:tr2bl w:val="nil"/>
            </w:tcBorders>
            <w:shd w:val="clear" w:color="auto" w:fill="auto"/>
            <w:vAlign w:val="center"/>
          </w:tcPr>
          <w:p w14:paraId="587E87E6">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《合成树脂工业污染物排放标准》（GB31572-2015，含2024年修改单）表9，《挥发性有机物无组织排放控制标准》（GB37822</w:t>
            </w:r>
            <w:r>
              <w:rPr>
                <w:rFonts w:hint="eastAsia" w:ascii="Times New Roman" w:hAnsi="Times New Roman" w:eastAsia="宋体" w:cs="Times New Roman"/>
                <w:b w:val="0"/>
                <w:bCs w:val="0"/>
                <w:caps w:val="0"/>
                <w:color w:val="auto"/>
                <w:kern w:val="0"/>
                <w:sz w:val="21"/>
                <w:szCs w:val="21"/>
                <w:highlight w:val="none"/>
                <w:lang w:val="en-US" w:eastAsia="zh-CN"/>
              </w:rPr>
              <w:t>-</w:t>
            </w:r>
            <w:r>
              <w:rPr>
                <w:rFonts w:hint="eastAsia" w:ascii="Times New Roman" w:hAnsi="Times New Roman" w:eastAsia="宋体" w:cs="Times New Roman"/>
                <w:b w:val="0"/>
                <w:bCs w:val="0"/>
                <w:caps w:val="0"/>
                <w:color w:val="auto"/>
                <w:kern w:val="0"/>
                <w:sz w:val="21"/>
                <w:szCs w:val="21"/>
                <w:highlight w:val="none"/>
              </w:rPr>
              <w:t>2019）</w:t>
            </w:r>
          </w:p>
        </w:tc>
        <w:tc>
          <w:tcPr>
            <w:tcW w:w="1057" w:type="pct"/>
            <w:tcBorders>
              <w:tl2br w:val="nil"/>
              <w:tr2bl w:val="nil"/>
            </w:tcBorders>
            <w:shd w:val="clear" w:color="auto" w:fill="auto"/>
            <w:vAlign w:val="center"/>
          </w:tcPr>
          <w:p w14:paraId="03306F12">
            <w:pPr>
              <w:pStyle w:val="412"/>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auto"/>
              <w:rPr>
                <w:rFonts w:ascii="Times New Roman" w:hAnsi="Times New Roman" w:eastAsia="宋体" w:cs="Times New Roman"/>
                <w:b w:val="0"/>
                <w:bCs w:val="0"/>
                <w:caps w:val="0"/>
                <w:color w:val="auto"/>
                <w:kern w:val="0"/>
                <w:sz w:val="21"/>
                <w:szCs w:val="21"/>
                <w:highlight w:val="none"/>
              </w:rPr>
            </w:pPr>
            <w:r>
              <w:rPr>
                <w:rFonts w:hint="eastAsia" w:ascii="Times New Roman" w:hAnsi="Times New Roman" w:eastAsia="宋体" w:cs="Times New Roman"/>
                <w:b w:val="0"/>
                <w:bCs w:val="0"/>
                <w:caps w:val="0"/>
                <w:color w:val="auto"/>
                <w:kern w:val="0"/>
                <w:sz w:val="21"/>
                <w:szCs w:val="21"/>
                <w:highlight w:val="none"/>
              </w:rPr>
              <w:t>泄漏检测值＜2000µmol/moL；监控点处1h平均浓度值≤10mg/m</w:t>
            </w:r>
            <w:r>
              <w:rPr>
                <w:rFonts w:hint="eastAsia" w:ascii="Times New Roman" w:hAnsi="Times New Roman" w:eastAsia="宋体" w:cs="Times New Roman"/>
                <w:b w:val="0"/>
                <w:bCs w:val="0"/>
                <w:caps w:val="0"/>
                <w:color w:val="auto"/>
                <w:kern w:val="0"/>
                <w:sz w:val="21"/>
                <w:szCs w:val="21"/>
                <w:highlight w:val="none"/>
                <w:vertAlign w:val="superscript"/>
              </w:rPr>
              <w:t>3</w:t>
            </w:r>
            <w:r>
              <w:rPr>
                <w:rFonts w:hint="eastAsia" w:ascii="Times New Roman" w:hAnsi="Times New Roman" w:eastAsia="宋体" w:cs="Times New Roman"/>
                <w:b w:val="0"/>
                <w:bCs w:val="0"/>
                <w:caps w:val="0"/>
                <w:color w:val="auto"/>
                <w:kern w:val="0"/>
                <w:sz w:val="21"/>
                <w:szCs w:val="21"/>
                <w:highlight w:val="none"/>
              </w:rPr>
              <w:t>；监控点处任意一次浓度值≤30mg/m</w:t>
            </w:r>
            <w:r>
              <w:rPr>
                <w:rFonts w:hint="eastAsia" w:ascii="Times New Roman" w:hAnsi="Times New Roman" w:eastAsia="宋体" w:cs="Times New Roman"/>
                <w:b w:val="0"/>
                <w:bCs w:val="0"/>
                <w:caps w:val="0"/>
                <w:color w:val="auto"/>
                <w:kern w:val="0"/>
                <w:sz w:val="21"/>
                <w:szCs w:val="21"/>
                <w:highlight w:val="none"/>
                <w:vertAlign w:val="superscript"/>
              </w:rPr>
              <w:t>3</w:t>
            </w:r>
          </w:p>
        </w:tc>
        <w:tc>
          <w:tcPr>
            <w:tcW w:w="524" w:type="pct"/>
            <w:tcBorders>
              <w:tl2br w:val="nil"/>
              <w:tr2bl w:val="nil"/>
            </w:tcBorders>
            <w:shd w:val="clear" w:color="auto" w:fill="auto"/>
            <w:vAlign w:val="center"/>
          </w:tcPr>
          <w:p w14:paraId="2B0F8FF6">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宋体" w:cs="Times New Roman"/>
                <w:bCs w:val="0"/>
                <w:caps w:val="0"/>
                <w:color w:val="auto"/>
                <w:kern w:val="0"/>
                <w:sz w:val="21"/>
                <w:szCs w:val="21"/>
                <w:highlight w:val="none"/>
                <w:lang w:eastAsia="zh-CN"/>
              </w:rPr>
            </w:pPr>
            <w:r>
              <w:rPr>
                <w:rFonts w:hint="eastAsia" w:ascii="Times New Roman" w:hAnsi="Times New Roman" w:eastAsia="宋体" w:cs="Times New Roman"/>
                <w:bCs w:val="0"/>
                <w:caps w:val="0"/>
                <w:snapToGrid w:val="0"/>
                <w:color w:val="auto"/>
                <w:kern w:val="0"/>
                <w:sz w:val="21"/>
                <w:szCs w:val="21"/>
                <w:highlight w:val="none"/>
              </w:rPr>
              <w:t>0</w:t>
            </w:r>
            <w:r>
              <w:rPr>
                <w:rFonts w:ascii="Times New Roman" w:hAnsi="Times New Roman" w:eastAsia="宋体" w:cs="Times New Roman"/>
                <w:bCs w:val="0"/>
                <w:caps w:val="0"/>
                <w:snapToGrid w:val="0"/>
                <w:color w:val="auto"/>
                <w:kern w:val="0"/>
                <w:sz w:val="21"/>
                <w:szCs w:val="21"/>
                <w:highlight w:val="none"/>
              </w:rPr>
              <w:t>.0</w:t>
            </w:r>
            <w:r>
              <w:rPr>
                <w:rFonts w:hint="eastAsia" w:cs="Times New Roman"/>
                <w:bCs w:val="0"/>
                <w:caps w:val="0"/>
                <w:snapToGrid w:val="0"/>
                <w:color w:val="auto"/>
                <w:kern w:val="0"/>
                <w:sz w:val="21"/>
                <w:szCs w:val="21"/>
                <w:highlight w:val="none"/>
                <w:lang w:val="en-US" w:eastAsia="zh-CN"/>
              </w:rPr>
              <w:t>4</w:t>
            </w:r>
          </w:p>
        </w:tc>
      </w:tr>
    </w:tbl>
    <w:p w14:paraId="4367CE44">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color w:val="auto"/>
          <w:kern w:val="0"/>
          <w:sz w:val="24"/>
          <w:highlight w:val="none"/>
        </w:rPr>
      </w:pPr>
      <w:r>
        <w:rPr>
          <w:rFonts w:hint="eastAsia"/>
          <w:color w:val="auto"/>
          <w:kern w:val="0"/>
          <w:sz w:val="24"/>
          <w:highlight w:val="none"/>
        </w:rPr>
        <w:t>（3）污染物年排放量核算</w:t>
      </w:r>
    </w:p>
    <w:p w14:paraId="36EC158D">
      <w:pPr>
        <w:widowControl/>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大气污染物年排放量情况见表6.2-2</w:t>
      </w:r>
      <w:r>
        <w:rPr>
          <w:rFonts w:hint="eastAsia"/>
          <w:color w:val="auto"/>
          <w:kern w:val="0"/>
          <w:sz w:val="24"/>
          <w:highlight w:val="none"/>
          <w:lang w:val="en-US" w:eastAsia="zh-CN"/>
        </w:rPr>
        <w:t>4</w:t>
      </w:r>
      <w:r>
        <w:rPr>
          <w:rFonts w:hint="eastAsia"/>
          <w:color w:val="auto"/>
          <w:kern w:val="0"/>
          <w:sz w:val="24"/>
          <w:highlight w:val="none"/>
        </w:rPr>
        <w:t>。</w:t>
      </w:r>
    </w:p>
    <w:p w14:paraId="246B6BA3">
      <w:pPr>
        <w:jc w:val="center"/>
        <w:rPr>
          <w:b/>
          <w:bCs/>
          <w:color w:val="auto"/>
          <w:highlight w:val="none"/>
        </w:rPr>
      </w:pPr>
      <w:r>
        <w:rPr>
          <w:b/>
          <w:bCs/>
          <w:color w:val="auto"/>
          <w:highlight w:val="none"/>
        </w:rPr>
        <w:t>表</w:t>
      </w:r>
      <w:r>
        <w:rPr>
          <w:rFonts w:hint="eastAsia"/>
          <w:b/>
          <w:bCs/>
          <w:color w:val="auto"/>
          <w:highlight w:val="none"/>
        </w:rPr>
        <w:t>6</w:t>
      </w:r>
      <w:r>
        <w:rPr>
          <w:b/>
          <w:bCs/>
          <w:color w:val="auto"/>
          <w:highlight w:val="none"/>
        </w:rPr>
        <w:t>.2-</w:t>
      </w:r>
      <w:r>
        <w:rPr>
          <w:rFonts w:hint="eastAsia"/>
          <w:b/>
          <w:bCs/>
          <w:color w:val="auto"/>
          <w:highlight w:val="none"/>
        </w:rPr>
        <w:t>2</w:t>
      </w:r>
      <w:r>
        <w:rPr>
          <w:rFonts w:hint="eastAsia"/>
          <w:b/>
          <w:bCs/>
          <w:color w:val="auto"/>
          <w:highlight w:val="none"/>
          <w:lang w:val="en-US" w:eastAsia="zh-CN"/>
        </w:rPr>
        <w:t>4</w:t>
      </w:r>
      <w:r>
        <w:rPr>
          <w:rFonts w:hint="eastAsia"/>
          <w:b/>
          <w:bCs/>
          <w:color w:val="auto"/>
          <w:highlight w:val="none"/>
        </w:rPr>
        <w:t xml:space="preserve"> </w:t>
      </w:r>
      <w:r>
        <w:rPr>
          <w:b/>
          <w:bCs/>
          <w:color w:val="auto"/>
          <w:highlight w:val="none"/>
        </w:rPr>
        <w:t>大气污染物年排放量核算表</w:t>
      </w:r>
    </w:p>
    <w:tbl>
      <w:tblPr>
        <w:tblStyle w:val="776"/>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Layout w:type="autofit"/>
        <w:tblCellMar>
          <w:top w:w="0" w:type="dxa"/>
          <w:left w:w="28" w:type="dxa"/>
          <w:bottom w:w="0" w:type="dxa"/>
          <w:right w:w="28" w:type="dxa"/>
        </w:tblCellMar>
      </w:tblPr>
      <w:tblGrid>
        <w:gridCol w:w="1684"/>
        <w:gridCol w:w="3295"/>
        <w:gridCol w:w="3297"/>
      </w:tblGrid>
      <w:tr w14:paraId="49C44E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07AB67DF">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序号</w:t>
            </w:r>
          </w:p>
        </w:tc>
        <w:tc>
          <w:tcPr>
            <w:tcW w:w="3331" w:type="dxa"/>
            <w:tcBorders>
              <w:tl2br w:val="nil"/>
              <w:tr2bl w:val="nil"/>
            </w:tcBorders>
            <w:vAlign w:val="center"/>
          </w:tcPr>
          <w:p w14:paraId="6108442F">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污染物</w:t>
            </w:r>
          </w:p>
        </w:tc>
        <w:tc>
          <w:tcPr>
            <w:tcW w:w="3333" w:type="dxa"/>
            <w:tcBorders>
              <w:tl2br w:val="nil"/>
              <w:tr2bl w:val="nil"/>
            </w:tcBorders>
            <w:vAlign w:val="center"/>
          </w:tcPr>
          <w:p w14:paraId="27306E91">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年排放量/（t/a）</w:t>
            </w:r>
          </w:p>
        </w:tc>
      </w:tr>
      <w:tr w14:paraId="71CD48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4B29C45A">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1</w:t>
            </w:r>
          </w:p>
        </w:tc>
        <w:tc>
          <w:tcPr>
            <w:tcW w:w="3331" w:type="dxa"/>
            <w:tcBorders>
              <w:tl2br w:val="nil"/>
              <w:tr2bl w:val="nil"/>
            </w:tcBorders>
            <w:vAlign w:val="center"/>
          </w:tcPr>
          <w:p w14:paraId="22628DDD">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颗粒物</w:t>
            </w:r>
          </w:p>
        </w:tc>
        <w:tc>
          <w:tcPr>
            <w:tcW w:w="3333" w:type="dxa"/>
            <w:tcBorders>
              <w:tl2br w:val="nil"/>
              <w:tr2bl w:val="nil"/>
            </w:tcBorders>
            <w:vAlign w:val="center"/>
          </w:tcPr>
          <w:p w14:paraId="1349279F">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10.56</w:t>
            </w:r>
          </w:p>
        </w:tc>
      </w:tr>
      <w:tr w14:paraId="33A0C1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3D319E86">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2</w:t>
            </w:r>
          </w:p>
        </w:tc>
        <w:tc>
          <w:tcPr>
            <w:tcW w:w="3331" w:type="dxa"/>
            <w:tcBorders>
              <w:tl2br w:val="nil"/>
              <w:tr2bl w:val="nil"/>
            </w:tcBorders>
            <w:vAlign w:val="center"/>
          </w:tcPr>
          <w:p w14:paraId="756FC692">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二氧化硫</w:t>
            </w:r>
          </w:p>
        </w:tc>
        <w:tc>
          <w:tcPr>
            <w:tcW w:w="3333" w:type="dxa"/>
            <w:tcBorders>
              <w:tl2br w:val="nil"/>
              <w:tr2bl w:val="nil"/>
            </w:tcBorders>
            <w:vAlign w:val="center"/>
          </w:tcPr>
          <w:p w14:paraId="0BB1EED7">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2.64</w:t>
            </w:r>
          </w:p>
        </w:tc>
      </w:tr>
      <w:tr w14:paraId="07034E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20D1FC9C">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3</w:t>
            </w:r>
          </w:p>
        </w:tc>
        <w:tc>
          <w:tcPr>
            <w:tcW w:w="3331" w:type="dxa"/>
            <w:tcBorders>
              <w:tl2br w:val="nil"/>
              <w:tr2bl w:val="nil"/>
            </w:tcBorders>
            <w:vAlign w:val="center"/>
          </w:tcPr>
          <w:p w14:paraId="1D02D133">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ascii="Times New Roman" w:hAnsi="Times New Roman" w:eastAsia="宋体" w:cs="Times New Roman"/>
                <w:b w:val="0"/>
                <w:bCs w:val="0"/>
                <w:color w:val="auto"/>
                <w:kern w:val="0"/>
                <w:sz w:val="21"/>
                <w:szCs w:val="21"/>
                <w:highlight w:val="none"/>
              </w:rPr>
              <w:t>氮氧化物</w:t>
            </w:r>
          </w:p>
        </w:tc>
        <w:tc>
          <w:tcPr>
            <w:tcW w:w="3333" w:type="dxa"/>
            <w:tcBorders>
              <w:tl2br w:val="nil"/>
              <w:tr2bl w:val="nil"/>
            </w:tcBorders>
            <w:vAlign w:val="center"/>
          </w:tcPr>
          <w:p w14:paraId="717F3FFB">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3.28</w:t>
            </w:r>
          </w:p>
        </w:tc>
      </w:tr>
      <w:tr w14:paraId="3074B5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58803ADE">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4</w:t>
            </w:r>
          </w:p>
        </w:tc>
        <w:tc>
          <w:tcPr>
            <w:tcW w:w="3331" w:type="dxa"/>
            <w:tcBorders>
              <w:tl2br w:val="nil"/>
              <w:tr2bl w:val="nil"/>
            </w:tcBorders>
            <w:vAlign w:val="center"/>
          </w:tcPr>
          <w:p w14:paraId="0DC4205E">
            <w:pPr>
              <w:pStyle w:val="41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NMHC</w:t>
            </w:r>
          </w:p>
        </w:tc>
        <w:tc>
          <w:tcPr>
            <w:tcW w:w="3333" w:type="dxa"/>
            <w:tcBorders>
              <w:tl2br w:val="nil"/>
              <w:tr2bl w:val="nil"/>
            </w:tcBorders>
            <w:vAlign w:val="center"/>
          </w:tcPr>
          <w:p w14:paraId="2066BB40">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val="0"/>
                <w:bCs w:val="0"/>
                <w:color w:val="auto"/>
                <w:kern w:val="0"/>
                <w:sz w:val="21"/>
                <w:szCs w:val="21"/>
                <w:highlight w:val="none"/>
                <w:lang w:val="en-US"/>
              </w:rPr>
            </w:pPr>
            <w:r>
              <w:rPr>
                <w:rFonts w:hint="eastAsia" w:ascii="Times New Roman" w:hAnsi="Times New Roman" w:eastAsia="宋体" w:cs="Times New Roman"/>
                <w:b w:val="0"/>
                <w:bCs w:val="0"/>
                <w:color w:val="auto"/>
                <w:kern w:val="0"/>
                <w:sz w:val="21"/>
                <w:szCs w:val="21"/>
                <w:highlight w:val="none"/>
                <w:lang w:val="en-US" w:eastAsia="zh-CN"/>
              </w:rPr>
              <w:t>2.6</w:t>
            </w:r>
          </w:p>
        </w:tc>
      </w:tr>
      <w:tr w14:paraId="5A224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1360AC63">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5</w:t>
            </w:r>
          </w:p>
        </w:tc>
        <w:tc>
          <w:tcPr>
            <w:tcW w:w="3331" w:type="dxa"/>
            <w:tcBorders>
              <w:tl2br w:val="nil"/>
              <w:tr2bl w:val="nil"/>
            </w:tcBorders>
            <w:vAlign w:val="center"/>
          </w:tcPr>
          <w:p w14:paraId="34088D7E">
            <w:pPr>
              <w:pStyle w:val="41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H</w:t>
            </w:r>
            <w:r>
              <w:rPr>
                <w:rFonts w:hint="eastAsia" w:ascii="Times New Roman" w:hAnsi="Times New Roman" w:eastAsia="宋体" w:cs="Times New Roman"/>
                <w:b w:val="0"/>
                <w:bCs w:val="0"/>
                <w:color w:val="auto"/>
                <w:kern w:val="0"/>
                <w:sz w:val="21"/>
                <w:szCs w:val="21"/>
                <w:highlight w:val="none"/>
                <w:vertAlign w:val="subscript"/>
              </w:rPr>
              <w:t>2</w:t>
            </w:r>
            <w:r>
              <w:rPr>
                <w:rFonts w:hint="eastAsia" w:ascii="Times New Roman" w:hAnsi="Times New Roman" w:eastAsia="宋体" w:cs="Times New Roman"/>
                <w:b w:val="0"/>
                <w:bCs w:val="0"/>
                <w:color w:val="auto"/>
                <w:kern w:val="0"/>
                <w:sz w:val="21"/>
                <w:szCs w:val="21"/>
                <w:highlight w:val="none"/>
              </w:rPr>
              <w:t>SO</w:t>
            </w:r>
            <w:r>
              <w:rPr>
                <w:rFonts w:hint="eastAsia" w:ascii="Times New Roman" w:hAnsi="Times New Roman" w:eastAsia="宋体" w:cs="Times New Roman"/>
                <w:b w:val="0"/>
                <w:bCs w:val="0"/>
                <w:color w:val="auto"/>
                <w:kern w:val="0"/>
                <w:sz w:val="21"/>
                <w:szCs w:val="21"/>
                <w:highlight w:val="none"/>
                <w:vertAlign w:val="subscript"/>
              </w:rPr>
              <w:t>4</w:t>
            </w:r>
          </w:p>
        </w:tc>
        <w:tc>
          <w:tcPr>
            <w:tcW w:w="3333" w:type="dxa"/>
            <w:tcBorders>
              <w:tl2br w:val="nil"/>
              <w:tr2bl w:val="nil"/>
            </w:tcBorders>
            <w:vAlign w:val="center"/>
          </w:tcPr>
          <w:p w14:paraId="574CFF24">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lang w:val="en-US" w:eastAsia="zh-CN"/>
              </w:rPr>
              <w:t>3.76</w:t>
            </w:r>
          </w:p>
        </w:tc>
      </w:tr>
      <w:tr w14:paraId="137E4D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4CABE539">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6</w:t>
            </w:r>
          </w:p>
        </w:tc>
        <w:tc>
          <w:tcPr>
            <w:tcW w:w="3331" w:type="dxa"/>
            <w:tcBorders>
              <w:tl2br w:val="nil"/>
              <w:tr2bl w:val="nil"/>
            </w:tcBorders>
            <w:vAlign w:val="center"/>
          </w:tcPr>
          <w:p w14:paraId="405C39CC">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N</w:t>
            </w:r>
            <w:r>
              <w:rPr>
                <w:rFonts w:ascii="Times New Roman" w:hAnsi="Times New Roman" w:eastAsia="宋体" w:cs="Times New Roman"/>
                <w:b w:val="0"/>
                <w:bCs w:val="0"/>
                <w:snapToGrid w:val="0"/>
                <w:color w:val="auto"/>
                <w:kern w:val="0"/>
                <w:sz w:val="21"/>
                <w:szCs w:val="21"/>
                <w:highlight w:val="none"/>
              </w:rPr>
              <w:t>H</w:t>
            </w:r>
            <w:r>
              <w:rPr>
                <w:rFonts w:ascii="Times New Roman" w:hAnsi="Times New Roman" w:eastAsia="宋体" w:cs="Times New Roman"/>
                <w:b w:val="0"/>
                <w:bCs w:val="0"/>
                <w:snapToGrid w:val="0"/>
                <w:color w:val="auto"/>
                <w:kern w:val="0"/>
                <w:sz w:val="21"/>
                <w:szCs w:val="21"/>
                <w:highlight w:val="none"/>
                <w:vertAlign w:val="subscript"/>
              </w:rPr>
              <w:t>3</w:t>
            </w:r>
          </w:p>
        </w:tc>
        <w:tc>
          <w:tcPr>
            <w:tcW w:w="3333" w:type="dxa"/>
            <w:tcBorders>
              <w:tl2br w:val="nil"/>
              <w:tr2bl w:val="nil"/>
            </w:tcBorders>
            <w:vAlign w:val="center"/>
          </w:tcPr>
          <w:p w14:paraId="3FD40005">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4.16</w:t>
            </w:r>
          </w:p>
        </w:tc>
      </w:tr>
      <w:tr w14:paraId="20B088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2" w:space="0"/>
            <w:insideV w:val="single" w:color="000000" w:themeColor="text1" w:sz="2" w:space="0"/>
          </w:tblBorders>
          <w:tblCellMar>
            <w:top w:w="0" w:type="dxa"/>
            <w:left w:w="28" w:type="dxa"/>
            <w:bottom w:w="0" w:type="dxa"/>
            <w:right w:w="28" w:type="dxa"/>
          </w:tblCellMar>
        </w:tblPrEx>
        <w:trPr>
          <w:trHeight w:val="340" w:hRule="atLeast"/>
        </w:trPr>
        <w:tc>
          <w:tcPr>
            <w:tcW w:w="1703" w:type="dxa"/>
            <w:tcBorders>
              <w:tl2br w:val="nil"/>
              <w:tr2bl w:val="nil"/>
            </w:tcBorders>
            <w:vAlign w:val="center"/>
          </w:tcPr>
          <w:p w14:paraId="53570EAA">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7</w:t>
            </w:r>
          </w:p>
        </w:tc>
        <w:tc>
          <w:tcPr>
            <w:tcW w:w="3331" w:type="dxa"/>
            <w:tcBorders>
              <w:tl2br w:val="nil"/>
              <w:tr2bl w:val="nil"/>
            </w:tcBorders>
            <w:vAlign w:val="center"/>
          </w:tcPr>
          <w:p w14:paraId="11EBE558">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H</w:t>
            </w:r>
            <w:r>
              <w:rPr>
                <w:rFonts w:ascii="Times New Roman" w:hAnsi="Times New Roman" w:eastAsia="宋体" w:cs="Times New Roman"/>
                <w:b w:val="0"/>
                <w:bCs w:val="0"/>
                <w:snapToGrid w:val="0"/>
                <w:color w:val="auto"/>
                <w:kern w:val="0"/>
                <w:sz w:val="21"/>
                <w:szCs w:val="21"/>
                <w:highlight w:val="none"/>
                <w:vertAlign w:val="subscript"/>
              </w:rPr>
              <w:t>2</w:t>
            </w:r>
            <w:r>
              <w:rPr>
                <w:rFonts w:ascii="Times New Roman" w:hAnsi="Times New Roman" w:eastAsia="宋体" w:cs="Times New Roman"/>
                <w:b w:val="0"/>
                <w:bCs w:val="0"/>
                <w:snapToGrid w:val="0"/>
                <w:color w:val="auto"/>
                <w:kern w:val="0"/>
                <w:sz w:val="21"/>
                <w:szCs w:val="21"/>
                <w:highlight w:val="none"/>
              </w:rPr>
              <w:t>S</w:t>
            </w:r>
          </w:p>
        </w:tc>
        <w:tc>
          <w:tcPr>
            <w:tcW w:w="3333" w:type="dxa"/>
            <w:tcBorders>
              <w:tl2br w:val="nil"/>
              <w:tr2bl w:val="nil"/>
            </w:tcBorders>
            <w:vAlign w:val="center"/>
          </w:tcPr>
          <w:p w14:paraId="53F028A5">
            <w:pPr>
              <w:keepNext w:val="0"/>
              <w:keepLines w:val="0"/>
              <w:pageBreakBefore w:val="0"/>
              <w:widowControl/>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b w:val="0"/>
                <w:bCs w:val="0"/>
                <w:color w:val="auto"/>
                <w:kern w:val="0"/>
                <w:sz w:val="21"/>
                <w:szCs w:val="21"/>
                <w:highlight w:val="none"/>
              </w:rPr>
            </w:pPr>
            <w:r>
              <w:rPr>
                <w:rFonts w:hint="eastAsia" w:ascii="Times New Roman" w:hAnsi="Times New Roman" w:eastAsia="宋体" w:cs="Times New Roman"/>
                <w:b w:val="0"/>
                <w:bCs w:val="0"/>
                <w:color w:val="auto"/>
                <w:kern w:val="0"/>
                <w:sz w:val="21"/>
                <w:szCs w:val="21"/>
                <w:highlight w:val="none"/>
              </w:rPr>
              <w:t>0.8</w:t>
            </w:r>
          </w:p>
        </w:tc>
      </w:tr>
    </w:tbl>
    <w:p w14:paraId="5F30F08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6.2.1.11大气环境影响评价结论</w:t>
      </w:r>
    </w:p>
    <w:p w14:paraId="398D3663">
      <w:pPr>
        <w:widowControl/>
        <w:spacing w:line="360" w:lineRule="auto"/>
        <w:ind w:firstLine="240" w:firstLineChars="100"/>
        <w:jc w:val="left"/>
        <w:rPr>
          <w:color w:val="auto"/>
          <w:sz w:val="24"/>
          <w:highlight w:val="none"/>
        </w:rPr>
      </w:pPr>
      <w:r>
        <w:rPr>
          <w:color w:val="auto"/>
          <w:sz w:val="24"/>
          <w:highlight w:val="none"/>
        </w:rPr>
        <w:t>（1）建设工程完成后，各生产工序在各环保设施正常运行条件下，污染源正常排放下SO</w:t>
      </w:r>
      <w:r>
        <w:rPr>
          <w:color w:val="auto"/>
          <w:sz w:val="24"/>
          <w:highlight w:val="none"/>
          <w:vertAlign w:val="subscript"/>
        </w:rPr>
        <w:t>2</w:t>
      </w:r>
      <w:r>
        <w:rPr>
          <w:color w:val="auto"/>
          <w:sz w:val="24"/>
          <w:highlight w:val="none"/>
        </w:rPr>
        <w:t>、NO</w:t>
      </w:r>
      <w:r>
        <w:rPr>
          <w:color w:val="auto"/>
          <w:sz w:val="24"/>
          <w:highlight w:val="none"/>
          <w:vertAlign w:val="subscript"/>
        </w:rPr>
        <w:t>2</w:t>
      </w:r>
      <w:r>
        <w:rPr>
          <w:color w:val="auto"/>
          <w:sz w:val="24"/>
          <w:highlight w:val="none"/>
        </w:rPr>
        <w:t>、PM</w:t>
      </w:r>
      <w:r>
        <w:rPr>
          <w:color w:val="auto"/>
          <w:sz w:val="24"/>
          <w:highlight w:val="none"/>
          <w:vertAlign w:val="subscript"/>
        </w:rPr>
        <w:t>10</w:t>
      </w:r>
      <w:r>
        <w:rPr>
          <w:color w:val="auto"/>
          <w:sz w:val="24"/>
          <w:highlight w:val="none"/>
        </w:rPr>
        <w:t>、PM</w:t>
      </w:r>
      <w:r>
        <w:rPr>
          <w:color w:val="auto"/>
          <w:sz w:val="24"/>
          <w:highlight w:val="none"/>
          <w:vertAlign w:val="subscript"/>
        </w:rPr>
        <w:t>2.5</w:t>
      </w:r>
      <w:r>
        <w:rPr>
          <w:color w:val="auto"/>
          <w:sz w:val="24"/>
          <w:highlight w:val="none"/>
        </w:rPr>
        <w:t>、NMHC、</w:t>
      </w:r>
      <w:r>
        <w:rPr>
          <w:rFonts w:hint="eastAsia"/>
          <w:color w:val="auto"/>
          <w:sz w:val="24"/>
          <w:highlight w:val="none"/>
          <w:lang w:val="en-US" w:eastAsia="zh-CN"/>
        </w:rPr>
        <w:t>H</w:t>
      </w:r>
      <w:r>
        <w:rPr>
          <w:rFonts w:hint="eastAsia"/>
          <w:color w:val="auto"/>
          <w:sz w:val="24"/>
          <w:highlight w:val="none"/>
          <w:vertAlign w:val="subscript"/>
          <w:lang w:val="en-US" w:eastAsia="zh-CN"/>
        </w:rPr>
        <w:t>2</w:t>
      </w:r>
      <w:r>
        <w:rPr>
          <w:rFonts w:hint="eastAsia"/>
          <w:color w:val="auto"/>
          <w:sz w:val="24"/>
          <w:highlight w:val="none"/>
          <w:lang w:val="en-US" w:eastAsia="zh-CN"/>
        </w:rPr>
        <w:t>S、NH</w:t>
      </w:r>
      <w:r>
        <w:rPr>
          <w:rFonts w:hint="eastAsia"/>
          <w:color w:val="auto"/>
          <w:sz w:val="24"/>
          <w:highlight w:val="none"/>
          <w:vertAlign w:val="subscript"/>
          <w:lang w:val="en-US" w:eastAsia="zh-CN"/>
        </w:rPr>
        <w:t>3</w:t>
      </w:r>
      <w:r>
        <w:rPr>
          <w:rFonts w:hint="eastAsia"/>
          <w:color w:val="auto"/>
          <w:sz w:val="24"/>
          <w:highlight w:val="none"/>
          <w:lang w:val="en-US" w:eastAsia="zh-CN"/>
        </w:rPr>
        <w:t>、</w:t>
      </w:r>
      <w:r>
        <w:rPr>
          <w:color w:val="auto"/>
          <w:sz w:val="24"/>
          <w:highlight w:val="none"/>
        </w:rPr>
        <w:t>硫酸短期浓度贡献值的最大浓度占标率≤100%；</w:t>
      </w:r>
    </w:p>
    <w:p w14:paraId="0FFE4CCE">
      <w:pPr>
        <w:widowControl/>
        <w:spacing w:line="360" w:lineRule="auto"/>
        <w:ind w:firstLine="240" w:firstLineChars="100"/>
        <w:jc w:val="left"/>
        <w:rPr>
          <w:color w:val="auto"/>
          <w:sz w:val="24"/>
          <w:highlight w:val="none"/>
        </w:rPr>
      </w:pPr>
      <w:r>
        <w:rPr>
          <w:color w:val="auto"/>
          <w:sz w:val="24"/>
          <w:highlight w:val="none"/>
        </w:rPr>
        <w:t>（2）建设工程完成后，各生产工序在各环保设施正常运行条件下，新增污染源正常排放下SO</w:t>
      </w:r>
      <w:r>
        <w:rPr>
          <w:color w:val="auto"/>
          <w:sz w:val="24"/>
          <w:highlight w:val="none"/>
          <w:vertAlign w:val="subscript"/>
        </w:rPr>
        <w:t>2</w:t>
      </w:r>
      <w:r>
        <w:rPr>
          <w:color w:val="auto"/>
          <w:sz w:val="24"/>
          <w:highlight w:val="none"/>
        </w:rPr>
        <w:t>、NO</w:t>
      </w:r>
      <w:r>
        <w:rPr>
          <w:color w:val="auto"/>
          <w:sz w:val="24"/>
          <w:highlight w:val="none"/>
          <w:vertAlign w:val="subscript"/>
        </w:rPr>
        <w:t>2</w:t>
      </w:r>
      <w:r>
        <w:rPr>
          <w:color w:val="auto"/>
          <w:sz w:val="24"/>
          <w:highlight w:val="none"/>
        </w:rPr>
        <w:t>、PM</w:t>
      </w:r>
      <w:r>
        <w:rPr>
          <w:color w:val="auto"/>
          <w:sz w:val="24"/>
          <w:highlight w:val="none"/>
          <w:vertAlign w:val="subscript"/>
        </w:rPr>
        <w:t>10</w:t>
      </w:r>
      <w:r>
        <w:rPr>
          <w:color w:val="auto"/>
          <w:sz w:val="24"/>
          <w:highlight w:val="none"/>
        </w:rPr>
        <w:t>、PM</w:t>
      </w:r>
      <w:r>
        <w:rPr>
          <w:color w:val="auto"/>
          <w:sz w:val="24"/>
          <w:highlight w:val="none"/>
          <w:vertAlign w:val="subscript"/>
        </w:rPr>
        <w:t>2.5</w:t>
      </w:r>
      <w:r>
        <w:rPr>
          <w:color w:val="auto"/>
          <w:sz w:val="24"/>
          <w:highlight w:val="none"/>
        </w:rPr>
        <w:t>年均浓度贡献值的最大浓度占标率≤30%；</w:t>
      </w:r>
    </w:p>
    <w:p w14:paraId="5BE1B609">
      <w:pPr>
        <w:keepNext w:val="0"/>
        <w:keepLines w:val="0"/>
        <w:pageBreakBefore w:val="0"/>
        <w:widowControl/>
        <w:kinsoku/>
        <w:wordWrap/>
        <w:overflowPunct/>
        <w:topLinePunct w:val="0"/>
        <w:autoSpaceDE/>
        <w:autoSpaceDN/>
        <w:bidi w:val="0"/>
        <w:adjustRightInd w:val="0"/>
        <w:snapToGrid w:val="0"/>
        <w:spacing w:line="360" w:lineRule="auto"/>
        <w:ind w:firstLine="240" w:firstLineChars="100"/>
        <w:jc w:val="left"/>
        <w:textAlignment w:val="auto"/>
        <w:rPr>
          <w:rFonts w:eastAsia="宋体"/>
          <w:color w:val="auto"/>
          <w:kern w:val="0"/>
          <w:sz w:val="24"/>
          <w:highlight w:val="none"/>
        </w:rPr>
      </w:pPr>
      <w:r>
        <w:rPr>
          <w:rFonts w:eastAsia="宋体"/>
          <w:color w:val="auto"/>
          <w:kern w:val="0"/>
          <w:sz w:val="24"/>
          <w:highlight w:val="none"/>
        </w:rPr>
        <w:t>（3）</w:t>
      </w:r>
      <w:r>
        <w:rPr>
          <w:rFonts w:hint="eastAsia" w:ascii="Times New Roman" w:hAnsi="Times New Roman" w:eastAsia="宋体" w:cs="Times New Roman"/>
          <w:snapToGrid w:val="0"/>
          <w:color w:val="auto"/>
          <w:kern w:val="0"/>
          <w:sz w:val="24"/>
          <w:highlight w:val="none"/>
        </w:rPr>
        <w:t>SO</w:t>
      </w:r>
      <w:r>
        <w:rPr>
          <w:rFonts w:hint="eastAsia" w:ascii="Times New Roman" w:hAnsi="Times New Roman" w:eastAsia="宋体" w:cs="Times New Roman"/>
          <w:snapToGrid w:val="0"/>
          <w:color w:val="auto"/>
          <w:kern w:val="0"/>
          <w:sz w:val="24"/>
          <w:highlight w:val="none"/>
          <w:vertAlign w:val="subscript"/>
        </w:rPr>
        <w:t>2</w:t>
      </w:r>
      <w:r>
        <w:rPr>
          <w:rFonts w:hint="eastAsia" w:ascii="Times New Roman" w:hAnsi="Times New Roman" w:eastAsia="宋体" w:cs="Times New Roman"/>
          <w:snapToGrid w:val="0"/>
          <w:color w:val="auto"/>
          <w:kern w:val="0"/>
          <w:sz w:val="24"/>
          <w:highlight w:val="none"/>
        </w:rPr>
        <w:t>、NO</w:t>
      </w:r>
      <w:r>
        <w:rPr>
          <w:rFonts w:hint="eastAsia" w:ascii="Times New Roman" w:hAnsi="Times New Roman" w:eastAsia="宋体" w:cs="Times New Roman"/>
          <w:snapToGrid w:val="0"/>
          <w:color w:val="auto"/>
          <w:kern w:val="0"/>
          <w:sz w:val="24"/>
          <w:highlight w:val="none"/>
          <w:vertAlign w:val="subscript"/>
        </w:rPr>
        <w:t>2</w:t>
      </w:r>
      <w:r>
        <w:rPr>
          <w:rFonts w:ascii="Times New Roman" w:hAnsi="Times New Roman" w:eastAsia="宋体" w:cs="Times New Roman"/>
          <w:snapToGrid w:val="0"/>
          <w:color w:val="auto"/>
          <w:kern w:val="0"/>
          <w:sz w:val="24"/>
          <w:highlight w:val="none"/>
        </w:rPr>
        <w:t>叠加背景浓度</w:t>
      </w:r>
      <w:r>
        <w:rPr>
          <w:rFonts w:hint="eastAsia" w:ascii="Times New Roman" w:hAnsi="Times New Roman" w:eastAsia="宋体" w:cs="Times New Roman"/>
          <w:snapToGrid w:val="0"/>
          <w:color w:val="auto"/>
          <w:kern w:val="0"/>
          <w:sz w:val="24"/>
          <w:highlight w:val="none"/>
        </w:rPr>
        <w:t>+在建拟建项目污染源后，保证率日平均质量浓度和年平均质量浓度均符合《环境空气质量标准》（GB3095-20</w:t>
      </w:r>
      <w:r>
        <w:rPr>
          <w:rFonts w:hint="eastAsia" w:ascii="Times New Roman" w:hAnsi="Times New Roman" w:eastAsia="宋体" w:cs="Times New Roman"/>
          <w:snapToGrid w:val="0"/>
          <w:color w:val="auto"/>
          <w:kern w:val="0"/>
          <w:sz w:val="24"/>
          <w:highlight w:val="none"/>
          <w:lang w:val="en-US" w:eastAsia="zh-CN"/>
        </w:rPr>
        <w:t>26</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过渡阶段</w:t>
      </w:r>
      <w:r>
        <w:rPr>
          <w:rFonts w:hint="eastAsia" w:ascii="Times New Roman" w:hAnsi="Times New Roman" w:eastAsia="宋体" w:cs="Times New Roman"/>
          <w:snapToGrid w:val="0"/>
          <w:color w:val="auto"/>
          <w:kern w:val="0"/>
          <w:sz w:val="24"/>
          <w:highlight w:val="none"/>
        </w:rPr>
        <w:t>二级标准</w:t>
      </w:r>
      <w:r>
        <w:rPr>
          <w:rFonts w:hint="eastAsia" w:ascii="Times New Roman" w:hAnsi="Times New Roman" w:eastAsia="宋体" w:cs="Times New Roman"/>
          <w:snapToGrid w:val="0"/>
          <w:color w:val="auto"/>
          <w:kern w:val="0"/>
          <w:sz w:val="24"/>
          <w:highlight w:val="none"/>
          <w:lang w:eastAsia="zh-CN"/>
        </w:rPr>
        <w:t>；</w:t>
      </w:r>
      <w:r>
        <w:rPr>
          <w:rFonts w:hint="eastAsia" w:ascii="Times New Roman" w:hAnsi="Times New Roman" w:eastAsia="宋体" w:cs="Times New Roman"/>
          <w:snapToGrid w:val="0"/>
          <w:color w:val="auto"/>
          <w:kern w:val="0"/>
          <w:sz w:val="24"/>
          <w:highlight w:val="none"/>
        </w:rPr>
        <w:t>H</w:t>
      </w:r>
      <w:r>
        <w:rPr>
          <w:rFonts w:hint="eastAsia" w:ascii="Times New Roman" w:hAnsi="Times New Roman" w:eastAsia="宋体" w:cs="Times New Roman"/>
          <w:snapToGrid w:val="0"/>
          <w:color w:val="auto"/>
          <w:kern w:val="0"/>
          <w:sz w:val="24"/>
          <w:highlight w:val="none"/>
          <w:vertAlign w:val="subscript"/>
        </w:rPr>
        <w:t>2</w:t>
      </w:r>
      <w:r>
        <w:rPr>
          <w:rFonts w:hint="eastAsia" w:ascii="Times New Roman" w:hAnsi="Times New Roman" w:eastAsia="宋体" w:cs="Times New Roman"/>
          <w:snapToGrid w:val="0"/>
          <w:color w:val="auto"/>
          <w:kern w:val="0"/>
          <w:sz w:val="24"/>
          <w:highlight w:val="none"/>
        </w:rPr>
        <w:t>SO</w:t>
      </w:r>
      <w:r>
        <w:rPr>
          <w:rFonts w:hint="eastAsia" w:ascii="Times New Roman" w:hAnsi="Times New Roman" w:eastAsia="宋体" w:cs="Times New Roman"/>
          <w:snapToGrid w:val="0"/>
          <w:color w:val="auto"/>
          <w:kern w:val="0"/>
          <w:sz w:val="24"/>
          <w:highlight w:val="none"/>
          <w:vertAlign w:val="subscript"/>
        </w:rPr>
        <w:t>4</w:t>
      </w:r>
      <w:r>
        <w:rPr>
          <w:rFonts w:hint="eastAsia" w:ascii="Times New Roman" w:hAnsi="Times New Roman" w:eastAsia="宋体" w:cs="Times New Roman"/>
          <w:snapToGrid w:val="0"/>
          <w:color w:val="auto"/>
          <w:kern w:val="0"/>
          <w:sz w:val="24"/>
          <w:highlight w:val="none"/>
          <w:vertAlign w:val="baseline"/>
          <w:lang w:val="en-US" w:eastAsia="zh-CN"/>
        </w:rPr>
        <w:t>和NH</w:t>
      </w:r>
      <w:r>
        <w:rPr>
          <w:rFonts w:hint="eastAsia" w:ascii="Times New Roman" w:hAnsi="Times New Roman" w:eastAsia="宋体" w:cs="Times New Roman"/>
          <w:snapToGrid w:val="0"/>
          <w:color w:val="auto"/>
          <w:kern w:val="0"/>
          <w:sz w:val="24"/>
          <w:highlight w:val="none"/>
          <w:vertAlign w:val="subscript"/>
          <w:lang w:val="en-US" w:eastAsia="zh-CN"/>
        </w:rPr>
        <w:t>3</w:t>
      </w:r>
      <w:r>
        <w:rPr>
          <w:rFonts w:hint="eastAsia" w:ascii="Times New Roman" w:hAnsi="Times New Roman" w:eastAsia="宋体" w:cs="Times New Roman"/>
          <w:snapToGrid w:val="0"/>
          <w:color w:val="auto"/>
          <w:kern w:val="0"/>
          <w:sz w:val="24"/>
          <w:highlight w:val="none"/>
        </w:rPr>
        <w:t>叠加背景</w:t>
      </w:r>
      <w:r>
        <w:rPr>
          <w:rFonts w:ascii="Times New Roman" w:hAnsi="Times New Roman" w:eastAsia="宋体" w:cs="Times New Roman"/>
          <w:snapToGrid w:val="0"/>
          <w:color w:val="auto"/>
          <w:kern w:val="0"/>
          <w:sz w:val="24"/>
          <w:highlight w:val="none"/>
        </w:rPr>
        <w:t>浓度</w:t>
      </w:r>
      <w:r>
        <w:rPr>
          <w:rFonts w:hint="eastAsia" w:ascii="Times New Roman" w:hAnsi="Times New Roman" w:eastAsia="宋体" w:cs="Times New Roman"/>
          <w:snapToGrid w:val="0"/>
          <w:color w:val="auto"/>
          <w:kern w:val="0"/>
          <w:sz w:val="24"/>
          <w:highlight w:val="none"/>
        </w:rPr>
        <w:t>+在建拟建项目污染源后，短期浓度满足《环境影响评价技术导则 大气环境》（HJ 2.2-2018）附录D标准</w:t>
      </w:r>
      <w:r>
        <w:rPr>
          <w:rFonts w:hint="eastAsia" w:ascii="Times New Roman" w:hAnsi="Times New Roman" w:eastAsia="宋体" w:cs="Times New Roman"/>
          <w:snapToGrid w:val="0"/>
          <w:color w:val="auto"/>
          <w:kern w:val="0"/>
          <w:sz w:val="24"/>
          <w:highlight w:val="none"/>
          <w:lang w:eastAsia="zh-CN"/>
        </w:rPr>
        <w:t>；</w:t>
      </w:r>
      <w:r>
        <w:rPr>
          <w:rFonts w:hint="eastAsia" w:ascii="Times New Roman" w:hAnsi="Times New Roman" w:eastAsia="宋体" w:cs="Times New Roman"/>
          <w:snapToGrid w:val="0"/>
          <w:color w:val="auto"/>
          <w:kern w:val="0"/>
          <w:sz w:val="24"/>
          <w:highlight w:val="none"/>
        </w:rPr>
        <w:t>NMHC叠加背景</w:t>
      </w:r>
      <w:r>
        <w:rPr>
          <w:rFonts w:ascii="Times New Roman" w:hAnsi="Times New Roman" w:eastAsia="宋体" w:cs="Times New Roman"/>
          <w:snapToGrid w:val="0"/>
          <w:color w:val="auto"/>
          <w:kern w:val="0"/>
          <w:sz w:val="24"/>
          <w:highlight w:val="none"/>
        </w:rPr>
        <w:t>浓度</w:t>
      </w:r>
      <w:r>
        <w:rPr>
          <w:rFonts w:hint="eastAsia" w:ascii="Times New Roman" w:hAnsi="Times New Roman" w:eastAsia="宋体" w:cs="Times New Roman"/>
          <w:snapToGrid w:val="0"/>
          <w:color w:val="auto"/>
          <w:kern w:val="0"/>
          <w:sz w:val="24"/>
          <w:highlight w:val="none"/>
        </w:rPr>
        <w:t>+在建拟建项目污染源后，短期浓度满足</w:t>
      </w:r>
      <w:r>
        <w:rPr>
          <w:rFonts w:hint="eastAsia" w:eastAsia="宋体"/>
          <w:snapToGrid w:val="0"/>
          <w:color w:val="auto"/>
          <w:kern w:val="0"/>
          <w:sz w:val="24"/>
          <w:highlight w:val="none"/>
        </w:rPr>
        <w:t>《大气污染物综合排放标准详解》</w:t>
      </w:r>
      <w:r>
        <w:rPr>
          <w:rFonts w:hint="eastAsia" w:ascii="Times New Roman" w:hAnsi="Times New Roman" w:eastAsia="宋体" w:cs="Times New Roman"/>
          <w:snapToGrid w:val="0"/>
          <w:color w:val="auto"/>
          <w:kern w:val="0"/>
          <w:sz w:val="24"/>
          <w:highlight w:val="none"/>
        </w:rPr>
        <w:t>中的浓度限值标准</w:t>
      </w:r>
      <w:r>
        <w:rPr>
          <w:rFonts w:hint="eastAsia" w:ascii="Times New Roman" w:hAnsi="Times New Roman" w:eastAsia="宋体" w:cs="Times New Roman"/>
          <w:snapToGrid w:val="0"/>
          <w:color w:val="auto"/>
          <w:kern w:val="0"/>
          <w:sz w:val="24"/>
          <w:highlight w:val="none"/>
          <w:lang w:val="en-US" w:eastAsia="zh-CN"/>
        </w:rPr>
        <w:t>；H</w:t>
      </w:r>
      <w:r>
        <w:rPr>
          <w:rFonts w:hint="eastAsia" w:ascii="Times New Roman" w:hAnsi="Times New Roman" w:eastAsia="宋体" w:cs="Times New Roman"/>
          <w:snapToGrid w:val="0"/>
          <w:color w:val="auto"/>
          <w:kern w:val="0"/>
          <w:sz w:val="24"/>
          <w:highlight w:val="none"/>
          <w:vertAlign w:val="subscript"/>
          <w:lang w:val="en-US" w:eastAsia="zh-CN"/>
        </w:rPr>
        <w:t>2</w:t>
      </w:r>
      <w:r>
        <w:rPr>
          <w:rFonts w:hint="eastAsia" w:ascii="Times New Roman" w:hAnsi="Times New Roman" w:eastAsia="宋体" w:cs="Times New Roman"/>
          <w:snapToGrid w:val="0"/>
          <w:color w:val="auto"/>
          <w:kern w:val="0"/>
          <w:sz w:val="24"/>
          <w:highlight w:val="none"/>
          <w:lang w:val="en-US" w:eastAsia="zh-CN"/>
        </w:rPr>
        <w:t>S</w:t>
      </w:r>
      <w:r>
        <w:rPr>
          <w:rFonts w:hint="eastAsia" w:ascii="Times New Roman" w:hAnsi="Times New Roman" w:eastAsia="宋体" w:cs="Times New Roman"/>
          <w:snapToGrid w:val="0"/>
          <w:color w:val="auto"/>
          <w:kern w:val="0"/>
          <w:sz w:val="24"/>
          <w:highlight w:val="none"/>
        </w:rPr>
        <w:t>叠加背景</w:t>
      </w:r>
      <w:r>
        <w:rPr>
          <w:rFonts w:ascii="Times New Roman" w:hAnsi="Times New Roman" w:eastAsia="宋体" w:cs="Times New Roman"/>
          <w:snapToGrid w:val="0"/>
          <w:color w:val="auto"/>
          <w:kern w:val="0"/>
          <w:sz w:val="24"/>
          <w:highlight w:val="none"/>
        </w:rPr>
        <w:t>浓度</w:t>
      </w:r>
      <w:r>
        <w:rPr>
          <w:rFonts w:hint="eastAsia" w:ascii="Times New Roman" w:hAnsi="Times New Roman" w:eastAsia="宋体" w:cs="Times New Roman"/>
          <w:snapToGrid w:val="0"/>
          <w:color w:val="auto"/>
          <w:kern w:val="0"/>
          <w:sz w:val="24"/>
          <w:highlight w:val="none"/>
        </w:rPr>
        <w:t>后，短期浓度满足《环境影响评价技术导则 大气环境》（HJ 2.2-2018）附录D中的浓度限值标准</w:t>
      </w:r>
      <w:r>
        <w:rPr>
          <w:rFonts w:hint="eastAsia" w:ascii="Times New Roman" w:hAnsi="Times New Roman" w:eastAsia="宋体" w:cs="Times New Roman"/>
          <w:snapToGrid w:val="0"/>
          <w:color w:val="auto"/>
          <w:kern w:val="0"/>
          <w:sz w:val="24"/>
          <w:highlight w:val="none"/>
          <w:lang w:eastAsia="zh-CN"/>
        </w:rPr>
        <w:t>。</w:t>
      </w:r>
    </w:p>
    <w:p w14:paraId="0141C2C1">
      <w:pPr>
        <w:widowControl/>
        <w:spacing w:line="360" w:lineRule="auto"/>
        <w:ind w:firstLine="240" w:firstLineChars="100"/>
        <w:jc w:val="left"/>
        <w:rPr>
          <w:color w:val="auto"/>
          <w:sz w:val="24"/>
          <w:highlight w:val="none"/>
        </w:rPr>
      </w:pPr>
      <w:r>
        <w:rPr>
          <w:color w:val="auto"/>
          <w:sz w:val="24"/>
          <w:highlight w:val="none"/>
        </w:rPr>
        <w:t>（4）本项目PM</w:t>
      </w:r>
      <w:r>
        <w:rPr>
          <w:color w:val="auto"/>
          <w:sz w:val="24"/>
          <w:highlight w:val="none"/>
          <w:vertAlign w:val="subscript"/>
        </w:rPr>
        <w:t>10</w:t>
      </w:r>
      <w:r>
        <w:rPr>
          <w:color w:val="auto"/>
          <w:sz w:val="24"/>
          <w:highlight w:val="none"/>
        </w:rPr>
        <w:t>、PM</w:t>
      </w:r>
      <w:r>
        <w:rPr>
          <w:color w:val="auto"/>
          <w:sz w:val="24"/>
          <w:highlight w:val="none"/>
          <w:vertAlign w:val="subscript"/>
        </w:rPr>
        <w:t>2.5</w:t>
      </w:r>
      <w:r>
        <w:rPr>
          <w:color w:val="auto"/>
          <w:sz w:val="24"/>
          <w:highlight w:val="none"/>
        </w:rPr>
        <w:t>实施削减后预测范围的颗粒物年平均浓度变化率k=</w:t>
      </w:r>
      <w:r>
        <w:rPr>
          <w:rFonts w:hint="eastAsia"/>
          <w:snapToGrid w:val="0"/>
          <w:color w:val="auto"/>
          <w:kern w:val="0"/>
          <w:sz w:val="24"/>
          <w:highlight w:val="none"/>
          <w:lang w:eastAsia="zh-CN"/>
        </w:rPr>
        <w:t>-91.06</w:t>
      </w:r>
      <w:r>
        <w:rPr>
          <w:rFonts w:hint="eastAsia"/>
          <w:snapToGrid w:val="0"/>
          <w:color w:val="auto"/>
          <w:kern w:val="0"/>
          <w:sz w:val="24"/>
          <w:highlight w:val="none"/>
        </w:rPr>
        <w:t>%</w:t>
      </w:r>
      <w:r>
        <w:rPr>
          <w:rFonts w:hint="eastAsia"/>
          <w:snapToGrid w:val="0"/>
          <w:color w:val="auto"/>
          <w:kern w:val="0"/>
          <w:sz w:val="24"/>
          <w:highlight w:val="none"/>
          <w:lang w:eastAsia="zh-CN"/>
        </w:rPr>
        <w:t>、k=-</w:t>
      </w:r>
      <w:r>
        <w:rPr>
          <w:rFonts w:hint="eastAsia"/>
          <w:snapToGrid w:val="0"/>
          <w:color w:val="auto"/>
          <w:kern w:val="0"/>
          <w:sz w:val="24"/>
          <w:highlight w:val="none"/>
          <w:lang w:val="en-US" w:eastAsia="zh-CN"/>
        </w:rPr>
        <w:t>55.17</w:t>
      </w:r>
      <w:r>
        <w:rPr>
          <w:rFonts w:hint="eastAsia"/>
          <w:snapToGrid w:val="0"/>
          <w:color w:val="auto"/>
          <w:kern w:val="0"/>
          <w:sz w:val="24"/>
          <w:highlight w:val="none"/>
          <w:lang w:eastAsia="zh-CN"/>
        </w:rPr>
        <w:t>%</w:t>
      </w:r>
      <w:r>
        <w:rPr>
          <w:color w:val="auto"/>
          <w:sz w:val="24"/>
          <w:highlight w:val="none"/>
        </w:rPr>
        <w:t>，浓度变化率k</w:t>
      </w:r>
      <w:r>
        <w:rPr>
          <w:rFonts w:hint="eastAsia"/>
          <w:color w:val="auto"/>
          <w:sz w:val="24"/>
          <w:highlight w:val="none"/>
          <w:lang w:val="en-US" w:eastAsia="zh-CN"/>
        </w:rPr>
        <w:t>均</w:t>
      </w:r>
      <w:r>
        <w:rPr>
          <w:color w:val="auto"/>
          <w:sz w:val="24"/>
          <w:highlight w:val="none"/>
        </w:rPr>
        <w:t>&lt;-20%。</w:t>
      </w:r>
    </w:p>
    <w:p w14:paraId="20A2B55A">
      <w:pPr>
        <w:widowControl/>
        <w:spacing w:line="360" w:lineRule="auto"/>
        <w:ind w:firstLine="240" w:firstLineChars="100"/>
        <w:jc w:val="left"/>
        <w:rPr>
          <w:color w:val="auto"/>
          <w:sz w:val="24"/>
          <w:highlight w:val="none"/>
        </w:rPr>
      </w:pPr>
      <w:r>
        <w:rPr>
          <w:color w:val="auto"/>
          <w:sz w:val="24"/>
          <w:highlight w:val="none"/>
        </w:rPr>
        <w:t>（</w:t>
      </w:r>
      <w:r>
        <w:rPr>
          <w:rFonts w:hint="eastAsia"/>
          <w:color w:val="auto"/>
          <w:sz w:val="24"/>
          <w:highlight w:val="none"/>
        </w:rPr>
        <w:t>5</w:t>
      </w:r>
      <w:r>
        <w:rPr>
          <w:color w:val="auto"/>
          <w:sz w:val="24"/>
          <w:highlight w:val="none"/>
        </w:rPr>
        <w:t>）若发生非正常工况排放，各污染物短期浓度达标，及时采取措施后，不会造成环境质量大幅下降。但事故时间越长，影响范围越大，会对区域大气环境质量造成一定的影响。项目运营需加强生产管理，尽量减少非计划装置开停车，并缩短开停车时间，同时避免环保设施事故排放，减少对周围大气环境及敏感目标的影响。</w:t>
      </w:r>
    </w:p>
    <w:p w14:paraId="0A5ABA69">
      <w:pPr>
        <w:widowControl/>
        <w:spacing w:line="360" w:lineRule="auto"/>
        <w:ind w:firstLine="240" w:firstLineChars="100"/>
        <w:jc w:val="left"/>
        <w:rPr>
          <w:color w:val="auto"/>
          <w:sz w:val="24"/>
          <w:highlight w:val="none"/>
        </w:rPr>
      </w:pPr>
      <w:r>
        <w:rPr>
          <w:color w:val="auto"/>
          <w:sz w:val="24"/>
          <w:highlight w:val="none"/>
        </w:rPr>
        <w:t>（</w:t>
      </w:r>
      <w:r>
        <w:rPr>
          <w:rFonts w:hint="eastAsia"/>
          <w:color w:val="auto"/>
          <w:sz w:val="24"/>
          <w:highlight w:val="none"/>
        </w:rPr>
        <w:t>6</w:t>
      </w:r>
      <w:r>
        <w:rPr>
          <w:color w:val="auto"/>
          <w:sz w:val="24"/>
          <w:highlight w:val="none"/>
        </w:rPr>
        <w:t>）本项目不设置大气防护距离。</w:t>
      </w:r>
    </w:p>
    <w:p w14:paraId="4287CD8A">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综上，本次评价认为项目的建设对大气环境的影响可以接受</w:t>
      </w:r>
      <w:r>
        <w:rPr>
          <w:rFonts w:ascii="Times New Roman" w:hAnsi="Times New Roman" w:eastAsia="宋体" w:cs="Times New Roman"/>
          <w:snapToGrid w:val="0"/>
          <w:color w:val="auto"/>
          <w:kern w:val="0"/>
          <w:highlight w:val="none"/>
        </w:rPr>
        <w:t>。</w:t>
      </w:r>
    </w:p>
    <w:p w14:paraId="21F5415D">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表6.2-2</w:t>
      </w:r>
      <w:r>
        <w:rPr>
          <w:rFonts w:hint="eastAsia" w:ascii="Times New Roman" w:hAnsi="Times New Roman" w:cs="Times New Roman"/>
          <w:snapToGrid w:val="0"/>
          <w:color w:val="auto"/>
          <w:kern w:val="0"/>
          <w:sz w:val="21"/>
          <w:szCs w:val="21"/>
          <w:highlight w:val="none"/>
          <w:lang w:val="en-US" w:eastAsia="zh-CN"/>
        </w:rPr>
        <w:t>5</w:t>
      </w:r>
      <w:r>
        <w:rPr>
          <w:rFonts w:hint="eastAsia" w:ascii="Times New Roman" w:hAnsi="Times New Roman" w:cs="Times New Roman"/>
          <w:snapToGrid w:val="0"/>
          <w:color w:val="auto"/>
          <w:kern w:val="0"/>
          <w:sz w:val="21"/>
          <w:szCs w:val="21"/>
          <w:highlight w:val="none"/>
        </w:rPr>
        <w:t xml:space="preserve"> 建设项目大气环境影响评价自查表</w:t>
      </w:r>
    </w:p>
    <w:tbl>
      <w:tblPr>
        <w:tblStyle w:val="56"/>
        <w:tblW w:w="5066" w:type="pct"/>
        <w:jc w:val="center"/>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Layout w:type="fixed"/>
        <w:tblCellMar>
          <w:top w:w="0" w:type="dxa"/>
          <w:left w:w="0" w:type="dxa"/>
          <w:bottom w:w="0" w:type="dxa"/>
          <w:right w:w="0" w:type="dxa"/>
        </w:tblCellMar>
      </w:tblPr>
      <w:tblGrid>
        <w:gridCol w:w="670"/>
        <w:gridCol w:w="1494"/>
        <w:gridCol w:w="996"/>
        <w:gridCol w:w="267"/>
        <w:gridCol w:w="82"/>
        <w:gridCol w:w="282"/>
        <w:gridCol w:w="143"/>
        <w:gridCol w:w="235"/>
        <w:gridCol w:w="442"/>
        <w:gridCol w:w="447"/>
        <w:gridCol w:w="143"/>
        <w:gridCol w:w="669"/>
        <w:gridCol w:w="410"/>
        <w:gridCol w:w="97"/>
        <w:gridCol w:w="132"/>
        <w:gridCol w:w="519"/>
        <w:gridCol w:w="764"/>
        <w:gridCol w:w="547"/>
      </w:tblGrid>
      <w:tr w14:paraId="689E4D3A">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1298" w:type="pct"/>
            <w:gridSpan w:val="2"/>
            <w:tcBorders>
              <w:bottom w:val="single" w:color="000000" w:sz="6" w:space="0"/>
              <w:right w:val="single" w:color="000000" w:sz="6" w:space="0"/>
            </w:tcBorders>
            <w:shd w:val="clear" w:color="auto" w:fill="auto"/>
            <w:vAlign w:val="center"/>
          </w:tcPr>
          <w:p w14:paraId="5D6F0FCB">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lang w:val="en-US"/>
              </w:rPr>
              <w:t>项目名称</w:t>
            </w:r>
          </w:p>
        </w:tc>
        <w:tc>
          <w:tcPr>
            <w:tcW w:w="3701" w:type="pct"/>
            <w:gridSpan w:val="16"/>
            <w:tcBorders>
              <w:left w:val="single" w:color="000000" w:sz="6" w:space="0"/>
              <w:bottom w:val="single" w:color="000000" w:sz="6" w:space="0"/>
            </w:tcBorders>
            <w:shd w:val="clear" w:color="auto" w:fill="auto"/>
            <w:vAlign w:val="center"/>
          </w:tcPr>
          <w:p w14:paraId="52EF213A">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lang w:val="en-US"/>
              </w:rPr>
              <w:t>凯赛（乌苏）生物材料有限公司生物法年产40000吨二元酸项目</w:t>
            </w:r>
          </w:p>
        </w:tc>
      </w:tr>
      <w:tr w14:paraId="64B6D527">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restart"/>
            <w:tcBorders>
              <w:top w:val="single" w:color="000000" w:sz="6" w:space="0"/>
              <w:bottom w:val="single" w:color="000000" w:sz="6" w:space="0"/>
              <w:right w:val="single" w:color="000000" w:sz="6" w:space="0"/>
            </w:tcBorders>
            <w:vAlign w:val="center"/>
          </w:tcPr>
          <w:p w14:paraId="3209FC05">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评价等级与范围</w:t>
            </w:r>
          </w:p>
        </w:tc>
        <w:tc>
          <w:tcPr>
            <w:tcW w:w="896" w:type="pct"/>
            <w:tcBorders>
              <w:top w:val="single" w:color="000000" w:sz="6" w:space="0"/>
              <w:left w:val="single" w:color="000000" w:sz="6" w:space="0"/>
              <w:bottom w:val="single" w:color="000000" w:sz="6" w:space="0"/>
              <w:right w:val="single" w:color="000000" w:sz="6" w:space="0"/>
            </w:tcBorders>
            <w:vAlign w:val="center"/>
          </w:tcPr>
          <w:p w14:paraId="061EBBC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评价等级</w:t>
            </w:r>
          </w:p>
        </w:tc>
        <w:tc>
          <w:tcPr>
            <w:tcW w:w="1467" w:type="pct"/>
            <w:gridSpan w:val="7"/>
            <w:tcBorders>
              <w:top w:val="single" w:color="000000" w:sz="6" w:space="0"/>
              <w:left w:val="single" w:color="000000" w:sz="6" w:space="0"/>
              <w:bottom w:val="single" w:color="000000" w:sz="6" w:space="0"/>
              <w:right w:val="single" w:color="000000" w:sz="6" w:space="0"/>
            </w:tcBorders>
            <w:vAlign w:val="center"/>
          </w:tcPr>
          <w:p w14:paraId="4A24DB0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一级</w:t>
            </w:r>
            <w:r>
              <w:rPr>
                <w:rFonts w:hint="eastAsia" w:ascii="Times New Roman" w:hAnsi="Times New Roman" w:eastAsia="宋体" w:cs="Times New Roman"/>
                <w:snapToGrid w:val="0"/>
                <w:color w:val="auto"/>
                <w:kern w:val="0"/>
                <w:szCs w:val="21"/>
                <w:highlight w:val="none"/>
              </w:rPr>
              <w:t>☑</w:t>
            </w:r>
          </w:p>
        </w:tc>
        <w:tc>
          <w:tcPr>
            <w:tcW w:w="1448" w:type="pct"/>
            <w:gridSpan w:val="7"/>
            <w:tcBorders>
              <w:top w:val="single" w:color="000000" w:sz="6" w:space="0"/>
              <w:left w:val="single" w:color="000000" w:sz="6" w:space="0"/>
              <w:bottom w:val="single" w:color="000000" w:sz="6" w:space="0"/>
              <w:right w:val="single" w:color="000000" w:sz="6" w:space="0"/>
            </w:tcBorders>
            <w:vAlign w:val="center"/>
          </w:tcPr>
          <w:p w14:paraId="43594AF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二级</w:t>
            </w:r>
            <w:r>
              <w:rPr>
                <w:rFonts w:hint="eastAsia"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150934D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三级</w:t>
            </w:r>
            <w:r>
              <w:rPr>
                <w:rFonts w:hint="eastAsia" w:ascii="Times New Roman" w:hAnsi="Times New Roman" w:eastAsia="宋体" w:cs="Times New Roman"/>
                <w:snapToGrid w:val="0"/>
                <w:color w:val="auto"/>
                <w:kern w:val="0"/>
                <w:szCs w:val="21"/>
                <w:highlight w:val="none"/>
              </w:rPr>
              <w:t>□</w:t>
            </w:r>
          </w:p>
        </w:tc>
      </w:tr>
      <w:tr w14:paraId="635E6AFD">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025B38F2">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56A2479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评价范围</w:t>
            </w:r>
          </w:p>
        </w:tc>
        <w:tc>
          <w:tcPr>
            <w:tcW w:w="1467" w:type="pct"/>
            <w:gridSpan w:val="7"/>
            <w:tcBorders>
              <w:top w:val="single" w:color="000000" w:sz="6" w:space="0"/>
              <w:left w:val="single" w:color="000000" w:sz="6" w:space="0"/>
              <w:bottom w:val="single" w:color="000000" w:sz="6" w:space="0"/>
              <w:right w:val="single" w:color="000000" w:sz="6" w:space="0"/>
            </w:tcBorders>
            <w:vAlign w:val="center"/>
          </w:tcPr>
          <w:p w14:paraId="7DF65D24">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边长=50km</w:t>
            </w:r>
            <w:r>
              <w:rPr>
                <w:rFonts w:hint="eastAsia" w:ascii="Times New Roman" w:hAnsi="Times New Roman" w:eastAsia="宋体" w:cs="Times New Roman"/>
                <w:snapToGrid w:val="0"/>
                <w:color w:val="auto"/>
                <w:kern w:val="0"/>
                <w:szCs w:val="21"/>
                <w:highlight w:val="none"/>
              </w:rPr>
              <w:t>□</w:t>
            </w:r>
          </w:p>
        </w:tc>
        <w:tc>
          <w:tcPr>
            <w:tcW w:w="1448" w:type="pct"/>
            <w:gridSpan w:val="7"/>
            <w:tcBorders>
              <w:top w:val="single" w:color="000000" w:sz="6" w:space="0"/>
              <w:left w:val="single" w:color="000000" w:sz="6" w:space="0"/>
              <w:bottom w:val="single" w:color="000000" w:sz="6" w:space="0"/>
              <w:right w:val="single" w:color="000000" w:sz="6" w:space="0"/>
            </w:tcBorders>
            <w:vAlign w:val="center"/>
          </w:tcPr>
          <w:p w14:paraId="5882EE92">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边长5～50km</w:t>
            </w:r>
            <w:r>
              <w:rPr>
                <w:rFonts w:hint="eastAsia" w:ascii="Times New Roman" w:hAnsi="Times New Roman" w:eastAsia="宋体" w:cs="Times New Roman"/>
                <w:snapToGrid w:val="0"/>
                <w:color w:val="auto"/>
                <w:kern w:val="0"/>
                <w:szCs w:val="21"/>
                <w:highlight w:val="none"/>
                <w:lang w:eastAsia="zh-CN"/>
              </w:rPr>
              <w:t>☑</w:t>
            </w:r>
          </w:p>
        </w:tc>
        <w:tc>
          <w:tcPr>
            <w:tcW w:w="784" w:type="pct"/>
            <w:gridSpan w:val="2"/>
            <w:tcBorders>
              <w:top w:val="single" w:color="000000" w:sz="6" w:space="0"/>
              <w:left w:val="single" w:color="000000" w:sz="6" w:space="0"/>
              <w:bottom w:val="single" w:color="000000" w:sz="6" w:space="0"/>
            </w:tcBorders>
            <w:vAlign w:val="center"/>
          </w:tcPr>
          <w:p w14:paraId="727C4BDF">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边长=5km</w:t>
            </w:r>
            <w:r>
              <w:rPr>
                <w:rFonts w:hint="eastAsia" w:ascii="Times New Roman" w:hAnsi="Times New Roman" w:eastAsia="宋体" w:cs="Times New Roman"/>
                <w:snapToGrid w:val="0"/>
                <w:color w:val="auto"/>
                <w:kern w:val="0"/>
                <w:szCs w:val="21"/>
                <w:highlight w:val="none"/>
                <w:lang w:eastAsia="zh-CN"/>
              </w:rPr>
              <w:t>□</w:t>
            </w:r>
          </w:p>
        </w:tc>
      </w:tr>
      <w:tr w14:paraId="472D536D">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restart"/>
            <w:tcBorders>
              <w:top w:val="single" w:color="000000" w:sz="6" w:space="0"/>
              <w:bottom w:val="single" w:color="000000" w:sz="6" w:space="0"/>
              <w:right w:val="single" w:color="000000" w:sz="6" w:space="0"/>
            </w:tcBorders>
            <w:vAlign w:val="center"/>
          </w:tcPr>
          <w:p w14:paraId="00611DE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w:t>
            </w:r>
          </w:p>
          <w:p w14:paraId="0C95B73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因子</w:t>
            </w:r>
          </w:p>
        </w:tc>
        <w:tc>
          <w:tcPr>
            <w:tcW w:w="896" w:type="pct"/>
            <w:tcBorders>
              <w:top w:val="single" w:color="000000" w:sz="6" w:space="0"/>
              <w:left w:val="single" w:color="000000" w:sz="6" w:space="0"/>
              <w:bottom w:val="single" w:color="000000" w:sz="6" w:space="0"/>
              <w:right w:val="single" w:color="000000" w:sz="6" w:space="0"/>
            </w:tcBorders>
            <w:vAlign w:val="center"/>
          </w:tcPr>
          <w:p w14:paraId="5F0004BA">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SO</w:t>
            </w:r>
            <w:r>
              <w:rPr>
                <w:rFonts w:ascii="Times New Roman" w:hAnsi="Times New Roman" w:eastAsia="宋体" w:cs="Times New Roman"/>
                <w:snapToGrid w:val="0"/>
                <w:color w:val="auto"/>
                <w:kern w:val="0"/>
                <w:szCs w:val="21"/>
                <w:highlight w:val="none"/>
                <w:vertAlign w:val="subscript"/>
              </w:rPr>
              <w:t>2</w:t>
            </w:r>
            <w:r>
              <w:rPr>
                <w:rFonts w:ascii="Times New Roman" w:hAnsi="Times New Roman" w:eastAsia="宋体" w:cs="Times New Roman"/>
                <w:snapToGrid w:val="0"/>
                <w:color w:val="auto"/>
                <w:kern w:val="0"/>
                <w:szCs w:val="21"/>
                <w:highlight w:val="none"/>
              </w:rPr>
              <w:t>+NOx排放量</w:t>
            </w:r>
          </w:p>
        </w:tc>
        <w:tc>
          <w:tcPr>
            <w:tcW w:w="757" w:type="pct"/>
            <w:gridSpan w:val="2"/>
            <w:tcBorders>
              <w:top w:val="single" w:color="000000" w:sz="6" w:space="0"/>
              <w:left w:val="single" w:color="000000" w:sz="6" w:space="0"/>
              <w:bottom w:val="single" w:color="000000" w:sz="6" w:space="0"/>
              <w:right w:val="single" w:color="000000" w:sz="6" w:space="0"/>
            </w:tcBorders>
            <w:vAlign w:val="center"/>
          </w:tcPr>
          <w:p w14:paraId="1267AE89">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2000t/a</w:t>
            </w:r>
            <w:r>
              <w:rPr>
                <w:rFonts w:hint="eastAsia" w:ascii="Times New Roman" w:hAnsi="Times New Roman" w:eastAsia="宋体" w:cs="Times New Roman"/>
                <w:snapToGrid w:val="0"/>
                <w:color w:val="auto"/>
                <w:kern w:val="0"/>
                <w:szCs w:val="21"/>
                <w:highlight w:val="none"/>
              </w:rPr>
              <w:t>□</w:t>
            </w:r>
          </w:p>
        </w:tc>
        <w:tc>
          <w:tcPr>
            <w:tcW w:w="2159" w:type="pct"/>
            <w:gridSpan w:val="12"/>
            <w:tcBorders>
              <w:top w:val="single" w:color="000000" w:sz="6" w:space="0"/>
              <w:left w:val="single" w:color="000000" w:sz="6" w:space="0"/>
              <w:bottom w:val="single" w:color="000000" w:sz="6" w:space="0"/>
              <w:right w:val="single" w:color="000000" w:sz="6" w:space="0"/>
            </w:tcBorders>
            <w:vAlign w:val="center"/>
          </w:tcPr>
          <w:p w14:paraId="7E6365F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500~2000t/a</w:t>
            </w:r>
            <w:r>
              <w:rPr>
                <w:rFonts w:hint="eastAsia"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0B3FDB21">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hint="eastAsia" w:ascii="Times New Roman" w:hAnsi="Times New Roman" w:eastAsia="宋体" w:cs="Times New Roman"/>
                <w:snapToGrid w:val="0"/>
                <w:color w:val="auto"/>
                <w:kern w:val="0"/>
                <w:szCs w:val="21"/>
                <w:highlight w:val="none"/>
              </w:rPr>
              <w:t>&lt;</w:t>
            </w:r>
            <w:r>
              <w:rPr>
                <w:rFonts w:ascii="Times New Roman" w:hAnsi="Times New Roman" w:eastAsia="宋体" w:cs="Times New Roman"/>
                <w:snapToGrid w:val="0"/>
                <w:color w:val="auto"/>
                <w:kern w:val="0"/>
                <w:szCs w:val="21"/>
                <w:highlight w:val="none"/>
              </w:rPr>
              <w:t>500t/a</w:t>
            </w:r>
            <w:r>
              <w:rPr>
                <w:rFonts w:hint="eastAsia" w:ascii="Times New Roman" w:hAnsi="Times New Roman" w:eastAsia="宋体" w:cs="Times New Roman"/>
                <w:snapToGrid w:val="0"/>
                <w:color w:val="auto"/>
                <w:kern w:val="0"/>
                <w:szCs w:val="21"/>
                <w:highlight w:val="none"/>
                <w:lang w:eastAsia="zh-CN"/>
              </w:rPr>
              <w:t>☑</w:t>
            </w:r>
          </w:p>
        </w:tc>
      </w:tr>
      <w:tr w14:paraId="67A48362">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607E85F3">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60E13DC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评价因子</w:t>
            </w:r>
          </w:p>
        </w:tc>
        <w:tc>
          <w:tcPr>
            <w:tcW w:w="2222" w:type="pct"/>
            <w:gridSpan w:val="10"/>
            <w:tcBorders>
              <w:top w:val="single" w:color="000000" w:sz="6" w:space="0"/>
              <w:left w:val="single" w:color="000000" w:sz="6" w:space="0"/>
              <w:bottom w:val="single" w:color="000000" w:sz="6" w:space="0"/>
              <w:right w:val="single" w:color="000000" w:sz="6" w:space="0"/>
            </w:tcBorders>
            <w:vAlign w:val="center"/>
          </w:tcPr>
          <w:p w14:paraId="1043BE96">
            <w:pPr>
              <w:pStyle w:val="680"/>
              <w:tabs>
                <w:tab w:val="left" w:pos="3078"/>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基本污染物（SO</w:t>
            </w:r>
            <w:r>
              <w:rPr>
                <w:rFonts w:ascii="Times New Roman" w:hAnsi="Times New Roman" w:eastAsia="宋体" w:cs="Times New Roman"/>
                <w:snapToGrid w:val="0"/>
                <w:color w:val="auto"/>
                <w:kern w:val="0"/>
                <w:szCs w:val="21"/>
                <w:highlight w:val="none"/>
                <w:vertAlign w:val="subscript"/>
              </w:rPr>
              <w:t>2</w:t>
            </w:r>
            <w:r>
              <w:rPr>
                <w:rFonts w:ascii="Times New Roman" w:hAnsi="Times New Roman" w:eastAsia="宋体" w:cs="Times New Roman"/>
                <w:snapToGrid w:val="0"/>
                <w:color w:val="auto"/>
                <w:kern w:val="0"/>
                <w:szCs w:val="21"/>
                <w:highlight w:val="none"/>
              </w:rPr>
              <w:t>、NO</w:t>
            </w:r>
            <w:r>
              <w:rPr>
                <w:rFonts w:ascii="Times New Roman" w:hAnsi="Times New Roman" w:eastAsia="宋体" w:cs="Times New Roman"/>
                <w:snapToGrid w:val="0"/>
                <w:color w:val="auto"/>
                <w:kern w:val="0"/>
                <w:szCs w:val="21"/>
                <w:highlight w:val="none"/>
                <w:vertAlign w:val="subscript"/>
              </w:rPr>
              <w:t>2</w:t>
            </w:r>
            <w:r>
              <w:rPr>
                <w:rFonts w:ascii="Times New Roman" w:hAnsi="Times New Roman" w:eastAsia="宋体" w:cs="Times New Roman"/>
                <w:snapToGrid w:val="0"/>
                <w:color w:val="auto"/>
                <w:kern w:val="0"/>
                <w:szCs w:val="21"/>
                <w:highlight w:val="none"/>
              </w:rPr>
              <w:t>、PM</w:t>
            </w:r>
            <w:r>
              <w:rPr>
                <w:rFonts w:ascii="Times New Roman" w:hAnsi="Times New Roman" w:eastAsia="宋体" w:cs="Times New Roman"/>
                <w:snapToGrid w:val="0"/>
                <w:color w:val="auto"/>
                <w:kern w:val="0"/>
                <w:szCs w:val="21"/>
                <w:highlight w:val="none"/>
                <w:vertAlign w:val="subscript"/>
              </w:rPr>
              <w:t>10</w:t>
            </w:r>
            <w:r>
              <w:rPr>
                <w:rFonts w:ascii="Times New Roman" w:hAnsi="Times New Roman" w:eastAsia="宋体" w:cs="Times New Roman"/>
                <w:snapToGrid w:val="0"/>
                <w:color w:val="auto"/>
                <w:kern w:val="0"/>
                <w:szCs w:val="21"/>
                <w:highlight w:val="none"/>
              </w:rPr>
              <w:t>、PM</w:t>
            </w:r>
            <w:r>
              <w:rPr>
                <w:rFonts w:hint="eastAsia" w:ascii="Times New Roman" w:hAnsi="Times New Roman" w:eastAsia="宋体" w:cs="Times New Roman"/>
                <w:snapToGrid w:val="0"/>
                <w:color w:val="auto"/>
                <w:kern w:val="0"/>
                <w:szCs w:val="21"/>
                <w:highlight w:val="none"/>
                <w:vertAlign w:val="subscript"/>
                <w:lang w:val="en-US" w:eastAsia="zh-CN"/>
              </w:rPr>
              <w:t>2.5</w:t>
            </w:r>
            <w:r>
              <w:rPr>
                <w:rFonts w:hint="eastAsia" w:ascii="Times New Roman" w:hAnsi="Times New Roman" w:eastAsia="宋体" w:cs="Times New Roman"/>
                <w:snapToGrid w:val="0"/>
                <w:color w:val="auto"/>
                <w:kern w:val="0"/>
                <w:szCs w:val="21"/>
                <w:highlight w:val="none"/>
                <w:vertAlign w:val="baseline"/>
                <w:lang w:val="en-US" w:eastAsia="zh-CN"/>
              </w:rPr>
              <w:t>、CO、O</w:t>
            </w:r>
            <w:r>
              <w:rPr>
                <w:rFonts w:hint="eastAsia" w:ascii="Times New Roman" w:hAnsi="Times New Roman" w:eastAsia="宋体" w:cs="Times New Roman"/>
                <w:snapToGrid w:val="0"/>
                <w:color w:val="auto"/>
                <w:kern w:val="0"/>
                <w:szCs w:val="21"/>
                <w:highlight w:val="none"/>
                <w:vertAlign w:val="subscript"/>
                <w:lang w:val="en-US" w:eastAsia="zh-CN"/>
              </w:rPr>
              <w:t>3</w:t>
            </w:r>
            <w:r>
              <w:rPr>
                <w:rFonts w:ascii="Times New Roman" w:hAnsi="Times New Roman" w:eastAsia="宋体" w:cs="Times New Roman"/>
                <w:snapToGrid w:val="0"/>
                <w:color w:val="auto"/>
                <w:kern w:val="0"/>
                <w:szCs w:val="21"/>
                <w:highlight w:val="none"/>
              </w:rPr>
              <w:t>）</w:t>
            </w:r>
          </w:p>
          <w:p w14:paraId="3AA1F65D">
            <w:pPr>
              <w:pStyle w:val="680"/>
              <w:tabs>
                <w:tab w:val="left" w:pos="3078"/>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其他污染物（</w:t>
            </w:r>
            <w:r>
              <w:rPr>
                <w:rFonts w:hint="eastAsia" w:ascii="Times New Roman" w:hAnsi="Times New Roman" w:eastAsia="宋体" w:cs="Times New Roman"/>
                <w:snapToGrid w:val="0"/>
                <w:color w:val="auto"/>
                <w:kern w:val="0"/>
                <w:szCs w:val="21"/>
                <w:highlight w:val="none"/>
                <w:lang w:val="en-US"/>
              </w:rPr>
              <w:t>NH</w:t>
            </w:r>
            <w:r>
              <w:rPr>
                <w:rFonts w:hint="eastAsia" w:ascii="Times New Roman" w:hAnsi="Times New Roman" w:eastAsia="宋体" w:cs="Times New Roman"/>
                <w:snapToGrid w:val="0"/>
                <w:color w:val="auto"/>
                <w:kern w:val="0"/>
                <w:szCs w:val="21"/>
                <w:highlight w:val="none"/>
                <w:vertAlign w:val="subscript"/>
                <w:lang w:val="en-US"/>
              </w:rPr>
              <w:t>3</w:t>
            </w:r>
            <w:r>
              <w:rPr>
                <w:rFonts w:hint="eastAsia" w:ascii="Times New Roman" w:hAnsi="Times New Roman" w:eastAsia="宋体" w:cs="Times New Roman"/>
                <w:snapToGrid w:val="0"/>
                <w:color w:val="auto"/>
                <w:kern w:val="0"/>
                <w:szCs w:val="21"/>
                <w:highlight w:val="none"/>
                <w:lang w:val="en-US"/>
              </w:rPr>
              <w:t>、H</w:t>
            </w:r>
            <w:r>
              <w:rPr>
                <w:rFonts w:hint="eastAsia" w:ascii="Times New Roman" w:hAnsi="Times New Roman" w:eastAsia="宋体" w:cs="Times New Roman"/>
                <w:snapToGrid w:val="0"/>
                <w:color w:val="auto"/>
                <w:kern w:val="0"/>
                <w:szCs w:val="21"/>
                <w:highlight w:val="none"/>
                <w:vertAlign w:val="subscript"/>
                <w:lang w:val="en-US"/>
              </w:rPr>
              <w:t>2</w:t>
            </w:r>
            <w:r>
              <w:rPr>
                <w:rFonts w:hint="eastAsia" w:ascii="Times New Roman" w:hAnsi="Times New Roman" w:eastAsia="宋体" w:cs="Times New Roman"/>
                <w:snapToGrid w:val="0"/>
                <w:color w:val="auto"/>
                <w:kern w:val="0"/>
                <w:szCs w:val="21"/>
                <w:highlight w:val="none"/>
                <w:lang w:val="en-US"/>
              </w:rPr>
              <w:t>S、H</w:t>
            </w:r>
            <w:r>
              <w:rPr>
                <w:rFonts w:hint="eastAsia" w:ascii="Times New Roman" w:hAnsi="Times New Roman" w:eastAsia="宋体" w:cs="Times New Roman"/>
                <w:snapToGrid w:val="0"/>
                <w:color w:val="auto"/>
                <w:kern w:val="0"/>
                <w:szCs w:val="21"/>
                <w:highlight w:val="none"/>
                <w:vertAlign w:val="subscript"/>
                <w:lang w:val="en-US"/>
              </w:rPr>
              <w:t>2</w:t>
            </w:r>
            <w:r>
              <w:rPr>
                <w:rFonts w:hint="eastAsia" w:ascii="Times New Roman" w:hAnsi="Times New Roman" w:eastAsia="宋体" w:cs="Times New Roman"/>
                <w:snapToGrid w:val="0"/>
                <w:color w:val="auto"/>
                <w:kern w:val="0"/>
                <w:szCs w:val="21"/>
                <w:highlight w:val="none"/>
                <w:lang w:val="en-US"/>
              </w:rPr>
              <w:t>SO</w:t>
            </w:r>
            <w:r>
              <w:rPr>
                <w:rFonts w:hint="eastAsia" w:ascii="Times New Roman" w:hAnsi="Times New Roman" w:eastAsia="宋体" w:cs="Times New Roman"/>
                <w:snapToGrid w:val="0"/>
                <w:color w:val="auto"/>
                <w:kern w:val="0"/>
                <w:szCs w:val="21"/>
                <w:highlight w:val="none"/>
                <w:vertAlign w:val="subscript"/>
                <w:lang w:val="en-US"/>
              </w:rPr>
              <w:t>4</w:t>
            </w:r>
            <w:r>
              <w:rPr>
                <w:rFonts w:hint="eastAsia" w:ascii="Times New Roman" w:hAnsi="Times New Roman" w:eastAsia="宋体" w:cs="Times New Roman"/>
                <w:snapToGrid w:val="0"/>
                <w:color w:val="auto"/>
                <w:kern w:val="0"/>
                <w:szCs w:val="21"/>
                <w:highlight w:val="none"/>
                <w:lang w:val="en-US"/>
              </w:rPr>
              <w:t>、NMHC</w:t>
            </w:r>
            <w:r>
              <w:rPr>
                <w:rFonts w:ascii="Times New Roman" w:hAnsi="Times New Roman" w:eastAsia="宋体" w:cs="Times New Roman"/>
                <w:snapToGrid w:val="0"/>
                <w:color w:val="auto"/>
                <w:kern w:val="0"/>
                <w:szCs w:val="21"/>
                <w:highlight w:val="none"/>
              </w:rPr>
              <w:t>）</w:t>
            </w:r>
          </w:p>
        </w:tc>
        <w:tc>
          <w:tcPr>
            <w:tcW w:w="1478" w:type="pct"/>
            <w:gridSpan w:val="6"/>
            <w:tcBorders>
              <w:top w:val="single" w:color="000000" w:sz="6" w:space="0"/>
              <w:left w:val="single" w:color="000000" w:sz="6" w:space="0"/>
              <w:bottom w:val="single" w:color="000000" w:sz="6" w:space="0"/>
            </w:tcBorders>
            <w:vAlign w:val="center"/>
          </w:tcPr>
          <w:p w14:paraId="7536FD4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包括二次PM</w:t>
            </w:r>
            <w:r>
              <w:rPr>
                <w:rFonts w:ascii="Times New Roman" w:hAnsi="Times New Roman" w:eastAsia="宋体" w:cs="Times New Roman"/>
                <w:snapToGrid w:val="0"/>
                <w:color w:val="auto"/>
                <w:kern w:val="0"/>
                <w:szCs w:val="21"/>
                <w:highlight w:val="none"/>
                <w:vertAlign w:val="subscript"/>
              </w:rPr>
              <w:t>2.5</w:t>
            </w:r>
            <w:r>
              <w:rPr>
                <w:rFonts w:hint="eastAsia" w:ascii="Times New Roman" w:hAnsi="Times New Roman" w:eastAsia="宋体" w:cs="Times New Roman"/>
                <w:snapToGrid w:val="0"/>
                <w:color w:val="auto"/>
                <w:kern w:val="0"/>
                <w:szCs w:val="21"/>
                <w:highlight w:val="none"/>
              </w:rPr>
              <w:t>□</w:t>
            </w:r>
          </w:p>
          <w:p w14:paraId="6623987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不包括二次PM</w:t>
            </w:r>
            <w:r>
              <w:rPr>
                <w:rFonts w:ascii="Times New Roman" w:hAnsi="Times New Roman" w:eastAsia="宋体" w:cs="Times New Roman"/>
                <w:snapToGrid w:val="0"/>
                <w:color w:val="auto"/>
                <w:kern w:val="0"/>
                <w:szCs w:val="21"/>
                <w:highlight w:val="none"/>
                <w:vertAlign w:val="subscript"/>
              </w:rPr>
              <w:t>2.5</w:t>
            </w:r>
            <w:r>
              <w:rPr>
                <w:rFonts w:hint="eastAsia" w:ascii="Times New Roman" w:hAnsi="Times New Roman" w:eastAsia="宋体" w:cs="Times New Roman"/>
                <w:snapToGrid w:val="0"/>
                <w:color w:val="auto"/>
                <w:kern w:val="0"/>
                <w:szCs w:val="21"/>
                <w:highlight w:val="none"/>
              </w:rPr>
              <w:t>☑</w:t>
            </w:r>
          </w:p>
        </w:tc>
      </w:tr>
      <w:tr w14:paraId="5BC916DB">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tcBorders>
              <w:top w:val="single" w:color="000000" w:sz="6" w:space="0"/>
              <w:bottom w:val="single" w:color="000000" w:sz="6" w:space="0"/>
              <w:right w:val="single" w:color="000000" w:sz="6" w:space="0"/>
            </w:tcBorders>
            <w:vAlign w:val="center"/>
          </w:tcPr>
          <w:p w14:paraId="3374CE3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w:t>
            </w:r>
          </w:p>
          <w:p w14:paraId="745677E2">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标准</w:t>
            </w:r>
          </w:p>
        </w:tc>
        <w:tc>
          <w:tcPr>
            <w:tcW w:w="896" w:type="pct"/>
            <w:tcBorders>
              <w:top w:val="single" w:color="000000" w:sz="6" w:space="0"/>
              <w:left w:val="single" w:color="000000" w:sz="6" w:space="0"/>
              <w:bottom w:val="single" w:color="000000" w:sz="6" w:space="0"/>
              <w:right w:val="single" w:color="000000" w:sz="6" w:space="0"/>
            </w:tcBorders>
            <w:vAlign w:val="center"/>
          </w:tcPr>
          <w:p w14:paraId="0F5CEB7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评价标准</w:t>
            </w:r>
          </w:p>
        </w:tc>
        <w:tc>
          <w:tcPr>
            <w:tcW w:w="1061" w:type="pct"/>
            <w:gridSpan w:val="5"/>
            <w:tcBorders>
              <w:top w:val="single" w:color="000000" w:sz="6" w:space="0"/>
              <w:left w:val="single" w:color="000000" w:sz="6" w:space="0"/>
              <w:bottom w:val="single" w:color="000000" w:sz="6" w:space="0"/>
              <w:right w:val="single" w:color="000000" w:sz="6" w:space="0"/>
            </w:tcBorders>
            <w:vAlign w:val="center"/>
          </w:tcPr>
          <w:p w14:paraId="1CE0825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国家标准</w:t>
            </w:r>
            <w:r>
              <w:rPr>
                <w:rFonts w:hint="eastAsia" w:ascii="Times New Roman" w:hAnsi="Times New Roman" w:eastAsia="宋体" w:cs="Times New Roman"/>
                <w:snapToGrid w:val="0"/>
                <w:color w:val="auto"/>
                <w:kern w:val="0"/>
                <w:szCs w:val="21"/>
                <w:highlight w:val="none"/>
              </w:rPr>
              <w:t>☑</w:t>
            </w:r>
          </w:p>
        </w:tc>
        <w:tc>
          <w:tcPr>
            <w:tcW w:w="1160" w:type="pct"/>
            <w:gridSpan w:val="5"/>
            <w:tcBorders>
              <w:top w:val="single" w:color="000000" w:sz="6" w:space="0"/>
              <w:left w:val="single" w:color="000000" w:sz="6" w:space="0"/>
              <w:bottom w:val="single" w:color="000000" w:sz="6" w:space="0"/>
              <w:right w:val="single" w:color="000000" w:sz="6" w:space="0"/>
            </w:tcBorders>
            <w:vAlign w:val="center"/>
          </w:tcPr>
          <w:p w14:paraId="0EB237B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地方标准 </w:t>
            </w:r>
            <w:r>
              <w:rPr>
                <w:rFonts w:hint="eastAsia" w:ascii="Times New Roman" w:hAnsi="Times New Roman" w:eastAsia="宋体" w:cs="Times New Roman"/>
                <w:snapToGrid w:val="0"/>
                <w:color w:val="auto"/>
                <w:kern w:val="0"/>
                <w:szCs w:val="21"/>
                <w:highlight w:val="none"/>
              </w:rPr>
              <w:t>□</w:t>
            </w:r>
          </w:p>
        </w:tc>
        <w:tc>
          <w:tcPr>
            <w:tcW w:w="693" w:type="pct"/>
            <w:gridSpan w:val="4"/>
            <w:tcBorders>
              <w:top w:val="single" w:color="000000" w:sz="6" w:space="0"/>
              <w:left w:val="single" w:color="000000" w:sz="6" w:space="0"/>
              <w:bottom w:val="single" w:color="000000" w:sz="6" w:space="0"/>
              <w:right w:val="single" w:color="000000" w:sz="6" w:space="0"/>
            </w:tcBorders>
            <w:vAlign w:val="center"/>
          </w:tcPr>
          <w:p w14:paraId="70F632D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附录 D</w:t>
            </w:r>
            <w:r>
              <w:rPr>
                <w:rFonts w:hint="eastAsia"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6B808641">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其他标准</w:t>
            </w:r>
            <w:r>
              <w:rPr>
                <w:rFonts w:hint="eastAsia" w:ascii="Times New Roman" w:hAnsi="Times New Roman" w:eastAsia="宋体" w:cs="Times New Roman"/>
                <w:snapToGrid w:val="0"/>
                <w:color w:val="auto"/>
                <w:kern w:val="0"/>
                <w:szCs w:val="21"/>
                <w:highlight w:val="none"/>
                <w:lang w:eastAsia="zh-CN"/>
              </w:rPr>
              <w:t>☑</w:t>
            </w:r>
          </w:p>
        </w:tc>
      </w:tr>
      <w:tr w14:paraId="470C60DD">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restart"/>
            <w:tcBorders>
              <w:top w:val="single" w:color="000000" w:sz="6" w:space="0"/>
              <w:bottom w:val="single" w:color="000000" w:sz="6" w:space="0"/>
              <w:right w:val="single" w:color="000000" w:sz="6" w:space="0"/>
            </w:tcBorders>
            <w:vAlign w:val="center"/>
          </w:tcPr>
          <w:p w14:paraId="7273C18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w:t>
            </w:r>
          </w:p>
          <w:p w14:paraId="6508B74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w:t>
            </w:r>
          </w:p>
        </w:tc>
        <w:tc>
          <w:tcPr>
            <w:tcW w:w="896" w:type="pct"/>
            <w:tcBorders>
              <w:top w:val="single" w:color="000000" w:sz="6" w:space="0"/>
              <w:left w:val="single" w:color="000000" w:sz="6" w:space="0"/>
              <w:bottom w:val="single" w:color="000000" w:sz="6" w:space="0"/>
              <w:right w:val="single" w:color="000000" w:sz="6" w:space="0"/>
            </w:tcBorders>
            <w:vAlign w:val="center"/>
          </w:tcPr>
          <w:p w14:paraId="463742A2">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环境功能区</w:t>
            </w:r>
          </w:p>
        </w:tc>
        <w:tc>
          <w:tcPr>
            <w:tcW w:w="1202" w:type="pct"/>
            <w:gridSpan w:val="6"/>
            <w:tcBorders>
              <w:top w:val="single" w:color="000000" w:sz="6" w:space="0"/>
              <w:left w:val="single" w:color="000000" w:sz="6" w:space="0"/>
              <w:bottom w:val="single" w:color="000000" w:sz="6" w:space="0"/>
              <w:right w:val="single" w:color="000000" w:sz="6" w:space="0"/>
            </w:tcBorders>
            <w:vAlign w:val="center"/>
          </w:tcPr>
          <w:p w14:paraId="6B2D3F2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一类区</w:t>
            </w:r>
            <w:r>
              <w:rPr>
                <w:rFonts w:hint="eastAsia" w:ascii="Times New Roman" w:hAnsi="Times New Roman" w:eastAsia="宋体" w:cs="Times New Roman"/>
                <w:snapToGrid w:val="0"/>
                <w:color w:val="auto"/>
                <w:kern w:val="0"/>
                <w:szCs w:val="21"/>
                <w:highlight w:val="none"/>
              </w:rPr>
              <w:t>□</w:t>
            </w:r>
          </w:p>
        </w:tc>
        <w:tc>
          <w:tcPr>
            <w:tcW w:w="1324" w:type="pct"/>
            <w:gridSpan w:val="6"/>
            <w:tcBorders>
              <w:top w:val="single" w:color="000000" w:sz="6" w:space="0"/>
              <w:left w:val="single" w:color="000000" w:sz="6" w:space="0"/>
              <w:bottom w:val="single" w:color="000000" w:sz="6" w:space="0"/>
              <w:right w:val="single" w:color="000000" w:sz="6" w:space="0"/>
            </w:tcBorders>
            <w:vAlign w:val="center"/>
          </w:tcPr>
          <w:p w14:paraId="69AB9E8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二类区</w:t>
            </w:r>
            <w:r>
              <w:rPr>
                <w:rFonts w:hint="eastAsia" w:ascii="Times New Roman" w:hAnsi="Times New Roman" w:eastAsia="宋体" w:cs="Times New Roman"/>
                <w:snapToGrid w:val="0"/>
                <w:color w:val="auto"/>
                <w:kern w:val="0"/>
                <w:szCs w:val="21"/>
                <w:highlight w:val="none"/>
              </w:rPr>
              <w:t>☑</w:t>
            </w:r>
          </w:p>
        </w:tc>
        <w:tc>
          <w:tcPr>
            <w:tcW w:w="1174" w:type="pct"/>
            <w:gridSpan w:val="4"/>
            <w:tcBorders>
              <w:top w:val="single" w:color="000000" w:sz="6" w:space="0"/>
              <w:left w:val="single" w:color="000000" w:sz="6" w:space="0"/>
              <w:bottom w:val="single" w:color="000000" w:sz="6" w:space="0"/>
            </w:tcBorders>
            <w:vAlign w:val="center"/>
          </w:tcPr>
          <w:p w14:paraId="31F24C74">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一类区和二类区</w:t>
            </w:r>
            <w:r>
              <w:rPr>
                <w:rFonts w:hint="eastAsia" w:ascii="Times New Roman" w:hAnsi="Times New Roman" w:eastAsia="宋体" w:cs="Times New Roman"/>
                <w:snapToGrid w:val="0"/>
                <w:color w:val="auto"/>
                <w:kern w:val="0"/>
                <w:szCs w:val="21"/>
                <w:highlight w:val="none"/>
              </w:rPr>
              <w:t>□</w:t>
            </w:r>
          </w:p>
        </w:tc>
      </w:tr>
      <w:tr w14:paraId="2F8688CF">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2093914C">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26160AD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评价基准年</w:t>
            </w:r>
          </w:p>
        </w:tc>
        <w:tc>
          <w:tcPr>
            <w:tcW w:w="3701" w:type="pct"/>
            <w:gridSpan w:val="16"/>
            <w:tcBorders>
              <w:top w:val="single" w:color="000000" w:sz="6" w:space="0"/>
              <w:left w:val="single" w:color="000000" w:sz="6" w:space="0"/>
              <w:bottom w:val="single" w:color="000000" w:sz="6" w:space="0"/>
            </w:tcBorders>
            <w:vAlign w:val="center"/>
          </w:tcPr>
          <w:p w14:paraId="23FCAD45">
            <w:pPr>
              <w:pStyle w:val="680"/>
              <w:tabs>
                <w:tab w:val="left" w:pos="658"/>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lang w:val="en-US"/>
              </w:rPr>
              <w:t>20</w:t>
            </w:r>
            <w:r>
              <w:rPr>
                <w:rFonts w:hint="eastAsia" w:ascii="Times New Roman" w:hAnsi="Times New Roman" w:eastAsia="宋体" w:cs="Times New Roman"/>
                <w:snapToGrid w:val="0"/>
                <w:color w:val="auto"/>
                <w:kern w:val="0"/>
                <w:szCs w:val="21"/>
                <w:highlight w:val="none"/>
                <w:lang w:val="en-US"/>
              </w:rPr>
              <w:t>24</w:t>
            </w:r>
            <w:r>
              <w:rPr>
                <w:rFonts w:ascii="Times New Roman" w:hAnsi="Times New Roman" w:eastAsia="宋体" w:cs="Times New Roman"/>
                <w:snapToGrid w:val="0"/>
                <w:color w:val="auto"/>
                <w:kern w:val="0"/>
                <w:szCs w:val="21"/>
                <w:highlight w:val="none"/>
              </w:rPr>
              <w:t>）年</w:t>
            </w:r>
          </w:p>
        </w:tc>
      </w:tr>
      <w:tr w14:paraId="2CE6FDB9">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112E75D8">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6ED017DD">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环境空气质量现状调查数据来源</w:t>
            </w:r>
          </w:p>
        </w:tc>
        <w:tc>
          <w:tcPr>
            <w:tcW w:w="1467" w:type="pct"/>
            <w:gridSpan w:val="7"/>
            <w:tcBorders>
              <w:top w:val="single" w:color="000000" w:sz="6" w:space="0"/>
              <w:left w:val="single" w:color="000000" w:sz="6" w:space="0"/>
              <w:bottom w:val="single" w:color="000000" w:sz="6" w:space="0"/>
              <w:right w:val="single" w:color="000000" w:sz="6" w:space="0"/>
            </w:tcBorders>
            <w:vAlign w:val="center"/>
          </w:tcPr>
          <w:p w14:paraId="0B0AAB35">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长期例行监测数据</w:t>
            </w:r>
            <w:r>
              <w:rPr>
                <w:rFonts w:hint="eastAsia" w:ascii="Times New Roman" w:hAnsi="Times New Roman" w:eastAsia="宋体" w:cs="Times New Roman"/>
                <w:snapToGrid w:val="0"/>
                <w:color w:val="auto"/>
                <w:kern w:val="0"/>
                <w:szCs w:val="21"/>
                <w:highlight w:val="none"/>
                <w:lang w:eastAsia="zh-CN"/>
              </w:rPr>
              <w:t>□</w:t>
            </w:r>
          </w:p>
        </w:tc>
        <w:tc>
          <w:tcPr>
            <w:tcW w:w="1448" w:type="pct"/>
            <w:gridSpan w:val="7"/>
            <w:tcBorders>
              <w:top w:val="single" w:color="000000" w:sz="6" w:space="0"/>
              <w:left w:val="single" w:color="000000" w:sz="6" w:space="0"/>
              <w:bottom w:val="single" w:color="000000" w:sz="6" w:space="0"/>
              <w:right w:val="single" w:color="000000" w:sz="6" w:space="0"/>
            </w:tcBorders>
            <w:vAlign w:val="center"/>
          </w:tcPr>
          <w:p w14:paraId="4B0DC5DD">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主管部门发布的数据</w:t>
            </w:r>
            <w:r>
              <w:rPr>
                <w:rFonts w:hint="eastAsia"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7F3F3E8A">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现状补充监测</w:t>
            </w:r>
            <w:r>
              <w:rPr>
                <w:rFonts w:hint="eastAsia" w:ascii="Times New Roman" w:hAnsi="Times New Roman" w:eastAsia="宋体" w:cs="Times New Roman"/>
                <w:snapToGrid w:val="0"/>
                <w:color w:val="auto"/>
                <w:kern w:val="0"/>
                <w:szCs w:val="21"/>
                <w:highlight w:val="none"/>
              </w:rPr>
              <w:t>☑</w:t>
            </w:r>
          </w:p>
        </w:tc>
      </w:tr>
      <w:tr w14:paraId="524F152D">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4C0E1827">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4EDD3DE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现状评价</w:t>
            </w:r>
          </w:p>
        </w:tc>
        <w:tc>
          <w:tcPr>
            <w:tcW w:w="2222" w:type="pct"/>
            <w:gridSpan w:val="10"/>
            <w:tcBorders>
              <w:top w:val="single" w:color="000000" w:sz="6" w:space="0"/>
              <w:left w:val="single" w:color="000000" w:sz="6" w:space="0"/>
              <w:bottom w:val="single" w:color="000000" w:sz="6" w:space="0"/>
              <w:right w:val="single" w:color="000000" w:sz="6" w:space="0"/>
            </w:tcBorders>
            <w:vAlign w:val="center"/>
          </w:tcPr>
          <w:p w14:paraId="4AEC72E4">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达标区</w:t>
            </w:r>
            <w:r>
              <w:rPr>
                <w:rFonts w:hint="eastAsia" w:ascii="Times New Roman" w:hAnsi="Times New Roman" w:eastAsia="宋体" w:cs="Times New Roman"/>
                <w:snapToGrid w:val="0"/>
                <w:color w:val="auto"/>
                <w:kern w:val="0"/>
                <w:szCs w:val="21"/>
                <w:highlight w:val="none"/>
                <w:lang w:eastAsia="zh-CN"/>
              </w:rPr>
              <w:t>□</w:t>
            </w:r>
          </w:p>
        </w:tc>
        <w:tc>
          <w:tcPr>
            <w:tcW w:w="1478" w:type="pct"/>
            <w:gridSpan w:val="6"/>
            <w:tcBorders>
              <w:top w:val="single" w:color="000000" w:sz="6" w:space="0"/>
              <w:left w:val="single" w:color="000000" w:sz="6" w:space="0"/>
              <w:bottom w:val="single" w:color="000000" w:sz="6" w:space="0"/>
            </w:tcBorders>
            <w:vAlign w:val="center"/>
          </w:tcPr>
          <w:p w14:paraId="33863703">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不达标区</w:t>
            </w:r>
            <w:r>
              <w:rPr>
                <w:rFonts w:hint="eastAsia" w:ascii="Times New Roman" w:hAnsi="Times New Roman" w:eastAsia="宋体" w:cs="Times New Roman"/>
                <w:snapToGrid w:val="0"/>
                <w:color w:val="auto"/>
                <w:kern w:val="0"/>
                <w:szCs w:val="21"/>
                <w:highlight w:val="none"/>
                <w:lang w:eastAsia="zh-CN"/>
              </w:rPr>
              <w:t>☑</w:t>
            </w:r>
          </w:p>
        </w:tc>
      </w:tr>
      <w:tr w14:paraId="0DED2864">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tcBorders>
              <w:top w:val="single" w:color="000000" w:sz="6" w:space="0"/>
              <w:bottom w:val="single" w:color="000000" w:sz="6" w:space="0"/>
              <w:right w:val="single" w:color="000000" w:sz="6" w:space="0"/>
            </w:tcBorders>
            <w:vAlign w:val="center"/>
          </w:tcPr>
          <w:p w14:paraId="11F8213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污染源调查</w:t>
            </w:r>
          </w:p>
        </w:tc>
        <w:tc>
          <w:tcPr>
            <w:tcW w:w="896" w:type="pct"/>
            <w:tcBorders>
              <w:top w:val="single" w:color="000000" w:sz="6" w:space="0"/>
              <w:left w:val="single" w:color="000000" w:sz="6" w:space="0"/>
              <w:bottom w:val="single" w:color="000000" w:sz="6" w:space="0"/>
              <w:right w:val="single" w:color="000000" w:sz="6" w:space="0"/>
            </w:tcBorders>
            <w:vAlign w:val="center"/>
          </w:tcPr>
          <w:p w14:paraId="3272813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调查内容</w:t>
            </w:r>
          </w:p>
        </w:tc>
        <w:tc>
          <w:tcPr>
            <w:tcW w:w="1061" w:type="pct"/>
            <w:gridSpan w:val="5"/>
            <w:tcBorders>
              <w:top w:val="single" w:color="000000" w:sz="6" w:space="0"/>
              <w:left w:val="single" w:color="000000" w:sz="6" w:space="0"/>
              <w:bottom w:val="single" w:color="000000" w:sz="6" w:space="0"/>
              <w:right w:val="single" w:color="000000" w:sz="6" w:space="0"/>
            </w:tcBorders>
            <w:vAlign w:val="center"/>
          </w:tcPr>
          <w:p w14:paraId="0BCFEFC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本项目正常排放源  </w:t>
            </w:r>
            <w:r>
              <w:rPr>
                <w:rFonts w:hint="eastAsia" w:ascii="Times New Roman" w:hAnsi="Times New Roman" w:eastAsia="宋体" w:cs="Times New Roman"/>
                <w:snapToGrid w:val="0"/>
                <w:color w:val="auto"/>
                <w:kern w:val="0"/>
                <w:szCs w:val="21"/>
                <w:highlight w:val="none"/>
              </w:rPr>
              <w:t>☑</w:t>
            </w:r>
          </w:p>
          <w:p w14:paraId="306184A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本项目非正常排放源</w:t>
            </w:r>
            <w:r>
              <w:rPr>
                <w:rFonts w:hint="eastAsia" w:ascii="Times New Roman" w:hAnsi="Times New Roman" w:eastAsia="宋体" w:cs="Times New Roman"/>
                <w:snapToGrid w:val="0"/>
                <w:color w:val="auto"/>
                <w:kern w:val="0"/>
                <w:szCs w:val="21"/>
                <w:highlight w:val="none"/>
              </w:rPr>
              <w:t>☑</w:t>
            </w:r>
          </w:p>
          <w:p w14:paraId="3559CAC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现有污染源  </w:t>
            </w:r>
            <w:r>
              <w:rPr>
                <w:rFonts w:hint="eastAsia" w:ascii="Times New Roman" w:hAnsi="Times New Roman" w:eastAsia="宋体" w:cs="Times New Roman"/>
                <w:snapToGrid w:val="0"/>
                <w:color w:val="auto"/>
                <w:kern w:val="0"/>
                <w:szCs w:val="21"/>
                <w:highlight w:val="none"/>
              </w:rPr>
              <w:t>□</w:t>
            </w:r>
          </w:p>
        </w:tc>
        <w:tc>
          <w:tcPr>
            <w:tcW w:w="1160" w:type="pct"/>
            <w:gridSpan w:val="5"/>
            <w:tcBorders>
              <w:top w:val="single" w:color="000000" w:sz="6" w:space="0"/>
              <w:left w:val="single" w:color="000000" w:sz="6" w:space="0"/>
              <w:bottom w:val="single" w:color="000000" w:sz="6" w:space="0"/>
              <w:right w:val="single" w:color="000000" w:sz="6" w:space="0"/>
            </w:tcBorders>
            <w:vAlign w:val="center"/>
          </w:tcPr>
          <w:p w14:paraId="53939C9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拟替代的污染源</w:t>
            </w:r>
            <w:r>
              <w:rPr>
                <w:rFonts w:hint="eastAsia" w:ascii="Times New Roman" w:hAnsi="Times New Roman" w:eastAsia="宋体" w:cs="Times New Roman"/>
                <w:snapToGrid w:val="0"/>
                <w:color w:val="auto"/>
                <w:kern w:val="0"/>
                <w:szCs w:val="21"/>
                <w:highlight w:val="none"/>
              </w:rPr>
              <w:t>☑</w:t>
            </w:r>
          </w:p>
        </w:tc>
        <w:tc>
          <w:tcPr>
            <w:tcW w:w="693" w:type="pct"/>
            <w:gridSpan w:val="4"/>
            <w:tcBorders>
              <w:top w:val="single" w:color="000000" w:sz="6" w:space="0"/>
              <w:left w:val="single" w:color="000000" w:sz="6" w:space="0"/>
              <w:bottom w:val="single" w:color="000000" w:sz="6" w:space="0"/>
              <w:right w:val="single" w:color="000000" w:sz="6" w:space="0"/>
            </w:tcBorders>
            <w:vAlign w:val="center"/>
          </w:tcPr>
          <w:p w14:paraId="7C7317E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其他在建、拟建项目污染源</w:t>
            </w:r>
            <w:r>
              <w:rPr>
                <w:rFonts w:hint="eastAsia"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70030C4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区域污染源</w:t>
            </w:r>
            <w:r>
              <w:rPr>
                <w:rFonts w:hint="eastAsia" w:ascii="Times New Roman" w:hAnsi="Times New Roman" w:eastAsia="宋体" w:cs="Times New Roman"/>
                <w:snapToGrid w:val="0"/>
                <w:color w:val="auto"/>
                <w:kern w:val="0"/>
                <w:szCs w:val="21"/>
                <w:highlight w:val="none"/>
              </w:rPr>
              <w:t>□</w:t>
            </w:r>
          </w:p>
        </w:tc>
      </w:tr>
      <w:tr w14:paraId="47811C6E">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restart"/>
            <w:tcBorders>
              <w:top w:val="single" w:color="000000" w:sz="6" w:space="0"/>
              <w:bottom w:val="single" w:color="000000" w:sz="6" w:space="0"/>
              <w:right w:val="single" w:color="000000" w:sz="6" w:space="0"/>
            </w:tcBorders>
            <w:vAlign w:val="center"/>
          </w:tcPr>
          <w:p w14:paraId="70F86EA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大气环境影响预测与</w:t>
            </w:r>
          </w:p>
          <w:p w14:paraId="2B8937C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w:t>
            </w:r>
          </w:p>
        </w:tc>
        <w:tc>
          <w:tcPr>
            <w:tcW w:w="896" w:type="pct"/>
            <w:tcBorders>
              <w:top w:val="single" w:color="000000" w:sz="6" w:space="0"/>
              <w:left w:val="single" w:color="000000" w:sz="6" w:space="0"/>
              <w:bottom w:val="single" w:color="000000" w:sz="6" w:space="0"/>
              <w:right w:val="single" w:color="000000" w:sz="6" w:space="0"/>
            </w:tcBorders>
            <w:vAlign w:val="center"/>
          </w:tcPr>
          <w:p w14:paraId="6FED66C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预测模型</w:t>
            </w:r>
          </w:p>
        </w:tc>
        <w:tc>
          <w:tcPr>
            <w:tcW w:w="597" w:type="pct"/>
            <w:tcBorders>
              <w:top w:val="single" w:color="000000" w:sz="6" w:space="0"/>
              <w:left w:val="single" w:color="000000" w:sz="6" w:space="0"/>
              <w:bottom w:val="single" w:color="000000" w:sz="6" w:space="0"/>
              <w:right w:val="single" w:color="000000" w:sz="6" w:space="0"/>
            </w:tcBorders>
            <w:vAlign w:val="center"/>
          </w:tcPr>
          <w:p w14:paraId="21F1B45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AERMOD</w:t>
            </w:r>
          </w:p>
          <w:p w14:paraId="16E1C9F4">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c>
          <w:tcPr>
            <w:tcW w:w="378" w:type="pct"/>
            <w:gridSpan w:val="3"/>
            <w:tcBorders>
              <w:top w:val="single" w:color="000000" w:sz="6" w:space="0"/>
              <w:left w:val="single" w:color="000000" w:sz="6" w:space="0"/>
              <w:bottom w:val="single" w:color="000000" w:sz="6" w:space="0"/>
              <w:right w:val="single" w:color="000000" w:sz="6" w:space="0"/>
            </w:tcBorders>
            <w:vAlign w:val="center"/>
          </w:tcPr>
          <w:p w14:paraId="65EC5D8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ADMS</w:t>
            </w:r>
          </w:p>
          <w:p w14:paraId="01762454">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c>
          <w:tcPr>
            <w:tcW w:w="760" w:type="pct"/>
            <w:gridSpan w:val="4"/>
            <w:tcBorders>
              <w:top w:val="single" w:color="000000" w:sz="6" w:space="0"/>
              <w:left w:val="single" w:color="000000" w:sz="6" w:space="0"/>
              <w:bottom w:val="single" w:color="000000" w:sz="6" w:space="0"/>
              <w:right w:val="single" w:color="000000" w:sz="6" w:space="0"/>
            </w:tcBorders>
            <w:vAlign w:val="center"/>
          </w:tcPr>
          <w:p w14:paraId="7411C14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AUSTAL2000</w:t>
            </w:r>
          </w:p>
          <w:p w14:paraId="4CAD910A">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c>
          <w:tcPr>
            <w:tcW w:w="733" w:type="pct"/>
            <w:gridSpan w:val="3"/>
            <w:tcBorders>
              <w:top w:val="single" w:color="000000" w:sz="6" w:space="0"/>
              <w:left w:val="single" w:color="000000" w:sz="6" w:space="0"/>
              <w:bottom w:val="single" w:color="000000" w:sz="6" w:space="0"/>
              <w:right w:val="single" w:color="000000" w:sz="6" w:space="0"/>
            </w:tcBorders>
            <w:vAlign w:val="center"/>
          </w:tcPr>
          <w:p w14:paraId="3C31C48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EDMS/AEDT</w:t>
            </w:r>
          </w:p>
          <w:p w14:paraId="68B439BC">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c>
          <w:tcPr>
            <w:tcW w:w="446" w:type="pct"/>
            <w:gridSpan w:val="3"/>
            <w:tcBorders>
              <w:top w:val="single" w:color="000000" w:sz="6" w:space="0"/>
              <w:left w:val="single" w:color="000000" w:sz="6" w:space="0"/>
              <w:bottom w:val="single" w:color="000000" w:sz="6" w:space="0"/>
              <w:right w:val="single" w:color="000000" w:sz="6" w:space="0"/>
            </w:tcBorders>
            <w:vAlign w:val="center"/>
          </w:tcPr>
          <w:p w14:paraId="4A2ACB1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CALPUFF</w:t>
            </w:r>
          </w:p>
          <w:p w14:paraId="40F04036">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c>
          <w:tcPr>
            <w:tcW w:w="458" w:type="pct"/>
            <w:tcBorders>
              <w:top w:val="single" w:color="000000" w:sz="6" w:space="0"/>
              <w:left w:val="single" w:color="000000" w:sz="6" w:space="0"/>
              <w:bottom w:val="single" w:color="000000" w:sz="6" w:space="0"/>
              <w:right w:val="single" w:color="000000" w:sz="6" w:space="0"/>
            </w:tcBorders>
            <w:vAlign w:val="center"/>
          </w:tcPr>
          <w:p w14:paraId="4EEE91F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网格模型</w:t>
            </w:r>
          </w:p>
          <w:p w14:paraId="7A002D26">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c>
          <w:tcPr>
            <w:tcW w:w="325" w:type="pct"/>
            <w:tcBorders>
              <w:top w:val="single" w:color="000000" w:sz="6" w:space="0"/>
              <w:left w:val="single" w:color="000000" w:sz="6" w:space="0"/>
              <w:bottom w:val="single" w:color="000000" w:sz="6" w:space="0"/>
            </w:tcBorders>
            <w:vAlign w:val="center"/>
          </w:tcPr>
          <w:p w14:paraId="6723B855">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其他</w:t>
            </w:r>
          </w:p>
          <w:p w14:paraId="7A0302FB">
            <w:pPr>
              <w:pStyle w:val="680"/>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w:t>
            </w:r>
          </w:p>
        </w:tc>
      </w:tr>
      <w:tr w14:paraId="056A0F0E">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7622B02F">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68E80E3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预测范围</w:t>
            </w:r>
          </w:p>
        </w:tc>
        <w:tc>
          <w:tcPr>
            <w:tcW w:w="975" w:type="pct"/>
            <w:gridSpan w:val="4"/>
            <w:tcBorders>
              <w:top w:val="single" w:color="000000" w:sz="6" w:space="0"/>
              <w:left w:val="single" w:color="000000" w:sz="6" w:space="0"/>
              <w:bottom w:val="single" w:color="000000" w:sz="6" w:space="0"/>
              <w:right w:val="single" w:color="000000" w:sz="6" w:space="0"/>
            </w:tcBorders>
            <w:vAlign w:val="center"/>
          </w:tcPr>
          <w:p w14:paraId="64DB9F5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边长</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50km</w:t>
            </w:r>
            <w:r>
              <w:rPr>
                <w:rFonts w:hint="eastAsia" w:ascii="Times New Roman" w:hAnsi="Times New Roman" w:eastAsia="宋体" w:cs="Times New Roman"/>
                <w:snapToGrid w:val="0"/>
                <w:color w:val="auto"/>
                <w:kern w:val="0"/>
                <w:szCs w:val="21"/>
                <w:highlight w:val="none"/>
              </w:rPr>
              <w:t>□</w:t>
            </w:r>
          </w:p>
        </w:tc>
        <w:tc>
          <w:tcPr>
            <w:tcW w:w="1940" w:type="pct"/>
            <w:gridSpan w:val="10"/>
            <w:tcBorders>
              <w:top w:val="single" w:color="000000" w:sz="6" w:space="0"/>
              <w:left w:val="single" w:color="000000" w:sz="6" w:space="0"/>
              <w:bottom w:val="single" w:color="000000" w:sz="6" w:space="0"/>
              <w:right w:val="single" w:color="000000" w:sz="6" w:space="0"/>
            </w:tcBorders>
            <w:vAlign w:val="center"/>
          </w:tcPr>
          <w:p w14:paraId="47B11D83">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边长5～50km</w:t>
            </w:r>
            <w:r>
              <w:rPr>
                <w:rFonts w:hint="eastAsia" w:ascii="Times New Roman" w:hAnsi="Times New Roman" w:eastAsia="宋体" w:cs="Times New Roman"/>
                <w:snapToGrid w:val="0"/>
                <w:color w:val="auto"/>
                <w:kern w:val="0"/>
                <w:szCs w:val="21"/>
                <w:highlight w:val="none"/>
                <w:lang w:eastAsia="zh-CN"/>
              </w:rPr>
              <w:t>☑</w:t>
            </w:r>
          </w:p>
        </w:tc>
        <w:tc>
          <w:tcPr>
            <w:tcW w:w="784" w:type="pct"/>
            <w:gridSpan w:val="2"/>
            <w:tcBorders>
              <w:top w:val="single" w:color="000000" w:sz="6" w:space="0"/>
              <w:left w:val="single" w:color="000000" w:sz="6" w:space="0"/>
              <w:bottom w:val="single" w:color="000000" w:sz="6" w:space="0"/>
            </w:tcBorders>
            <w:vAlign w:val="center"/>
          </w:tcPr>
          <w:p w14:paraId="43B37739">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边长=5km</w:t>
            </w:r>
            <w:r>
              <w:rPr>
                <w:rFonts w:hint="eastAsia" w:ascii="Times New Roman" w:hAnsi="Times New Roman" w:eastAsia="宋体" w:cs="Times New Roman"/>
                <w:snapToGrid w:val="0"/>
                <w:color w:val="auto"/>
                <w:kern w:val="0"/>
                <w:szCs w:val="21"/>
                <w:highlight w:val="none"/>
                <w:lang w:eastAsia="zh-CN"/>
              </w:rPr>
              <w:t>□</w:t>
            </w:r>
          </w:p>
        </w:tc>
      </w:tr>
      <w:tr w14:paraId="6FEEE7F3">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07601541">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570E44B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预测因子</w:t>
            </w:r>
          </w:p>
        </w:tc>
        <w:tc>
          <w:tcPr>
            <w:tcW w:w="2222" w:type="pct"/>
            <w:gridSpan w:val="10"/>
            <w:tcBorders>
              <w:top w:val="single" w:color="000000" w:sz="6" w:space="0"/>
              <w:left w:val="single" w:color="000000" w:sz="6" w:space="0"/>
              <w:bottom w:val="single" w:color="000000" w:sz="6" w:space="0"/>
              <w:right w:val="single" w:color="000000" w:sz="6" w:space="0"/>
            </w:tcBorders>
            <w:vAlign w:val="center"/>
          </w:tcPr>
          <w:p w14:paraId="371533A4">
            <w:pPr>
              <w:pStyle w:val="680"/>
              <w:tabs>
                <w:tab w:val="left" w:pos="2989"/>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预测因子</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SO</w:t>
            </w:r>
            <w:r>
              <w:rPr>
                <w:rFonts w:ascii="Times New Roman" w:hAnsi="Times New Roman" w:eastAsia="宋体" w:cs="Times New Roman"/>
                <w:snapToGrid w:val="0"/>
                <w:color w:val="auto"/>
                <w:kern w:val="0"/>
                <w:szCs w:val="21"/>
                <w:highlight w:val="none"/>
                <w:vertAlign w:val="subscript"/>
              </w:rPr>
              <w:t>2</w:t>
            </w:r>
            <w:r>
              <w:rPr>
                <w:rFonts w:ascii="Times New Roman" w:hAnsi="Times New Roman" w:eastAsia="宋体" w:cs="Times New Roman"/>
                <w:snapToGrid w:val="0"/>
                <w:color w:val="auto"/>
                <w:kern w:val="0"/>
                <w:szCs w:val="21"/>
                <w:highlight w:val="none"/>
              </w:rPr>
              <w:t>、NO</w:t>
            </w:r>
            <w:r>
              <w:rPr>
                <w:rFonts w:ascii="Times New Roman" w:hAnsi="Times New Roman" w:eastAsia="宋体" w:cs="Times New Roman"/>
                <w:snapToGrid w:val="0"/>
                <w:color w:val="auto"/>
                <w:kern w:val="0"/>
                <w:szCs w:val="21"/>
                <w:highlight w:val="none"/>
                <w:vertAlign w:val="subscript"/>
              </w:rPr>
              <w:t>2</w:t>
            </w:r>
            <w:r>
              <w:rPr>
                <w:rFonts w:ascii="Times New Roman" w:hAnsi="Times New Roman" w:eastAsia="宋体" w:cs="Times New Roman"/>
                <w:snapToGrid w:val="0"/>
                <w:color w:val="auto"/>
                <w:kern w:val="0"/>
                <w:szCs w:val="21"/>
                <w:highlight w:val="none"/>
              </w:rPr>
              <w:t>、PM</w:t>
            </w:r>
            <w:r>
              <w:rPr>
                <w:rFonts w:ascii="Times New Roman" w:hAnsi="Times New Roman" w:eastAsia="宋体" w:cs="Times New Roman"/>
                <w:snapToGrid w:val="0"/>
                <w:color w:val="auto"/>
                <w:kern w:val="0"/>
                <w:szCs w:val="21"/>
                <w:highlight w:val="none"/>
                <w:vertAlign w:val="subscript"/>
              </w:rPr>
              <w:t>10</w:t>
            </w:r>
            <w:r>
              <w:rPr>
                <w:rFonts w:ascii="Times New Roman" w:hAnsi="Times New Roman" w:eastAsia="宋体" w:cs="Times New Roman"/>
                <w:snapToGrid w:val="0"/>
                <w:color w:val="auto"/>
                <w:kern w:val="0"/>
                <w:szCs w:val="21"/>
                <w:highlight w:val="none"/>
              </w:rPr>
              <w:t>、PM</w:t>
            </w:r>
            <w:r>
              <w:rPr>
                <w:rFonts w:hint="eastAsia" w:ascii="Times New Roman" w:hAnsi="Times New Roman" w:eastAsia="宋体" w:cs="Times New Roman"/>
                <w:snapToGrid w:val="0"/>
                <w:color w:val="auto"/>
                <w:kern w:val="0"/>
                <w:szCs w:val="21"/>
                <w:highlight w:val="none"/>
                <w:vertAlign w:val="subscript"/>
                <w:lang w:val="en-US" w:eastAsia="zh-CN"/>
              </w:rPr>
              <w:t>2.5</w:t>
            </w:r>
            <w:r>
              <w:rPr>
                <w:rFonts w:hint="eastAsia" w:ascii="Times New Roman" w:eastAsia="宋体"/>
                <w:color w:val="auto"/>
                <w:highlight w:val="none"/>
                <w:lang w:val="en-US"/>
              </w:rPr>
              <w:t>、NH</w:t>
            </w:r>
            <w:r>
              <w:rPr>
                <w:rFonts w:hint="eastAsia" w:ascii="Times New Roman" w:eastAsia="宋体"/>
                <w:color w:val="auto"/>
                <w:highlight w:val="none"/>
                <w:vertAlign w:val="subscript"/>
                <w:lang w:val="en-US"/>
              </w:rPr>
              <w:t>3</w:t>
            </w:r>
            <w:r>
              <w:rPr>
                <w:rFonts w:hint="eastAsia" w:ascii="Times New Roman" w:eastAsia="宋体"/>
                <w:color w:val="auto"/>
                <w:highlight w:val="none"/>
                <w:lang w:val="en-US"/>
              </w:rPr>
              <w:t>、H</w:t>
            </w:r>
            <w:r>
              <w:rPr>
                <w:rFonts w:hint="eastAsia" w:ascii="Times New Roman" w:eastAsia="宋体"/>
                <w:color w:val="auto"/>
                <w:highlight w:val="none"/>
                <w:vertAlign w:val="subscript"/>
                <w:lang w:val="en-US"/>
              </w:rPr>
              <w:t>2</w:t>
            </w:r>
            <w:r>
              <w:rPr>
                <w:rFonts w:hint="eastAsia" w:ascii="Times New Roman" w:eastAsia="宋体"/>
                <w:color w:val="auto"/>
                <w:highlight w:val="none"/>
                <w:lang w:val="en-US"/>
              </w:rPr>
              <w:t>S、H</w:t>
            </w:r>
            <w:r>
              <w:rPr>
                <w:rFonts w:hint="eastAsia" w:ascii="Times New Roman" w:eastAsia="宋体"/>
                <w:color w:val="auto"/>
                <w:highlight w:val="none"/>
                <w:vertAlign w:val="subscript"/>
                <w:lang w:val="en-US"/>
              </w:rPr>
              <w:t>2</w:t>
            </w:r>
            <w:r>
              <w:rPr>
                <w:rFonts w:hint="eastAsia" w:ascii="Times New Roman" w:eastAsia="宋体"/>
                <w:color w:val="auto"/>
                <w:highlight w:val="none"/>
                <w:lang w:val="en-US"/>
              </w:rPr>
              <w:t>SO</w:t>
            </w:r>
            <w:r>
              <w:rPr>
                <w:rFonts w:hint="eastAsia" w:ascii="Times New Roman" w:eastAsia="宋体"/>
                <w:color w:val="auto"/>
                <w:highlight w:val="none"/>
                <w:vertAlign w:val="subscript"/>
                <w:lang w:val="en-US"/>
              </w:rPr>
              <w:t>4</w:t>
            </w:r>
            <w:r>
              <w:rPr>
                <w:rFonts w:hint="eastAsia" w:ascii="Times New Roman" w:eastAsia="宋体"/>
                <w:color w:val="auto"/>
                <w:highlight w:val="none"/>
                <w:lang w:val="en-US"/>
              </w:rPr>
              <w:t>、NMHC</w:t>
            </w:r>
            <w:r>
              <w:rPr>
                <w:rFonts w:hint="eastAsia" w:ascii="Times New Roman" w:hAnsi="Times New Roman" w:eastAsia="宋体" w:cs="Times New Roman"/>
                <w:snapToGrid w:val="0"/>
                <w:color w:val="auto"/>
                <w:kern w:val="0"/>
                <w:szCs w:val="21"/>
                <w:highlight w:val="none"/>
                <w:lang w:val="en-US"/>
              </w:rPr>
              <w:t>）</w:t>
            </w:r>
          </w:p>
        </w:tc>
        <w:tc>
          <w:tcPr>
            <w:tcW w:w="1478" w:type="pct"/>
            <w:gridSpan w:val="6"/>
            <w:tcBorders>
              <w:top w:val="single" w:color="000000" w:sz="6" w:space="0"/>
              <w:left w:val="single" w:color="000000" w:sz="6" w:space="0"/>
              <w:bottom w:val="single" w:color="000000" w:sz="6" w:space="0"/>
            </w:tcBorders>
            <w:vAlign w:val="center"/>
          </w:tcPr>
          <w:p w14:paraId="412E715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包括二次 PM</w:t>
            </w:r>
            <w:r>
              <w:rPr>
                <w:rFonts w:ascii="Times New Roman" w:hAnsi="Times New Roman" w:eastAsia="宋体" w:cs="Times New Roman"/>
                <w:snapToGrid w:val="0"/>
                <w:color w:val="auto"/>
                <w:kern w:val="0"/>
                <w:szCs w:val="21"/>
                <w:highlight w:val="none"/>
                <w:vertAlign w:val="subscript"/>
              </w:rPr>
              <w:t>2.5</w:t>
            </w:r>
            <w:r>
              <w:rPr>
                <w:rFonts w:ascii="Times New Roman" w:hAnsi="Times New Roman" w:eastAsia="宋体" w:cs="Times New Roman"/>
                <w:snapToGrid w:val="0"/>
                <w:color w:val="auto"/>
                <w:kern w:val="0"/>
                <w:szCs w:val="21"/>
                <w:highlight w:val="none"/>
              </w:rPr>
              <w:t xml:space="preserve">  </w:t>
            </w:r>
            <w:r>
              <w:rPr>
                <w:rFonts w:hint="eastAsia" w:ascii="Times New Roman" w:hAnsi="Times New Roman" w:eastAsia="宋体" w:cs="Times New Roman"/>
                <w:snapToGrid w:val="0"/>
                <w:color w:val="auto"/>
                <w:kern w:val="0"/>
                <w:szCs w:val="21"/>
                <w:highlight w:val="none"/>
              </w:rPr>
              <w:t>□</w:t>
            </w:r>
          </w:p>
          <w:p w14:paraId="281C0C4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不包括二次 PM</w:t>
            </w:r>
            <w:r>
              <w:rPr>
                <w:rFonts w:ascii="Times New Roman" w:hAnsi="Times New Roman" w:eastAsia="宋体" w:cs="Times New Roman"/>
                <w:snapToGrid w:val="0"/>
                <w:color w:val="auto"/>
                <w:kern w:val="0"/>
                <w:szCs w:val="21"/>
                <w:highlight w:val="none"/>
                <w:vertAlign w:val="subscript"/>
              </w:rPr>
              <w:t>2.5</w:t>
            </w:r>
            <w:r>
              <w:rPr>
                <w:rFonts w:ascii="Times New Roman" w:hAnsi="Times New Roman" w:eastAsia="宋体" w:cs="Times New Roman"/>
                <w:snapToGrid w:val="0"/>
                <w:color w:val="auto"/>
                <w:kern w:val="0"/>
                <w:szCs w:val="21"/>
                <w:highlight w:val="none"/>
              </w:rPr>
              <w:t xml:space="preserve">  </w:t>
            </w:r>
            <w:r>
              <w:rPr>
                <w:rFonts w:hint="eastAsia" w:ascii="Times New Roman" w:hAnsi="Times New Roman" w:eastAsia="宋体" w:cs="Times New Roman"/>
                <w:snapToGrid w:val="0"/>
                <w:color w:val="auto"/>
                <w:kern w:val="0"/>
                <w:szCs w:val="21"/>
                <w:highlight w:val="none"/>
              </w:rPr>
              <w:t>☑</w:t>
            </w:r>
          </w:p>
        </w:tc>
      </w:tr>
      <w:tr w14:paraId="375BF031">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6F6DF15C">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5F09D0F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正常排放短期浓度贡献值</w:t>
            </w:r>
          </w:p>
        </w:tc>
        <w:tc>
          <w:tcPr>
            <w:tcW w:w="2222" w:type="pct"/>
            <w:gridSpan w:val="10"/>
            <w:tcBorders>
              <w:top w:val="single" w:color="000000" w:sz="6" w:space="0"/>
              <w:left w:val="single" w:color="000000" w:sz="6" w:space="0"/>
              <w:bottom w:val="single" w:color="000000" w:sz="6" w:space="0"/>
              <w:right w:val="single" w:color="000000" w:sz="6" w:space="0"/>
            </w:tcBorders>
            <w:vAlign w:val="center"/>
          </w:tcPr>
          <w:p w14:paraId="501D49A4">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本项目最大占标率≤100%</w:t>
            </w:r>
            <w:r>
              <w:rPr>
                <w:rFonts w:hint="eastAsia" w:ascii="Times New Roman" w:hAnsi="Times New Roman" w:eastAsia="宋体" w:cs="Times New Roman"/>
                <w:snapToGrid w:val="0"/>
                <w:color w:val="auto"/>
                <w:kern w:val="0"/>
                <w:szCs w:val="21"/>
                <w:highlight w:val="none"/>
              </w:rPr>
              <w:t>☑</w:t>
            </w:r>
          </w:p>
        </w:tc>
        <w:tc>
          <w:tcPr>
            <w:tcW w:w="1478" w:type="pct"/>
            <w:gridSpan w:val="6"/>
            <w:tcBorders>
              <w:top w:val="single" w:color="000000" w:sz="6" w:space="0"/>
              <w:left w:val="single" w:color="000000" w:sz="6" w:space="0"/>
              <w:bottom w:val="single" w:color="000000" w:sz="6" w:space="0"/>
            </w:tcBorders>
            <w:vAlign w:val="center"/>
          </w:tcPr>
          <w:p w14:paraId="79A0483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 xml:space="preserve">本项目最大占标率＞100% </w:t>
            </w:r>
            <w:r>
              <w:rPr>
                <w:rFonts w:hint="eastAsia" w:ascii="Times New Roman" w:hAnsi="Times New Roman" w:eastAsia="宋体" w:cs="Times New Roman"/>
                <w:snapToGrid w:val="0"/>
                <w:color w:val="auto"/>
                <w:kern w:val="0"/>
                <w:szCs w:val="21"/>
                <w:highlight w:val="none"/>
              </w:rPr>
              <w:t>□</w:t>
            </w:r>
          </w:p>
        </w:tc>
      </w:tr>
      <w:tr w14:paraId="52A806AF">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68FC13D1">
            <w:pPr>
              <w:adjustRightInd w:val="0"/>
              <w:snapToGrid w:val="0"/>
              <w:jc w:val="center"/>
              <w:rPr>
                <w:snapToGrid w:val="0"/>
                <w:color w:val="auto"/>
                <w:kern w:val="0"/>
                <w:szCs w:val="21"/>
                <w:highlight w:val="none"/>
              </w:rPr>
            </w:pPr>
          </w:p>
        </w:tc>
        <w:tc>
          <w:tcPr>
            <w:tcW w:w="896" w:type="pct"/>
            <w:vMerge w:val="restart"/>
            <w:tcBorders>
              <w:top w:val="single" w:color="000000" w:sz="6" w:space="0"/>
              <w:left w:val="single" w:color="000000" w:sz="6" w:space="0"/>
              <w:bottom w:val="single" w:color="000000" w:sz="6" w:space="0"/>
              <w:right w:val="single" w:color="000000" w:sz="6" w:space="0"/>
            </w:tcBorders>
            <w:vAlign w:val="center"/>
          </w:tcPr>
          <w:p w14:paraId="2BDCC2D2">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正常排放年均浓度贡献值</w:t>
            </w:r>
          </w:p>
        </w:tc>
        <w:tc>
          <w:tcPr>
            <w:tcW w:w="597" w:type="pct"/>
            <w:tcBorders>
              <w:top w:val="single" w:color="000000" w:sz="6" w:space="0"/>
              <w:left w:val="single" w:color="000000" w:sz="6" w:space="0"/>
              <w:bottom w:val="single" w:color="000000" w:sz="6" w:space="0"/>
              <w:right w:val="single" w:color="000000" w:sz="4" w:space="0"/>
            </w:tcBorders>
            <w:vAlign w:val="center"/>
          </w:tcPr>
          <w:p w14:paraId="0106087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一类区</w:t>
            </w:r>
          </w:p>
        </w:tc>
        <w:tc>
          <w:tcPr>
            <w:tcW w:w="1625" w:type="pct"/>
            <w:gridSpan w:val="9"/>
            <w:tcBorders>
              <w:top w:val="single" w:color="000000" w:sz="6" w:space="0"/>
              <w:left w:val="single" w:color="000000" w:sz="4" w:space="0"/>
              <w:bottom w:val="single" w:color="000000" w:sz="6" w:space="0"/>
              <w:right w:val="single" w:color="000000" w:sz="6" w:space="0"/>
            </w:tcBorders>
            <w:vAlign w:val="center"/>
          </w:tcPr>
          <w:p w14:paraId="2ACE597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本项目最大占标率≤10%</w:t>
            </w:r>
            <w:r>
              <w:rPr>
                <w:rFonts w:hint="eastAsia" w:ascii="Times New Roman" w:hAnsi="Times New Roman" w:eastAsia="宋体" w:cs="Times New Roman"/>
                <w:snapToGrid w:val="0"/>
                <w:color w:val="auto"/>
                <w:kern w:val="0"/>
                <w:szCs w:val="21"/>
                <w:highlight w:val="none"/>
              </w:rPr>
              <w:t>□</w:t>
            </w:r>
          </w:p>
        </w:tc>
        <w:tc>
          <w:tcPr>
            <w:tcW w:w="1478" w:type="pct"/>
            <w:gridSpan w:val="6"/>
            <w:tcBorders>
              <w:top w:val="single" w:color="000000" w:sz="6" w:space="0"/>
              <w:left w:val="single" w:color="000000" w:sz="6" w:space="0"/>
              <w:bottom w:val="single" w:color="000000" w:sz="6" w:space="0"/>
            </w:tcBorders>
            <w:vAlign w:val="center"/>
          </w:tcPr>
          <w:p w14:paraId="698A98FF">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 xml:space="preserve">本项目最大标率＞10% </w:t>
            </w:r>
            <w:r>
              <w:rPr>
                <w:rFonts w:hint="eastAsia" w:ascii="Times New Roman" w:hAnsi="Times New Roman" w:eastAsia="宋体" w:cs="Times New Roman"/>
                <w:snapToGrid w:val="0"/>
                <w:color w:val="auto"/>
                <w:kern w:val="0"/>
                <w:szCs w:val="21"/>
                <w:highlight w:val="none"/>
              </w:rPr>
              <w:t>□</w:t>
            </w:r>
          </w:p>
        </w:tc>
      </w:tr>
      <w:tr w14:paraId="0D0705C4">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26DAEE82">
            <w:pPr>
              <w:adjustRightInd w:val="0"/>
              <w:snapToGrid w:val="0"/>
              <w:jc w:val="center"/>
              <w:rPr>
                <w:snapToGrid w:val="0"/>
                <w:color w:val="auto"/>
                <w:kern w:val="0"/>
                <w:szCs w:val="21"/>
                <w:highlight w:val="none"/>
              </w:rPr>
            </w:pPr>
          </w:p>
        </w:tc>
        <w:tc>
          <w:tcPr>
            <w:tcW w:w="896" w:type="pct"/>
            <w:vMerge w:val="continue"/>
            <w:tcBorders>
              <w:top w:val="nil"/>
              <w:left w:val="single" w:color="000000" w:sz="6" w:space="0"/>
              <w:bottom w:val="single" w:color="000000" w:sz="6" w:space="0"/>
              <w:right w:val="single" w:color="000000" w:sz="6" w:space="0"/>
            </w:tcBorders>
            <w:vAlign w:val="center"/>
          </w:tcPr>
          <w:p w14:paraId="22E3B16C">
            <w:pPr>
              <w:adjustRightInd w:val="0"/>
              <w:snapToGrid w:val="0"/>
              <w:jc w:val="center"/>
              <w:rPr>
                <w:snapToGrid w:val="0"/>
                <w:color w:val="auto"/>
                <w:kern w:val="0"/>
                <w:szCs w:val="21"/>
                <w:highlight w:val="none"/>
              </w:rPr>
            </w:pPr>
          </w:p>
        </w:tc>
        <w:tc>
          <w:tcPr>
            <w:tcW w:w="597" w:type="pct"/>
            <w:tcBorders>
              <w:top w:val="single" w:color="000000" w:sz="6" w:space="0"/>
              <w:left w:val="single" w:color="000000" w:sz="6" w:space="0"/>
              <w:bottom w:val="single" w:color="000000" w:sz="6" w:space="0"/>
              <w:right w:val="single" w:color="000000" w:sz="4" w:space="0"/>
            </w:tcBorders>
            <w:vAlign w:val="center"/>
          </w:tcPr>
          <w:p w14:paraId="63A3364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二类区</w:t>
            </w:r>
          </w:p>
        </w:tc>
        <w:tc>
          <w:tcPr>
            <w:tcW w:w="1625" w:type="pct"/>
            <w:gridSpan w:val="9"/>
            <w:tcBorders>
              <w:top w:val="single" w:color="000000" w:sz="6" w:space="0"/>
              <w:left w:val="single" w:color="000000" w:sz="4" w:space="0"/>
              <w:bottom w:val="single" w:color="000000" w:sz="6" w:space="0"/>
              <w:right w:val="single" w:color="000000" w:sz="6" w:space="0"/>
            </w:tcBorders>
            <w:vAlign w:val="center"/>
          </w:tcPr>
          <w:p w14:paraId="6DCD760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本项目最大占标率≤30%</w:t>
            </w:r>
            <w:r>
              <w:rPr>
                <w:rFonts w:hint="eastAsia" w:ascii="Times New Roman" w:hAnsi="Times New Roman" w:eastAsia="宋体" w:cs="Times New Roman"/>
                <w:snapToGrid w:val="0"/>
                <w:color w:val="auto"/>
                <w:kern w:val="0"/>
                <w:szCs w:val="21"/>
                <w:highlight w:val="none"/>
              </w:rPr>
              <w:t>☑</w:t>
            </w:r>
          </w:p>
        </w:tc>
        <w:tc>
          <w:tcPr>
            <w:tcW w:w="1478" w:type="pct"/>
            <w:gridSpan w:val="6"/>
            <w:tcBorders>
              <w:top w:val="single" w:color="000000" w:sz="6" w:space="0"/>
              <w:left w:val="single" w:color="000000" w:sz="6" w:space="0"/>
              <w:bottom w:val="single" w:color="000000" w:sz="6" w:space="0"/>
            </w:tcBorders>
            <w:vAlign w:val="center"/>
          </w:tcPr>
          <w:p w14:paraId="3FA9E520">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 xml:space="preserve">本项目最大标率＞30% </w:t>
            </w:r>
            <w:r>
              <w:rPr>
                <w:rFonts w:hint="eastAsia" w:ascii="Times New Roman" w:hAnsi="Times New Roman" w:eastAsia="宋体" w:cs="Times New Roman"/>
                <w:snapToGrid w:val="0"/>
                <w:color w:val="auto"/>
                <w:kern w:val="0"/>
                <w:szCs w:val="21"/>
                <w:highlight w:val="none"/>
              </w:rPr>
              <w:t>□</w:t>
            </w:r>
          </w:p>
        </w:tc>
      </w:tr>
      <w:tr w14:paraId="2F98A637">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0F232C6F">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352226E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非正常排放 1h 浓度贡献值</w:t>
            </w:r>
          </w:p>
        </w:tc>
        <w:tc>
          <w:tcPr>
            <w:tcW w:w="806" w:type="pct"/>
            <w:gridSpan w:val="3"/>
            <w:tcBorders>
              <w:top w:val="single" w:color="000000" w:sz="6" w:space="0"/>
              <w:left w:val="single" w:color="000000" w:sz="6" w:space="0"/>
              <w:bottom w:val="single" w:color="000000" w:sz="6" w:space="0"/>
              <w:right w:val="single" w:color="000000" w:sz="4" w:space="0"/>
            </w:tcBorders>
            <w:vAlign w:val="center"/>
          </w:tcPr>
          <w:p w14:paraId="349DE0A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非正常持续时长（</w:t>
            </w:r>
            <w:r>
              <w:rPr>
                <w:rFonts w:hint="eastAsia" w:ascii="Times New Roman" w:hAnsi="Times New Roman" w:eastAsia="宋体" w:cs="Times New Roman"/>
                <w:snapToGrid w:val="0"/>
                <w:color w:val="auto"/>
                <w:kern w:val="0"/>
                <w:szCs w:val="21"/>
                <w:highlight w:val="none"/>
                <w:lang w:val="en-US" w:eastAsia="zh-CN"/>
              </w:rPr>
              <w:t>24</w:t>
            </w:r>
            <w:r>
              <w:rPr>
                <w:rFonts w:ascii="Times New Roman" w:hAnsi="Times New Roman" w:eastAsia="宋体" w:cs="Times New Roman"/>
                <w:snapToGrid w:val="0"/>
                <w:color w:val="auto"/>
                <w:kern w:val="0"/>
                <w:szCs w:val="21"/>
                <w:highlight w:val="none"/>
              </w:rPr>
              <w:t>）h</w:t>
            </w:r>
          </w:p>
        </w:tc>
        <w:tc>
          <w:tcPr>
            <w:tcW w:w="1799" w:type="pct"/>
            <w:gridSpan w:val="10"/>
            <w:tcBorders>
              <w:top w:val="single" w:color="000000" w:sz="6" w:space="0"/>
              <w:left w:val="single" w:color="000000" w:sz="4" w:space="0"/>
              <w:bottom w:val="single" w:color="000000" w:sz="6" w:space="0"/>
              <w:right w:val="single" w:color="000000" w:sz="6" w:space="0"/>
            </w:tcBorders>
            <w:vAlign w:val="center"/>
          </w:tcPr>
          <w:p w14:paraId="7D96FD6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 xml:space="preserve">非正常占标率≤100% </w:t>
            </w:r>
            <w:r>
              <w:rPr>
                <w:rFonts w:hint="eastAsia" w:ascii="Times New Roman" w:hAnsi="Times New Roman" w:eastAsia="宋体" w:cs="Times New Roman"/>
                <w:snapToGrid w:val="0"/>
                <w:color w:val="auto"/>
                <w:kern w:val="0"/>
                <w:szCs w:val="21"/>
                <w:highlight w:val="none"/>
              </w:rPr>
              <w:t>☑</w:t>
            </w:r>
          </w:p>
        </w:tc>
        <w:tc>
          <w:tcPr>
            <w:tcW w:w="1094" w:type="pct"/>
            <w:gridSpan w:val="3"/>
            <w:tcBorders>
              <w:top w:val="single" w:color="000000" w:sz="6" w:space="0"/>
              <w:left w:val="single" w:color="000000" w:sz="6" w:space="0"/>
              <w:bottom w:val="single" w:color="000000" w:sz="6" w:space="0"/>
            </w:tcBorders>
            <w:vAlign w:val="center"/>
          </w:tcPr>
          <w:p w14:paraId="17C0A1F4">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非正常占标率＞100%</w:t>
            </w:r>
            <w:r>
              <w:rPr>
                <w:rFonts w:hint="eastAsia" w:ascii="Times New Roman" w:hAnsi="Times New Roman" w:eastAsia="宋体" w:cs="Times New Roman"/>
                <w:snapToGrid w:val="0"/>
                <w:color w:val="auto"/>
                <w:kern w:val="0"/>
                <w:szCs w:val="21"/>
                <w:highlight w:val="none"/>
              </w:rPr>
              <w:t>□</w:t>
            </w:r>
          </w:p>
        </w:tc>
      </w:tr>
      <w:tr w14:paraId="14989B3C">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3FAC007B">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77876C22">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保证率日平均浓度和年平均浓度叠加值</w:t>
            </w:r>
          </w:p>
        </w:tc>
        <w:tc>
          <w:tcPr>
            <w:tcW w:w="1821" w:type="pct"/>
            <w:gridSpan w:val="9"/>
            <w:tcBorders>
              <w:top w:val="single" w:color="000000" w:sz="6" w:space="0"/>
              <w:left w:val="single" w:color="000000" w:sz="6" w:space="0"/>
              <w:bottom w:val="single" w:color="000000" w:sz="6" w:space="0"/>
              <w:right w:val="single" w:color="000000" w:sz="6" w:space="0"/>
            </w:tcBorders>
            <w:vAlign w:val="center"/>
          </w:tcPr>
          <w:p w14:paraId="0FF410D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 xml:space="preserve">叠加达标  </w:t>
            </w:r>
            <w:r>
              <w:rPr>
                <w:rFonts w:hint="eastAsia" w:ascii="Times New Roman" w:hAnsi="Times New Roman" w:eastAsia="宋体" w:cs="Times New Roman"/>
                <w:snapToGrid w:val="0"/>
                <w:color w:val="auto"/>
                <w:kern w:val="0"/>
                <w:szCs w:val="21"/>
                <w:highlight w:val="none"/>
              </w:rPr>
              <w:t>☑</w:t>
            </w:r>
          </w:p>
        </w:tc>
        <w:tc>
          <w:tcPr>
            <w:tcW w:w="1879" w:type="pct"/>
            <w:gridSpan w:val="7"/>
            <w:tcBorders>
              <w:top w:val="single" w:color="000000" w:sz="6" w:space="0"/>
              <w:left w:val="single" w:color="000000" w:sz="6" w:space="0"/>
              <w:bottom w:val="single" w:color="000000" w:sz="6" w:space="0"/>
            </w:tcBorders>
            <w:vAlign w:val="center"/>
          </w:tcPr>
          <w:p w14:paraId="08B846B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lang w:val="en-US"/>
              </w:rPr>
              <w:t>C</w:t>
            </w:r>
            <w:r>
              <w:rPr>
                <w:rFonts w:ascii="Times New Roman" w:hAnsi="Times New Roman" w:eastAsia="宋体" w:cs="Times New Roman"/>
                <w:snapToGrid w:val="0"/>
                <w:color w:val="auto"/>
                <w:kern w:val="0"/>
                <w:szCs w:val="21"/>
                <w:highlight w:val="none"/>
              </w:rPr>
              <w:t xml:space="preserve">叠加不达标 </w:t>
            </w:r>
            <w:r>
              <w:rPr>
                <w:rFonts w:hint="eastAsia" w:ascii="Times New Roman" w:hAnsi="Times New Roman" w:eastAsia="宋体" w:cs="Times New Roman"/>
                <w:snapToGrid w:val="0"/>
                <w:color w:val="auto"/>
                <w:kern w:val="0"/>
                <w:szCs w:val="21"/>
                <w:highlight w:val="none"/>
              </w:rPr>
              <w:t>□</w:t>
            </w:r>
          </w:p>
        </w:tc>
      </w:tr>
      <w:tr w14:paraId="5CCEDB55">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02C1F0CB">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5563CFB2">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区域环境质量的整体变化情况</w:t>
            </w:r>
          </w:p>
        </w:tc>
        <w:tc>
          <w:tcPr>
            <w:tcW w:w="1821" w:type="pct"/>
            <w:gridSpan w:val="9"/>
            <w:tcBorders>
              <w:top w:val="single" w:color="000000" w:sz="6" w:space="0"/>
              <w:left w:val="single" w:color="000000" w:sz="6" w:space="0"/>
              <w:bottom w:val="single" w:color="000000" w:sz="6" w:space="0"/>
              <w:right w:val="single" w:color="000000" w:sz="6" w:space="0"/>
            </w:tcBorders>
            <w:vAlign w:val="center"/>
          </w:tcPr>
          <w:p w14:paraId="4E35F4D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k≤-20% </w:t>
            </w:r>
            <w:r>
              <w:rPr>
                <w:rFonts w:hint="eastAsia" w:ascii="Times New Roman" w:hAnsi="Times New Roman" w:eastAsia="宋体" w:cs="Times New Roman"/>
                <w:snapToGrid w:val="0"/>
                <w:color w:val="auto"/>
                <w:kern w:val="0"/>
                <w:szCs w:val="21"/>
                <w:highlight w:val="none"/>
              </w:rPr>
              <w:t>☑</w:t>
            </w:r>
          </w:p>
        </w:tc>
        <w:tc>
          <w:tcPr>
            <w:tcW w:w="1879" w:type="pct"/>
            <w:gridSpan w:val="7"/>
            <w:tcBorders>
              <w:top w:val="single" w:color="000000" w:sz="6" w:space="0"/>
              <w:left w:val="single" w:color="000000" w:sz="6" w:space="0"/>
              <w:bottom w:val="single" w:color="000000" w:sz="6" w:space="0"/>
            </w:tcBorders>
            <w:vAlign w:val="center"/>
          </w:tcPr>
          <w:p w14:paraId="3B9A4FA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k</w:t>
            </w:r>
            <w:r>
              <w:rPr>
                <w:rFonts w:hint="eastAsia" w:ascii="Times New Roman" w:hAnsi="Times New Roman" w:eastAsia="宋体" w:cs="Times New Roman"/>
                <w:snapToGrid w:val="0"/>
                <w:color w:val="auto"/>
                <w:kern w:val="0"/>
                <w:szCs w:val="21"/>
                <w:highlight w:val="none"/>
              </w:rPr>
              <w:t>&gt;</w:t>
            </w:r>
            <w:r>
              <w:rPr>
                <w:rFonts w:ascii="Times New Roman" w:hAnsi="Times New Roman" w:eastAsia="宋体" w:cs="Times New Roman"/>
                <w:snapToGrid w:val="0"/>
                <w:color w:val="auto"/>
                <w:kern w:val="0"/>
                <w:szCs w:val="21"/>
                <w:highlight w:val="none"/>
              </w:rPr>
              <w:t>-20%</w:t>
            </w:r>
            <w:r>
              <w:rPr>
                <w:rFonts w:hint="eastAsia" w:ascii="Times New Roman" w:hAnsi="Times New Roman" w:eastAsia="宋体" w:cs="Times New Roman"/>
                <w:snapToGrid w:val="0"/>
                <w:color w:val="auto"/>
                <w:kern w:val="0"/>
                <w:szCs w:val="21"/>
                <w:highlight w:val="none"/>
              </w:rPr>
              <w:t>□</w:t>
            </w:r>
          </w:p>
        </w:tc>
      </w:tr>
      <w:tr w14:paraId="69BDC5C1">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restart"/>
            <w:tcBorders>
              <w:top w:val="single" w:color="000000" w:sz="6" w:space="0"/>
              <w:bottom w:val="single" w:color="000000" w:sz="6" w:space="0"/>
              <w:right w:val="single" w:color="000000" w:sz="6" w:space="0"/>
            </w:tcBorders>
            <w:vAlign w:val="center"/>
          </w:tcPr>
          <w:p w14:paraId="29225BE4">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环境监测计划</w:t>
            </w:r>
          </w:p>
        </w:tc>
        <w:tc>
          <w:tcPr>
            <w:tcW w:w="896" w:type="pct"/>
            <w:tcBorders>
              <w:top w:val="single" w:color="000000" w:sz="6" w:space="0"/>
              <w:left w:val="single" w:color="000000" w:sz="6" w:space="0"/>
              <w:bottom w:val="single" w:color="000000" w:sz="6" w:space="0"/>
              <w:right w:val="single" w:color="000000" w:sz="6" w:space="0"/>
            </w:tcBorders>
            <w:vAlign w:val="center"/>
          </w:tcPr>
          <w:p w14:paraId="1E06FEF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污染源监测</w:t>
            </w:r>
          </w:p>
        </w:tc>
        <w:tc>
          <w:tcPr>
            <w:tcW w:w="1821" w:type="pct"/>
            <w:gridSpan w:val="9"/>
            <w:tcBorders>
              <w:top w:val="single" w:color="000000" w:sz="6" w:space="0"/>
              <w:left w:val="single" w:color="000000" w:sz="6" w:space="0"/>
              <w:bottom w:val="single" w:color="000000" w:sz="6" w:space="0"/>
              <w:right w:val="single" w:color="000000" w:sz="6" w:space="0"/>
            </w:tcBorders>
            <w:vAlign w:val="center"/>
          </w:tcPr>
          <w:p w14:paraId="21DFFF8B">
            <w:pPr>
              <w:pStyle w:val="680"/>
              <w:keepNext w:val="0"/>
              <w:keepLines w:val="0"/>
              <w:pageBreakBefore w:val="0"/>
              <w:widowControl w:val="0"/>
              <w:tabs>
                <w:tab w:val="left" w:pos="2466"/>
              </w:tabs>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监</w:t>
            </w:r>
            <w:r>
              <w:rPr>
                <w:rFonts w:ascii="Times New Roman" w:hAnsi="Times New Roman" w:eastAsia="宋体" w:cs="Times New Roman"/>
                <w:snapToGrid w:val="0"/>
                <w:color w:val="auto"/>
                <w:kern w:val="0"/>
                <w:sz w:val="21"/>
                <w:szCs w:val="21"/>
                <w:highlight w:val="none"/>
              </w:rPr>
              <w:t>测因子：（SO</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、NO</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、PM</w:t>
            </w:r>
            <w:r>
              <w:rPr>
                <w:rFonts w:ascii="Times New Roman" w:hAnsi="Times New Roman" w:eastAsia="宋体" w:cs="Times New Roman"/>
                <w:snapToGrid w:val="0"/>
                <w:color w:val="auto"/>
                <w:kern w:val="0"/>
                <w:sz w:val="21"/>
                <w:szCs w:val="21"/>
                <w:highlight w:val="none"/>
                <w:vertAlign w:val="subscript"/>
              </w:rPr>
              <w:t>10</w:t>
            </w:r>
            <w:r>
              <w:rPr>
                <w:rFonts w:ascii="Times New Roman" w:hAnsi="Times New Roman" w:eastAsia="宋体" w:cs="Times New Roman"/>
                <w:snapToGrid w:val="0"/>
                <w:color w:val="auto"/>
                <w:kern w:val="0"/>
                <w:sz w:val="21"/>
                <w:szCs w:val="21"/>
                <w:highlight w:val="none"/>
              </w:rPr>
              <w:t>、PM</w:t>
            </w:r>
            <w:r>
              <w:rPr>
                <w:rFonts w:hint="eastAsia" w:ascii="Times New Roman" w:hAnsi="Times New Roman" w:eastAsia="宋体" w:cs="Times New Roman"/>
                <w:snapToGrid w:val="0"/>
                <w:color w:val="auto"/>
                <w:kern w:val="0"/>
                <w:sz w:val="21"/>
                <w:szCs w:val="21"/>
                <w:highlight w:val="none"/>
                <w:vertAlign w:val="subscript"/>
                <w:lang w:val="en-US" w:eastAsia="zh-CN"/>
              </w:rPr>
              <w:t>2.5</w:t>
            </w:r>
            <w:r>
              <w:rPr>
                <w:rFonts w:hint="eastAsia" w:ascii="Times New Roman" w:hAnsi="Times New Roman" w:eastAsia="宋体" w:cs="Times New Roman"/>
                <w:color w:val="auto"/>
                <w:kern w:val="0"/>
                <w:sz w:val="21"/>
                <w:szCs w:val="21"/>
                <w:highlight w:val="none"/>
                <w:lang w:val="en-US"/>
              </w:rPr>
              <w:t>、NH</w:t>
            </w:r>
            <w:r>
              <w:rPr>
                <w:rFonts w:hint="eastAsia" w:ascii="Times New Roman" w:hAnsi="Times New Roman" w:eastAsia="宋体" w:cs="Times New Roman"/>
                <w:color w:val="auto"/>
                <w:kern w:val="0"/>
                <w:sz w:val="21"/>
                <w:szCs w:val="21"/>
                <w:highlight w:val="none"/>
                <w:vertAlign w:val="subscript"/>
                <w:lang w:val="en-US"/>
              </w:rPr>
              <w:t>3</w:t>
            </w:r>
            <w:r>
              <w:rPr>
                <w:rFonts w:hint="eastAsia" w:ascii="Times New Roman" w:hAnsi="Times New Roman" w:eastAsia="宋体" w:cs="Times New Roman"/>
                <w:color w:val="auto"/>
                <w:kern w:val="0"/>
                <w:sz w:val="21"/>
                <w:szCs w:val="21"/>
                <w:highlight w:val="none"/>
                <w:lang w:val="en-US"/>
              </w:rPr>
              <w:t>、H</w:t>
            </w:r>
            <w:r>
              <w:rPr>
                <w:rFonts w:hint="eastAsia" w:ascii="Times New Roman" w:hAnsi="Times New Roman" w:eastAsia="宋体" w:cs="Times New Roman"/>
                <w:color w:val="auto"/>
                <w:kern w:val="0"/>
                <w:sz w:val="21"/>
                <w:szCs w:val="21"/>
                <w:highlight w:val="none"/>
                <w:vertAlign w:val="subscript"/>
                <w:lang w:val="en-US"/>
              </w:rPr>
              <w:t>2</w:t>
            </w:r>
            <w:r>
              <w:rPr>
                <w:rFonts w:hint="eastAsia" w:ascii="Times New Roman" w:hAnsi="Times New Roman" w:eastAsia="宋体" w:cs="Times New Roman"/>
                <w:color w:val="auto"/>
                <w:kern w:val="0"/>
                <w:sz w:val="21"/>
                <w:szCs w:val="21"/>
                <w:highlight w:val="none"/>
                <w:lang w:val="en-US"/>
              </w:rPr>
              <w:t>S、H</w:t>
            </w:r>
            <w:r>
              <w:rPr>
                <w:rFonts w:hint="eastAsia" w:ascii="Times New Roman" w:hAnsi="Times New Roman" w:eastAsia="宋体" w:cs="Times New Roman"/>
                <w:color w:val="auto"/>
                <w:kern w:val="0"/>
                <w:sz w:val="21"/>
                <w:szCs w:val="21"/>
                <w:highlight w:val="none"/>
                <w:vertAlign w:val="subscript"/>
                <w:lang w:val="en-US"/>
              </w:rPr>
              <w:t>2</w:t>
            </w:r>
            <w:r>
              <w:rPr>
                <w:rFonts w:hint="eastAsia" w:ascii="Times New Roman" w:hAnsi="Times New Roman" w:eastAsia="宋体" w:cs="Times New Roman"/>
                <w:color w:val="auto"/>
                <w:kern w:val="0"/>
                <w:sz w:val="21"/>
                <w:szCs w:val="21"/>
                <w:highlight w:val="none"/>
                <w:lang w:val="en-US"/>
              </w:rPr>
              <w:t>SO</w:t>
            </w:r>
            <w:r>
              <w:rPr>
                <w:rFonts w:hint="eastAsia" w:ascii="Times New Roman" w:hAnsi="Times New Roman" w:eastAsia="宋体" w:cs="Times New Roman"/>
                <w:color w:val="auto"/>
                <w:kern w:val="0"/>
                <w:sz w:val="21"/>
                <w:szCs w:val="21"/>
                <w:highlight w:val="none"/>
                <w:vertAlign w:val="subscript"/>
                <w:lang w:val="en-US"/>
              </w:rPr>
              <w:t>4</w:t>
            </w:r>
            <w:r>
              <w:rPr>
                <w:rFonts w:hint="eastAsia" w:ascii="Times New Roman" w:hAnsi="Times New Roman" w:eastAsia="宋体" w:cs="Times New Roman"/>
                <w:color w:val="auto"/>
                <w:kern w:val="0"/>
                <w:sz w:val="21"/>
                <w:szCs w:val="21"/>
                <w:highlight w:val="none"/>
                <w:lang w:val="en-US"/>
              </w:rPr>
              <w:t>、NMHC</w:t>
            </w:r>
            <w:r>
              <w:rPr>
                <w:rFonts w:hint="eastAsia" w:ascii="Times New Roman" w:hAnsi="Times New Roman" w:eastAsia="宋体" w:cs="Times New Roman"/>
                <w:color w:val="auto"/>
                <w:kern w:val="0"/>
                <w:sz w:val="21"/>
                <w:szCs w:val="21"/>
                <w:highlight w:val="none"/>
                <w:lang w:val="en-US" w:eastAsia="zh-CN"/>
              </w:rPr>
              <w:t>、臭气浓度</w:t>
            </w:r>
            <w:r>
              <w:rPr>
                <w:rFonts w:ascii="Times New Roman" w:hAnsi="Times New Roman" w:eastAsia="宋体" w:cs="Times New Roman"/>
                <w:snapToGrid w:val="0"/>
                <w:color w:val="auto"/>
                <w:kern w:val="0"/>
                <w:sz w:val="21"/>
                <w:szCs w:val="21"/>
                <w:highlight w:val="none"/>
              </w:rPr>
              <w:t>）</w:t>
            </w:r>
          </w:p>
        </w:tc>
        <w:tc>
          <w:tcPr>
            <w:tcW w:w="1094" w:type="pct"/>
            <w:gridSpan w:val="5"/>
            <w:tcBorders>
              <w:top w:val="single" w:color="000000" w:sz="6" w:space="0"/>
              <w:left w:val="single" w:color="000000" w:sz="6" w:space="0"/>
              <w:bottom w:val="single" w:color="000000" w:sz="6" w:space="0"/>
              <w:right w:val="single" w:color="000000" w:sz="6" w:space="0"/>
            </w:tcBorders>
            <w:vAlign w:val="center"/>
          </w:tcPr>
          <w:p w14:paraId="11E47C0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有组织废气监测  </w:t>
            </w:r>
            <w:r>
              <w:rPr>
                <w:rFonts w:hint="eastAsia" w:ascii="Times New Roman" w:hAnsi="Times New Roman" w:eastAsia="宋体" w:cs="Times New Roman"/>
                <w:snapToGrid w:val="0"/>
                <w:color w:val="auto"/>
                <w:kern w:val="0"/>
                <w:szCs w:val="21"/>
                <w:highlight w:val="none"/>
              </w:rPr>
              <w:t>☑</w:t>
            </w:r>
          </w:p>
          <w:p w14:paraId="43136B1D">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无组织废气监测  </w:t>
            </w:r>
            <w:r>
              <w:rPr>
                <w:rFonts w:hint="eastAsia"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54BFE2E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无监测</w:t>
            </w:r>
            <w:r>
              <w:rPr>
                <w:rFonts w:hint="eastAsia" w:ascii="Times New Roman" w:hAnsi="Times New Roman" w:eastAsia="宋体" w:cs="Times New Roman"/>
                <w:snapToGrid w:val="0"/>
                <w:color w:val="auto"/>
                <w:kern w:val="0"/>
                <w:szCs w:val="21"/>
                <w:highlight w:val="none"/>
              </w:rPr>
              <w:t>□</w:t>
            </w:r>
          </w:p>
        </w:tc>
      </w:tr>
      <w:tr w14:paraId="1599F069">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3F7A85B6">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69F72AD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环境质量监测</w:t>
            </w:r>
          </w:p>
        </w:tc>
        <w:tc>
          <w:tcPr>
            <w:tcW w:w="1821" w:type="pct"/>
            <w:gridSpan w:val="9"/>
            <w:tcBorders>
              <w:top w:val="single" w:color="000000" w:sz="6" w:space="0"/>
              <w:left w:val="single" w:color="000000" w:sz="6" w:space="0"/>
              <w:bottom w:val="single" w:color="000000" w:sz="6" w:space="0"/>
              <w:right w:val="single" w:color="000000" w:sz="6" w:space="0"/>
            </w:tcBorders>
            <w:vAlign w:val="center"/>
          </w:tcPr>
          <w:p w14:paraId="4CC231C6">
            <w:pPr>
              <w:pStyle w:val="680"/>
              <w:tabs>
                <w:tab w:val="left" w:pos="2466"/>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监测因子：（</w:t>
            </w:r>
            <w:r>
              <w:rPr>
                <w:rFonts w:hint="eastAsia" w:ascii="Times New Roman" w:eastAsia="宋体"/>
                <w:color w:val="auto"/>
                <w:highlight w:val="none"/>
                <w:lang w:val="en-US"/>
              </w:rPr>
              <w:t>NH</w:t>
            </w:r>
            <w:r>
              <w:rPr>
                <w:rFonts w:hint="eastAsia" w:ascii="Times New Roman" w:eastAsia="宋体"/>
                <w:color w:val="auto"/>
                <w:highlight w:val="none"/>
                <w:vertAlign w:val="subscript"/>
                <w:lang w:val="en-US"/>
              </w:rPr>
              <w:t>3</w:t>
            </w:r>
            <w:r>
              <w:rPr>
                <w:rFonts w:hint="eastAsia" w:ascii="Times New Roman" w:eastAsia="宋体"/>
                <w:color w:val="auto"/>
                <w:highlight w:val="none"/>
                <w:lang w:val="en-US"/>
              </w:rPr>
              <w:t>、H</w:t>
            </w:r>
            <w:r>
              <w:rPr>
                <w:rFonts w:hint="eastAsia" w:ascii="Times New Roman" w:eastAsia="宋体"/>
                <w:color w:val="auto"/>
                <w:highlight w:val="none"/>
                <w:vertAlign w:val="subscript"/>
                <w:lang w:val="en-US"/>
              </w:rPr>
              <w:t>2</w:t>
            </w:r>
            <w:r>
              <w:rPr>
                <w:rFonts w:hint="eastAsia" w:ascii="Times New Roman" w:eastAsia="宋体"/>
                <w:color w:val="auto"/>
                <w:highlight w:val="none"/>
                <w:lang w:val="en-US"/>
              </w:rPr>
              <w:t>S、H</w:t>
            </w:r>
            <w:r>
              <w:rPr>
                <w:rFonts w:hint="eastAsia" w:ascii="Times New Roman" w:eastAsia="宋体"/>
                <w:color w:val="auto"/>
                <w:highlight w:val="none"/>
                <w:vertAlign w:val="subscript"/>
                <w:lang w:val="en-US"/>
              </w:rPr>
              <w:t>2</w:t>
            </w:r>
            <w:r>
              <w:rPr>
                <w:rFonts w:hint="eastAsia" w:ascii="Times New Roman" w:eastAsia="宋体"/>
                <w:color w:val="auto"/>
                <w:highlight w:val="none"/>
                <w:lang w:val="en-US"/>
              </w:rPr>
              <w:t>SO</w:t>
            </w:r>
            <w:r>
              <w:rPr>
                <w:rFonts w:hint="eastAsia" w:ascii="Times New Roman" w:eastAsia="宋体"/>
                <w:color w:val="auto"/>
                <w:highlight w:val="none"/>
                <w:vertAlign w:val="subscript"/>
                <w:lang w:val="en-US"/>
              </w:rPr>
              <w:t>4</w:t>
            </w:r>
            <w:r>
              <w:rPr>
                <w:rFonts w:ascii="Times New Roman" w:hAnsi="Times New Roman" w:eastAsia="宋体" w:cs="Times New Roman"/>
                <w:snapToGrid w:val="0"/>
                <w:color w:val="auto"/>
                <w:kern w:val="0"/>
                <w:szCs w:val="21"/>
                <w:highlight w:val="none"/>
              </w:rPr>
              <w:t>）</w:t>
            </w:r>
          </w:p>
        </w:tc>
        <w:tc>
          <w:tcPr>
            <w:tcW w:w="1094" w:type="pct"/>
            <w:gridSpan w:val="5"/>
            <w:tcBorders>
              <w:top w:val="single" w:color="000000" w:sz="6" w:space="0"/>
              <w:left w:val="single" w:color="000000" w:sz="6" w:space="0"/>
              <w:bottom w:val="single" w:color="000000" w:sz="6" w:space="0"/>
              <w:right w:val="single" w:color="000000" w:sz="6" w:space="0"/>
            </w:tcBorders>
            <w:vAlign w:val="center"/>
          </w:tcPr>
          <w:p w14:paraId="4668A45F">
            <w:pPr>
              <w:pStyle w:val="680"/>
              <w:tabs>
                <w:tab w:val="left" w:pos="1928"/>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监测点位数（</w:t>
            </w:r>
            <w:r>
              <w:rPr>
                <w:rFonts w:hint="eastAsia" w:ascii="Times New Roman" w:hAnsi="Times New Roman" w:eastAsia="宋体" w:cs="Times New Roman"/>
                <w:snapToGrid w:val="0"/>
                <w:color w:val="auto"/>
                <w:kern w:val="0"/>
                <w:szCs w:val="21"/>
                <w:highlight w:val="none"/>
                <w:lang w:val="en-US"/>
              </w:rPr>
              <w:t>1</w:t>
            </w:r>
            <w:r>
              <w:rPr>
                <w:rFonts w:ascii="Times New Roman" w:hAnsi="Times New Roman" w:eastAsia="宋体" w:cs="Times New Roman"/>
                <w:snapToGrid w:val="0"/>
                <w:color w:val="auto"/>
                <w:kern w:val="0"/>
                <w:szCs w:val="21"/>
                <w:highlight w:val="none"/>
              </w:rPr>
              <w:t>）</w:t>
            </w:r>
          </w:p>
        </w:tc>
        <w:tc>
          <w:tcPr>
            <w:tcW w:w="784" w:type="pct"/>
            <w:gridSpan w:val="2"/>
            <w:tcBorders>
              <w:top w:val="single" w:color="000000" w:sz="6" w:space="0"/>
              <w:left w:val="single" w:color="000000" w:sz="6" w:space="0"/>
              <w:bottom w:val="single" w:color="000000" w:sz="6" w:space="0"/>
            </w:tcBorders>
            <w:vAlign w:val="center"/>
          </w:tcPr>
          <w:p w14:paraId="1BEDD70F">
            <w:pPr>
              <w:pStyle w:val="680"/>
              <w:adjustRightInd w:val="0"/>
              <w:snapToGrid w:val="0"/>
              <w:jc w:val="center"/>
              <w:rPr>
                <w:rFonts w:hint="eastAsia" w:ascii="Times New Roman" w:hAnsi="Times New Roman" w:eastAsia="宋体" w:cs="Times New Roman"/>
                <w:snapToGrid w:val="0"/>
                <w:color w:val="auto"/>
                <w:kern w:val="0"/>
                <w:szCs w:val="21"/>
                <w:highlight w:val="none"/>
                <w:lang w:eastAsia="zh-CN"/>
              </w:rPr>
            </w:pPr>
            <w:r>
              <w:rPr>
                <w:rFonts w:ascii="Times New Roman" w:hAnsi="Times New Roman" w:eastAsia="宋体" w:cs="Times New Roman"/>
                <w:snapToGrid w:val="0"/>
                <w:color w:val="auto"/>
                <w:kern w:val="0"/>
                <w:szCs w:val="21"/>
                <w:highlight w:val="none"/>
              </w:rPr>
              <w:t>无监测</w:t>
            </w:r>
            <w:r>
              <w:rPr>
                <w:rFonts w:hint="eastAsia" w:ascii="Times New Roman" w:hAnsi="Times New Roman" w:eastAsia="宋体" w:cs="Times New Roman"/>
                <w:snapToGrid w:val="0"/>
                <w:color w:val="auto"/>
                <w:kern w:val="0"/>
                <w:szCs w:val="21"/>
                <w:highlight w:val="none"/>
                <w:lang w:eastAsia="zh-CN"/>
              </w:rPr>
              <w:t>□</w:t>
            </w:r>
          </w:p>
        </w:tc>
      </w:tr>
      <w:tr w14:paraId="17402244">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restart"/>
            <w:tcBorders>
              <w:top w:val="single" w:color="000000" w:sz="6" w:space="0"/>
              <w:bottom w:val="single" w:color="000000" w:sz="6" w:space="0"/>
              <w:right w:val="single" w:color="000000" w:sz="6" w:space="0"/>
            </w:tcBorders>
            <w:vAlign w:val="center"/>
          </w:tcPr>
          <w:p w14:paraId="239E2A9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w:t>
            </w:r>
          </w:p>
          <w:p w14:paraId="3158FAD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结论</w:t>
            </w:r>
          </w:p>
        </w:tc>
        <w:tc>
          <w:tcPr>
            <w:tcW w:w="896" w:type="pct"/>
            <w:tcBorders>
              <w:top w:val="single" w:color="000000" w:sz="6" w:space="0"/>
              <w:left w:val="single" w:color="000000" w:sz="6" w:space="0"/>
              <w:bottom w:val="single" w:color="000000" w:sz="6" w:space="0"/>
              <w:right w:val="single" w:color="000000" w:sz="6" w:space="0"/>
            </w:tcBorders>
            <w:vAlign w:val="center"/>
          </w:tcPr>
          <w:p w14:paraId="12E61BC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环境影响</w:t>
            </w:r>
          </w:p>
        </w:tc>
        <w:tc>
          <w:tcPr>
            <w:tcW w:w="3701" w:type="pct"/>
            <w:gridSpan w:val="16"/>
            <w:tcBorders>
              <w:top w:val="single" w:color="000000" w:sz="6" w:space="0"/>
              <w:left w:val="single" w:color="000000" w:sz="6" w:space="0"/>
              <w:bottom w:val="single" w:color="000000" w:sz="6" w:space="0"/>
            </w:tcBorders>
            <w:vAlign w:val="center"/>
          </w:tcPr>
          <w:p w14:paraId="67BAA3CD">
            <w:pPr>
              <w:pStyle w:val="680"/>
              <w:tabs>
                <w:tab w:val="left" w:pos="3582"/>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 xml:space="preserve">可以接受  </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ab/>
            </w:r>
            <w:r>
              <w:rPr>
                <w:rFonts w:ascii="Times New Roman" w:hAnsi="Times New Roman" w:eastAsia="宋体" w:cs="Times New Roman"/>
                <w:snapToGrid w:val="0"/>
                <w:color w:val="auto"/>
                <w:kern w:val="0"/>
                <w:szCs w:val="21"/>
                <w:highlight w:val="none"/>
              </w:rPr>
              <w:t xml:space="preserve">不可以接受 </w:t>
            </w:r>
            <w:r>
              <w:rPr>
                <w:rFonts w:hint="eastAsia" w:ascii="Times New Roman" w:hAnsi="Times New Roman" w:eastAsia="宋体" w:cs="Times New Roman"/>
                <w:snapToGrid w:val="0"/>
                <w:color w:val="auto"/>
                <w:kern w:val="0"/>
                <w:szCs w:val="21"/>
                <w:highlight w:val="none"/>
              </w:rPr>
              <w:t>□</w:t>
            </w:r>
          </w:p>
        </w:tc>
      </w:tr>
      <w:tr w14:paraId="476FB846">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7575AB52">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5AD568D7">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大气环境防护</w:t>
            </w:r>
          </w:p>
          <w:p w14:paraId="512D0FCA">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距离</w:t>
            </w:r>
          </w:p>
        </w:tc>
        <w:tc>
          <w:tcPr>
            <w:tcW w:w="3701" w:type="pct"/>
            <w:gridSpan w:val="16"/>
            <w:tcBorders>
              <w:top w:val="single" w:color="000000" w:sz="6" w:space="0"/>
              <w:left w:val="single" w:color="000000" w:sz="6" w:space="0"/>
              <w:bottom w:val="single" w:color="000000" w:sz="6" w:space="0"/>
            </w:tcBorders>
            <w:vAlign w:val="center"/>
          </w:tcPr>
          <w:p w14:paraId="1109B65C">
            <w:pPr>
              <w:pStyle w:val="680"/>
              <w:tabs>
                <w:tab w:val="left" w:pos="2840"/>
                <w:tab w:val="left" w:pos="4367"/>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距（</w:t>
            </w:r>
            <w:r>
              <w:rPr>
                <w:rFonts w:hint="eastAsia" w:ascii="Times New Roman" w:hAnsi="Times New Roman" w:eastAsia="宋体" w:cs="Times New Roman"/>
                <w:snapToGrid w:val="0"/>
                <w:color w:val="auto"/>
                <w:kern w:val="0"/>
                <w:szCs w:val="21"/>
                <w:highlight w:val="none"/>
                <w:lang w:val="en-US"/>
              </w:rPr>
              <w:t xml:space="preserve"> </w:t>
            </w:r>
            <w:r>
              <w:rPr>
                <w:rFonts w:ascii="Times New Roman" w:hAnsi="Times New Roman" w:eastAsia="宋体" w:cs="Times New Roman"/>
                <w:snapToGrid w:val="0"/>
                <w:color w:val="auto"/>
                <w:kern w:val="0"/>
                <w:szCs w:val="21"/>
                <w:highlight w:val="none"/>
              </w:rPr>
              <w:t>）厂界最远（</w:t>
            </w:r>
            <w:r>
              <w:rPr>
                <w:rFonts w:hint="eastAsia" w:ascii="Times New Roman" w:hAnsi="Times New Roman" w:eastAsia="宋体" w:cs="Times New Roman"/>
                <w:snapToGrid w:val="0"/>
                <w:color w:val="auto"/>
                <w:kern w:val="0"/>
                <w:szCs w:val="21"/>
                <w:highlight w:val="none"/>
                <w:lang w:val="en-US"/>
              </w:rPr>
              <w:t xml:space="preserve"> </w:t>
            </w:r>
            <w:r>
              <w:rPr>
                <w:rFonts w:ascii="Times New Roman" w:hAnsi="Times New Roman" w:eastAsia="宋体" w:cs="Times New Roman"/>
                <w:snapToGrid w:val="0"/>
                <w:color w:val="auto"/>
                <w:kern w:val="0"/>
                <w:szCs w:val="21"/>
                <w:highlight w:val="none"/>
              </w:rPr>
              <w:t>）m</w:t>
            </w:r>
          </w:p>
        </w:tc>
      </w:tr>
      <w:tr w14:paraId="78835502">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402" w:type="pct"/>
            <w:vMerge w:val="continue"/>
            <w:tcBorders>
              <w:top w:val="nil"/>
              <w:bottom w:val="single" w:color="000000" w:sz="6" w:space="0"/>
              <w:right w:val="single" w:color="000000" w:sz="6" w:space="0"/>
            </w:tcBorders>
            <w:vAlign w:val="center"/>
          </w:tcPr>
          <w:p w14:paraId="462B6BBE">
            <w:pPr>
              <w:adjustRightInd w:val="0"/>
              <w:snapToGrid w:val="0"/>
              <w:jc w:val="center"/>
              <w:rPr>
                <w:snapToGrid w:val="0"/>
                <w:color w:val="auto"/>
                <w:kern w:val="0"/>
                <w:szCs w:val="21"/>
                <w:highlight w:val="none"/>
              </w:rPr>
            </w:pPr>
          </w:p>
        </w:tc>
        <w:tc>
          <w:tcPr>
            <w:tcW w:w="896" w:type="pct"/>
            <w:tcBorders>
              <w:top w:val="single" w:color="000000" w:sz="6" w:space="0"/>
              <w:left w:val="single" w:color="000000" w:sz="6" w:space="0"/>
              <w:bottom w:val="single" w:color="000000" w:sz="6" w:space="0"/>
              <w:right w:val="single" w:color="000000" w:sz="6" w:space="0"/>
            </w:tcBorders>
            <w:vAlign w:val="center"/>
          </w:tcPr>
          <w:p w14:paraId="3CDE8030">
            <w:pPr>
              <w:pStyle w:val="680"/>
              <w:adjustRightInd w:val="0"/>
              <w:snapToGrid w:val="0"/>
              <w:ind w:left="-53" w:leftChars="-25" w:right="-53" w:rightChars="-25"/>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污染源年排放量</w:t>
            </w:r>
          </w:p>
        </w:tc>
        <w:tc>
          <w:tcPr>
            <w:tcW w:w="3701" w:type="pct"/>
            <w:gridSpan w:val="16"/>
            <w:tcBorders>
              <w:top w:val="single" w:color="000000" w:sz="6" w:space="0"/>
              <w:left w:val="single" w:color="000000" w:sz="6" w:space="0"/>
              <w:bottom w:val="single" w:color="000000" w:sz="6" w:space="0"/>
            </w:tcBorders>
            <w:vAlign w:val="center"/>
          </w:tcPr>
          <w:p w14:paraId="4548384B">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b w:val="0"/>
                <w:bCs w:val="0"/>
                <w:color w:val="auto"/>
                <w:kern w:val="0"/>
                <w:sz w:val="21"/>
                <w:szCs w:val="21"/>
                <w:highlight w:val="none"/>
              </w:rPr>
              <w:t>颗粒物</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10.56</w:t>
            </w:r>
            <w:r>
              <w:rPr>
                <w:rFonts w:ascii="Times New Roman" w:hAnsi="Times New Roman" w:eastAsia="宋体" w:cs="Times New Roman"/>
                <w:snapToGrid w:val="0"/>
                <w:color w:val="auto"/>
                <w:kern w:val="0"/>
                <w:szCs w:val="21"/>
                <w:highlight w:val="none"/>
              </w:rPr>
              <w:t>t/a</w:t>
            </w:r>
          </w:p>
          <w:p w14:paraId="01317B50">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SO</w:t>
            </w:r>
            <w:r>
              <w:rPr>
                <w:rFonts w:ascii="Times New Roman" w:hAnsi="Times New Roman" w:eastAsia="宋体" w:cs="Times New Roman"/>
                <w:snapToGrid w:val="0"/>
                <w:color w:val="auto"/>
                <w:kern w:val="0"/>
                <w:szCs w:val="21"/>
                <w:highlight w:val="none"/>
                <w:vertAlign w:val="subscript"/>
              </w:rPr>
              <w:t>2</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2.64</w:t>
            </w:r>
            <w:r>
              <w:rPr>
                <w:rFonts w:ascii="Times New Roman" w:hAnsi="Times New Roman" w:eastAsia="宋体" w:cs="Times New Roman"/>
                <w:snapToGrid w:val="0"/>
                <w:color w:val="auto"/>
                <w:kern w:val="0"/>
                <w:szCs w:val="21"/>
                <w:highlight w:val="none"/>
              </w:rPr>
              <w:t>t/a</w:t>
            </w:r>
          </w:p>
          <w:p w14:paraId="1A12BAD0">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NO</w:t>
            </w:r>
            <w:r>
              <w:rPr>
                <w:rFonts w:ascii="Times New Roman" w:hAnsi="Times New Roman" w:eastAsia="宋体" w:cs="Times New Roman"/>
                <w:snapToGrid w:val="0"/>
                <w:color w:val="auto"/>
                <w:kern w:val="0"/>
                <w:szCs w:val="21"/>
                <w:highlight w:val="none"/>
                <w:vertAlign w:val="subscript"/>
              </w:rPr>
              <w:t>2</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3.28</w:t>
            </w:r>
            <w:r>
              <w:rPr>
                <w:rFonts w:ascii="Times New Roman" w:hAnsi="Times New Roman" w:eastAsia="宋体" w:cs="Times New Roman"/>
                <w:snapToGrid w:val="0"/>
                <w:color w:val="auto"/>
                <w:kern w:val="0"/>
                <w:szCs w:val="21"/>
                <w:highlight w:val="none"/>
              </w:rPr>
              <w:t>t/a</w:t>
            </w:r>
          </w:p>
          <w:p w14:paraId="757F8255">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eastAsia="宋体"/>
                <w:color w:val="auto"/>
                <w:highlight w:val="none"/>
                <w:lang w:val="en-US"/>
              </w:rPr>
              <w:t>NH</w:t>
            </w:r>
            <w:r>
              <w:rPr>
                <w:rFonts w:hint="eastAsia" w:ascii="Times New Roman" w:eastAsia="宋体"/>
                <w:color w:val="auto"/>
                <w:highlight w:val="none"/>
                <w:vertAlign w:val="subscript"/>
                <w:lang w:val="en-US"/>
              </w:rPr>
              <w:t>3</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4.16</w:t>
            </w:r>
            <w:r>
              <w:rPr>
                <w:rFonts w:ascii="Times New Roman" w:hAnsi="Times New Roman" w:eastAsia="宋体" w:cs="Times New Roman"/>
                <w:snapToGrid w:val="0"/>
                <w:color w:val="auto"/>
                <w:kern w:val="0"/>
                <w:szCs w:val="21"/>
                <w:highlight w:val="none"/>
              </w:rPr>
              <w:t>t/a</w:t>
            </w:r>
          </w:p>
          <w:p w14:paraId="5969CC82">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eastAsia="宋体"/>
                <w:color w:val="auto"/>
                <w:highlight w:val="none"/>
                <w:lang w:val="en-US"/>
              </w:rPr>
              <w:t>H</w:t>
            </w:r>
            <w:r>
              <w:rPr>
                <w:rFonts w:hint="eastAsia" w:ascii="Times New Roman" w:eastAsia="宋体"/>
                <w:color w:val="auto"/>
                <w:highlight w:val="none"/>
                <w:vertAlign w:val="subscript"/>
                <w:lang w:val="en-US"/>
              </w:rPr>
              <w:t>2</w:t>
            </w:r>
            <w:r>
              <w:rPr>
                <w:rFonts w:hint="eastAsia" w:ascii="Times New Roman" w:eastAsia="宋体"/>
                <w:color w:val="auto"/>
                <w:highlight w:val="none"/>
                <w:lang w:val="en-US"/>
              </w:rPr>
              <w:t>S</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0.8</w:t>
            </w:r>
            <w:r>
              <w:rPr>
                <w:rFonts w:ascii="Times New Roman" w:hAnsi="Times New Roman" w:eastAsia="宋体" w:cs="Times New Roman"/>
                <w:snapToGrid w:val="0"/>
                <w:color w:val="auto"/>
                <w:kern w:val="0"/>
                <w:szCs w:val="21"/>
                <w:highlight w:val="none"/>
              </w:rPr>
              <w:t>t/a</w:t>
            </w:r>
          </w:p>
          <w:p w14:paraId="14E56CF7">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eastAsia="宋体"/>
                <w:color w:val="auto"/>
                <w:highlight w:val="none"/>
                <w:lang w:val="en-US"/>
              </w:rPr>
              <w:t>H</w:t>
            </w:r>
            <w:r>
              <w:rPr>
                <w:rFonts w:hint="eastAsia" w:ascii="Times New Roman" w:eastAsia="宋体"/>
                <w:color w:val="auto"/>
                <w:highlight w:val="none"/>
                <w:vertAlign w:val="subscript"/>
                <w:lang w:val="en-US"/>
              </w:rPr>
              <w:t>2</w:t>
            </w:r>
            <w:r>
              <w:rPr>
                <w:rFonts w:hint="eastAsia" w:ascii="Times New Roman" w:eastAsia="宋体"/>
                <w:color w:val="auto"/>
                <w:highlight w:val="none"/>
                <w:lang w:val="en-US"/>
              </w:rPr>
              <w:t>SO</w:t>
            </w:r>
            <w:r>
              <w:rPr>
                <w:rFonts w:hint="eastAsia" w:ascii="Times New Roman" w:eastAsia="宋体"/>
                <w:color w:val="auto"/>
                <w:highlight w:val="none"/>
                <w:vertAlign w:val="subscript"/>
                <w:lang w:val="en-US"/>
              </w:rPr>
              <w:t>4</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3.76</w:t>
            </w:r>
            <w:r>
              <w:rPr>
                <w:rFonts w:ascii="Times New Roman" w:hAnsi="Times New Roman" w:eastAsia="宋体" w:cs="Times New Roman"/>
                <w:snapToGrid w:val="0"/>
                <w:color w:val="auto"/>
                <w:kern w:val="0"/>
                <w:szCs w:val="21"/>
                <w:highlight w:val="none"/>
              </w:rPr>
              <w:t>t/a</w:t>
            </w:r>
          </w:p>
          <w:p w14:paraId="08E1A5D3">
            <w:pPr>
              <w:pStyle w:val="680"/>
              <w:tabs>
                <w:tab w:val="left" w:pos="1181"/>
              </w:tabs>
              <w:adjustRightInd w:val="0"/>
              <w:snapToGrid w:val="0"/>
              <w:jc w:val="center"/>
              <w:rPr>
                <w:rFonts w:ascii="Times New Roman" w:hAnsi="Times New Roman" w:eastAsia="宋体" w:cs="Times New Roman"/>
                <w:snapToGrid w:val="0"/>
                <w:color w:val="auto"/>
                <w:kern w:val="0"/>
                <w:szCs w:val="21"/>
                <w:highlight w:val="none"/>
              </w:rPr>
            </w:pPr>
            <w:r>
              <w:rPr>
                <w:rFonts w:hint="eastAsia" w:ascii="Times New Roman" w:eastAsia="宋体"/>
                <w:color w:val="auto"/>
                <w:highlight w:val="none"/>
                <w:lang w:val="en-US"/>
              </w:rPr>
              <w:t>NMHC</w:t>
            </w:r>
            <w:r>
              <w:rPr>
                <w:rFonts w:hint="eastAsia" w:ascii="Times New Roman" w:hAnsi="Times New Roman" w:eastAsia="宋体" w:cs="Times New Roman"/>
                <w:snapToGrid w:val="0"/>
                <w:color w:val="auto"/>
                <w:kern w:val="0"/>
                <w:szCs w:val="21"/>
                <w:highlight w:val="none"/>
                <w:lang w:eastAsia="zh-CN"/>
              </w:rPr>
              <w:t>：</w:t>
            </w:r>
            <w:r>
              <w:rPr>
                <w:rFonts w:hint="eastAsia" w:ascii="Times New Roman" w:hAnsi="Times New Roman" w:eastAsia="宋体" w:cs="Times New Roman"/>
                <w:snapToGrid w:val="0"/>
                <w:color w:val="auto"/>
                <w:kern w:val="0"/>
                <w:szCs w:val="21"/>
                <w:highlight w:val="none"/>
                <w:lang w:val="en-US" w:eastAsia="zh-CN"/>
              </w:rPr>
              <w:t>2.56</w:t>
            </w:r>
            <w:r>
              <w:rPr>
                <w:rFonts w:ascii="Times New Roman" w:hAnsi="Times New Roman" w:eastAsia="宋体" w:cs="Times New Roman"/>
                <w:snapToGrid w:val="0"/>
                <w:color w:val="auto"/>
                <w:kern w:val="0"/>
                <w:szCs w:val="21"/>
                <w:highlight w:val="none"/>
              </w:rPr>
              <w:t>t/a</w:t>
            </w:r>
          </w:p>
        </w:tc>
      </w:tr>
      <w:tr w14:paraId="0481BDB5">
        <w:tblPrEx>
          <w:tblBorders>
            <w:top w:val="single" w:color="auto" w:sz="4" w:space="0"/>
            <w:left w:val="single" w:color="auto" w:sz="4" w:space="0"/>
            <w:bottom w:val="single" w:color="auto" w:sz="4" w:space="0"/>
            <w:right w:val="single" w:color="auto" w:sz="4" w:space="0"/>
            <w:insideH w:val="single" w:color="000000" w:sz="12" w:space="0"/>
            <w:insideV w:val="single" w:color="000000" w:sz="12" w:space="0"/>
          </w:tblBorders>
          <w:tblCellMar>
            <w:top w:w="0" w:type="dxa"/>
            <w:left w:w="0" w:type="dxa"/>
            <w:bottom w:w="0" w:type="dxa"/>
            <w:right w:w="0" w:type="dxa"/>
          </w:tblCellMar>
        </w:tblPrEx>
        <w:trPr>
          <w:trHeight w:val="340" w:hRule="atLeast"/>
          <w:jc w:val="center"/>
        </w:trPr>
        <w:tc>
          <w:tcPr>
            <w:tcW w:w="5000" w:type="pct"/>
            <w:gridSpan w:val="18"/>
            <w:tcBorders>
              <w:top w:val="single" w:color="000000" w:sz="6" w:space="0"/>
            </w:tcBorders>
            <w:vAlign w:val="center"/>
          </w:tcPr>
          <w:p w14:paraId="0B516F55">
            <w:pPr>
              <w:pStyle w:val="680"/>
              <w:tabs>
                <w:tab w:val="left" w:pos="3439"/>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注：“</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  为勾选项  ，填“√”  ；“（</w:t>
            </w:r>
            <w:r>
              <w:rPr>
                <w:rFonts w:ascii="Times New Roman" w:hAnsi="Times New Roman" w:eastAsia="宋体" w:cs="Times New Roman"/>
                <w:snapToGrid w:val="0"/>
                <w:color w:val="auto"/>
                <w:kern w:val="0"/>
                <w:szCs w:val="21"/>
                <w:highlight w:val="none"/>
              </w:rPr>
              <w:tab/>
            </w:r>
            <w:r>
              <w:rPr>
                <w:rFonts w:ascii="Times New Roman" w:hAnsi="Times New Roman" w:eastAsia="宋体" w:cs="Times New Roman"/>
                <w:snapToGrid w:val="0"/>
                <w:color w:val="auto"/>
                <w:kern w:val="0"/>
                <w:szCs w:val="21"/>
                <w:highlight w:val="none"/>
              </w:rPr>
              <w:t>）”  为内容填写项</w:t>
            </w:r>
          </w:p>
        </w:tc>
      </w:tr>
    </w:tbl>
    <w:p w14:paraId="5C30B493">
      <w:pPr>
        <w:pStyle w:val="504"/>
        <w:spacing w:line="460" w:lineRule="exact"/>
        <w:ind w:firstLine="480"/>
        <w:rPr>
          <w:rFonts w:ascii="Times New Roman" w:hAnsi="Times New Roman" w:eastAsia="宋体" w:cs="Times New Roman"/>
          <w:color w:val="auto"/>
          <w:kern w:val="28"/>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00AAE0ED">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6.2.2运营期水环境影响分析</w:t>
      </w:r>
    </w:p>
    <w:p w14:paraId="04CAD75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6.2.2.1运营期地表水环境影响分析</w:t>
      </w:r>
    </w:p>
    <w:p w14:paraId="3FE5C7E7">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本项目建成后废水产生情况见表6.2-2</w:t>
      </w:r>
      <w:r>
        <w:rPr>
          <w:rFonts w:hint="eastAsia" w:ascii="Times New Roman" w:hAnsi="Times New Roman" w:eastAsia="宋体" w:cs="Times New Roman"/>
          <w:snapToGrid w:val="0"/>
          <w:color w:val="auto"/>
          <w:kern w:val="0"/>
          <w:highlight w:val="none"/>
          <w:lang w:val="en-US" w:eastAsia="zh-CN"/>
        </w:rPr>
        <w:t>6</w:t>
      </w:r>
      <w:r>
        <w:rPr>
          <w:rFonts w:hint="eastAsia" w:ascii="Times New Roman" w:hAnsi="Times New Roman" w:eastAsia="宋体" w:cs="Times New Roman"/>
          <w:snapToGrid w:val="0"/>
          <w:color w:val="auto"/>
          <w:kern w:val="0"/>
          <w:highlight w:val="none"/>
        </w:rPr>
        <w:t>。</w:t>
      </w:r>
    </w:p>
    <w:p w14:paraId="7F2043ED">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6.2-2</w:t>
      </w:r>
      <w:r>
        <w:rPr>
          <w:rFonts w:hint="eastAsia" w:ascii="Times New Roman" w:hAnsi="Times New Roman" w:cs="Times New Roman"/>
          <w:snapToGrid w:val="0"/>
          <w:color w:val="auto"/>
          <w:kern w:val="0"/>
          <w:sz w:val="21"/>
          <w:szCs w:val="21"/>
          <w:highlight w:val="none"/>
          <w:lang w:val="en-US" w:eastAsia="zh-CN"/>
        </w:rPr>
        <w:t>6</w:t>
      </w:r>
      <w:r>
        <w:rPr>
          <w:rFonts w:hint="eastAsia" w:ascii="Times New Roman" w:hAnsi="Times New Roman" w:cs="Times New Roman"/>
          <w:snapToGrid w:val="0"/>
          <w:color w:val="auto"/>
          <w:kern w:val="0"/>
          <w:sz w:val="21"/>
          <w:szCs w:val="21"/>
          <w:highlight w:val="none"/>
        </w:rPr>
        <w:t xml:space="preserve"> 本项目实施后废水污染物排放情况表</w:t>
      </w:r>
    </w:p>
    <w:tbl>
      <w:tblPr>
        <w:tblStyle w:val="5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421"/>
        <w:gridCol w:w="603"/>
        <w:gridCol w:w="1017"/>
        <w:gridCol w:w="497"/>
        <w:gridCol w:w="697"/>
        <w:gridCol w:w="619"/>
        <w:gridCol w:w="705"/>
        <w:gridCol w:w="535"/>
        <w:gridCol w:w="535"/>
        <w:gridCol w:w="497"/>
        <w:gridCol w:w="654"/>
        <w:gridCol w:w="748"/>
        <w:gridCol w:w="745"/>
      </w:tblGrid>
      <w:tr w14:paraId="3B8BA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255" w:type="pct"/>
            <w:vMerge w:val="restart"/>
            <w:vAlign w:val="center"/>
          </w:tcPr>
          <w:p w14:paraId="6F15A9D6">
            <w:pPr>
              <w:adjustRightInd w:val="0"/>
              <w:snapToGrid w:val="0"/>
              <w:jc w:val="center"/>
              <w:rPr>
                <w:snapToGrid w:val="0"/>
                <w:color w:val="auto"/>
                <w:kern w:val="0"/>
                <w:szCs w:val="21"/>
                <w:highlight w:val="none"/>
              </w:rPr>
            </w:pPr>
            <w:r>
              <w:rPr>
                <w:rFonts w:hint="eastAsia"/>
                <w:snapToGrid w:val="0"/>
                <w:color w:val="auto"/>
                <w:kern w:val="0"/>
                <w:szCs w:val="21"/>
                <w:highlight w:val="none"/>
              </w:rPr>
              <w:t>编号</w:t>
            </w:r>
          </w:p>
        </w:tc>
        <w:tc>
          <w:tcPr>
            <w:tcW w:w="365" w:type="pct"/>
            <w:vMerge w:val="restart"/>
            <w:vAlign w:val="center"/>
          </w:tcPr>
          <w:p w14:paraId="56EB80A7">
            <w:pPr>
              <w:adjustRightInd w:val="0"/>
              <w:snapToGrid w:val="0"/>
              <w:jc w:val="center"/>
              <w:rPr>
                <w:snapToGrid w:val="0"/>
                <w:color w:val="auto"/>
                <w:kern w:val="0"/>
                <w:szCs w:val="21"/>
                <w:highlight w:val="none"/>
              </w:rPr>
            </w:pPr>
            <w:r>
              <w:rPr>
                <w:rFonts w:hint="eastAsia"/>
                <w:snapToGrid w:val="0"/>
                <w:color w:val="auto"/>
                <w:kern w:val="0"/>
                <w:szCs w:val="21"/>
                <w:highlight w:val="none"/>
              </w:rPr>
              <w:t>污染源</w:t>
            </w:r>
          </w:p>
        </w:tc>
        <w:tc>
          <w:tcPr>
            <w:tcW w:w="615" w:type="pct"/>
            <w:vMerge w:val="restart"/>
            <w:vAlign w:val="center"/>
          </w:tcPr>
          <w:p w14:paraId="08DA7F2C">
            <w:pPr>
              <w:adjustRightInd w:val="0"/>
              <w:snapToGrid w:val="0"/>
              <w:jc w:val="center"/>
              <w:rPr>
                <w:snapToGrid w:val="0"/>
                <w:color w:val="auto"/>
                <w:kern w:val="0"/>
                <w:szCs w:val="21"/>
                <w:highlight w:val="none"/>
              </w:rPr>
            </w:pPr>
            <w:r>
              <w:rPr>
                <w:rFonts w:hint="eastAsia"/>
                <w:snapToGrid w:val="0"/>
                <w:color w:val="auto"/>
                <w:kern w:val="0"/>
                <w:szCs w:val="21"/>
                <w:highlight w:val="none"/>
              </w:rPr>
              <w:t>废水量（</w:t>
            </w:r>
            <w:r>
              <w:rPr>
                <w:snapToGrid w:val="0"/>
                <w:color w:val="auto"/>
                <w:kern w:val="0"/>
                <w:szCs w:val="21"/>
                <w:highlight w:val="none"/>
              </w:rPr>
              <w:t>m</w:t>
            </w:r>
            <w:r>
              <w:rPr>
                <w:snapToGrid w:val="0"/>
                <w:color w:val="auto"/>
                <w:kern w:val="0"/>
                <w:szCs w:val="21"/>
                <w:highlight w:val="none"/>
                <w:vertAlign w:val="superscript"/>
              </w:rPr>
              <w:t>3</w:t>
            </w:r>
            <w:r>
              <w:rPr>
                <w:snapToGrid w:val="0"/>
                <w:color w:val="auto"/>
                <w:kern w:val="0"/>
                <w:szCs w:val="21"/>
                <w:highlight w:val="none"/>
              </w:rPr>
              <w:t>/h</w:t>
            </w:r>
            <w:r>
              <w:rPr>
                <w:rFonts w:hint="eastAsia"/>
                <w:snapToGrid w:val="0"/>
                <w:color w:val="auto"/>
                <w:kern w:val="0"/>
                <w:szCs w:val="21"/>
                <w:highlight w:val="none"/>
              </w:rPr>
              <w:t>）</w:t>
            </w:r>
          </w:p>
        </w:tc>
        <w:tc>
          <w:tcPr>
            <w:tcW w:w="3314" w:type="pct"/>
            <w:gridSpan w:val="9"/>
            <w:vAlign w:val="center"/>
          </w:tcPr>
          <w:p w14:paraId="3A64AB83">
            <w:pPr>
              <w:adjustRightInd w:val="0"/>
              <w:snapToGrid w:val="0"/>
              <w:jc w:val="center"/>
              <w:rPr>
                <w:snapToGrid w:val="0"/>
                <w:color w:val="auto"/>
                <w:kern w:val="0"/>
                <w:szCs w:val="21"/>
                <w:highlight w:val="none"/>
              </w:rPr>
            </w:pPr>
            <w:r>
              <w:rPr>
                <w:rFonts w:hint="eastAsia"/>
                <w:snapToGrid w:val="0"/>
                <w:color w:val="auto"/>
                <w:kern w:val="0"/>
                <w:szCs w:val="21"/>
                <w:highlight w:val="none"/>
              </w:rPr>
              <w:t>污染物因子及浓度（</w:t>
            </w:r>
            <w:r>
              <w:rPr>
                <w:snapToGrid w:val="0"/>
                <w:color w:val="auto"/>
                <w:kern w:val="0"/>
                <w:szCs w:val="21"/>
                <w:highlight w:val="none"/>
              </w:rPr>
              <w:t>mg/L</w:t>
            </w:r>
            <w:r>
              <w:rPr>
                <w:rFonts w:hint="eastAsia"/>
                <w:snapToGrid w:val="0"/>
                <w:color w:val="auto"/>
                <w:kern w:val="0"/>
                <w:szCs w:val="21"/>
                <w:highlight w:val="none"/>
              </w:rPr>
              <w:t>，</w:t>
            </w:r>
            <w:r>
              <w:rPr>
                <w:rFonts w:hint="eastAsia"/>
                <w:snapToGrid w:val="0"/>
                <w:color w:val="auto"/>
                <w:kern w:val="0"/>
                <w:szCs w:val="21"/>
                <w:highlight w:val="none"/>
                <w:lang w:eastAsia="zh-CN"/>
              </w:rPr>
              <w:t>pH值</w:t>
            </w:r>
            <w:r>
              <w:rPr>
                <w:rFonts w:hint="eastAsia"/>
                <w:snapToGrid w:val="0"/>
                <w:color w:val="auto"/>
                <w:kern w:val="0"/>
                <w:szCs w:val="21"/>
                <w:highlight w:val="none"/>
              </w:rPr>
              <w:t>无量纲）</w:t>
            </w:r>
          </w:p>
        </w:tc>
        <w:tc>
          <w:tcPr>
            <w:tcW w:w="450" w:type="pct"/>
            <w:vMerge w:val="restart"/>
            <w:vAlign w:val="center"/>
          </w:tcPr>
          <w:p w14:paraId="2D3210E1">
            <w:pPr>
              <w:adjustRightInd w:val="0"/>
              <w:snapToGrid w:val="0"/>
              <w:jc w:val="center"/>
              <w:rPr>
                <w:snapToGrid w:val="0"/>
                <w:color w:val="auto"/>
                <w:kern w:val="0"/>
                <w:szCs w:val="21"/>
                <w:highlight w:val="none"/>
              </w:rPr>
            </w:pPr>
            <w:r>
              <w:rPr>
                <w:rFonts w:hint="eastAsia"/>
                <w:snapToGrid w:val="0"/>
                <w:color w:val="auto"/>
                <w:kern w:val="0"/>
                <w:szCs w:val="21"/>
                <w:highlight w:val="none"/>
              </w:rPr>
              <w:t>去向</w:t>
            </w:r>
          </w:p>
        </w:tc>
      </w:tr>
      <w:tr w14:paraId="7EBB5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255" w:type="pct"/>
            <w:vMerge w:val="continue"/>
            <w:vAlign w:val="center"/>
          </w:tcPr>
          <w:p w14:paraId="70F38C27">
            <w:pPr>
              <w:adjustRightInd w:val="0"/>
              <w:snapToGrid w:val="0"/>
              <w:jc w:val="left"/>
              <w:rPr>
                <w:snapToGrid w:val="0"/>
                <w:color w:val="auto"/>
                <w:kern w:val="0"/>
                <w:szCs w:val="21"/>
                <w:highlight w:val="none"/>
              </w:rPr>
            </w:pPr>
          </w:p>
        </w:tc>
        <w:tc>
          <w:tcPr>
            <w:tcW w:w="365" w:type="pct"/>
            <w:vMerge w:val="continue"/>
            <w:vAlign w:val="center"/>
          </w:tcPr>
          <w:p w14:paraId="7DD01066">
            <w:pPr>
              <w:adjustRightInd w:val="0"/>
              <w:snapToGrid w:val="0"/>
              <w:jc w:val="left"/>
              <w:rPr>
                <w:snapToGrid w:val="0"/>
                <w:color w:val="auto"/>
                <w:kern w:val="0"/>
                <w:szCs w:val="21"/>
                <w:highlight w:val="none"/>
              </w:rPr>
            </w:pPr>
          </w:p>
        </w:tc>
        <w:tc>
          <w:tcPr>
            <w:tcW w:w="615" w:type="pct"/>
            <w:vMerge w:val="continue"/>
            <w:vAlign w:val="center"/>
          </w:tcPr>
          <w:p w14:paraId="3AEE579A">
            <w:pPr>
              <w:adjustRightInd w:val="0"/>
              <w:snapToGrid w:val="0"/>
              <w:jc w:val="left"/>
              <w:rPr>
                <w:snapToGrid w:val="0"/>
                <w:color w:val="auto"/>
                <w:kern w:val="0"/>
                <w:szCs w:val="21"/>
                <w:highlight w:val="none"/>
              </w:rPr>
            </w:pPr>
          </w:p>
        </w:tc>
        <w:tc>
          <w:tcPr>
            <w:tcW w:w="300" w:type="pct"/>
            <w:tcBorders>
              <w:right w:val="single" w:color="auto" w:sz="4" w:space="0"/>
            </w:tcBorders>
            <w:vAlign w:val="center"/>
          </w:tcPr>
          <w:p w14:paraId="67781A4C">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p</w:t>
            </w:r>
            <w:r>
              <w:rPr>
                <w:snapToGrid w:val="0"/>
                <w:color w:val="auto"/>
                <w:kern w:val="0"/>
                <w:szCs w:val="21"/>
                <w:highlight w:val="none"/>
              </w:rPr>
              <w:t>H</w:t>
            </w:r>
          </w:p>
        </w:tc>
        <w:tc>
          <w:tcPr>
            <w:tcW w:w="421" w:type="pct"/>
            <w:tcBorders>
              <w:left w:val="single" w:color="auto" w:sz="4" w:space="0"/>
              <w:right w:val="single" w:color="auto" w:sz="4" w:space="0"/>
            </w:tcBorders>
            <w:vAlign w:val="center"/>
          </w:tcPr>
          <w:p w14:paraId="31BAB474">
            <w:pPr>
              <w:adjustRightInd w:val="0"/>
              <w:snapToGrid w:val="0"/>
              <w:jc w:val="center"/>
              <w:rPr>
                <w:snapToGrid w:val="0"/>
                <w:color w:val="auto"/>
                <w:kern w:val="0"/>
                <w:szCs w:val="21"/>
                <w:highlight w:val="none"/>
              </w:rPr>
            </w:pPr>
            <w:r>
              <w:rPr>
                <w:rFonts w:hint="eastAsia"/>
                <w:snapToGrid w:val="0"/>
                <w:color w:val="auto"/>
                <w:kern w:val="0"/>
                <w:szCs w:val="21"/>
                <w:highlight w:val="none"/>
              </w:rPr>
              <w:t>C</w:t>
            </w:r>
            <w:r>
              <w:rPr>
                <w:snapToGrid w:val="0"/>
                <w:color w:val="auto"/>
                <w:kern w:val="0"/>
                <w:szCs w:val="21"/>
                <w:highlight w:val="none"/>
              </w:rPr>
              <w:t>OD</w:t>
            </w:r>
          </w:p>
        </w:tc>
        <w:tc>
          <w:tcPr>
            <w:tcW w:w="374" w:type="pct"/>
            <w:tcBorders>
              <w:left w:val="single" w:color="auto" w:sz="4" w:space="0"/>
              <w:right w:val="single" w:color="auto" w:sz="4" w:space="0"/>
            </w:tcBorders>
            <w:vAlign w:val="center"/>
          </w:tcPr>
          <w:p w14:paraId="7D227960">
            <w:pPr>
              <w:adjustRightInd w:val="0"/>
              <w:snapToGrid w:val="0"/>
              <w:jc w:val="center"/>
              <w:rPr>
                <w:snapToGrid w:val="0"/>
                <w:color w:val="auto"/>
                <w:kern w:val="0"/>
                <w:szCs w:val="21"/>
                <w:highlight w:val="none"/>
              </w:rPr>
            </w:pPr>
            <w:r>
              <w:rPr>
                <w:rFonts w:hint="eastAsia"/>
                <w:snapToGrid w:val="0"/>
                <w:color w:val="auto"/>
                <w:kern w:val="0"/>
                <w:szCs w:val="21"/>
                <w:highlight w:val="none"/>
              </w:rPr>
              <w:t>B</w:t>
            </w:r>
            <w:r>
              <w:rPr>
                <w:snapToGrid w:val="0"/>
                <w:color w:val="auto"/>
                <w:kern w:val="0"/>
                <w:szCs w:val="21"/>
                <w:highlight w:val="none"/>
              </w:rPr>
              <w:t>OD</w:t>
            </w:r>
          </w:p>
        </w:tc>
        <w:tc>
          <w:tcPr>
            <w:tcW w:w="426" w:type="pct"/>
            <w:tcBorders>
              <w:left w:val="single" w:color="auto" w:sz="4" w:space="0"/>
            </w:tcBorders>
            <w:vAlign w:val="center"/>
          </w:tcPr>
          <w:p w14:paraId="6E7B377E">
            <w:pPr>
              <w:adjustRightInd w:val="0"/>
              <w:snapToGrid w:val="0"/>
              <w:jc w:val="center"/>
              <w:rPr>
                <w:snapToGrid w:val="0"/>
                <w:color w:val="auto"/>
                <w:kern w:val="0"/>
                <w:szCs w:val="21"/>
                <w:highlight w:val="none"/>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r>
              <w:rPr>
                <w:snapToGrid w:val="0"/>
                <w:color w:val="auto"/>
                <w:kern w:val="0"/>
                <w:szCs w:val="21"/>
                <w:highlight w:val="none"/>
              </w:rPr>
              <w:t>-N</w:t>
            </w:r>
          </w:p>
        </w:tc>
        <w:tc>
          <w:tcPr>
            <w:tcW w:w="323" w:type="pct"/>
            <w:tcBorders>
              <w:right w:val="single" w:color="auto" w:sz="4" w:space="0"/>
            </w:tcBorders>
            <w:vAlign w:val="center"/>
          </w:tcPr>
          <w:p w14:paraId="17753CFC">
            <w:pPr>
              <w:adjustRightInd w:val="0"/>
              <w:snapToGrid w:val="0"/>
              <w:jc w:val="center"/>
              <w:rPr>
                <w:snapToGrid w:val="0"/>
                <w:color w:val="auto"/>
                <w:kern w:val="0"/>
                <w:szCs w:val="21"/>
                <w:highlight w:val="none"/>
              </w:rPr>
            </w:pPr>
            <w:r>
              <w:rPr>
                <w:rFonts w:hint="eastAsia"/>
                <w:snapToGrid w:val="0"/>
                <w:color w:val="auto"/>
                <w:kern w:val="0"/>
                <w:szCs w:val="21"/>
                <w:highlight w:val="none"/>
              </w:rPr>
              <w:t>S</w:t>
            </w:r>
            <w:r>
              <w:rPr>
                <w:snapToGrid w:val="0"/>
                <w:color w:val="auto"/>
                <w:kern w:val="0"/>
                <w:szCs w:val="21"/>
                <w:highlight w:val="none"/>
              </w:rPr>
              <w:t>S</w:t>
            </w:r>
          </w:p>
        </w:tc>
        <w:tc>
          <w:tcPr>
            <w:tcW w:w="323" w:type="pct"/>
            <w:tcBorders>
              <w:right w:val="single" w:color="auto" w:sz="4" w:space="0"/>
            </w:tcBorders>
            <w:vAlign w:val="center"/>
          </w:tcPr>
          <w:p w14:paraId="0E10B32D">
            <w:pPr>
              <w:adjustRightInd w:val="0"/>
              <w:snapToGrid w:val="0"/>
              <w:jc w:val="center"/>
              <w:rPr>
                <w:snapToGrid w:val="0"/>
                <w:color w:val="auto"/>
                <w:kern w:val="0"/>
                <w:szCs w:val="21"/>
                <w:highlight w:val="none"/>
              </w:rPr>
            </w:pPr>
            <w:r>
              <w:rPr>
                <w:rFonts w:hint="eastAsia"/>
                <w:snapToGrid w:val="0"/>
                <w:color w:val="auto"/>
                <w:kern w:val="0"/>
                <w:szCs w:val="21"/>
                <w:highlight w:val="none"/>
              </w:rPr>
              <w:t>T</w:t>
            </w:r>
            <w:r>
              <w:rPr>
                <w:snapToGrid w:val="0"/>
                <w:color w:val="auto"/>
                <w:kern w:val="0"/>
                <w:szCs w:val="21"/>
                <w:highlight w:val="none"/>
              </w:rPr>
              <w:t>N</w:t>
            </w:r>
          </w:p>
        </w:tc>
        <w:tc>
          <w:tcPr>
            <w:tcW w:w="300" w:type="pct"/>
            <w:tcBorders>
              <w:left w:val="single" w:color="auto" w:sz="4" w:space="0"/>
              <w:right w:val="single" w:color="auto" w:sz="4" w:space="0"/>
            </w:tcBorders>
            <w:vAlign w:val="center"/>
          </w:tcPr>
          <w:p w14:paraId="230326AE">
            <w:pPr>
              <w:adjustRightInd w:val="0"/>
              <w:snapToGrid w:val="0"/>
              <w:jc w:val="center"/>
              <w:rPr>
                <w:snapToGrid w:val="0"/>
                <w:color w:val="auto"/>
                <w:kern w:val="0"/>
                <w:szCs w:val="21"/>
                <w:highlight w:val="none"/>
              </w:rPr>
            </w:pPr>
            <w:r>
              <w:rPr>
                <w:rFonts w:hint="eastAsia"/>
                <w:snapToGrid w:val="0"/>
                <w:color w:val="auto"/>
                <w:kern w:val="0"/>
                <w:szCs w:val="21"/>
                <w:highlight w:val="none"/>
              </w:rPr>
              <w:t>T</w:t>
            </w:r>
            <w:r>
              <w:rPr>
                <w:snapToGrid w:val="0"/>
                <w:color w:val="auto"/>
                <w:kern w:val="0"/>
                <w:szCs w:val="21"/>
                <w:highlight w:val="none"/>
              </w:rPr>
              <w:t>P</w:t>
            </w:r>
          </w:p>
        </w:tc>
        <w:tc>
          <w:tcPr>
            <w:tcW w:w="395" w:type="pct"/>
            <w:tcBorders>
              <w:left w:val="single" w:color="auto" w:sz="4" w:space="0"/>
              <w:right w:val="single" w:color="auto" w:sz="4" w:space="0"/>
            </w:tcBorders>
            <w:vAlign w:val="center"/>
          </w:tcPr>
          <w:p w14:paraId="127C9E45">
            <w:pPr>
              <w:adjustRightInd w:val="0"/>
              <w:snapToGrid w:val="0"/>
              <w:jc w:val="center"/>
              <w:rPr>
                <w:snapToGrid w:val="0"/>
                <w:color w:val="auto"/>
                <w:kern w:val="0"/>
                <w:szCs w:val="21"/>
                <w:highlight w:val="none"/>
              </w:rPr>
            </w:pPr>
            <w:r>
              <w:rPr>
                <w:snapToGrid w:val="0"/>
                <w:color w:val="auto"/>
                <w:kern w:val="0"/>
                <w:szCs w:val="21"/>
                <w:highlight w:val="none"/>
              </w:rPr>
              <w:t>TOC</w:t>
            </w:r>
          </w:p>
        </w:tc>
        <w:tc>
          <w:tcPr>
            <w:tcW w:w="450" w:type="pct"/>
            <w:tcBorders>
              <w:left w:val="single" w:color="auto" w:sz="4" w:space="0"/>
            </w:tcBorders>
            <w:vAlign w:val="center"/>
          </w:tcPr>
          <w:p w14:paraId="24856E72">
            <w:pPr>
              <w:adjustRightInd w:val="0"/>
              <w:snapToGrid w:val="0"/>
              <w:jc w:val="center"/>
              <w:rPr>
                <w:snapToGrid w:val="0"/>
                <w:color w:val="auto"/>
                <w:kern w:val="0"/>
                <w:szCs w:val="21"/>
                <w:highlight w:val="none"/>
              </w:rPr>
            </w:pPr>
            <w:r>
              <w:rPr>
                <w:rFonts w:hint="eastAsia"/>
                <w:snapToGrid w:val="0"/>
                <w:color w:val="auto"/>
                <w:kern w:val="0"/>
                <w:szCs w:val="21"/>
                <w:highlight w:val="none"/>
              </w:rPr>
              <w:t>总盐</w:t>
            </w:r>
          </w:p>
        </w:tc>
        <w:tc>
          <w:tcPr>
            <w:tcW w:w="450" w:type="pct"/>
            <w:vMerge w:val="continue"/>
            <w:vAlign w:val="center"/>
          </w:tcPr>
          <w:p w14:paraId="24E6E1C2">
            <w:pPr>
              <w:adjustRightInd w:val="0"/>
              <w:snapToGrid w:val="0"/>
              <w:jc w:val="left"/>
              <w:rPr>
                <w:snapToGrid w:val="0"/>
                <w:color w:val="auto"/>
                <w:kern w:val="0"/>
                <w:szCs w:val="21"/>
                <w:highlight w:val="none"/>
              </w:rPr>
            </w:pPr>
          </w:p>
        </w:tc>
      </w:tr>
      <w:tr w14:paraId="40D5E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22" w:type="dxa"/>
            <w:vAlign w:val="center"/>
          </w:tcPr>
          <w:p w14:paraId="001ACE94">
            <w:pPr>
              <w:adjustRightInd w:val="0"/>
              <w:snapToGrid w:val="0"/>
              <w:jc w:val="center"/>
              <w:rPr>
                <w:snapToGrid w:val="0"/>
                <w:color w:val="auto"/>
                <w:kern w:val="0"/>
                <w:szCs w:val="21"/>
                <w:highlight w:val="none"/>
              </w:rPr>
            </w:pPr>
            <w:r>
              <w:rPr>
                <w:rFonts w:hint="eastAsia"/>
                <w:snapToGrid w:val="0"/>
                <w:color w:val="auto"/>
                <w:kern w:val="0"/>
                <w:szCs w:val="21"/>
                <w:highlight w:val="none"/>
              </w:rPr>
              <w:t>W1</w:t>
            </w:r>
          </w:p>
        </w:tc>
        <w:tc>
          <w:tcPr>
            <w:tcW w:w="604" w:type="dxa"/>
            <w:vAlign w:val="center"/>
          </w:tcPr>
          <w:p w14:paraId="280728C3">
            <w:pPr>
              <w:adjustRightInd w:val="0"/>
              <w:snapToGrid w:val="0"/>
              <w:jc w:val="center"/>
              <w:rPr>
                <w:snapToGrid w:val="0"/>
                <w:color w:val="auto"/>
                <w:kern w:val="0"/>
                <w:szCs w:val="21"/>
                <w:highlight w:val="none"/>
              </w:rPr>
            </w:pPr>
            <w:r>
              <w:rPr>
                <w:rFonts w:hint="eastAsia"/>
                <w:snapToGrid w:val="0"/>
                <w:color w:val="auto"/>
                <w:kern w:val="0"/>
                <w:szCs w:val="21"/>
                <w:highlight w:val="none"/>
              </w:rPr>
              <w:t>发酵清洗废水</w:t>
            </w:r>
          </w:p>
        </w:tc>
        <w:tc>
          <w:tcPr>
            <w:tcW w:w="1018" w:type="dxa"/>
            <w:vAlign w:val="center"/>
          </w:tcPr>
          <w:p w14:paraId="165CCF1F">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2</w:t>
            </w:r>
          </w:p>
        </w:tc>
        <w:tc>
          <w:tcPr>
            <w:tcW w:w="497" w:type="dxa"/>
            <w:tcBorders>
              <w:right w:val="single" w:color="auto" w:sz="4" w:space="0"/>
            </w:tcBorders>
            <w:vAlign w:val="center"/>
          </w:tcPr>
          <w:p w14:paraId="2894A711">
            <w:pPr>
              <w:adjustRightInd w:val="0"/>
              <w:snapToGrid w:val="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~9</w:t>
            </w:r>
          </w:p>
        </w:tc>
        <w:tc>
          <w:tcPr>
            <w:tcW w:w="697" w:type="dxa"/>
            <w:tcBorders>
              <w:left w:val="single" w:color="auto" w:sz="4" w:space="0"/>
              <w:right w:val="single" w:color="auto" w:sz="4" w:space="0"/>
            </w:tcBorders>
            <w:vAlign w:val="center"/>
          </w:tcPr>
          <w:p w14:paraId="6175CA41">
            <w:pPr>
              <w:adjustRightInd w:val="0"/>
              <w:snapToGrid w:val="0"/>
              <w:jc w:val="center"/>
              <w:rPr>
                <w:snapToGrid w:val="0"/>
                <w:color w:val="auto"/>
                <w:kern w:val="0"/>
                <w:szCs w:val="21"/>
                <w:highlight w:val="none"/>
              </w:rPr>
            </w:pPr>
            <w:r>
              <w:rPr>
                <w:rFonts w:hint="eastAsia"/>
                <w:snapToGrid w:val="0"/>
                <w:color w:val="auto"/>
                <w:kern w:val="0"/>
                <w:szCs w:val="21"/>
                <w:highlight w:val="none"/>
              </w:rPr>
              <w:t>3</w:t>
            </w:r>
            <w:r>
              <w:rPr>
                <w:snapToGrid w:val="0"/>
                <w:color w:val="auto"/>
                <w:kern w:val="0"/>
                <w:szCs w:val="21"/>
                <w:highlight w:val="none"/>
              </w:rPr>
              <w:t>000</w:t>
            </w:r>
          </w:p>
        </w:tc>
        <w:tc>
          <w:tcPr>
            <w:tcW w:w="619" w:type="dxa"/>
            <w:tcBorders>
              <w:left w:val="single" w:color="auto" w:sz="4" w:space="0"/>
              <w:right w:val="single" w:color="auto" w:sz="4" w:space="0"/>
            </w:tcBorders>
            <w:vAlign w:val="center"/>
          </w:tcPr>
          <w:p w14:paraId="16F57FA2">
            <w:pPr>
              <w:adjustRightInd w:val="0"/>
              <w:snapToGrid w:val="0"/>
              <w:jc w:val="center"/>
              <w:rPr>
                <w:snapToGrid w:val="0"/>
                <w:color w:val="auto"/>
                <w:kern w:val="0"/>
                <w:szCs w:val="21"/>
                <w:highlight w:val="none"/>
              </w:rPr>
            </w:pPr>
            <w:r>
              <w:rPr>
                <w:rFonts w:hint="eastAsia"/>
                <w:snapToGrid w:val="0"/>
                <w:color w:val="auto"/>
                <w:kern w:val="0"/>
                <w:szCs w:val="21"/>
                <w:highlight w:val="none"/>
              </w:rPr>
              <w:t>1</w:t>
            </w:r>
            <w:r>
              <w:rPr>
                <w:snapToGrid w:val="0"/>
                <w:color w:val="auto"/>
                <w:kern w:val="0"/>
                <w:szCs w:val="21"/>
                <w:highlight w:val="none"/>
              </w:rPr>
              <w:t>500</w:t>
            </w:r>
          </w:p>
        </w:tc>
        <w:tc>
          <w:tcPr>
            <w:tcW w:w="705" w:type="dxa"/>
            <w:tcBorders>
              <w:left w:val="single" w:color="auto" w:sz="4" w:space="0"/>
            </w:tcBorders>
            <w:vAlign w:val="center"/>
          </w:tcPr>
          <w:p w14:paraId="48E54006">
            <w:pPr>
              <w:adjustRightInd w:val="0"/>
              <w:snapToGrid w:val="0"/>
              <w:jc w:val="center"/>
              <w:rPr>
                <w:rFonts w:hint="default" w:eastAsia="宋体"/>
                <w:snapToGrid w:val="0"/>
                <w:color w:val="auto"/>
                <w:kern w:val="0"/>
                <w:szCs w:val="21"/>
                <w:highlight w:val="none"/>
                <w:lang w:val="en-US" w:eastAsia="zh-CN"/>
              </w:rPr>
            </w:pPr>
            <w:r>
              <w:rPr>
                <w:snapToGrid w:val="0"/>
                <w:color w:val="auto"/>
                <w:kern w:val="0"/>
                <w:szCs w:val="21"/>
                <w:highlight w:val="none"/>
              </w:rPr>
              <w:t>75</w:t>
            </w:r>
          </w:p>
        </w:tc>
        <w:tc>
          <w:tcPr>
            <w:tcW w:w="535" w:type="dxa"/>
            <w:tcBorders>
              <w:right w:val="single" w:color="auto" w:sz="4" w:space="0"/>
            </w:tcBorders>
            <w:vAlign w:val="center"/>
          </w:tcPr>
          <w:p w14:paraId="3338FFCD">
            <w:pPr>
              <w:adjustRightInd w:val="0"/>
              <w:snapToGrid w:val="0"/>
              <w:jc w:val="center"/>
              <w:rPr>
                <w:snapToGrid w:val="0"/>
                <w:color w:val="auto"/>
                <w:kern w:val="0"/>
                <w:szCs w:val="21"/>
                <w:highlight w:val="none"/>
              </w:rPr>
            </w:pPr>
            <w:r>
              <w:rPr>
                <w:rFonts w:hint="eastAsia"/>
                <w:snapToGrid w:val="0"/>
                <w:color w:val="auto"/>
                <w:kern w:val="0"/>
                <w:szCs w:val="21"/>
                <w:highlight w:val="none"/>
              </w:rPr>
              <w:t>8</w:t>
            </w:r>
            <w:r>
              <w:rPr>
                <w:snapToGrid w:val="0"/>
                <w:color w:val="auto"/>
                <w:kern w:val="0"/>
                <w:szCs w:val="21"/>
                <w:highlight w:val="none"/>
              </w:rPr>
              <w:t>00</w:t>
            </w:r>
          </w:p>
        </w:tc>
        <w:tc>
          <w:tcPr>
            <w:tcW w:w="535" w:type="dxa"/>
            <w:tcBorders>
              <w:right w:val="single" w:color="auto" w:sz="4" w:space="0"/>
            </w:tcBorders>
            <w:vAlign w:val="center"/>
          </w:tcPr>
          <w:p w14:paraId="3193A450">
            <w:pPr>
              <w:adjustRightInd w:val="0"/>
              <w:snapToGrid w:val="0"/>
              <w:jc w:val="center"/>
              <w:rPr>
                <w:snapToGrid w:val="0"/>
                <w:color w:val="auto"/>
                <w:kern w:val="0"/>
                <w:szCs w:val="21"/>
                <w:highlight w:val="none"/>
              </w:rPr>
            </w:pPr>
            <w:r>
              <w:rPr>
                <w:snapToGrid w:val="0"/>
                <w:color w:val="auto"/>
                <w:kern w:val="0"/>
                <w:szCs w:val="21"/>
                <w:highlight w:val="none"/>
              </w:rPr>
              <w:t>100</w:t>
            </w:r>
          </w:p>
        </w:tc>
        <w:tc>
          <w:tcPr>
            <w:tcW w:w="497" w:type="dxa"/>
            <w:tcBorders>
              <w:left w:val="single" w:color="auto" w:sz="4" w:space="0"/>
              <w:right w:val="single" w:color="auto" w:sz="4" w:space="0"/>
            </w:tcBorders>
            <w:vAlign w:val="center"/>
          </w:tcPr>
          <w:p w14:paraId="32C217EE">
            <w:pPr>
              <w:adjustRightInd w:val="0"/>
              <w:snapToGrid w:val="0"/>
              <w:jc w:val="center"/>
              <w:rPr>
                <w:snapToGrid w:val="0"/>
                <w:color w:val="auto"/>
                <w:kern w:val="0"/>
                <w:szCs w:val="21"/>
                <w:highlight w:val="none"/>
              </w:rPr>
            </w:pPr>
            <w:r>
              <w:rPr>
                <w:snapToGrid w:val="0"/>
                <w:color w:val="auto"/>
                <w:kern w:val="0"/>
                <w:szCs w:val="21"/>
                <w:highlight w:val="none"/>
              </w:rPr>
              <w:t>125</w:t>
            </w:r>
          </w:p>
        </w:tc>
        <w:tc>
          <w:tcPr>
            <w:tcW w:w="654" w:type="dxa"/>
            <w:tcBorders>
              <w:left w:val="single" w:color="auto" w:sz="4" w:space="0"/>
              <w:right w:val="single" w:color="auto" w:sz="4" w:space="0"/>
            </w:tcBorders>
            <w:vAlign w:val="center"/>
          </w:tcPr>
          <w:p w14:paraId="3A9168DA">
            <w:pPr>
              <w:adjustRightInd w:val="0"/>
              <w:snapToGrid w:val="0"/>
              <w:jc w:val="center"/>
              <w:rPr>
                <w:snapToGrid w:val="0"/>
                <w:color w:val="auto"/>
                <w:kern w:val="0"/>
                <w:szCs w:val="21"/>
                <w:highlight w:val="none"/>
              </w:rPr>
            </w:pPr>
            <w:r>
              <w:rPr>
                <w:snapToGrid w:val="0"/>
                <w:color w:val="auto"/>
                <w:kern w:val="0"/>
                <w:szCs w:val="21"/>
                <w:highlight w:val="none"/>
              </w:rPr>
              <w:t>1000</w:t>
            </w:r>
          </w:p>
        </w:tc>
        <w:tc>
          <w:tcPr>
            <w:tcW w:w="745" w:type="dxa"/>
            <w:tcBorders>
              <w:left w:val="single" w:color="auto" w:sz="4" w:space="0"/>
            </w:tcBorders>
            <w:vAlign w:val="center"/>
          </w:tcPr>
          <w:p w14:paraId="4C8525FB">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745" w:type="dxa"/>
            <w:tcBorders>
              <w:bottom w:val="single" w:color="auto" w:sz="4" w:space="0"/>
            </w:tcBorders>
            <w:vAlign w:val="center"/>
          </w:tcPr>
          <w:p w14:paraId="513D24AB">
            <w:pPr>
              <w:adjustRightInd w:val="0"/>
              <w:snapToGrid w:val="0"/>
              <w:jc w:val="center"/>
              <w:rPr>
                <w:snapToGrid w:val="0"/>
                <w:color w:val="auto"/>
                <w:kern w:val="0"/>
                <w:szCs w:val="21"/>
                <w:highlight w:val="none"/>
              </w:rPr>
            </w:pPr>
            <w:r>
              <w:rPr>
                <w:rFonts w:hint="eastAsia"/>
                <w:color w:val="auto"/>
                <w:highlight w:val="none"/>
              </w:rPr>
              <w:t>经调节池调节</w:t>
            </w:r>
            <w:r>
              <w:rPr>
                <w:rFonts w:hint="eastAsia"/>
                <w:color w:val="auto"/>
                <w:highlight w:val="none"/>
                <w:lang w:val="en-US" w:eastAsia="zh-CN"/>
              </w:rPr>
              <w:t>后</w:t>
            </w:r>
            <w:r>
              <w:rPr>
                <w:rFonts w:hint="eastAsia"/>
                <w:snapToGrid w:val="0"/>
                <w:color w:val="auto"/>
                <w:kern w:val="0"/>
                <w:szCs w:val="21"/>
                <w:highlight w:val="none"/>
              </w:rPr>
              <w:t>西区污水处理厂二期</w:t>
            </w:r>
          </w:p>
        </w:tc>
      </w:tr>
      <w:tr w14:paraId="43A7A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57" w:hRule="atLeast"/>
          <w:tblHeader/>
          <w:jc w:val="center"/>
        </w:trPr>
        <w:tc>
          <w:tcPr>
            <w:tcW w:w="422" w:type="dxa"/>
            <w:tcBorders>
              <w:bottom w:val="single" w:color="auto" w:sz="4" w:space="0"/>
            </w:tcBorders>
            <w:vAlign w:val="center"/>
          </w:tcPr>
          <w:p w14:paraId="7F913B96">
            <w:pPr>
              <w:adjustRightInd w:val="0"/>
              <w:snapToGrid w:val="0"/>
              <w:jc w:val="center"/>
              <w:rPr>
                <w:snapToGrid w:val="0"/>
                <w:color w:val="auto"/>
                <w:kern w:val="0"/>
                <w:szCs w:val="21"/>
                <w:highlight w:val="none"/>
              </w:rPr>
            </w:pPr>
            <w:r>
              <w:rPr>
                <w:rFonts w:hint="eastAsia"/>
                <w:snapToGrid w:val="0"/>
                <w:color w:val="auto"/>
                <w:kern w:val="0"/>
                <w:szCs w:val="21"/>
                <w:highlight w:val="none"/>
              </w:rPr>
              <w:t>W</w:t>
            </w:r>
            <w:r>
              <w:rPr>
                <w:snapToGrid w:val="0"/>
                <w:color w:val="auto"/>
                <w:kern w:val="0"/>
                <w:szCs w:val="21"/>
                <w:highlight w:val="none"/>
              </w:rPr>
              <w:t>2</w:t>
            </w:r>
          </w:p>
        </w:tc>
        <w:tc>
          <w:tcPr>
            <w:tcW w:w="604" w:type="dxa"/>
            <w:tcBorders>
              <w:bottom w:val="single" w:color="auto" w:sz="4" w:space="0"/>
            </w:tcBorders>
            <w:vAlign w:val="center"/>
          </w:tcPr>
          <w:p w14:paraId="7EDD393B">
            <w:pPr>
              <w:adjustRightInd w:val="0"/>
              <w:snapToGrid w:val="0"/>
              <w:jc w:val="center"/>
              <w:rPr>
                <w:snapToGrid w:val="0"/>
                <w:color w:val="auto"/>
                <w:kern w:val="0"/>
                <w:szCs w:val="21"/>
                <w:highlight w:val="none"/>
              </w:rPr>
            </w:pPr>
            <w:r>
              <w:rPr>
                <w:rFonts w:hint="eastAsia"/>
                <w:snapToGrid w:val="0"/>
                <w:color w:val="auto"/>
                <w:kern w:val="0"/>
                <w:szCs w:val="21"/>
                <w:highlight w:val="none"/>
              </w:rPr>
              <w:t>分离废水</w:t>
            </w:r>
          </w:p>
        </w:tc>
        <w:tc>
          <w:tcPr>
            <w:tcW w:w="1018" w:type="dxa"/>
            <w:tcBorders>
              <w:bottom w:val="single" w:color="auto" w:sz="4" w:space="0"/>
            </w:tcBorders>
            <w:vAlign w:val="center"/>
          </w:tcPr>
          <w:p w14:paraId="262911E9">
            <w:pPr>
              <w:adjustRightInd w:val="0"/>
              <w:snapToGrid w:val="0"/>
              <w:jc w:val="center"/>
              <w:rPr>
                <w:snapToGrid w:val="0"/>
                <w:color w:val="auto"/>
                <w:kern w:val="0"/>
                <w:szCs w:val="21"/>
                <w:highlight w:val="none"/>
              </w:rPr>
            </w:pPr>
            <w:r>
              <w:rPr>
                <w:snapToGrid w:val="0"/>
                <w:color w:val="auto"/>
                <w:kern w:val="0"/>
                <w:szCs w:val="21"/>
                <w:highlight w:val="none"/>
              </w:rPr>
              <w:t>60</w:t>
            </w:r>
          </w:p>
        </w:tc>
        <w:tc>
          <w:tcPr>
            <w:tcW w:w="497" w:type="dxa"/>
            <w:tcBorders>
              <w:bottom w:val="single" w:color="auto" w:sz="4" w:space="0"/>
              <w:right w:val="single" w:color="auto" w:sz="4" w:space="0"/>
            </w:tcBorders>
            <w:vAlign w:val="center"/>
          </w:tcPr>
          <w:p w14:paraId="05A2CA73">
            <w:pPr>
              <w:adjustRightInd w:val="0"/>
              <w:snapToGrid w:val="0"/>
              <w:jc w:val="center"/>
              <w:rPr>
                <w:snapToGrid w:val="0"/>
                <w:color w:val="auto"/>
                <w:kern w:val="0"/>
                <w:szCs w:val="21"/>
                <w:highlight w:val="none"/>
              </w:rPr>
            </w:pPr>
            <w:r>
              <w:rPr>
                <w:rFonts w:hint="eastAsia"/>
                <w:snapToGrid w:val="0"/>
                <w:color w:val="auto"/>
                <w:kern w:val="0"/>
                <w:szCs w:val="21"/>
                <w:highlight w:val="none"/>
              </w:rPr>
              <w:t>7</w:t>
            </w:r>
            <w:r>
              <w:rPr>
                <w:snapToGrid w:val="0"/>
                <w:color w:val="auto"/>
                <w:kern w:val="0"/>
                <w:szCs w:val="21"/>
                <w:highlight w:val="none"/>
              </w:rPr>
              <w:t>~9</w:t>
            </w:r>
          </w:p>
        </w:tc>
        <w:tc>
          <w:tcPr>
            <w:tcW w:w="697" w:type="dxa"/>
            <w:tcBorders>
              <w:left w:val="single" w:color="auto" w:sz="4" w:space="0"/>
              <w:bottom w:val="single" w:color="auto" w:sz="4" w:space="0"/>
              <w:right w:val="single" w:color="auto" w:sz="4" w:space="0"/>
            </w:tcBorders>
            <w:vAlign w:val="center"/>
          </w:tcPr>
          <w:p w14:paraId="46EC5E2F">
            <w:pPr>
              <w:adjustRightInd w:val="0"/>
              <w:snapToGrid w:val="0"/>
              <w:jc w:val="center"/>
              <w:rPr>
                <w:snapToGrid w:val="0"/>
                <w:color w:val="auto"/>
                <w:kern w:val="0"/>
                <w:szCs w:val="21"/>
                <w:highlight w:val="none"/>
              </w:rPr>
            </w:pPr>
            <w:r>
              <w:rPr>
                <w:snapToGrid w:val="0"/>
                <w:color w:val="auto"/>
                <w:kern w:val="0"/>
                <w:szCs w:val="21"/>
                <w:highlight w:val="none"/>
              </w:rPr>
              <w:t>12000</w:t>
            </w:r>
          </w:p>
        </w:tc>
        <w:tc>
          <w:tcPr>
            <w:tcW w:w="619" w:type="dxa"/>
            <w:tcBorders>
              <w:left w:val="single" w:color="auto" w:sz="4" w:space="0"/>
              <w:bottom w:val="single" w:color="auto" w:sz="4" w:space="0"/>
              <w:right w:val="single" w:color="auto" w:sz="4" w:space="0"/>
            </w:tcBorders>
            <w:vAlign w:val="center"/>
          </w:tcPr>
          <w:p w14:paraId="564CF662">
            <w:pPr>
              <w:adjustRightInd w:val="0"/>
              <w:snapToGrid w:val="0"/>
              <w:jc w:val="center"/>
              <w:rPr>
                <w:snapToGrid w:val="0"/>
                <w:color w:val="auto"/>
                <w:kern w:val="0"/>
                <w:szCs w:val="21"/>
                <w:highlight w:val="none"/>
              </w:rPr>
            </w:pPr>
            <w:r>
              <w:rPr>
                <w:snapToGrid w:val="0"/>
                <w:color w:val="auto"/>
                <w:kern w:val="0"/>
                <w:szCs w:val="21"/>
                <w:highlight w:val="none"/>
              </w:rPr>
              <w:t>6000</w:t>
            </w:r>
          </w:p>
        </w:tc>
        <w:tc>
          <w:tcPr>
            <w:tcW w:w="705" w:type="dxa"/>
            <w:tcBorders>
              <w:left w:val="single" w:color="auto" w:sz="4" w:space="0"/>
              <w:bottom w:val="single" w:color="auto" w:sz="4" w:space="0"/>
            </w:tcBorders>
            <w:vAlign w:val="center"/>
          </w:tcPr>
          <w:p w14:paraId="5BAE7FF0">
            <w:pPr>
              <w:adjustRightInd w:val="0"/>
              <w:snapToGrid w:val="0"/>
              <w:jc w:val="center"/>
              <w:rPr>
                <w:snapToGrid w:val="0"/>
                <w:color w:val="auto"/>
                <w:kern w:val="0"/>
                <w:szCs w:val="21"/>
                <w:highlight w:val="none"/>
              </w:rPr>
            </w:pPr>
            <w:r>
              <w:rPr>
                <w:snapToGrid w:val="0"/>
                <w:color w:val="auto"/>
                <w:kern w:val="0"/>
                <w:szCs w:val="21"/>
                <w:highlight w:val="none"/>
              </w:rPr>
              <w:t>300</w:t>
            </w:r>
          </w:p>
        </w:tc>
        <w:tc>
          <w:tcPr>
            <w:tcW w:w="535" w:type="dxa"/>
            <w:tcBorders>
              <w:bottom w:val="single" w:color="auto" w:sz="4" w:space="0"/>
              <w:right w:val="single" w:color="auto" w:sz="4" w:space="0"/>
            </w:tcBorders>
            <w:vAlign w:val="center"/>
          </w:tcPr>
          <w:p w14:paraId="7F3D7DE4">
            <w:pPr>
              <w:adjustRightInd w:val="0"/>
              <w:snapToGrid w:val="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00</w:t>
            </w:r>
          </w:p>
        </w:tc>
        <w:tc>
          <w:tcPr>
            <w:tcW w:w="535" w:type="dxa"/>
            <w:tcBorders>
              <w:bottom w:val="single" w:color="auto" w:sz="4" w:space="0"/>
              <w:right w:val="single" w:color="auto" w:sz="4" w:space="0"/>
            </w:tcBorders>
            <w:vAlign w:val="center"/>
          </w:tcPr>
          <w:p w14:paraId="3F44542B">
            <w:pPr>
              <w:adjustRightInd w:val="0"/>
              <w:snapToGrid w:val="0"/>
              <w:jc w:val="center"/>
              <w:rPr>
                <w:snapToGrid w:val="0"/>
                <w:color w:val="auto"/>
                <w:kern w:val="0"/>
                <w:szCs w:val="21"/>
                <w:highlight w:val="none"/>
              </w:rPr>
            </w:pPr>
            <w:r>
              <w:rPr>
                <w:rFonts w:hint="eastAsia"/>
                <w:snapToGrid w:val="0"/>
                <w:color w:val="auto"/>
                <w:kern w:val="0"/>
                <w:szCs w:val="21"/>
                <w:highlight w:val="none"/>
              </w:rPr>
              <w:t>4</w:t>
            </w:r>
            <w:r>
              <w:rPr>
                <w:snapToGrid w:val="0"/>
                <w:color w:val="auto"/>
                <w:kern w:val="0"/>
                <w:szCs w:val="21"/>
                <w:highlight w:val="none"/>
              </w:rPr>
              <w:t>00</w:t>
            </w:r>
          </w:p>
        </w:tc>
        <w:tc>
          <w:tcPr>
            <w:tcW w:w="497" w:type="dxa"/>
            <w:tcBorders>
              <w:left w:val="single" w:color="auto" w:sz="4" w:space="0"/>
              <w:bottom w:val="single" w:color="auto" w:sz="4" w:space="0"/>
              <w:right w:val="single" w:color="auto" w:sz="4" w:space="0"/>
            </w:tcBorders>
            <w:vAlign w:val="center"/>
          </w:tcPr>
          <w:p w14:paraId="64A8975A">
            <w:pPr>
              <w:adjustRightInd w:val="0"/>
              <w:snapToGrid w:val="0"/>
              <w:jc w:val="center"/>
              <w:rPr>
                <w:snapToGrid w:val="0"/>
                <w:color w:val="auto"/>
                <w:kern w:val="0"/>
                <w:szCs w:val="21"/>
                <w:highlight w:val="none"/>
              </w:rPr>
            </w:pPr>
            <w:r>
              <w:rPr>
                <w:snapToGrid w:val="0"/>
                <w:color w:val="auto"/>
                <w:kern w:val="0"/>
                <w:szCs w:val="21"/>
                <w:highlight w:val="none"/>
              </w:rPr>
              <w:t>500</w:t>
            </w:r>
          </w:p>
        </w:tc>
        <w:tc>
          <w:tcPr>
            <w:tcW w:w="654" w:type="dxa"/>
            <w:tcBorders>
              <w:left w:val="single" w:color="auto" w:sz="4" w:space="0"/>
              <w:bottom w:val="single" w:color="auto" w:sz="4" w:space="0"/>
              <w:right w:val="single" w:color="auto" w:sz="4" w:space="0"/>
            </w:tcBorders>
            <w:vAlign w:val="center"/>
          </w:tcPr>
          <w:p w14:paraId="5ABE15F6">
            <w:pPr>
              <w:adjustRightInd w:val="0"/>
              <w:snapToGrid w:val="0"/>
              <w:jc w:val="center"/>
              <w:rPr>
                <w:snapToGrid w:val="0"/>
                <w:color w:val="auto"/>
                <w:kern w:val="0"/>
                <w:szCs w:val="21"/>
                <w:highlight w:val="none"/>
              </w:rPr>
            </w:pPr>
            <w:r>
              <w:rPr>
                <w:snapToGrid w:val="0"/>
                <w:color w:val="auto"/>
                <w:kern w:val="0"/>
                <w:szCs w:val="21"/>
                <w:highlight w:val="none"/>
              </w:rPr>
              <w:t>4000</w:t>
            </w:r>
          </w:p>
        </w:tc>
        <w:tc>
          <w:tcPr>
            <w:tcW w:w="745" w:type="dxa"/>
            <w:tcBorders>
              <w:left w:val="single" w:color="auto" w:sz="4" w:space="0"/>
              <w:bottom w:val="single" w:color="auto" w:sz="4" w:space="0"/>
            </w:tcBorders>
            <w:vAlign w:val="center"/>
          </w:tcPr>
          <w:p w14:paraId="22D8188A">
            <w:pPr>
              <w:adjustRightInd w:val="0"/>
              <w:snapToGrid w:val="0"/>
              <w:jc w:val="center"/>
              <w:rPr>
                <w:snapToGrid w:val="0"/>
                <w:color w:val="auto"/>
                <w:kern w:val="0"/>
                <w:szCs w:val="21"/>
                <w:highlight w:val="none"/>
              </w:rPr>
            </w:pPr>
            <w:r>
              <w:rPr>
                <w:rFonts w:hint="eastAsia"/>
                <w:snapToGrid w:val="0"/>
                <w:color w:val="auto"/>
                <w:kern w:val="0"/>
                <w:szCs w:val="21"/>
                <w:highlight w:val="none"/>
              </w:rPr>
              <w:t>2</w:t>
            </w:r>
            <w:r>
              <w:rPr>
                <w:snapToGrid w:val="0"/>
                <w:color w:val="auto"/>
                <w:kern w:val="0"/>
                <w:szCs w:val="21"/>
                <w:highlight w:val="none"/>
              </w:rPr>
              <w:t>000</w:t>
            </w:r>
          </w:p>
        </w:tc>
        <w:tc>
          <w:tcPr>
            <w:tcW w:w="745" w:type="dxa"/>
            <w:tcBorders>
              <w:top w:val="single" w:color="auto" w:sz="4" w:space="0"/>
              <w:bottom w:val="single" w:color="auto" w:sz="4" w:space="0"/>
            </w:tcBorders>
            <w:vAlign w:val="center"/>
          </w:tcPr>
          <w:p w14:paraId="48610BDF">
            <w:pPr>
              <w:adjustRightInd w:val="0"/>
              <w:snapToGrid w:val="0"/>
              <w:jc w:val="center"/>
              <w:rPr>
                <w:snapToGrid w:val="0"/>
                <w:color w:val="auto"/>
                <w:kern w:val="0"/>
                <w:szCs w:val="21"/>
                <w:highlight w:val="none"/>
              </w:rPr>
            </w:pPr>
            <w:r>
              <w:rPr>
                <w:rFonts w:hint="eastAsia"/>
                <w:color w:val="auto"/>
                <w:highlight w:val="none"/>
              </w:rPr>
              <w:t>经调节池调节</w:t>
            </w:r>
            <w:r>
              <w:rPr>
                <w:rFonts w:hint="eastAsia"/>
                <w:color w:val="auto"/>
                <w:highlight w:val="none"/>
                <w:lang w:val="en-US" w:eastAsia="zh-CN"/>
              </w:rPr>
              <w:t>后</w:t>
            </w:r>
            <w:r>
              <w:rPr>
                <w:rFonts w:hint="eastAsia"/>
                <w:snapToGrid w:val="0"/>
                <w:color w:val="auto"/>
                <w:kern w:val="0"/>
                <w:szCs w:val="21"/>
                <w:highlight w:val="none"/>
              </w:rPr>
              <w:t>西区污水处理厂二期</w:t>
            </w:r>
          </w:p>
        </w:tc>
      </w:tr>
      <w:tr w14:paraId="4E83F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22" w:type="dxa"/>
            <w:vAlign w:val="center"/>
          </w:tcPr>
          <w:p w14:paraId="24F3FAAA">
            <w:pPr>
              <w:adjustRightInd w:val="0"/>
              <w:snapToGrid w:val="0"/>
              <w:jc w:val="center"/>
              <w:rPr>
                <w:snapToGrid w:val="0"/>
                <w:color w:val="auto"/>
                <w:kern w:val="0"/>
                <w:szCs w:val="21"/>
                <w:highlight w:val="none"/>
              </w:rPr>
            </w:pPr>
            <w:r>
              <w:rPr>
                <w:rFonts w:hint="eastAsia"/>
                <w:snapToGrid w:val="0"/>
                <w:color w:val="auto"/>
                <w:kern w:val="0"/>
                <w:szCs w:val="21"/>
                <w:highlight w:val="none"/>
              </w:rPr>
              <w:t>W</w:t>
            </w:r>
            <w:r>
              <w:rPr>
                <w:snapToGrid w:val="0"/>
                <w:color w:val="auto"/>
                <w:kern w:val="0"/>
                <w:szCs w:val="21"/>
                <w:highlight w:val="none"/>
              </w:rPr>
              <w:t>3</w:t>
            </w:r>
          </w:p>
        </w:tc>
        <w:tc>
          <w:tcPr>
            <w:tcW w:w="604" w:type="dxa"/>
            <w:vAlign w:val="center"/>
          </w:tcPr>
          <w:p w14:paraId="1D9EBB6D">
            <w:pPr>
              <w:adjustRightInd w:val="0"/>
              <w:snapToGrid w:val="0"/>
              <w:jc w:val="center"/>
              <w:rPr>
                <w:snapToGrid w:val="0"/>
                <w:color w:val="auto"/>
                <w:kern w:val="0"/>
                <w:szCs w:val="21"/>
                <w:highlight w:val="none"/>
              </w:rPr>
            </w:pPr>
            <w:r>
              <w:rPr>
                <w:rFonts w:hint="eastAsia"/>
                <w:snapToGrid w:val="0"/>
                <w:color w:val="auto"/>
                <w:kern w:val="0"/>
                <w:szCs w:val="21"/>
                <w:highlight w:val="none"/>
              </w:rPr>
              <w:t>循环水排污</w:t>
            </w:r>
          </w:p>
        </w:tc>
        <w:tc>
          <w:tcPr>
            <w:tcW w:w="1018" w:type="dxa"/>
            <w:vAlign w:val="center"/>
          </w:tcPr>
          <w:p w14:paraId="10838DA6">
            <w:pPr>
              <w:adjustRightInd w:val="0"/>
              <w:snapToGrid w:val="0"/>
              <w:jc w:val="center"/>
              <w:rPr>
                <w:snapToGrid w:val="0"/>
                <w:color w:val="auto"/>
                <w:kern w:val="0"/>
                <w:szCs w:val="21"/>
                <w:highlight w:val="none"/>
              </w:rPr>
            </w:pPr>
            <w:r>
              <w:rPr>
                <w:rFonts w:hint="eastAsia"/>
                <w:snapToGrid w:val="0"/>
                <w:color w:val="auto"/>
                <w:kern w:val="0"/>
                <w:szCs w:val="21"/>
                <w:highlight w:val="none"/>
              </w:rPr>
              <w:t>3</w:t>
            </w:r>
            <w:r>
              <w:rPr>
                <w:snapToGrid w:val="0"/>
                <w:color w:val="auto"/>
                <w:kern w:val="0"/>
                <w:szCs w:val="21"/>
                <w:highlight w:val="none"/>
              </w:rPr>
              <w:t>3.75</w:t>
            </w:r>
          </w:p>
        </w:tc>
        <w:tc>
          <w:tcPr>
            <w:tcW w:w="497" w:type="dxa"/>
            <w:tcBorders>
              <w:right w:val="single" w:color="auto" w:sz="4" w:space="0"/>
            </w:tcBorders>
            <w:vAlign w:val="center"/>
          </w:tcPr>
          <w:p w14:paraId="5B133E6A">
            <w:pPr>
              <w:adjustRightInd w:val="0"/>
              <w:snapToGrid w:val="0"/>
              <w:jc w:val="center"/>
              <w:rPr>
                <w:snapToGrid w:val="0"/>
                <w:color w:val="auto"/>
                <w:kern w:val="0"/>
                <w:szCs w:val="21"/>
                <w:highlight w:val="none"/>
              </w:rPr>
            </w:pPr>
            <w:r>
              <w:rPr>
                <w:snapToGrid w:val="0"/>
                <w:color w:val="auto"/>
                <w:kern w:val="0"/>
                <w:szCs w:val="21"/>
                <w:highlight w:val="none"/>
              </w:rPr>
              <w:t>6~9</w:t>
            </w:r>
          </w:p>
        </w:tc>
        <w:tc>
          <w:tcPr>
            <w:tcW w:w="697" w:type="dxa"/>
            <w:tcBorders>
              <w:left w:val="single" w:color="auto" w:sz="4" w:space="0"/>
              <w:right w:val="single" w:color="auto" w:sz="4" w:space="0"/>
            </w:tcBorders>
            <w:vAlign w:val="center"/>
          </w:tcPr>
          <w:p w14:paraId="41ECF0F6">
            <w:pPr>
              <w:adjustRightInd w:val="0"/>
              <w:snapToGrid w:val="0"/>
              <w:jc w:val="center"/>
              <w:rPr>
                <w:snapToGrid w:val="0"/>
                <w:color w:val="auto"/>
                <w:kern w:val="0"/>
                <w:szCs w:val="21"/>
                <w:highlight w:val="none"/>
              </w:rPr>
            </w:pPr>
            <w:r>
              <w:rPr>
                <w:snapToGrid w:val="0"/>
                <w:color w:val="auto"/>
                <w:kern w:val="0"/>
                <w:szCs w:val="21"/>
                <w:highlight w:val="none"/>
              </w:rPr>
              <w:t>100</w:t>
            </w:r>
          </w:p>
        </w:tc>
        <w:tc>
          <w:tcPr>
            <w:tcW w:w="619" w:type="dxa"/>
            <w:tcBorders>
              <w:left w:val="single" w:color="auto" w:sz="4" w:space="0"/>
              <w:right w:val="single" w:color="auto" w:sz="4" w:space="0"/>
            </w:tcBorders>
            <w:vAlign w:val="center"/>
          </w:tcPr>
          <w:p w14:paraId="15670130">
            <w:pPr>
              <w:adjustRightInd w:val="0"/>
              <w:snapToGrid w:val="0"/>
              <w:jc w:val="center"/>
              <w:rPr>
                <w:snapToGrid w:val="0"/>
                <w:color w:val="auto"/>
                <w:kern w:val="0"/>
                <w:szCs w:val="21"/>
                <w:highlight w:val="none"/>
              </w:rPr>
            </w:pPr>
            <w:r>
              <w:rPr>
                <w:snapToGrid w:val="0"/>
                <w:color w:val="auto"/>
                <w:kern w:val="0"/>
                <w:szCs w:val="21"/>
                <w:highlight w:val="none"/>
              </w:rPr>
              <w:t>30</w:t>
            </w:r>
          </w:p>
        </w:tc>
        <w:tc>
          <w:tcPr>
            <w:tcW w:w="705" w:type="dxa"/>
            <w:tcBorders>
              <w:left w:val="single" w:color="auto" w:sz="4" w:space="0"/>
            </w:tcBorders>
            <w:vAlign w:val="center"/>
          </w:tcPr>
          <w:p w14:paraId="6B6F13EE">
            <w:pPr>
              <w:adjustRightInd w:val="0"/>
              <w:snapToGrid w:val="0"/>
              <w:jc w:val="center"/>
              <w:rPr>
                <w:snapToGrid w:val="0"/>
                <w:color w:val="auto"/>
                <w:kern w:val="0"/>
                <w:szCs w:val="21"/>
                <w:highlight w:val="none"/>
              </w:rPr>
            </w:pPr>
            <w:r>
              <w:rPr>
                <w:snapToGrid w:val="0"/>
                <w:color w:val="auto"/>
                <w:kern w:val="0"/>
                <w:szCs w:val="21"/>
                <w:highlight w:val="none"/>
              </w:rPr>
              <w:t>--</w:t>
            </w:r>
          </w:p>
        </w:tc>
        <w:tc>
          <w:tcPr>
            <w:tcW w:w="535" w:type="dxa"/>
            <w:tcBorders>
              <w:right w:val="single" w:color="auto" w:sz="4" w:space="0"/>
            </w:tcBorders>
            <w:vAlign w:val="center"/>
          </w:tcPr>
          <w:p w14:paraId="3BE1D96E">
            <w:pPr>
              <w:adjustRightInd w:val="0"/>
              <w:snapToGrid w:val="0"/>
              <w:jc w:val="center"/>
              <w:rPr>
                <w:snapToGrid w:val="0"/>
                <w:color w:val="auto"/>
                <w:kern w:val="0"/>
                <w:szCs w:val="21"/>
                <w:highlight w:val="none"/>
              </w:rPr>
            </w:pPr>
            <w:r>
              <w:rPr>
                <w:snapToGrid w:val="0"/>
                <w:color w:val="auto"/>
                <w:kern w:val="0"/>
                <w:szCs w:val="21"/>
                <w:highlight w:val="none"/>
              </w:rPr>
              <w:t>200</w:t>
            </w:r>
          </w:p>
        </w:tc>
        <w:tc>
          <w:tcPr>
            <w:tcW w:w="535" w:type="dxa"/>
            <w:tcBorders>
              <w:right w:val="single" w:color="auto" w:sz="4" w:space="0"/>
            </w:tcBorders>
            <w:vAlign w:val="center"/>
          </w:tcPr>
          <w:p w14:paraId="1DAA9271">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497" w:type="dxa"/>
            <w:tcBorders>
              <w:left w:val="single" w:color="auto" w:sz="4" w:space="0"/>
              <w:right w:val="single" w:color="auto" w:sz="4" w:space="0"/>
            </w:tcBorders>
            <w:vAlign w:val="center"/>
          </w:tcPr>
          <w:p w14:paraId="6B04BAD0">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654" w:type="dxa"/>
            <w:tcBorders>
              <w:left w:val="single" w:color="auto" w:sz="4" w:space="0"/>
              <w:right w:val="single" w:color="auto" w:sz="4" w:space="0"/>
            </w:tcBorders>
            <w:vAlign w:val="center"/>
          </w:tcPr>
          <w:p w14:paraId="2EA5C906">
            <w:pPr>
              <w:adjustRightInd w:val="0"/>
              <w:snapToGrid w:val="0"/>
              <w:jc w:val="center"/>
              <w:rPr>
                <w:snapToGrid w:val="0"/>
                <w:color w:val="auto"/>
                <w:kern w:val="0"/>
                <w:szCs w:val="21"/>
                <w:highlight w:val="none"/>
              </w:rPr>
            </w:pPr>
            <w:r>
              <w:rPr>
                <w:snapToGrid w:val="0"/>
                <w:color w:val="auto"/>
                <w:kern w:val="0"/>
                <w:szCs w:val="21"/>
                <w:highlight w:val="none"/>
              </w:rPr>
              <w:t>--</w:t>
            </w:r>
          </w:p>
        </w:tc>
        <w:tc>
          <w:tcPr>
            <w:tcW w:w="745" w:type="dxa"/>
            <w:tcBorders>
              <w:left w:val="single" w:color="auto" w:sz="4" w:space="0"/>
            </w:tcBorders>
            <w:vAlign w:val="center"/>
          </w:tcPr>
          <w:p w14:paraId="4B00A92F">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3</w:t>
            </w:r>
            <w:r>
              <w:rPr>
                <w:snapToGrid w:val="0"/>
                <w:color w:val="auto"/>
                <w:kern w:val="0"/>
                <w:szCs w:val="21"/>
                <w:highlight w:val="none"/>
              </w:rPr>
              <w:t>000</w:t>
            </w:r>
          </w:p>
        </w:tc>
        <w:tc>
          <w:tcPr>
            <w:tcW w:w="745" w:type="dxa"/>
            <w:vAlign w:val="center"/>
          </w:tcPr>
          <w:p w14:paraId="7684FEFB">
            <w:pPr>
              <w:adjustRightInd w:val="0"/>
              <w:snapToGrid w:val="0"/>
              <w:jc w:val="center"/>
              <w:rPr>
                <w:snapToGrid w:val="0"/>
                <w:color w:val="auto"/>
                <w:kern w:val="0"/>
                <w:szCs w:val="21"/>
                <w:highlight w:val="none"/>
              </w:rPr>
            </w:pPr>
            <w:r>
              <w:rPr>
                <w:rFonts w:hint="eastAsia"/>
                <w:snapToGrid w:val="0"/>
                <w:color w:val="auto"/>
                <w:kern w:val="0"/>
                <w:szCs w:val="21"/>
                <w:highlight w:val="none"/>
              </w:rPr>
              <w:t>现有污水处理站中水段</w:t>
            </w:r>
          </w:p>
        </w:tc>
      </w:tr>
      <w:tr w14:paraId="338A8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22" w:type="dxa"/>
            <w:vAlign w:val="center"/>
          </w:tcPr>
          <w:p w14:paraId="3682513A">
            <w:pPr>
              <w:adjustRightInd w:val="0"/>
              <w:snapToGrid w:val="0"/>
              <w:jc w:val="center"/>
              <w:rPr>
                <w:snapToGrid w:val="0"/>
                <w:color w:val="auto"/>
                <w:kern w:val="0"/>
                <w:szCs w:val="21"/>
                <w:highlight w:val="none"/>
              </w:rPr>
            </w:pPr>
            <w:r>
              <w:rPr>
                <w:rFonts w:hint="eastAsia"/>
                <w:snapToGrid w:val="0"/>
                <w:color w:val="auto"/>
                <w:kern w:val="0"/>
                <w:szCs w:val="21"/>
                <w:highlight w:val="none"/>
              </w:rPr>
              <w:t>W</w:t>
            </w:r>
            <w:r>
              <w:rPr>
                <w:snapToGrid w:val="0"/>
                <w:color w:val="auto"/>
                <w:kern w:val="0"/>
                <w:szCs w:val="21"/>
                <w:highlight w:val="none"/>
              </w:rPr>
              <w:t>4</w:t>
            </w:r>
          </w:p>
        </w:tc>
        <w:tc>
          <w:tcPr>
            <w:tcW w:w="604" w:type="dxa"/>
            <w:vAlign w:val="center"/>
          </w:tcPr>
          <w:p w14:paraId="5C33118F">
            <w:pPr>
              <w:adjustRightInd w:val="0"/>
              <w:snapToGrid w:val="0"/>
              <w:jc w:val="center"/>
              <w:rPr>
                <w:snapToGrid w:val="0"/>
                <w:color w:val="auto"/>
                <w:kern w:val="0"/>
                <w:szCs w:val="21"/>
                <w:highlight w:val="none"/>
              </w:rPr>
            </w:pPr>
            <w:r>
              <w:rPr>
                <w:rFonts w:hint="eastAsia"/>
                <w:snapToGrid w:val="0"/>
                <w:color w:val="auto"/>
                <w:kern w:val="0"/>
                <w:szCs w:val="21"/>
                <w:highlight w:val="none"/>
              </w:rPr>
              <w:t>生活污水</w:t>
            </w:r>
          </w:p>
        </w:tc>
        <w:tc>
          <w:tcPr>
            <w:tcW w:w="1018" w:type="dxa"/>
            <w:vAlign w:val="center"/>
          </w:tcPr>
          <w:p w14:paraId="2F3B5F40">
            <w:pPr>
              <w:adjustRightInd w:val="0"/>
              <w:snapToGrid w:val="0"/>
              <w:jc w:val="center"/>
              <w:rPr>
                <w:snapToGrid w:val="0"/>
                <w:color w:val="auto"/>
                <w:kern w:val="0"/>
                <w:szCs w:val="21"/>
                <w:highlight w:val="none"/>
              </w:rPr>
            </w:pPr>
            <w:r>
              <w:rPr>
                <w:rFonts w:hint="eastAsia"/>
                <w:snapToGrid w:val="0"/>
                <w:color w:val="auto"/>
                <w:kern w:val="0"/>
                <w:szCs w:val="21"/>
                <w:highlight w:val="none"/>
              </w:rPr>
              <w:t>0</w:t>
            </w:r>
            <w:r>
              <w:rPr>
                <w:snapToGrid w:val="0"/>
                <w:color w:val="auto"/>
                <w:kern w:val="0"/>
                <w:szCs w:val="21"/>
                <w:highlight w:val="none"/>
              </w:rPr>
              <w:t>.24</w:t>
            </w:r>
          </w:p>
        </w:tc>
        <w:tc>
          <w:tcPr>
            <w:tcW w:w="497" w:type="dxa"/>
            <w:tcBorders>
              <w:right w:val="single" w:color="auto" w:sz="4" w:space="0"/>
            </w:tcBorders>
            <w:vAlign w:val="center"/>
          </w:tcPr>
          <w:p w14:paraId="00687D7C">
            <w:pPr>
              <w:adjustRightInd w:val="0"/>
              <w:snapToGrid w:val="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~9</w:t>
            </w:r>
          </w:p>
        </w:tc>
        <w:tc>
          <w:tcPr>
            <w:tcW w:w="697" w:type="dxa"/>
            <w:tcBorders>
              <w:left w:val="single" w:color="auto" w:sz="4" w:space="0"/>
              <w:right w:val="single" w:color="auto" w:sz="4" w:space="0"/>
            </w:tcBorders>
            <w:vAlign w:val="center"/>
          </w:tcPr>
          <w:p w14:paraId="30C1DE98">
            <w:pPr>
              <w:adjustRightInd w:val="0"/>
              <w:snapToGrid w:val="0"/>
              <w:jc w:val="center"/>
              <w:rPr>
                <w:snapToGrid w:val="0"/>
                <w:color w:val="auto"/>
                <w:kern w:val="0"/>
                <w:szCs w:val="21"/>
                <w:highlight w:val="none"/>
              </w:rPr>
            </w:pPr>
            <w:r>
              <w:rPr>
                <w:rFonts w:hint="eastAsia"/>
                <w:snapToGrid w:val="0"/>
                <w:color w:val="auto"/>
                <w:kern w:val="0"/>
                <w:szCs w:val="21"/>
                <w:highlight w:val="none"/>
              </w:rPr>
              <w:t>3</w:t>
            </w:r>
            <w:r>
              <w:rPr>
                <w:snapToGrid w:val="0"/>
                <w:color w:val="auto"/>
                <w:kern w:val="0"/>
                <w:szCs w:val="21"/>
                <w:highlight w:val="none"/>
              </w:rPr>
              <w:t>50</w:t>
            </w:r>
          </w:p>
        </w:tc>
        <w:tc>
          <w:tcPr>
            <w:tcW w:w="619" w:type="dxa"/>
            <w:tcBorders>
              <w:left w:val="single" w:color="auto" w:sz="4" w:space="0"/>
              <w:right w:val="single" w:color="auto" w:sz="4" w:space="0"/>
            </w:tcBorders>
            <w:vAlign w:val="center"/>
          </w:tcPr>
          <w:p w14:paraId="2F20F47F">
            <w:pPr>
              <w:adjustRightInd w:val="0"/>
              <w:snapToGrid w:val="0"/>
              <w:jc w:val="center"/>
              <w:rPr>
                <w:snapToGrid w:val="0"/>
                <w:color w:val="auto"/>
                <w:kern w:val="0"/>
                <w:szCs w:val="21"/>
                <w:highlight w:val="none"/>
              </w:rPr>
            </w:pPr>
            <w:r>
              <w:rPr>
                <w:rFonts w:hint="eastAsia"/>
                <w:snapToGrid w:val="0"/>
                <w:color w:val="auto"/>
                <w:kern w:val="0"/>
                <w:szCs w:val="21"/>
                <w:highlight w:val="none"/>
              </w:rPr>
              <w:t>2</w:t>
            </w:r>
            <w:r>
              <w:rPr>
                <w:snapToGrid w:val="0"/>
                <w:color w:val="auto"/>
                <w:kern w:val="0"/>
                <w:szCs w:val="21"/>
                <w:highlight w:val="none"/>
              </w:rPr>
              <w:t>50</w:t>
            </w:r>
          </w:p>
        </w:tc>
        <w:tc>
          <w:tcPr>
            <w:tcW w:w="705" w:type="dxa"/>
            <w:tcBorders>
              <w:left w:val="single" w:color="auto" w:sz="4" w:space="0"/>
            </w:tcBorders>
            <w:vAlign w:val="center"/>
          </w:tcPr>
          <w:p w14:paraId="7734922D">
            <w:pPr>
              <w:adjustRightInd w:val="0"/>
              <w:snapToGrid w:val="0"/>
              <w:jc w:val="center"/>
              <w:rPr>
                <w:snapToGrid w:val="0"/>
                <w:color w:val="auto"/>
                <w:kern w:val="0"/>
                <w:szCs w:val="21"/>
                <w:highlight w:val="none"/>
              </w:rPr>
            </w:pPr>
            <w:r>
              <w:rPr>
                <w:rFonts w:hint="eastAsia"/>
                <w:snapToGrid w:val="0"/>
                <w:color w:val="auto"/>
                <w:kern w:val="0"/>
                <w:szCs w:val="21"/>
                <w:highlight w:val="none"/>
              </w:rPr>
              <w:t>4</w:t>
            </w:r>
            <w:r>
              <w:rPr>
                <w:snapToGrid w:val="0"/>
                <w:color w:val="auto"/>
                <w:kern w:val="0"/>
                <w:szCs w:val="21"/>
                <w:highlight w:val="none"/>
              </w:rPr>
              <w:t>0</w:t>
            </w:r>
          </w:p>
        </w:tc>
        <w:tc>
          <w:tcPr>
            <w:tcW w:w="535" w:type="dxa"/>
            <w:tcBorders>
              <w:right w:val="single" w:color="auto" w:sz="4" w:space="0"/>
            </w:tcBorders>
            <w:vAlign w:val="center"/>
          </w:tcPr>
          <w:p w14:paraId="70D70F73">
            <w:pPr>
              <w:adjustRightInd w:val="0"/>
              <w:snapToGrid w:val="0"/>
              <w:jc w:val="center"/>
              <w:rPr>
                <w:snapToGrid w:val="0"/>
                <w:color w:val="auto"/>
                <w:kern w:val="0"/>
                <w:szCs w:val="21"/>
                <w:highlight w:val="none"/>
              </w:rPr>
            </w:pPr>
            <w:r>
              <w:rPr>
                <w:snapToGrid w:val="0"/>
                <w:color w:val="auto"/>
                <w:kern w:val="0"/>
                <w:szCs w:val="21"/>
                <w:highlight w:val="none"/>
              </w:rPr>
              <w:t>200</w:t>
            </w:r>
          </w:p>
        </w:tc>
        <w:tc>
          <w:tcPr>
            <w:tcW w:w="535" w:type="dxa"/>
            <w:tcBorders>
              <w:right w:val="single" w:color="auto" w:sz="4" w:space="0"/>
            </w:tcBorders>
            <w:vAlign w:val="center"/>
          </w:tcPr>
          <w:p w14:paraId="675FFF68">
            <w:pPr>
              <w:adjustRightInd w:val="0"/>
              <w:snapToGrid w:val="0"/>
              <w:jc w:val="center"/>
              <w:rPr>
                <w:snapToGrid w:val="0"/>
                <w:color w:val="auto"/>
                <w:kern w:val="0"/>
                <w:szCs w:val="21"/>
                <w:highlight w:val="none"/>
              </w:rPr>
            </w:pPr>
            <w:r>
              <w:rPr>
                <w:snapToGrid w:val="0"/>
                <w:color w:val="auto"/>
                <w:kern w:val="0"/>
                <w:szCs w:val="21"/>
                <w:highlight w:val="none"/>
              </w:rPr>
              <w:t>60</w:t>
            </w:r>
          </w:p>
        </w:tc>
        <w:tc>
          <w:tcPr>
            <w:tcW w:w="497" w:type="dxa"/>
            <w:tcBorders>
              <w:left w:val="single" w:color="auto" w:sz="4" w:space="0"/>
              <w:right w:val="single" w:color="auto" w:sz="4" w:space="0"/>
            </w:tcBorders>
            <w:vAlign w:val="center"/>
          </w:tcPr>
          <w:p w14:paraId="4D8B573B">
            <w:pPr>
              <w:adjustRightInd w:val="0"/>
              <w:snapToGrid w:val="0"/>
              <w:jc w:val="center"/>
              <w:rPr>
                <w:snapToGrid w:val="0"/>
                <w:color w:val="auto"/>
                <w:kern w:val="0"/>
                <w:szCs w:val="21"/>
                <w:highlight w:val="none"/>
              </w:rPr>
            </w:pPr>
            <w:r>
              <w:rPr>
                <w:rFonts w:hint="eastAsia"/>
                <w:snapToGrid w:val="0"/>
                <w:color w:val="auto"/>
                <w:kern w:val="0"/>
                <w:szCs w:val="21"/>
                <w:highlight w:val="none"/>
              </w:rPr>
              <w:t>5</w:t>
            </w:r>
          </w:p>
        </w:tc>
        <w:tc>
          <w:tcPr>
            <w:tcW w:w="654" w:type="dxa"/>
            <w:tcBorders>
              <w:left w:val="single" w:color="auto" w:sz="4" w:space="0"/>
              <w:right w:val="single" w:color="auto" w:sz="4" w:space="0"/>
            </w:tcBorders>
            <w:vAlign w:val="center"/>
          </w:tcPr>
          <w:p w14:paraId="4127AB5F">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745" w:type="dxa"/>
            <w:tcBorders>
              <w:left w:val="single" w:color="auto" w:sz="4" w:space="0"/>
            </w:tcBorders>
            <w:vAlign w:val="center"/>
          </w:tcPr>
          <w:p w14:paraId="736D5D17">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745" w:type="dxa"/>
            <w:vAlign w:val="center"/>
          </w:tcPr>
          <w:p w14:paraId="6A1A01DE">
            <w:pPr>
              <w:adjustRightInd w:val="0"/>
              <w:snapToGrid w:val="0"/>
              <w:jc w:val="center"/>
              <w:rPr>
                <w:snapToGrid w:val="0"/>
                <w:color w:val="auto"/>
                <w:kern w:val="0"/>
                <w:szCs w:val="21"/>
                <w:highlight w:val="none"/>
              </w:rPr>
            </w:pPr>
            <w:r>
              <w:rPr>
                <w:rFonts w:hint="eastAsia"/>
                <w:snapToGrid w:val="0"/>
                <w:color w:val="auto"/>
                <w:kern w:val="0"/>
                <w:szCs w:val="21"/>
                <w:highlight w:val="none"/>
              </w:rPr>
              <w:t>现有污水处理站生化段</w:t>
            </w:r>
          </w:p>
        </w:tc>
      </w:tr>
      <w:tr w14:paraId="6F8F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22" w:type="dxa"/>
            <w:vAlign w:val="center"/>
          </w:tcPr>
          <w:p w14:paraId="680B3409">
            <w:pPr>
              <w:adjustRightInd w:val="0"/>
              <w:snapToGrid w:val="0"/>
              <w:jc w:val="center"/>
              <w:rPr>
                <w:snapToGrid w:val="0"/>
                <w:color w:val="auto"/>
                <w:kern w:val="0"/>
                <w:szCs w:val="21"/>
                <w:highlight w:val="none"/>
              </w:rPr>
            </w:pPr>
            <w:r>
              <w:rPr>
                <w:rFonts w:hint="eastAsia"/>
                <w:snapToGrid w:val="0"/>
                <w:color w:val="auto"/>
                <w:kern w:val="0"/>
                <w:szCs w:val="21"/>
                <w:highlight w:val="none"/>
              </w:rPr>
              <w:t>W</w:t>
            </w:r>
            <w:r>
              <w:rPr>
                <w:snapToGrid w:val="0"/>
                <w:color w:val="auto"/>
                <w:kern w:val="0"/>
                <w:szCs w:val="21"/>
                <w:highlight w:val="none"/>
              </w:rPr>
              <w:t>5</w:t>
            </w:r>
          </w:p>
        </w:tc>
        <w:tc>
          <w:tcPr>
            <w:tcW w:w="604" w:type="dxa"/>
            <w:vAlign w:val="center"/>
          </w:tcPr>
          <w:p w14:paraId="4824A765">
            <w:pPr>
              <w:adjustRightInd w:val="0"/>
              <w:snapToGrid w:val="0"/>
              <w:jc w:val="center"/>
              <w:rPr>
                <w:snapToGrid w:val="0"/>
                <w:color w:val="auto"/>
                <w:kern w:val="0"/>
                <w:szCs w:val="21"/>
                <w:highlight w:val="none"/>
              </w:rPr>
            </w:pPr>
            <w:r>
              <w:rPr>
                <w:rFonts w:hint="eastAsia"/>
                <w:snapToGrid w:val="0"/>
                <w:color w:val="auto"/>
                <w:kern w:val="0"/>
                <w:szCs w:val="21"/>
                <w:highlight w:val="none"/>
              </w:rPr>
              <w:t>水洗塔定排</w:t>
            </w:r>
          </w:p>
        </w:tc>
        <w:tc>
          <w:tcPr>
            <w:tcW w:w="1018" w:type="dxa"/>
            <w:vAlign w:val="center"/>
          </w:tcPr>
          <w:p w14:paraId="1ED12A81">
            <w:pPr>
              <w:adjustRightInd w:val="0"/>
              <w:snapToGrid w:val="0"/>
              <w:jc w:val="center"/>
              <w:rPr>
                <w:snapToGrid w:val="0"/>
                <w:color w:val="auto"/>
                <w:kern w:val="0"/>
                <w:szCs w:val="21"/>
                <w:highlight w:val="none"/>
              </w:rPr>
            </w:pPr>
            <w:r>
              <w:rPr>
                <w:snapToGrid w:val="0"/>
                <w:color w:val="auto"/>
                <w:kern w:val="0"/>
                <w:szCs w:val="21"/>
                <w:highlight w:val="none"/>
              </w:rPr>
              <w:t>2.76</w:t>
            </w:r>
          </w:p>
        </w:tc>
        <w:tc>
          <w:tcPr>
            <w:tcW w:w="497" w:type="dxa"/>
            <w:tcBorders>
              <w:right w:val="single" w:color="auto" w:sz="4" w:space="0"/>
            </w:tcBorders>
            <w:vAlign w:val="center"/>
          </w:tcPr>
          <w:p w14:paraId="0156F812">
            <w:pPr>
              <w:adjustRightInd w:val="0"/>
              <w:snapToGrid w:val="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~9</w:t>
            </w:r>
          </w:p>
        </w:tc>
        <w:tc>
          <w:tcPr>
            <w:tcW w:w="697" w:type="dxa"/>
            <w:tcBorders>
              <w:left w:val="single" w:color="auto" w:sz="4" w:space="0"/>
              <w:right w:val="single" w:color="auto" w:sz="4" w:space="0"/>
            </w:tcBorders>
            <w:vAlign w:val="center"/>
          </w:tcPr>
          <w:p w14:paraId="5296F386">
            <w:pPr>
              <w:adjustRightInd w:val="0"/>
              <w:snapToGrid w:val="0"/>
              <w:jc w:val="center"/>
              <w:rPr>
                <w:snapToGrid w:val="0"/>
                <w:color w:val="auto"/>
                <w:kern w:val="0"/>
                <w:szCs w:val="21"/>
                <w:highlight w:val="none"/>
              </w:rPr>
            </w:pPr>
            <w:r>
              <w:rPr>
                <w:snapToGrid w:val="0"/>
                <w:color w:val="auto"/>
                <w:kern w:val="0"/>
                <w:szCs w:val="21"/>
                <w:highlight w:val="none"/>
              </w:rPr>
              <w:t>200</w:t>
            </w:r>
          </w:p>
        </w:tc>
        <w:tc>
          <w:tcPr>
            <w:tcW w:w="619" w:type="dxa"/>
            <w:tcBorders>
              <w:left w:val="single" w:color="auto" w:sz="4" w:space="0"/>
              <w:right w:val="single" w:color="auto" w:sz="4" w:space="0"/>
            </w:tcBorders>
            <w:vAlign w:val="center"/>
          </w:tcPr>
          <w:p w14:paraId="46E18561">
            <w:pPr>
              <w:adjustRightInd w:val="0"/>
              <w:snapToGrid w:val="0"/>
              <w:jc w:val="center"/>
              <w:rPr>
                <w:snapToGrid w:val="0"/>
                <w:color w:val="auto"/>
                <w:kern w:val="0"/>
                <w:szCs w:val="21"/>
                <w:highlight w:val="none"/>
              </w:rPr>
            </w:pPr>
            <w:r>
              <w:rPr>
                <w:snapToGrid w:val="0"/>
                <w:color w:val="auto"/>
                <w:kern w:val="0"/>
                <w:szCs w:val="21"/>
                <w:highlight w:val="none"/>
              </w:rPr>
              <w:t>100</w:t>
            </w:r>
          </w:p>
        </w:tc>
        <w:tc>
          <w:tcPr>
            <w:tcW w:w="705" w:type="dxa"/>
            <w:tcBorders>
              <w:left w:val="single" w:color="auto" w:sz="4" w:space="0"/>
            </w:tcBorders>
            <w:vAlign w:val="center"/>
          </w:tcPr>
          <w:p w14:paraId="4968F9C8">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535" w:type="dxa"/>
            <w:tcBorders>
              <w:right w:val="single" w:color="auto" w:sz="4" w:space="0"/>
            </w:tcBorders>
            <w:vAlign w:val="center"/>
          </w:tcPr>
          <w:p w14:paraId="4F7CD8FE">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535" w:type="dxa"/>
            <w:tcBorders>
              <w:right w:val="single" w:color="auto" w:sz="4" w:space="0"/>
            </w:tcBorders>
            <w:vAlign w:val="center"/>
          </w:tcPr>
          <w:p w14:paraId="60F6BBE3">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497" w:type="dxa"/>
            <w:tcBorders>
              <w:left w:val="single" w:color="auto" w:sz="4" w:space="0"/>
              <w:right w:val="single" w:color="auto" w:sz="4" w:space="0"/>
            </w:tcBorders>
            <w:vAlign w:val="center"/>
          </w:tcPr>
          <w:p w14:paraId="09AB16E1">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654" w:type="dxa"/>
            <w:tcBorders>
              <w:left w:val="single" w:color="auto" w:sz="4" w:space="0"/>
              <w:right w:val="single" w:color="auto" w:sz="4" w:space="0"/>
            </w:tcBorders>
            <w:vAlign w:val="center"/>
          </w:tcPr>
          <w:p w14:paraId="68988068">
            <w:pPr>
              <w:adjustRightInd w:val="0"/>
              <w:snapToGrid w:val="0"/>
              <w:jc w:val="center"/>
              <w:rPr>
                <w:snapToGrid w:val="0"/>
                <w:color w:val="auto"/>
                <w:kern w:val="0"/>
                <w:szCs w:val="21"/>
                <w:highlight w:val="none"/>
              </w:rPr>
            </w:pPr>
            <w:r>
              <w:rPr>
                <w:snapToGrid w:val="0"/>
                <w:color w:val="auto"/>
                <w:kern w:val="0"/>
                <w:szCs w:val="21"/>
                <w:highlight w:val="none"/>
              </w:rPr>
              <w:t>--</w:t>
            </w:r>
          </w:p>
        </w:tc>
        <w:tc>
          <w:tcPr>
            <w:tcW w:w="745" w:type="dxa"/>
            <w:tcBorders>
              <w:left w:val="single" w:color="auto" w:sz="4" w:space="0"/>
            </w:tcBorders>
            <w:vAlign w:val="center"/>
          </w:tcPr>
          <w:p w14:paraId="62295BA0">
            <w:pPr>
              <w:adjustRightInd w:val="0"/>
              <w:snapToGrid w:val="0"/>
              <w:jc w:val="center"/>
              <w:rPr>
                <w:snapToGrid w:val="0"/>
                <w:color w:val="auto"/>
                <w:kern w:val="0"/>
                <w:szCs w:val="21"/>
                <w:highlight w:val="none"/>
              </w:rPr>
            </w:pPr>
            <w:r>
              <w:rPr>
                <w:snapToGrid w:val="0"/>
                <w:color w:val="auto"/>
                <w:kern w:val="0"/>
                <w:szCs w:val="21"/>
                <w:highlight w:val="none"/>
              </w:rPr>
              <w:t>300</w:t>
            </w:r>
          </w:p>
        </w:tc>
        <w:tc>
          <w:tcPr>
            <w:tcW w:w="745" w:type="dxa"/>
            <w:vAlign w:val="center"/>
          </w:tcPr>
          <w:p w14:paraId="714E4D68">
            <w:pPr>
              <w:adjustRightInd w:val="0"/>
              <w:snapToGrid w:val="0"/>
              <w:jc w:val="center"/>
              <w:rPr>
                <w:snapToGrid w:val="0"/>
                <w:color w:val="auto"/>
                <w:kern w:val="0"/>
                <w:szCs w:val="21"/>
                <w:highlight w:val="none"/>
              </w:rPr>
            </w:pPr>
            <w:r>
              <w:rPr>
                <w:rFonts w:hint="eastAsia"/>
                <w:snapToGrid w:val="0"/>
                <w:color w:val="auto"/>
                <w:kern w:val="0"/>
                <w:szCs w:val="21"/>
                <w:highlight w:val="none"/>
              </w:rPr>
              <w:t>现有污水处理站生化段</w:t>
            </w:r>
          </w:p>
        </w:tc>
      </w:tr>
      <w:tr w14:paraId="4A609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22" w:type="dxa"/>
            <w:vAlign w:val="center"/>
          </w:tcPr>
          <w:p w14:paraId="1FECF9CB">
            <w:pPr>
              <w:adjustRightInd w:val="0"/>
              <w:snapToGrid w:val="0"/>
              <w:jc w:val="center"/>
              <w:rPr>
                <w:snapToGrid w:val="0"/>
                <w:color w:val="auto"/>
                <w:kern w:val="0"/>
                <w:szCs w:val="21"/>
                <w:highlight w:val="none"/>
              </w:rPr>
            </w:pPr>
            <w:r>
              <w:rPr>
                <w:rFonts w:hint="eastAsia"/>
                <w:snapToGrid w:val="0"/>
                <w:color w:val="auto"/>
                <w:kern w:val="0"/>
                <w:szCs w:val="21"/>
                <w:highlight w:val="none"/>
              </w:rPr>
              <w:t>W</w:t>
            </w:r>
            <w:r>
              <w:rPr>
                <w:snapToGrid w:val="0"/>
                <w:color w:val="auto"/>
                <w:kern w:val="0"/>
                <w:szCs w:val="21"/>
                <w:highlight w:val="none"/>
              </w:rPr>
              <w:t>6</w:t>
            </w:r>
          </w:p>
        </w:tc>
        <w:tc>
          <w:tcPr>
            <w:tcW w:w="604" w:type="dxa"/>
            <w:vAlign w:val="center"/>
          </w:tcPr>
          <w:p w14:paraId="66182A3A">
            <w:pPr>
              <w:adjustRightInd w:val="0"/>
              <w:snapToGrid w:val="0"/>
              <w:jc w:val="center"/>
              <w:rPr>
                <w:snapToGrid w:val="0"/>
                <w:color w:val="auto"/>
                <w:kern w:val="0"/>
                <w:szCs w:val="21"/>
                <w:highlight w:val="none"/>
              </w:rPr>
            </w:pPr>
            <w:r>
              <w:rPr>
                <w:rFonts w:hint="eastAsia"/>
                <w:snapToGrid w:val="0"/>
                <w:color w:val="auto"/>
                <w:kern w:val="0"/>
                <w:szCs w:val="21"/>
                <w:highlight w:val="none"/>
              </w:rPr>
              <w:t>碱洗塔定排</w:t>
            </w:r>
          </w:p>
        </w:tc>
        <w:tc>
          <w:tcPr>
            <w:tcW w:w="1018" w:type="dxa"/>
            <w:vAlign w:val="center"/>
          </w:tcPr>
          <w:p w14:paraId="5A7362BC">
            <w:pPr>
              <w:adjustRightInd w:val="0"/>
              <w:snapToGrid w:val="0"/>
              <w:jc w:val="center"/>
              <w:rPr>
                <w:snapToGrid w:val="0"/>
                <w:color w:val="auto"/>
                <w:kern w:val="0"/>
                <w:szCs w:val="21"/>
                <w:highlight w:val="none"/>
              </w:rPr>
            </w:pPr>
            <w:r>
              <w:rPr>
                <w:snapToGrid w:val="0"/>
                <w:color w:val="auto"/>
                <w:kern w:val="0"/>
                <w:szCs w:val="21"/>
                <w:highlight w:val="none"/>
              </w:rPr>
              <w:t>0.03</w:t>
            </w:r>
          </w:p>
        </w:tc>
        <w:tc>
          <w:tcPr>
            <w:tcW w:w="497" w:type="dxa"/>
            <w:tcBorders>
              <w:right w:val="single" w:color="auto" w:sz="4" w:space="0"/>
            </w:tcBorders>
            <w:vAlign w:val="center"/>
          </w:tcPr>
          <w:p w14:paraId="0A16F0FE">
            <w:pPr>
              <w:adjustRightInd w:val="0"/>
              <w:snapToGrid w:val="0"/>
              <w:jc w:val="center"/>
              <w:rPr>
                <w:snapToGrid w:val="0"/>
                <w:color w:val="auto"/>
                <w:kern w:val="0"/>
                <w:szCs w:val="21"/>
                <w:highlight w:val="none"/>
              </w:rPr>
            </w:pPr>
            <w:r>
              <w:rPr>
                <w:rFonts w:hint="eastAsia"/>
                <w:snapToGrid w:val="0"/>
                <w:color w:val="auto"/>
                <w:kern w:val="0"/>
                <w:szCs w:val="21"/>
                <w:highlight w:val="none"/>
              </w:rPr>
              <w:t>6</w:t>
            </w:r>
            <w:r>
              <w:rPr>
                <w:snapToGrid w:val="0"/>
                <w:color w:val="auto"/>
                <w:kern w:val="0"/>
                <w:szCs w:val="21"/>
                <w:highlight w:val="none"/>
              </w:rPr>
              <w:t>~9</w:t>
            </w:r>
          </w:p>
        </w:tc>
        <w:tc>
          <w:tcPr>
            <w:tcW w:w="697" w:type="dxa"/>
            <w:tcBorders>
              <w:left w:val="single" w:color="auto" w:sz="4" w:space="0"/>
              <w:right w:val="single" w:color="auto" w:sz="4" w:space="0"/>
            </w:tcBorders>
            <w:vAlign w:val="center"/>
          </w:tcPr>
          <w:p w14:paraId="1AA2CA94">
            <w:pPr>
              <w:adjustRightInd w:val="0"/>
              <w:snapToGrid w:val="0"/>
              <w:jc w:val="center"/>
              <w:rPr>
                <w:snapToGrid w:val="0"/>
                <w:color w:val="auto"/>
                <w:kern w:val="0"/>
                <w:szCs w:val="21"/>
                <w:highlight w:val="none"/>
              </w:rPr>
            </w:pPr>
            <w:r>
              <w:rPr>
                <w:snapToGrid w:val="0"/>
                <w:color w:val="auto"/>
                <w:kern w:val="0"/>
                <w:szCs w:val="21"/>
                <w:highlight w:val="none"/>
              </w:rPr>
              <w:t>1000</w:t>
            </w:r>
          </w:p>
        </w:tc>
        <w:tc>
          <w:tcPr>
            <w:tcW w:w="619" w:type="dxa"/>
            <w:tcBorders>
              <w:left w:val="single" w:color="auto" w:sz="4" w:space="0"/>
              <w:right w:val="single" w:color="auto" w:sz="4" w:space="0"/>
            </w:tcBorders>
            <w:vAlign w:val="center"/>
          </w:tcPr>
          <w:p w14:paraId="08711D1C">
            <w:pPr>
              <w:adjustRightInd w:val="0"/>
              <w:snapToGrid w:val="0"/>
              <w:jc w:val="center"/>
              <w:rPr>
                <w:snapToGrid w:val="0"/>
                <w:color w:val="auto"/>
                <w:kern w:val="0"/>
                <w:szCs w:val="21"/>
                <w:highlight w:val="none"/>
              </w:rPr>
            </w:pPr>
            <w:r>
              <w:rPr>
                <w:snapToGrid w:val="0"/>
                <w:color w:val="auto"/>
                <w:kern w:val="0"/>
                <w:szCs w:val="21"/>
                <w:highlight w:val="none"/>
              </w:rPr>
              <w:t>300</w:t>
            </w:r>
          </w:p>
        </w:tc>
        <w:tc>
          <w:tcPr>
            <w:tcW w:w="705" w:type="dxa"/>
            <w:tcBorders>
              <w:left w:val="single" w:color="auto" w:sz="4" w:space="0"/>
            </w:tcBorders>
            <w:vAlign w:val="center"/>
          </w:tcPr>
          <w:p w14:paraId="4A7F46A2">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535" w:type="dxa"/>
            <w:tcBorders>
              <w:right w:val="single" w:color="auto" w:sz="4" w:space="0"/>
            </w:tcBorders>
            <w:vAlign w:val="center"/>
          </w:tcPr>
          <w:p w14:paraId="71CBB8BE">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535" w:type="dxa"/>
            <w:tcBorders>
              <w:right w:val="single" w:color="auto" w:sz="4" w:space="0"/>
            </w:tcBorders>
            <w:vAlign w:val="center"/>
          </w:tcPr>
          <w:p w14:paraId="39158A87">
            <w:pPr>
              <w:adjustRightInd w:val="0"/>
              <w:snapToGrid w:val="0"/>
              <w:jc w:val="center"/>
              <w:rPr>
                <w:snapToGrid w:val="0"/>
                <w:color w:val="auto"/>
                <w:kern w:val="0"/>
                <w:szCs w:val="21"/>
                <w:highlight w:val="none"/>
              </w:rPr>
            </w:pPr>
            <w:r>
              <w:rPr>
                <w:rFonts w:hint="eastAsia"/>
                <w:snapToGrid w:val="0"/>
                <w:color w:val="auto"/>
                <w:kern w:val="0"/>
                <w:szCs w:val="21"/>
                <w:highlight w:val="none"/>
              </w:rPr>
              <w:t>-</w:t>
            </w:r>
            <w:r>
              <w:rPr>
                <w:snapToGrid w:val="0"/>
                <w:color w:val="auto"/>
                <w:kern w:val="0"/>
                <w:szCs w:val="21"/>
                <w:highlight w:val="none"/>
              </w:rPr>
              <w:t>-</w:t>
            </w:r>
          </w:p>
        </w:tc>
        <w:tc>
          <w:tcPr>
            <w:tcW w:w="497" w:type="dxa"/>
            <w:tcBorders>
              <w:left w:val="single" w:color="auto" w:sz="4" w:space="0"/>
              <w:right w:val="single" w:color="auto" w:sz="4" w:space="0"/>
            </w:tcBorders>
            <w:vAlign w:val="center"/>
          </w:tcPr>
          <w:p w14:paraId="75391872">
            <w:pPr>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654" w:type="dxa"/>
            <w:tcBorders>
              <w:left w:val="single" w:color="auto" w:sz="4" w:space="0"/>
              <w:right w:val="single" w:color="auto" w:sz="4" w:space="0"/>
            </w:tcBorders>
            <w:vAlign w:val="center"/>
          </w:tcPr>
          <w:p w14:paraId="71535645">
            <w:pPr>
              <w:adjustRightInd w:val="0"/>
              <w:snapToGrid w:val="0"/>
              <w:jc w:val="center"/>
              <w:rPr>
                <w:snapToGrid w:val="0"/>
                <w:color w:val="auto"/>
                <w:kern w:val="0"/>
                <w:szCs w:val="21"/>
                <w:highlight w:val="none"/>
              </w:rPr>
            </w:pPr>
            <w:r>
              <w:rPr>
                <w:snapToGrid w:val="0"/>
                <w:color w:val="auto"/>
                <w:kern w:val="0"/>
                <w:szCs w:val="21"/>
                <w:highlight w:val="none"/>
              </w:rPr>
              <w:t>--</w:t>
            </w:r>
          </w:p>
        </w:tc>
        <w:tc>
          <w:tcPr>
            <w:tcW w:w="745" w:type="dxa"/>
            <w:tcBorders>
              <w:left w:val="single" w:color="auto" w:sz="4" w:space="0"/>
            </w:tcBorders>
            <w:vAlign w:val="center"/>
          </w:tcPr>
          <w:p w14:paraId="2D7EC2E3">
            <w:pPr>
              <w:adjustRightInd w:val="0"/>
              <w:snapToGrid w:val="0"/>
              <w:jc w:val="center"/>
              <w:rPr>
                <w:snapToGrid w:val="0"/>
                <w:color w:val="auto"/>
                <w:kern w:val="0"/>
                <w:szCs w:val="21"/>
                <w:highlight w:val="none"/>
              </w:rPr>
            </w:pPr>
            <w:r>
              <w:rPr>
                <w:rFonts w:hint="eastAsia"/>
                <w:snapToGrid w:val="0"/>
                <w:color w:val="auto"/>
                <w:kern w:val="0"/>
                <w:szCs w:val="21"/>
                <w:highlight w:val="none"/>
              </w:rPr>
              <w:t>1</w:t>
            </w:r>
            <w:r>
              <w:rPr>
                <w:snapToGrid w:val="0"/>
                <w:color w:val="auto"/>
                <w:kern w:val="0"/>
                <w:szCs w:val="21"/>
                <w:highlight w:val="none"/>
              </w:rPr>
              <w:t>30000</w:t>
            </w:r>
          </w:p>
        </w:tc>
        <w:tc>
          <w:tcPr>
            <w:tcW w:w="745" w:type="dxa"/>
            <w:vAlign w:val="center"/>
          </w:tcPr>
          <w:p w14:paraId="3753F34C">
            <w:pPr>
              <w:adjustRightInd w:val="0"/>
              <w:snapToGrid w:val="0"/>
              <w:jc w:val="center"/>
              <w:rPr>
                <w:snapToGrid w:val="0"/>
                <w:color w:val="auto"/>
                <w:kern w:val="0"/>
                <w:szCs w:val="21"/>
                <w:highlight w:val="none"/>
              </w:rPr>
            </w:pPr>
            <w:r>
              <w:rPr>
                <w:rFonts w:hint="eastAsia"/>
                <w:snapToGrid w:val="0"/>
                <w:color w:val="auto"/>
                <w:kern w:val="0"/>
                <w:szCs w:val="21"/>
                <w:highlight w:val="none"/>
              </w:rPr>
              <w:t>现有污水处理站生化段</w:t>
            </w:r>
          </w:p>
        </w:tc>
      </w:tr>
    </w:tbl>
    <w:p w14:paraId="332E2BE6">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本项目实施后，</w:t>
      </w:r>
      <w:r>
        <w:rPr>
          <w:rFonts w:hint="eastAsia" w:ascii="Times New Roman" w:hAnsi="Times New Roman" w:eastAsia="宋体" w:cs="Times New Roman"/>
          <w:snapToGrid w:val="0"/>
          <w:color w:val="auto"/>
          <w:kern w:val="0"/>
          <w:sz w:val="24"/>
          <w:szCs w:val="24"/>
          <w:highlight w:val="none"/>
        </w:rPr>
        <w:t>发酵清洗废水</w:t>
      </w:r>
      <w:r>
        <w:rPr>
          <w:rFonts w:hint="eastAsia" w:ascii="Times New Roman" w:hAnsi="Times New Roman" w:eastAsia="宋体" w:cs="Times New Roman"/>
          <w:color w:val="auto"/>
          <w:kern w:val="0"/>
          <w:sz w:val="24"/>
          <w:szCs w:val="24"/>
          <w:highlight w:val="none"/>
        </w:rPr>
        <w:t>、分离废水经调节池调节</w:t>
      </w:r>
      <w:r>
        <w:rPr>
          <w:rFonts w:hint="eastAsia" w:ascii="Times New Roman" w:hAnsi="Times New Roman" w:eastAsia="宋体" w:cs="Times New Roman"/>
          <w:color w:val="auto"/>
          <w:kern w:val="0"/>
          <w:sz w:val="24"/>
          <w:szCs w:val="24"/>
          <w:highlight w:val="none"/>
          <w:lang w:val="en-US" w:eastAsia="zh-CN"/>
        </w:rPr>
        <w:t>后排入</w:t>
      </w:r>
      <w:r>
        <w:rPr>
          <w:rFonts w:hint="eastAsia" w:ascii="Times New Roman" w:hAnsi="Times New Roman" w:eastAsia="宋体" w:cs="Times New Roman"/>
          <w:color w:val="auto"/>
          <w:kern w:val="0"/>
          <w:sz w:val="24"/>
          <w:szCs w:val="24"/>
          <w:highlight w:val="none"/>
        </w:rPr>
        <w:t>西区污水处理厂</w:t>
      </w:r>
      <w:r>
        <w:rPr>
          <w:rFonts w:hint="eastAsia" w:ascii="Times New Roman" w:hAnsi="Times New Roman" w:eastAsia="宋体" w:cs="Times New Roman"/>
          <w:color w:val="auto"/>
          <w:kern w:val="0"/>
          <w:sz w:val="24"/>
          <w:szCs w:val="24"/>
          <w:highlight w:val="none"/>
          <w:lang w:val="en-US" w:eastAsia="zh-CN"/>
        </w:rPr>
        <w:t>二</w:t>
      </w:r>
      <w:r>
        <w:rPr>
          <w:rFonts w:hint="eastAsia" w:ascii="Times New Roman" w:hAnsi="Times New Roman" w:eastAsia="宋体" w:cs="Times New Roman"/>
          <w:color w:val="auto"/>
          <w:kern w:val="0"/>
          <w:sz w:val="24"/>
          <w:szCs w:val="24"/>
          <w:highlight w:val="none"/>
        </w:rPr>
        <w:t>期工程</w:t>
      </w:r>
      <w:r>
        <w:rPr>
          <w:rFonts w:hint="eastAsia" w:ascii="Times New Roman" w:hAnsi="Times New Roman" w:eastAsia="宋体" w:cs="Times New Roman"/>
          <w:color w:val="auto"/>
          <w:kern w:val="0"/>
          <w:sz w:val="24"/>
          <w:szCs w:val="24"/>
          <w:highlight w:val="none"/>
          <w:lang w:val="en-US" w:eastAsia="zh-CN"/>
        </w:rPr>
        <w:t>处理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循环水排污依托</w:t>
      </w:r>
      <w:r>
        <w:rPr>
          <w:rFonts w:hint="eastAsia" w:ascii="Times New Roman" w:hAnsi="Times New Roman" w:eastAsia="宋体" w:cs="Times New Roman"/>
          <w:snapToGrid w:val="0"/>
          <w:color w:val="auto"/>
          <w:kern w:val="0"/>
          <w:sz w:val="24"/>
          <w:szCs w:val="24"/>
          <w:highlight w:val="none"/>
        </w:rPr>
        <w:t>现有污水处理站中水段</w:t>
      </w:r>
      <w:r>
        <w:rPr>
          <w:rFonts w:hint="eastAsia" w:ascii="Times New Roman" w:hAnsi="Times New Roman" w:eastAsia="宋体" w:cs="Times New Roman"/>
          <w:snapToGrid w:val="0"/>
          <w:color w:val="auto"/>
          <w:kern w:val="0"/>
          <w:sz w:val="24"/>
          <w:szCs w:val="24"/>
          <w:highlight w:val="none"/>
          <w:lang w:val="en-US" w:eastAsia="zh-CN"/>
        </w:rPr>
        <w:t>处理；</w:t>
      </w:r>
      <w:r>
        <w:rPr>
          <w:rFonts w:hint="eastAsia" w:ascii="Times New Roman" w:hAnsi="Times New Roman" w:eastAsia="宋体" w:cs="Times New Roman"/>
          <w:color w:val="auto"/>
          <w:kern w:val="0"/>
          <w:sz w:val="24"/>
          <w:szCs w:val="24"/>
          <w:highlight w:val="none"/>
        </w:rPr>
        <w:t>生活污水</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水洗塔定排和碱洗塔定排</w:t>
      </w:r>
      <w:r>
        <w:rPr>
          <w:rFonts w:hint="eastAsia" w:ascii="Times New Roman" w:hAnsi="Times New Roman" w:eastAsia="宋体" w:cs="Times New Roman"/>
          <w:color w:val="auto"/>
          <w:kern w:val="0"/>
          <w:sz w:val="24"/>
          <w:szCs w:val="24"/>
          <w:highlight w:val="none"/>
          <w:lang w:val="en-US" w:eastAsia="zh-CN"/>
        </w:rPr>
        <w:t>依托现有污水处理站生化段处理后</w:t>
      </w:r>
      <w:r>
        <w:rPr>
          <w:rFonts w:hint="eastAsia" w:ascii="Times New Roman" w:hAnsi="Times New Roman" w:eastAsia="宋体" w:cs="Times New Roman"/>
          <w:color w:val="auto"/>
          <w:kern w:val="0"/>
          <w:sz w:val="24"/>
          <w:szCs w:val="24"/>
          <w:highlight w:val="none"/>
        </w:rPr>
        <w:t>排入西区</w:t>
      </w:r>
      <w:r>
        <w:rPr>
          <w:rFonts w:hint="eastAsia" w:ascii="Times New Roman" w:hAnsi="Times New Roman" w:eastAsia="宋体" w:cs="Times New Roman"/>
          <w:snapToGrid w:val="0"/>
          <w:color w:val="auto"/>
          <w:kern w:val="0"/>
          <w:sz w:val="24"/>
          <w:szCs w:val="24"/>
          <w:highlight w:val="none"/>
        </w:rPr>
        <w:t>污水处理厂</w:t>
      </w:r>
      <w:r>
        <w:rPr>
          <w:rFonts w:hint="eastAsia" w:ascii="Times New Roman" w:hAnsi="Times New Roman" w:eastAsia="宋体" w:cs="Times New Roman"/>
          <w:snapToGrid w:val="0"/>
          <w:color w:val="auto"/>
          <w:kern w:val="0"/>
          <w:sz w:val="24"/>
          <w:szCs w:val="24"/>
          <w:highlight w:val="none"/>
          <w:lang w:val="en-US" w:eastAsia="zh-CN"/>
        </w:rPr>
        <w:t>一</w:t>
      </w:r>
      <w:r>
        <w:rPr>
          <w:rFonts w:hint="eastAsia" w:ascii="Times New Roman" w:hAnsi="Times New Roman" w:eastAsia="宋体" w:cs="Times New Roman"/>
          <w:snapToGrid w:val="0"/>
          <w:color w:val="auto"/>
          <w:kern w:val="0"/>
          <w:sz w:val="24"/>
          <w:szCs w:val="24"/>
          <w:highlight w:val="none"/>
        </w:rPr>
        <w:t>期</w:t>
      </w:r>
      <w:r>
        <w:rPr>
          <w:rFonts w:hint="eastAsia" w:ascii="Times New Roman" w:hAnsi="Times New Roman" w:eastAsia="宋体" w:cs="Times New Roman"/>
          <w:color w:val="auto"/>
          <w:kern w:val="0"/>
          <w:sz w:val="24"/>
          <w:szCs w:val="24"/>
          <w:highlight w:val="none"/>
        </w:rPr>
        <w:t>。</w:t>
      </w:r>
    </w:p>
    <w:p w14:paraId="3527B8CC">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项目运行与地表水没有直接的水力联系，正常生产情况下，项目排水不会对水环境不利环境影响。</w:t>
      </w:r>
    </w:p>
    <w:p w14:paraId="49218DA5">
      <w:pPr>
        <w:pStyle w:val="504"/>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Times New Roman" w:hAnsi="Times New Roman" w:eastAsia="宋体" w:cs="Times New Roman"/>
          <w:color w:val="auto"/>
          <w:kern w:val="0"/>
          <w:sz w:val="24"/>
          <w:szCs w:val="24"/>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35966A5E">
      <w:pPr>
        <w:pStyle w:val="504"/>
        <w:adjustRightInd w:val="0"/>
        <w:snapToGrid w:val="0"/>
        <w:spacing w:line="240" w:lineRule="auto"/>
        <w:ind w:firstLine="0" w:firstLineChars="0"/>
        <w:jc w:val="center"/>
        <w:rPr>
          <w:rFonts w:hint="eastAsia" w:ascii="Times New Roman" w:hAnsi="Times New Roman" w:eastAsia="宋体" w:cs="Times New Roman"/>
          <w:b/>
          <w:bCs/>
          <w:snapToGrid w:val="0"/>
          <w:color w:val="auto"/>
          <w:kern w:val="0"/>
          <w:sz w:val="21"/>
          <w:szCs w:val="21"/>
          <w:highlight w:val="none"/>
        </w:rPr>
      </w:pPr>
      <w:r>
        <w:rPr>
          <w:rFonts w:hint="eastAsia" w:ascii="Times New Roman" w:hAnsi="Times New Roman" w:eastAsia="宋体" w:cs="Times New Roman"/>
          <w:b/>
          <w:bCs/>
          <w:color w:val="auto"/>
          <w:kern w:val="0"/>
          <w:sz w:val="21"/>
          <w:szCs w:val="21"/>
          <w:highlight w:val="none"/>
        </w:rPr>
        <w:t>表6.2-2</w:t>
      </w:r>
      <w:r>
        <w:rPr>
          <w:rFonts w:hint="eastAsia" w:ascii="Times New Roman" w:hAnsi="Times New Roman" w:eastAsia="宋体" w:cs="Times New Roman"/>
          <w:b/>
          <w:bCs/>
          <w:color w:val="auto"/>
          <w:kern w:val="0"/>
          <w:sz w:val="21"/>
          <w:szCs w:val="21"/>
          <w:highlight w:val="none"/>
          <w:lang w:val="en-US" w:eastAsia="zh-CN"/>
        </w:rPr>
        <w:t>7</w:t>
      </w:r>
      <w:r>
        <w:rPr>
          <w:rFonts w:hint="eastAsia" w:ascii="Times New Roman" w:hAnsi="Times New Roman" w:eastAsia="宋体" w:cs="Times New Roman"/>
          <w:b/>
          <w:bCs/>
          <w:color w:val="auto"/>
          <w:kern w:val="0"/>
          <w:sz w:val="21"/>
          <w:szCs w:val="21"/>
          <w:highlight w:val="none"/>
        </w:rPr>
        <w:t xml:space="preserve"> </w:t>
      </w:r>
      <w:r>
        <w:rPr>
          <w:rFonts w:hint="eastAsia" w:ascii="Times New Roman" w:hAnsi="Times New Roman" w:eastAsia="宋体" w:cs="Times New Roman"/>
          <w:b/>
          <w:bCs/>
          <w:snapToGrid w:val="0"/>
          <w:color w:val="auto"/>
          <w:kern w:val="0"/>
          <w:sz w:val="21"/>
          <w:szCs w:val="21"/>
          <w:highlight w:val="none"/>
        </w:rPr>
        <w:t>地表水环境影响评价自查表</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1320"/>
        <w:gridCol w:w="1357"/>
        <w:gridCol w:w="386"/>
        <w:gridCol w:w="700"/>
        <w:gridCol w:w="1007"/>
        <w:gridCol w:w="276"/>
        <w:gridCol w:w="131"/>
        <w:gridCol w:w="131"/>
        <w:gridCol w:w="946"/>
        <w:gridCol w:w="289"/>
        <w:gridCol w:w="337"/>
        <w:gridCol w:w="1174"/>
      </w:tblGrid>
      <w:tr w14:paraId="38C5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shd w:val="clear" w:color="auto" w:fill="auto"/>
            <w:vAlign w:val="center"/>
          </w:tcPr>
          <w:p w14:paraId="13FDA717">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工作内容</w:t>
            </w:r>
          </w:p>
        </w:tc>
        <w:tc>
          <w:tcPr>
            <w:tcW w:w="6734" w:type="dxa"/>
            <w:gridSpan w:val="11"/>
            <w:shd w:val="clear" w:color="auto" w:fill="auto"/>
            <w:vAlign w:val="center"/>
          </w:tcPr>
          <w:p w14:paraId="741B2615">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自查项目</w:t>
            </w:r>
          </w:p>
        </w:tc>
      </w:tr>
      <w:tr w14:paraId="6588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restart"/>
            <w:vAlign w:val="center"/>
          </w:tcPr>
          <w:p w14:paraId="0F55FEA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影响识别</w:t>
            </w:r>
          </w:p>
        </w:tc>
        <w:tc>
          <w:tcPr>
            <w:tcW w:w="1320" w:type="dxa"/>
            <w:vAlign w:val="center"/>
          </w:tcPr>
          <w:p w14:paraId="45E59C98">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影响类型</w:t>
            </w:r>
          </w:p>
        </w:tc>
        <w:tc>
          <w:tcPr>
            <w:tcW w:w="6734" w:type="dxa"/>
            <w:gridSpan w:val="11"/>
            <w:vAlign w:val="center"/>
          </w:tcPr>
          <w:p w14:paraId="6D7BABA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水污染影响型</w:t>
            </w:r>
            <w:r>
              <w:rPr>
                <w:rFonts w:ascii="Times New Roman" w:hAnsi="Times New Roman" w:eastAsia="宋体" w:cs="Times New Roman"/>
                <w:snapToGrid w:val="0"/>
                <w:color w:val="auto"/>
                <w:kern w:val="0"/>
                <w:sz w:val="21"/>
                <w:szCs w:val="21"/>
                <w:highlight w:val="none"/>
              </w:rPr>
              <w:sym w:font="Wingdings 2" w:char="0052"/>
            </w:r>
            <w:r>
              <w:rPr>
                <w:rFonts w:hint="eastAsia" w:ascii="Times New Roman" w:hAnsi="Times New Roman" w:eastAsia="宋体" w:cs="Times New Roman"/>
                <w:snapToGrid w:val="0"/>
                <w:color w:val="auto"/>
                <w:kern w:val="0"/>
                <w:sz w:val="21"/>
                <w:szCs w:val="21"/>
                <w:highlight w:val="none"/>
              </w:rPr>
              <w:t>；水文要素影响型</w:t>
            </w:r>
            <w:r>
              <w:rPr>
                <w:rFonts w:ascii="Times New Roman" w:hAnsi="Times New Roman" w:eastAsia="宋体" w:cs="Times New Roman"/>
                <w:snapToGrid w:val="0"/>
                <w:color w:val="auto"/>
                <w:kern w:val="0"/>
                <w:sz w:val="21"/>
                <w:szCs w:val="21"/>
                <w:highlight w:val="none"/>
              </w:rPr>
              <w:sym w:font="Wingdings 2" w:char="00A3"/>
            </w:r>
          </w:p>
        </w:tc>
      </w:tr>
      <w:tr w14:paraId="4083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89DDAA3">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755C1D4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水环境保护目标</w:t>
            </w:r>
          </w:p>
        </w:tc>
        <w:tc>
          <w:tcPr>
            <w:tcW w:w="6734" w:type="dxa"/>
            <w:gridSpan w:val="11"/>
            <w:vAlign w:val="center"/>
          </w:tcPr>
          <w:p w14:paraId="76DC575A">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spacing w:val="-6"/>
                <w:kern w:val="0"/>
                <w:sz w:val="21"/>
                <w:szCs w:val="21"/>
                <w:highlight w:val="none"/>
                <w:lang w:val="en-US" w:eastAsia="zh-CN" w:bidi="ar-SA"/>
              </w:rPr>
            </w:pPr>
            <w:r>
              <w:rPr>
                <w:rFonts w:hint="eastAsia" w:ascii="Times New Roman" w:hAnsi="Times New Roman" w:eastAsia="宋体" w:cs="Times New Roman"/>
                <w:snapToGrid w:val="0"/>
                <w:color w:val="auto"/>
                <w:spacing w:val="-6"/>
                <w:kern w:val="0"/>
                <w:sz w:val="21"/>
                <w:szCs w:val="21"/>
                <w:highlight w:val="none"/>
                <w:lang w:val="en-US" w:eastAsia="zh-CN" w:bidi="ar-SA"/>
              </w:rPr>
              <w:t>饮用水水源保护区</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；饮用水取水口；涉水的自然保护区</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；重要湿地；</w:t>
            </w:r>
          </w:p>
          <w:p w14:paraId="3A111B8C">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lang w:val="en-US" w:eastAsia="zh-CN" w:bidi="ar-SA"/>
              </w:rPr>
              <w:t>重点保护珍稀水生生物的栖息地</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；重要水生生物的自然产卵场及索饵场、越冬场和洄游通道、天然渔场等渔业水体</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；涉水的风景名胜区</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；其他</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p>
        </w:tc>
      </w:tr>
      <w:tr w14:paraId="30C6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C44991F">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7373273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影响途径</w:t>
            </w:r>
          </w:p>
        </w:tc>
        <w:tc>
          <w:tcPr>
            <w:tcW w:w="3450" w:type="dxa"/>
            <w:gridSpan w:val="4"/>
            <w:vAlign w:val="center"/>
          </w:tcPr>
          <w:p w14:paraId="15090C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水污染影响型</w:t>
            </w:r>
          </w:p>
        </w:tc>
        <w:tc>
          <w:tcPr>
            <w:tcW w:w="3284" w:type="dxa"/>
            <w:gridSpan w:val="7"/>
            <w:vAlign w:val="center"/>
          </w:tcPr>
          <w:p w14:paraId="3BDCAB2C">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水文要素影响型</w:t>
            </w:r>
          </w:p>
        </w:tc>
      </w:tr>
      <w:tr w14:paraId="0E90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4938CC49">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75F4B3C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3450" w:type="dxa"/>
            <w:gridSpan w:val="4"/>
            <w:vAlign w:val="center"/>
          </w:tcPr>
          <w:p w14:paraId="297BB21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直接排放</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；间接排放</w:t>
            </w:r>
            <w:r>
              <w:rPr>
                <w:rFonts w:ascii="Times New Roman" w:hAnsi="Times New Roman" w:eastAsia="宋体" w:cs="Times New Roman"/>
                <w:snapToGrid w:val="0"/>
                <w:color w:val="auto"/>
                <w:kern w:val="0"/>
                <w:sz w:val="21"/>
                <w:szCs w:val="21"/>
                <w:highlight w:val="none"/>
              </w:rPr>
              <w:sym w:font="Wingdings 2" w:char="0052"/>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c>
          <w:tcPr>
            <w:tcW w:w="3284" w:type="dxa"/>
            <w:gridSpan w:val="7"/>
            <w:vAlign w:val="center"/>
          </w:tcPr>
          <w:p w14:paraId="1A2E23E5">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水温</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；径流</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；水域面积</w:t>
            </w:r>
            <w:r>
              <w:rPr>
                <w:rFonts w:ascii="Times New Roman" w:hAnsi="Times New Roman" w:eastAsia="宋体" w:cs="Times New Roman"/>
                <w:snapToGrid w:val="0"/>
                <w:color w:val="auto"/>
                <w:kern w:val="0"/>
                <w:sz w:val="21"/>
                <w:szCs w:val="21"/>
                <w:highlight w:val="none"/>
              </w:rPr>
              <w:sym w:font="Wingdings 2" w:char="00A3"/>
            </w:r>
          </w:p>
        </w:tc>
      </w:tr>
      <w:tr w14:paraId="593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182F1C9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0B05C7A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影响因子</w:t>
            </w:r>
          </w:p>
        </w:tc>
        <w:tc>
          <w:tcPr>
            <w:tcW w:w="3450" w:type="dxa"/>
            <w:gridSpan w:val="4"/>
            <w:vAlign w:val="center"/>
          </w:tcPr>
          <w:p w14:paraId="067703A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持久性污染物</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；有毒有害污染物</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；非持久性污染物</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pH</w:t>
            </w:r>
            <w:r>
              <w:rPr>
                <w:rFonts w:hint="eastAsia" w:ascii="Times New Roman" w:hAnsi="Times New Roman" w:eastAsia="宋体" w:cs="Times New Roman"/>
                <w:snapToGrid w:val="0"/>
                <w:color w:val="auto"/>
                <w:kern w:val="0"/>
                <w:sz w:val="21"/>
                <w:szCs w:val="21"/>
                <w:highlight w:val="none"/>
              </w:rPr>
              <w:t>值</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；热污染</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；富营养化</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52"/>
            </w:r>
          </w:p>
        </w:tc>
        <w:tc>
          <w:tcPr>
            <w:tcW w:w="3284" w:type="dxa"/>
            <w:gridSpan w:val="7"/>
            <w:vAlign w:val="center"/>
          </w:tcPr>
          <w:p w14:paraId="01D55D8E">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水温</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；水位（水深）</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；流速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；流量</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r>
      <w:tr w14:paraId="6F18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vMerge w:val="restart"/>
            <w:vAlign w:val="center"/>
          </w:tcPr>
          <w:p w14:paraId="7411C5AA">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评价等级</w:t>
            </w:r>
          </w:p>
        </w:tc>
        <w:tc>
          <w:tcPr>
            <w:tcW w:w="3450" w:type="dxa"/>
            <w:gridSpan w:val="4"/>
            <w:vAlign w:val="center"/>
          </w:tcPr>
          <w:p w14:paraId="63E547A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水污染影响型</w:t>
            </w:r>
          </w:p>
        </w:tc>
        <w:tc>
          <w:tcPr>
            <w:tcW w:w="3284" w:type="dxa"/>
            <w:gridSpan w:val="7"/>
            <w:vAlign w:val="center"/>
          </w:tcPr>
          <w:p w14:paraId="1CD034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水文要素影响型</w:t>
            </w:r>
          </w:p>
        </w:tc>
      </w:tr>
      <w:tr w14:paraId="6F46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vMerge w:val="continue"/>
            <w:vAlign w:val="center"/>
          </w:tcPr>
          <w:p w14:paraId="3AEF6221">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3450" w:type="dxa"/>
            <w:gridSpan w:val="4"/>
            <w:vAlign w:val="center"/>
          </w:tcPr>
          <w:p w14:paraId="3ABB622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一级</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；二级</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；三级</w:t>
            </w:r>
            <w:r>
              <w:rPr>
                <w:rFonts w:ascii="Times New Roman" w:hAnsi="Times New Roman" w:eastAsia="宋体" w:cs="Times New Roman"/>
                <w:snapToGrid w:val="0"/>
                <w:color w:val="auto"/>
                <w:kern w:val="0"/>
                <w:sz w:val="21"/>
                <w:szCs w:val="21"/>
                <w:highlight w:val="none"/>
              </w:rPr>
              <w:t>A</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；三级</w:t>
            </w:r>
            <w:r>
              <w:rPr>
                <w:rFonts w:ascii="Times New Roman" w:hAnsi="Times New Roman" w:eastAsia="宋体" w:cs="Times New Roman"/>
                <w:snapToGrid w:val="0"/>
                <w:color w:val="auto"/>
                <w:kern w:val="0"/>
                <w:sz w:val="21"/>
                <w:szCs w:val="21"/>
                <w:highlight w:val="none"/>
              </w:rPr>
              <w:t>B</w:t>
            </w:r>
            <w:r>
              <w:rPr>
                <w:rFonts w:ascii="Times New Roman" w:hAnsi="Times New Roman" w:eastAsia="宋体" w:cs="Times New Roman"/>
                <w:snapToGrid w:val="0"/>
                <w:color w:val="auto"/>
                <w:kern w:val="0"/>
                <w:sz w:val="21"/>
                <w:szCs w:val="21"/>
                <w:highlight w:val="none"/>
              </w:rPr>
              <w:sym w:font="Wingdings 2" w:char="0052"/>
            </w:r>
          </w:p>
        </w:tc>
        <w:tc>
          <w:tcPr>
            <w:tcW w:w="3284" w:type="dxa"/>
            <w:gridSpan w:val="7"/>
            <w:vAlign w:val="center"/>
          </w:tcPr>
          <w:p w14:paraId="71BF114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一级</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；二级</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；三级</w:t>
            </w:r>
            <w:r>
              <w:rPr>
                <w:rFonts w:ascii="Times New Roman" w:hAnsi="Times New Roman" w:eastAsia="宋体" w:cs="Times New Roman"/>
                <w:snapToGrid w:val="0"/>
                <w:color w:val="auto"/>
                <w:kern w:val="0"/>
                <w:sz w:val="21"/>
                <w:szCs w:val="21"/>
                <w:highlight w:val="none"/>
              </w:rPr>
              <w:sym w:font="Wingdings 2" w:char="00A3"/>
            </w:r>
          </w:p>
        </w:tc>
      </w:tr>
      <w:tr w14:paraId="20EB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restart"/>
            <w:vAlign w:val="center"/>
          </w:tcPr>
          <w:p w14:paraId="5BF3D9E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现状调查</w:t>
            </w:r>
          </w:p>
        </w:tc>
        <w:tc>
          <w:tcPr>
            <w:tcW w:w="1320" w:type="dxa"/>
            <w:vMerge w:val="restart"/>
            <w:vAlign w:val="center"/>
          </w:tcPr>
          <w:p w14:paraId="6DB494B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区域污染源</w:t>
            </w:r>
          </w:p>
        </w:tc>
        <w:tc>
          <w:tcPr>
            <w:tcW w:w="3450" w:type="dxa"/>
            <w:gridSpan w:val="4"/>
            <w:vAlign w:val="center"/>
          </w:tcPr>
          <w:p w14:paraId="32E692D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调查项目</w:t>
            </w:r>
          </w:p>
        </w:tc>
        <w:tc>
          <w:tcPr>
            <w:tcW w:w="3284" w:type="dxa"/>
            <w:gridSpan w:val="7"/>
            <w:vAlign w:val="center"/>
          </w:tcPr>
          <w:p w14:paraId="070EA76D">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数据来源</w:t>
            </w:r>
          </w:p>
        </w:tc>
      </w:tr>
      <w:tr w14:paraId="775E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6FC627EB">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1067D96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743" w:type="dxa"/>
            <w:gridSpan w:val="2"/>
            <w:vAlign w:val="center"/>
          </w:tcPr>
          <w:p w14:paraId="1EB1CBBD">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已建</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；在建</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；拟建</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c>
          <w:tcPr>
            <w:tcW w:w="1707" w:type="dxa"/>
            <w:gridSpan w:val="2"/>
            <w:vAlign w:val="center"/>
          </w:tcPr>
          <w:p w14:paraId="03B155E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拟替代的污染源</w:t>
            </w:r>
            <w:r>
              <w:rPr>
                <w:rFonts w:ascii="Times New Roman" w:hAnsi="Times New Roman" w:eastAsia="宋体" w:cs="Times New Roman"/>
                <w:snapToGrid w:val="0"/>
                <w:color w:val="auto"/>
                <w:kern w:val="0"/>
                <w:sz w:val="21"/>
                <w:szCs w:val="21"/>
                <w:highlight w:val="none"/>
              </w:rPr>
              <w:sym w:font="Wingdings 2" w:char="00A3"/>
            </w:r>
          </w:p>
        </w:tc>
        <w:tc>
          <w:tcPr>
            <w:tcW w:w="3284" w:type="dxa"/>
            <w:gridSpan w:val="7"/>
            <w:vAlign w:val="center"/>
          </w:tcPr>
          <w:p w14:paraId="29E7EE0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排污许可证</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；环评</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；环保验收</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；既有实施</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；现场监测</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；入河排放口数据</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r>
      <w:tr w14:paraId="3FEC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57631FAF">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5A78AB6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受影响水体水环境质量</w:t>
            </w:r>
          </w:p>
        </w:tc>
        <w:tc>
          <w:tcPr>
            <w:tcW w:w="3450" w:type="dxa"/>
            <w:gridSpan w:val="4"/>
            <w:vAlign w:val="center"/>
          </w:tcPr>
          <w:p w14:paraId="5DBF0AD3">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调查时期</w:t>
            </w:r>
          </w:p>
        </w:tc>
        <w:tc>
          <w:tcPr>
            <w:tcW w:w="3284" w:type="dxa"/>
            <w:gridSpan w:val="7"/>
            <w:vAlign w:val="center"/>
          </w:tcPr>
          <w:p w14:paraId="0CD58DB0">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数据来源</w:t>
            </w:r>
          </w:p>
        </w:tc>
      </w:tr>
      <w:tr w14:paraId="0E76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1473F26B">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481E46C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3450" w:type="dxa"/>
            <w:gridSpan w:val="4"/>
            <w:vAlign w:val="center"/>
          </w:tcPr>
          <w:p w14:paraId="69A771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丰水期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；平水期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；枯水期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；冰封期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；春季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；夏季</w:t>
            </w:r>
            <w:r>
              <w:rPr>
                <w:rFonts w:ascii="Times New Roman" w:hAnsi="Times New Roman" w:eastAsia="宋体" w:cs="Times New Roman"/>
                <w:snapToGrid w:val="0"/>
                <w:color w:val="auto"/>
                <w:kern w:val="0"/>
                <w:sz w:val="21"/>
                <w:szCs w:val="21"/>
                <w:highlight w:val="none"/>
              </w:rPr>
              <w:sym w:font="Wingdings 2" w:char="0052"/>
            </w:r>
            <w:r>
              <w:rPr>
                <w:rFonts w:hint="eastAsia" w:ascii="Times New Roman" w:hAnsi="Times New Roman" w:eastAsia="宋体" w:cs="Times New Roman"/>
                <w:snapToGrid w:val="0"/>
                <w:color w:val="auto"/>
                <w:kern w:val="0"/>
                <w:sz w:val="21"/>
                <w:szCs w:val="21"/>
                <w:highlight w:val="none"/>
              </w:rPr>
              <w:t>；秋季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；冬季</w:t>
            </w:r>
            <w:r>
              <w:rPr>
                <w:rFonts w:ascii="Times New Roman" w:hAnsi="Times New Roman" w:eastAsia="宋体" w:cs="Times New Roman"/>
                <w:snapToGrid w:val="0"/>
                <w:color w:val="auto"/>
                <w:kern w:val="0"/>
                <w:sz w:val="21"/>
                <w:szCs w:val="21"/>
                <w:highlight w:val="none"/>
              </w:rPr>
              <w:sym w:font="Wingdings 2" w:char="00A3"/>
            </w:r>
          </w:p>
        </w:tc>
        <w:tc>
          <w:tcPr>
            <w:tcW w:w="3284" w:type="dxa"/>
            <w:gridSpan w:val="7"/>
            <w:vAlign w:val="center"/>
          </w:tcPr>
          <w:p w14:paraId="1682CE8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生态环境保护主管部门</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；补充监测</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r>
      <w:tr w14:paraId="5467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5CCEC9D1">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6E8202CB">
            <w:pPr>
              <w:keepNext w:val="0"/>
              <w:keepLines w:val="0"/>
              <w:pageBreakBefore w:val="0"/>
              <w:widowControl w:val="0"/>
              <w:kinsoku/>
              <w:wordWrap/>
              <w:overflowPunct/>
              <w:topLinePunct w:val="0"/>
              <w:autoSpaceDE/>
              <w:autoSpaceDN/>
              <w:bidi w:val="0"/>
              <w:adjustRightInd w:val="0"/>
              <w:snapToGrid w:val="0"/>
              <w:ind w:left="-53" w:leftChars="-25" w:right="-53" w:rightChars="-25"/>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rPr>
              <w:t>区域水资源开发利用状况</w:t>
            </w:r>
          </w:p>
        </w:tc>
        <w:tc>
          <w:tcPr>
            <w:tcW w:w="6734" w:type="dxa"/>
            <w:gridSpan w:val="11"/>
            <w:vAlign w:val="center"/>
          </w:tcPr>
          <w:p w14:paraId="2B4140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未开发</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；开发量</w:t>
            </w:r>
            <w:r>
              <w:rPr>
                <w:rFonts w:ascii="Times New Roman" w:hAnsi="Times New Roman" w:eastAsia="宋体" w:cs="Times New Roman"/>
                <w:snapToGrid w:val="0"/>
                <w:color w:val="auto"/>
                <w:kern w:val="0"/>
                <w:sz w:val="21"/>
                <w:szCs w:val="21"/>
                <w:highlight w:val="none"/>
              </w:rPr>
              <w:t>40%</w:t>
            </w:r>
            <w:r>
              <w:rPr>
                <w:rFonts w:hint="eastAsia" w:ascii="Times New Roman" w:hAnsi="Times New Roman" w:eastAsia="宋体" w:cs="Times New Roman"/>
                <w:snapToGrid w:val="0"/>
                <w:color w:val="auto"/>
                <w:kern w:val="0"/>
                <w:sz w:val="21"/>
                <w:szCs w:val="21"/>
                <w:highlight w:val="none"/>
              </w:rPr>
              <w:t>以下</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；开发量</w:t>
            </w:r>
            <w:r>
              <w:rPr>
                <w:rFonts w:ascii="Times New Roman" w:hAnsi="Times New Roman" w:eastAsia="宋体" w:cs="Times New Roman"/>
                <w:snapToGrid w:val="0"/>
                <w:color w:val="auto"/>
                <w:kern w:val="0"/>
                <w:sz w:val="21"/>
                <w:szCs w:val="21"/>
                <w:highlight w:val="none"/>
              </w:rPr>
              <w:t>40%</w:t>
            </w:r>
            <w:r>
              <w:rPr>
                <w:rFonts w:hint="eastAsia" w:ascii="Times New Roman" w:hAnsi="Times New Roman" w:eastAsia="宋体" w:cs="Times New Roman"/>
                <w:snapToGrid w:val="0"/>
                <w:color w:val="auto"/>
                <w:kern w:val="0"/>
                <w:sz w:val="21"/>
                <w:szCs w:val="21"/>
                <w:highlight w:val="none"/>
              </w:rPr>
              <w:t>以上</w:t>
            </w:r>
            <w:r>
              <w:rPr>
                <w:rFonts w:ascii="Times New Roman" w:hAnsi="Times New Roman" w:eastAsia="宋体" w:cs="Times New Roman"/>
                <w:snapToGrid w:val="0"/>
                <w:color w:val="auto"/>
                <w:kern w:val="0"/>
                <w:sz w:val="21"/>
                <w:szCs w:val="21"/>
                <w:highlight w:val="none"/>
              </w:rPr>
              <w:sym w:font="Wingdings 2" w:char="00A3"/>
            </w:r>
          </w:p>
        </w:tc>
      </w:tr>
      <w:tr w14:paraId="2AA8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76E29CAC">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72187CA5">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水文情势</w:t>
            </w:r>
          </w:p>
          <w:p w14:paraId="2553E838">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调查</w:t>
            </w:r>
          </w:p>
        </w:tc>
        <w:tc>
          <w:tcPr>
            <w:tcW w:w="3450" w:type="dxa"/>
            <w:gridSpan w:val="4"/>
            <w:vAlign w:val="center"/>
          </w:tcPr>
          <w:p w14:paraId="7F73904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调查时期</w:t>
            </w:r>
          </w:p>
        </w:tc>
        <w:tc>
          <w:tcPr>
            <w:tcW w:w="3284" w:type="dxa"/>
            <w:gridSpan w:val="7"/>
            <w:vAlign w:val="center"/>
          </w:tcPr>
          <w:p w14:paraId="1191067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数据来源</w:t>
            </w:r>
          </w:p>
        </w:tc>
      </w:tr>
      <w:tr w14:paraId="380C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BE1BF0C">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59914192">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3450" w:type="dxa"/>
            <w:gridSpan w:val="4"/>
            <w:vAlign w:val="center"/>
          </w:tcPr>
          <w:p w14:paraId="2F38794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丰水期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；平水期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；枯水期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；冰封期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；春季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；夏季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；秋季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；冬季</w:t>
            </w:r>
            <w:r>
              <w:rPr>
                <w:rFonts w:ascii="Times New Roman" w:hAnsi="Times New Roman" w:eastAsia="宋体" w:cs="Times New Roman"/>
                <w:snapToGrid w:val="0"/>
                <w:color w:val="auto"/>
                <w:kern w:val="0"/>
                <w:sz w:val="21"/>
                <w:szCs w:val="21"/>
                <w:highlight w:val="none"/>
              </w:rPr>
              <w:sym w:font="Wingdings 2" w:char="00A3"/>
            </w:r>
          </w:p>
        </w:tc>
        <w:tc>
          <w:tcPr>
            <w:tcW w:w="3284" w:type="dxa"/>
            <w:gridSpan w:val="7"/>
            <w:vAlign w:val="center"/>
          </w:tcPr>
          <w:p w14:paraId="337766E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生态环境保护主管部门</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；补充监测</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r>
      <w:tr w14:paraId="5C66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919735C">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0547C50C">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补充监测</w:t>
            </w:r>
          </w:p>
        </w:tc>
        <w:tc>
          <w:tcPr>
            <w:tcW w:w="3450" w:type="dxa"/>
            <w:gridSpan w:val="4"/>
            <w:vAlign w:val="center"/>
          </w:tcPr>
          <w:p w14:paraId="271598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监测时间</w:t>
            </w:r>
          </w:p>
        </w:tc>
        <w:tc>
          <w:tcPr>
            <w:tcW w:w="2110" w:type="dxa"/>
            <w:gridSpan w:val="6"/>
            <w:vAlign w:val="center"/>
          </w:tcPr>
          <w:p w14:paraId="58D408C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监测因子</w:t>
            </w:r>
          </w:p>
        </w:tc>
        <w:tc>
          <w:tcPr>
            <w:tcW w:w="1174" w:type="dxa"/>
            <w:vAlign w:val="center"/>
          </w:tcPr>
          <w:p w14:paraId="5890C23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监测断面或点位</w:t>
            </w:r>
          </w:p>
        </w:tc>
      </w:tr>
      <w:tr w14:paraId="3A03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1278E97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606D78A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3450" w:type="dxa"/>
            <w:gridSpan w:val="4"/>
            <w:vAlign w:val="center"/>
          </w:tcPr>
          <w:p w14:paraId="14CBDFCC">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丰水期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；平水期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；枯水期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；冰封期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；春季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；夏季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；秋季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；冬季</w:t>
            </w:r>
            <w:r>
              <w:rPr>
                <w:rFonts w:ascii="Times New Roman" w:hAnsi="Times New Roman" w:eastAsia="宋体" w:cs="Times New Roman"/>
                <w:snapToGrid w:val="0"/>
                <w:color w:val="auto"/>
                <w:kern w:val="0"/>
                <w:sz w:val="21"/>
                <w:szCs w:val="21"/>
                <w:highlight w:val="none"/>
              </w:rPr>
              <w:sym w:font="Wingdings 2" w:char="00A3"/>
            </w:r>
          </w:p>
        </w:tc>
        <w:tc>
          <w:tcPr>
            <w:tcW w:w="2110" w:type="dxa"/>
            <w:gridSpan w:val="6"/>
            <w:vAlign w:val="center"/>
          </w:tcPr>
          <w:p w14:paraId="79110FE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p>
        </w:tc>
        <w:tc>
          <w:tcPr>
            <w:tcW w:w="1174" w:type="dxa"/>
            <w:vAlign w:val="center"/>
          </w:tcPr>
          <w:p w14:paraId="6DEEC300">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监测断面或点位个数（/）个</w:t>
            </w:r>
          </w:p>
        </w:tc>
      </w:tr>
      <w:tr w14:paraId="785A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restart"/>
            <w:vAlign w:val="center"/>
          </w:tcPr>
          <w:p w14:paraId="5084F7B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现状评价</w:t>
            </w:r>
          </w:p>
        </w:tc>
        <w:tc>
          <w:tcPr>
            <w:tcW w:w="1320" w:type="dxa"/>
            <w:vAlign w:val="center"/>
          </w:tcPr>
          <w:p w14:paraId="44BFE22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评价范围</w:t>
            </w:r>
          </w:p>
        </w:tc>
        <w:tc>
          <w:tcPr>
            <w:tcW w:w="6734" w:type="dxa"/>
            <w:gridSpan w:val="11"/>
            <w:vAlign w:val="center"/>
          </w:tcPr>
          <w:p w14:paraId="6645A01D">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河流：长度（</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km</w:t>
            </w:r>
            <w:r>
              <w:rPr>
                <w:rFonts w:hint="eastAsia" w:ascii="Times New Roman" w:hAnsi="Times New Roman" w:eastAsia="宋体" w:cs="Times New Roman"/>
                <w:snapToGrid w:val="0"/>
                <w:color w:val="auto"/>
                <w:kern w:val="0"/>
                <w:sz w:val="21"/>
                <w:szCs w:val="21"/>
                <w:highlight w:val="none"/>
              </w:rPr>
              <w:t>；湖库、河口及近岸海域：面积（</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km</w:t>
            </w:r>
            <w:r>
              <w:rPr>
                <w:rFonts w:ascii="Times New Roman" w:hAnsi="Times New Roman" w:eastAsia="宋体" w:cs="Times New Roman"/>
                <w:snapToGrid w:val="0"/>
                <w:color w:val="auto"/>
                <w:kern w:val="0"/>
                <w:sz w:val="21"/>
                <w:szCs w:val="21"/>
                <w:highlight w:val="none"/>
                <w:vertAlign w:val="superscript"/>
              </w:rPr>
              <w:t>2</w:t>
            </w:r>
          </w:p>
        </w:tc>
      </w:tr>
      <w:tr w14:paraId="63F8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18CDE083">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7D0DB22E">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评价因子</w:t>
            </w:r>
          </w:p>
        </w:tc>
        <w:tc>
          <w:tcPr>
            <w:tcW w:w="6734" w:type="dxa"/>
            <w:gridSpan w:val="11"/>
            <w:vAlign w:val="center"/>
          </w:tcPr>
          <w:p w14:paraId="62B1507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 xml:space="preserve"> / </w:t>
            </w:r>
            <w:r>
              <w:rPr>
                <w:rFonts w:hint="eastAsia" w:ascii="Times New Roman" w:hAnsi="Times New Roman" w:eastAsia="宋体" w:cs="Times New Roman"/>
                <w:snapToGrid w:val="0"/>
                <w:color w:val="auto"/>
                <w:kern w:val="0"/>
                <w:sz w:val="21"/>
                <w:szCs w:val="21"/>
                <w:highlight w:val="none"/>
              </w:rPr>
              <w:t>）</w:t>
            </w:r>
          </w:p>
        </w:tc>
      </w:tr>
      <w:tr w14:paraId="5B5B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62A2B5D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1CB55399">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评价标准</w:t>
            </w:r>
          </w:p>
        </w:tc>
        <w:tc>
          <w:tcPr>
            <w:tcW w:w="6734" w:type="dxa"/>
            <w:gridSpan w:val="11"/>
            <w:vAlign w:val="center"/>
          </w:tcPr>
          <w:p w14:paraId="1656BD9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河流、湖库、河口：Ⅰ类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；Ⅱ类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；Ⅲ类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；Ⅳ类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；Ⅴ类</w:t>
            </w:r>
            <w:r>
              <w:rPr>
                <w:rFonts w:ascii="Times New Roman" w:hAnsi="Times New Roman" w:eastAsia="宋体" w:cs="Times New Roman"/>
                <w:snapToGrid w:val="0"/>
                <w:color w:val="auto"/>
                <w:kern w:val="0"/>
                <w:sz w:val="21"/>
                <w:szCs w:val="21"/>
                <w:highlight w:val="none"/>
              </w:rPr>
              <w:sym w:font="Wingdings 2" w:char="00A3"/>
            </w:r>
          </w:p>
          <w:p w14:paraId="67A3847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近岸海域：第一类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；第二类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；第三类</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；第四类</w:t>
            </w:r>
            <w:r>
              <w:rPr>
                <w:rFonts w:ascii="Times New Roman" w:hAnsi="Times New Roman" w:eastAsia="宋体" w:cs="Times New Roman"/>
                <w:snapToGrid w:val="0"/>
                <w:color w:val="auto"/>
                <w:kern w:val="0"/>
                <w:sz w:val="21"/>
                <w:szCs w:val="21"/>
                <w:highlight w:val="none"/>
              </w:rPr>
              <w:sym w:font="Wingdings 2" w:char="00A3"/>
            </w:r>
          </w:p>
          <w:p w14:paraId="7555A4EA">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规划年评价标准（</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r>
      <w:tr w14:paraId="03D8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DAD3640">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1190FFE9">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评价时期</w:t>
            </w:r>
          </w:p>
        </w:tc>
        <w:tc>
          <w:tcPr>
            <w:tcW w:w="6734" w:type="dxa"/>
            <w:gridSpan w:val="11"/>
            <w:vAlign w:val="center"/>
          </w:tcPr>
          <w:p w14:paraId="7282FA9C">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丰水期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；平水期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；枯水期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；冰封期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；春季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；夏季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；秋季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；冬季</w:t>
            </w:r>
            <w:r>
              <w:rPr>
                <w:rFonts w:ascii="Times New Roman" w:hAnsi="Times New Roman" w:eastAsia="宋体" w:cs="Times New Roman"/>
                <w:snapToGrid w:val="0"/>
                <w:color w:val="auto"/>
                <w:kern w:val="0"/>
                <w:sz w:val="21"/>
                <w:szCs w:val="21"/>
                <w:highlight w:val="none"/>
              </w:rPr>
              <w:sym w:font="Wingdings 2" w:char="00A3"/>
            </w:r>
          </w:p>
        </w:tc>
      </w:tr>
      <w:tr w14:paraId="76CF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7E8A023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449C43D5">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评价结论</w:t>
            </w:r>
          </w:p>
        </w:tc>
        <w:tc>
          <w:tcPr>
            <w:tcW w:w="5223" w:type="dxa"/>
            <w:gridSpan w:val="9"/>
            <w:vAlign w:val="center"/>
          </w:tcPr>
          <w:p w14:paraId="51A4F8D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水环境功能区或水功能区、近岸海域环境功能区水质达标状况</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：达标</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；不达标</w:t>
            </w:r>
            <w:r>
              <w:rPr>
                <w:rFonts w:ascii="Times New Roman" w:hAnsi="Times New Roman" w:eastAsia="宋体" w:cs="Times New Roman"/>
                <w:snapToGrid w:val="0"/>
                <w:color w:val="auto"/>
                <w:kern w:val="0"/>
                <w:sz w:val="21"/>
                <w:szCs w:val="21"/>
                <w:highlight w:val="none"/>
              </w:rPr>
              <w:sym w:font="Wingdings 2" w:char="00A3"/>
            </w:r>
          </w:p>
          <w:p w14:paraId="5069B05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spacing w:val="-6"/>
                <w:kern w:val="0"/>
                <w:sz w:val="21"/>
                <w:szCs w:val="21"/>
                <w:highlight w:val="none"/>
                <w:lang w:val="en-US" w:eastAsia="zh-CN" w:bidi="ar-SA"/>
              </w:rPr>
            </w:pPr>
            <w:r>
              <w:rPr>
                <w:rFonts w:hint="eastAsia" w:ascii="Times New Roman" w:hAnsi="Times New Roman" w:eastAsia="宋体" w:cs="Times New Roman"/>
                <w:snapToGrid w:val="0"/>
                <w:color w:val="auto"/>
                <w:spacing w:val="-6"/>
                <w:kern w:val="0"/>
                <w:sz w:val="21"/>
                <w:szCs w:val="21"/>
                <w:highlight w:val="none"/>
                <w:lang w:val="en-US" w:eastAsia="zh-CN" w:bidi="ar-SA"/>
              </w:rPr>
              <w:t>水环境控制单元或断面水质达标状况</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；达标</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；不达标</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p>
          <w:p w14:paraId="463BF1A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水环境保护目标质量状况</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：达标</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；不达标</w:t>
            </w:r>
            <w:r>
              <w:rPr>
                <w:rFonts w:ascii="Times New Roman" w:hAnsi="Times New Roman" w:eastAsia="宋体" w:cs="Times New Roman"/>
                <w:snapToGrid w:val="0"/>
                <w:color w:val="auto"/>
                <w:kern w:val="0"/>
                <w:sz w:val="21"/>
                <w:szCs w:val="21"/>
                <w:highlight w:val="none"/>
              </w:rPr>
              <w:sym w:font="Wingdings 2" w:char="00A3"/>
            </w:r>
          </w:p>
          <w:p w14:paraId="7CD2778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auto"/>
                <w:spacing w:val="-6"/>
                <w:kern w:val="0"/>
                <w:sz w:val="21"/>
                <w:szCs w:val="21"/>
                <w:highlight w:val="none"/>
                <w:lang w:val="en-US" w:eastAsia="zh-CN" w:bidi="ar-SA"/>
              </w:rPr>
            </w:pPr>
            <w:r>
              <w:rPr>
                <w:rFonts w:hint="eastAsia" w:ascii="Times New Roman" w:hAnsi="Times New Roman" w:eastAsia="宋体" w:cs="Times New Roman"/>
                <w:snapToGrid w:val="0"/>
                <w:color w:val="auto"/>
                <w:spacing w:val="-6"/>
                <w:kern w:val="0"/>
                <w:sz w:val="21"/>
                <w:szCs w:val="21"/>
                <w:highlight w:val="none"/>
                <w:lang w:val="en-US" w:eastAsia="zh-CN" w:bidi="ar-SA"/>
              </w:rPr>
              <w:t>对照断面、控制断面等代表性断面的水质状况</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：达标</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r>
              <w:rPr>
                <w:rFonts w:hint="eastAsia" w:ascii="Times New Roman" w:hAnsi="Times New Roman" w:eastAsia="宋体" w:cs="Times New Roman"/>
                <w:snapToGrid w:val="0"/>
                <w:color w:val="auto"/>
                <w:spacing w:val="-6"/>
                <w:kern w:val="0"/>
                <w:sz w:val="21"/>
                <w:szCs w:val="21"/>
                <w:highlight w:val="none"/>
                <w:lang w:val="en-US" w:eastAsia="zh-CN" w:bidi="ar-SA"/>
              </w:rPr>
              <w:t>；不达标</w:t>
            </w:r>
            <w:r>
              <w:rPr>
                <w:rFonts w:hint="eastAsia" w:ascii="Times New Roman" w:hAnsi="Times New Roman" w:eastAsia="宋体" w:cs="Times New Roman"/>
                <w:snapToGrid w:val="0"/>
                <w:color w:val="auto"/>
                <w:spacing w:val="-6"/>
                <w:kern w:val="0"/>
                <w:sz w:val="21"/>
                <w:szCs w:val="21"/>
                <w:highlight w:val="none"/>
                <w:lang w:val="en-US" w:eastAsia="zh-CN" w:bidi="ar-SA"/>
              </w:rPr>
              <w:sym w:font="Wingdings 2" w:char="00A3"/>
            </w:r>
          </w:p>
          <w:p w14:paraId="264E2B1D">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底泥污染评价</w:t>
            </w:r>
            <w:r>
              <w:rPr>
                <w:rFonts w:ascii="Times New Roman" w:hAnsi="Times New Roman" w:eastAsia="宋体" w:cs="Times New Roman"/>
                <w:snapToGrid w:val="0"/>
                <w:color w:val="auto"/>
                <w:kern w:val="0"/>
                <w:sz w:val="21"/>
                <w:szCs w:val="21"/>
                <w:highlight w:val="none"/>
              </w:rPr>
              <w:sym w:font="Wingdings 2" w:char="00A3"/>
            </w:r>
          </w:p>
          <w:p w14:paraId="1ED6507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水资源与开发利用程度及其水文情势评价</w:t>
            </w:r>
            <w:r>
              <w:rPr>
                <w:rFonts w:ascii="Times New Roman" w:hAnsi="Times New Roman" w:eastAsia="宋体" w:cs="Times New Roman"/>
                <w:snapToGrid w:val="0"/>
                <w:color w:val="auto"/>
                <w:kern w:val="0"/>
                <w:sz w:val="21"/>
                <w:szCs w:val="21"/>
                <w:highlight w:val="none"/>
              </w:rPr>
              <w:sym w:font="Wingdings 2" w:char="00A3"/>
            </w:r>
          </w:p>
          <w:p w14:paraId="05BE6AEF">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水环境质量回顾评价</w:t>
            </w:r>
            <w:r>
              <w:rPr>
                <w:rFonts w:ascii="Times New Roman" w:hAnsi="Times New Roman" w:eastAsia="宋体" w:cs="Times New Roman"/>
                <w:snapToGrid w:val="0"/>
                <w:color w:val="auto"/>
                <w:kern w:val="0"/>
                <w:sz w:val="21"/>
                <w:szCs w:val="21"/>
                <w:highlight w:val="none"/>
              </w:rPr>
              <w:sym w:font="Wingdings 2" w:char="00A3"/>
            </w:r>
          </w:p>
          <w:p w14:paraId="192DF90F">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流域（区域）水资源（包括水能资源）与开发利用总体状况、生态流量管理要求与现状满足程度、建设项目占用水域空间的水流状况与河湖演变状况</w:t>
            </w:r>
            <w:r>
              <w:rPr>
                <w:rFonts w:ascii="Times New Roman" w:hAnsi="Times New Roman" w:eastAsia="宋体" w:cs="Times New Roman"/>
                <w:snapToGrid w:val="0"/>
                <w:color w:val="auto"/>
                <w:kern w:val="0"/>
                <w:sz w:val="21"/>
                <w:szCs w:val="21"/>
                <w:highlight w:val="none"/>
              </w:rPr>
              <w:sym w:font="Wingdings 2" w:char="00A3"/>
            </w:r>
          </w:p>
        </w:tc>
        <w:tc>
          <w:tcPr>
            <w:tcW w:w="1511" w:type="dxa"/>
            <w:gridSpan w:val="2"/>
            <w:vAlign w:val="center"/>
          </w:tcPr>
          <w:p w14:paraId="6B6C154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达标区</w:t>
            </w:r>
            <w:r>
              <w:rPr>
                <w:rFonts w:ascii="Times New Roman" w:hAnsi="Times New Roman" w:eastAsia="宋体" w:cs="Times New Roman"/>
                <w:snapToGrid w:val="0"/>
                <w:color w:val="auto"/>
                <w:kern w:val="0"/>
                <w:sz w:val="21"/>
                <w:szCs w:val="21"/>
                <w:highlight w:val="none"/>
              </w:rPr>
              <w:sym w:font="Wingdings 2" w:char="00A3"/>
            </w:r>
          </w:p>
          <w:p w14:paraId="5B06CC4F">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不达标区</w:t>
            </w:r>
            <w:r>
              <w:rPr>
                <w:rFonts w:ascii="Times New Roman" w:hAnsi="Times New Roman" w:eastAsia="宋体" w:cs="Times New Roman"/>
                <w:snapToGrid w:val="0"/>
                <w:color w:val="auto"/>
                <w:kern w:val="0"/>
                <w:sz w:val="21"/>
                <w:szCs w:val="21"/>
                <w:highlight w:val="none"/>
              </w:rPr>
              <w:sym w:font="Wingdings 2" w:char="00A3"/>
            </w:r>
          </w:p>
        </w:tc>
      </w:tr>
      <w:tr w14:paraId="12C6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restart"/>
            <w:vAlign w:val="center"/>
          </w:tcPr>
          <w:p w14:paraId="0041CC8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影响预测</w:t>
            </w:r>
          </w:p>
        </w:tc>
        <w:tc>
          <w:tcPr>
            <w:tcW w:w="1320" w:type="dxa"/>
            <w:vAlign w:val="center"/>
          </w:tcPr>
          <w:p w14:paraId="568759E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预测范围</w:t>
            </w:r>
          </w:p>
        </w:tc>
        <w:tc>
          <w:tcPr>
            <w:tcW w:w="6734" w:type="dxa"/>
            <w:gridSpan w:val="11"/>
            <w:vAlign w:val="center"/>
          </w:tcPr>
          <w:p w14:paraId="5F3EAE8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vertAlign w:val="superscript"/>
              </w:rPr>
            </w:pPr>
            <w:r>
              <w:rPr>
                <w:rFonts w:hint="eastAsia" w:ascii="Times New Roman" w:hAnsi="Times New Roman" w:eastAsia="宋体" w:cs="Times New Roman"/>
                <w:snapToGrid w:val="0"/>
                <w:color w:val="auto"/>
                <w:kern w:val="0"/>
                <w:sz w:val="21"/>
                <w:szCs w:val="21"/>
                <w:highlight w:val="none"/>
              </w:rPr>
              <w:t>河流：长度（</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km</w:t>
            </w:r>
            <w:r>
              <w:rPr>
                <w:rFonts w:hint="eastAsia" w:ascii="Times New Roman" w:hAnsi="Times New Roman" w:eastAsia="宋体" w:cs="Times New Roman"/>
                <w:snapToGrid w:val="0"/>
                <w:color w:val="auto"/>
                <w:kern w:val="0"/>
                <w:sz w:val="21"/>
                <w:szCs w:val="21"/>
                <w:highlight w:val="none"/>
              </w:rPr>
              <w:t>；湖库、河口及近岸海域：面积（</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km</w:t>
            </w:r>
            <w:r>
              <w:rPr>
                <w:rFonts w:ascii="Times New Roman" w:hAnsi="Times New Roman" w:eastAsia="宋体" w:cs="Times New Roman"/>
                <w:snapToGrid w:val="0"/>
                <w:color w:val="auto"/>
                <w:kern w:val="0"/>
                <w:sz w:val="21"/>
                <w:szCs w:val="21"/>
                <w:highlight w:val="none"/>
                <w:vertAlign w:val="superscript"/>
              </w:rPr>
              <w:t>2</w:t>
            </w:r>
          </w:p>
        </w:tc>
      </w:tr>
      <w:tr w14:paraId="4105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01450A3E">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6B9CACE1">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预测因子</w:t>
            </w:r>
          </w:p>
        </w:tc>
        <w:tc>
          <w:tcPr>
            <w:tcW w:w="6734" w:type="dxa"/>
            <w:gridSpan w:val="11"/>
            <w:vAlign w:val="center"/>
          </w:tcPr>
          <w:p w14:paraId="0BBE02E3">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r>
      <w:tr w14:paraId="5AEA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69D4D697">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26F95F9B">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预测时期</w:t>
            </w:r>
          </w:p>
        </w:tc>
        <w:tc>
          <w:tcPr>
            <w:tcW w:w="6734" w:type="dxa"/>
            <w:gridSpan w:val="11"/>
            <w:vAlign w:val="center"/>
          </w:tcPr>
          <w:p w14:paraId="15333EE5">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丰水期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；平水期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；枯水期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；冰封期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；春季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；夏季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；秋季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；冬季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；设计水文条件</w:t>
            </w:r>
            <w:r>
              <w:rPr>
                <w:rFonts w:ascii="Times New Roman" w:hAnsi="Times New Roman" w:eastAsia="宋体" w:cs="Times New Roman"/>
                <w:snapToGrid w:val="0"/>
                <w:color w:val="auto"/>
                <w:kern w:val="0"/>
                <w:sz w:val="21"/>
                <w:szCs w:val="21"/>
                <w:highlight w:val="none"/>
              </w:rPr>
              <w:sym w:font="Wingdings 2" w:char="00A3"/>
            </w:r>
          </w:p>
        </w:tc>
      </w:tr>
      <w:tr w14:paraId="43F6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7AC9D3E">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5D348D11">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预测情景</w:t>
            </w:r>
          </w:p>
        </w:tc>
        <w:tc>
          <w:tcPr>
            <w:tcW w:w="6734" w:type="dxa"/>
            <w:gridSpan w:val="11"/>
            <w:vAlign w:val="center"/>
          </w:tcPr>
          <w:p w14:paraId="5625B5CD">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建设期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；生产运行期</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；服务期满后</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w:t>
            </w:r>
          </w:p>
          <w:p w14:paraId="44FE2351">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正常工况</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；非正常工况</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w:t>
            </w:r>
          </w:p>
          <w:p w14:paraId="0631C1ED">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污染控制和减缓措施方案</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w:t>
            </w:r>
          </w:p>
          <w:p w14:paraId="02FF86BE">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区（流）域环境质量改善目标要求情景</w:t>
            </w:r>
            <w:r>
              <w:rPr>
                <w:rFonts w:ascii="Times New Roman" w:hAnsi="Times New Roman" w:eastAsia="宋体" w:cs="Times New Roman"/>
                <w:snapToGrid w:val="0"/>
                <w:color w:val="auto"/>
                <w:kern w:val="0"/>
                <w:sz w:val="21"/>
                <w:szCs w:val="21"/>
                <w:highlight w:val="none"/>
              </w:rPr>
              <w:sym w:font="Wingdings 2" w:char="00A3"/>
            </w:r>
          </w:p>
        </w:tc>
      </w:tr>
      <w:tr w14:paraId="49C2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940E15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0A4E2EDB">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预测方法</w:t>
            </w:r>
          </w:p>
        </w:tc>
        <w:tc>
          <w:tcPr>
            <w:tcW w:w="6734" w:type="dxa"/>
            <w:gridSpan w:val="11"/>
            <w:vAlign w:val="center"/>
          </w:tcPr>
          <w:p w14:paraId="3D70164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数值解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；解析解</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；导则推荐模式</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r>
      <w:tr w14:paraId="763D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restart"/>
            <w:vAlign w:val="center"/>
          </w:tcPr>
          <w:p w14:paraId="6E8BE6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影响评价</w:t>
            </w:r>
          </w:p>
        </w:tc>
        <w:tc>
          <w:tcPr>
            <w:tcW w:w="1320" w:type="dxa"/>
            <w:vAlign w:val="center"/>
          </w:tcPr>
          <w:p w14:paraId="43C72301">
            <w:pPr>
              <w:keepNext w:val="0"/>
              <w:keepLines w:val="0"/>
              <w:pageBreakBefore w:val="0"/>
              <w:widowControl w:val="0"/>
              <w:kinsoku/>
              <w:wordWrap/>
              <w:overflowPunct/>
              <w:topLinePunct w:val="0"/>
              <w:autoSpaceDE/>
              <w:autoSpaceDN/>
              <w:bidi w:val="0"/>
              <w:adjustRightInd w:val="0"/>
              <w:snapToGrid w:val="0"/>
              <w:ind w:left="-53" w:leftChars="-25" w:right="-53" w:rightChars="-25"/>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spacing w:val="-6"/>
                <w:kern w:val="0"/>
                <w:sz w:val="21"/>
                <w:szCs w:val="21"/>
                <w:highlight w:val="none"/>
                <w:lang w:val="en-US" w:eastAsia="zh-CN" w:bidi="ar-SA"/>
              </w:rPr>
              <w:t>水污染物控制和水环境影响减缓措施有效性评价</w:t>
            </w:r>
          </w:p>
        </w:tc>
        <w:tc>
          <w:tcPr>
            <w:tcW w:w="6734" w:type="dxa"/>
            <w:gridSpan w:val="11"/>
            <w:vAlign w:val="center"/>
          </w:tcPr>
          <w:p w14:paraId="2D0CD5E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区（流）域水环境质量改善目标</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；替代</w:t>
            </w:r>
            <w:r>
              <w:rPr>
                <w:rFonts w:hint="eastAsia" w:ascii="Times New Roman" w:hAnsi="Times New Roman" w:eastAsia="宋体" w:cs="Times New Roman"/>
                <w:snapToGrid w:val="0"/>
                <w:color w:val="auto"/>
                <w:kern w:val="0"/>
                <w:sz w:val="21"/>
                <w:szCs w:val="21"/>
                <w:highlight w:val="none"/>
                <w:lang w:val="en-US" w:eastAsia="zh-CN"/>
              </w:rPr>
              <w:t>削减</w:t>
            </w:r>
            <w:r>
              <w:rPr>
                <w:rFonts w:hint="eastAsia" w:ascii="Times New Roman" w:hAnsi="Times New Roman" w:eastAsia="宋体" w:cs="Times New Roman"/>
                <w:snapToGrid w:val="0"/>
                <w:color w:val="auto"/>
                <w:kern w:val="0"/>
                <w:sz w:val="21"/>
                <w:szCs w:val="21"/>
                <w:highlight w:val="none"/>
              </w:rPr>
              <w:t>源</w:t>
            </w:r>
            <w:r>
              <w:rPr>
                <w:rFonts w:ascii="Times New Roman" w:hAnsi="Times New Roman" w:eastAsia="宋体" w:cs="Times New Roman"/>
                <w:snapToGrid w:val="0"/>
                <w:color w:val="auto"/>
                <w:kern w:val="0"/>
                <w:sz w:val="21"/>
                <w:szCs w:val="21"/>
                <w:highlight w:val="none"/>
              </w:rPr>
              <w:sym w:font="Wingdings 2" w:char="00A3"/>
            </w:r>
          </w:p>
        </w:tc>
      </w:tr>
      <w:tr w14:paraId="02D3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70926725">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6040ACE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污染源排放量核算</w:t>
            </w:r>
          </w:p>
        </w:tc>
        <w:tc>
          <w:tcPr>
            <w:tcW w:w="1357" w:type="dxa"/>
            <w:vAlign w:val="center"/>
          </w:tcPr>
          <w:p w14:paraId="4367D37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污染物名称</w:t>
            </w:r>
          </w:p>
        </w:tc>
        <w:tc>
          <w:tcPr>
            <w:tcW w:w="2500" w:type="dxa"/>
            <w:gridSpan w:val="5"/>
            <w:vAlign w:val="center"/>
          </w:tcPr>
          <w:p w14:paraId="248CC1C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排放量</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t/a</w:t>
            </w:r>
            <w:r>
              <w:rPr>
                <w:rFonts w:hint="eastAsia" w:ascii="Times New Roman" w:hAnsi="Times New Roman" w:eastAsia="宋体" w:cs="Times New Roman"/>
                <w:snapToGrid w:val="0"/>
                <w:color w:val="auto"/>
                <w:kern w:val="0"/>
                <w:sz w:val="21"/>
                <w:szCs w:val="21"/>
                <w:highlight w:val="none"/>
              </w:rPr>
              <w:t>）</w:t>
            </w:r>
          </w:p>
        </w:tc>
        <w:tc>
          <w:tcPr>
            <w:tcW w:w="2877" w:type="dxa"/>
            <w:gridSpan w:val="5"/>
            <w:vAlign w:val="center"/>
          </w:tcPr>
          <w:p w14:paraId="52E1DB8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排放浓度</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mg/L</w:t>
            </w:r>
            <w:r>
              <w:rPr>
                <w:rFonts w:hint="eastAsia" w:ascii="Times New Roman" w:hAnsi="Times New Roman" w:eastAsia="宋体" w:cs="Times New Roman"/>
                <w:snapToGrid w:val="0"/>
                <w:color w:val="auto"/>
                <w:kern w:val="0"/>
                <w:sz w:val="21"/>
                <w:szCs w:val="21"/>
                <w:highlight w:val="none"/>
              </w:rPr>
              <w:t>）</w:t>
            </w:r>
          </w:p>
        </w:tc>
      </w:tr>
      <w:tr w14:paraId="567B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4FEF937">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30EA81EE">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57" w:type="dxa"/>
            <w:vAlign w:val="center"/>
          </w:tcPr>
          <w:p w14:paraId="01FC23A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c>
          <w:tcPr>
            <w:tcW w:w="2500" w:type="dxa"/>
            <w:gridSpan w:val="5"/>
            <w:vAlign w:val="center"/>
          </w:tcPr>
          <w:p w14:paraId="0E24431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c>
          <w:tcPr>
            <w:tcW w:w="2877" w:type="dxa"/>
            <w:gridSpan w:val="5"/>
            <w:vAlign w:val="center"/>
          </w:tcPr>
          <w:p w14:paraId="0B4AAA73">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r>
      <w:tr w14:paraId="7CCA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69229EB0">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747807E9">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替代源排放情况</w:t>
            </w:r>
          </w:p>
        </w:tc>
        <w:tc>
          <w:tcPr>
            <w:tcW w:w="1357" w:type="dxa"/>
            <w:vAlign w:val="center"/>
          </w:tcPr>
          <w:p w14:paraId="6CF84870">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污染源名称</w:t>
            </w:r>
          </w:p>
        </w:tc>
        <w:tc>
          <w:tcPr>
            <w:tcW w:w="1086" w:type="dxa"/>
            <w:gridSpan w:val="2"/>
            <w:vAlign w:val="center"/>
          </w:tcPr>
          <w:p w14:paraId="09902B2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排污许可证号</w:t>
            </w:r>
          </w:p>
        </w:tc>
        <w:tc>
          <w:tcPr>
            <w:tcW w:w="1283" w:type="dxa"/>
            <w:gridSpan w:val="2"/>
            <w:vAlign w:val="center"/>
          </w:tcPr>
          <w:p w14:paraId="12DF2DD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污染物名称</w:t>
            </w:r>
          </w:p>
        </w:tc>
        <w:tc>
          <w:tcPr>
            <w:tcW w:w="1208" w:type="dxa"/>
            <w:gridSpan w:val="3"/>
            <w:vAlign w:val="center"/>
          </w:tcPr>
          <w:p w14:paraId="1BA949DE">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排放量</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t/a</w:t>
            </w:r>
            <w:r>
              <w:rPr>
                <w:rFonts w:hint="eastAsia" w:ascii="Times New Roman" w:hAnsi="Times New Roman" w:eastAsia="宋体" w:cs="Times New Roman"/>
                <w:snapToGrid w:val="0"/>
                <w:color w:val="auto"/>
                <w:kern w:val="0"/>
                <w:sz w:val="21"/>
                <w:szCs w:val="21"/>
                <w:highlight w:val="none"/>
              </w:rPr>
              <w:t>）</w:t>
            </w:r>
          </w:p>
        </w:tc>
        <w:tc>
          <w:tcPr>
            <w:tcW w:w="1800" w:type="dxa"/>
            <w:gridSpan w:val="3"/>
            <w:vAlign w:val="center"/>
          </w:tcPr>
          <w:p w14:paraId="3ACBC65A">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排放浓度</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mg/L</w:t>
            </w:r>
            <w:r>
              <w:rPr>
                <w:rFonts w:hint="eastAsia" w:ascii="Times New Roman" w:hAnsi="Times New Roman" w:eastAsia="宋体" w:cs="Times New Roman"/>
                <w:snapToGrid w:val="0"/>
                <w:color w:val="auto"/>
                <w:kern w:val="0"/>
                <w:sz w:val="21"/>
                <w:szCs w:val="21"/>
                <w:highlight w:val="none"/>
              </w:rPr>
              <w:t>）</w:t>
            </w:r>
          </w:p>
        </w:tc>
      </w:tr>
      <w:tr w14:paraId="46A4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56AEAB0E">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2F74AEC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57" w:type="dxa"/>
            <w:vAlign w:val="center"/>
          </w:tcPr>
          <w:p w14:paraId="2868B57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1086" w:type="dxa"/>
            <w:gridSpan w:val="2"/>
            <w:vAlign w:val="center"/>
          </w:tcPr>
          <w:p w14:paraId="1312907C">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1283" w:type="dxa"/>
            <w:gridSpan w:val="2"/>
            <w:vAlign w:val="center"/>
          </w:tcPr>
          <w:p w14:paraId="4B801676">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1208" w:type="dxa"/>
            <w:gridSpan w:val="3"/>
            <w:vAlign w:val="center"/>
          </w:tcPr>
          <w:p w14:paraId="3E07343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1800" w:type="dxa"/>
            <w:gridSpan w:val="3"/>
            <w:vAlign w:val="center"/>
          </w:tcPr>
          <w:p w14:paraId="21EE857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r>
      <w:tr w14:paraId="1C66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78DC56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1265A9DF">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生态流量</w:t>
            </w:r>
          </w:p>
          <w:p w14:paraId="0FD2AFF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确定</w:t>
            </w:r>
          </w:p>
        </w:tc>
        <w:tc>
          <w:tcPr>
            <w:tcW w:w="6734" w:type="dxa"/>
            <w:gridSpan w:val="11"/>
            <w:vAlign w:val="center"/>
          </w:tcPr>
          <w:p w14:paraId="2899B01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生态流量：一般水期（</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m³/s</w:t>
            </w:r>
            <w:r>
              <w:rPr>
                <w:rFonts w:hint="eastAsia" w:ascii="Times New Roman" w:hAnsi="Times New Roman" w:eastAsia="宋体" w:cs="Times New Roman"/>
                <w:snapToGrid w:val="0"/>
                <w:color w:val="auto"/>
                <w:kern w:val="0"/>
                <w:sz w:val="21"/>
                <w:szCs w:val="21"/>
                <w:highlight w:val="none"/>
              </w:rPr>
              <w:t>；鱼类繁殖期（</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m³/s</w:t>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m³/s</w:t>
            </w:r>
          </w:p>
          <w:p w14:paraId="6C137A6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生态水位：一般水期（</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w:t>
            </w:r>
            <w:r>
              <w:rPr>
                <w:rFonts w:hint="eastAsia" w:ascii="Times New Roman" w:hAnsi="Times New Roman" w:eastAsia="宋体" w:cs="Times New Roman"/>
                <w:snapToGrid w:val="0"/>
                <w:color w:val="auto"/>
                <w:kern w:val="0"/>
                <w:sz w:val="21"/>
                <w:szCs w:val="21"/>
                <w:highlight w:val="none"/>
              </w:rPr>
              <w:t>；鱼类繁殖期（</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w:t>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m</w:t>
            </w:r>
          </w:p>
        </w:tc>
      </w:tr>
      <w:tr w14:paraId="1682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restart"/>
            <w:vAlign w:val="center"/>
          </w:tcPr>
          <w:p w14:paraId="10026EE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防治措施</w:t>
            </w:r>
          </w:p>
        </w:tc>
        <w:tc>
          <w:tcPr>
            <w:tcW w:w="1320" w:type="dxa"/>
            <w:vAlign w:val="center"/>
          </w:tcPr>
          <w:p w14:paraId="7F4465BE">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环保措施</w:t>
            </w:r>
          </w:p>
        </w:tc>
        <w:tc>
          <w:tcPr>
            <w:tcW w:w="6734" w:type="dxa"/>
            <w:gridSpan w:val="11"/>
            <w:vAlign w:val="center"/>
          </w:tcPr>
          <w:p w14:paraId="54D0FDEB">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污水处理设施</w:t>
            </w:r>
            <w:r>
              <w:rPr>
                <w:rFonts w:ascii="Times New Roman" w:hAnsi="Times New Roman" w:eastAsia="宋体" w:cs="Times New Roman"/>
                <w:snapToGrid w:val="0"/>
                <w:color w:val="auto"/>
                <w:kern w:val="0"/>
                <w:sz w:val="21"/>
                <w:szCs w:val="21"/>
                <w:highlight w:val="none"/>
              </w:rPr>
              <w:sym w:font="Wingdings 2" w:char="0052"/>
            </w:r>
            <w:r>
              <w:rPr>
                <w:rFonts w:hint="eastAsia" w:ascii="Times New Roman" w:hAnsi="Times New Roman" w:eastAsia="宋体" w:cs="Times New Roman"/>
                <w:snapToGrid w:val="0"/>
                <w:color w:val="auto"/>
                <w:kern w:val="0"/>
                <w:sz w:val="21"/>
                <w:szCs w:val="21"/>
                <w:highlight w:val="none"/>
              </w:rPr>
              <w:t>；水文减缓设施</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；生态流量保障设施</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；区域削减</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；依托其他工程措施</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p>
        </w:tc>
      </w:tr>
      <w:tr w14:paraId="53D5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420A61A9">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restart"/>
            <w:vAlign w:val="center"/>
          </w:tcPr>
          <w:p w14:paraId="5CD9F9B2">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监测计划</w:t>
            </w:r>
          </w:p>
        </w:tc>
        <w:tc>
          <w:tcPr>
            <w:tcW w:w="1357" w:type="dxa"/>
            <w:vAlign w:val="center"/>
          </w:tcPr>
          <w:p w14:paraId="3CE3609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w:t>
            </w:r>
          </w:p>
        </w:tc>
        <w:tc>
          <w:tcPr>
            <w:tcW w:w="2631" w:type="dxa"/>
            <w:gridSpan w:val="6"/>
            <w:vAlign w:val="center"/>
          </w:tcPr>
          <w:p w14:paraId="2999442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环境质量</w:t>
            </w:r>
          </w:p>
        </w:tc>
        <w:tc>
          <w:tcPr>
            <w:tcW w:w="2746" w:type="dxa"/>
            <w:gridSpan w:val="4"/>
            <w:vAlign w:val="center"/>
          </w:tcPr>
          <w:p w14:paraId="4639928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污染源</w:t>
            </w:r>
          </w:p>
        </w:tc>
      </w:tr>
      <w:tr w14:paraId="4C1F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4E30A403">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30188B0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57" w:type="dxa"/>
            <w:vAlign w:val="center"/>
          </w:tcPr>
          <w:p w14:paraId="4C541603">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监测方式</w:t>
            </w:r>
          </w:p>
        </w:tc>
        <w:tc>
          <w:tcPr>
            <w:tcW w:w="2631" w:type="dxa"/>
            <w:gridSpan w:val="6"/>
            <w:vAlign w:val="center"/>
          </w:tcPr>
          <w:p w14:paraId="3EA7ACC2">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手动</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；自动</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；无监测</w:t>
            </w:r>
            <w:r>
              <w:rPr>
                <w:rFonts w:ascii="Times New Roman" w:hAnsi="Times New Roman" w:eastAsia="宋体" w:cs="Times New Roman"/>
                <w:snapToGrid w:val="0"/>
                <w:color w:val="auto"/>
                <w:kern w:val="0"/>
                <w:sz w:val="21"/>
                <w:szCs w:val="21"/>
                <w:highlight w:val="none"/>
              </w:rPr>
              <w:sym w:font="Wingdings 2" w:char="00A3"/>
            </w:r>
          </w:p>
        </w:tc>
        <w:tc>
          <w:tcPr>
            <w:tcW w:w="2746" w:type="dxa"/>
            <w:gridSpan w:val="4"/>
            <w:vAlign w:val="center"/>
          </w:tcPr>
          <w:p w14:paraId="59D2DC4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手动</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；自动</w:t>
            </w:r>
            <w:r>
              <w:rPr>
                <w:rFonts w:ascii="Times New Roman" w:hAnsi="Times New Roman" w:eastAsia="宋体" w:cs="Times New Roman"/>
                <w:snapToGrid w:val="0"/>
                <w:color w:val="auto"/>
                <w:kern w:val="0"/>
                <w:sz w:val="21"/>
                <w:szCs w:val="21"/>
                <w:highlight w:val="none"/>
              </w:rPr>
              <w:sym w:font="Wingdings 2" w:char="00A3"/>
            </w:r>
            <w:r>
              <w:rPr>
                <w:rFonts w:hint="eastAsia" w:ascii="Times New Roman" w:hAnsi="Times New Roman" w:eastAsia="宋体" w:cs="Times New Roman"/>
                <w:snapToGrid w:val="0"/>
                <w:color w:val="auto"/>
                <w:kern w:val="0"/>
                <w:sz w:val="21"/>
                <w:szCs w:val="21"/>
                <w:highlight w:val="none"/>
              </w:rPr>
              <w:t>；无监测</w:t>
            </w:r>
            <w:r>
              <w:rPr>
                <w:rFonts w:ascii="Times New Roman" w:hAnsi="Times New Roman" w:eastAsia="宋体" w:cs="Times New Roman"/>
                <w:snapToGrid w:val="0"/>
                <w:color w:val="auto"/>
                <w:kern w:val="0"/>
                <w:sz w:val="21"/>
                <w:szCs w:val="21"/>
                <w:highlight w:val="none"/>
              </w:rPr>
              <w:sym w:font="Wingdings 2" w:char="00A3"/>
            </w:r>
          </w:p>
        </w:tc>
      </w:tr>
      <w:tr w14:paraId="20F4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4ED9DB4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27AFFD02">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57" w:type="dxa"/>
            <w:vAlign w:val="center"/>
          </w:tcPr>
          <w:p w14:paraId="0ABE016A">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监测点位</w:t>
            </w:r>
          </w:p>
        </w:tc>
        <w:tc>
          <w:tcPr>
            <w:tcW w:w="2631" w:type="dxa"/>
            <w:gridSpan w:val="6"/>
            <w:vAlign w:val="center"/>
          </w:tcPr>
          <w:p w14:paraId="1BA34168">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c>
          <w:tcPr>
            <w:tcW w:w="2746" w:type="dxa"/>
            <w:gridSpan w:val="4"/>
            <w:vAlign w:val="center"/>
          </w:tcPr>
          <w:p w14:paraId="77AE4A4C">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r>
      <w:tr w14:paraId="509A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3182A973">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Merge w:val="continue"/>
            <w:vAlign w:val="center"/>
          </w:tcPr>
          <w:p w14:paraId="34F47025">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57" w:type="dxa"/>
            <w:vAlign w:val="center"/>
          </w:tcPr>
          <w:p w14:paraId="0FF268F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监测因子</w:t>
            </w:r>
          </w:p>
        </w:tc>
        <w:tc>
          <w:tcPr>
            <w:tcW w:w="2631" w:type="dxa"/>
            <w:gridSpan w:val="6"/>
            <w:vAlign w:val="center"/>
          </w:tcPr>
          <w:p w14:paraId="39857387">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c>
          <w:tcPr>
            <w:tcW w:w="2746" w:type="dxa"/>
            <w:gridSpan w:val="4"/>
            <w:vAlign w:val="center"/>
          </w:tcPr>
          <w:p w14:paraId="272EE41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p>
        </w:tc>
      </w:tr>
      <w:tr w14:paraId="3D6D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2" w:type="dxa"/>
            <w:vMerge w:val="continue"/>
            <w:vAlign w:val="center"/>
          </w:tcPr>
          <w:p w14:paraId="77BD3051">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p>
        </w:tc>
        <w:tc>
          <w:tcPr>
            <w:tcW w:w="1320" w:type="dxa"/>
            <w:vAlign w:val="center"/>
          </w:tcPr>
          <w:p w14:paraId="3D12AADF">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污染物排放清单</w:t>
            </w:r>
          </w:p>
        </w:tc>
        <w:tc>
          <w:tcPr>
            <w:tcW w:w="6734" w:type="dxa"/>
            <w:gridSpan w:val="11"/>
            <w:vAlign w:val="center"/>
          </w:tcPr>
          <w:p w14:paraId="0F6CD609">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sym w:font="Wingdings 2" w:char="00A3"/>
            </w:r>
          </w:p>
        </w:tc>
      </w:tr>
      <w:tr w14:paraId="6EA9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vAlign w:val="center"/>
          </w:tcPr>
          <w:p w14:paraId="333E3E81">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评价结论</w:t>
            </w:r>
          </w:p>
        </w:tc>
        <w:tc>
          <w:tcPr>
            <w:tcW w:w="6734" w:type="dxa"/>
            <w:gridSpan w:val="11"/>
            <w:vAlign w:val="center"/>
          </w:tcPr>
          <w:p w14:paraId="6B7E5A9F">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可以接受</w:t>
            </w:r>
            <w:r>
              <w:rPr>
                <w:rFonts w:ascii="Times New Roman" w:hAnsi="Times New Roman" w:eastAsia="宋体" w:cs="Times New Roman"/>
                <w:snapToGrid w:val="0"/>
                <w:color w:val="auto"/>
                <w:kern w:val="0"/>
                <w:sz w:val="21"/>
                <w:szCs w:val="21"/>
                <w:highlight w:val="none"/>
              </w:rPr>
              <w:sym w:font="Wingdings 2" w:char="0052"/>
            </w:r>
            <w:r>
              <w:rPr>
                <w:rFonts w:hint="eastAsia" w:ascii="Times New Roman" w:hAnsi="Times New Roman" w:eastAsia="宋体" w:cs="Times New Roman"/>
                <w:snapToGrid w:val="0"/>
                <w:color w:val="auto"/>
                <w:kern w:val="0"/>
                <w:sz w:val="21"/>
                <w:szCs w:val="21"/>
                <w:highlight w:val="none"/>
              </w:rPr>
              <w:t>；不可以接受</w:t>
            </w:r>
            <w:r>
              <w:rPr>
                <w:rFonts w:ascii="Times New Roman" w:hAnsi="Times New Roman" w:eastAsia="宋体" w:cs="Times New Roman"/>
                <w:snapToGrid w:val="0"/>
                <w:color w:val="auto"/>
                <w:kern w:val="0"/>
                <w:sz w:val="21"/>
                <w:szCs w:val="21"/>
                <w:highlight w:val="none"/>
              </w:rPr>
              <w:sym w:font="Wingdings 2" w:char="00A3"/>
            </w:r>
          </w:p>
        </w:tc>
      </w:tr>
      <w:tr w14:paraId="26BD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36" w:type="dxa"/>
            <w:gridSpan w:val="13"/>
            <w:vAlign w:val="center"/>
          </w:tcPr>
          <w:p w14:paraId="1FFE1FF4">
            <w:pPr>
              <w:pStyle w:val="684"/>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注：</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为勾选项，填</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rPr>
              <w:t>为内容填写项</w:t>
            </w:r>
          </w:p>
        </w:tc>
      </w:tr>
    </w:tbl>
    <w:p w14:paraId="57F78417">
      <w:pPr>
        <w:pStyle w:val="504"/>
        <w:adjustRightInd w:val="0"/>
        <w:snapToGrid w:val="0"/>
        <w:spacing w:line="240" w:lineRule="auto"/>
        <w:ind w:firstLine="0" w:firstLineChars="0"/>
        <w:jc w:val="center"/>
        <w:rPr>
          <w:rFonts w:hint="eastAsia" w:ascii="Times New Roman" w:hAnsi="Times New Roman" w:eastAsia="宋体" w:cs="Times New Roman"/>
          <w:b/>
          <w:bCs/>
          <w:snapToGrid w:val="0"/>
          <w:color w:val="auto"/>
          <w:kern w:val="0"/>
          <w:sz w:val="21"/>
          <w:szCs w:val="21"/>
          <w:highlight w:val="none"/>
        </w:rPr>
      </w:pPr>
    </w:p>
    <w:p w14:paraId="28D99113">
      <w:pPr>
        <w:pStyle w:val="504"/>
        <w:adjustRightInd w:val="0"/>
        <w:snapToGrid w:val="0"/>
        <w:spacing w:line="240" w:lineRule="auto"/>
        <w:ind w:firstLine="0" w:firstLineChars="0"/>
        <w:jc w:val="center"/>
        <w:rPr>
          <w:rFonts w:hint="eastAsia" w:ascii="Times New Roman" w:hAnsi="Times New Roman" w:eastAsia="宋体" w:cs="Times New Roman"/>
          <w:b/>
          <w:bCs/>
          <w:snapToGrid w:val="0"/>
          <w:color w:val="auto"/>
          <w:kern w:val="0"/>
          <w:sz w:val="21"/>
          <w:szCs w:val="21"/>
          <w:highlight w:val="none"/>
        </w:rPr>
      </w:pPr>
    </w:p>
    <w:p w14:paraId="4FDB18FC">
      <w:pPr>
        <w:rPr>
          <w:color w:val="auto"/>
          <w:sz w:val="24"/>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3474A89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6.2.2.2运营期地下水环境影响预测与评价</w:t>
      </w:r>
    </w:p>
    <w:p w14:paraId="69939B2E">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lang w:val="en-US" w:eastAsia="zh-CN"/>
        </w:rPr>
        <w:t>评价区水文地质特征引用《乌苏市西区污水厂建设工程地下水环境影响评价专项水文地质勘察报告》相关调查成果。乌苏市西区污水处理厂位于本项目厂区西北侧2.6km处，均位于四棵树河西侧，属于同一水文地质单元，因此本项目引用其水文地质调查成果是可行的。</w:t>
      </w:r>
    </w:p>
    <w:p w14:paraId="27CE2DD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（1）地下水类型及富水性</w:t>
      </w:r>
    </w:p>
    <w:p w14:paraId="6E761AC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勘察区位于山前洪积砾质平原前缘地带，地下水类型为第四系松散岩类孔隙水。按照含水层结构和埋藏条件的差异，可进一步划分为单层结构潜水和多层结构潜水-承压水，水文地质条件详见图6.2-</w:t>
      </w:r>
      <w:r>
        <w:rPr>
          <w:rFonts w:hint="eastAsia"/>
          <w:snapToGrid w:val="0"/>
          <w:color w:val="auto"/>
          <w:kern w:val="0"/>
          <w:sz w:val="24"/>
          <w:highlight w:val="none"/>
          <w:lang w:val="en-US" w:eastAsia="zh-CN"/>
        </w:rPr>
        <w:t>8</w:t>
      </w:r>
      <w:r>
        <w:rPr>
          <w:rFonts w:hint="eastAsia"/>
          <w:snapToGrid w:val="0"/>
          <w:color w:val="auto"/>
          <w:kern w:val="0"/>
          <w:sz w:val="24"/>
          <w:highlight w:val="none"/>
        </w:rPr>
        <w:t>。</w:t>
      </w:r>
    </w:p>
    <w:p w14:paraId="0BEA736A">
      <w:pPr>
        <w:jc w:val="center"/>
        <w:rPr>
          <w:color w:val="auto"/>
          <w:highlight w:val="none"/>
        </w:rPr>
      </w:pPr>
      <w:r>
        <w:rPr>
          <w:color w:val="auto"/>
          <w:highlight w:val="none"/>
        </w:rPr>
        <mc:AlternateContent>
          <mc:Choice Requires="wps">
            <w:drawing>
              <wp:anchor distT="0" distB="0" distL="114300" distR="114300" simplePos="0" relativeHeight="251679744" behindDoc="0" locked="0" layoutInCell="1" allowOverlap="1">
                <wp:simplePos x="0" y="0"/>
                <wp:positionH relativeFrom="column">
                  <wp:posOffset>2867660</wp:posOffset>
                </wp:positionH>
                <wp:positionV relativeFrom="paragraph">
                  <wp:posOffset>2476500</wp:posOffset>
                </wp:positionV>
                <wp:extent cx="811530" cy="306705"/>
                <wp:effectExtent l="424180" t="6350" r="21590" b="582295"/>
                <wp:wrapNone/>
                <wp:docPr id="12" name="自选图形 62"/>
                <wp:cNvGraphicFramePr/>
                <a:graphic xmlns:a="http://schemas.openxmlformats.org/drawingml/2006/main">
                  <a:graphicData uri="http://schemas.microsoft.com/office/word/2010/wordprocessingShape">
                    <wps:wsp>
                      <wps:cNvSpPr/>
                      <wps:spPr>
                        <a:xfrm>
                          <a:off x="0" y="0"/>
                          <a:ext cx="811530" cy="306705"/>
                        </a:xfrm>
                        <a:prstGeom prst="wedgeRectCallout">
                          <a:avLst>
                            <a:gd name="adj1" fmla="val -97361"/>
                            <a:gd name="adj2" fmla="val 225569"/>
                          </a:avLst>
                        </a:prstGeom>
                        <a:solidFill>
                          <a:srgbClr val="00B050"/>
                        </a:solidFill>
                        <a:ln w="12700" cap="flat" cmpd="sng">
                          <a:solidFill>
                            <a:srgbClr val="41719C"/>
                          </a:solidFill>
                          <a:prstDash val="solid"/>
                          <a:miter/>
                          <a:headEnd type="none" w="med" len="med"/>
                          <a:tailEnd type="none" w="med" len="med"/>
                        </a:ln>
                      </wps:spPr>
                      <wps:txbx>
                        <w:txbxContent>
                          <w:p w14:paraId="44D1E999">
                            <w:r>
                              <w:rPr>
                                <w:rFonts w:hint="eastAsia"/>
                              </w:rPr>
                              <w:t>项目厂址</w:t>
                            </w:r>
                          </w:p>
                        </w:txbxContent>
                      </wps:txbx>
                      <wps:bodyPr anchor="ctr" anchorCtr="0" upright="1"/>
                    </wps:wsp>
                  </a:graphicData>
                </a:graphic>
              </wp:anchor>
            </w:drawing>
          </mc:Choice>
          <mc:Fallback>
            <w:pict>
              <v:shape id="自选图形 62" o:spid="_x0000_s1026" o:spt="61" type="#_x0000_t61" style="position:absolute;left:0pt;margin-left:225.8pt;margin-top:195pt;height:24.15pt;width:63.9pt;z-index:251679744;v-text-anchor:middle;mso-width-relative:page;mso-height-relative:page;" fillcolor="#00B050" filled="t" stroked="t" coordsize="21600,21600" o:gfxdata="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8LSGQdoAAAALAQAA&#10;DwAAAAAAAAABACAAAAAiAAAAZHJzL2Rvd25yZXYueG1sUEsBAhQAFAAAAAgAh07iQLWgpx9QAgAA&#10;qwQAAA4AAAAAAAAAAQAgAAAAKQEAAGRycy9lMm9Eb2MueG1sUEsFBgAAAAAGAAYAWQEAAOsFAAAA&#10;AA==&#10;" adj="-10230,59523">
                <v:fill on="t" focussize="0,0"/>
                <v:stroke weight="1pt" color="#41719C" joinstyle="miter"/>
                <v:imagedata o:title=""/>
                <o:lock v:ext="edit" aspectratio="f"/>
                <v:textbox>
                  <w:txbxContent>
                    <w:p w14:paraId="44D1E999">
                      <w:r>
                        <w:rPr>
                          <w:rFonts w:hint="eastAsia"/>
                        </w:rPr>
                        <w:t>项目厂址</w:t>
                      </w:r>
                    </w:p>
                  </w:txbxContent>
                </v:textbox>
              </v:shape>
            </w:pict>
          </mc:Fallback>
        </mc:AlternateContent>
      </w:r>
    </w:p>
    <w:p w14:paraId="12FA115F">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w:t>
      </w:r>
      <w:r>
        <w:rPr>
          <w:rFonts w:hint="eastAsia" w:eastAsia="黑体"/>
          <w:snapToGrid w:val="0"/>
          <w:color w:val="auto"/>
          <w:kern w:val="0"/>
          <w:szCs w:val="21"/>
          <w:highlight w:val="none"/>
          <w:lang w:val="en-US" w:eastAsia="zh-CN"/>
        </w:rPr>
        <w:t>8</w:t>
      </w:r>
      <w:r>
        <w:rPr>
          <w:rFonts w:hint="eastAsia" w:eastAsia="黑体"/>
          <w:snapToGrid w:val="0"/>
          <w:color w:val="auto"/>
          <w:kern w:val="0"/>
          <w:szCs w:val="21"/>
          <w:highlight w:val="none"/>
        </w:rPr>
        <w:t xml:space="preserve"> 勘察区水文地质图</w:t>
      </w:r>
    </w:p>
    <w:p w14:paraId="5BD08AA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1）单层结构潜水</w:t>
      </w:r>
    </w:p>
    <w:p w14:paraId="7FEA4E9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单层结构潜水主要分布在勘察区南部的山前洪积砾质平原，含水层岩性为第四系上更新统洪积卵砾石层，由南向北含水层岩性颗粒逐渐变细，至G312国道沿线一带，含水层岩性以砂砾石为主，局部地段有粉土夹层。根据325mm井径、5m降深统一标准下的换算单井涌水量，可将单层结构潜水的富水性划分为水量丰富区。</w:t>
      </w:r>
    </w:p>
    <w:p w14:paraId="6CAD013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水量丰富区分布在勘察区内G312国道以南的区域</w:t>
      </w:r>
      <w:r>
        <w:rPr>
          <w:rFonts w:hint="eastAsia"/>
          <w:snapToGrid w:val="0"/>
          <w:color w:val="auto"/>
          <w:kern w:val="0"/>
          <w:sz w:val="24"/>
          <w:highlight w:val="none"/>
          <w:lang w:eastAsia="zh-CN"/>
        </w:rPr>
        <w:t>，根</w:t>
      </w:r>
      <w:r>
        <w:rPr>
          <w:rFonts w:hint="eastAsia"/>
          <w:snapToGrid w:val="0"/>
          <w:color w:val="auto"/>
          <w:kern w:val="0"/>
          <w:sz w:val="24"/>
          <w:highlight w:val="none"/>
        </w:rPr>
        <w:t>据施工钻孔（KT1、KT2）及机井（SJ02、SJ06）抽水试验成果可知，换算涌水量为1451.03-3720.93m</w:t>
      </w:r>
      <w:r>
        <w:rPr>
          <w:rFonts w:hint="eastAsia"/>
          <w:snapToGrid w:val="0"/>
          <w:color w:val="auto"/>
          <w:kern w:val="0"/>
          <w:sz w:val="24"/>
          <w:highlight w:val="none"/>
          <w:vertAlign w:val="superscript"/>
        </w:rPr>
        <w:t>3</w:t>
      </w:r>
      <w:r>
        <w:rPr>
          <w:rFonts w:hint="eastAsia"/>
          <w:snapToGrid w:val="0"/>
          <w:color w:val="auto"/>
          <w:kern w:val="0"/>
          <w:sz w:val="24"/>
          <w:highlight w:val="none"/>
        </w:rPr>
        <w:t>/d，渗透系数为9.53-26.55m/d，水量丰富。其中，换算涌水量和渗透系数均呈现出由南向北逐渐减小的变化趋势，据KT1、KT2和SJ02资料显示，勘察区南部换算单井涌水量一般大于3000-4000m</w:t>
      </w:r>
      <w:r>
        <w:rPr>
          <w:rFonts w:hint="eastAsia"/>
          <w:snapToGrid w:val="0"/>
          <w:color w:val="auto"/>
          <w:kern w:val="0"/>
          <w:sz w:val="24"/>
          <w:highlight w:val="none"/>
          <w:vertAlign w:val="superscript"/>
        </w:rPr>
        <w:t>3</w:t>
      </w:r>
      <w:r>
        <w:rPr>
          <w:rFonts w:hint="eastAsia"/>
          <w:snapToGrid w:val="0"/>
          <w:color w:val="auto"/>
          <w:kern w:val="0"/>
          <w:sz w:val="24"/>
          <w:highlight w:val="none"/>
        </w:rPr>
        <w:t>/d，渗透系数为20-30m/d；而向北至G312国道沿线一带，换算单井涌水量减小至1500m</w:t>
      </w:r>
      <w:r>
        <w:rPr>
          <w:rFonts w:hint="eastAsia"/>
          <w:snapToGrid w:val="0"/>
          <w:color w:val="auto"/>
          <w:kern w:val="0"/>
          <w:sz w:val="24"/>
          <w:highlight w:val="none"/>
          <w:vertAlign w:val="superscript"/>
        </w:rPr>
        <w:t>3</w:t>
      </w:r>
      <w:r>
        <w:rPr>
          <w:rFonts w:hint="eastAsia"/>
          <w:snapToGrid w:val="0"/>
          <w:color w:val="auto"/>
          <w:kern w:val="0"/>
          <w:sz w:val="24"/>
          <w:highlight w:val="none"/>
        </w:rPr>
        <w:t>/d以下，渗透系数也减小至10m/d以下，但富水性级别未发生改变，仍为水量丰富区。</w:t>
      </w:r>
    </w:p>
    <w:p w14:paraId="3BAF213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其中，勘察区场地位于水量丰富区范围内，施工钻孔KT1和KT2对场地富水性有较好控制。据KT1和KT2钻孔资料显示，勘察区潜水换算单井涌水量为3004.38-3230.20m</w:t>
      </w:r>
      <w:r>
        <w:rPr>
          <w:rFonts w:hint="eastAsia"/>
          <w:snapToGrid w:val="0"/>
          <w:color w:val="auto"/>
          <w:kern w:val="0"/>
          <w:sz w:val="24"/>
          <w:highlight w:val="none"/>
          <w:vertAlign w:val="superscript"/>
        </w:rPr>
        <w:t>3</w:t>
      </w:r>
      <w:r>
        <w:rPr>
          <w:rFonts w:hint="eastAsia"/>
          <w:snapToGrid w:val="0"/>
          <w:color w:val="auto"/>
          <w:kern w:val="0"/>
          <w:sz w:val="24"/>
          <w:highlight w:val="none"/>
        </w:rPr>
        <w:t>/d，渗透系数为24.64-26.55m/d，水量丰富。</w:t>
      </w:r>
    </w:p>
    <w:p w14:paraId="37652FD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2）多层结构潜水-承压水</w:t>
      </w:r>
    </w:p>
    <w:p w14:paraId="741321F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多层结构潜水-承压水主要分布在勘察区内G312国道以北的区域，富水性级别为潜水水量中等-承压水水量丰富区。</w:t>
      </w:r>
    </w:p>
    <w:p w14:paraId="7FDD177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该区域上部潜水含水层由于厚度较小，一般小于20m，因此富水性比南部稍差，换算涌水量一般为100-1000m</w:t>
      </w:r>
      <w:r>
        <w:rPr>
          <w:rFonts w:hint="eastAsia"/>
          <w:snapToGrid w:val="0"/>
          <w:color w:val="auto"/>
          <w:kern w:val="0"/>
          <w:sz w:val="24"/>
          <w:highlight w:val="none"/>
          <w:vertAlign w:val="superscript"/>
        </w:rPr>
        <w:t>3</w:t>
      </w:r>
      <w:r>
        <w:rPr>
          <w:rFonts w:hint="eastAsia"/>
          <w:snapToGrid w:val="0"/>
          <w:color w:val="auto"/>
          <w:kern w:val="0"/>
          <w:sz w:val="24"/>
          <w:highlight w:val="none"/>
        </w:rPr>
        <w:t>/d，水量中等。据本次收集前人钻孔W62资料显示，上部潜水换算单井涌水量为113.52m</w:t>
      </w:r>
      <w:r>
        <w:rPr>
          <w:rFonts w:hint="eastAsia"/>
          <w:snapToGrid w:val="0"/>
          <w:color w:val="auto"/>
          <w:kern w:val="0"/>
          <w:sz w:val="24"/>
          <w:highlight w:val="none"/>
          <w:vertAlign w:val="superscript"/>
        </w:rPr>
        <w:t>3</w:t>
      </w:r>
      <w:r>
        <w:rPr>
          <w:rFonts w:hint="eastAsia"/>
          <w:snapToGrid w:val="0"/>
          <w:color w:val="auto"/>
          <w:kern w:val="0"/>
          <w:sz w:val="24"/>
          <w:highlight w:val="none"/>
        </w:rPr>
        <w:t>/d，渗透系数为1.51m/d。</w:t>
      </w:r>
    </w:p>
    <w:p w14:paraId="4C781F2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下部承压含水层岩性为砂砾石</w:t>
      </w:r>
      <w:r>
        <w:rPr>
          <w:rFonts w:hint="eastAsia"/>
          <w:snapToGrid w:val="0"/>
          <w:color w:val="auto"/>
          <w:kern w:val="0"/>
          <w:sz w:val="24"/>
          <w:highlight w:val="none"/>
          <w:lang w:eastAsia="zh-CN"/>
        </w:rPr>
        <w:t>，根</w:t>
      </w:r>
      <w:r>
        <w:rPr>
          <w:rFonts w:hint="eastAsia"/>
          <w:snapToGrid w:val="0"/>
          <w:color w:val="auto"/>
          <w:kern w:val="0"/>
          <w:sz w:val="24"/>
          <w:highlight w:val="none"/>
        </w:rPr>
        <w:t>据现场调查成果可知，勘察区内G312以北均为承压水自流区，水头一般高出地表3-12m。据收集的前人研究成果《新疆乌苏地区区域水文地质普查报告》可知，该自流区下部承压水换算单井涌水量一般为1000-5000m</w:t>
      </w:r>
      <w:r>
        <w:rPr>
          <w:rFonts w:hint="eastAsia"/>
          <w:snapToGrid w:val="0"/>
          <w:color w:val="auto"/>
          <w:kern w:val="0"/>
          <w:sz w:val="24"/>
          <w:highlight w:val="none"/>
          <w:vertAlign w:val="superscript"/>
        </w:rPr>
        <w:t>3</w:t>
      </w:r>
      <w:r>
        <w:rPr>
          <w:rFonts w:hint="eastAsia"/>
          <w:snapToGrid w:val="0"/>
          <w:color w:val="auto"/>
          <w:kern w:val="0"/>
          <w:sz w:val="24"/>
          <w:highlight w:val="none"/>
        </w:rPr>
        <w:t>/d，水量丰富。</w:t>
      </w:r>
    </w:p>
    <w:p w14:paraId="2581BF6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（2）含水层结构</w:t>
      </w:r>
    </w:p>
    <w:p w14:paraId="5B2AB42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在水文地质钻探工作的基础上，结合水文地质调查和资料收集成果，基本查明勘察区内的含水层结构分布特征。在勘察区内布置了2条水文地质剖面，其中A-A’剖面与地下水径流方向一致，B-B’剖面与地下水径流方向垂直。</w:t>
      </w:r>
    </w:p>
    <w:p w14:paraId="0A74786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A-A’水文地质剖面图可知，沿地下水流向由南向北，含水层结构差异较大。勘察区南部为单层结构的潜水含水层，岩性以卵砾石、砂砾石为主，钻孔揭露含水层厚度大于70m。向北至G312国道以北区域，含水层结构逐渐转变为多层结构，出现承压水分布区。</w:t>
      </w:r>
      <w:r>
        <w:rPr>
          <w:rFonts w:hint="eastAsia"/>
          <w:snapToGrid w:val="0"/>
          <w:color w:val="auto"/>
          <w:kern w:val="0"/>
          <w:sz w:val="24"/>
          <w:highlight w:val="none"/>
          <w:lang w:val="en-US" w:eastAsia="zh-CN"/>
        </w:rPr>
        <w:t>根</w:t>
      </w:r>
      <w:r>
        <w:rPr>
          <w:rFonts w:hint="eastAsia"/>
          <w:snapToGrid w:val="0"/>
          <w:color w:val="auto"/>
          <w:kern w:val="0"/>
          <w:sz w:val="24"/>
          <w:highlight w:val="none"/>
        </w:rPr>
        <w:t>据收集区域资料及调查机井资料，承压水隔水顶板埋深一般为20-30m，岩性为粉质粘土，隔水底板埋深一般在100-120m左右，承压含水层厚度较大，水量丰富，详见图6.2-</w:t>
      </w:r>
      <w:r>
        <w:rPr>
          <w:rFonts w:hint="eastAsia"/>
          <w:snapToGrid w:val="0"/>
          <w:color w:val="auto"/>
          <w:kern w:val="0"/>
          <w:sz w:val="24"/>
          <w:highlight w:val="none"/>
          <w:lang w:val="en-US" w:eastAsia="zh-CN"/>
        </w:rPr>
        <w:t>9</w:t>
      </w:r>
      <w:r>
        <w:rPr>
          <w:rFonts w:hint="eastAsia"/>
          <w:snapToGrid w:val="0"/>
          <w:color w:val="auto"/>
          <w:kern w:val="0"/>
          <w:sz w:val="24"/>
          <w:highlight w:val="none"/>
        </w:rPr>
        <w:t>。</w:t>
      </w:r>
    </w:p>
    <w:p w14:paraId="334E2FA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根据B-B’水文地质剖面图可知，垂直地下水流向由西向东，含水层结构基本一致，均为单层结构潜水含水层，钻孔控制深度一般小于100m，含水层厚度大于60m，详见图6.2-</w:t>
      </w:r>
      <w:r>
        <w:rPr>
          <w:rFonts w:hint="eastAsia"/>
          <w:snapToGrid w:val="0"/>
          <w:color w:val="auto"/>
          <w:kern w:val="0"/>
          <w:sz w:val="24"/>
          <w:highlight w:val="none"/>
          <w:lang w:val="en-US" w:eastAsia="zh-CN"/>
        </w:rPr>
        <w:t>10</w:t>
      </w:r>
      <w:r>
        <w:rPr>
          <w:rFonts w:hint="eastAsia"/>
          <w:snapToGrid w:val="0"/>
          <w:color w:val="auto"/>
          <w:kern w:val="0"/>
          <w:sz w:val="24"/>
          <w:highlight w:val="none"/>
        </w:rPr>
        <w:t>。</w:t>
      </w:r>
    </w:p>
    <w:p w14:paraId="0D82DE8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（3）地下水补给、径流、排泄条件</w:t>
      </w:r>
    </w:p>
    <w:p w14:paraId="22093631">
      <w:pPr>
        <w:adjustRightInd w:val="0"/>
        <w:snapToGrid w:val="0"/>
        <w:spacing w:line="360" w:lineRule="auto"/>
        <w:ind w:firstLine="480" w:firstLineChars="200"/>
        <w:rPr>
          <w:color w:val="auto"/>
          <w:sz w:val="28"/>
          <w:szCs w:val="28"/>
          <w:highlight w:val="none"/>
        </w:rPr>
      </w:pPr>
      <w:r>
        <w:rPr>
          <w:rFonts w:hint="eastAsia"/>
          <w:snapToGrid w:val="0"/>
          <w:color w:val="auto"/>
          <w:kern w:val="0"/>
          <w:sz w:val="24"/>
          <w:highlight w:val="none"/>
        </w:rPr>
        <w:t>勘察区内地下水总体由东南向西北方向径流（约为北偏西27°），水力坡度一般为4‰-6‰详见图6.2-</w:t>
      </w:r>
      <w:r>
        <w:rPr>
          <w:rFonts w:hint="eastAsia"/>
          <w:snapToGrid w:val="0"/>
          <w:color w:val="auto"/>
          <w:kern w:val="0"/>
          <w:sz w:val="24"/>
          <w:highlight w:val="none"/>
          <w:lang w:val="en-US" w:eastAsia="zh-CN"/>
        </w:rPr>
        <w:t>11</w:t>
      </w:r>
      <w:r>
        <w:rPr>
          <w:rFonts w:hint="eastAsia"/>
          <w:snapToGrid w:val="0"/>
          <w:color w:val="auto"/>
          <w:kern w:val="0"/>
          <w:sz w:val="24"/>
          <w:highlight w:val="none"/>
        </w:rPr>
        <w:t>。</w:t>
      </w:r>
    </w:p>
    <w:p w14:paraId="5967FDF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勘察区地下水主要接受南部山区四棵树河的沟谷潜流补给，以及山前地带的大气降水和暴雨洪流的入渗补给，其中勘察区北部分布大面积农田，因此田间灌溉入渗和渠系渗漏也是地下水的补给方式之一。</w:t>
      </w:r>
    </w:p>
    <w:p w14:paraId="3088DF7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勘察区内地下水总体以向下游侧向径流为主要排泄方式。在径流过程中，流经机井灌溉区，地下水也以人工开采的方式进行排泄。而在勘察区北部，潜水埋深一般小于10m，因此潜水蒸发也是地下水主要的排泄方式之一。</w:t>
      </w:r>
    </w:p>
    <w:p w14:paraId="6EF4A59A">
      <w:pPr>
        <w:adjustRightInd w:val="0"/>
        <w:snapToGrid w:val="0"/>
        <w:spacing w:line="360" w:lineRule="auto"/>
        <w:ind w:firstLine="480" w:firstLineChars="200"/>
        <w:rPr>
          <w:color w:val="auto"/>
          <w:highlight w:val="none"/>
        </w:rPr>
      </w:pPr>
      <w:r>
        <w:rPr>
          <w:rFonts w:hint="eastAsia"/>
          <w:snapToGrid w:val="0"/>
          <w:color w:val="auto"/>
          <w:kern w:val="0"/>
          <w:sz w:val="24"/>
          <w:highlight w:val="none"/>
        </w:rPr>
        <w:t>勘察区位于山前洪积砾质平原与冲洪积细土平原的分界处，勘察区南部潜水埋深一般为50-100m，向北逐渐减小至30-50m，至</w:t>
      </w:r>
      <w:r>
        <w:rPr>
          <w:rFonts w:hint="eastAsia"/>
          <w:snapToGrid w:val="0"/>
          <w:color w:val="auto"/>
          <w:kern w:val="0"/>
          <w:sz w:val="24"/>
          <w:highlight w:val="none"/>
          <w:lang w:eastAsia="zh-CN"/>
        </w:rPr>
        <w:t>污水处理厂</w:t>
      </w:r>
      <w:r>
        <w:rPr>
          <w:rFonts w:hint="eastAsia"/>
          <w:snapToGrid w:val="0"/>
          <w:color w:val="auto"/>
          <w:kern w:val="0"/>
          <w:sz w:val="24"/>
          <w:highlight w:val="none"/>
        </w:rPr>
        <w:t>周边，潜水埋深一般为10-30m，而在勘察区北部，潜水埋深一般小于10m，详见图6.2-1</w:t>
      </w:r>
      <w:r>
        <w:rPr>
          <w:rFonts w:hint="eastAsia"/>
          <w:snapToGrid w:val="0"/>
          <w:color w:val="auto"/>
          <w:kern w:val="0"/>
          <w:sz w:val="24"/>
          <w:highlight w:val="none"/>
          <w:lang w:val="en-US" w:eastAsia="zh-CN"/>
        </w:rPr>
        <w:t>2</w:t>
      </w:r>
      <w:r>
        <w:rPr>
          <w:rFonts w:hint="eastAsia"/>
          <w:snapToGrid w:val="0"/>
          <w:color w:val="auto"/>
          <w:kern w:val="0"/>
          <w:sz w:val="24"/>
          <w:highlight w:val="none"/>
        </w:rPr>
        <w:t>。</w:t>
      </w:r>
    </w:p>
    <w:p w14:paraId="742BCBD3">
      <w:pPr>
        <w:jc w:val="center"/>
        <w:rPr>
          <w:color w:val="auto"/>
          <w:sz w:val="28"/>
          <w:szCs w:val="28"/>
          <w:highlight w:val="none"/>
        </w:rPr>
      </w:pPr>
      <w:r>
        <w:rPr>
          <w:color w:val="auto"/>
          <w:highlight w:val="none"/>
        </w:rPr>
        <mc:AlternateContent>
          <mc:Choice Requires="wps">
            <w:drawing>
              <wp:anchor distT="0" distB="0" distL="114300" distR="114300" simplePos="0" relativeHeight="251680768" behindDoc="0" locked="0" layoutInCell="1" allowOverlap="1">
                <wp:simplePos x="0" y="0"/>
                <wp:positionH relativeFrom="column">
                  <wp:posOffset>3022600</wp:posOffset>
                </wp:positionH>
                <wp:positionV relativeFrom="paragraph">
                  <wp:posOffset>2806700</wp:posOffset>
                </wp:positionV>
                <wp:extent cx="811530" cy="306705"/>
                <wp:effectExtent l="408305" t="6350" r="18415" b="563245"/>
                <wp:wrapNone/>
                <wp:docPr id="19" name="自选图形 62"/>
                <wp:cNvGraphicFramePr/>
                <a:graphic xmlns:a="http://schemas.openxmlformats.org/drawingml/2006/main">
                  <a:graphicData uri="http://schemas.microsoft.com/office/word/2010/wordprocessingShape">
                    <wps:wsp>
                      <wps:cNvSpPr/>
                      <wps:spPr>
                        <a:xfrm>
                          <a:off x="0" y="0"/>
                          <a:ext cx="811530" cy="306705"/>
                        </a:xfrm>
                        <a:prstGeom prst="wedgeRectCallout">
                          <a:avLst>
                            <a:gd name="adj1" fmla="val -95383"/>
                            <a:gd name="adj2" fmla="val 217494"/>
                          </a:avLst>
                        </a:prstGeom>
                        <a:solidFill>
                          <a:srgbClr val="00B050"/>
                        </a:solidFill>
                        <a:ln w="12700" cap="flat" cmpd="sng">
                          <a:solidFill>
                            <a:srgbClr val="41719C"/>
                          </a:solidFill>
                          <a:prstDash val="solid"/>
                          <a:miter/>
                          <a:headEnd type="none" w="med" len="med"/>
                          <a:tailEnd type="none" w="med" len="med"/>
                        </a:ln>
                      </wps:spPr>
                      <wps:txbx>
                        <w:txbxContent>
                          <w:p w14:paraId="080653AC">
                            <w:r>
                              <w:rPr>
                                <w:rFonts w:hint="eastAsia"/>
                              </w:rPr>
                              <w:t>项目厂址</w:t>
                            </w:r>
                          </w:p>
                        </w:txbxContent>
                      </wps:txbx>
                      <wps:bodyPr anchor="ctr" anchorCtr="0" upright="1"/>
                    </wps:wsp>
                  </a:graphicData>
                </a:graphic>
              </wp:anchor>
            </w:drawing>
          </mc:Choice>
          <mc:Fallback>
            <w:pict>
              <v:shape id="自选图形 62" o:spid="_x0000_s1026" o:spt="61" type="#_x0000_t61" style="position:absolute;left:0pt;margin-left:238pt;margin-top:221pt;height:24.15pt;width:63.9pt;z-index:251680768;v-text-anchor:middle;mso-width-relative:page;mso-height-relative:page;" fillcolor="#00B050" filled="t" stroked="t" coordsize="21600,21600" o:gfxdata="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xS523XAAAACwEAAA8A&#10;AAAAAAAAAQAgAAAAIgAAAGRycy9kb3ducmV2LnhtbFBLAQIUABQAAAAIAIdO4kAIK/DFUQIAAKsE&#10;AAAOAAAAAAAAAAEAIAAAACYBAABkcnMvZTJvRG9jLnhtbFBLBQYAAAAABgAGAFkBAADpBQAAAAA=&#10;" adj="-9803,57779">
                <v:fill on="t" focussize="0,0"/>
                <v:stroke weight="1pt" color="#41719C" joinstyle="miter"/>
                <v:imagedata o:title=""/>
                <o:lock v:ext="edit" aspectratio="f"/>
                <v:textbox>
                  <w:txbxContent>
                    <w:p w14:paraId="080653AC">
                      <w:r>
                        <w:rPr>
                          <w:rFonts w:hint="eastAsia"/>
                        </w:rPr>
                        <w:t>项目厂址</w:t>
                      </w:r>
                    </w:p>
                  </w:txbxContent>
                </v:textbox>
              </v:shape>
            </w:pict>
          </mc:Fallback>
        </mc:AlternateContent>
      </w:r>
    </w:p>
    <w:p w14:paraId="6BC4740D">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图6.2-1</w:t>
      </w:r>
      <w:r>
        <w:rPr>
          <w:rFonts w:hint="eastAsia" w:eastAsia="黑体"/>
          <w:snapToGrid w:val="0"/>
          <w:color w:val="auto"/>
          <w:kern w:val="0"/>
          <w:szCs w:val="21"/>
          <w:highlight w:val="none"/>
          <w:lang w:val="en-US" w:eastAsia="zh-CN"/>
        </w:rPr>
        <w:t>2</w:t>
      </w:r>
      <w:r>
        <w:rPr>
          <w:rFonts w:hint="eastAsia" w:eastAsia="黑体"/>
          <w:snapToGrid w:val="0"/>
          <w:color w:val="auto"/>
          <w:kern w:val="0"/>
          <w:szCs w:val="21"/>
          <w:highlight w:val="none"/>
        </w:rPr>
        <w:t xml:space="preserve"> 勘察区潜水埋深分区图</w:t>
      </w:r>
    </w:p>
    <w:p w14:paraId="7718FD6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（4）地下水化学特征</w:t>
      </w:r>
    </w:p>
    <w:p w14:paraId="0FEF136F">
      <w:pPr>
        <w:adjustRightInd w:val="0"/>
        <w:snapToGrid w:val="0"/>
        <w:spacing w:line="360" w:lineRule="auto"/>
        <w:ind w:firstLine="480" w:firstLineChars="200"/>
        <w:rPr>
          <w:color w:val="auto"/>
          <w:highlight w:val="none"/>
        </w:rPr>
      </w:pPr>
      <w:r>
        <w:rPr>
          <w:rFonts w:hint="eastAsia"/>
          <w:snapToGrid w:val="0"/>
          <w:color w:val="auto"/>
          <w:kern w:val="0"/>
          <w:sz w:val="24"/>
          <w:highlight w:val="none"/>
        </w:rPr>
        <w:t>水文地质调查工作中，在勘察区及周边区域共采集地下水样品6组，收集前人水质资料1份，样品采集层位均为潜水含水层。各样品水化学特征见表6.2-2</w:t>
      </w:r>
      <w:r>
        <w:rPr>
          <w:rFonts w:hint="eastAsia"/>
          <w:snapToGrid w:val="0"/>
          <w:color w:val="auto"/>
          <w:kern w:val="0"/>
          <w:sz w:val="24"/>
          <w:highlight w:val="none"/>
          <w:lang w:val="en-US" w:eastAsia="zh-CN"/>
        </w:rPr>
        <w:t>7</w:t>
      </w:r>
      <w:r>
        <w:rPr>
          <w:rFonts w:hint="eastAsia"/>
          <w:snapToGrid w:val="0"/>
          <w:color w:val="auto"/>
          <w:kern w:val="0"/>
          <w:sz w:val="24"/>
          <w:highlight w:val="none"/>
        </w:rPr>
        <w:t>。</w:t>
      </w:r>
    </w:p>
    <w:p w14:paraId="6C2C533C">
      <w:pPr>
        <w:pStyle w:val="766"/>
        <w:snapToGrid w:val="0"/>
        <w:rPr>
          <w:color w:val="auto"/>
          <w:szCs w:val="21"/>
          <w:highlight w:val="none"/>
          <w:lang w:eastAsia="zh-CN"/>
        </w:rPr>
      </w:pPr>
      <w:r>
        <w:rPr>
          <w:rFonts w:hint="eastAsia"/>
          <w:color w:val="auto"/>
          <w:szCs w:val="21"/>
          <w:highlight w:val="none"/>
          <w:lang w:eastAsia="zh-CN"/>
        </w:rPr>
        <w:t>表6.2-2</w:t>
      </w:r>
      <w:r>
        <w:rPr>
          <w:rFonts w:hint="eastAsia"/>
          <w:color w:val="auto"/>
          <w:szCs w:val="21"/>
          <w:highlight w:val="none"/>
          <w:lang w:val="en-US" w:eastAsia="zh-CN"/>
        </w:rPr>
        <w:t>8</w:t>
      </w:r>
      <w:r>
        <w:rPr>
          <w:rFonts w:hint="eastAsia"/>
          <w:color w:val="auto"/>
          <w:szCs w:val="21"/>
          <w:highlight w:val="none"/>
          <w:lang w:eastAsia="zh-CN"/>
        </w:rPr>
        <w:t xml:space="preserve"> 勘察区潜水水化学特征一览表 </w:t>
      </w:r>
    </w:p>
    <w:tbl>
      <w:tblPr>
        <w:tblStyle w:val="56"/>
        <w:tblW w:w="8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9"/>
        <w:gridCol w:w="1740"/>
        <w:gridCol w:w="2400"/>
        <w:gridCol w:w="765"/>
        <w:gridCol w:w="2160"/>
        <w:gridCol w:w="1157"/>
      </w:tblGrid>
      <w:tr w14:paraId="53FE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0E81FEC6">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钻孔</w:t>
            </w:r>
          </w:p>
          <w:p w14:paraId="38839CD6">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编号</w:t>
            </w:r>
          </w:p>
        </w:tc>
        <w:tc>
          <w:tcPr>
            <w:tcW w:w="1740" w:type="dxa"/>
            <w:vAlign w:val="center"/>
          </w:tcPr>
          <w:p w14:paraId="4D4E22F2">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相对位置</w:t>
            </w:r>
          </w:p>
        </w:tc>
        <w:tc>
          <w:tcPr>
            <w:tcW w:w="2400" w:type="dxa"/>
            <w:vAlign w:val="center"/>
          </w:tcPr>
          <w:p w14:paraId="23403C36">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层位</w:t>
            </w:r>
          </w:p>
        </w:tc>
        <w:tc>
          <w:tcPr>
            <w:tcW w:w="765" w:type="dxa"/>
            <w:vAlign w:val="center"/>
          </w:tcPr>
          <w:p w14:paraId="1446E4E4">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溶解性总固体</w:t>
            </w:r>
          </w:p>
          <w:p w14:paraId="5395437E">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（g/L）</w:t>
            </w:r>
          </w:p>
        </w:tc>
        <w:tc>
          <w:tcPr>
            <w:tcW w:w="2160" w:type="dxa"/>
            <w:vAlign w:val="center"/>
          </w:tcPr>
          <w:p w14:paraId="0591379A">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水化学类型</w:t>
            </w:r>
          </w:p>
        </w:tc>
        <w:tc>
          <w:tcPr>
            <w:tcW w:w="1157" w:type="dxa"/>
            <w:vAlign w:val="center"/>
          </w:tcPr>
          <w:p w14:paraId="74FA6F8A">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数据来源</w:t>
            </w:r>
          </w:p>
        </w:tc>
      </w:tr>
      <w:tr w14:paraId="5D41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6A63582D">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SJ02</w:t>
            </w:r>
          </w:p>
        </w:tc>
        <w:tc>
          <w:tcPr>
            <w:tcW w:w="1740" w:type="dxa"/>
            <w:vAlign w:val="center"/>
          </w:tcPr>
          <w:p w14:paraId="40F4B673">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上游</w:t>
            </w:r>
          </w:p>
        </w:tc>
        <w:tc>
          <w:tcPr>
            <w:tcW w:w="2400" w:type="dxa"/>
            <w:vAlign w:val="center"/>
          </w:tcPr>
          <w:p w14:paraId="12994DCB">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3D6FD970">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0.16</w:t>
            </w:r>
          </w:p>
        </w:tc>
        <w:tc>
          <w:tcPr>
            <w:tcW w:w="2160" w:type="dxa"/>
            <w:vAlign w:val="center"/>
          </w:tcPr>
          <w:p w14:paraId="3D980EFA">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HCO</w:t>
            </w:r>
            <w:r>
              <w:rPr>
                <w:rFonts w:hint="eastAsia" w:ascii="Times New Roman" w:hAnsi="Times New Roman" w:eastAsia="宋体" w:cs="Times New Roman"/>
                <w:snapToGrid w:val="0"/>
                <w:color w:val="auto"/>
                <w:kern w:val="0"/>
                <w:sz w:val="21"/>
                <w:szCs w:val="21"/>
                <w:highlight w:val="none"/>
                <w:vertAlign w:val="subscript"/>
              </w:rPr>
              <w:t>3</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Ca·Mg</w:t>
            </w:r>
          </w:p>
        </w:tc>
        <w:tc>
          <w:tcPr>
            <w:tcW w:w="1157" w:type="dxa"/>
            <w:vAlign w:val="center"/>
          </w:tcPr>
          <w:p w14:paraId="0E0318A2">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枯水期实测</w:t>
            </w:r>
          </w:p>
        </w:tc>
      </w:tr>
      <w:tr w14:paraId="7E97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54F8706E">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SJ01</w:t>
            </w:r>
          </w:p>
        </w:tc>
        <w:tc>
          <w:tcPr>
            <w:tcW w:w="1740" w:type="dxa"/>
            <w:vAlign w:val="center"/>
          </w:tcPr>
          <w:p w14:paraId="54EEE26F">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西侧</w:t>
            </w:r>
          </w:p>
        </w:tc>
        <w:tc>
          <w:tcPr>
            <w:tcW w:w="2400" w:type="dxa"/>
            <w:vAlign w:val="center"/>
          </w:tcPr>
          <w:p w14:paraId="5AE6E33C">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40EF584F">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0.25</w:t>
            </w:r>
          </w:p>
        </w:tc>
        <w:tc>
          <w:tcPr>
            <w:tcW w:w="2160" w:type="dxa"/>
            <w:vAlign w:val="center"/>
          </w:tcPr>
          <w:p w14:paraId="50D0C90C">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HCO</w:t>
            </w:r>
            <w:r>
              <w:rPr>
                <w:rFonts w:hint="eastAsia" w:ascii="Times New Roman" w:hAnsi="Times New Roman" w:eastAsia="宋体" w:cs="Times New Roman"/>
                <w:snapToGrid w:val="0"/>
                <w:color w:val="auto"/>
                <w:kern w:val="0"/>
                <w:sz w:val="21"/>
                <w:szCs w:val="21"/>
                <w:highlight w:val="none"/>
                <w:vertAlign w:val="subscript"/>
              </w:rPr>
              <w:t>3</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Ca·Na</w:t>
            </w:r>
          </w:p>
        </w:tc>
        <w:tc>
          <w:tcPr>
            <w:tcW w:w="1157" w:type="dxa"/>
            <w:vAlign w:val="center"/>
          </w:tcPr>
          <w:p w14:paraId="015A5A63">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枯水期实测</w:t>
            </w:r>
          </w:p>
        </w:tc>
      </w:tr>
      <w:tr w14:paraId="0069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62B6EF2D">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KT1</w:t>
            </w:r>
          </w:p>
        </w:tc>
        <w:tc>
          <w:tcPr>
            <w:tcW w:w="1740" w:type="dxa"/>
            <w:vAlign w:val="center"/>
          </w:tcPr>
          <w:p w14:paraId="19C5E9FE">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场地内</w:t>
            </w:r>
          </w:p>
        </w:tc>
        <w:tc>
          <w:tcPr>
            <w:tcW w:w="2400" w:type="dxa"/>
            <w:vAlign w:val="center"/>
          </w:tcPr>
          <w:p w14:paraId="67676550">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0F1B5315">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0.37</w:t>
            </w:r>
          </w:p>
        </w:tc>
        <w:tc>
          <w:tcPr>
            <w:tcW w:w="2160" w:type="dxa"/>
            <w:vAlign w:val="center"/>
          </w:tcPr>
          <w:p w14:paraId="17C80743">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HCO</w:t>
            </w:r>
            <w:r>
              <w:rPr>
                <w:rFonts w:hint="eastAsia" w:ascii="Times New Roman" w:hAnsi="Times New Roman" w:eastAsia="宋体" w:cs="Times New Roman"/>
                <w:snapToGrid w:val="0"/>
                <w:color w:val="auto"/>
                <w:kern w:val="0"/>
                <w:sz w:val="21"/>
                <w:szCs w:val="21"/>
                <w:highlight w:val="none"/>
                <w:vertAlign w:val="subscript"/>
              </w:rPr>
              <w:t>3</w:t>
            </w:r>
            <w:r>
              <w:rPr>
                <w:rFonts w:hint="eastAsia" w:ascii="Times New Roman" w:hAnsi="Times New Roman" w:eastAsia="宋体" w:cs="Times New Roman"/>
                <w:snapToGrid w:val="0"/>
                <w:color w:val="auto"/>
                <w:kern w:val="0"/>
                <w:sz w:val="21"/>
                <w:szCs w:val="21"/>
                <w:highlight w:val="none"/>
              </w:rPr>
              <w:t>·SO</w:t>
            </w:r>
            <w:r>
              <w:rPr>
                <w:rFonts w:hint="eastAsia" w:ascii="Times New Roman" w:hAnsi="Times New Roman" w:eastAsia="宋体" w:cs="Times New Roman"/>
                <w:snapToGrid w:val="0"/>
                <w:color w:val="auto"/>
                <w:kern w:val="0"/>
                <w:sz w:val="21"/>
                <w:szCs w:val="21"/>
                <w:highlight w:val="none"/>
                <w:vertAlign w:val="subscript"/>
              </w:rPr>
              <w:t>4</w:t>
            </w:r>
            <w:r>
              <w:rPr>
                <w:rFonts w:hint="eastAsia" w:ascii="Times New Roman" w:hAnsi="Times New Roman" w:eastAsia="宋体" w:cs="Times New Roman"/>
                <w:snapToGrid w:val="0"/>
                <w:color w:val="auto"/>
                <w:kern w:val="0"/>
                <w:sz w:val="21"/>
                <w:szCs w:val="21"/>
                <w:highlight w:val="none"/>
              </w:rPr>
              <w:t>·Cl</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Ca·Na·Mg</w:t>
            </w:r>
          </w:p>
        </w:tc>
        <w:tc>
          <w:tcPr>
            <w:tcW w:w="1157" w:type="dxa"/>
            <w:vAlign w:val="center"/>
          </w:tcPr>
          <w:p w14:paraId="3A8BE655">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枯水期实测</w:t>
            </w:r>
          </w:p>
        </w:tc>
      </w:tr>
      <w:tr w14:paraId="701A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15CA606A">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SJ06</w:t>
            </w:r>
          </w:p>
        </w:tc>
        <w:tc>
          <w:tcPr>
            <w:tcW w:w="1740" w:type="dxa"/>
            <w:vAlign w:val="center"/>
          </w:tcPr>
          <w:p w14:paraId="74FE17AF">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下游</w:t>
            </w:r>
          </w:p>
        </w:tc>
        <w:tc>
          <w:tcPr>
            <w:tcW w:w="2400" w:type="dxa"/>
            <w:vAlign w:val="center"/>
          </w:tcPr>
          <w:p w14:paraId="79E6C421">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7A244C45">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0.34</w:t>
            </w:r>
          </w:p>
        </w:tc>
        <w:tc>
          <w:tcPr>
            <w:tcW w:w="2160" w:type="dxa"/>
            <w:vAlign w:val="center"/>
          </w:tcPr>
          <w:p w14:paraId="563CA6E8">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Cl·HCO</w:t>
            </w:r>
            <w:r>
              <w:rPr>
                <w:rFonts w:hint="eastAsia" w:ascii="Times New Roman" w:hAnsi="Times New Roman" w:eastAsia="宋体" w:cs="Times New Roman"/>
                <w:snapToGrid w:val="0"/>
                <w:color w:val="auto"/>
                <w:kern w:val="0"/>
                <w:sz w:val="21"/>
                <w:szCs w:val="21"/>
                <w:highlight w:val="none"/>
                <w:vertAlign w:val="subscript"/>
              </w:rPr>
              <w:t>3</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w:t>
            </w:r>
          </w:p>
        </w:tc>
        <w:tc>
          <w:tcPr>
            <w:tcW w:w="1157" w:type="dxa"/>
            <w:vAlign w:val="center"/>
          </w:tcPr>
          <w:p w14:paraId="1DF8F369">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枯水期实测</w:t>
            </w:r>
          </w:p>
        </w:tc>
      </w:tr>
      <w:tr w14:paraId="146F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7254F4D7">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KT2</w:t>
            </w:r>
          </w:p>
        </w:tc>
        <w:tc>
          <w:tcPr>
            <w:tcW w:w="1740" w:type="dxa"/>
            <w:vAlign w:val="center"/>
          </w:tcPr>
          <w:p w14:paraId="02901081">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下游</w:t>
            </w:r>
          </w:p>
        </w:tc>
        <w:tc>
          <w:tcPr>
            <w:tcW w:w="2400" w:type="dxa"/>
            <w:vAlign w:val="center"/>
          </w:tcPr>
          <w:p w14:paraId="6266F582">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2D7F811B">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0.46</w:t>
            </w:r>
          </w:p>
        </w:tc>
        <w:tc>
          <w:tcPr>
            <w:tcW w:w="2160" w:type="dxa"/>
            <w:vAlign w:val="center"/>
          </w:tcPr>
          <w:p w14:paraId="1F9AAA24">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Cl·SO4·HCO</w:t>
            </w:r>
            <w:r>
              <w:rPr>
                <w:rFonts w:hint="eastAsia" w:ascii="Times New Roman" w:hAnsi="Times New Roman" w:eastAsia="宋体" w:cs="Times New Roman"/>
                <w:snapToGrid w:val="0"/>
                <w:color w:val="auto"/>
                <w:kern w:val="0"/>
                <w:sz w:val="21"/>
                <w:szCs w:val="21"/>
                <w:highlight w:val="none"/>
                <w:vertAlign w:val="subscript"/>
              </w:rPr>
              <w:t>3</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w:t>
            </w:r>
          </w:p>
        </w:tc>
        <w:tc>
          <w:tcPr>
            <w:tcW w:w="1157" w:type="dxa"/>
            <w:vAlign w:val="center"/>
          </w:tcPr>
          <w:p w14:paraId="49CD1D2E">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枯水期实测</w:t>
            </w:r>
          </w:p>
        </w:tc>
      </w:tr>
      <w:tr w14:paraId="3FAB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3BA6BD1F">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ZL01</w:t>
            </w:r>
          </w:p>
        </w:tc>
        <w:tc>
          <w:tcPr>
            <w:tcW w:w="1740" w:type="dxa"/>
            <w:vAlign w:val="center"/>
          </w:tcPr>
          <w:p w14:paraId="3C2EEC15">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下游</w:t>
            </w:r>
          </w:p>
        </w:tc>
        <w:tc>
          <w:tcPr>
            <w:tcW w:w="2400" w:type="dxa"/>
            <w:vAlign w:val="center"/>
          </w:tcPr>
          <w:p w14:paraId="57A3A4FA">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5C5F6582">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0.27</w:t>
            </w:r>
          </w:p>
        </w:tc>
        <w:tc>
          <w:tcPr>
            <w:tcW w:w="2160" w:type="dxa"/>
            <w:vAlign w:val="center"/>
          </w:tcPr>
          <w:p w14:paraId="2901AD89">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HCO</w:t>
            </w:r>
            <w:r>
              <w:rPr>
                <w:rFonts w:hint="eastAsia" w:ascii="Times New Roman" w:hAnsi="Times New Roman" w:eastAsia="宋体" w:cs="Times New Roman"/>
                <w:snapToGrid w:val="0"/>
                <w:color w:val="auto"/>
                <w:kern w:val="0"/>
                <w:sz w:val="21"/>
                <w:szCs w:val="21"/>
                <w:highlight w:val="none"/>
                <w:vertAlign w:val="subscript"/>
              </w:rPr>
              <w:t>3</w:t>
            </w:r>
            <w:r>
              <w:rPr>
                <w:rFonts w:hint="eastAsia" w:ascii="Times New Roman" w:hAnsi="Times New Roman" w:eastAsia="宋体" w:cs="Times New Roman"/>
                <w:snapToGrid w:val="0"/>
                <w:color w:val="auto"/>
                <w:kern w:val="0"/>
                <w:sz w:val="21"/>
                <w:szCs w:val="21"/>
                <w:highlight w:val="none"/>
              </w:rPr>
              <w:t>·SO</w:t>
            </w:r>
            <w:r>
              <w:rPr>
                <w:rFonts w:hint="eastAsia" w:ascii="Times New Roman" w:hAnsi="Times New Roman" w:eastAsia="宋体" w:cs="Times New Roman"/>
                <w:snapToGrid w:val="0"/>
                <w:color w:val="auto"/>
                <w:kern w:val="0"/>
                <w:sz w:val="21"/>
                <w:szCs w:val="21"/>
                <w:highlight w:val="none"/>
                <w:vertAlign w:val="subscript"/>
              </w:rPr>
              <w:t>4</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Ca·Mg</w:t>
            </w:r>
          </w:p>
        </w:tc>
        <w:tc>
          <w:tcPr>
            <w:tcW w:w="1157" w:type="dxa"/>
            <w:vAlign w:val="center"/>
          </w:tcPr>
          <w:p w14:paraId="44C133BD">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枯水期实测</w:t>
            </w:r>
          </w:p>
        </w:tc>
      </w:tr>
      <w:tr w14:paraId="3003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dxa"/>
            <w:vAlign w:val="center"/>
          </w:tcPr>
          <w:p w14:paraId="3B84EB42">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W62</w:t>
            </w:r>
          </w:p>
        </w:tc>
        <w:tc>
          <w:tcPr>
            <w:tcW w:w="1740" w:type="dxa"/>
            <w:vAlign w:val="center"/>
          </w:tcPr>
          <w:p w14:paraId="7EB0E085">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eastAsia="zh-CN"/>
              </w:rPr>
              <w:t>污水处理厂</w:t>
            </w:r>
            <w:r>
              <w:rPr>
                <w:rFonts w:hint="eastAsia" w:ascii="Times New Roman" w:hAnsi="Times New Roman" w:eastAsia="宋体" w:cs="Times New Roman"/>
                <w:snapToGrid w:val="0"/>
                <w:color w:val="auto"/>
                <w:kern w:val="0"/>
                <w:sz w:val="21"/>
                <w:szCs w:val="21"/>
                <w:highlight w:val="none"/>
              </w:rPr>
              <w:t>下游</w:t>
            </w:r>
          </w:p>
        </w:tc>
        <w:tc>
          <w:tcPr>
            <w:tcW w:w="2400" w:type="dxa"/>
            <w:vAlign w:val="center"/>
          </w:tcPr>
          <w:p w14:paraId="4E2354B0">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第四系松散岩类孔隙潜水</w:t>
            </w:r>
          </w:p>
        </w:tc>
        <w:tc>
          <w:tcPr>
            <w:tcW w:w="765" w:type="dxa"/>
            <w:vAlign w:val="center"/>
          </w:tcPr>
          <w:p w14:paraId="1E3B514C">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0.54</w:t>
            </w:r>
          </w:p>
        </w:tc>
        <w:tc>
          <w:tcPr>
            <w:tcW w:w="2160" w:type="dxa"/>
            <w:vAlign w:val="center"/>
          </w:tcPr>
          <w:p w14:paraId="326F9AFD">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HCO</w:t>
            </w:r>
            <w:r>
              <w:rPr>
                <w:rFonts w:hint="eastAsia" w:ascii="Times New Roman" w:hAnsi="Times New Roman" w:eastAsia="宋体" w:cs="Times New Roman"/>
                <w:snapToGrid w:val="0"/>
                <w:color w:val="auto"/>
                <w:kern w:val="0"/>
                <w:sz w:val="21"/>
                <w:szCs w:val="21"/>
                <w:highlight w:val="none"/>
                <w:vertAlign w:val="subscript"/>
              </w:rPr>
              <w:t>3</w:t>
            </w:r>
            <w:r>
              <w:rPr>
                <w:rFonts w:hint="eastAsia" w:ascii="Times New Roman" w:hAnsi="Times New Roman" w:eastAsia="宋体" w:cs="Times New Roman"/>
                <w:snapToGrid w:val="0"/>
                <w:color w:val="auto"/>
                <w:kern w:val="0"/>
                <w:sz w:val="21"/>
                <w:szCs w:val="21"/>
                <w:highlight w:val="none"/>
              </w:rPr>
              <w:t>·SO</w:t>
            </w:r>
            <w:r>
              <w:rPr>
                <w:rFonts w:hint="eastAsia" w:ascii="Times New Roman" w:hAnsi="Times New Roman" w:eastAsia="宋体" w:cs="Times New Roman"/>
                <w:snapToGrid w:val="0"/>
                <w:color w:val="auto"/>
                <w:kern w:val="0"/>
                <w:sz w:val="21"/>
                <w:szCs w:val="21"/>
                <w:highlight w:val="none"/>
                <w:vertAlign w:val="subscript"/>
              </w:rPr>
              <w:t>4</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rPr>
              <w:t>Ca·Mg</w:t>
            </w:r>
          </w:p>
        </w:tc>
        <w:tc>
          <w:tcPr>
            <w:tcW w:w="1157" w:type="dxa"/>
            <w:vAlign w:val="center"/>
          </w:tcPr>
          <w:p w14:paraId="0E270633">
            <w:pPr>
              <w:pStyle w:val="768"/>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资料收集</w:t>
            </w:r>
          </w:p>
        </w:tc>
      </w:tr>
    </w:tbl>
    <w:p w14:paraId="3D1DA41A">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rPr>
        <w:t>根据水质检测结果可知，勘察区潜水水化学类型具有明显分带性规律。南部山前洪积砾质平原，潜水水化学类型以HCO</w:t>
      </w:r>
      <w:r>
        <w:rPr>
          <w:rFonts w:hint="eastAsia"/>
          <w:snapToGrid w:val="0"/>
          <w:color w:val="auto"/>
          <w:kern w:val="0"/>
          <w:sz w:val="24"/>
          <w:highlight w:val="none"/>
          <w:vertAlign w:val="subscript"/>
        </w:rPr>
        <w:t>3</w:t>
      </w:r>
      <w:r>
        <w:rPr>
          <w:rFonts w:hint="eastAsia"/>
          <w:snapToGrid w:val="0"/>
          <w:color w:val="auto"/>
          <w:kern w:val="0"/>
          <w:sz w:val="24"/>
          <w:highlight w:val="none"/>
        </w:rPr>
        <w:t>-Ca·Mg型为主，溶解性总固体一般为0.16-0.25g/L。而在砾质平原前缘到下游冲洪积细土平原区域内，潜水中硫酸盐含量逐渐增大，水化学类型向HCO</w:t>
      </w:r>
      <w:r>
        <w:rPr>
          <w:rFonts w:hint="eastAsia"/>
          <w:snapToGrid w:val="0"/>
          <w:color w:val="auto"/>
          <w:kern w:val="0"/>
          <w:sz w:val="24"/>
          <w:highlight w:val="none"/>
          <w:vertAlign w:val="subscript"/>
        </w:rPr>
        <w:t>3</w:t>
      </w:r>
      <w:r>
        <w:rPr>
          <w:rFonts w:hint="eastAsia"/>
          <w:snapToGrid w:val="0"/>
          <w:color w:val="auto"/>
          <w:kern w:val="0"/>
          <w:sz w:val="24"/>
          <w:highlight w:val="none"/>
        </w:rPr>
        <w:t>·SO</w:t>
      </w:r>
      <w:r>
        <w:rPr>
          <w:rFonts w:hint="eastAsia"/>
          <w:snapToGrid w:val="0"/>
          <w:color w:val="auto"/>
          <w:kern w:val="0"/>
          <w:sz w:val="24"/>
          <w:highlight w:val="none"/>
          <w:vertAlign w:val="subscript"/>
        </w:rPr>
        <w:t>4</w:t>
      </w:r>
      <w:r>
        <w:rPr>
          <w:rFonts w:hint="eastAsia"/>
          <w:snapToGrid w:val="0"/>
          <w:color w:val="auto"/>
          <w:kern w:val="0"/>
          <w:sz w:val="24"/>
          <w:highlight w:val="none"/>
        </w:rPr>
        <w:t>-Ca·Mg型逐渐转变，溶解性总固体也逐渐增大，一般为0.27-0.54g/L。</w:t>
      </w:r>
    </w:p>
    <w:p w14:paraId="1C4A7D0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勘察区场地内潜水水质较好，水化学类型为HCO</w:t>
      </w:r>
      <w:r>
        <w:rPr>
          <w:rFonts w:hint="eastAsia"/>
          <w:snapToGrid w:val="0"/>
          <w:color w:val="auto"/>
          <w:kern w:val="0"/>
          <w:sz w:val="24"/>
          <w:highlight w:val="none"/>
          <w:vertAlign w:val="subscript"/>
        </w:rPr>
        <w:t>3</w:t>
      </w:r>
      <w:r>
        <w:rPr>
          <w:rFonts w:hint="eastAsia"/>
          <w:snapToGrid w:val="0"/>
          <w:color w:val="auto"/>
          <w:kern w:val="0"/>
          <w:sz w:val="24"/>
          <w:highlight w:val="none"/>
        </w:rPr>
        <w:t>·SO</w:t>
      </w:r>
      <w:r>
        <w:rPr>
          <w:rFonts w:hint="eastAsia"/>
          <w:snapToGrid w:val="0"/>
          <w:color w:val="auto"/>
          <w:kern w:val="0"/>
          <w:sz w:val="24"/>
          <w:highlight w:val="none"/>
          <w:vertAlign w:val="subscript"/>
        </w:rPr>
        <w:t>4</w:t>
      </w:r>
      <w:r>
        <w:rPr>
          <w:rFonts w:hint="eastAsia"/>
          <w:snapToGrid w:val="0"/>
          <w:color w:val="auto"/>
          <w:kern w:val="0"/>
          <w:sz w:val="24"/>
          <w:highlight w:val="none"/>
        </w:rPr>
        <w:t>-Ca·Mg型。而在勘察区场地北部至东北侧的四棵树收费站一带，潜水中氯化物含量较高，水化学类型以Cl·HCO</w:t>
      </w:r>
      <w:r>
        <w:rPr>
          <w:rFonts w:hint="eastAsia"/>
          <w:snapToGrid w:val="0"/>
          <w:color w:val="auto"/>
          <w:kern w:val="0"/>
          <w:sz w:val="24"/>
          <w:highlight w:val="none"/>
          <w:vertAlign w:val="subscript"/>
        </w:rPr>
        <w:t>3</w:t>
      </w:r>
      <w:r>
        <w:rPr>
          <w:rFonts w:hint="eastAsia"/>
          <w:snapToGrid w:val="0"/>
          <w:color w:val="auto"/>
          <w:kern w:val="0"/>
          <w:sz w:val="24"/>
          <w:highlight w:val="none"/>
        </w:rPr>
        <w:t>-Ca型为主，溶解性总固体为0.34-0.46g/L。</w:t>
      </w:r>
    </w:p>
    <w:p w14:paraId="779A156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勘察区潜水水化学类型分布情况见图6.2-1</w:t>
      </w:r>
      <w:r>
        <w:rPr>
          <w:rFonts w:hint="eastAsia"/>
          <w:snapToGrid w:val="0"/>
          <w:color w:val="auto"/>
          <w:kern w:val="0"/>
          <w:sz w:val="24"/>
          <w:highlight w:val="none"/>
          <w:lang w:val="en-US" w:eastAsia="zh-CN"/>
        </w:rPr>
        <w:t>3</w:t>
      </w:r>
      <w:r>
        <w:rPr>
          <w:rFonts w:hint="eastAsia"/>
          <w:snapToGrid w:val="0"/>
          <w:color w:val="auto"/>
          <w:kern w:val="0"/>
          <w:sz w:val="24"/>
          <w:highlight w:val="none"/>
        </w:rPr>
        <w:t>。</w:t>
      </w:r>
    </w:p>
    <w:p w14:paraId="2648080A">
      <w:pPr>
        <w:jc w:val="center"/>
        <w:rPr>
          <w:color w:val="auto"/>
          <w:sz w:val="28"/>
          <w:szCs w:val="28"/>
          <w:highlight w:val="none"/>
        </w:rPr>
      </w:pPr>
      <w:r>
        <w:rPr>
          <w:color w:val="auto"/>
          <w:highlight w:val="none"/>
        </w:rPr>
        <mc:AlternateContent>
          <mc:Choice Requires="wps">
            <w:drawing>
              <wp:anchor distT="0" distB="0" distL="114300" distR="114300" simplePos="0" relativeHeight="251681792" behindDoc="0" locked="0" layoutInCell="1" allowOverlap="1">
                <wp:simplePos x="0" y="0"/>
                <wp:positionH relativeFrom="column">
                  <wp:posOffset>2922270</wp:posOffset>
                </wp:positionH>
                <wp:positionV relativeFrom="paragraph">
                  <wp:posOffset>2629535</wp:posOffset>
                </wp:positionV>
                <wp:extent cx="811530" cy="306705"/>
                <wp:effectExtent l="383540" t="6350" r="24130" b="525145"/>
                <wp:wrapNone/>
                <wp:docPr id="20" name="自选图形 62"/>
                <wp:cNvGraphicFramePr/>
                <a:graphic xmlns:a="http://schemas.openxmlformats.org/drawingml/2006/main">
                  <a:graphicData uri="http://schemas.microsoft.com/office/word/2010/wordprocessingShape">
                    <wps:wsp>
                      <wps:cNvSpPr/>
                      <wps:spPr>
                        <a:xfrm>
                          <a:off x="0" y="0"/>
                          <a:ext cx="811530" cy="306705"/>
                        </a:xfrm>
                        <a:prstGeom prst="wedgeRectCallout">
                          <a:avLst>
                            <a:gd name="adj1" fmla="val -92331"/>
                            <a:gd name="adj2" fmla="val 209627"/>
                          </a:avLst>
                        </a:prstGeom>
                        <a:solidFill>
                          <a:srgbClr val="00B050"/>
                        </a:solidFill>
                        <a:ln w="12700" cap="flat" cmpd="sng">
                          <a:solidFill>
                            <a:srgbClr val="41719C"/>
                          </a:solidFill>
                          <a:prstDash val="solid"/>
                          <a:miter/>
                          <a:headEnd type="none" w="med" len="med"/>
                          <a:tailEnd type="none" w="med" len="med"/>
                        </a:ln>
                      </wps:spPr>
                      <wps:txbx>
                        <w:txbxContent>
                          <w:p w14:paraId="342BDFEA">
                            <w:r>
                              <w:rPr>
                                <w:rFonts w:hint="eastAsia"/>
                              </w:rPr>
                              <w:t>项目厂址</w:t>
                            </w:r>
                          </w:p>
                        </w:txbxContent>
                      </wps:txbx>
                      <wps:bodyPr anchor="ctr" anchorCtr="0" upright="1"/>
                    </wps:wsp>
                  </a:graphicData>
                </a:graphic>
              </wp:anchor>
            </w:drawing>
          </mc:Choice>
          <mc:Fallback>
            <w:pict>
              <v:shape id="自选图形 62" o:spid="_x0000_s1026" o:spt="61" type="#_x0000_t61" style="position:absolute;left:0pt;margin-left:230.1pt;margin-top:207.05pt;height:24.15pt;width:63.9pt;z-index:251681792;v-text-anchor:middle;mso-width-relative:page;mso-height-relative:page;" fillcolor="#00B050" filled="t" stroked="t" coordsize="21600,21600" o:gfxdata="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riCBY1wAAAAsBAAAPAAAA&#10;AAAAAAEAIAAAACIAAABkcnMvZG93bnJldi54bWxQSwECFAAUAAAACACHTuJABTT/0U8CAACrBAAA&#10;DgAAAAAAAAABACAAAAAmAQAAZHJzL2Uyb0RvYy54bWxQSwUGAAAAAAYABgBZAQAA5wUAAAAA&#10;" adj="-9143,56079">
                <v:fill on="t" focussize="0,0"/>
                <v:stroke weight="1pt" color="#41719C" joinstyle="miter"/>
                <v:imagedata o:title=""/>
                <o:lock v:ext="edit" aspectratio="f"/>
                <v:textbox>
                  <w:txbxContent>
                    <w:p w14:paraId="342BDFEA">
                      <w:r>
                        <w:rPr>
                          <w:rFonts w:hint="eastAsia"/>
                        </w:rPr>
                        <w:t>项目厂址</w:t>
                      </w:r>
                    </w:p>
                  </w:txbxContent>
                </v:textbox>
              </v:shape>
            </w:pict>
          </mc:Fallback>
        </mc:AlternateContent>
      </w:r>
    </w:p>
    <w:p w14:paraId="0C4DAD89">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图6.2-1</w:t>
      </w:r>
      <w:r>
        <w:rPr>
          <w:rFonts w:hint="eastAsia" w:eastAsia="黑体"/>
          <w:snapToGrid w:val="0"/>
          <w:color w:val="auto"/>
          <w:kern w:val="0"/>
          <w:szCs w:val="21"/>
          <w:highlight w:val="none"/>
          <w:lang w:val="en-US" w:eastAsia="zh-CN"/>
        </w:rPr>
        <w:t>3</w:t>
      </w:r>
      <w:r>
        <w:rPr>
          <w:rFonts w:hint="eastAsia" w:eastAsia="黑体"/>
          <w:snapToGrid w:val="0"/>
          <w:color w:val="auto"/>
          <w:kern w:val="0"/>
          <w:szCs w:val="21"/>
          <w:highlight w:val="none"/>
        </w:rPr>
        <w:t xml:space="preserve"> 勘察区潜水水化学类型分区图</w:t>
      </w:r>
    </w:p>
    <w:p w14:paraId="2C495230">
      <w:pPr>
        <w:adjustRightInd w:val="0"/>
        <w:snapToGrid w:val="0"/>
        <w:spacing w:line="360" w:lineRule="auto"/>
        <w:ind w:firstLine="480" w:firstLineChars="200"/>
        <w:contextualSpacing/>
        <w:rPr>
          <w:rFonts w:hint="default"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rPr>
        <w:t>（5）</w:t>
      </w:r>
      <w:r>
        <w:rPr>
          <w:rFonts w:hint="eastAsia" w:ascii="Times New Roman" w:hAnsi="Times New Roman" w:eastAsia="宋体" w:cs="Times New Roman"/>
          <w:snapToGrid w:val="0"/>
          <w:color w:val="auto"/>
          <w:kern w:val="0"/>
          <w:sz w:val="24"/>
          <w:highlight w:val="none"/>
          <w:lang w:val="en-US" w:eastAsia="zh-CN"/>
        </w:rPr>
        <w:t>预测情景</w:t>
      </w:r>
    </w:p>
    <w:p w14:paraId="5CD6A232">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val="en-US" w:eastAsia="zh-CN"/>
        </w:rPr>
        <w:t>1）</w:t>
      </w:r>
      <w:r>
        <w:rPr>
          <w:rFonts w:hint="eastAsia" w:ascii="Times New Roman" w:hAnsi="Times New Roman" w:eastAsia="宋体" w:cs="Times New Roman"/>
          <w:snapToGrid w:val="0"/>
          <w:color w:val="auto"/>
          <w:kern w:val="0"/>
          <w:highlight w:val="none"/>
        </w:rPr>
        <w:t>正常工况</w:t>
      </w:r>
    </w:p>
    <w:p w14:paraId="6FF52365">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snapToGrid w:val="0"/>
          <w:color w:val="auto"/>
          <w:kern w:val="0"/>
          <w:szCs w:val="21"/>
          <w:highlight w:val="none"/>
        </w:rPr>
        <w:t>发酵清洗废水</w:t>
      </w:r>
      <w:r>
        <w:rPr>
          <w:rFonts w:hint="eastAsia" w:ascii="Times New Roman" w:hAnsi="Times New Roman" w:eastAsia="宋体" w:cs="Times New Roman"/>
          <w:color w:val="auto"/>
          <w:kern w:val="0"/>
          <w:highlight w:val="none"/>
        </w:rPr>
        <w:t>、分离废水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ascii="Times New Roman" w:hAnsi="Times New Roman" w:eastAsia="宋体" w:cs="Times New Roman"/>
          <w:color w:val="auto"/>
          <w:kern w:val="0"/>
          <w:highlight w:val="none"/>
          <w:lang w:val="en-US" w:eastAsia="zh-CN"/>
        </w:rPr>
        <w:t>排入</w:t>
      </w:r>
      <w:r>
        <w:rPr>
          <w:rFonts w:hint="eastAsia" w:ascii="Times New Roman" w:hAnsi="Times New Roman" w:eastAsia="宋体" w:cs="Times New Roman"/>
          <w:color w:val="auto"/>
          <w:kern w:val="0"/>
          <w:highlight w:val="none"/>
        </w:rPr>
        <w:t>西区污水处理厂</w:t>
      </w:r>
      <w:r>
        <w:rPr>
          <w:rFonts w:hint="eastAsia" w:ascii="Times New Roman" w:hAnsi="Times New Roman" w:eastAsia="宋体" w:cs="Times New Roman"/>
          <w:color w:val="auto"/>
          <w:kern w:val="0"/>
          <w:highlight w:val="none"/>
          <w:lang w:val="en-US" w:eastAsia="zh-CN"/>
        </w:rPr>
        <w:t>二</w:t>
      </w:r>
      <w:r>
        <w:rPr>
          <w:rFonts w:hint="eastAsia" w:ascii="Times New Roman" w:hAnsi="Times New Roman" w:eastAsia="宋体" w:cs="Times New Roman"/>
          <w:color w:val="auto"/>
          <w:kern w:val="0"/>
          <w:highlight w:val="none"/>
        </w:rPr>
        <w:t>期工程</w:t>
      </w:r>
      <w:r>
        <w:rPr>
          <w:rFonts w:hint="eastAsia" w:ascii="Times New Roman" w:hAnsi="Times New Roman" w:eastAsia="宋体" w:cs="Times New Roman"/>
          <w:color w:val="auto"/>
          <w:kern w:val="0"/>
          <w:highlight w:val="none"/>
          <w:lang w:val="en-US" w:eastAsia="zh-CN"/>
        </w:rPr>
        <w:t>处理</w:t>
      </w: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kern w:val="0"/>
          <w:highlight w:val="none"/>
        </w:rPr>
        <w:t>循环水排污依托</w:t>
      </w:r>
      <w:r>
        <w:rPr>
          <w:rFonts w:hint="eastAsia"/>
          <w:snapToGrid w:val="0"/>
          <w:color w:val="auto"/>
          <w:kern w:val="0"/>
          <w:szCs w:val="21"/>
          <w:highlight w:val="none"/>
        </w:rPr>
        <w:t>现有污水处理站中水段</w:t>
      </w:r>
      <w:r>
        <w:rPr>
          <w:rFonts w:hint="eastAsia"/>
          <w:snapToGrid w:val="0"/>
          <w:color w:val="auto"/>
          <w:kern w:val="0"/>
          <w:szCs w:val="21"/>
          <w:highlight w:val="none"/>
          <w:lang w:val="en-US" w:eastAsia="zh-CN"/>
        </w:rPr>
        <w:t>处理；</w:t>
      </w:r>
      <w:r>
        <w:rPr>
          <w:rFonts w:hint="eastAsia" w:ascii="Times New Roman" w:hAnsi="Times New Roman" w:eastAsia="宋体" w:cs="Times New Roman"/>
          <w:color w:val="auto"/>
          <w:kern w:val="0"/>
          <w:highlight w:val="none"/>
        </w:rPr>
        <w:t>生活污水</w:t>
      </w: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kern w:val="0"/>
          <w:highlight w:val="none"/>
        </w:rPr>
        <w:t>水洗塔定排和碱洗塔定排</w:t>
      </w:r>
      <w:r>
        <w:rPr>
          <w:rFonts w:hint="eastAsia" w:ascii="Times New Roman" w:hAnsi="Times New Roman" w:eastAsia="宋体" w:cs="Times New Roman"/>
          <w:color w:val="auto"/>
          <w:kern w:val="0"/>
          <w:highlight w:val="none"/>
          <w:lang w:val="en-US" w:eastAsia="zh-CN"/>
        </w:rPr>
        <w:t>依托现有污水处理站生化段处理后</w:t>
      </w:r>
      <w:r>
        <w:rPr>
          <w:rFonts w:hint="eastAsia" w:ascii="Times New Roman" w:hAnsi="Times New Roman" w:eastAsia="宋体" w:cs="Times New Roman"/>
          <w:color w:val="auto"/>
          <w:kern w:val="0"/>
          <w:highlight w:val="none"/>
        </w:rPr>
        <w:t>排入西区</w:t>
      </w:r>
      <w:r>
        <w:rPr>
          <w:rFonts w:hint="eastAsia"/>
          <w:snapToGrid w:val="0"/>
          <w:color w:val="auto"/>
          <w:kern w:val="0"/>
          <w:szCs w:val="21"/>
          <w:highlight w:val="none"/>
        </w:rPr>
        <w:t>污水处理厂</w:t>
      </w:r>
      <w:r>
        <w:rPr>
          <w:rFonts w:hint="eastAsia"/>
          <w:snapToGrid w:val="0"/>
          <w:color w:val="auto"/>
          <w:kern w:val="0"/>
          <w:szCs w:val="21"/>
          <w:highlight w:val="none"/>
          <w:lang w:val="en-US" w:eastAsia="zh-CN"/>
        </w:rPr>
        <w:t>一</w:t>
      </w:r>
      <w:r>
        <w:rPr>
          <w:rFonts w:hint="eastAsia"/>
          <w:snapToGrid w:val="0"/>
          <w:color w:val="auto"/>
          <w:kern w:val="0"/>
          <w:szCs w:val="21"/>
          <w:highlight w:val="none"/>
        </w:rPr>
        <w:t>期</w:t>
      </w:r>
      <w:r>
        <w:rPr>
          <w:rFonts w:hint="eastAsia" w:ascii="Times New Roman" w:hAnsi="Times New Roman" w:eastAsia="宋体" w:cs="Times New Roman"/>
          <w:snapToGrid w:val="0"/>
          <w:color w:val="auto"/>
          <w:kern w:val="0"/>
          <w:highlight w:val="none"/>
        </w:rPr>
        <w:t>。</w:t>
      </w:r>
    </w:p>
    <w:p w14:paraId="74E73A2E">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厂区管线敷设尽量采用可视化原则，做到早发现、早处理，且本项目根据厂区可能泄漏至地面区域污染物的性质和生产单元的构筑方式，将厂区划分为重点污染防治区、一般污染防治区和简单防渗区，均采取了防渗设计。在防渗系统正常运行的情况下，本项目生产废水、生活污水向地下渗透将得到很好</w:t>
      </w:r>
      <w:r>
        <w:rPr>
          <w:rFonts w:hint="eastAsia" w:ascii="Times New Roman" w:hAnsi="Times New Roman" w:eastAsia="宋体" w:cs="Times New Roman"/>
          <w:snapToGrid w:val="0"/>
          <w:color w:val="auto"/>
          <w:kern w:val="0"/>
          <w:highlight w:val="none"/>
          <w:lang w:eastAsia="zh-CN"/>
        </w:rPr>
        <w:t>的</w:t>
      </w:r>
      <w:r>
        <w:rPr>
          <w:rFonts w:hint="eastAsia" w:ascii="Times New Roman" w:hAnsi="Times New Roman" w:eastAsia="宋体" w:cs="Times New Roman"/>
          <w:snapToGrid w:val="0"/>
          <w:color w:val="auto"/>
          <w:kern w:val="0"/>
          <w:highlight w:val="none"/>
        </w:rPr>
        <w:t>控制，不会对地下水质量造成功能类别的改变。按照《环境影响评价技术导则地下水环境》（HJ610-2016）要求：“9.4.2已依据GB16889、GB18597、GB18598、GB18599、GB/T50934设计地下水污染防渗措施的建设项目，可不进行正常状况情景下的预测”。因此，正常状况下，项目对场地地下包气带及地下水污染的可能性较小。故本评价不再进行正常状况的预测分析。</w:t>
      </w:r>
    </w:p>
    <w:p w14:paraId="014AAB6A">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lang w:val="en-US" w:eastAsia="zh-CN"/>
        </w:rPr>
        <w:t>2</w:t>
      </w:r>
      <w:r>
        <w:rPr>
          <w:rFonts w:hint="eastAsia"/>
          <w:snapToGrid w:val="0"/>
          <w:color w:val="auto"/>
          <w:kern w:val="0"/>
          <w:sz w:val="24"/>
          <w:highlight w:val="none"/>
        </w:rPr>
        <w:t>）非正常工况</w:t>
      </w:r>
    </w:p>
    <w:p w14:paraId="30C8C8F8">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rPr>
        <w:t>非正常状况是指建设项目的工艺设备或地下水环境保护措施因系统老化、腐蚀等原因不能正常运行或保护效果达不到设计要求时的运行状态。</w:t>
      </w:r>
    </w:p>
    <w:p w14:paraId="50E00FBE">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rPr>
        <w:t>埋地污水管道破裂发生渗漏时可能产生的影响主要是废水渗漏进入地下水，对局部地下水环境质量造成污染。一般情况下不与地表水发生水力联系，所以不会对地表水造成影响。</w:t>
      </w:r>
    </w:p>
    <w:p w14:paraId="54FED9EC">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rPr>
        <w:t>实际运行中管道可能有</w:t>
      </w:r>
      <w:r>
        <w:rPr>
          <w:rFonts w:hint="eastAsia"/>
          <w:snapToGrid w:val="0"/>
          <w:color w:val="auto"/>
          <w:kern w:val="0"/>
          <w:sz w:val="24"/>
          <w:highlight w:val="none"/>
          <w:lang w:eastAsia="zh-CN"/>
        </w:rPr>
        <w:t>以下</w:t>
      </w:r>
      <w:r>
        <w:rPr>
          <w:rFonts w:hint="eastAsia"/>
          <w:snapToGrid w:val="0"/>
          <w:color w:val="auto"/>
          <w:kern w:val="0"/>
          <w:sz w:val="24"/>
          <w:highlight w:val="none"/>
        </w:rPr>
        <w:t>几种典型情况：①污水短期大量溢流排放、②污水长期少量渗漏排放。大量溢流排放一般能及时发现，并采取措施加以控制，影响范围不大；地上管道无论是短期大量溢流还是少量渗漏排放，都能在巡检时发现，并及时处理，只有地下管道或污水站构筑物少量排放才较难发现，长期渗漏可能对地下水造成污染。</w:t>
      </w:r>
    </w:p>
    <w:p w14:paraId="52840AE0">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rPr>
        <w:t>本次环评主要考虑埋地污水管道局部破裂造成渗漏情况</w:t>
      </w:r>
      <w:r>
        <w:rPr>
          <w:rFonts w:hint="eastAsia"/>
          <w:snapToGrid w:val="0"/>
          <w:color w:val="auto"/>
          <w:kern w:val="0"/>
          <w:sz w:val="24"/>
          <w:highlight w:val="none"/>
          <w:lang w:val="en-US" w:eastAsia="zh-CN"/>
        </w:rPr>
        <w:t>和烷烃罐区防渗层破损</w:t>
      </w:r>
      <w:r>
        <w:rPr>
          <w:rFonts w:hint="eastAsia"/>
          <w:snapToGrid w:val="0"/>
          <w:color w:val="auto"/>
          <w:kern w:val="0"/>
          <w:sz w:val="24"/>
          <w:highlight w:val="none"/>
        </w:rPr>
        <w:t>造成渗漏情况。</w:t>
      </w:r>
    </w:p>
    <w:p w14:paraId="65F732BE">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lang w:val="en-US" w:eastAsia="zh-CN"/>
        </w:rPr>
        <w:t>泄漏物</w:t>
      </w:r>
      <w:r>
        <w:rPr>
          <w:rFonts w:hint="eastAsia"/>
          <w:snapToGrid w:val="0"/>
          <w:color w:val="auto"/>
          <w:kern w:val="0"/>
          <w:sz w:val="24"/>
          <w:highlight w:val="none"/>
        </w:rPr>
        <w:t>进入地下后，其污染物在地下水系统的迁移途径为：</w:t>
      </w:r>
    </w:p>
    <w:p w14:paraId="4F6386BD">
      <w:pPr>
        <w:adjustRightInd w:val="0"/>
        <w:snapToGrid w:val="0"/>
        <w:spacing w:line="360" w:lineRule="auto"/>
        <w:ind w:firstLine="480" w:firstLineChars="200"/>
        <w:contextualSpacing/>
        <w:rPr>
          <w:snapToGrid w:val="0"/>
          <w:color w:val="auto"/>
          <w:kern w:val="0"/>
          <w:sz w:val="24"/>
          <w:highlight w:val="none"/>
        </w:rPr>
      </w:pPr>
      <w:r>
        <w:rPr>
          <w:rFonts w:hint="eastAsia"/>
          <w:snapToGrid w:val="0"/>
          <w:color w:val="auto"/>
          <w:kern w:val="0"/>
          <w:sz w:val="24"/>
          <w:highlight w:val="none"/>
        </w:rPr>
        <w:t>入渗污染物→表土层→包气带→含水层→运移</w:t>
      </w:r>
    </w:p>
    <w:p w14:paraId="3C863288">
      <w:pPr>
        <w:adjustRightInd w:val="0"/>
        <w:snapToGrid w:val="0"/>
        <w:spacing w:line="360" w:lineRule="auto"/>
        <w:ind w:firstLine="480" w:firstLineChars="200"/>
        <w:contextualSpacing/>
        <w:rPr>
          <w:rFonts w:hint="eastAsia"/>
          <w:snapToGrid w:val="0"/>
          <w:color w:val="auto"/>
          <w:kern w:val="0"/>
          <w:sz w:val="24"/>
          <w:highlight w:val="none"/>
        </w:rPr>
      </w:pPr>
      <w:r>
        <w:rPr>
          <w:rFonts w:hint="eastAsia"/>
          <w:snapToGrid w:val="0"/>
          <w:color w:val="auto"/>
          <w:kern w:val="0"/>
          <w:sz w:val="24"/>
          <w:highlight w:val="none"/>
        </w:rPr>
        <w:t>把渗漏的量当成不被包气带吸附和降解而全部进入含水层计算，不考虑渗透本身造成的时间滞后，预测对地下水的影响。</w:t>
      </w:r>
    </w:p>
    <w:p w14:paraId="5372D89D">
      <w:pPr>
        <w:adjustRightInd w:val="0"/>
        <w:snapToGrid w:val="0"/>
        <w:spacing w:line="360" w:lineRule="auto"/>
        <w:ind w:firstLine="480" w:firstLineChars="200"/>
        <w:contextualSpacing/>
        <w:rPr>
          <w:rFonts w:hint="eastAsia"/>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6</w:t>
      </w:r>
      <w:r>
        <w:rPr>
          <w:rFonts w:hint="eastAsia" w:ascii="Times New Roman" w:hAnsi="Times New Roman" w:eastAsia="宋体" w:cs="Times New Roman"/>
          <w:snapToGrid w:val="0"/>
          <w:color w:val="auto"/>
          <w:kern w:val="0"/>
          <w:sz w:val="24"/>
          <w:highlight w:val="none"/>
        </w:rPr>
        <w:t>）</w:t>
      </w:r>
      <w:r>
        <w:rPr>
          <w:rFonts w:hint="eastAsia" w:ascii="Times New Roman" w:hAnsi="Times New Roman" w:eastAsia="宋体" w:cs="Times New Roman"/>
          <w:snapToGrid w:val="0"/>
          <w:color w:val="auto"/>
          <w:kern w:val="0"/>
          <w:sz w:val="24"/>
          <w:highlight w:val="none"/>
          <w:lang w:val="en-US" w:eastAsia="zh-CN"/>
        </w:rPr>
        <w:t>预测内容</w:t>
      </w:r>
    </w:p>
    <w:p w14:paraId="3CBD35CD">
      <w:pPr>
        <w:adjustRightInd w:val="0"/>
        <w:snapToGrid w:val="0"/>
        <w:spacing w:line="360" w:lineRule="auto"/>
        <w:ind w:firstLine="480" w:firstLineChars="200"/>
        <w:rPr>
          <w:color w:val="auto"/>
          <w:kern w:val="0"/>
          <w:sz w:val="24"/>
          <w:szCs w:val="28"/>
          <w:highlight w:val="none"/>
        </w:rPr>
      </w:pPr>
      <w:r>
        <w:rPr>
          <w:rFonts w:hint="eastAsia"/>
          <w:color w:val="auto"/>
          <w:kern w:val="0"/>
          <w:sz w:val="24"/>
          <w:szCs w:val="28"/>
          <w:highlight w:val="none"/>
        </w:rPr>
        <w:t>1）预测时间</w:t>
      </w:r>
    </w:p>
    <w:p w14:paraId="3BF4A62D">
      <w:pPr>
        <w:adjustRightInd w:val="0"/>
        <w:snapToGrid w:val="0"/>
        <w:spacing w:line="360" w:lineRule="auto"/>
        <w:ind w:firstLine="480" w:firstLineChars="200"/>
        <w:rPr>
          <w:color w:val="auto"/>
          <w:kern w:val="0"/>
          <w:sz w:val="24"/>
          <w:szCs w:val="28"/>
          <w:highlight w:val="none"/>
        </w:rPr>
      </w:pPr>
      <w:r>
        <w:rPr>
          <w:rFonts w:hint="eastAsia"/>
          <w:color w:val="auto"/>
          <w:kern w:val="0"/>
          <w:sz w:val="24"/>
          <w:szCs w:val="28"/>
          <w:highlight w:val="none"/>
        </w:rPr>
        <w:t>预测时间按事故发生后的相关时间段进行，分别预测100d，1000d，3650d对地下水环境的影响。</w:t>
      </w:r>
    </w:p>
    <w:p w14:paraId="68806863">
      <w:pPr>
        <w:adjustRightInd w:val="0"/>
        <w:snapToGrid w:val="0"/>
        <w:spacing w:line="360" w:lineRule="auto"/>
        <w:ind w:firstLine="480" w:firstLineChars="200"/>
        <w:rPr>
          <w:color w:val="auto"/>
          <w:kern w:val="0"/>
          <w:sz w:val="24"/>
          <w:szCs w:val="28"/>
          <w:highlight w:val="none"/>
        </w:rPr>
      </w:pPr>
      <w:r>
        <w:rPr>
          <w:rFonts w:hint="eastAsia"/>
          <w:color w:val="auto"/>
          <w:kern w:val="0"/>
          <w:sz w:val="24"/>
          <w:szCs w:val="28"/>
          <w:highlight w:val="none"/>
        </w:rPr>
        <w:t>2）预测范围</w:t>
      </w:r>
    </w:p>
    <w:p w14:paraId="149A3DBE">
      <w:pPr>
        <w:adjustRightInd w:val="0"/>
        <w:snapToGrid w:val="0"/>
        <w:spacing w:line="360" w:lineRule="auto"/>
        <w:ind w:firstLine="480" w:firstLineChars="200"/>
        <w:rPr>
          <w:color w:val="auto"/>
          <w:kern w:val="0"/>
          <w:sz w:val="24"/>
          <w:szCs w:val="28"/>
          <w:highlight w:val="none"/>
        </w:rPr>
      </w:pPr>
      <w:r>
        <w:rPr>
          <w:rFonts w:hint="eastAsia"/>
          <w:color w:val="auto"/>
          <w:kern w:val="0"/>
          <w:sz w:val="24"/>
          <w:szCs w:val="28"/>
          <w:highlight w:val="none"/>
        </w:rPr>
        <w:t>根据《环境影响评价技术导则—地下水环境》（HJ 610-2016），地下水评价等级为二级，评价范围</w:t>
      </w:r>
      <w:r>
        <w:rPr>
          <w:rFonts w:hint="eastAsia"/>
          <w:color w:val="auto"/>
          <w:kern w:val="0"/>
          <w:sz w:val="24"/>
          <w:szCs w:val="28"/>
          <w:highlight w:val="none"/>
          <w:lang w:val="en-US" w:eastAsia="zh-CN"/>
        </w:rPr>
        <w:t>厂界外延</w:t>
      </w:r>
      <w:r>
        <w:rPr>
          <w:rFonts w:hint="eastAsia"/>
          <w:color w:val="auto"/>
          <w:kern w:val="0"/>
          <w:sz w:val="24"/>
          <w:szCs w:val="28"/>
          <w:highlight w:val="none"/>
        </w:rPr>
        <w:t>为</w:t>
      </w:r>
      <w:r>
        <w:rPr>
          <w:rFonts w:hint="eastAsia"/>
          <w:color w:val="auto"/>
          <w:kern w:val="0"/>
          <w:sz w:val="24"/>
          <w:szCs w:val="28"/>
          <w:highlight w:val="none"/>
          <w:lang w:val="en-US" w:eastAsia="zh-CN"/>
        </w:rPr>
        <w:t>5.25</w:t>
      </w:r>
      <w:r>
        <w:rPr>
          <w:rFonts w:hint="eastAsia"/>
          <w:color w:val="auto"/>
          <w:kern w:val="0"/>
          <w:sz w:val="24"/>
          <w:szCs w:val="28"/>
          <w:highlight w:val="none"/>
        </w:rPr>
        <w:t>km×3.5km的区域，因此本次预测范围与评价范围保持一致。</w:t>
      </w:r>
    </w:p>
    <w:p w14:paraId="738F15A5">
      <w:pPr>
        <w:adjustRightInd w:val="0"/>
        <w:snapToGrid w:val="0"/>
        <w:spacing w:line="360" w:lineRule="auto"/>
        <w:ind w:firstLine="480" w:firstLineChars="200"/>
        <w:rPr>
          <w:color w:val="auto"/>
          <w:kern w:val="0"/>
          <w:sz w:val="24"/>
          <w:szCs w:val="28"/>
          <w:highlight w:val="none"/>
        </w:rPr>
      </w:pPr>
      <w:r>
        <w:rPr>
          <w:rFonts w:hint="eastAsia"/>
          <w:color w:val="auto"/>
          <w:kern w:val="0"/>
          <w:sz w:val="24"/>
          <w:szCs w:val="28"/>
          <w:highlight w:val="none"/>
        </w:rPr>
        <w:t>3）预测因子</w:t>
      </w:r>
    </w:p>
    <w:p w14:paraId="3FE38F09">
      <w:pPr>
        <w:adjustRightInd w:val="0"/>
        <w:snapToGrid w:val="0"/>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color w:val="auto"/>
          <w:kern w:val="0"/>
          <w:sz w:val="24"/>
          <w:szCs w:val="28"/>
          <w:highlight w:val="none"/>
          <w:lang w:val="en-US" w:eastAsia="zh-CN"/>
        </w:rPr>
        <w:t>根据</w:t>
      </w:r>
      <w:r>
        <w:rPr>
          <w:rFonts w:hint="eastAsia"/>
          <w:color w:val="auto"/>
          <w:kern w:val="0"/>
          <w:sz w:val="24"/>
          <w:szCs w:val="28"/>
          <w:highlight w:val="none"/>
        </w:rPr>
        <w:t>《环境影响评价技术导则-地下水环境》（HJ610-2016）</w:t>
      </w:r>
      <w:r>
        <w:rPr>
          <w:rFonts w:hint="eastAsia"/>
          <w:color w:val="auto"/>
          <w:kern w:val="0"/>
          <w:sz w:val="24"/>
          <w:szCs w:val="28"/>
          <w:highlight w:val="none"/>
          <w:lang w:eastAsia="zh-CN"/>
        </w:rPr>
        <w:t>，</w:t>
      </w:r>
      <w:r>
        <w:rPr>
          <w:rFonts w:hint="eastAsia"/>
          <w:color w:val="auto"/>
          <w:kern w:val="0"/>
          <w:sz w:val="24"/>
          <w:szCs w:val="28"/>
          <w:highlight w:val="none"/>
        </w:rPr>
        <w:t>项目废水</w:t>
      </w:r>
      <w:r>
        <w:rPr>
          <w:rFonts w:hint="eastAsia"/>
          <w:color w:val="auto"/>
          <w:kern w:val="0"/>
          <w:sz w:val="24"/>
          <w:szCs w:val="28"/>
          <w:highlight w:val="none"/>
          <w:lang w:val="en-US" w:eastAsia="zh-CN"/>
        </w:rPr>
        <w:t>中</w:t>
      </w:r>
      <w:r>
        <w:rPr>
          <w:rFonts w:hint="eastAsia"/>
          <w:color w:val="auto"/>
          <w:kern w:val="0"/>
          <w:sz w:val="24"/>
          <w:szCs w:val="28"/>
          <w:highlight w:val="none"/>
        </w:rPr>
        <w:t>主要污染物为COD、氨氮、</w:t>
      </w:r>
      <w:r>
        <w:rPr>
          <w:rFonts w:hint="eastAsia"/>
          <w:color w:val="auto"/>
          <w:kern w:val="0"/>
          <w:sz w:val="24"/>
          <w:szCs w:val="28"/>
          <w:highlight w:val="none"/>
          <w:lang w:val="en-US" w:eastAsia="zh-CN"/>
        </w:rPr>
        <w:t>总磷、总氮、TDS</w:t>
      </w:r>
      <w:r>
        <w:rPr>
          <w:rFonts w:hint="eastAsia"/>
          <w:color w:val="auto"/>
          <w:kern w:val="0"/>
          <w:sz w:val="24"/>
          <w:szCs w:val="28"/>
          <w:highlight w:val="none"/>
        </w:rPr>
        <w:t>等</w:t>
      </w:r>
      <w:r>
        <w:rPr>
          <w:rFonts w:hint="eastAsia"/>
          <w:color w:val="auto"/>
          <w:kern w:val="0"/>
          <w:sz w:val="24"/>
          <w:szCs w:val="28"/>
          <w:highlight w:val="none"/>
          <w:lang w:eastAsia="zh-CN"/>
        </w:rPr>
        <w:t>；</w:t>
      </w:r>
      <w:r>
        <w:rPr>
          <w:rFonts w:hint="eastAsia" w:ascii="宋体" w:hAnsi="宋体" w:eastAsia="宋体" w:cs="宋体"/>
          <w:color w:val="auto"/>
          <w:spacing w:val="1"/>
          <w:sz w:val="24"/>
          <w:szCs w:val="24"/>
          <w:highlight w:val="none"/>
          <w:lang w:val="en-US" w:eastAsia="zh-CN"/>
        </w:rPr>
        <w:t>烷烃</w:t>
      </w:r>
      <w:r>
        <w:rPr>
          <w:rFonts w:hint="eastAsia" w:ascii="宋体" w:hAnsi="宋体" w:cs="宋体"/>
          <w:color w:val="auto"/>
          <w:spacing w:val="1"/>
          <w:sz w:val="24"/>
          <w:szCs w:val="24"/>
          <w:highlight w:val="none"/>
          <w:lang w:val="en-US" w:eastAsia="zh-CN"/>
        </w:rPr>
        <w:t>罐区</w:t>
      </w:r>
      <w:r>
        <w:rPr>
          <w:rFonts w:ascii="宋体" w:hAnsi="宋体" w:eastAsia="宋体" w:cs="宋体"/>
          <w:color w:val="auto"/>
          <w:spacing w:val="1"/>
          <w:sz w:val="24"/>
          <w:szCs w:val="24"/>
          <w:highlight w:val="none"/>
        </w:rPr>
        <w:t>发生泄漏</w:t>
      </w:r>
      <w:r>
        <w:rPr>
          <w:rFonts w:hint="eastAsia" w:ascii="Times New Roman" w:hAnsi="Times New Roman" w:eastAsia="宋体" w:cs="Times New Roman"/>
          <w:color w:val="auto"/>
          <w:kern w:val="0"/>
          <w:sz w:val="24"/>
          <w:szCs w:val="28"/>
          <w:highlight w:val="none"/>
          <w:lang w:val="en-US" w:eastAsia="zh-CN"/>
        </w:rPr>
        <w:t>，主要污染物为</w:t>
      </w:r>
      <w:r>
        <w:rPr>
          <w:rFonts w:hint="eastAsia" w:cs="Times New Roman"/>
          <w:color w:val="auto"/>
          <w:kern w:val="0"/>
          <w:sz w:val="24"/>
          <w:szCs w:val="28"/>
          <w:highlight w:val="none"/>
          <w:lang w:val="en-US" w:eastAsia="zh-CN"/>
        </w:rPr>
        <w:t>石油类</w:t>
      </w:r>
      <w:r>
        <w:rPr>
          <w:rFonts w:hint="eastAsia" w:ascii="Times New Roman" w:hAnsi="Times New Roman" w:eastAsia="宋体" w:cs="Times New Roman"/>
          <w:color w:val="auto"/>
          <w:kern w:val="0"/>
          <w:sz w:val="24"/>
          <w:szCs w:val="28"/>
          <w:highlight w:val="none"/>
          <w:lang w:val="en-US" w:eastAsia="zh-CN"/>
        </w:rPr>
        <w:t>。</w:t>
      </w:r>
    </w:p>
    <w:p w14:paraId="682CB8A8">
      <w:pPr>
        <w:adjustRightInd w:val="0"/>
        <w:snapToGrid w:val="0"/>
        <w:jc w:val="center"/>
        <w:rPr>
          <w:rFonts w:hint="eastAsia" w:ascii="Times New Roman" w:hAnsi="Times New Roman" w:eastAsia="宋体" w:cs="Times New Roman"/>
          <w:b/>
          <w:bCs/>
          <w:snapToGrid w:val="0"/>
          <w:color w:val="auto"/>
          <w:kern w:val="0"/>
          <w:szCs w:val="21"/>
          <w:highlight w:val="none"/>
          <w:lang w:val="zh-CN" w:eastAsia="zh-CN"/>
        </w:rPr>
      </w:pPr>
      <w:r>
        <w:rPr>
          <w:rFonts w:hint="eastAsia" w:ascii="Times New Roman" w:hAnsi="Times New Roman" w:eastAsia="宋体" w:cs="Times New Roman"/>
          <w:b/>
          <w:bCs/>
          <w:snapToGrid w:val="0"/>
          <w:color w:val="auto"/>
          <w:kern w:val="0"/>
          <w:szCs w:val="21"/>
          <w:highlight w:val="none"/>
          <w:lang w:val="zh-CN" w:eastAsia="zh-CN"/>
        </w:rPr>
        <w:t>表</w:t>
      </w:r>
      <w:r>
        <w:rPr>
          <w:rFonts w:hint="eastAsia" w:cs="Times New Roman"/>
          <w:b/>
          <w:bCs/>
          <w:snapToGrid w:val="0"/>
          <w:color w:val="auto"/>
          <w:kern w:val="0"/>
          <w:szCs w:val="21"/>
          <w:highlight w:val="none"/>
          <w:lang w:val="en-US" w:eastAsia="zh-CN"/>
        </w:rPr>
        <w:t>6.2-29</w:t>
      </w:r>
      <w:r>
        <w:rPr>
          <w:rFonts w:hint="eastAsia" w:ascii="Times New Roman" w:hAnsi="Times New Roman" w:eastAsia="宋体" w:cs="Times New Roman"/>
          <w:b/>
          <w:bCs/>
          <w:snapToGrid w:val="0"/>
          <w:color w:val="auto"/>
          <w:kern w:val="0"/>
          <w:szCs w:val="21"/>
          <w:highlight w:val="none"/>
          <w:lang w:val="zh-CN" w:eastAsia="zh-CN"/>
        </w:rPr>
        <w:t xml:space="preserve"> 污染因子标准指数法计算结果</w:t>
      </w:r>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93"/>
        <w:gridCol w:w="1567"/>
        <w:gridCol w:w="1363"/>
        <w:gridCol w:w="1514"/>
        <w:gridCol w:w="2123"/>
        <w:gridCol w:w="662"/>
      </w:tblGrid>
      <w:tr w14:paraId="6AC2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8" w:hRule="atLeast"/>
        </w:trPr>
        <w:tc>
          <w:tcPr>
            <w:tcW w:w="758" w:type="pct"/>
            <w:shd w:val="clear" w:color="auto" w:fill="auto"/>
            <w:noWrap w:val="0"/>
            <w:vAlign w:val="center"/>
          </w:tcPr>
          <w:p w14:paraId="1ACF1A2D">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污染源</w:t>
            </w:r>
          </w:p>
        </w:tc>
        <w:tc>
          <w:tcPr>
            <w:tcW w:w="919" w:type="pct"/>
            <w:shd w:val="clear" w:color="auto" w:fill="auto"/>
            <w:noWrap w:val="0"/>
            <w:vAlign w:val="center"/>
          </w:tcPr>
          <w:p w14:paraId="3A126BA1">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污染因子</w:t>
            </w:r>
          </w:p>
        </w:tc>
        <w:tc>
          <w:tcPr>
            <w:tcW w:w="799" w:type="pct"/>
            <w:shd w:val="clear" w:color="auto" w:fill="auto"/>
            <w:noWrap w:val="0"/>
            <w:vAlign w:val="center"/>
          </w:tcPr>
          <w:p w14:paraId="083C5CE0">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污染物浓度</w:t>
            </w:r>
            <w:r>
              <w:rPr>
                <w:rFonts w:hint="eastAsia"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mg/L</w:t>
            </w:r>
            <w:r>
              <w:rPr>
                <w:rFonts w:hint="eastAsia" w:cs="Times New Roman"/>
                <w:snapToGrid w:val="0"/>
                <w:color w:val="auto"/>
                <w:kern w:val="0"/>
                <w:sz w:val="21"/>
                <w:szCs w:val="21"/>
                <w:highlight w:val="none"/>
                <w:lang w:eastAsia="zh-CN"/>
              </w:rPr>
              <w:t>）</w:t>
            </w:r>
          </w:p>
        </w:tc>
        <w:tc>
          <w:tcPr>
            <w:tcW w:w="888" w:type="pct"/>
            <w:shd w:val="clear" w:color="auto" w:fill="auto"/>
            <w:noWrap w:val="0"/>
            <w:vAlign w:val="center"/>
          </w:tcPr>
          <w:p w14:paraId="66356F46">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Ⅲ</w:t>
            </w:r>
            <w:r>
              <w:rPr>
                <w:rFonts w:ascii="Times New Roman" w:hAnsi="Times New Roman" w:eastAsia="宋体" w:cs="Times New Roman"/>
                <w:snapToGrid w:val="0"/>
                <w:color w:val="auto"/>
                <w:kern w:val="0"/>
                <w:sz w:val="21"/>
                <w:szCs w:val="21"/>
                <w:highlight w:val="none"/>
              </w:rPr>
              <w:t>类标准限值</w:t>
            </w:r>
          </w:p>
        </w:tc>
        <w:tc>
          <w:tcPr>
            <w:tcW w:w="1245" w:type="pct"/>
            <w:shd w:val="clear" w:color="auto" w:fill="auto"/>
            <w:noWrap w:val="0"/>
            <w:vAlign w:val="center"/>
          </w:tcPr>
          <w:p w14:paraId="777F8AA3">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标准指数法计算结果</w:t>
            </w:r>
          </w:p>
        </w:tc>
        <w:tc>
          <w:tcPr>
            <w:tcW w:w="388" w:type="pct"/>
            <w:shd w:val="clear" w:color="auto" w:fill="auto"/>
            <w:noWrap w:val="0"/>
            <w:vAlign w:val="center"/>
          </w:tcPr>
          <w:p w14:paraId="43B0DDC5">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排序</w:t>
            </w:r>
          </w:p>
        </w:tc>
      </w:tr>
      <w:tr w14:paraId="3F00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8" w:type="pct"/>
            <w:vMerge w:val="restart"/>
            <w:shd w:val="clear" w:color="auto" w:fill="auto"/>
            <w:noWrap w:val="0"/>
            <w:vAlign w:val="center"/>
          </w:tcPr>
          <w:p w14:paraId="5BAF79A7">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高浓废水</w:t>
            </w:r>
          </w:p>
        </w:tc>
        <w:tc>
          <w:tcPr>
            <w:tcW w:w="919" w:type="pct"/>
            <w:shd w:val="clear" w:color="auto" w:fill="auto"/>
            <w:noWrap w:val="0"/>
            <w:vAlign w:val="center"/>
          </w:tcPr>
          <w:p w14:paraId="0D7A597C">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COD</w:t>
            </w:r>
          </w:p>
        </w:tc>
        <w:tc>
          <w:tcPr>
            <w:tcW w:w="799" w:type="pct"/>
            <w:shd w:val="clear" w:color="auto" w:fill="auto"/>
            <w:noWrap w:val="0"/>
            <w:vAlign w:val="center"/>
          </w:tcPr>
          <w:p w14:paraId="7901808F">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11700</w:t>
            </w:r>
          </w:p>
        </w:tc>
        <w:tc>
          <w:tcPr>
            <w:tcW w:w="888" w:type="pct"/>
            <w:shd w:val="clear" w:color="auto" w:fill="auto"/>
            <w:noWrap w:val="0"/>
            <w:vAlign w:val="center"/>
          </w:tcPr>
          <w:p w14:paraId="41B654EC">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3.0mg/L</w:t>
            </w:r>
          </w:p>
        </w:tc>
        <w:tc>
          <w:tcPr>
            <w:tcW w:w="1245" w:type="pct"/>
            <w:shd w:val="clear" w:color="auto" w:fill="auto"/>
            <w:noWrap w:val="0"/>
            <w:vAlign w:val="center"/>
          </w:tcPr>
          <w:p w14:paraId="71416EAA">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3900</w:t>
            </w:r>
          </w:p>
        </w:tc>
        <w:tc>
          <w:tcPr>
            <w:tcW w:w="388" w:type="pct"/>
            <w:shd w:val="clear" w:color="auto" w:fill="auto"/>
            <w:noWrap w:val="0"/>
            <w:vAlign w:val="center"/>
          </w:tcPr>
          <w:p w14:paraId="1D8D3D3E">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w:t>
            </w:r>
          </w:p>
        </w:tc>
      </w:tr>
      <w:tr w14:paraId="39AD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8" w:type="pct"/>
            <w:vMerge w:val="continue"/>
            <w:shd w:val="clear" w:color="auto" w:fill="auto"/>
            <w:noWrap w:val="0"/>
            <w:vAlign w:val="center"/>
          </w:tcPr>
          <w:p w14:paraId="1D191CB7">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p>
        </w:tc>
        <w:tc>
          <w:tcPr>
            <w:tcW w:w="919" w:type="pct"/>
            <w:shd w:val="clear" w:color="auto" w:fill="auto"/>
            <w:noWrap w:val="0"/>
            <w:vAlign w:val="center"/>
          </w:tcPr>
          <w:p w14:paraId="391128BF">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eastAsia="zh-CN"/>
              </w:rPr>
              <w:t>氨氮</w:t>
            </w:r>
          </w:p>
        </w:tc>
        <w:tc>
          <w:tcPr>
            <w:tcW w:w="799" w:type="pct"/>
            <w:shd w:val="clear" w:color="auto" w:fill="auto"/>
            <w:noWrap w:val="0"/>
            <w:vAlign w:val="center"/>
          </w:tcPr>
          <w:p w14:paraId="6DAFCBC9">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290</w:t>
            </w:r>
          </w:p>
        </w:tc>
        <w:tc>
          <w:tcPr>
            <w:tcW w:w="888" w:type="pct"/>
            <w:shd w:val="clear" w:color="auto" w:fill="auto"/>
            <w:noWrap w:val="0"/>
            <w:vAlign w:val="center"/>
          </w:tcPr>
          <w:p w14:paraId="6AA05EEA">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0.50mg/L</w:t>
            </w:r>
          </w:p>
        </w:tc>
        <w:tc>
          <w:tcPr>
            <w:tcW w:w="1245" w:type="pct"/>
            <w:shd w:val="clear" w:color="auto" w:fill="auto"/>
            <w:noWrap w:val="0"/>
            <w:vAlign w:val="center"/>
          </w:tcPr>
          <w:p w14:paraId="01A0ED26">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580</w:t>
            </w:r>
          </w:p>
        </w:tc>
        <w:tc>
          <w:tcPr>
            <w:tcW w:w="388" w:type="pct"/>
            <w:shd w:val="clear" w:color="auto" w:fill="auto"/>
            <w:noWrap w:val="0"/>
            <w:vAlign w:val="center"/>
          </w:tcPr>
          <w:p w14:paraId="5FE9C7FC">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4</w:t>
            </w:r>
          </w:p>
        </w:tc>
      </w:tr>
      <w:tr w14:paraId="117A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58" w:type="pct"/>
            <w:vMerge w:val="continue"/>
            <w:shd w:val="clear" w:color="auto" w:fill="auto"/>
            <w:noWrap w:val="0"/>
            <w:vAlign w:val="center"/>
          </w:tcPr>
          <w:p w14:paraId="6092099E">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p>
        </w:tc>
        <w:tc>
          <w:tcPr>
            <w:tcW w:w="919" w:type="pct"/>
            <w:shd w:val="clear" w:color="auto" w:fill="auto"/>
            <w:noWrap w:val="0"/>
            <w:vAlign w:val="center"/>
          </w:tcPr>
          <w:p w14:paraId="5C9A7DAF">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总</w:t>
            </w:r>
            <w:r>
              <w:rPr>
                <w:rFonts w:hint="eastAsia" w:ascii="Times New Roman" w:hAnsi="Times New Roman" w:eastAsia="宋体" w:cs="Times New Roman"/>
                <w:snapToGrid w:val="0"/>
                <w:color w:val="auto"/>
                <w:kern w:val="0"/>
                <w:sz w:val="21"/>
                <w:szCs w:val="21"/>
                <w:highlight w:val="none"/>
                <w:lang w:eastAsia="zh-CN"/>
              </w:rPr>
              <w:t>氮</w:t>
            </w:r>
          </w:p>
        </w:tc>
        <w:tc>
          <w:tcPr>
            <w:tcW w:w="799" w:type="pct"/>
            <w:shd w:val="clear" w:color="auto" w:fill="auto"/>
            <w:noWrap w:val="0"/>
            <w:vAlign w:val="center"/>
          </w:tcPr>
          <w:p w14:paraId="2AD61E59">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390</w:t>
            </w:r>
          </w:p>
        </w:tc>
        <w:tc>
          <w:tcPr>
            <w:tcW w:w="888" w:type="pct"/>
            <w:shd w:val="clear" w:color="auto" w:fill="auto"/>
            <w:noWrap w:val="0"/>
            <w:vAlign w:val="center"/>
          </w:tcPr>
          <w:p w14:paraId="5733118B">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1.0mg/L</w:t>
            </w:r>
          </w:p>
        </w:tc>
        <w:tc>
          <w:tcPr>
            <w:tcW w:w="1245" w:type="pct"/>
            <w:shd w:val="clear" w:color="auto" w:fill="auto"/>
            <w:noWrap w:val="0"/>
            <w:vAlign w:val="center"/>
          </w:tcPr>
          <w:p w14:paraId="4FFD4AB3">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390</w:t>
            </w:r>
          </w:p>
        </w:tc>
        <w:tc>
          <w:tcPr>
            <w:tcW w:w="388" w:type="pct"/>
            <w:shd w:val="clear" w:color="auto" w:fill="auto"/>
            <w:noWrap w:val="0"/>
            <w:vAlign w:val="center"/>
          </w:tcPr>
          <w:p w14:paraId="40099908">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5</w:t>
            </w:r>
          </w:p>
        </w:tc>
      </w:tr>
      <w:tr w14:paraId="7681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758" w:type="pct"/>
            <w:vMerge w:val="continue"/>
            <w:shd w:val="clear" w:color="auto" w:fill="auto"/>
            <w:noWrap w:val="0"/>
            <w:vAlign w:val="center"/>
          </w:tcPr>
          <w:p w14:paraId="3D22CEE6">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p>
        </w:tc>
        <w:tc>
          <w:tcPr>
            <w:tcW w:w="919" w:type="pct"/>
            <w:shd w:val="clear" w:color="auto" w:fill="auto"/>
            <w:noWrap w:val="0"/>
            <w:vAlign w:val="center"/>
          </w:tcPr>
          <w:p w14:paraId="57207BCC">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总磷</w:t>
            </w:r>
          </w:p>
        </w:tc>
        <w:tc>
          <w:tcPr>
            <w:tcW w:w="799" w:type="pct"/>
            <w:shd w:val="clear" w:color="auto" w:fill="auto"/>
            <w:noWrap w:val="0"/>
            <w:vAlign w:val="center"/>
          </w:tcPr>
          <w:p w14:paraId="487505E2">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490</w:t>
            </w:r>
          </w:p>
        </w:tc>
        <w:tc>
          <w:tcPr>
            <w:tcW w:w="888" w:type="pct"/>
            <w:shd w:val="clear" w:color="auto" w:fill="auto"/>
            <w:noWrap w:val="0"/>
            <w:vAlign w:val="center"/>
          </w:tcPr>
          <w:p w14:paraId="5DAA6BBD">
            <w:pPr>
              <w:pStyle w:val="768"/>
              <w:adjustRightInd w:val="0"/>
              <w:snapToGrid w:val="0"/>
              <w:spacing w:line="240" w:lineRule="auto"/>
              <w:jc w:val="center"/>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0.2mg/L</w:t>
            </w:r>
          </w:p>
        </w:tc>
        <w:tc>
          <w:tcPr>
            <w:tcW w:w="1245" w:type="pct"/>
            <w:shd w:val="clear" w:color="auto" w:fill="auto"/>
            <w:noWrap w:val="0"/>
            <w:vAlign w:val="center"/>
          </w:tcPr>
          <w:p w14:paraId="2460ADBC">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2450</w:t>
            </w:r>
          </w:p>
        </w:tc>
        <w:tc>
          <w:tcPr>
            <w:tcW w:w="388" w:type="pct"/>
            <w:shd w:val="clear" w:color="auto" w:fill="auto"/>
            <w:noWrap w:val="0"/>
            <w:vAlign w:val="center"/>
          </w:tcPr>
          <w:p w14:paraId="5B7AA416">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3</w:t>
            </w:r>
          </w:p>
        </w:tc>
      </w:tr>
      <w:tr w14:paraId="09BC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758" w:type="pct"/>
            <w:shd w:val="clear" w:color="auto" w:fill="auto"/>
            <w:noWrap w:val="0"/>
            <w:vAlign w:val="center"/>
          </w:tcPr>
          <w:p w14:paraId="288DA21B">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废水总排口</w:t>
            </w:r>
          </w:p>
        </w:tc>
        <w:tc>
          <w:tcPr>
            <w:tcW w:w="919" w:type="pct"/>
            <w:shd w:val="clear" w:color="auto" w:fill="auto"/>
            <w:noWrap w:val="0"/>
            <w:vAlign w:val="center"/>
          </w:tcPr>
          <w:p w14:paraId="1FD3B52E">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eastAsia="zh-CN"/>
              </w:rPr>
              <w:t>溶解性总固体</w:t>
            </w:r>
          </w:p>
        </w:tc>
        <w:tc>
          <w:tcPr>
            <w:tcW w:w="799" w:type="pct"/>
            <w:shd w:val="clear" w:color="auto" w:fill="auto"/>
            <w:noWrap w:val="0"/>
            <w:vAlign w:val="center"/>
          </w:tcPr>
          <w:p w14:paraId="06C9D4C0">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1470</w:t>
            </w:r>
          </w:p>
        </w:tc>
        <w:tc>
          <w:tcPr>
            <w:tcW w:w="888" w:type="pct"/>
            <w:shd w:val="clear" w:color="auto" w:fill="auto"/>
            <w:noWrap w:val="0"/>
            <w:vAlign w:val="center"/>
          </w:tcPr>
          <w:p w14:paraId="19867C57">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1000mg/L</w:t>
            </w:r>
          </w:p>
        </w:tc>
        <w:tc>
          <w:tcPr>
            <w:tcW w:w="1245" w:type="pct"/>
            <w:shd w:val="clear" w:color="auto" w:fill="auto"/>
            <w:noWrap w:val="0"/>
            <w:vAlign w:val="center"/>
          </w:tcPr>
          <w:p w14:paraId="7FC34B4B">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1.47</w:t>
            </w:r>
          </w:p>
        </w:tc>
        <w:tc>
          <w:tcPr>
            <w:tcW w:w="388" w:type="pct"/>
            <w:shd w:val="clear" w:color="auto" w:fill="auto"/>
            <w:noWrap w:val="0"/>
            <w:vAlign w:val="center"/>
          </w:tcPr>
          <w:p w14:paraId="2F855B92">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6</w:t>
            </w:r>
          </w:p>
        </w:tc>
      </w:tr>
      <w:tr w14:paraId="60C2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758" w:type="pct"/>
            <w:shd w:val="clear" w:color="auto" w:fill="auto"/>
            <w:noWrap w:val="0"/>
            <w:vAlign w:val="center"/>
          </w:tcPr>
          <w:p w14:paraId="0FDD8346">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烷烃</w:t>
            </w:r>
            <w:r>
              <w:rPr>
                <w:rFonts w:hint="eastAsia" w:cs="Times New Roman"/>
                <w:snapToGrid w:val="0"/>
                <w:color w:val="auto"/>
                <w:kern w:val="0"/>
                <w:sz w:val="21"/>
                <w:szCs w:val="21"/>
                <w:highlight w:val="none"/>
                <w:lang w:val="en-US" w:eastAsia="zh-CN"/>
              </w:rPr>
              <w:t>泄漏</w:t>
            </w:r>
          </w:p>
        </w:tc>
        <w:tc>
          <w:tcPr>
            <w:tcW w:w="919" w:type="pct"/>
            <w:shd w:val="clear" w:color="auto" w:fill="auto"/>
            <w:noWrap w:val="0"/>
            <w:vAlign w:val="center"/>
          </w:tcPr>
          <w:p w14:paraId="0E6564DB">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eastAsia="zh-CN"/>
              </w:rPr>
              <w:t>石油类</w:t>
            </w:r>
          </w:p>
        </w:tc>
        <w:tc>
          <w:tcPr>
            <w:tcW w:w="799" w:type="pct"/>
            <w:shd w:val="clear" w:color="auto" w:fill="auto"/>
            <w:noWrap w:val="0"/>
            <w:vAlign w:val="center"/>
          </w:tcPr>
          <w:p w14:paraId="3ED06352">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735000</w:t>
            </w:r>
          </w:p>
        </w:tc>
        <w:tc>
          <w:tcPr>
            <w:tcW w:w="888" w:type="pct"/>
            <w:shd w:val="clear" w:color="auto" w:fill="auto"/>
            <w:noWrap w:val="0"/>
            <w:vAlign w:val="center"/>
          </w:tcPr>
          <w:p w14:paraId="41A611AE">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0.0</w:t>
            </w:r>
            <w:r>
              <w:rPr>
                <w:rFonts w:hint="eastAsia" w:ascii="Times New Roman" w:hAnsi="Times New Roman" w:eastAsia="宋体" w:cs="Times New Roman"/>
                <w:snapToGrid w:val="0"/>
                <w:color w:val="auto"/>
                <w:kern w:val="0"/>
                <w:sz w:val="21"/>
                <w:szCs w:val="21"/>
                <w:highlight w:val="none"/>
                <w:lang w:val="en-US" w:eastAsia="zh-CN"/>
              </w:rPr>
              <w:t>5</w:t>
            </w:r>
            <w:r>
              <w:rPr>
                <w:rFonts w:ascii="Times New Roman" w:hAnsi="Times New Roman" w:eastAsia="宋体" w:cs="Times New Roman"/>
                <w:snapToGrid w:val="0"/>
                <w:color w:val="auto"/>
                <w:kern w:val="0"/>
                <w:sz w:val="21"/>
                <w:szCs w:val="21"/>
                <w:highlight w:val="none"/>
              </w:rPr>
              <w:t>mg/L</w:t>
            </w:r>
          </w:p>
        </w:tc>
        <w:tc>
          <w:tcPr>
            <w:tcW w:w="1245" w:type="pct"/>
            <w:shd w:val="clear" w:color="auto" w:fill="auto"/>
            <w:noWrap w:val="0"/>
            <w:vAlign w:val="center"/>
          </w:tcPr>
          <w:p w14:paraId="71D351D2">
            <w:pPr>
              <w:pStyle w:val="768"/>
              <w:adjustRightInd w:val="0"/>
              <w:snapToGrid w:val="0"/>
              <w:spacing w:line="240" w:lineRule="auto"/>
              <w:jc w:val="center"/>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14700000</w:t>
            </w:r>
          </w:p>
        </w:tc>
        <w:tc>
          <w:tcPr>
            <w:tcW w:w="388" w:type="pct"/>
            <w:shd w:val="clear" w:color="auto" w:fill="auto"/>
            <w:noWrap w:val="0"/>
            <w:vAlign w:val="center"/>
          </w:tcPr>
          <w:p w14:paraId="02EC25D8">
            <w:pPr>
              <w:pStyle w:val="768"/>
              <w:adjustRightInd w:val="0"/>
              <w:snapToGrid w:val="0"/>
              <w:spacing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w:t>
            </w:r>
          </w:p>
        </w:tc>
      </w:tr>
    </w:tbl>
    <w:p w14:paraId="46237CA4">
      <w:pPr>
        <w:adjustRightInd w:val="0"/>
        <w:snapToGrid w:val="0"/>
        <w:spacing w:before="156" w:beforeLines="50" w:line="360" w:lineRule="auto"/>
        <w:ind w:firstLine="480" w:firstLineChars="200"/>
        <w:rPr>
          <w:rFonts w:hint="eastAsia"/>
          <w:color w:val="auto"/>
          <w:kern w:val="0"/>
          <w:sz w:val="24"/>
          <w:highlight w:val="none"/>
        </w:rPr>
      </w:pPr>
      <w:r>
        <w:rPr>
          <w:rFonts w:hint="eastAsia"/>
          <w:color w:val="auto"/>
          <w:kern w:val="0"/>
          <w:sz w:val="24"/>
          <w:szCs w:val="28"/>
          <w:highlight w:val="none"/>
          <w:lang w:val="en-US" w:eastAsia="zh-CN"/>
        </w:rPr>
        <w:t>由于COD、总磷在</w:t>
      </w:r>
      <w:r>
        <w:rPr>
          <w:rFonts w:hint="eastAsia" w:ascii="Times New Roman" w:hAnsi="Times New Roman" w:eastAsia="宋体" w:cs="Times New Roman"/>
          <w:color w:val="auto"/>
          <w:kern w:val="0"/>
          <w:sz w:val="24"/>
          <w:szCs w:val="28"/>
          <w:highlight w:val="none"/>
          <w:lang w:val="en-US" w:eastAsia="zh-CN"/>
        </w:rPr>
        <w:t>《地下水质量标准》（GB/T14848-2017）中无评价标准，</w:t>
      </w:r>
      <w:r>
        <w:rPr>
          <w:rFonts w:hint="eastAsia"/>
          <w:color w:val="auto"/>
          <w:kern w:val="0"/>
          <w:sz w:val="24"/>
          <w:szCs w:val="28"/>
          <w:highlight w:val="none"/>
          <w:lang w:val="en-US" w:eastAsia="zh-CN"/>
        </w:rPr>
        <w:t>选取</w:t>
      </w:r>
      <w:r>
        <w:rPr>
          <w:rFonts w:hint="eastAsia"/>
          <w:color w:val="auto"/>
          <w:kern w:val="0"/>
          <w:sz w:val="24"/>
          <w:szCs w:val="28"/>
          <w:highlight w:val="none"/>
        </w:rPr>
        <w:t>标准指数</w:t>
      </w:r>
      <w:r>
        <w:rPr>
          <w:rFonts w:hint="eastAsia"/>
          <w:color w:val="auto"/>
          <w:kern w:val="0"/>
          <w:sz w:val="24"/>
          <w:szCs w:val="28"/>
          <w:highlight w:val="none"/>
          <w:lang w:val="en-US" w:eastAsia="zh-CN"/>
        </w:rPr>
        <w:t>较大的氨氮</w:t>
      </w:r>
      <w:r>
        <w:rPr>
          <w:rFonts w:hint="eastAsia"/>
          <w:color w:val="auto"/>
          <w:kern w:val="0"/>
          <w:sz w:val="24"/>
          <w:szCs w:val="28"/>
          <w:highlight w:val="none"/>
        </w:rPr>
        <w:t>、</w:t>
      </w:r>
      <w:r>
        <w:rPr>
          <w:rFonts w:hint="eastAsia"/>
          <w:color w:val="auto"/>
          <w:kern w:val="0"/>
          <w:sz w:val="24"/>
          <w:szCs w:val="28"/>
          <w:highlight w:val="none"/>
          <w:lang w:val="en-US" w:eastAsia="zh-CN"/>
        </w:rPr>
        <w:t>石油类</w:t>
      </w:r>
      <w:r>
        <w:rPr>
          <w:rFonts w:hint="eastAsia"/>
          <w:color w:val="auto"/>
          <w:kern w:val="0"/>
          <w:sz w:val="24"/>
          <w:szCs w:val="28"/>
          <w:highlight w:val="none"/>
        </w:rPr>
        <w:t>作为预测因子。</w:t>
      </w:r>
      <w:r>
        <w:rPr>
          <w:rFonts w:hint="eastAsia"/>
          <w:color w:val="auto"/>
          <w:kern w:val="0"/>
          <w:sz w:val="24"/>
          <w:szCs w:val="28"/>
          <w:highlight w:val="none"/>
          <w:lang w:val="en-US" w:eastAsia="zh-CN"/>
        </w:rPr>
        <w:t>氨氮按照</w:t>
      </w:r>
      <w:r>
        <w:rPr>
          <w:rFonts w:hint="eastAsia" w:ascii="Times New Roman" w:hAnsi="Times New Roman" w:eastAsia="宋体" w:cs="Times New Roman"/>
          <w:color w:val="auto"/>
          <w:kern w:val="0"/>
          <w:sz w:val="24"/>
          <w:szCs w:val="28"/>
          <w:highlight w:val="none"/>
          <w:lang w:val="en-US" w:eastAsia="zh-CN"/>
        </w:rPr>
        <w:t>《地下水质量标准》（GB/T14848-2017）中的Ⅲ类标准</w:t>
      </w:r>
      <w:r>
        <w:rPr>
          <w:rFonts w:hint="eastAsia"/>
          <w:color w:val="auto"/>
          <w:kern w:val="0"/>
          <w:sz w:val="24"/>
          <w:highlight w:val="none"/>
          <w:lang w:eastAsia="zh-CN"/>
        </w:rPr>
        <w:t>（</w:t>
      </w:r>
      <w:r>
        <w:rPr>
          <w:rFonts w:hint="eastAsia"/>
          <w:color w:val="auto"/>
          <w:kern w:val="0"/>
          <w:sz w:val="24"/>
          <w:highlight w:val="none"/>
          <w:lang w:val="en-US" w:eastAsia="zh-CN"/>
        </w:rPr>
        <w:t>氨氮≤0.50mg/L</w:t>
      </w:r>
      <w:r>
        <w:rPr>
          <w:rFonts w:hint="eastAsia"/>
          <w:color w:val="auto"/>
          <w:kern w:val="0"/>
          <w:sz w:val="24"/>
          <w:highlight w:val="none"/>
          <w:lang w:eastAsia="zh-CN"/>
        </w:rPr>
        <w:t>）</w:t>
      </w:r>
      <w:r>
        <w:rPr>
          <w:rFonts w:hint="eastAsia"/>
          <w:color w:val="auto"/>
          <w:kern w:val="0"/>
          <w:sz w:val="24"/>
          <w:highlight w:val="none"/>
        </w:rPr>
        <w:t>进行评价</w:t>
      </w:r>
      <w:r>
        <w:rPr>
          <w:rFonts w:hint="eastAsia"/>
          <w:color w:val="auto"/>
          <w:kern w:val="0"/>
          <w:sz w:val="24"/>
          <w:highlight w:val="none"/>
          <w:lang w:eastAsia="zh-CN"/>
        </w:rPr>
        <w:t>；</w:t>
      </w:r>
      <w:r>
        <w:rPr>
          <w:rFonts w:hint="eastAsia"/>
          <w:color w:val="auto"/>
          <w:kern w:val="0"/>
          <w:sz w:val="24"/>
          <w:szCs w:val="28"/>
          <w:highlight w:val="none"/>
          <w:lang w:val="en-US" w:eastAsia="zh-CN"/>
        </w:rPr>
        <w:t>石油类参照</w:t>
      </w:r>
      <w:r>
        <w:rPr>
          <w:rFonts w:hint="default" w:ascii="Times New Roman" w:hAnsi="Times New Roman" w:cs="Times New Roman"/>
          <w:bCs w:val="0"/>
          <w:color w:val="auto"/>
          <w:kern w:val="0"/>
          <w:sz w:val="24"/>
          <w:szCs w:val="24"/>
          <w:highlight w:val="none"/>
        </w:rPr>
        <w:t>《地表水环境质量标准》（GB3838-2002）Ⅲ类标准</w:t>
      </w:r>
      <w:r>
        <w:rPr>
          <w:rFonts w:hint="eastAsia" w:ascii="Times New Roman" w:hAnsi="Times New Roman" w:cs="Times New Roman"/>
          <w:bCs w:val="0"/>
          <w:color w:val="auto"/>
          <w:kern w:val="0"/>
          <w:sz w:val="24"/>
          <w:szCs w:val="24"/>
          <w:highlight w:val="none"/>
          <w:lang w:eastAsia="zh-CN"/>
        </w:rPr>
        <w:t>（</w:t>
      </w:r>
      <w:r>
        <w:rPr>
          <w:rFonts w:hint="eastAsia" w:ascii="Times New Roman" w:hAnsi="Times New Roman" w:cs="Times New Roman"/>
          <w:bCs w:val="0"/>
          <w:color w:val="auto"/>
          <w:kern w:val="0"/>
          <w:sz w:val="24"/>
          <w:szCs w:val="24"/>
          <w:highlight w:val="none"/>
          <w:lang w:val="en-US" w:eastAsia="zh-CN"/>
        </w:rPr>
        <w:t>石油类≤0.05mg/L</w:t>
      </w:r>
      <w:r>
        <w:rPr>
          <w:rFonts w:hint="eastAsia" w:ascii="Times New Roman" w:hAnsi="Times New Roman" w:cs="Times New Roman"/>
          <w:bCs w:val="0"/>
          <w:color w:val="auto"/>
          <w:kern w:val="0"/>
          <w:sz w:val="24"/>
          <w:szCs w:val="24"/>
          <w:highlight w:val="none"/>
          <w:lang w:eastAsia="zh-CN"/>
        </w:rPr>
        <w:t>）</w:t>
      </w:r>
      <w:r>
        <w:rPr>
          <w:rFonts w:hint="eastAsia"/>
          <w:color w:val="auto"/>
          <w:kern w:val="0"/>
          <w:sz w:val="24"/>
          <w:highlight w:val="none"/>
        </w:rPr>
        <w:t>进行评价。</w:t>
      </w:r>
    </w:p>
    <w:p w14:paraId="6C4ACF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kern w:val="0"/>
          <w:sz w:val="24"/>
          <w:szCs w:val="28"/>
          <w:highlight w:val="none"/>
        </w:rPr>
      </w:pPr>
      <w:r>
        <w:rPr>
          <w:rFonts w:hint="eastAsia"/>
          <w:color w:val="auto"/>
          <w:kern w:val="0"/>
          <w:sz w:val="24"/>
          <w:szCs w:val="28"/>
          <w:highlight w:val="none"/>
        </w:rPr>
        <w:t>4）地下水污染源强</w:t>
      </w:r>
    </w:p>
    <w:p w14:paraId="14BD8032">
      <w:pPr>
        <w:adjustRightInd w:val="0"/>
        <w:snapToGrid w:val="0"/>
        <w:spacing w:line="360" w:lineRule="auto"/>
        <w:ind w:firstLine="480" w:firstLineChars="200"/>
        <w:rPr>
          <w:rFonts w:hint="default" w:eastAsia="宋体"/>
          <w:color w:val="auto"/>
          <w:kern w:val="0"/>
          <w:sz w:val="24"/>
          <w:szCs w:val="28"/>
          <w:highlight w:val="none"/>
          <w:lang w:val="en-US" w:eastAsia="zh-CN"/>
        </w:rPr>
      </w:pPr>
      <w:r>
        <w:rPr>
          <w:rFonts w:hint="eastAsia"/>
          <w:color w:val="auto"/>
          <w:kern w:val="0"/>
          <w:sz w:val="24"/>
          <w:szCs w:val="28"/>
          <w:highlight w:val="none"/>
        </w:rPr>
        <w:t>假如</w:t>
      </w:r>
      <w:r>
        <w:rPr>
          <w:rFonts w:hint="eastAsia"/>
          <w:color w:val="auto"/>
          <w:kern w:val="0"/>
          <w:sz w:val="24"/>
          <w:szCs w:val="28"/>
          <w:highlight w:val="none"/>
          <w:lang w:val="en-US" w:eastAsia="zh-CN"/>
        </w:rPr>
        <w:t>高浓废水</w:t>
      </w:r>
      <w:r>
        <w:rPr>
          <w:rFonts w:hint="eastAsia"/>
          <w:color w:val="auto"/>
          <w:kern w:val="0"/>
          <w:sz w:val="24"/>
          <w:szCs w:val="28"/>
          <w:highlight w:val="none"/>
        </w:rPr>
        <w:t>管道破裂造成渗漏事故，泄漏量按照废水产生量14</w:t>
      </w:r>
      <w:r>
        <w:rPr>
          <w:rFonts w:hint="eastAsia"/>
          <w:color w:val="auto"/>
          <w:kern w:val="0"/>
          <w:sz w:val="24"/>
          <w:szCs w:val="28"/>
          <w:highlight w:val="none"/>
          <w:lang w:val="en-US" w:eastAsia="zh-CN"/>
        </w:rPr>
        <w:t>88</w:t>
      </w:r>
      <w:r>
        <w:rPr>
          <w:rFonts w:hint="eastAsia"/>
          <w:color w:val="auto"/>
          <w:kern w:val="0"/>
          <w:sz w:val="24"/>
          <w:szCs w:val="28"/>
          <w:highlight w:val="none"/>
        </w:rPr>
        <w:t>m</w:t>
      </w:r>
      <w:r>
        <w:rPr>
          <w:rFonts w:hint="eastAsia"/>
          <w:color w:val="auto"/>
          <w:kern w:val="0"/>
          <w:sz w:val="24"/>
          <w:szCs w:val="28"/>
          <w:highlight w:val="none"/>
          <w:vertAlign w:val="superscript"/>
        </w:rPr>
        <w:t>3</w:t>
      </w:r>
      <w:r>
        <w:rPr>
          <w:rFonts w:hint="eastAsia"/>
          <w:color w:val="auto"/>
          <w:kern w:val="0"/>
          <w:sz w:val="24"/>
          <w:szCs w:val="28"/>
          <w:highlight w:val="none"/>
        </w:rPr>
        <w:t>/d的20%计算（泄漏量大于20%易发觉）。在发现至30天时间内处理完毕，渗漏水按照渗透的方式经过包气带向下运移，假定渗漏的量不被包气带吸附和降解而全部进入含水层计算，同时不考虑渗透本身造成的时间滞后，预测对地下水的影响。根据工程分析内容，</w:t>
      </w:r>
      <w:r>
        <w:rPr>
          <w:rFonts w:hint="eastAsia"/>
          <w:color w:val="auto"/>
          <w:kern w:val="0"/>
          <w:sz w:val="24"/>
          <w:szCs w:val="28"/>
          <w:highlight w:val="none"/>
          <w:lang w:val="en-US" w:eastAsia="zh-CN"/>
        </w:rPr>
        <w:t>废水氨氮</w:t>
      </w:r>
      <w:r>
        <w:rPr>
          <w:rFonts w:hint="eastAsia"/>
          <w:color w:val="auto"/>
          <w:kern w:val="0"/>
          <w:sz w:val="24"/>
          <w:szCs w:val="28"/>
          <w:highlight w:val="none"/>
        </w:rPr>
        <w:t>浓度为</w:t>
      </w:r>
      <w:r>
        <w:rPr>
          <w:rFonts w:hint="eastAsia"/>
          <w:color w:val="auto"/>
          <w:kern w:val="0"/>
          <w:sz w:val="24"/>
          <w:szCs w:val="28"/>
          <w:highlight w:val="none"/>
          <w:lang w:val="en-US" w:eastAsia="zh-CN"/>
        </w:rPr>
        <w:t>290</w:t>
      </w:r>
      <w:r>
        <w:rPr>
          <w:rFonts w:hint="eastAsia"/>
          <w:color w:val="auto"/>
          <w:kern w:val="0"/>
          <w:sz w:val="24"/>
          <w:szCs w:val="28"/>
          <w:highlight w:val="none"/>
        </w:rPr>
        <w:t>mg/L</w:t>
      </w:r>
      <w:r>
        <w:rPr>
          <w:rFonts w:hint="eastAsia"/>
          <w:color w:val="auto"/>
          <w:kern w:val="0"/>
          <w:sz w:val="24"/>
          <w:szCs w:val="28"/>
          <w:highlight w:val="none"/>
          <w:lang w:eastAsia="zh-CN"/>
        </w:rPr>
        <w:t>，泄漏</w:t>
      </w:r>
      <w:r>
        <w:rPr>
          <w:rFonts w:hint="eastAsia"/>
          <w:color w:val="auto"/>
          <w:kern w:val="0"/>
          <w:sz w:val="24"/>
          <w:szCs w:val="28"/>
          <w:highlight w:val="none"/>
          <w:lang w:val="en-US" w:eastAsia="zh-CN"/>
        </w:rPr>
        <w:t>废水量为8928</w:t>
      </w:r>
      <w:r>
        <w:rPr>
          <w:rFonts w:hint="eastAsia"/>
          <w:color w:val="auto"/>
          <w:kern w:val="0"/>
          <w:sz w:val="24"/>
          <w:szCs w:val="28"/>
          <w:highlight w:val="none"/>
        </w:rPr>
        <w:t>m</w:t>
      </w:r>
      <w:r>
        <w:rPr>
          <w:rFonts w:hint="eastAsia"/>
          <w:color w:val="auto"/>
          <w:kern w:val="0"/>
          <w:sz w:val="24"/>
          <w:szCs w:val="28"/>
          <w:highlight w:val="none"/>
          <w:vertAlign w:val="superscript"/>
        </w:rPr>
        <w:t>3</w:t>
      </w:r>
      <w:r>
        <w:rPr>
          <w:rFonts w:hint="eastAsia"/>
          <w:color w:val="auto"/>
          <w:kern w:val="0"/>
          <w:sz w:val="24"/>
          <w:szCs w:val="28"/>
          <w:highlight w:val="none"/>
          <w:vertAlign w:val="baseline"/>
          <w:lang w:eastAsia="zh-CN"/>
        </w:rPr>
        <w:t>，</w:t>
      </w:r>
      <w:r>
        <w:rPr>
          <w:rFonts w:hint="eastAsia"/>
          <w:color w:val="auto"/>
          <w:kern w:val="0"/>
          <w:sz w:val="24"/>
          <w:szCs w:val="28"/>
          <w:highlight w:val="none"/>
          <w:lang w:val="en-US" w:eastAsia="zh-CN"/>
        </w:rPr>
        <w:t>氨氮渗漏量为2589.12kg。</w:t>
      </w:r>
    </w:p>
    <w:p w14:paraId="6065DC9C">
      <w:pPr>
        <w:keepNext w:val="0"/>
        <w:keepLines w:val="0"/>
        <w:pageBreakBefore w:val="0"/>
        <w:widowControl/>
        <w:kinsoku/>
        <w:wordWrap/>
        <w:overflowPunct/>
        <w:topLinePunct w:val="0"/>
        <w:autoSpaceDE/>
        <w:autoSpaceDN/>
        <w:bidi w:val="0"/>
        <w:adjustRightInd w:val="0"/>
        <w:snapToGrid w:val="0"/>
        <w:spacing w:line="360" w:lineRule="auto"/>
        <w:ind w:left="0" w:leftChars="0" w:firstLine="480"/>
        <w:jc w:val="both"/>
        <w:textAlignment w:val="auto"/>
        <w:rPr>
          <w:rFonts w:hint="eastAsia" w:ascii="Times New Roman" w:hAnsi="Times New Roman" w:eastAsia="宋体" w:cs="宋体"/>
          <w:snapToGrid w:val="0"/>
          <w:color w:val="auto"/>
          <w:spacing w:val="0"/>
          <w:kern w:val="0"/>
          <w:sz w:val="24"/>
          <w:szCs w:val="24"/>
          <w:highlight w:val="none"/>
          <w:lang w:val="en-US" w:eastAsia="zh-CN"/>
        </w:rPr>
      </w:pPr>
      <w:r>
        <w:rPr>
          <w:rFonts w:ascii="宋体" w:hAnsi="宋体" w:eastAsia="宋体" w:cs="宋体"/>
          <w:color w:val="auto"/>
          <w:spacing w:val="0"/>
          <w:sz w:val="24"/>
          <w:szCs w:val="24"/>
          <w:highlight w:val="none"/>
        </w:rPr>
        <w:t>一般防渗层破损是由于应力不均“撕裂”所致，裂口呈长方形，长度不超过围堰对角斜长</w:t>
      </w:r>
      <w:r>
        <w:rPr>
          <w:rFonts w:hint="eastAsia" w:hAnsi="宋体" w:eastAsia="宋体" w:cs="宋体"/>
          <w:color w:val="auto"/>
          <w:spacing w:val="0"/>
          <w:sz w:val="24"/>
          <w:szCs w:val="24"/>
          <w:highlight w:val="none"/>
          <w:lang w:eastAsia="zh-CN"/>
        </w:rPr>
        <w:t>。</w:t>
      </w:r>
      <w:r>
        <w:rPr>
          <w:rFonts w:hint="eastAsia" w:hAnsi="宋体" w:eastAsia="宋体" w:cs="宋体"/>
          <w:color w:val="auto"/>
          <w:spacing w:val="0"/>
          <w:sz w:val="24"/>
          <w:szCs w:val="24"/>
          <w:highlight w:val="none"/>
          <w:lang w:val="en-US" w:eastAsia="zh-CN"/>
        </w:rPr>
        <w:t>本项目烷烃罐区围堰内面积为</w:t>
      </w:r>
      <w:r>
        <w:rPr>
          <w:rFonts w:hint="default" w:ascii="Times New Roman" w:hAnsi="Times New Roman" w:eastAsia="宋体" w:cs="Times New Roman"/>
          <w:color w:val="auto"/>
          <w:spacing w:val="0"/>
          <w:sz w:val="24"/>
          <w:szCs w:val="24"/>
          <w:highlight w:val="none"/>
          <w:lang w:val="en-US" w:eastAsia="zh-CN"/>
        </w:rPr>
        <w:t>50m×</w:t>
      </w:r>
      <w:r>
        <w:rPr>
          <w:rFonts w:hint="eastAsia" w:ascii="Times New Roman" w:hAnsi="Times New Roman" w:eastAsia="宋体" w:cs="Times New Roman"/>
          <w:color w:val="auto"/>
          <w:spacing w:val="0"/>
          <w:sz w:val="24"/>
          <w:szCs w:val="24"/>
          <w:highlight w:val="none"/>
          <w:lang w:val="en-US" w:eastAsia="zh-CN"/>
        </w:rPr>
        <w:t>4</w:t>
      </w:r>
      <w:r>
        <w:rPr>
          <w:rFonts w:hint="default" w:ascii="Times New Roman" w:hAnsi="Times New Roman" w:eastAsia="宋体" w:cs="Times New Roman"/>
          <w:color w:val="auto"/>
          <w:spacing w:val="0"/>
          <w:sz w:val="24"/>
          <w:szCs w:val="24"/>
          <w:highlight w:val="none"/>
          <w:lang w:val="en-US" w:eastAsia="zh-CN"/>
        </w:rPr>
        <w:t>0m</w:t>
      </w:r>
      <w:r>
        <w:rPr>
          <w:rFonts w:hint="eastAsia" w:ascii="Times New Roman" w:hAnsi="Times New Roman" w:eastAsia="宋体" w:cs="Times New Roman"/>
          <w:color w:val="auto"/>
          <w:spacing w:val="0"/>
          <w:sz w:val="24"/>
          <w:szCs w:val="24"/>
          <w:highlight w:val="none"/>
          <w:lang w:val="en-US" w:eastAsia="zh-CN"/>
        </w:rPr>
        <w:t>，对角线斜长为64</w:t>
      </w:r>
      <w:r>
        <w:rPr>
          <w:rFonts w:ascii="Times New Roman" w:hAnsi="Times New Roman" w:eastAsia="Times New Roman" w:cs="Times New Roman"/>
          <w:color w:val="auto"/>
          <w:spacing w:val="0"/>
          <w:sz w:val="24"/>
          <w:szCs w:val="24"/>
          <w:highlight w:val="none"/>
        </w:rPr>
        <w:t>m</w:t>
      </w:r>
      <w:r>
        <w:rPr>
          <w:rFonts w:ascii="宋体" w:hAnsi="宋体" w:eastAsia="宋体" w:cs="宋体"/>
          <w:color w:val="auto"/>
          <w:spacing w:val="0"/>
          <w:sz w:val="24"/>
          <w:szCs w:val="24"/>
          <w:highlight w:val="none"/>
        </w:rPr>
        <w:t>，假设裂口宽度</w:t>
      </w:r>
      <w:r>
        <w:rPr>
          <w:rFonts w:ascii="Times New Roman" w:hAnsi="Times New Roman" w:eastAsia="Times New Roman" w:cs="Times New Roman"/>
          <w:color w:val="auto"/>
          <w:spacing w:val="0"/>
          <w:sz w:val="24"/>
          <w:szCs w:val="24"/>
          <w:highlight w:val="none"/>
        </w:rPr>
        <w:t>1cm</w:t>
      </w:r>
      <w:r>
        <w:rPr>
          <w:rFonts w:ascii="宋体" w:hAnsi="宋体" w:eastAsia="宋体" w:cs="宋体"/>
          <w:color w:val="auto"/>
          <w:spacing w:val="0"/>
          <w:sz w:val="24"/>
          <w:szCs w:val="24"/>
          <w:highlight w:val="none"/>
        </w:rPr>
        <w:t>，则渗漏面积约为</w:t>
      </w:r>
      <w:r>
        <w:rPr>
          <w:rFonts w:ascii="Times New Roman" w:hAnsi="Times New Roman" w:eastAsia="Times New Roman" w:cs="Times New Roman"/>
          <w:color w:val="auto"/>
          <w:spacing w:val="0"/>
          <w:sz w:val="24"/>
          <w:szCs w:val="24"/>
          <w:highlight w:val="none"/>
        </w:rPr>
        <w:t>0.</w:t>
      </w:r>
      <w:r>
        <w:rPr>
          <w:rFonts w:hint="eastAsia" w:ascii="Times New Roman" w:hAnsi="Times New Roman" w:eastAsia="宋体" w:cs="Times New Roman"/>
          <w:color w:val="auto"/>
          <w:spacing w:val="0"/>
          <w:sz w:val="24"/>
          <w:szCs w:val="24"/>
          <w:highlight w:val="none"/>
          <w:lang w:val="en-US" w:eastAsia="zh-CN"/>
        </w:rPr>
        <w:t>64</w:t>
      </w:r>
      <w:r>
        <w:rPr>
          <w:rFonts w:ascii="Times New Roman" w:hAnsi="Times New Roman" w:eastAsia="Times New Roman" w:cs="Times New Roman"/>
          <w:color w:val="auto"/>
          <w:spacing w:val="0"/>
          <w:sz w:val="24"/>
          <w:szCs w:val="24"/>
          <w:highlight w:val="none"/>
        </w:rPr>
        <w:t>m</w:t>
      </w:r>
      <w:r>
        <w:rPr>
          <w:rFonts w:ascii="Times New Roman" w:hAnsi="Times New Roman" w:eastAsia="Times New Roman" w:cs="Times New Roman"/>
          <w:color w:val="auto"/>
          <w:spacing w:val="0"/>
          <w:position w:val="8"/>
          <w:sz w:val="15"/>
          <w:szCs w:val="15"/>
          <w:highlight w:val="none"/>
        </w:rPr>
        <w:t>2</w:t>
      </w:r>
      <w:r>
        <w:rPr>
          <w:rFonts w:ascii="宋体" w:hAnsi="宋体" w:eastAsia="宋体" w:cs="宋体"/>
          <w:color w:val="auto"/>
          <w:spacing w:val="0"/>
          <w:sz w:val="24"/>
          <w:szCs w:val="24"/>
          <w:highlight w:val="none"/>
        </w:rPr>
        <w:t>，渗透系数约为</w:t>
      </w:r>
      <w:r>
        <w:rPr>
          <w:rFonts w:hint="eastAsia"/>
          <w:snapToGrid w:val="0"/>
          <w:color w:val="auto"/>
          <w:kern w:val="0"/>
          <w:sz w:val="24"/>
          <w:highlight w:val="none"/>
        </w:rPr>
        <w:t>26.55</w:t>
      </w:r>
      <w:r>
        <w:rPr>
          <w:rFonts w:ascii="Times New Roman" w:hAnsi="Times New Roman" w:eastAsia="Times New Roman" w:cs="Times New Roman"/>
          <w:color w:val="auto"/>
          <w:spacing w:val="0"/>
          <w:sz w:val="24"/>
          <w:szCs w:val="24"/>
          <w:highlight w:val="none"/>
        </w:rPr>
        <w:t>m/d</w:t>
      </w:r>
      <w:r>
        <w:rPr>
          <w:rFonts w:hint="eastAsia" w:ascii="Times New Roman" w:hAnsi="Times New Roman" w:eastAsia="宋体" w:cs="Times New Roman"/>
          <w:color w:val="auto"/>
          <w:spacing w:val="0"/>
          <w:sz w:val="24"/>
          <w:szCs w:val="24"/>
          <w:highlight w:val="none"/>
          <w:lang w:eastAsia="zh-CN"/>
        </w:rPr>
        <w:t>，</w:t>
      </w:r>
      <w:r>
        <w:rPr>
          <w:rFonts w:ascii="宋体" w:hAnsi="宋体" w:eastAsia="宋体" w:cs="宋体"/>
          <w:color w:val="auto"/>
          <w:spacing w:val="0"/>
          <w:sz w:val="24"/>
          <w:szCs w:val="24"/>
          <w:highlight w:val="none"/>
        </w:rPr>
        <w:t>渗漏</w:t>
      </w:r>
      <w:r>
        <w:rPr>
          <w:rFonts w:hint="eastAsia" w:ascii="宋体" w:hAnsi="宋体" w:eastAsia="宋体" w:cs="宋体"/>
          <w:color w:val="auto"/>
          <w:spacing w:val="0"/>
          <w:sz w:val="24"/>
          <w:szCs w:val="24"/>
          <w:highlight w:val="none"/>
          <w:lang w:val="en-US" w:eastAsia="zh-CN"/>
        </w:rPr>
        <w:t>烷烃</w:t>
      </w:r>
      <w:r>
        <w:rPr>
          <w:rFonts w:ascii="宋体" w:hAnsi="宋体" w:eastAsia="宋体" w:cs="宋体"/>
          <w:color w:val="auto"/>
          <w:spacing w:val="0"/>
          <w:sz w:val="24"/>
          <w:szCs w:val="24"/>
          <w:highlight w:val="none"/>
        </w:rPr>
        <w:t>量为</w:t>
      </w:r>
      <w:r>
        <w:rPr>
          <w:rFonts w:ascii="Times New Roman" w:hAnsi="Times New Roman" w:eastAsia="Times New Roman" w:cs="Times New Roman"/>
          <w:color w:val="auto"/>
          <w:spacing w:val="0"/>
          <w:sz w:val="24"/>
          <w:szCs w:val="24"/>
          <w:highlight w:val="none"/>
        </w:rPr>
        <w:t>0.</w:t>
      </w:r>
      <w:r>
        <w:rPr>
          <w:rFonts w:hint="eastAsia" w:ascii="Times New Roman" w:hAnsi="Times New Roman" w:eastAsia="宋体" w:cs="Times New Roman"/>
          <w:color w:val="auto"/>
          <w:spacing w:val="0"/>
          <w:sz w:val="24"/>
          <w:szCs w:val="24"/>
          <w:highlight w:val="none"/>
          <w:lang w:val="en-US" w:eastAsia="zh-CN"/>
        </w:rPr>
        <w:t>64×26.55÷</w:t>
      </w:r>
      <w:r>
        <w:rPr>
          <w:rFonts w:ascii="Times New Roman" w:hAnsi="Times New Roman" w:eastAsia="Times New Roman" w:cs="Times New Roman"/>
          <w:color w:val="auto"/>
          <w:spacing w:val="0"/>
          <w:sz w:val="24"/>
          <w:szCs w:val="24"/>
          <w:highlight w:val="none"/>
        </w:rPr>
        <w:t>24=0.</w:t>
      </w:r>
      <w:r>
        <w:rPr>
          <w:rFonts w:hint="eastAsia" w:ascii="Times New Roman" w:hAnsi="Times New Roman" w:eastAsia="宋体" w:cs="Times New Roman"/>
          <w:color w:val="auto"/>
          <w:spacing w:val="0"/>
          <w:sz w:val="24"/>
          <w:szCs w:val="24"/>
          <w:highlight w:val="none"/>
          <w:lang w:val="en-US" w:eastAsia="zh-CN"/>
        </w:rPr>
        <w:t>708</w:t>
      </w:r>
      <w:r>
        <w:rPr>
          <w:rFonts w:ascii="Times New Roman" w:hAnsi="Times New Roman" w:eastAsia="Times New Roman" w:cs="Times New Roman"/>
          <w:color w:val="auto"/>
          <w:spacing w:val="0"/>
          <w:sz w:val="24"/>
          <w:szCs w:val="24"/>
          <w:highlight w:val="none"/>
        </w:rPr>
        <w:t>m</w:t>
      </w:r>
      <w:r>
        <w:rPr>
          <w:rFonts w:ascii="Times New Roman" w:hAnsi="Times New Roman" w:eastAsia="Times New Roman" w:cs="Times New Roman"/>
          <w:color w:val="auto"/>
          <w:spacing w:val="0"/>
          <w:position w:val="7"/>
          <w:sz w:val="15"/>
          <w:szCs w:val="15"/>
          <w:highlight w:val="none"/>
        </w:rPr>
        <w:t>3</w:t>
      </w:r>
      <w:r>
        <w:rPr>
          <w:rFonts w:ascii="宋体" w:hAnsi="宋体" w:eastAsia="宋体" w:cs="宋体"/>
          <w:color w:val="auto"/>
          <w:spacing w:val="0"/>
          <w:sz w:val="24"/>
          <w:szCs w:val="24"/>
          <w:highlight w:val="none"/>
        </w:rPr>
        <w:t>。由于</w:t>
      </w:r>
      <w:r>
        <w:rPr>
          <w:rFonts w:hint="eastAsia" w:ascii="宋体" w:hAnsi="宋体" w:eastAsia="宋体" w:cs="宋体"/>
          <w:color w:val="auto"/>
          <w:spacing w:val="0"/>
          <w:sz w:val="24"/>
          <w:szCs w:val="24"/>
          <w:highlight w:val="none"/>
          <w:lang w:val="en-US" w:eastAsia="zh-CN"/>
        </w:rPr>
        <w:t>储罐为地上储罐</w:t>
      </w:r>
      <w:r>
        <w:rPr>
          <w:rFonts w:ascii="宋体" w:hAnsi="宋体" w:eastAsia="宋体" w:cs="宋体"/>
          <w:color w:val="auto"/>
          <w:spacing w:val="0"/>
          <w:sz w:val="24"/>
          <w:szCs w:val="24"/>
          <w:highlight w:val="none"/>
        </w:rPr>
        <w:t>，一旦泄漏，很</w:t>
      </w:r>
      <w:r>
        <w:rPr>
          <w:rFonts w:hint="eastAsia" w:ascii="宋体" w:hAnsi="宋体" w:cs="宋体"/>
          <w:color w:val="auto"/>
          <w:spacing w:val="0"/>
          <w:sz w:val="24"/>
          <w:szCs w:val="24"/>
          <w:highlight w:val="none"/>
          <w:lang w:eastAsia="zh-CN"/>
        </w:rPr>
        <w:t>容易</w:t>
      </w:r>
      <w:r>
        <w:rPr>
          <w:rFonts w:ascii="宋体" w:hAnsi="宋体" w:eastAsia="宋体" w:cs="宋体"/>
          <w:color w:val="auto"/>
          <w:spacing w:val="0"/>
          <w:sz w:val="24"/>
          <w:szCs w:val="24"/>
          <w:highlight w:val="none"/>
        </w:rPr>
        <w:t>发现，本次</w:t>
      </w:r>
      <w:r>
        <w:rPr>
          <w:rFonts w:hint="eastAsia" w:ascii="宋体" w:hAnsi="宋体" w:eastAsia="宋体" w:cs="宋体"/>
          <w:color w:val="auto"/>
          <w:spacing w:val="0"/>
          <w:sz w:val="24"/>
          <w:szCs w:val="24"/>
          <w:highlight w:val="none"/>
          <w:lang w:val="en-US" w:eastAsia="zh-CN"/>
        </w:rPr>
        <w:t>烷烃</w:t>
      </w:r>
      <w:r>
        <w:rPr>
          <w:rFonts w:ascii="宋体" w:hAnsi="宋体" w:eastAsia="宋体" w:cs="宋体"/>
          <w:color w:val="auto"/>
          <w:spacing w:val="0"/>
          <w:sz w:val="24"/>
          <w:szCs w:val="24"/>
          <w:highlight w:val="none"/>
        </w:rPr>
        <w:t>泄漏时间按一个小时计算</w:t>
      </w:r>
      <w:r>
        <w:rPr>
          <w:rFonts w:hint="eastAsia" w:ascii="宋体" w:hAnsi="宋体" w:eastAsia="宋体" w:cs="宋体"/>
          <w:color w:val="auto"/>
          <w:spacing w:val="0"/>
          <w:sz w:val="24"/>
          <w:szCs w:val="24"/>
          <w:highlight w:val="none"/>
          <w:lang w:eastAsia="zh-CN"/>
        </w:rPr>
        <w:t>，</w:t>
      </w:r>
      <w:r>
        <w:rPr>
          <w:rFonts w:hint="eastAsia" w:ascii="Times New Roman" w:hAnsi="Times New Roman" w:eastAsia="宋体" w:cs="宋体"/>
          <w:snapToGrid w:val="0"/>
          <w:color w:val="auto"/>
          <w:spacing w:val="0"/>
          <w:kern w:val="0"/>
          <w:sz w:val="24"/>
          <w:szCs w:val="24"/>
          <w:highlight w:val="none"/>
          <w:lang w:val="en-US" w:eastAsia="zh-CN"/>
        </w:rPr>
        <w:t>烷烃密度约为0.735t/m</w:t>
      </w:r>
      <w:r>
        <w:rPr>
          <w:rFonts w:hint="eastAsia" w:ascii="Times New Roman" w:hAnsi="Times New Roman" w:eastAsia="宋体" w:cs="宋体"/>
          <w:snapToGrid w:val="0"/>
          <w:color w:val="auto"/>
          <w:spacing w:val="0"/>
          <w:kern w:val="0"/>
          <w:sz w:val="24"/>
          <w:szCs w:val="24"/>
          <w:highlight w:val="none"/>
          <w:vertAlign w:val="superscript"/>
          <w:lang w:val="en-US" w:eastAsia="zh-CN"/>
        </w:rPr>
        <w:t>3</w:t>
      </w:r>
      <w:r>
        <w:rPr>
          <w:rFonts w:hint="eastAsia" w:ascii="Times New Roman" w:hAnsi="Times New Roman" w:eastAsia="宋体" w:cs="宋体"/>
          <w:snapToGrid w:val="0"/>
          <w:color w:val="auto"/>
          <w:spacing w:val="0"/>
          <w:kern w:val="0"/>
          <w:sz w:val="24"/>
          <w:szCs w:val="24"/>
          <w:highlight w:val="none"/>
          <w:lang w:val="en-US" w:eastAsia="zh-CN"/>
        </w:rPr>
        <w:t>，渗漏量为520.38kg，石油类</w:t>
      </w:r>
      <w:r>
        <w:rPr>
          <w:rFonts w:ascii="Times New Roman" w:hAnsi="Times New Roman" w:eastAsia="宋体" w:cs="宋体"/>
          <w:snapToGrid w:val="0"/>
          <w:color w:val="auto"/>
          <w:spacing w:val="0"/>
          <w:kern w:val="0"/>
          <w:sz w:val="24"/>
          <w:szCs w:val="24"/>
          <w:highlight w:val="none"/>
        </w:rPr>
        <w:t>浓度为</w:t>
      </w:r>
      <w:r>
        <w:rPr>
          <w:rFonts w:hint="eastAsia" w:ascii="Times New Roman" w:hAnsi="Times New Roman" w:eastAsia="宋体" w:cs="宋体"/>
          <w:snapToGrid w:val="0"/>
          <w:color w:val="auto"/>
          <w:spacing w:val="0"/>
          <w:kern w:val="0"/>
          <w:sz w:val="24"/>
          <w:szCs w:val="24"/>
          <w:highlight w:val="none"/>
          <w:lang w:val="en-US" w:eastAsia="zh-CN"/>
        </w:rPr>
        <w:t>735000</w:t>
      </w:r>
      <w:r>
        <w:rPr>
          <w:rFonts w:ascii="Times New Roman" w:hAnsi="Times New Roman" w:eastAsia="宋体" w:cs="宋体"/>
          <w:snapToGrid w:val="0"/>
          <w:color w:val="auto"/>
          <w:spacing w:val="0"/>
          <w:kern w:val="0"/>
          <w:sz w:val="24"/>
          <w:szCs w:val="24"/>
          <w:highlight w:val="none"/>
        </w:rPr>
        <w:t>mg/L。</w:t>
      </w:r>
    </w:p>
    <w:p w14:paraId="5883E61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5）预测方法</w:t>
      </w:r>
    </w:p>
    <w:p w14:paraId="76DD4AF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按照《环境影响评价技术导则</w:t>
      </w:r>
      <w:r>
        <w:rPr>
          <w:snapToGrid w:val="0"/>
          <w:color w:val="auto"/>
          <w:kern w:val="0"/>
          <w:sz w:val="24"/>
          <w:highlight w:val="none"/>
        </w:rPr>
        <w:t xml:space="preserve"> </w:t>
      </w:r>
      <w:r>
        <w:rPr>
          <w:rFonts w:hint="eastAsia"/>
          <w:snapToGrid w:val="0"/>
          <w:color w:val="auto"/>
          <w:kern w:val="0"/>
          <w:sz w:val="24"/>
          <w:highlight w:val="none"/>
        </w:rPr>
        <w:t>地下水环境》（</w:t>
      </w:r>
      <w:r>
        <w:rPr>
          <w:snapToGrid w:val="0"/>
          <w:color w:val="auto"/>
          <w:kern w:val="0"/>
          <w:sz w:val="24"/>
          <w:highlight w:val="none"/>
        </w:rPr>
        <w:t>HJ610-201</w:t>
      </w:r>
      <w:r>
        <w:rPr>
          <w:rFonts w:hint="eastAsia"/>
          <w:snapToGrid w:val="0"/>
          <w:color w:val="auto"/>
          <w:kern w:val="0"/>
          <w:sz w:val="24"/>
          <w:highlight w:val="none"/>
        </w:rPr>
        <w:t>6）规定，本项目地下水评价等级为二级，预测方法可以采用数值法或者解析法。本次评价采用解析法预测，预测模型选择《环境影响评价技术导则 地下水环境》（HJ610-2016）中推荐的一维稳定流动二维水动力弥散模式。根据事故场景设定，采用平面</w:t>
      </w:r>
      <w:r>
        <w:rPr>
          <w:rFonts w:hint="eastAsia"/>
          <w:snapToGrid w:val="0"/>
          <w:color w:val="auto"/>
          <w:kern w:val="0"/>
          <w:sz w:val="24"/>
          <w:highlight w:val="none"/>
          <w:lang w:val="en-US" w:eastAsia="zh-CN"/>
        </w:rPr>
        <w:t>瞬时</w:t>
      </w:r>
      <w:r>
        <w:rPr>
          <w:rFonts w:hint="eastAsia"/>
          <w:snapToGrid w:val="0"/>
          <w:color w:val="auto"/>
          <w:kern w:val="0"/>
          <w:sz w:val="24"/>
          <w:highlight w:val="none"/>
        </w:rPr>
        <w:t>点源模式计算废水渗漏影响。</w:t>
      </w:r>
    </w:p>
    <w:p w14:paraId="4C83367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由厂区附近孔隙水等水位线可知，项目区的地下水主要自</w:t>
      </w:r>
      <w:r>
        <w:rPr>
          <w:rFonts w:hint="eastAsia" w:ascii="Times New Roman" w:eastAsia="宋体" w:cs="Times New Roman"/>
          <w:snapToGrid w:val="0"/>
          <w:color w:val="auto"/>
          <w:kern w:val="0"/>
          <w:sz w:val="24"/>
          <w:highlight w:val="none"/>
          <w:lang w:val="en-US" w:eastAsia="zh-CN" w:bidi="ar"/>
        </w:rPr>
        <w:t>东南向西北</w:t>
      </w:r>
      <w:r>
        <w:rPr>
          <w:rFonts w:hint="eastAsia"/>
          <w:snapToGrid w:val="0"/>
          <w:color w:val="auto"/>
          <w:kern w:val="0"/>
          <w:sz w:val="24"/>
          <w:highlight w:val="none"/>
        </w:rPr>
        <w:t>方向呈一维流动，加之厂区以及附近区域并没有集中型供水水源地，地下水位动态稳定，因此污染物在浅层含水层中的迁移，可概化为瞬时注入示踪剂（平面瞬时点源）的一维稳定流动二维水动力弥散问题，当取平行地下水流动的方向为x轴正方向，垂直地下水流向为y方向，则求取污染浓度分布模型如下：</w:t>
      </w:r>
    </w:p>
    <w:p w14:paraId="26EAB42B">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一维稳定流动二维水动力弥散-平面瞬时</w:t>
      </w:r>
      <w:r>
        <w:rPr>
          <w:rFonts w:hint="eastAsia"/>
          <w:snapToGrid w:val="0"/>
          <w:color w:val="auto"/>
          <w:kern w:val="0"/>
          <w:sz w:val="24"/>
          <w:highlight w:val="none"/>
          <w:lang w:val="en-US" w:eastAsia="zh-CN"/>
        </w:rPr>
        <w:t>点</w:t>
      </w:r>
      <w:r>
        <w:rPr>
          <w:rFonts w:hint="eastAsia"/>
          <w:snapToGrid w:val="0"/>
          <w:color w:val="auto"/>
          <w:kern w:val="0"/>
          <w:sz w:val="24"/>
          <w:highlight w:val="none"/>
        </w:rPr>
        <w:t>源</w:t>
      </w:r>
    </w:p>
    <w:p w14:paraId="5F8E1E6B">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瞬时注入示踪剂-平面瞬时点源模型，其解析解如下列公式所示：</w:t>
      </w:r>
    </w:p>
    <w:p w14:paraId="5F848D97">
      <w:pPr>
        <w:adjustRightInd w:val="0"/>
        <w:snapToGrid w:val="0"/>
        <w:spacing w:line="360" w:lineRule="auto"/>
        <w:ind w:firstLine="480" w:firstLineChars="200"/>
        <w:jc w:val="center"/>
        <w:rPr>
          <w:rFonts w:hint="eastAsia"/>
          <w:snapToGrid w:val="0"/>
          <w:color w:val="auto"/>
          <w:kern w:val="0"/>
          <w:sz w:val="24"/>
          <w:highlight w:val="none"/>
        </w:rPr>
      </w:pPr>
      <w:r>
        <w:rPr>
          <w:rFonts w:hint="eastAsia"/>
          <w:snapToGrid w:val="0"/>
          <w:color w:val="auto"/>
          <w:kern w:val="0"/>
          <w:sz w:val="24"/>
          <w:highlight w:val="none"/>
        </w:rPr>
        <w:drawing>
          <wp:inline distT="0" distB="0" distL="114300" distR="114300">
            <wp:extent cx="2762250" cy="809625"/>
            <wp:effectExtent l="0" t="0" r="0" b="9525"/>
            <wp:docPr id="2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4"/>
                    <pic:cNvPicPr>
                      <a:picLocks noChangeAspect="1"/>
                    </pic:cNvPicPr>
                  </pic:nvPicPr>
                  <pic:blipFill>
                    <a:blip r:embed="rId36"/>
                    <a:stretch>
                      <a:fillRect/>
                    </a:stretch>
                  </pic:blipFill>
                  <pic:spPr>
                    <a:xfrm>
                      <a:off x="0" y="0"/>
                      <a:ext cx="2762250" cy="809625"/>
                    </a:xfrm>
                    <a:prstGeom prst="rect">
                      <a:avLst/>
                    </a:prstGeom>
                    <a:noFill/>
                    <a:ln>
                      <a:noFill/>
                    </a:ln>
                  </pic:spPr>
                </pic:pic>
              </a:graphicData>
            </a:graphic>
          </wp:inline>
        </w:drawing>
      </w:r>
    </w:p>
    <w:p w14:paraId="5B119EE1">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式中：x,y—计算点处的位置坐标；</w:t>
      </w:r>
    </w:p>
    <w:p w14:paraId="29B9D42C">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t—时间，d；</w:t>
      </w:r>
    </w:p>
    <w:p w14:paraId="7533A8B3">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C(x，y</w:t>
      </w:r>
      <w:r>
        <w:rPr>
          <w:rFonts w:hint="eastAsia"/>
          <w:snapToGrid w:val="0"/>
          <w:color w:val="auto"/>
          <w:kern w:val="0"/>
          <w:sz w:val="24"/>
          <w:highlight w:val="none"/>
          <w:lang w:eastAsia="zh-CN"/>
        </w:rPr>
        <w:t>，</w:t>
      </w:r>
      <w:r>
        <w:rPr>
          <w:rFonts w:hint="eastAsia"/>
          <w:snapToGrid w:val="0"/>
          <w:color w:val="auto"/>
          <w:kern w:val="0"/>
          <w:sz w:val="24"/>
          <w:highlight w:val="none"/>
        </w:rPr>
        <w:t>t)—t时刻点x</w:t>
      </w:r>
      <w:r>
        <w:rPr>
          <w:rFonts w:hint="eastAsia"/>
          <w:snapToGrid w:val="0"/>
          <w:color w:val="auto"/>
          <w:kern w:val="0"/>
          <w:sz w:val="24"/>
          <w:highlight w:val="none"/>
          <w:lang w:eastAsia="zh-CN"/>
        </w:rPr>
        <w:t>，</w:t>
      </w:r>
      <w:r>
        <w:rPr>
          <w:rFonts w:hint="eastAsia"/>
          <w:snapToGrid w:val="0"/>
          <w:color w:val="auto"/>
          <w:kern w:val="0"/>
          <w:sz w:val="24"/>
          <w:highlight w:val="none"/>
        </w:rPr>
        <w:t>y处的示踪剂浓度，g/L；</w:t>
      </w:r>
    </w:p>
    <w:p w14:paraId="3BB3C4E5">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M—含水层的厚度，m；</w:t>
      </w:r>
    </w:p>
    <w:p w14:paraId="3AA380D1">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mM—长度为M的线源瞬时注入的示踪剂质量，kg；</w:t>
      </w:r>
    </w:p>
    <w:p w14:paraId="7E0073FD">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u—水流速度，m/d；</w:t>
      </w:r>
    </w:p>
    <w:p w14:paraId="6827AF01">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n—有效孔隙度，无量纲；</w:t>
      </w:r>
    </w:p>
    <w:p w14:paraId="5FAD3FD6">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DL—纵向弥散系数，m</w:t>
      </w:r>
      <w:r>
        <w:rPr>
          <w:rFonts w:hint="eastAsia"/>
          <w:snapToGrid w:val="0"/>
          <w:color w:val="auto"/>
          <w:kern w:val="0"/>
          <w:sz w:val="24"/>
          <w:highlight w:val="none"/>
          <w:vertAlign w:val="superscript"/>
        </w:rPr>
        <w:t>2</w:t>
      </w:r>
      <w:r>
        <w:rPr>
          <w:rFonts w:hint="eastAsia"/>
          <w:snapToGrid w:val="0"/>
          <w:color w:val="auto"/>
          <w:kern w:val="0"/>
          <w:sz w:val="24"/>
          <w:highlight w:val="none"/>
        </w:rPr>
        <w:t>/d；</w:t>
      </w:r>
    </w:p>
    <w:p w14:paraId="2BC92DD3">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DT—横向y方向的弥散系数，m</w:t>
      </w:r>
      <w:r>
        <w:rPr>
          <w:rFonts w:hint="eastAsia"/>
          <w:snapToGrid w:val="0"/>
          <w:color w:val="auto"/>
          <w:kern w:val="0"/>
          <w:sz w:val="24"/>
          <w:highlight w:val="none"/>
          <w:vertAlign w:val="superscript"/>
        </w:rPr>
        <w:t>2</w:t>
      </w:r>
      <w:r>
        <w:rPr>
          <w:rFonts w:hint="eastAsia"/>
          <w:snapToGrid w:val="0"/>
          <w:color w:val="auto"/>
          <w:kern w:val="0"/>
          <w:sz w:val="24"/>
          <w:highlight w:val="none"/>
        </w:rPr>
        <w:t>/d；</w:t>
      </w:r>
    </w:p>
    <w:p w14:paraId="3C2C4E1F">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drawing>
          <wp:inline distT="0" distB="0" distL="114300" distR="114300">
            <wp:extent cx="182880" cy="182880"/>
            <wp:effectExtent l="0" t="0" r="7620" b="0"/>
            <wp:docPr id="28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5"/>
                    <pic:cNvPicPr>
                      <a:picLocks noChangeAspect="1"/>
                    </pic:cNvPicPr>
                  </pic:nvPicPr>
                  <pic:blipFill>
                    <a:blip r:embed="rId37"/>
                    <a:stretch>
                      <a:fillRect/>
                    </a:stretch>
                  </pic:blipFill>
                  <pic:spPr>
                    <a:xfrm>
                      <a:off x="0" y="0"/>
                      <a:ext cx="182880" cy="182880"/>
                    </a:xfrm>
                    <a:prstGeom prst="rect">
                      <a:avLst/>
                    </a:prstGeom>
                    <a:noFill/>
                    <a:ln>
                      <a:noFill/>
                    </a:ln>
                  </pic:spPr>
                </pic:pic>
              </a:graphicData>
            </a:graphic>
          </wp:inline>
        </w:drawing>
      </w:r>
      <w:r>
        <w:rPr>
          <w:rFonts w:hint="eastAsia"/>
          <w:snapToGrid w:val="0"/>
          <w:color w:val="auto"/>
          <w:kern w:val="0"/>
          <w:sz w:val="24"/>
          <w:highlight w:val="none"/>
        </w:rPr>
        <w:t>—圆周率。</w:t>
      </w:r>
    </w:p>
    <w:p w14:paraId="4AE6F43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6）模型参数选取</w:t>
      </w:r>
    </w:p>
    <w:p w14:paraId="52321AE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评价区</w:t>
      </w:r>
      <w:r>
        <w:rPr>
          <w:snapToGrid w:val="0"/>
          <w:color w:val="auto"/>
          <w:kern w:val="0"/>
          <w:sz w:val="24"/>
          <w:highlight w:val="none"/>
        </w:rPr>
        <w:t>水文地质条件较简单，本次评价选用的水文地质参数通过查阅区域已有的数据。</w:t>
      </w:r>
    </w:p>
    <w:p w14:paraId="78350662">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利用所选取的污染物迁移模型，能否达到对污染物迁移过程的合理预测，关键就在于模型参数的选取和确定是否正确合理。</w:t>
      </w:r>
    </w:p>
    <w:p w14:paraId="23F03900">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由模型可知，模型需要的参数有：外泄污染物质量m；有效孔隙度n；水流的实际平均速度u；污染物在含水层中的纵向弥散系数D</w:t>
      </w:r>
      <w:r>
        <w:rPr>
          <w:snapToGrid w:val="0"/>
          <w:color w:val="auto"/>
          <w:kern w:val="0"/>
          <w:sz w:val="24"/>
          <w:highlight w:val="none"/>
          <w:vertAlign w:val="subscript"/>
        </w:rPr>
        <w:t>L</w:t>
      </w:r>
      <w:r>
        <w:rPr>
          <w:snapToGrid w:val="0"/>
          <w:color w:val="auto"/>
          <w:kern w:val="0"/>
          <w:sz w:val="24"/>
          <w:highlight w:val="none"/>
        </w:rPr>
        <w:t>。</w:t>
      </w:r>
    </w:p>
    <w:p w14:paraId="53163696">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含水层的厚度M：根据水文地质勘查</w:t>
      </w:r>
      <w:r>
        <w:rPr>
          <w:rFonts w:hint="eastAsia"/>
          <w:snapToGrid w:val="0"/>
          <w:color w:val="auto"/>
          <w:kern w:val="0"/>
          <w:sz w:val="24"/>
          <w:highlight w:val="none"/>
        </w:rPr>
        <w:t>报告</w:t>
      </w:r>
      <w:r>
        <w:rPr>
          <w:snapToGrid w:val="0"/>
          <w:color w:val="auto"/>
          <w:kern w:val="0"/>
          <w:sz w:val="24"/>
          <w:highlight w:val="none"/>
        </w:rPr>
        <w:t>，M取</w:t>
      </w:r>
      <w:r>
        <w:rPr>
          <w:rFonts w:hint="eastAsia"/>
          <w:snapToGrid w:val="0"/>
          <w:color w:val="auto"/>
          <w:kern w:val="0"/>
          <w:sz w:val="24"/>
          <w:highlight w:val="none"/>
        </w:rPr>
        <w:t>70</w:t>
      </w:r>
      <w:r>
        <w:rPr>
          <w:snapToGrid w:val="0"/>
          <w:color w:val="auto"/>
          <w:kern w:val="0"/>
          <w:sz w:val="24"/>
          <w:highlight w:val="none"/>
        </w:rPr>
        <w:t>m；</w:t>
      </w:r>
    </w:p>
    <w:p w14:paraId="32A08992">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有效孔隙度n</w:t>
      </w:r>
      <w:r>
        <w:rPr>
          <w:rFonts w:hint="eastAsia"/>
          <w:snapToGrid w:val="0"/>
          <w:color w:val="auto"/>
          <w:kern w:val="0"/>
          <w:sz w:val="24"/>
          <w:highlight w:val="none"/>
        </w:rPr>
        <w:t>：根</w:t>
      </w:r>
      <w:r>
        <w:rPr>
          <w:snapToGrid w:val="0"/>
          <w:color w:val="auto"/>
          <w:kern w:val="0"/>
          <w:sz w:val="24"/>
          <w:highlight w:val="none"/>
        </w:rPr>
        <w:t>据水文地质勘查</w:t>
      </w:r>
      <w:r>
        <w:rPr>
          <w:rFonts w:hint="eastAsia"/>
          <w:snapToGrid w:val="0"/>
          <w:color w:val="auto"/>
          <w:kern w:val="0"/>
          <w:sz w:val="24"/>
          <w:highlight w:val="none"/>
        </w:rPr>
        <w:t>报告，</w:t>
      </w:r>
      <w:r>
        <w:rPr>
          <w:snapToGrid w:val="0"/>
          <w:color w:val="auto"/>
          <w:kern w:val="0"/>
          <w:sz w:val="24"/>
          <w:highlight w:val="none"/>
        </w:rPr>
        <w:t>取有效孔隙度为0.</w:t>
      </w:r>
      <w:r>
        <w:rPr>
          <w:rFonts w:hint="eastAsia"/>
          <w:snapToGrid w:val="0"/>
          <w:color w:val="auto"/>
          <w:kern w:val="0"/>
          <w:sz w:val="24"/>
          <w:highlight w:val="none"/>
        </w:rPr>
        <w:t>27</w:t>
      </w:r>
      <w:r>
        <w:rPr>
          <w:snapToGrid w:val="0"/>
          <w:color w:val="auto"/>
          <w:kern w:val="0"/>
          <w:sz w:val="24"/>
          <w:highlight w:val="none"/>
        </w:rPr>
        <w:t>。</w:t>
      </w:r>
    </w:p>
    <w:p w14:paraId="1445F83B">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水流实际平均流速u：V=KI，项目区包气带渗透系数取</w:t>
      </w:r>
      <w:r>
        <w:rPr>
          <w:rFonts w:hint="eastAsia"/>
          <w:snapToGrid w:val="0"/>
          <w:color w:val="auto"/>
          <w:kern w:val="0"/>
          <w:sz w:val="24"/>
          <w:highlight w:val="none"/>
        </w:rPr>
        <w:t>30</w:t>
      </w:r>
      <w:r>
        <w:rPr>
          <w:snapToGrid w:val="0"/>
          <w:color w:val="auto"/>
          <w:kern w:val="0"/>
          <w:sz w:val="24"/>
          <w:highlight w:val="none"/>
        </w:rPr>
        <w:t>m/d；水力坡度I=</w:t>
      </w:r>
      <w:r>
        <w:rPr>
          <w:rFonts w:hint="eastAsia"/>
          <w:snapToGrid w:val="0"/>
          <w:color w:val="auto"/>
          <w:kern w:val="0"/>
          <w:sz w:val="24"/>
          <w:highlight w:val="none"/>
        </w:rPr>
        <w:t>3</w:t>
      </w:r>
      <w:r>
        <w:rPr>
          <w:snapToGrid w:val="0"/>
          <w:color w:val="auto"/>
          <w:kern w:val="0"/>
          <w:sz w:val="24"/>
          <w:highlight w:val="none"/>
        </w:rPr>
        <w:t>‰（</w:t>
      </w:r>
      <w:r>
        <w:rPr>
          <w:rFonts w:hint="eastAsia"/>
          <w:snapToGrid w:val="0"/>
          <w:color w:val="auto"/>
          <w:kern w:val="0"/>
          <w:sz w:val="24"/>
          <w:highlight w:val="none"/>
        </w:rPr>
        <w:t>根</w:t>
      </w:r>
      <w:r>
        <w:rPr>
          <w:snapToGrid w:val="0"/>
          <w:color w:val="auto"/>
          <w:kern w:val="0"/>
          <w:sz w:val="24"/>
          <w:highlight w:val="none"/>
        </w:rPr>
        <w:t>据水文地质勘查</w:t>
      </w:r>
      <w:r>
        <w:rPr>
          <w:rFonts w:hint="eastAsia"/>
          <w:snapToGrid w:val="0"/>
          <w:color w:val="auto"/>
          <w:kern w:val="0"/>
          <w:sz w:val="24"/>
          <w:highlight w:val="none"/>
        </w:rPr>
        <w:t>报告</w:t>
      </w:r>
      <w:r>
        <w:rPr>
          <w:snapToGrid w:val="0"/>
          <w:color w:val="auto"/>
          <w:kern w:val="0"/>
          <w:sz w:val="24"/>
          <w:highlight w:val="none"/>
        </w:rPr>
        <w:t>），根据达西公式，地下水的渗透流速V=KI=</w:t>
      </w:r>
      <w:r>
        <w:rPr>
          <w:rFonts w:hint="eastAsia"/>
          <w:snapToGrid w:val="0"/>
          <w:color w:val="auto"/>
          <w:kern w:val="0"/>
          <w:sz w:val="24"/>
          <w:highlight w:val="none"/>
        </w:rPr>
        <w:t>30</w:t>
      </w:r>
      <w:r>
        <w:rPr>
          <w:snapToGrid w:val="0"/>
          <w:color w:val="auto"/>
          <w:kern w:val="0"/>
          <w:sz w:val="24"/>
          <w:highlight w:val="none"/>
        </w:rPr>
        <w:t>m/d×0.00</w:t>
      </w:r>
      <w:r>
        <w:rPr>
          <w:rFonts w:hint="eastAsia"/>
          <w:snapToGrid w:val="0"/>
          <w:color w:val="auto"/>
          <w:kern w:val="0"/>
          <w:sz w:val="24"/>
          <w:highlight w:val="none"/>
        </w:rPr>
        <w:t>3</w:t>
      </w:r>
      <w:r>
        <w:rPr>
          <w:snapToGrid w:val="0"/>
          <w:color w:val="auto"/>
          <w:kern w:val="0"/>
          <w:sz w:val="24"/>
          <w:highlight w:val="none"/>
        </w:rPr>
        <w:t>=</w:t>
      </w:r>
      <w:r>
        <w:rPr>
          <w:rFonts w:hint="eastAsia"/>
          <w:snapToGrid w:val="0"/>
          <w:color w:val="auto"/>
          <w:kern w:val="0"/>
          <w:sz w:val="24"/>
          <w:highlight w:val="none"/>
        </w:rPr>
        <w:t>0.09</w:t>
      </w:r>
      <w:r>
        <w:rPr>
          <w:snapToGrid w:val="0"/>
          <w:color w:val="auto"/>
          <w:kern w:val="0"/>
          <w:sz w:val="24"/>
          <w:highlight w:val="none"/>
        </w:rPr>
        <w:t>m/d，平均实际流速μ=V/n=</w:t>
      </w:r>
      <w:r>
        <w:rPr>
          <w:rFonts w:hint="eastAsia"/>
          <w:snapToGrid w:val="0"/>
          <w:color w:val="auto"/>
          <w:kern w:val="0"/>
          <w:sz w:val="24"/>
          <w:highlight w:val="none"/>
        </w:rPr>
        <w:t>0.33</w:t>
      </w:r>
      <w:r>
        <w:rPr>
          <w:snapToGrid w:val="0"/>
          <w:color w:val="auto"/>
          <w:kern w:val="0"/>
          <w:sz w:val="24"/>
          <w:highlight w:val="none"/>
        </w:rPr>
        <w:t>m/d。</w:t>
      </w:r>
    </w:p>
    <w:p w14:paraId="6BDD1E25">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纵向x方向的弥散系数D</w:t>
      </w:r>
      <w:r>
        <w:rPr>
          <w:snapToGrid w:val="0"/>
          <w:color w:val="auto"/>
          <w:kern w:val="0"/>
          <w:sz w:val="24"/>
          <w:highlight w:val="none"/>
          <w:vertAlign w:val="subscript"/>
        </w:rPr>
        <w:t>L</w:t>
      </w:r>
      <w:r>
        <w:rPr>
          <w:snapToGrid w:val="0"/>
          <w:color w:val="auto"/>
          <w:kern w:val="0"/>
          <w:sz w:val="24"/>
          <w:highlight w:val="none"/>
        </w:rPr>
        <w:t>：</w:t>
      </w:r>
    </w:p>
    <w:p w14:paraId="786C7354">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参考Gelhar等人关于纵向弥散度与观测尺度关系的理论，通常弥散度随着溶质运移距离的增加而加大，这种现象称之为水动力弥散尺度效应。其具体表现为：野外弥散试验所求出的弥散度远远大于在实验室所测出的值；即使是同一含水层，溶质运移距离越大，所计算出的弥散度也越大。将世界范围内所收集到的百余个水质模型中所使用的纵向弥散度αL绘在双对数坐标纸上，从图上可以看出纵向弥散度αL从整体上随着尺度的增加而增大（</w:t>
      </w:r>
      <w:r>
        <w:rPr>
          <w:rFonts w:hint="eastAsia"/>
          <w:snapToGrid w:val="0"/>
          <w:color w:val="auto"/>
          <w:kern w:val="0"/>
          <w:sz w:val="24"/>
          <w:highlight w:val="none"/>
        </w:rPr>
        <w:t>图6.2-1</w:t>
      </w:r>
      <w:r>
        <w:rPr>
          <w:rFonts w:hint="eastAsia"/>
          <w:snapToGrid w:val="0"/>
          <w:color w:val="auto"/>
          <w:kern w:val="0"/>
          <w:sz w:val="24"/>
          <w:highlight w:val="none"/>
          <w:lang w:val="en-US" w:eastAsia="zh-CN"/>
        </w:rPr>
        <w:t>4</w:t>
      </w:r>
      <w:r>
        <w:rPr>
          <w:snapToGrid w:val="0"/>
          <w:color w:val="auto"/>
          <w:kern w:val="0"/>
          <w:sz w:val="24"/>
          <w:highlight w:val="none"/>
        </w:rPr>
        <w:fldChar w:fldCharType="begin"/>
      </w:r>
      <w:r>
        <w:rPr>
          <w:snapToGrid w:val="0"/>
          <w:color w:val="auto"/>
          <w:kern w:val="0"/>
          <w:sz w:val="24"/>
          <w:highlight w:val="none"/>
        </w:rPr>
        <w:instrText xml:space="preserve"> REF _Ref99117858 \h  \* MERGEFORMAT </w:instrText>
      </w:r>
      <w:r>
        <w:rPr>
          <w:snapToGrid w:val="0"/>
          <w:color w:val="auto"/>
          <w:kern w:val="0"/>
          <w:sz w:val="24"/>
          <w:highlight w:val="none"/>
        </w:rPr>
        <w:fldChar w:fldCharType="end"/>
      </w:r>
      <w:r>
        <w:rPr>
          <w:snapToGrid w:val="0"/>
          <w:color w:val="auto"/>
          <w:kern w:val="0"/>
          <w:sz w:val="24"/>
          <w:highlight w:val="none"/>
        </w:rPr>
        <w:t>）。基准尺度Ls是指研究区大小的度量，一般用溶质运移到观测孔的最大距离表示，或用计算区的近似最大内径长度代替。</w:t>
      </w:r>
    </w:p>
    <w:p w14:paraId="2769EB0B">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参考前人的研究成果，弥散度应介于1～10之间，按照最不利的评价原则，本次模拟取弥散度参数值取10。</w:t>
      </w:r>
    </w:p>
    <w:p w14:paraId="24A36CD8">
      <w:pPr>
        <w:ind w:firstLine="420"/>
        <w:jc w:val="center"/>
        <w:rPr>
          <w:color w:val="auto"/>
          <w:highlight w:val="none"/>
        </w:rPr>
      </w:pPr>
      <w:r>
        <w:rPr>
          <w:color w:val="auto"/>
          <w:highlight w:val="none"/>
        </w:rPr>
        <w:drawing>
          <wp:inline distT="0" distB="0" distL="0" distR="0">
            <wp:extent cx="3209925" cy="2466975"/>
            <wp:effectExtent l="0" t="0" r="9525" b="9525"/>
            <wp:docPr id="31" name="图片 1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354"/>
                    <pic:cNvPicPr>
                      <a:picLocks noChangeAspect="1" noChangeArrowheads="1"/>
                    </pic:cNvPicPr>
                  </pic:nvPicPr>
                  <pic:blipFill>
                    <a:blip r:embed="rId38"/>
                    <a:srcRect l="9776" r="10300" b="12144"/>
                    <a:stretch>
                      <a:fillRect/>
                    </a:stretch>
                  </pic:blipFill>
                  <pic:spPr>
                    <a:xfrm>
                      <a:off x="0" y="0"/>
                      <a:ext cx="3209925" cy="2466975"/>
                    </a:xfrm>
                    <a:prstGeom prst="rect">
                      <a:avLst/>
                    </a:prstGeom>
                    <a:noFill/>
                    <a:ln>
                      <a:noFill/>
                    </a:ln>
                  </pic:spPr>
                </pic:pic>
              </a:graphicData>
            </a:graphic>
          </wp:inline>
        </w:drawing>
      </w:r>
    </w:p>
    <w:p w14:paraId="55FA26BD">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图6.2-1</w:t>
      </w:r>
      <w:r>
        <w:rPr>
          <w:rFonts w:hint="eastAsia" w:eastAsia="黑体"/>
          <w:snapToGrid w:val="0"/>
          <w:color w:val="auto"/>
          <w:kern w:val="0"/>
          <w:szCs w:val="21"/>
          <w:highlight w:val="none"/>
          <w:lang w:val="en-US" w:eastAsia="zh-CN"/>
        </w:rPr>
        <w:t>4</w:t>
      </w:r>
      <w:r>
        <w:rPr>
          <w:rFonts w:hint="eastAsia" w:eastAsia="黑体"/>
          <w:snapToGrid w:val="0"/>
          <w:color w:val="auto"/>
          <w:kern w:val="0"/>
          <w:szCs w:val="21"/>
          <w:highlight w:val="none"/>
        </w:rPr>
        <w:t xml:space="preserve"> lgαL-lgLs关系图</w:t>
      </w:r>
    </w:p>
    <w:p w14:paraId="7CD7A122">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模型计算中纵向弥散度选用10m。由此计算规划含水层中的纵向弥散系数D</w:t>
      </w:r>
      <w:r>
        <w:rPr>
          <w:snapToGrid w:val="0"/>
          <w:color w:val="auto"/>
          <w:kern w:val="0"/>
          <w:sz w:val="24"/>
          <w:highlight w:val="none"/>
          <w:vertAlign w:val="subscript"/>
        </w:rPr>
        <w:t>L</w:t>
      </w:r>
      <w:r>
        <w:rPr>
          <w:snapToGrid w:val="0"/>
          <w:color w:val="auto"/>
          <w:kern w:val="0"/>
          <w:sz w:val="24"/>
          <w:highlight w:val="none"/>
        </w:rPr>
        <w:t>=αL×u=10×</w:t>
      </w:r>
      <w:r>
        <w:rPr>
          <w:rFonts w:hint="eastAsia"/>
          <w:snapToGrid w:val="0"/>
          <w:color w:val="auto"/>
          <w:kern w:val="0"/>
          <w:sz w:val="24"/>
          <w:highlight w:val="none"/>
        </w:rPr>
        <w:t>0.33</w:t>
      </w:r>
      <w:r>
        <w:rPr>
          <w:snapToGrid w:val="0"/>
          <w:color w:val="auto"/>
          <w:kern w:val="0"/>
          <w:sz w:val="24"/>
          <w:highlight w:val="none"/>
        </w:rPr>
        <w:t>m/d=</w:t>
      </w:r>
      <w:r>
        <w:rPr>
          <w:rFonts w:hint="eastAsia"/>
          <w:snapToGrid w:val="0"/>
          <w:color w:val="auto"/>
          <w:kern w:val="0"/>
          <w:sz w:val="24"/>
          <w:highlight w:val="none"/>
        </w:rPr>
        <w:t>3.3</w:t>
      </w:r>
      <w:r>
        <w:rPr>
          <w:snapToGrid w:val="0"/>
          <w:color w:val="auto"/>
          <w:kern w:val="0"/>
          <w:sz w:val="24"/>
          <w:highlight w:val="none"/>
        </w:rPr>
        <w:t>m</w:t>
      </w:r>
      <w:r>
        <w:rPr>
          <w:snapToGrid w:val="0"/>
          <w:color w:val="auto"/>
          <w:kern w:val="0"/>
          <w:sz w:val="24"/>
          <w:highlight w:val="none"/>
          <w:vertAlign w:val="superscript"/>
        </w:rPr>
        <w:t>2</w:t>
      </w:r>
      <w:r>
        <w:rPr>
          <w:snapToGrid w:val="0"/>
          <w:color w:val="auto"/>
          <w:kern w:val="0"/>
          <w:sz w:val="24"/>
          <w:highlight w:val="none"/>
        </w:rPr>
        <w:t>/d；</w:t>
      </w:r>
    </w:p>
    <w:p w14:paraId="30517ABA">
      <w:pPr>
        <w:adjustRightInd w:val="0"/>
        <w:snapToGrid w:val="0"/>
        <w:spacing w:line="360" w:lineRule="auto"/>
        <w:ind w:firstLine="480" w:firstLineChars="200"/>
        <w:rPr>
          <w:rFonts w:hint="eastAsia" w:eastAsia="宋体"/>
          <w:snapToGrid w:val="0"/>
          <w:color w:val="auto"/>
          <w:kern w:val="0"/>
          <w:sz w:val="24"/>
          <w:highlight w:val="none"/>
          <w:lang w:eastAsia="zh-CN"/>
        </w:rPr>
      </w:pPr>
      <w:r>
        <w:rPr>
          <w:snapToGrid w:val="0"/>
          <w:color w:val="auto"/>
          <w:kern w:val="0"/>
          <w:sz w:val="24"/>
          <w:highlight w:val="none"/>
        </w:rPr>
        <w:t>横向y方向的弥散系数D</w:t>
      </w:r>
      <w:r>
        <w:rPr>
          <w:snapToGrid w:val="0"/>
          <w:color w:val="auto"/>
          <w:kern w:val="0"/>
          <w:sz w:val="24"/>
          <w:highlight w:val="none"/>
          <w:vertAlign w:val="subscript"/>
        </w:rPr>
        <w:t>T</w:t>
      </w:r>
      <w:r>
        <w:rPr>
          <w:snapToGrid w:val="0"/>
          <w:color w:val="auto"/>
          <w:kern w:val="0"/>
          <w:sz w:val="24"/>
          <w:highlight w:val="none"/>
        </w:rPr>
        <w:t>：根据经验一般αT/αL=0.1，则横向弥散系数D</w:t>
      </w:r>
      <w:r>
        <w:rPr>
          <w:snapToGrid w:val="0"/>
          <w:color w:val="auto"/>
          <w:kern w:val="0"/>
          <w:sz w:val="24"/>
          <w:highlight w:val="none"/>
          <w:vertAlign w:val="subscript"/>
        </w:rPr>
        <w:t>T</w:t>
      </w:r>
      <w:r>
        <w:rPr>
          <w:snapToGrid w:val="0"/>
          <w:color w:val="auto"/>
          <w:kern w:val="0"/>
          <w:sz w:val="24"/>
          <w:highlight w:val="none"/>
        </w:rPr>
        <w:t>=</w:t>
      </w:r>
      <w:r>
        <w:rPr>
          <w:rFonts w:hint="eastAsia"/>
          <w:snapToGrid w:val="0"/>
          <w:color w:val="auto"/>
          <w:kern w:val="0"/>
          <w:sz w:val="24"/>
          <w:highlight w:val="none"/>
        </w:rPr>
        <w:t>0.33</w:t>
      </w:r>
      <w:r>
        <w:rPr>
          <w:snapToGrid w:val="0"/>
          <w:color w:val="auto"/>
          <w:kern w:val="0"/>
          <w:sz w:val="24"/>
          <w:highlight w:val="none"/>
        </w:rPr>
        <w:t>m</w:t>
      </w:r>
      <w:r>
        <w:rPr>
          <w:snapToGrid w:val="0"/>
          <w:color w:val="auto"/>
          <w:kern w:val="0"/>
          <w:sz w:val="24"/>
          <w:highlight w:val="none"/>
          <w:vertAlign w:val="superscript"/>
        </w:rPr>
        <w:t>2</w:t>
      </w:r>
      <w:r>
        <w:rPr>
          <w:snapToGrid w:val="0"/>
          <w:color w:val="auto"/>
          <w:kern w:val="0"/>
          <w:sz w:val="24"/>
          <w:highlight w:val="none"/>
        </w:rPr>
        <w:t>/d</w:t>
      </w:r>
      <w:r>
        <w:rPr>
          <w:rFonts w:hint="eastAsia"/>
          <w:snapToGrid w:val="0"/>
          <w:color w:val="auto"/>
          <w:kern w:val="0"/>
          <w:sz w:val="24"/>
          <w:highlight w:val="none"/>
          <w:lang w:eastAsia="zh-CN"/>
        </w:rPr>
        <w:t>；</w:t>
      </w:r>
    </w:p>
    <w:p w14:paraId="25A71513">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本次评价选用的水文地质参数通过查阅区域已有的数据。各参数取值见表</w:t>
      </w:r>
      <w:r>
        <w:rPr>
          <w:rFonts w:hint="eastAsia"/>
          <w:snapToGrid w:val="0"/>
          <w:color w:val="auto"/>
          <w:kern w:val="0"/>
          <w:sz w:val="24"/>
          <w:highlight w:val="none"/>
        </w:rPr>
        <w:t>6.2-</w:t>
      </w:r>
      <w:r>
        <w:rPr>
          <w:rFonts w:hint="eastAsia"/>
          <w:snapToGrid w:val="0"/>
          <w:color w:val="auto"/>
          <w:kern w:val="0"/>
          <w:sz w:val="24"/>
          <w:highlight w:val="none"/>
          <w:lang w:val="en-US" w:eastAsia="zh-CN"/>
        </w:rPr>
        <w:t>30</w:t>
      </w:r>
      <w:r>
        <w:rPr>
          <w:snapToGrid w:val="0"/>
          <w:color w:val="auto"/>
          <w:kern w:val="0"/>
          <w:sz w:val="24"/>
          <w:highlight w:val="none"/>
        </w:rPr>
        <w:t>。</w:t>
      </w:r>
    </w:p>
    <w:p w14:paraId="3704A3A7">
      <w:pPr>
        <w:pStyle w:val="766"/>
        <w:snapToGrid w:val="0"/>
        <w:rPr>
          <w:snapToGrid w:val="0"/>
          <w:color w:val="auto"/>
          <w:kern w:val="0"/>
          <w:szCs w:val="21"/>
          <w:highlight w:val="none"/>
          <w:lang w:eastAsia="zh-CN"/>
        </w:rPr>
      </w:pPr>
      <w:r>
        <w:rPr>
          <w:rFonts w:hint="eastAsia"/>
          <w:snapToGrid w:val="0"/>
          <w:color w:val="auto"/>
          <w:kern w:val="0"/>
          <w:szCs w:val="21"/>
          <w:highlight w:val="none"/>
          <w:lang w:eastAsia="zh-CN"/>
        </w:rPr>
        <w:t>表6.2-</w:t>
      </w:r>
      <w:r>
        <w:rPr>
          <w:rFonts w:hint="eastAsia"/>
          <w:snapToGrid w:val="0"/>
          <w:color w:val="auto"/>
          <w:kern w:val="0"/>
          <w:szCs w:val="21"/>
          <w:highlight w:val="none"/>
          <w:lang w:val="en-US" w:eastAsia="zh-CN"/>
        </w:rPr>
        <w:t>30</w:t>
      </w:r>
      <w:r>
        <w:rPr>
          <w:rFonts w:hint="eastAsia"/>
          <w:snapToGrid w:val="0"/>
          <w:color w:val="auto"/>
          <w:kern w:val="0"/>
          <w:szCs w:val="21"/>
          <w:highlight w:val="none"/>
          <w:lang w:eastAsia="zh-CN"/>
        </w:rPr>
        <w:t xml:space="preserve"> 水文地质参数取值一览表</w:t>
      </w:r>
    </w:p>
    <w:tbl>
      <w:tblPr>
        <w:tblStyle w:val="782"/>
        <w:tblW w:w="5009" w:type="pct"/>
        <w:jc w:val="center"/>
        <w:tblBorders>
          <w:top w:val="single" w:color="auto" w:sz="4" w:space="0"/>
          <w:left w:val="single" w:color="auto" w:sz="4" w:space="0"/>
          <w:bottom w:val="single" w:color="auto" w:sz="4" w:space="0"/>
          <w:right w:val="single" w:color="auto" w:sz="4" w:space="0"/>
          <w:insideH w:val="single" w:color="7030A0" w:sz="6" w:space="0"/>
          <w:insideV w:val="single" w:color="7030A0" w:sz="6" w:space="0"/>
        </w:tblBorders>
        <w:tblLayout w:type="autofit"/>
        <w:tblCellMar>
          <w:top w:w="0" w:type="dxa"/>
          <w:left w:w="0" w:type="dxa"/>
          <w:bottom w:w="0" w:type="dxa"/>
          <w:right w:w="0" w:type="dxa"/>
        </w:tblCellMar>
      </w:tblPr>
      <w:tblGrid>
        <w:gridCol w:w="983"/>
        <w:gridCol w:w="1224"/>
        <w:gridCol w:w="1224"/>
        <w:gridCol w:w="1226"/>
        <w:gridCol w:w="1224"/>
        <w:gridCol w:w="1224"/>
        <w:gridCol w:w="1226"/>
      </w:tblGrid>
      <w:tr w14:paraId="4822E5F0">
        <w:tblPrEx>
          <w:tblBorders>
            <w:top w:val="single" w:color="auto" w:sz="4" w:space="0"/>
            <w:left w:val="single" w:color="auto" w:sz="4" w:space="0"/>
            <w:bottom w:val="single" w:color="auto" w:sz="4" w:space="0"/>
            <w:right w:val="single" w:color="auto" w:sz="4" w:space="0"/>
            <w:insideH w:val="single" w:color="7030A0" w:sz="6" w:space="0"/>
            <w:insideV w:val="single" w:color="7030A0" w:sz="6" w:space="0"/>
          </w:tblBorders>
          <w:tblCellMar>
            <w:top w:w="0" w:type="dxa"/>
            <w:left w:w="0" w:type="dxa"/>
            <w:bottom w:w="0" w:type="dxa"/>
            <w:right w:w="0" w:type="dxa"/>
          </w:tblCellMar>
        </w:tblPrEx>
        <w:trPr>
          <w:trHeight w:val="397" w:hRule="atLeast"/>
          <w:jc w:val="center"/>
        </w:trPr>
        <w:tc>
          <w:tcPr>
            <w:tcW w:w="590" w:type="pct"/>
            <w:tcBorders>
              <w:bottom w:val="single" w:color="auto" w:sz="4" w:space="0"/>
              <w:right w:val="single" w:color="auto" w:sz="4" w:space="0"/>
            </w:tcBorders>
            <w:vAlign w:val="center"/>
          </w:tcPr>
          <w:p w14:paraId="64A62DD5">
            <w:pPr>
              <w:pStyle w:val="768"/>
              <w:rPr>
                <w:color w:val="auto"/>
                <w:highlight w:val="none"/>
              </w:rPr>
            </w:pPr>
            <w:r>
              <w:rPr>
                <w:color w:val="auto"/>
                <w:highlight w:val="none"/>
              </w:rPr>
              <w:t>参数名称</w:t>
            </w:r>
          </w:p>
        </w:tc>
        <w:tc>
          <w:tcPr>
            <w:tcW w:w="734" w:type="pct"/>
            <w:tcBorders>
              <w:left w:val="single" w:color="auto" w:sz="4" w:space="0"/>
              <w:bottom w:val="single" w:color="auto" w:sz="4" w:space="0"/>
              <w:right w:val="single" w:color="auto" w:sz="4" w:space="0"/>
            </w:tcBorders>
            <w:vAlign w:val="center"/>
          </w:tcPr>
          <w:p w14:paraId="6EF207B3">
            <w:pPr>
              <w:pStyle w:val="768"/>
              <w:rPr>
                <w:color w:val="auto"/>
                <w:highlight w:val="none"/>
              </w:rPr>
            </w:pPr>
            <w:r>
              <w:rPr>
                <w:color w:val="auto"/>
                <w:highlight w:val="none"/>
              </w:rPr>
              <w:t>含水层厚度</w:t>
            </w:r>
          </w:p>
          <w:p w14:paraId="76BFB295">
            <w:pPr>
              <w:pStyle w:val="768"/>
              <w:rPr>
                <w:rFonts w:hint="eastAsia" w:eastAsia="宋体"/>
                <w:color w:val="auto"/>
                <w:highlight w:val="none"/>
                <w:lang w:eastAsia="zh-CN"/>
              </w:rPr>
            </w:pPr>
            <w:r>
              <w:rPr>
                <w:rFonts w:hint="eastAsia"/>
                <w:color w:val="auto"/>
                <w:highlight w:val="none"/>
                <w:lang w:eastAsia="zh-CN"/>
              </w:rPr>
              <w:t>（</w:t>
            </w:r>
            <w:r>
              <w:rPr>
                <w:color w:val="auto"/>
                <w:highlight w:val="none"/>
              </w:rPr>
              <w:t>M</w:t>
            </w:r>
            <w:r>
              <w:rPr>
                <w:rFonts w:hint="eastAsia"/>
                <w:color w:val="auto"/>
                <w:highlight w:val="none"/>
                <w:lang w:eastAsia="zh-CN"/>
              </w:rPr>
              <w:t>）</w:t>
            </w:r>
          </w:p>
        </w:tc>
        <w:tc>
          <w:tcPr>
            <w:tcW w:w="734" w:type="pct"/>
            <w:tcBorders>
              <w:left w:val="single" w:color="auto" w:sz="4" w:space="0"/>
              <w:bottom w:val="single" w:color="auto" w:sz="4" w:space="0"/>
              <w:right w:val="single" w:color="auto" w:sz="4" w:space="0"/>
            </w:tcBorders>
            <w:vAlign w:val="center"/>
          </w:tcPr>
          <w:p w14:paraId="1735247E">
            <w:pPr>
              <w:pStyle w:val="768"/>
              <w:rPr>
                <w:rFonts w:hint="eastAsia" w:eastAsia="宋体"/>
                <w:color w:val="auto"/>
                <w:highlight w:val="none"/>
                <w:lang w:eastAsia="zh-CN"/>
              </w:rPr>
            </w:pPr>
            <w:r>
              <w:rPr>
                <w:color w:val="auto"/>
                <w:highlight w:val="none"/>
              </w:rPr>
              <w:t>含水层渗透系数</w:t>
            </w:r>
            <w:r>
              <w:rPr>
                <w:rFonts w:hint="eastAsia"/>
                <w:color w:val="auto"/>
                <w:highlight w:val="none"/>
                <w:lang w:eastAsia="zh-CN"/>
              </w:rPr>
              <w:t>（</w:t>
            </w:r>
            <w:r>
              <w:rPr>
                <w:color w:val="auto"/>
                <w:highlight w:val="none"/>
              </w:rPr>
              <w:t>K</w:t>
            </w:r>
            <w:r>
              <w:rPr>
                <w:rFonts w:hint="eastAsia"/>
                <w:color w:val="auto"/>
                <w:highlight w:val="none"/>
                <w:lang w:eastAsia="zh-CN"/>
              </w:rPr>
              <w:t>）</w:t>
            </w:r>
          </w:p>
        </w:tc>
        <w:tc>
          <w:tcPr>
            <w:tcW w:w="735" w:type="pct"/>
            <w:tcBorders>
              <w:left w:val="single" w:color="auto" w:sz="4" w:space="0"/>
              <w:bottom w:val="single" w:color="auto" w:sz="4" w:space="0"/>
              <w:right w:val="single" w:color="auto" w:sz="4" w:space="0"/>
            </w:tcBorders>
            <w:vAlign w:val="center"/>
          </w:tcPr>
          <w:p w14:paraId="1788E903">
            <w:pPr>
              <w:pStyle w:val="768"/>
              <w:rPr>
                <w:rFonts w:hint="eastAsia" w:eastAsia="宋体"/>
                <w:color w:val="auto"/>
                <w:highlight w:val="none"/>
                <w:lang w:eastAsia="zh-CN"/>
              </w:rPr>
            </w:pPr>
            <w:r>
              <w:rPr>
                <w:color w:val="auto"/>
                <w:highlight w:val="none"/>
              </w:rPr>
              <w:t>地下水流速</w:t>
            </w:r>
            <w:r>
              <w:rPr>
                <w:rFonts w:hint="eastAsia"/>
                <w:color w:val="auto"/>
                <w:highlight w:val="none"/>
                <w:lang w:eastAsia="zh-CN"/>
              </w:rPr>
              <w:t>（</w:t>
            </w:r>
            <w:r>
              <w:rPr>
                <w:color w:val="auto"/>
                <w:highlight w:val="none"/>
              </w:rPr>
              <w:t>u</w:t>
            </w:r>
            <w:r>
              <w:rPr>
                <w:rFonts w:hint="eastAsia"/>
                <w:color w:val="auto"/>
                <w:highlight w:val="none"/>
                <w:lang w:eastAsia="zh-CN"/>
              </w:rPr>
              <w:t>）</w:t>
            </w:r>
          </w:p>
        </w:tc>
        <w:tc>
          <w:tcPr>
            <w:tcW w:w="734" w:type="pct"/>
            <w:tcBorders>
              <w:left w:val="single" w:color="auto" w:sz="4" w:space="0"/>
              <w:bottom w:val="single" w:color="auto" w:sz="4" w:space="0"/>
              <w:right w:val="single" w:color="auto" w:sz="4" w:space="0"/>
            </w:tcBorders>
            <w:vAlign w:val="center"/>
          </w:tcPr>
          <w:p w14:paraId="377A96D2">
            <w:pPr>
              <w:pStyle w:val="768"/>
              <w:rPr>
                <w:rFonts w:hint="eastAsia" w:eastAsia="宋体"/>
                <w:color w:val="auto"/>
                <w:highlight w:val="none"/>
                <w:lang w:eastAsia="zh-CN"/>
              </w:rPr>
            </w:pPr>
            <w:r>
              <w:rPr>
                <w:color w:val="auto"/>
                <w:highlight w:val="none"/>
              </w:rPr>
              <w:t>有效孔隙度</w:t>
            </w:r>
            <w:r>
              <w:rPr>
                <w:rFonts w:hint="eastAsia"/>
                <w:color w:val="auto"/>
                <w:highlight w:val="none"/>
                <w:lang w:eastAsia="zh-CN"/>
              </w:rPr>
              <w:t>（</w:t>
            </w:r>
            <w:r>
              <w:rPr>
                <w:color w:val="auto"/>
                <w:highlight w:val="none"/>
              </w:rPr>
              <w:t>n</w:t>
            </w:r>
            <w:r>
              <w:rPr>
                <w:rFonts w:hint="eastAsia"/>
                <w:color w:val="auto"/>
                <w:highlight w:val="none"/>
                <w:lang w:eastAsia="zh-CN"/>
              </w:rPr>
              <w:t>）</w:t>
            </w:r>
          </w:p>
        </w:tc>
        <w:tc>
          <w:tcPr>
            <w:tcW w:w="734" w:type="pct"/>
            <w:tcBorders>
              <w:left w:val="single" w:color="auto" w:sz="4" w:space="0"/>
              <w:bottom w:val="single" w:color="auto" w:sz="4" w:space="0"/>
              <w:right w:val="single" w:color="auto" w:sz="4" w:space="0"/>
            </w:tcBorders>
            <w:vAlign w:val="center"/>
          </w:tcPr>
          <w:p w14:paraId="4210E5D9">
            <w:pPr>
              <w:pStyle w:val="768"/>
              <w:rPr>
                <w:rFonts w:hint="eastAsia" w:eastAsia="宋体"/>
                <w:color w:val="auto"/>
                <w:highlight w:val="none"/>
                <w:lang w:eastAsia="zh-CN"/>
              </w:rPr>
            </w:pPr>
            <w:r>
              <w:rPr>
                <w:color w:val="auto"/>
                <w:highlight w:val="none"/>
              </w:rPr>
              <w:t>纵向弥散系数</w:t>
            </w:r>
            <w:r>
              <w:rPr>
                <w:rFonts w:hint="eastAsia"/>
                <w:color w:val="auto"/>
                <w:highlight w:val="none"/>
                <w:lang w:eastAsia="zh-CN"/>
              </w:rPr>
              <w:t>（</w:t>
            </w:r>
            <w:r>
              <w:rPr>
                <w:color w:val="auto"/>
                <w:highlight w:val="none"/>
              </w:rPr>
              <w:t>D</w:t>
            </w:r>
            <w:r>
              <w:rPr>
                <w:color w:val="auto"/>
                <w:highlight w:val="none"/>
                <w:vertAlign w:val="subscript"/>
              </w:rPr>
              <w:t>L</w:t>
            </w:r>
            <w:r>
              <w:rPr>
                <w:rFonts w:hint="eastAsia"/>
                <w:color w:val="auto"/>
                <w:highlight w:val="none"/>
                <w:lang w:eastAsia="zh-CN"/>
              </w:rPr>
              <w:t>）</w:t>
            </w:r>
          </w:p>
        </w:tc>
        <w:tc>
          <w:tcPr>
            <w:tcW w:w="735" w:type="pct"/>
            <w:tcBorders>
              <w:left w:val="single" w:color="auto" w:sz="4" w:space="0"/>
              <w:bottom w:val="single" w:color="auto" w:sz="4" w:space="0"/>
            </w:tcBorders>
            <w:vAlign w:val="center"/>
          </w:tcPr>
          <w:p w14:paraId="6084E992">
            <w:pPr>
              <w:pStyle w:val="768"/>
              <w:rPr>
                <w:rFonts w:hint="eastAsia" w:eastAsia="宋体"/>
                <w:color w:val="auto"/>
                <w:highlight w:val="none"/>
                <w:lang w:eastAsia="zh-CN"/>
              </w:rPr>
            </w:pPr>
            <w:r>
              <w:rPr>
                <w:color w:val="auto"/>
                <w:highlight w:val="none"/>
              </w:rPr>
              <w:t>横向弥散系数</w:t>
            </w:r>
            <w:r>
              <w:rPr>
                <w:rFonts w:hint="eastAsia"/>
                <w:color w:val="auto"/>
                <w:highlight w:val="none"/>
                <w:lang w:eastAsia="zh-CN"/>
              </w:rPr>
              <w:t>（</w:t>
            </w:r>
            <w:r>
              <w:rPr>
                <w:color w:val="auto"/>
                <w:highlight w:val="none"/>
              </w:rPr>
              <w:t>D</w:t>
            </w:r>
            <w:r>
              <w:rPr>
                <w:color w:val="auto"/>
                <w:highlight w:val="none"/>
                <w:vertAlign w:val="subscript"/>
              </w:rPr>
              <w:t>T</w:t>
            </w:r>
            <w:r>
              <w:rPr>
                <w:rFonts w:hint="eastAsia"/>
                <w:color w:val="auto"/>
                <w:highlight w:val="none"/>
                <w:lang w:eastAsia="zh-CN"/>
              </w:rPr>
              <w:t>）</w:t>
            </w:r>
          </w:p>
        </w:tc>
      </w:tr>
      <w:tr w14:paraId="7286C9D0">
        <w:tblPrEx>
          <w:tblBorders>
            <w:top w:val="single" w:color="auto" w:sz="4" w:space="0"/>
            <w:left w:val="single" w:color="auto" w:sz="4" w:space="0"/>
            <w:bottom w:val="single" w:color="auto" w:sz="4" w:space="0"/>
            <w:right w:val="single" w:color="auto" w:sz="4" w:space="0"/>
            <w:insideH w:val="single" w:color="7030A0" w:sz="6" w:space="0"/>
            <w:insideV w:val="single" w:color="7030A0" w:sz="6" w:space="0"/>
          </w:tblBorders>
          <w:tblCellMar>
            <w:top w:w="0" w:type="dxa"/>
            <w:left w:w="0" w:type="dxa"/>
            <w:bottom w:w="0" w:type="dxa"/>
            <w:right w:w="0" w:type="dxa"/>
          </w:tblCellMar>
        </w:tblPrEx>
        <w:trPr>
          <w:trHeight w:val="397" w:hRule="atLeast"/>
          <w:jc w:val="center"/>
        </w:trPr>
        <w:tc>
          <w:tcPr>
            <w:tcW w:w="590" w:type="pct"/>
            <w:tcBorders>
              <w:top w:val="single" w:color="auto" w:sz="4" w:space="0"/>
              <w:bottom w:val="single" w:color="auto" w:sz="4" w:space="0"/>
              <w:right w:val="single" w:color="auto" w:sz="4" w:space="0"/>
            </w:tcBorders>
            <w:vAlign w:val="center"/>
          </w:tcPr>
          <w:p w14:paraId="03452536">
            <w:pPr>
              <w:pStyle w:val="768"/>
              <w:rPr>
                <w:color w:val="auto"/>
                <w:highlight w:val="none"/>
              </w:rPr>
            </w:pPr>
            <w:r>
              <w:rPr>
                <w:color w:val="auto"/>
                <w:highlight w:val="none"/>
              </w:rPr>
              <w:t>单位</w:t>
            </w:r>
          </w:p>
        </w:tc>
        <w:tc>
          <w:tcPr>
            <w:tcW w:w="734" w:type="pct"/>
            <w:tcBorders>
              <w:top w:val="single" w:color="auto" w:sz="4" w:space="0"/>
              <w:left w:val="single" w:color="auto" w:sz="4" w:space="0"/>
              <w:bottom w:val="single" w:color="auto" w:sz="4" w:space="0"/>
              <w:right w:val="single" w:color="auto" w:sz="4" w:space="0"/>
            </w:tcBorders>
            <w:vAlign w:val="center"/>
          </w:tcPr>
          <w:p w14:paraId="7F0A63D4">
            <w:pPr>
              <w:pStyle w:val="768"/>
              <w:rPr>
                <w:color w:val="auto"/>
                <w:highlight w:val="none"/>
              </w:rPr>
            </w:pPr>
            <w:r>
              <w:rPr>
                <w:color w:val="auto"/>
                <w:highlight w:val="none"/>
              </w:rPr>
              <w:t>m</w:t>
            </w:r>
          </w:p>
        </w:tc>
        <w:tc>
          <w:tcPr>
            <w:tcW w:w="734" w:type="pct"/>
            <w:tcBorders>
              <w:top w:val="single" w:color="auto" w:sz="4" w:space="0"/>
              <w:left w:val="single" w:color="auto" w:sz="4" w:space="0"/>
              <w:bottom w:val="single" w:color="auto" w:sz="4" w:space="0"/>
              <w:right w:val="single" w:color="auto" w:sz="4" w:space="0"/>
            </w:tcBorders>
            <w:vAlign w:val="center"/>
          </w:tcPr>
          <w:p w14:paraId="4F6FC397">
            <w:pPr>
              <w:pStyle w:val="768"/>
              <w:rPr>
                <w:color w:val="auto"/>
                <w:highlight w:val="none"/>
              </w:rPr>
            </w:pPr>
            <w:r>
              <w:rPr>
                <w:color w:val="auto"/>
                <w:highlight w:val="none"/>
              </w:rPr>
              <w:t>m/d</w:t>
            </w:r>
          </w:p>
        </w:tc>
        <w:tc>
          <w:tcPr>
            <w:tcW w:w="735" w:type="pct"/>
            <w:tcBorders>
              <w:top w:val="single" w:color="auto" w:sz="4" w:space="0"/>
              <w:left w:val="single" w:color="auto" w:sz="4" w:space="0"/>
              <w:bottom w:val="single" w:color="auto" w:sz="4" w:space="0"/>
              <w:right w:val="single" w:color="auto" w:sz="4" w:space="0"/>
            </w:tcBorders>
            <w:vAlign w:val="center"/>
          </w:tcPr>
          <w:p w14:paraId="32F86634">
            <w:pPr>
              <w:pStyle w:val="768"/>
              <w:rPr>
                <w:color w:val="auto"/>
                <w:highlight w:val="none"/>
              </w:rPr>
            </w:pPr>
            <w:r>
              <w:rPr>
                <w:color w:val="auto"/>
                <w:highlight w:val="none"/>
              </w:rPr>
              <w:t>m/d</w:t>
            </w:r>
          </w:p>
        </w:tc>
        <w:tc>
          <w:tcPr>
            <w:tcW w:w="734" w:type="pct"/>
            <w:tcBorders>
              <w:top w:val="single" w:color="auto" w:sz="4" w:space="0"/>
              <w:left w:val="single" w:color="auto" w:sz="4" w:space="0"/>
              <w:bottom w:val="single" w:color="auto" w:sz="4" w:space="0"/>
              <w:right w:val="single" w:color="auto" w:sz="4" w:space="0"/>
            </w:tcBorders>
            <w:vAlign w:val="center"/>
          </w:tcPr>
          <w:p w14:paraId="4B69A766">
            <w:pPr>
              <w:pStyle w:val="768"/>
              <w:rPr>
                <w:color w:val="auto"/>
                <w:highlight w:val="none"/>
              </w:rPr>
            </w:pPr>
            <w:r>
              <w:rPr>
                <w:color w:val="auto"/>
                <w:highlight w:val="none"/>
              </w:rPr>
              <w:t>无量纲</w:t>
            </w:r>
          </w:p>
        </w:tc>
        <w:tc>
          <w:tcPr>
            <w:tcW w:w="734" w:type="pct"/>
            <w:tcBorders>
              <w:top w:val="single" w:color="auto" w:sz="4" w:space="0"/>
              <w:left w:val="single" w:color="auto" w:sz="4" w:space="0"/>
              <w:bottom w:val="single" w:color="auto" w:sz="4" w:space="0"/>
              <w:right w:val="single" w:color="auto" w:sz="4" w:space="0"/>
            </w:tcBorders>
            <w:vAlign w:val="center"/>
          </w:tcPr>
          <w:p w14:paraId="265311A0">
            <w:pPr>
              <w:pStyle w:val="768"/>
              <w:rPr>
                <w:color w:val="auto"/>
                <w:highlight w:val="none"/>
              </w:rPr>
            </w:pPr>
            <w:r>
              <w:rPr>
                <w:color w:val="auto"/>
                <w:highlight w:val="none"/>
              </w:rPr>
              <w:t>m</w:t>
            </w:r>
            <w:r>
              <w:rPr>
                <w:color w:val="auto"/>
                <w:highlight w:val="none"/>
                <w:vertAlign w:val="superscript"/>
              </w:rPr>
              <w:t>2</w:t>
            </w:r>
            <w:r>
              <w:rPr>
                <w:color w:val="auto"/>
                <w:highlight w:val="none"/>
              </w:rPr>
              <w:t>/d</w:t>
            </w:r>
          </w:p>
        </w:tc>
        <w:tc>
          <w:tcPr>
            <w:tcW w:w="735" w:type="pct"/>
            <w:tcBorders>
              <w:top w:val="single" w:color="auto" w:sz="4" w:space="0"/>
              <w:left w:val="single" w:color="auto" w:sz="4" w:space="0"/>
              <w:bottom w:val="single" w:color="auto" w:sz="4" w:space="0"/>
            </w:tcBorders>
            <w:vAlign w:val="center"/>
          </w:tcPr>
          <w:p w14:paraId="3CD71811">
            <w:pPr>
              <w:pStyle w:val="768"/>
              <w:rPr>
                <w:color w:val="auto"/>
                <w:highlight w:val="none"/>
              </w:rPr>
            </w:pPr>
            <w:r>
              <w:rPr>
                <w:color w:val="auto"/>
                <w:highlight w:val="none"/>
              </w:rPr>
              <w:t>m</w:t>
            </w:r>
            <w:r>
              <w:rPr>
                <w:color w:val="auto"/>
                <w:highlight w:val="none"/>
                <w:vertAlign w:val="superscript"/>
              </w:rPr>
              <w:t>2</w:t>
            </w:r>
            <w:r>
              <w:rPr>
                <w:color w:val="auto"/>
                <w:highlight w:val="none"/>
              </w:rPr>
              <w:t>/d</w:t>
            </w:r>
          </w:p>
        </w:tc>
      </w:tr>
      <w:tr w14:paraId="2EF719CF">
        <w:tblPrEx>
          <w:tblBorders>
            <w:top w:val="single" w:color="auto" w:sz="4" w:space="0"/>
            <w:left w:val="single" w:color="auto" w:sz="4" w:space="0"/>
            <w:bottom w:val="single" w:color="auto" w:sz="4" w:space="0"/>
            <w:right w:val="single" w:color="auto" w:sz="4" w:space="0"/>
            <w:insideH w:val="single" w:color="7030A0" w:sz="6" w:space="0"/>
            <w:insideV w:val="single" w:color="7030A0" w:sz="6" w:space="0"/>
          </w:tblBorders>
          <w:tblCellMar>
            <w:top w:w="0" w:type="dxa"/>
            <w:left w:w="0" w:type="dxa"/>
            <w:bottom w:w="0" w:type="dxa"/>
            <w:right w:w="0" w:type="dxa"/>
          </w:tblCellMar>
        </w:tblPrEx>
        <w:trPr>
          <w:trHeight w:val="397" w:hRule="atLeast"/>
          <w:jc w:val="center"/>
        </w:trPr>
        <w:tc>
          <w:tcPr>
            <w:tcW w:w="590" w:type="pct"/>
            <w:tcBorders>
              <w:top w:val="single" w:color="auto" w:sz="4" w:space="0"/>
              <w:right w:val="single" w:color="auto" w:sz="4" w:space="0"/>
            </w:tcBorders>
            <w:vAlign w:val="center"/>
          </w:tcPr>
          <w:p w14:paraId="4B815AEF">
            <w:pPr>
              <w:pStyle w:val="768"/>
              <w:rPr>
                <w:color w:val="auto"/>
                <w:highlight w:val="none"/>
              </w:rPr>
            </w:pPr>
            <w:r>
              <w:rPr>
                <w:color w:val="auto"/>
                <w:highlight w:val="none"/>
              </w:rPr>
              <w:t>数值</w:t>
            </w:r>
          </w:p>
        </w:tc>
        <w:tc>
          <w:tcPr>
            <w:tcW w:w="734" w:type="pct"/>
            <w:tcBorders>
              <w:top w:val="single" w:color="auto" w:sz="4" w:space="0"/>
              <w:left w:val="single" w:color="auto" w:sz="4" w:space="0"/>
              <w:right w:val="single" w:color="auto" w:sz="4" w:space="0"/>
            </w:tcBorders>
            <w:vAlign w:val="center"/>
          </w:tcPr>
          <w:p w14:paraId="52CBF3C4">
            <w:pPr>
              <w:pStyle w:val="768"/>
              <w:rPr>
                <w:color w:val="auto"/>
                <w:highlight w:val="none"/>
              </w:rPr>
            </w:pPr>
            <w:r>
              <w:rPr>
                <w:rFonts w:hint="eastAsia"/>
                <w:color w:val="auto"/>
                <w:highlight w:val="none"/>
                <w:lang w:val="en-US" w:eastAsia="zh-CN"/>
              </w:rPr>
              <w:t>7</w:t>
            </w:r>
            <w:r>
              <w:rPr>
                <w:rFonts w:hint="eastAsia"/>
                <w:color w:val="auto"/>
                <w:highlight w:val="none"/>
              </w:rPr>
              <w:t>0</w:t>
            </w:r>
          </w:p>
        </w:tc>
        <w:tc>
          <w:tcPr>
            <w:tcW w:w="734" w:type="pct"/>
            <w:tcBorders>
              <w:top w:val="single" w:color="auto" w:sz="4" w:space="0"/>
              <w:left w:val="single" w:color="auto" w:sz="4" w:space="0"/>
              <w:right w:val="single" w:color="auto" w:sz="4" w:space="0"/>
            </w:tcBorders>
            <w:vAlign w:val="center"/>
          </w:tcPr>
          <w:p w14:paraId="086EB1AA">
            <w:pPr>
              <w:pStyle w:val="768"/>
              <w:rPr>
                <w:color w:val="auto"/>
                <w:highlight w:val="none"/>
              </w:rPr>
            </w:pPr>
            <w:r>
              <w:rPr>
                <w:rFonts w:hint="eastAsia"/>
                <w:color w:val="auto"/>
                <w:highlight w:val="none"/>
              </w:rPr>
              <w:t>30</w:t>
            </w:r>
          </w:p>
        </w:tc>
        <w:tc>
          <w:tcPr>
            <w:tcW w:w="735" w:type="pct"/>
            <w:tcBorders>
              <w:top w:val="single" w:color="auto" w:sz="4" w:space="0"/>
              <w:left w:val="single" w:color="auto" w:sz="4" w:space="0"/>
              <w:right w:val="single" w:color="auto" w:sz="4" w:space="0"/>
            </w:tcBorders>
            <w:vAlign w:val="center"/>
          </w:tcPr>
          <w:p w14:paraId="22E7EFCB">
            <w:pPr>
              <w:pStyle w:val="768"/>
              <w:rPr>
                <w:color w:val="auto"/>
                <w:highlight w:val="none"/>
              </w:rPr>
            </w:pPr>
            <w:r>
              <w:rPr>
                <w:rFonts w:hint="eastAsia"/>
                <w:color w:val="auto"/>
                <w:highlight w:val="none"/>
              </w:rPr>
              <w:t>0.33</w:t>
            </w:r>
          </w:p>
        </w:tc>
        <w:tc>
          <w:tcPr>
            <w:tcW w:w="734" w:type="pct"/>
            <w:tcBorders>
              <w:top w:val="single" w:color="auto" w:sz="4" w:space="0"/>
              <w:left w:val="single" w:color="auto" w:sz="4" w:space="0"/>
              <w:right w:val="single" w:color="auto" w:sz="4" w:space="0"/>
            </w:tcBorders>
            <w:vAlign w:val="center"/>
          </w:tcPr>
          <w:p w14:paraId="5A396D80">
            <w:pPr>
              <w:pStyle w:val="768"/>
              <w:rPr>
                <w:color w:val="auto"/>
                <w:highlight w:val="none"/>
              </w:rPr>
            </w:pPr>
            <w:r>
              <w:rPr>
                <w:rFonts w:hint="eastAsia"/>
                <w:color w:val="auto"/>
                <w:highlight w:val="none"/>
              </w:rPr>
              <w:t>0.27</w:t>
            </w:r>
          </w:p>
        </w:tc>
        <w:tc>
          <w:tcPr>
            <w:tcW w:w="734" w:type="pct"/>
            <w:tcBorders>
              <w:top w:val="single" w:color="auto" w:sz="4" w:space="0"/>
              <w:left w:val="single" w:color="auto" w:sz="4" w:space="0"/>
              <w:right w:val="single" w:color="auto" w:sz="4" w:space="0"/>
            </w:tcBorders>
            <w:vAlign w:val="center"/>
          </w:tcPr>
          <w:p w14:paraId="4CDF68E6">
            <w:pPr>
              <w:pStyle w:val="768"/>
              <w:rPr>
                <w:color w:val="auto"/>
                <w:highlight w:val="none"/>
              </w:rPr>
            </w:pPr>
            <w:r>
              <w:rPr>
                <w:rFonts w:hint="eastAsia"/>
                <w:color w:val="auto"/>
                <w:highlight w:val="none"/>
              </w:rPr>
              <w:t>3.3</w:t>
            </w:r>
          </w:p>
        </w:tc>
        <w:tc>
          <w:tcPr>
            <w:tcW w:w="735" w:type="pct"/>
            <w:tcBorders>
              <w:top w:val="single" w:color="auto" w:sz="4" w:space="0"/>
              <w:left w:val="single" w:color="auto" w:sz="4" w:space="0"/>
            </w:tcBorders>
            <w:vAlign w:val="center"/>
          </w:tcPr>
          <w:p w14:paraId="66CD510A">
            <w:pPr>
              <w:pStyle w:val="768"/>
              <w:rPr>
                <w:color w:val="auto"/>
                <w:highlight w:val="none"/>
              </w:rPr>
            </w:pPr>
            <w:r>
              <w:rPr>
                <w:rFonts w:hint="eastAsia"/>
                <w:color w:val="auto"/>
                <w:highlight w:val="none"/>
              </w:rPr>
              <w:t>0.33</w:t>
            </w:r>
          </w:p>
        </w:tc>
      </w:tr>
    </w:tbl>
    <w:p w14:paraId="77477DEE">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color w:val="auto"/>
          <w:kern w:val="0"/>
          <w:sz w:val="24"/>
          <w:szCs w:val="28"/>
          <w:highlight w:val="none"/>
        </w:rPr>
      </w:pPr>
      <w:r>
        <w:rPr>
          <w:rFonts w:hint="eastAsia"/>
          <w:snapToGrid w:val="0"/>
          <w:color w:val="auto"/>
          <w:kern w:val="0"/>
          <w:sz w:val="24"/>
          <w:highlight w:val="none"/>
        </w:rPr>
        <w:t>6</w:t>
      </w:r>
      <w:r>
        <w:rPr>
          <w:rFonts w:hint="eastAsia"/>
          <w:color w:val="auto"/>
          <w:kern w:val="0"/>
          <w:sz w:val="24"/>
          <w:szCs w:val="28"/>
          <w:highlight w:val="none"/>
        </w:rPr>
        <w:t>）预测结果</w:t>
      </w:r>
    </w:p>
    <w:p w14:paraId="1E6140B2">
      <w:pPr>
        <w:adjustRightInd w:val="0"/>
        <w:snapToGrid w:val="0"/>
        <w:spacing w:line="360" w:lineRule="auto"/>
        <w:ind w:firstLine="480" w:firstLineChars="200"/>
        <w:rPr>
          <w:color w:val="auto"/>
          <w:kern w:val="0"/>
          <w:sz w:val="24"/>
          <w:szCs w:val="28"/>
          <w:highlight w:val="none"/>
        </w:rPr>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color w:val="auto"/>
          <w:kern w:val="0"/>
          <w:sz w:val="24"/>
          <w:szCs w:val="28"/>
          <w:highlight w:val="none"/>
        </w:rPr>
        <w:t>污染发生后100d、</w:t>
      </w:r>
      <w:r>
        <w:rPr>
          <w:rFonts w:hint="eastAsia"/>
          <w:color w:val="auto"/>
          <w:kern w:val="0"/>
          <w:sz w:val="24"/>
          <w:szCs w:val="28"/>
          <w:highlight w:val="none"/>
          <w:lang w:val="en-US" w:eastAsia="zh-CN"/>
        </w:rPr>
        <w:t>1000d、</w:t>
      </w:r>
      <w:r>
        <w:rPr>
          <w:rFonts w:hint="eastAsia"/>
          <w:color w:val="auto"/>
          <w:kern w:val="0"/>
          <w:sz w:val="24"/>
          <w:szCs w:val="28"/>
          <w:highlight w:val="none"/>
        </w:rPr>
        <w:t>3650d，</w:t>
      </w:r>
      <w:r>
        <w:rPr>
          <w:rFonts w:hint="eastAsia"/>
          <w:color w:val="auto"/>
          <w:kern w:val="0"/>
          <w:sz w:val="24"/>
          <w:szCs w:val="28"/>
          <w:highlight w:val="none"/>
          <w:lang w:val="en-US" w:eastAsia="zh-CN"/>
        </w:rPr>
        <w:t>氨氮和石油类</w:t>
      </w:r>
      <w:r>
        <w:rPr>
          <w:rFonts w:hint="eastAsia"/>
          <w:color w:val="auto"/>
          <w:kern w:val="0"/>
          <w:sz w:val="24"/>
          <w:szCs w:val="28"/>
          <w:highlight w:val="none"/>
        </w:rPr>
        <w:t>迁移规律预测结果见图6.2-1</w:t>
      </w:r>
      <w:r>
        <w:rPr>
          <w:rFonts w:hint="eastAsia"/>
          <w:color w:val="auto"/>
          <w:kern w:val="0"/>
          <w:sz w:val="24"/>
          <w:szCs w:val="28"/>
          <w:highlight w:val="none"/>
          <w:lang w:val="en-US" w:eastAsia="zh-CN"/>
        </w:rPr>
        <w:t>5</w:t>
      </w:r>
      <w:r>
        <w:rPr>
          <w:rFonts w:hint="eastAsia"/>
          <w:color w:val="auto"/>
          <w:kern w:val="0"/>
          <w:sz w:val="24"/>
          <w:szCs w:val="28"/>
          <w:highlight w:val="none"/>
        </w:rPr>
        <w:t>。</w:t>
      </w:r>
    </w:p>
    <w:tbl>
      <w:tblPr>
        <w:tblStyle w:val="56"/>
        <w:tblW w:w="0" w:type="auto"/>
        <w:tblInd w:w="1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4679"/>
        <w:gridCol w:w="4679"/>
      </w:tblGrid>
      <w:tr w14:paraId="5571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3" w:type="dxa"/>
            <w:vAlign w:val="center"/>
          </w:tcPr>
          <w:p w14:paraId="12775EDF">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2828925" cy="1741805"/>
                  <wp:effectExtent l="0" t="0" r="9525" b="10795"/>
                  <wp:docPr id="284" name="图片 284" descr="2793dbbd-5062-4224-8efa-7b6ab8b28e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2793dbbd-5062-4224-8efa-7b6ab8b28e3c"/>
                          <pic:cNvPicPr>
                            <a:picLocks noChangeAspect="1"/>
                          </pic:cNvPicPr>
                        </pic:nvPicPr>
                        <pic:blipFill>
                          <a:blip r:embed="rId39"/>
                          <a:stretch>
                            <a:fillRect/>
                          </a:stretch>
                        </pic:blipFill>
                        <pic:spPr>
                          <a:xfrm>
                            <a:off x="0" y="0"/>
                            <a:ext cx="2828925" cy="1741805"/>
                          </a:xfrm>
                          <a:prstGeom prst="rect">
                            <a:avLst/>
                          </a:prstGeom>
                        </pic:spPr>
                      </pic:pic>
                    </a:graphicData>
                  </a:graphic>
                </wp:inline>
              </w:drawing>
            </w:r>
          </w:p>
        </w:tc>
        <w:tc>
          <w:tcPr>
            <w:tcW w:w="4663" w:type="dxa"/>
            <w:vAlign w:val="center"/>
          </w:tcPr>
          <w:p w14:paraId="39B99404">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2829560" cy="1728470"/>
                  <wp:effectExtent l="0" t="0" r="8890" b="5080"/>
                  <wp:docPr id="289" name="图片 289" descr="7decfdb2-2747-4a5f-a4cd-aecaa4bd1d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7decfdb2-2747-4a5f-a4cd-aecaa4bd1d6a"/>
                          <pic:cNvPicPr>
                            <a:picLocks noChangeAspect="1"/>
                          </pic:cNvPicPr>
                        </pic:nvPicPr>
                        <pic:blipFill>
                          <a:blip r:embed="rId40"/>
                          <a:stretch>
                            <a:fillRect/>
                          </a:stretch>
                        </pic:blipFill>
                        <pic:spPr>
                          <a:xfrm>
                            <a:off x="0" y="0"/>
                            <a:ext cx="2829560" cy="1728470"/>
                          </a:xfrm>
                          <a:prstGeom prst="rect">
                            <a:avLst/>
                          </a:prstGeom>
                        </pic:spPr>
                      </pic:pic>
                    </a:graphicData>
                  </a:graphic>
                </wp:inline>
              </w:drawing>
            </w:r>
          </w:p>
        </w:tc>
        <w:tc>
          <w:tcPr>
            <w:tcW w:w="4663" w:type="dxa"/>
            <w:vAlign w:val="center"/>
          </w:tcPr>
          <w:p w14:paraId="2CBDA733">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2830195" cy="1726565"/>
                  <wp:effectExtent l="0" t="0" r="8255" b="6985"/>
                  <wp:docPr id="290" name="图片 290" descr="88347b00-5ce1-48a1-91d7-59664af89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88347b00-5ce1-48a1-91d7-59664af89a4e"/>
                          <pic:cNvPicPr>
                            <a:picLocks noChangeAspect="1"/>
                          </pic:cNvPicPr>
                        </pic:nvPicPr>
                        <pic:blipFill>
                          <a:blip r:embed="rId41"/>
                          <a:stretch>
                            <a:fillRect/>
                          </a:stretch>
                        </pic:blipFill>
                        <pic:spPr>
                          <a:xfrm>
                            <a:off x="0" y="0"/>
                            <a:ext cx="2830195" cy="1726565"/>
                          </a:xfrm>
                          <a:prstGeom prst="rect">
                            <a:avLst/>
                          </a:prstGeom>
                        </pic:spPr>
                      </pic:pic>
                    </a:graphicData>
                  </a:graphic>
                </wp:inline>
              </w:drawing>
            </w:r>
          </w:p>
        </w:tc>
      </w:tr>
      <w:tr w14:paraId="1E74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3" w:type="dxa"/>
            <w:vAlign w:val="center"/>
          </w:tcPr>
          <w:p w14:paraId="23A793FD">
            <w:pPr>
              <w:jc w:val="center"/>
              <w:rPr>
                <w:rFonts w:eastAsia="黑体"/>
                <w:color w:val="auto"/>
                <w:szCs w:val="21"/>
                <w:highlight w:val="none"/>
              </w:rPr>
            </w:pPr>
            <w:r>
              <w:rPr>
                <w:rFonts w:eastAsia="黑体"/>
                <w:color w:val="auto"/>
                <w:szCs w:val="21"/>
                <w:highlight w:val="none"/>
              </w:rPr>
              <w:t>渗漏100d后，下游不同距离的</w:t>
            </w:r>
            <w:r>
              <w:rPr>
                <w:rFonts w:hint="eastAsia" w:eastAsia="黑体"/>
                <w:color w:val="auto"/>
                <w:szCs w:val="21"/>
                <w:highlight w:val="none"/>
                <w:lang w:val="en-US" w:eastAsia="zh-CN"/>
              </w:rPr>
              <w:t>氨氮</w:t>
            </w:r>
            <w:r>
              <w:rPr>
                <w:rFonts w:eastAsia="黑体"/>
                <w:color w:val="auto"/>
                <w:szCs w:val="21"/>
                <w:highlight w:val="none"/>
              </w:rPr>
              <w:t>浓度分布</w:t>
            </w:r>
          </w:p>
        </w:tc>
        <w:tc>
          <w:tcPr>
            <w:tcW w:w="4663" w:type="dxa"/>
            <w:vAlign w:val="center"/>
          </w:tcPr>
          <w:p w14:paraId="0E0A16B9">
            <w:pPr>
              <w:jc w:val="center"/>
              <w:rPr>
                <w:color w:val="auto"/>
                <w:highlight w:val="none"/>
              </w:rPr>
            </w:pPr>
            <w:r>
              <w:rPr>
                <w:rFonts w:eastAsia="黑体"/>
                <w:color w:val="auto"/>
                <w:szCs w:val="21"/>
                <w:highlight w:val="none"/>
              </w:rPr>
              <w:t>渗漏100</w:t>
            </w:r>
            <w:r>
              <w:rPr>
                <w:rFonts w:hint="eastAsia" w:eastAsia="黑体"/>
                <w:color w:val="auto"/>
                <w:szCs w:val="21"/>
                <w:highlight w:val="none"/>
              </w:rPr>
              <w:t>0</w:t>
            </w:r>
            <w:r>
              <w:rPr>
                <w:rFonts w:eastAsia="黑体"/>
                <w:color w:val="auto"/>
                <w:szCs w:val="21"/>
                <w:highlight w:val="none"/>
              </w:rPr>
              <w:t>d后，下游不同距离的</w:t>
            </w:r>
            <w:r>
              <w:rPr>
                <w:rFonts w:hint="eastAsia" w:eastAsia="黑体"/>
                <w:color w:val="auto"/>
                <w:szCs w:val="21"/>
                <w:highlight w:val="none"/>
                <w:lang w:val="en-US" w:eastAsia="zh-CN"/>
              </w:rPr>
              <w:t>氨氮</w:t>
            </w:r>
            <w:r>
              <w:rPr>
                <w:rFonts w:eastAsia="黑体"/>
                <w:color w:val="auto"/>
                <w:szCs w:val="21"/>
                <w:highlight w:val="none"/>
              </w:rPr>
              <w:t>浓度分布</w:t>
            </w:r>
          </w:p>
        </w:tc>
        <w:tc>
          <w:tcPr>
            <w:tcW w:w="4663" w:type="dxa"/>
            <w:vAlign w:val="center"/>
          </w:tcPr>
          <w:p w14:paraId="0895C2B8">
            <w:pPr>
              <w:jc w:val="center"/>
              <w:rPr>
                <w:color w:val="auto"/>
                <w:highlight w:val="none"/>
              </w:rPr>
            </w:pPr>
            <w:r>
              <w:rPr>
                <w:rFonts w:eastAsia="黑体"/>
                <w:color w:val="auto"/>
                <w:szCs w:val="21"/>
                <w:highlight w:val="none"/>
              </w:rPr>
              <w:t>渗漏</w:t>
            </w:r>
            <w:r>
              <w:rPr>
                <w:rFonts w:hint="eastAsia" w:eastAsia="黑体"/>
                <w:color w:val="auto"/>
                <w:szCs w:val="21"/>
                <w:highlight w:val="none"/>
              </w:rPr>
              <w:t>3650</w:t>
            </w:r>
            <w:r>
              <w:rPr>
                <w:rFonts w:eastAsia="黑体"/>
                <w:color w:val="auto"/>
                <w:szCs w:val="21"/>
                <w:highlight w:val="none"/>
              </w:rPr>
              <w:t>d后，下游不同距离的</w:t>
            </w:r>
            <w:r>
              <w:rPr>
                <w:rFonts w:hint="eastAsia" w:eastAsia="黑体"/>
                <w:color w:val="auto"/>
                <w:szCs w:val="21"/>
                <w:highlight w:val="none"/>
                <w:lang w:val="en-US" w:eastAsia="zh-CN"/>
              </w:rPr>
              <w:t>氨氮</w:t>
            </w:r>
            <w:r>
              <w:rPr>
                <w:rFonts w:eastAsia="黑体"/>
                <w:color w:val="auto"/>
                <w:szCs w:val="21"/>
                <w:highlight w:val="none"/>
              </w:rPr>
              <w:t>浓度分布</w:t>
            </w:r>
          </w:p>
        </w:tc>
      </w:tr>
      <w:tr w14:paraId="75C7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3" w:type="dxa"/>
            <w:vAlign w:val="center"/>
          </w:tcPr>
          <w:p w14:paraId="425C76F7">
            <w:pPr>
              <w:jc w:val="center"/>
              <w:rPr>
                <w:rFonts w:hint="eastAsia" w:eastAsia="黑体"/>
                <w:color w:val="auto"/>
                <w:szCs w:val="21"/>
                <w:highlight w:val="none"/>
                <w:lang w:eastAsia="zh-CN"/>
              </w:rPr>
            </w:pPr>
            <w:r>
              <w:rPr>
                <w:rFonts w:hint="eastAsia" w:eastAsia="黑体"/>
                <w:color w:val="auto"/>
                <w:szCs w:val="21"/>
                <w:highlight w:val="none"/>
                <w:lang w:eastAsia="zh-CN"/>
              </w:rPr>
              <w:drawing>
                <wp:inline distT="0" distB="0" distL="114300" distR="114300">
                  <wp:extent cx="2837180" cy="1727200"/>
                  <wp:effectExtent l="0" t="0" r="1270" b="6350"/>
                  <wp:docPr id="132" name="图片 132" descr="5bf56a08-858d-46ce-bcea-69c753faf1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5bf56a08-858d-46ce-bcea-69c753faf1b7"/>
                          <pic:cNvPicPr>
                            <a:picLocks noChangeAspect="1"/>
                          </pic:cNvPicPr>
                        </pic:nvPicPr>
                        <pic:blipFill>
                          <a:blip r:embed="rId42"/>
                          <a:stretch>
                            <a:fillRect/>
                          </a:stretch>
                        </pic:blipFill>
                        <pic:spPr>
                          <a:xfrm>
                            <a:off x="0" y="0"/>
                            <a:ext cx="2837180" cy="1727200"/>
                          </a:xfrm>
                          <a:prstGeom prst="rect">
                            <a:avLst/>
                          </a:prstGeom>
                        </pic:spPr>
                      </pic:pic>
                    </a:graphicData>
                  </a:graphic>
                </wp:inline>
              </w:drawing>
            </w:r>
          </w:p>
        </w:tc>
        <w:tc>
          <w:tcPr>
            <w:tcW w:w="4663" w:type="dxa"/>
            <w:vAlign w:val="center"/>
          </w:tcPr>
          <w:p w14:paraId="170062CA">
            <w:pPr>
              <w:jc w:val="center"/>
              <w:rPr>
                <w:rFonts w:hint="eastAsia" w:eastAsia="黑体"/>
                <w:color w:val="auto"/>
                <w:szCs w:val="21"/>
                <w:highlight w:val="none"/>
                <w:lang w:eastAsia="zh-CN"/>
              </w:rPr>
            </w:pPr>
            <w:r>
              <w:rPr>
                <w:rFonts w:hint="eastAsia" w:eastAsia="黑体"/>
                <w:color w:val="auto"/>
                <w:szCs w:val="21"/>
                <w:highlight w:val="none"/>
                <w:lang w:eastAsia="zh-CN"/>
              </w:rPr>
              <w:drawing>
                <wp:inline distT="0" distB="0" distL="114300" distR="114300">
                  <wp:extent cx="2820670" cy="1726565"/>
                  <wp:effectExtent l="0" t="0" r="17780" b="6985"/>
                  <wp:docPr id="136" name="图片 136" descr="bb7445fc-cd6b-46e0-98d4-1b787b11fd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bb7445fc-cd6b-46e0-98d4-1b787b11fd7c"/>
                          <pic:cNvPicPr>
                            <a:picLocks noChangeAspect="1"/>
                          </pic:cNvPicPr>
                        </pic:nvPicPr>
                        <pic:blipFill>
                          <a:blip r:embed="rId43"/>
                          <a:stretch>
                            <a:fillRect/>
                          </a:stretch>
                        </pic:blipFill>
                        <pic:spPr>
                          <a:xfrm>
                            <a:off x="0" y="0"/>
                            <a:ext cx="2820670" cy="1726565"/>
                          </a:xfrm>
                          <a:prstGeom prst="rect">
                            <a:avLst/>
                          </a:prstGeom>
                        </pic:spPr>
                      </pic:pic>
                    </a:graphicData>
                  </a:graphic>
                </wp:inline>
              </w:drawing>
            </w:r>
          </w:p>
        </w:tc>
        <w:tc>
          <w:tcPr>
            <w:tcW w:w="4663" w:type="dxa"/>
            <w:vAlign w:val="center"/>
          </w:tcPr>
          <w:p w14:paraId="0A066286">
            <w:pPr>
              <w:jc w:val="center"/>
              <w:rPr>
                <w:rFonts w:hint="eastAsia" w:eastAsia="黑体"/>
                <w:color w:val="auto"/>
                <w:szCs w:val="21"/>
                <w:highlight w:val="none"/>
                <w:lang w:eastAsia="zh-CN"/>
              </w:rPr>
            </w:pPr>
            <w:r>
              <w:rPr>
                <w:rFonts w:hint="eastAsia" w:eastAsia="黑体"/>
                <w:color w:val="auto"/>
                <w:szCs w:val="21"/>
                <w:highlight w:val="none"/>
                <w:lang w:eastAsia="zh-CN"/>
              </w:rPr>
              <w:drawing>
                <wp:inline distT="0" distB="0" distL="114300" distR="114300">
                  <wp:extent cx="2833370" cy="1727200"/>
                  <wp:effectExtent l="0" t="0" r="5080" b="6350"/>
                  <wp:docPr id="146" name="图片 146" descr="dafc99d4-cd96-4af0-b58c-3daebd297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dafc99d4-cd96-4af0-b58c-3daebd297ce9"/>
                          <pic:cNvPicPr>
                            <a:picLocks noChangeAspect="1"/>
                          </pic:cNvPicPr>
                        </pic:nvPicPr>
                        <pic:blipFill>
                          <a:blip r:embed="rId44"/>
                          <a:stretch>
                            <a:fillRect/>
                          </a:stretch>
                        </pic:blipFill>
                        <pic:spPr>
                          <a:xfrm>
                            <a:off x="0" y="0"/>
                            <a:ext cx="2833370" cy="1727200"/>
                          </a:xfrm>
                          <a:prstGeom prst="rect">
                            <a:avLst/>
                          </a:prstGeom>
                        </pic:spPr>
                      </pic:pic>
                    </a:graphicData>
                  </a:graphic>
                </wp:inline>
              </w:drawing>
            </w:r>
          </w:p>
        </w:tc>
      </w:tr>
      <w:tr w14:paraId="12CD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3" w:type="dxa"/>
            <w:vAlign w:val="center"/>
          </w:tcPr>
          <w:p w14:paraId="4B41CA6C">
            <w:pPr>
              <w:jc w:val="center"/>
              <w:rPr>
                <w:rFonts w:eastAsia="黑体"/>
                <w:color w:val="auto"/>
                <w:szCs w:val="21"/>
                <w:highlight w:val="none"/>
              </w:rPr>
            </w:pPr>
            <w:r>
              <w:rPr>
                <w:rFonts w:eastAsia="黑体"/>
                <w:color w:val="auto"/>
                <w:szCs w:val="21"/>
                <w:highlight w:val="none"/>
              </w:rPr>
              <w:t>渗漏100d后，下游不同距离的</w:t>
            </w:r>
            <w:r>
              <w:rPr>
                <w:rFonts w:hint="eastAsia" w:eastAsia="黑体"/>
                <w:color w:val="auto"/>
                <w:szCs w:val="21"/>
                <w:highlight w:val="none"/>
                <w:lang w:val="en-US" w:eastAsia="zh-CN"/>
              </w:rPr>
              <w:t>石油类</w:t>
            </w:r>
            <w:r>
              <w:rPr>
                <w:rFonts w:eastAsia="黑体"/>
                <w:color w:val="auto"/>
                <w:szCs w:val="21"/>
                <w:highlight w:val="none"/>
              </w:rPr>
              <w:t>浓度分布</w:t>
            </w:r>
          </w:p>
        </w:tc>
        <w:tc>
          <w:tcPr>
            <w:tcW w:w="4663" w:type="dxa"/>
            <w:vAlign w:val="center"/>
          </w:tcPr>
          <w:p w14:paraId="7FB572A2">
            <w:pPr>
              <w:jc w:val="center"/>
              <w:rPr>
                <w:rFonts w:eastAsia="黑体"/>
                <w:color w:val="auto"/>
                <w:szCs w:val="21"/>
                <w:highlight w:val="none"/>
              </w:rPr>
            </w:pPr>
            <w:r>
              <w:rPr>
                <w:rFonts w:eastAsia="黑体"/>
                <w:color w:val="auto"/>
                <w:szCs w:val="21"/>
                <w:highlight w:val="none"/>
              </w:rPr>
              <w:t>渗漏100</w:t>
            </w:r>
            <w:r>
              <w:rPr>
                <w:rFonts w:hint="eastAsia" w:eastAsia="黑体"/>
                <w:color w:val="auto"/>
                <w:szCs w:val="21"/>
                <w:highlight w:val="none"/>
              </w:rPr>
              <w:t>0</w:t>
            </w:r>
            <w:r>
              <w:rPr>
                <w:rFonts w:eastAsia="黑体"/>
                <w:color w:val="auto"/>
                <w:szCs w:val="21"/>
                <w:highlight w:val="none"/>
              </w:rPr>
              <w:t>d后，下游不同距离的</w:t>
            </w:r>
            <w:r>
              <w:rPr>
                <w:rFonts w:hint="eastAsia" w:eastAsia="黑体"/>
                <w:color w:val="auto"/>
                <w:szCs w:val="21"/>
                <w:highlight w:val="none"/>
                <w:lang w:val="en-US" w:eastAsia="zh-CN"/>
              </w:rPr>
              <w:t>石油类</w:t>
            </w:r>
            <w:r>
              <w:rPr>
                <w:rFonts w:eastAsia="黑体"/>
                <w:color w:val="auto"/>
                <w:szCs w:val="21"/>
                <w:highlight w:val="none"/>
              </w:rPr>
              <w:t>浓度分布</w:t>
            </w:r>
          </w:p>
        </w:tc>
        <w:tc>
          <w:tcPr>
            <w:tcW w:w="4663" w:type="dxa"/>
            <w:vAlign w:val="center"/>
          </w:tcPr>
          <w:p w14:paraId="37DD48A1">
            <w:pPr>
              <w:jc w:val="center"/>
              <w:rPr>
                <w:rFonts w:eastAsia="黑体"/>
                <w:color w:val="auto"/>
                <w:szCs w:val="21"/>
                <w:highlight w:val="none"/>
              </w:rPr>
            </w:pPr>
            <w:r>
              <w:rPr>
                <w:rFonts w:eastAsia="黑体"/>
                <w:color w:val="auto"/>
                <w:szCs w:val="21"/>
                <w:highlight w:val="none"/>
              </w:rPr>
              <w:t>渗漏</w:t>
            </w:r>
            <w:r>
              <w:rPr>
                <w:rFonts w:hint="eastAsia" w:eastAsia="黑体"/>
                <w:color w:val="auto"/>
                <w:szCs w:val="21"/>
                <w:highlight w:val="none"/>
              </w:rPr>
              <w:t>3650</w:t>
            </w:r>
            <w:r>
              <w:rPr>
                <w:rFonts w:eastAsia="黑体"/>
                <w:color w:val="auto"/>
                <w:szCs w:val="21"/>
                <w:highlight w:val="none"/>
              </w:rPr>
              <w:t>d后，下游不同距离的</w:t>
            </w:r>
            <w:r>
              <w:rPr>
                <w:rFonts w:hint="eastAsia" w:eastAsia="黑体"/>
                <w:color w:val="auto"/>
                <w:szCs w:val="21"/>
                <w:highlight w:val="none"/>
                <w:lang w:val="en-US" w:eastAsia="zh-CN"/>
              </w:rPr>
              <w:t>石油类</w:t>
            </w:r>
            <w:r>
              <w:rPr>
                <w:rFonts w:eastAsia="黑体"/>
                <w:color w:val="auto"/>
                <w:szCs w:val="21"/>
                <w:highlight w:val="none"/>
              </w:rPr>
              <w:t>浓度分布</w:t>
            </w:r>
          </w:p>
        </w:tc>
      </w:tr>
    </w:tbl>
    <w:p w14:paraId="1745F3F2">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图6.2-1</w:t>
      </w:r>
      <w:r>
        <w:rPr>
          <w:rFonts w:hint="eastAsia" w:eastAsia="黑体"/>
          <w:snapToGrid w:val="0"/>
          <w:color w:val="auto"/>
          <w:kern w:val="0"/>
          <w:szCs w:val="21"/>
          <w:highlight w:val="none"/>
          <w:lang w:val="en-US" w:eastAsia="zh-CN"/>
        </w:rPr>
        <w:t>5</w:t>
      </w:r>
      <w:r>
        <w:rPr>
          <w:rFonts w:hint="eastAsia" w:eastAsia="黑体"/>
          <w:snapToGrid w:val="0"/>
          <w:color w:val="auto"/>
          <w:kern w:val="0"/>
          <w:szCs w:val="21"/>
          <w:highlight w:val="none"/>
        </w:rPr>
        <w:t xml:space="preserve"> 污水发生渗漏后下游</w:t>
      </w:r>
      <w:r>
        <w:rPr>
          <w:rFonts w:hint="eastAsia" w:eastAsia="黑体"/>
          <w:snapToGrid w:val="0"/>
          <w:color w:val="auto"/>
          <w:kern w:val="0"/>
          <w:szCs w:val="21"/>
          <w:highlight w:val="none"/>
          <w:lang w:val="en-US" w:eastAsia="zh-CN"/>
        </w:rPr>
        <w:t>氨氮和</w:t>
      </w:r>
      <w:r>
        <w:rPr>
          <w:rFonts w:hint="eastAsia" w:eastAsia="黑体"/>
          <w:color w:val="auto"/>
          <w:szCs w:val="21"/>
          <w:highlight w:val="none"/>
          <w:lang w:val="en-US" w:eastAsia="zh-CN"/>
        </w:rPr>
        <w:t>石油类</w:t>
      </w:r>
      <w:r>
        <w:rPr>
          <w:rFonts w:hint="eastAsia" w:eastAsia="黑体"/>
          <w:snapToGrid w:val="0"/>
          <w:color w:val="auto"/>
          <w:kern w:val="0"/>
          <w:szCs w:val="21"/>
          <w:highlight w:val="none"/>
        </w:rPr>
        <w:t>浓度随距离变化趋势</w:t>
      </w:r>
    </w:p>
    <w:p w14:paraId="071B5C6E">
      <w:pPr>
        <w:adjustRightInd w:val="0"/>
        <w:snapToGrid w:val="0"/>
        <w:spacing w:line="360" w:lineRule="auto"/>
        <w:ind w:firstLine="420" w:firstLineChars="200"/>
        <w:jc w:val="center"/>
        <w:rPr>
          <w:rFonts w:eastAsia="黑体"/>
          <w:color w:val="auto"/>
          <w:highlight w:val="none"/>
        </w:rPr>
      </w:pPr>
    </w:p>
    <w:p w14:paraId="33268144">
      <w:pPr>
        <w:adjustRightInd w:val="0"/>
        <w:snapToGrid w:val="0"/>
        <w:spacing w:line="360" w:lineRule="auto"/>
        <w:ind w:firstLine="420" w:firstLineChars="200"/>
        <w:jc w:val="center"/>
        <w:rPr>
          <w:rFonts w:eastAsia="黑体"/>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D9B6898">
      <w:pPr>
        <w:adjustRightInd w:val="0"/>
        <w:snapToGrid w:val="0"/>
        <w:spacing w:line="360" w:lineRule="auto"/>
        <w:ind w:firstLine="480" w:firstLineChars="200"/>
        <w:rPr>
          <w:rFonts w:hint="eastAsia"/>
          <w:color w:val="auto"/>
          <w:kern w:val="0"/>
          <w:sz w:val="24"/>
          <w:szCs w:val="28"/>
          <w:highlight w:val="none"/>
        </w:rPr>
      </w:pPr>
      <w:r>
        <w:rPr>
          <w:rFonts w:hint="eastAsia"/>
          <w:color w:val="auto"/>
          <w:kern w:val="0"/>
          <w:sz w:val="24"/>
          <w:szCs w:val="28"/>
          <w:highlight w:val="none"/>
        </w:rPr>
        <w:t>由预测结果可知，</w:t>
      </w:r>
      <w:r>
        <w:rPr>
          <w:rFonts w:hint="eastAsia"/>
          <w:color w:val="auto"/>
          <w:kern w:val="0"/>
          <w:sz w:val="24"/>
          <w:szCs w:val="28"/>
          <w:highlight w:val="none"/>
          <w:lang w:val="en-US" w:eastAsia="zh-CN"/>
        </w:rPr>
        <w:t>高浓废水管道</w:t>
      </w:r>
      <w:r>
        <w:rPr>
          <w:rFonts w:hint="eastAsia"/>
          <w:color w:val="auto"/>
          <w:kern w:val="0"/>
          <w:sz w:val="24"/>
          <w:szCs w:val="28"/>
          <w:highlight w:val="none"/>
        </w:rPr>
        <w:t>发生渗漏后</w:t>
      </w:r>
      <w:r>
        <w:rPr>
          <w:rFonts w:hint="eastAsia"/>
          <w:color w:val="auto"/>
          <w:kern w:val="0"/>
          <w:sz w:val="24"/>
          <w:szCs w:val="28"/>
          <w:highlight w:val="none"/>
          <w:lang w:val="en-US" w:eastAsia="zh-CN"/>
        </w:rPr>
        <w:t>氨氮</w:t>
      </w:r>
      <w:r>
        <w:rPr>
          <w:rFonts w:hint="eastAsia"/>
          <w:color w:val="auto"/>
          <w:kern w:val="0"/>
          <w:sz w:val="24"/>
          <w:szCs w:val="28"/>
          <w:highlight w:val="none"/>
        </w:rPr>
        <w:t>随泄漏时间延续其污染羽不断向下游方向扩散，污染羽中心点浓度也随着扩散不断降低，在泄漏100d、1000d、3650d时，其污染羽中心点分别距离渗漏点</w:t>
      </w:r>
      <w:r>
        <w:rPr>
          <w:rFonts w:hint="eastAsia"/>
          <w:color w:val="auto"/>
          <w:kern w:val="0"/>
          <w:sz w:val="24"/>
          <w:szCs w:val="28"/>
          <w:highlight w:val="none"/>
          <w:lang w:val="en-US" w:eastAsia="zh-CN"/>
        </w:rPr>
        <w:t>36</w:t>
      </w:r>
      <w:r>
        <w:rPr>
          <w:rFonts w:hint="eastAsia"/>
          <w:color w:val="auto"/>
          <w:kern w:val="0"/>
          <w:sz w:val="24"/>
          <w:szCs w:val="28"/>
          <w:highlight w:val="none"/>
        </w:rPr>
        <w:t>m、</w:t>
      </w:r>
      <w:r>
        <w:rPr>
          <w:rFonts w:hint="eastAsia"/>
          <w:color w:val="auto"/>
          <w:kern w:val="0"/>
          <w:sz w:val="24"/>
          <w:szCs w:val="28"/>
          <w:highlight w:val="none"/>
          <w:lang w:val="en-US" w:eastAsia="zh-CN"/>
        </w:rPr>
        <w:t>335</w:t>
      </w:r>
      <w:r>
        <w:rPr>
          <w:rFonts w:hint="eastAsia"/>
          <w:color w:val="auto"/>
          <w:kern w:val="0"/>
          <w:sz w:val="24"/>
          <w:szCs w:val="28"/>
          <w:highlight w:val="none"/>
        </w:rPr>
        <w:t>m、</w:t>
      </w:r>
      <w:r>
        <w:rPr>
          <w:rFonts w:hint="eastAsia"/>
          <w:color w:val="auto"/>
          <w:kern w:val="0"/>
          <w:sz w:val="24"/>
          <w:szCs w:val="28"/>
          <w:highlight w:val="none"/>
          <w:lang w:val="en-US" w:eastAsia="zh-CN"/>
        </w:rPr>
        <w:t>1209</w:t>
      </w:r>
      <w:r>
        <w:rPr>
          <w:rFonts w:hint="eastAsia"/>
          <w:color w:val="auto"/>
          <w:kern w:val="0"/>
          <w:sz w:val="24"/>
          <w:szCs w:val="28"/>
          <w:highlight w:val="none"/>
        </w:rPr>
        <w:t>m处，对应的浓度值分别为52.00mg/L、14.30mg/L、7.4</w:t>
      </w:r>
      <w:r>
        <w:rPr>
          <w:rFonts w:hint="eastAsia"/>
          <w:color w:val="auto"/>
          <w:kern w:val="0"/>
          <w:sz w:val="24"/>
          <w:szCs w:val="28"/>
          <w:highlight w:val="none"/>
          <w:lang w:val="en-US" w:eastAsia="zh-CN"/>
        </w:rPr>
        <w:t>1</w:t>
      </w:r>
      <w:r>
        <w:rPr>
          <w:rFonts w:hint="eastAsia"/>
          <w:color w:val="auto"/>
          <w:kern w:val="0"/>
          <w:sz w:val="24"/>
          <w:szCs w:val="28"/>
          <w:highlight w:val="none"/>
        </w:rPr>
        <w:t>mg/L；对应的超标范围分别在</w:t>
      </w:r>
      <w:r>
        <w:rPr>
          <w:rFonts w:hint="eastAsia"/>
          <w:color w:val="auto"/>
          <w:kern w:val="0"/>
          <w:sz w:val="24"/>
          <w:szCs w:val="28"/>
          <w:highlight w:val="none"/>
          <w:lang w:val="en-US" w:eastAsia="zh-CN"/>
        </w:rPr>
        <w:t>0</w:t>
      </w:r>
      <w:r>
        <w:rPr>
          <w:rFonts w:hint="eastAsia"/>
          <w:color w:val="auto"/>
          <w:kern w:val="0"/>
          <w:sz w:val="24"/>
          <w:szCs w:val="28"/>
          <w:highlight w:val="none"/>
        </w:rPr>
        <w:t>~</w:t>
      </w:r>
      <w:r>
        <w:rPr>
          <w:rFonts w:hint="eastAsia"/>
          <w:color w:val="auto"/>
          <w:kern w:val="0"/>
          <w:sz w:val="24"/>
          <w:szCs w:val="28"/>
          <w:highlight w:val="none"/>
          <w:lang w:val="en-US" w:eastAsia="zh-CN"/>
        </w:rPr>
        <w:t>107</w:t>
      </w:r>
      <w:r>
        <w:rPr>
          <w:rFonts w:hint="eastAsia"/>
          <w:color w:val="auto"/>
          <w:kern w:val="0"/>
          <w:sz w:val="24"/>
          <w:szCs w:val="28"/>
          <w:highlight w:val="none"/>
        </w:rPr>
        <w:t>m、</w:t>
      </w:r>
      <w:r>
        <w:rPr>
          <w:rFonts w:hint="eastAsia"/>
          <w:color w:val="auto"/>
          <w:kern w:val="0"/>
          <w:sz w:val="24"/>
          <w:szCs w:val="28"/>
          <w:highlight w:val="none"/>
          <w:lang w:val="en-US" w:eastAsia="zh-CN"/>
        </w:rPr>
        <w:t>128</w:t>
      </w:r>
      <w:r>
        <w:rPr>
          <w:rFonts w:hint="eastAsia"/>
          <w:color w:val="auto"/>
          <w:kern w:val="0"/>
          <w:sz w:val="24"/>
          <w:szCs w:val="28"/>
          <w:highlight w:val="none"/>
        </w:rPr>
        <w:t>~</w:t>
      </w:r>
      <w:r>
        <w:rPr>
          <w:rFonts w:hint="eastAsia"/>
          <w:color w:val="auto"/>
          <w:kern w:val="0"/>
          <w:sz w:val="24"/>
          <w:szCs w:val="28"/>
          <w:highlight w:val="none"/>
          <w:lang w:val="en-US" w:eastAsia="zh-CN"/>
        </w:rPr>
        <w:t>542</w:t>
      </w:r>
      <w:r>
        <w:rPr>
          <w:rFonts w:hint="eastAsia"/>
          <w:color w:val="auto"/>
          <w:kern w:val="0"/>
          <w:sz w:val="24"/>
          <w:szCs w:val="28"/>
          <w:highlight w:val="none"/>
        </w:rPr>
        <w:t>m、</w:t>
      </w:r>
      <w:r>
        <w:rPr>
          <w:rFonts w:hint="eastAsia"/>
          <w:color w:val="auto"/>
          <w:kern w:val="0"/>
          <w:sz w:val="24"/>
          <w:szCs w:val="28"/>
          <w:highlight w:val="none"/>
          <w:lang w:val="en-US" w:eastAsia="zh-CN"/>
        </w:rPr>
        <w:t>851</w:t>
      </w:r>
      <w:r>
        <w:rPr>
          <w:rFonts w:hint="eastAsia"/>
          <w:color w:val="auto"/>
          <w:kern w:val="0"/>
          <w:sz w:val="24"/>
          <w:szCs w:val="28"/>
          <w:highlight w:val="none"/>
        </w:rPr>
        <w:t>~</w:t>
      </w:r>
      <w:r>
        <w:rPr>
          <w:rFonts w:hint="eastAsia"/>
          <w:color w:val="auto"/>
          <w:kern w:val="0"/>
          <w:sz w:val="24"/>
          <w:szCs w:val="28"/>
          <w:highlight w:val="none"/>
          <w:lang w:val="en-US" w:eastAsia="zh-CN"/>
        </w:rPr>
        <w:t>1568</w:t>
      </w:r>
      <w:r>
        <w:rPr>
          <w:rFonts w:hint="eastAsia"/>
          <w:color w:val="auto"/>
          <w:kern w:val="0"/>
          <w:sz w:val="24"/>
          <w:szCs w:val="28"/>
          <w:highlight w:val="none"/>
        </w:rPr>
        <w:t>m。</w:t>
      </w:r>
    </w:p>
    <w:p w14:paraId="6DFBB166">
      <w:pPr>
        <w:adjustRightInd w:val="0"/>
        <w:snapToGrid w:val="0"/>
        <w:spacing w:line="360" w:lineRule="auto"/>
        <w:ind w:firstLine="480" w:firstLineChars="200"/>
        <w:rPr>
          <w:rFonts w:hint="eastAsia"/>
          <w:color w:val="auto"/>
          <w:kern w:val="0"/>
          <w:sz w:val="24"/>
          <w:szCs w:val="28"/>
          <w:highlight w:val="none"/>
        </w:rPr>
      </w:pPr>
      <w:r>
        <w:rPr>
          <w:rFonts w:hint="eastAsia"/>
          <w:color w:val="auto"/>
          <w:kern w:val="0"/>
          <w:sz w:val="24"/>
          <w:szCs w:val="28"/>
          <w:highlight w:val="none"/>
          <w:lang w:val="en-US" w:eastAsia="zh-CN"/>
        </w:rPr>
        <w:t>烷烃储罐破损围堰</w:t>
      </w:r>
      <w:r>
        <w:rPr>
          <w:rFonts w:hint="eastAsia"/>
          <w:color w:val="auto"/>
          <w:kern w:val="0"/>
          <w:sz w:val="24"/>
          <w:szCs w:val="28"/>
          <w:highlight w:val="none"/>
        </w:rPr>
        <w:t>发生渗漏后</w:t>
      </w:r>
      <w:r>
        <w:rPr>
          <w:rFonts w:hint="eastAsia"/>
          <w:color w:val="auto"/>
          <w:kern w:val="0"/>
          <w:sz w:val="24"/>
          <w:szCs w:val="28"/>
          <w:highlight w:val="none"/>
          <w:lang w:val="en-US" w:eastAsia="zh-CN"/>
        </w:rPr>
        <w:t>石油类</w:t>
      </w:r>
      <w:r>
        <w:rPr>
          <w:rFonts w:hint="eastAsia"/>
          <w:color w:val="auto"/>
          <w:kern w:val="0"/>
          <w:sz w:val="24"/>
          <w:szCs w:val="28"/>
          <w:highlight w:val="none"/>
        </w:rPr>
        <w:t>随泄漏时间延续其污染羽不断向下游方向扩散，污染羽中心点浓度也随着扩散不断降低，在泄漏100d、1000d、3650d时，其污染羽中心点分别距离渗漏点</w:t>
      </w:r>
      <w:r>
        <w:rPr>
          <w:rFonts w:hint="eastAsia"/>
          <w:color w:val="auto"/>
          <w:kern w:val="0"/>
          <w:sz w:val="24"/>
          <w:szCs w:val="28"/>
          <w:highlight w:val="none"/>
          <w:lang w:val="en-US" w:eastAsia="zh-CN"/>
        </w:rPr>
        <w:t>42</w:t>
      </w:r>
      <w:r>
        <w:rPr>
          <w:rFonts w:hint="eastAsia"/>
          <w:color w:val="auto"/>
          <w:kern w:val="0"/>
          <w:sz w:val="24"/>
          <w:szCs w:val="28"/>
          <w:highlight w:val="none"/>
        </w:rPr>
        <w:t>m、</w:t>
      </w:r>
      <w:r>
        <w:rPr>
          <w:rFonts w:hint="eastAsia"/>
          <w:color w:val="auto"/>
          <w:kern w:val="0"/>
          <w:sz w:val="24"/>
          <w:szCs w:val="28"/>
          <w:highlight w:val="none"/>
          <w:lang w:val="en-US" w:eastAsia="zh-CN"/>
        </w:rPr>
        <w:t>340</w:t>
      </w:r>
      <w:r>
        <w:rPr>
          <w:rFonts w:hint="eastAsia"/>
          <w:color w:val="auto"/>
          <w:kern w:val="0"/>
          <w:sz w:val="24"/>
          <w:szCs w:val="28"/>
          <w:highlight w:val="none"/>
        </w:rPr>
        <w:t>m、</w:t>
      </w:r>
      <w:r>
        <w:rPr>
          <w:rFonts w:hint="eastAsia"/>
          <w:color w:val="auto"/>
          <w:kern w:val="0"/>
          <w:sz w:val="24"/>
          <w:szCs w:val="28"/>
          <w:highlight w:val="none"/>
          <w:lang w:val="en-US" w:eastAsia="zh-CN"/>
        </w:rPr>
        <w:t>1214</w:t>
      </w:r>
      <w:r>
        <w:rPr>
          <w:rFonts w:hint="eastAsia"/>
          <w:color w:val="auto"/>
          <w:kern w:val="0"/>
          <w:sz w:val="24"/>
          <w:szCs w:val="28"/>
          <w:highlight w:val="none"/>
        </w:rPr>
        <w:t>m处，对应的浓度值分别为</w:t>
      </w:r>
      <w:r>
        <w:rPr>
          <w:rFonts w:hint="eastAsia"/>
          <w:color w:val="auto"/>
          <w:kern w:val="0"/>
          <w:sz w:val="24"/>
          <w:szCs w:val="28"/>
          <w:highlight w:val="none"/>
          <w:lang w:val="en-US" w:eastAsia="zh-CN"/>
        </w:rPr>
        <w:t>161.03</w:t>
      </w:r>
      <w:r>
        <w:rPr>
          <w:rFonts w:hint="eastAsia"/>
          <w:color w:val="auto"/>
          <w:kern w:val="0"/>
          <w:sz w:val="24"/>
          <w:szCs w:val="28"/>
          <w:highlight w:val="none"/>
        </w:rPr>
        <w:t>mg/L、</w:t>
      </w:r>
      <w:r>
        <w:rPr>
          <w:rFonts w:hint="eastAsia"/>
          <w:color w:val="auto"/>
          <w:kern w:val="0"/>
          <w:sz w:val="24"/>
          <w:szCs w:val="28"/>
          <w:highlight w:val="none"/>
          <w:lang w:val="en-US" w:eastAsia="zh-CN"/>
        </w:rPr>
        <w:t>48.00</w:t>
      </w:r>
      <w:r>
        <w:rPr>
          <w:rFonts w:hint="eastAsia"/>
          <w:color w:val="auto"/>
          <w:kern w:val="0"/>
          <w:sz w:val="24"/>
          <w:szCs w:val="28"/>
          <w:highlight w:val="none"/>
        </w:rPr>
        <w:t>mg/L、</w:t>
      </w:r>
      <w:r>
        <w:rPr>
          <w:rFonts w:hint="eastAsia"/>
          <w:color w:val="auto"/>
          <w:kern w:val="0"/>
          <w:sz w:val="24"/>
          <w:szCs w:val="28"/>
          <w:highlight w:val="none"/>
          <w:lang w:val="en-US" w:eastAsia="zh-CN"/>
        </w:rPr>
        <w:t>24.99</w:t>
      </w:r>
      <w:r>
        <w:rPr>
          <w:rFonts w:hint="eastAsia"/>
          <w:color w:val="auto"/>
          <w:kern w:val="0"/>
          <w:sz w:val="24"/>
          <w:szCs w:val="28"/>
          <w:highlight w:val="none"/>
        </w:rPr>
        <w:t>mg/L；对应的超标范围分别在</w:t>
      </w:r>
      <w:r>
        <w:rPr>
          <w:rFonts w:hint="eastAsia"/>
          <w:color w:val="auto"/>
          <w:kern w:val="0"/>
          <w:sz w:val="24"/>
          <w:szCs w:val="28"/>
          <w:highlight w:val="none"/>
          <w:lang w:val="en-US" w:eastAsia="zh-CN"/>
        </w:rPr>
        <w:t>0</w:t>
      </w:r>
      <w:r>
        <w:rPr>
          <w:rFonts w:hint="eastAsia"/>
          <w:color w:val="auto"/>
          <w:kern w:val="0"/>
          <w:sz w:val="24"/>
          <w:szCs w:val="28"/>
          <w:highlight w:val="none"/>
        </w:rPr>
        <w:t>~</w:t>
      </w:r>
      <w:r>
        <w:rPr>
          <w:rFonts w:hint="eastAsia"/>
          <w:color w:val="auto"/>
          <w:kern w:val="0"/>
          <w:sz w:val="24"/>
          <w:szCs w:val="28"/>
          <w:highlight w:val="none"/>
          <w:lang w:val="en-US" w:eastAsia="zh-CN"/>
        </w:rPr>
        <w:t>141</w:t>
      </w:r>
      <w:r>
        <w:rPr>
          <w:rFonts w:hint="eastAsia"/>
          <w:color w:val="auto"/>
          <w:kern w:val="0"/>
          <w:sz w:val="24"/>
          <w:szCs w:val="28"/>
          <w:highlight w:val="none"/>
        </w:rPr>
        <w:t>m、</w:t>
      </w:r>
      <w:r>
        <w:rPr>
          <w:rFonts w:hint="eastAsia"/>
          <w:color w:val="auto"/>
          <w:kern w:val="0"/>
          <w:sz w:val="24"/>
          <w:szCs w:val="28"/>
          <w:highlight w:val="none"/>
          <w:lang w:val="en-US" w:eastAsia="zh-CN"/>
        </w:rPr>
        <w:t>42</w:t>
      </w:r>
      <w:r>
        <w:rPr>
          <w:rFonts w:hint="eastAsia"/>
          <w:color w:val="auto"/>
          <w:kern w:val="0"/>
          <w:sz w:val="24"/>
          <w:szCs w:val="28"/>
          <w:highlight w:val="none"/>
        </w:rPr>
        <w:t>~</w:t>
      </w:r>
      <w:r>
        <w:rPr>
          <w:rFonts w:hint="eastAsia"/>
          <w:color w:val="auto"/>
          <w:kern w:val="0"/>
          <w:sz w:val="24"/>
          <w:szCs w:val="28"/>
          <w:highlight w:val="none"/>
          <w:lang w:val="en-US" w:eastAsia="zh-CN"/>
        </w:rPr>
        <w:t>583</w:t>
      </w:r>
      <w:r>
        <w:rPr>
          <w:rFonts w:hint="eastAsia"/>
          <w:color w:val="auto"/>
          <w:kern w:val="0"/>
          <w:sz w:val="24"/>
          <w:szCs w:val="28"/>
          <w:highlight w:val="none"/>
        </w:rPr>
        <w:t>m、</w:t>
      </w:r>
      <w:r>
        <w:rPr>
          <w:rFonts w:hint="eastAsia"/>
          <w:color w:val="auto"/>
          <w:kern w:val="0"/>
          <w:sz w:val="24"/>
          <w:szCs w:val="28"/>
          <w:highlight w:val="none"/>
          <w:lang w:val="en-US" w:eastAsia="zh-CN"/>
        </w:rPr>
        <w:t>669</w:t>
      </w:r>
      <w:r>
        <w:rPr>
          <w:rFonts w:hint="eastAsia"/>
          <w:color w:val="auto"/>
          <w:kern w:val="0"/>
          <w:sz w:val="24"/>
          <w:szCs w:val="28"/>
          <w:highlight w:val="none"/>
        </w:rPr>
        <w:t>~</w:t>
      </w:r>
      <w:r>
        <w:rPr>
          <w:rFonts w:hint="eastAsia"/>
          <w:color w:val="auto"/>
          <w:kern w:val="0"/>
          <w:sz w:val="24"/>
          <w:szCs w:val="28"/>
          <w:highlight w:val="none"/>
          <w:lang w:val="en-US" w:eastAsia="zh-CN"/>
        </w:rPr>
        <w:t>1760</w:t>
      </w:r>
      <w:r>
        <w:rPr>
          <w:rFonts w:hint="eastAsia"/>
          <w:color w:val="auto"/>
          <w:kern w:val="0"/>
          <w:sz w:val="24"/>
          <w:szCs w:val="28"/>
          <w:highlight w:val="none"/>
        </w:rPr>
        <w:t>m。</w:t>
      </w:r>
    </w:p>
    <w:p w14:paraId="00A75246">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（6）地下水评价结论</w:t>
      </w:r>
    </w:p>
    <w:p w14:paraId="1D70C2CC">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正常情况下，建设单位严格落实分区防渗措施，</w:t>
      </w:r>
      <w:r>
        <w:rPr>
          <w:rFonts w:hint="eastAsia" w:ascii="Times New Roman" w:hAnsi="Times New Roman" w:eastAsia="宋体" w:cs="Times New Roman"/>
          <w:snapToGrid w:val="0"/>
          <w:color w:val="auto"/>
          <w:kern w:val="0"/>
          <w:highlight w:val="none"/>
          <w:lang w:val="en-US" w:eastAsia="zh-CN"/>
        </w:rPr>
        <w:t>正常情况下</w:t>
      </w:r>
      <w:r>
        <w:rPr>
          <w:rFonts w:hint="eastAsia" w:ascii="Times New Roman" w:hAnsi="Times New Roman" w:eastAsia="宋体" w:cs="Times New Roman"/>
          <w:snapToGrid w:val="0"/>
          <w:color w:val="auto"/>
          <w:kern w:val="0"/>
          <w:highlight w:val="none"/>
        </w:rPr>
        <w:t>不会对地下水质量造成影响。</w:t>
      </w:r>
    </w:p>
    <w:p w14:paraId="4B66D467">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lang w:val="en-US" w:eastAsia="zh-CN"/>
        </w:rPr>
      </w:pPr>
      <w:r>
        <w:rPr>
          <w:rFonts w:hint="eastAsia" w:ascii="Times New Roman" w:hAnsi="Times New Roman" w:eastAsia="宋体" w:cs="Times New Roman"/>
          <w:snapToGrid w:val="0"/>
          <w:color w:val="auto"/>
          <w:kern w:val="0"/>
          <w:highlight w:val="none"/>
        </w:rPr>
        <w:t>经预测，</w:t>
      </w:r>
      <w:r>
        <w:rPr>
          <w:rFonts w:hint="eastAsia" w:ascii="Times New Roman" w:hAnsi="Times New Roman" w:eastAsia="宋体" w:cs="Times New Roman"/>
          <w:snapToGrid w:val="0"/>
          <w:color w:val="auto"/>
          <w:kern w:val="0"/>
          <w:highlight w:val="none"/>
          <w:lang w:val="en-US" w:eastAsia="zh-CN"/>
        </w:rPr>
        <w:t>高浓废水管道</w:t>
      </w:r>
      <w:r>
        <w:rPr>
          <w:rFonts w:hint="eastAsia" w:ascii="Times New Roman" w:hAnsi="Times New Roman" w:eastAsia="宋体" w:cs="Times New Roman"/>
          <w:snapToGrid w:val="0"/>
          <w:color w:val="auto"/>
          <w:kern w:val="0"/>
          <w:highlight w:val="none"/>
        </w:rPr>
        <w:t>渗漏</w:t>
      </w:r>
      <w:r>
        <w:rPr>
          <w:rFonts w:hint="eastAsia" w:ascii="Times New Roman" w:hAnsi="Times New Roman" w:eastAsia="宋体" w:cs="Times New Roman"/>
          <w:snapToGrid w:val="0"/>
          <w:color w:val="auto"/>
          <w:kern w:val="0"/>
          <w:highlight w:val="none"/>
          <w:lang w:val="en-US" w:eastAsia="zh-CN"/>
        </w:rPr>
        <w:t>和烷烃储罐</w:t>
      </w:r>
      <w:r>
        <w:rPr>
          <w:rFonts w:hint="eastAsia" w:ascii="Times New Roman" w:hAnsi="Times New Roman" w:eastAsia="宋体" w:cs="Times New Roman"/>
          <w:snapToGrid w:val="0"/>
          <w:color w:val="auto"/>
          <w:kern w:val="0"/>
          <w:highlight w:val="none"/>
        </w:rPr>
        <w:t>泄漏对厂区内的地下水造成较明显的影响，对厂区外下游的地下水影响较</w:t>
      </w:r>
      <w:r>
        <w:rPr>
          <w:rFonts w:hint="eastAsia" w:ascii="Times New Roman" w:hAnsi="Times New Roman" w:eastAsia="宋体" w:cs="Times New Roman"/>
          <w:snapToGrid w:val="0"/>
          <w:color w:val="auto"/>
          <w:kern w:val="0"/>
          <w:highlight w:val="none"/>
          <w:lang w:val="en-US" w:eastAsia="zh-CN"/>
        </w:rPr>
        <w:t>大</w:t>
      </w:r>
      <w:r>
        <w:rPr>
          <w:rFonts w:hint="eastAsia" w:ascii="Times New Roman" w:hAnsi="Times New Roman" w:eastAsia="宋体" w:cs="Times New Roman"/>
          <w:snapToGrid w:val="0"/>
          <w:color w:val="auto"/>
          <w:kern w:val="0"/>
          <w:highlight w:val="none"/>
        </w:rPr>
        <w:t>。因此，在采取防渗等地下水治理措施后，可对地下水含水层的超标范围及污染程度进行有效控制，减少对地下水水质的影响。</w:t>
      </w:r>
      <w:r>
        <w:rPr>
          <w:rFonts w:hint="eastAsia" w:ascii="Times New Roman" w:hAnsi="Times New Roman" w:eastAsia="宋体" w:cs="Times New Roman"/>
          <w:snapToGrid w:val="0"/>
          <w:color w:val="auto"/>
          <w:kern w:val="0"/>
          <w:highlight w:val="none"/>
          <w:lang w:val="en-US" w:eastAsia="zh-CN"/>
        </w:rPr>
        <w:t>本项目监控井合理布设、设置适当的监控周期、管道定期检查是控制非正常状况影响范围的重要手段，要通过各种措施避免跑冒滴漏、非正常工况时的泄漏等事故工况的发生，从源头入手保护地下水。</w:t>
      </w:r>
    </w:p>
    <w:p w14:paraId="611B0F43">
      <w:pPr>
        <w:pStyle w:val="504"/>
        <w:adjustRightInd w:val="0"/>
        <w:snapToGrid w:val="0"/>
        <w:spacing w:line="360" w:lineRule="auto"/>
        <w:ind w:firstLine="480"/>
        <w:rPr>
          <w:rFonts w:ascii="Times New Roman" w:hAnsi="Times New Roman" w:eastAsia="宋体" w:cs="Times New Roman"/>
          <w:snapToGrid w:val="0"/>
          <w:color w:val="auto"/>
          <w:kern w:val="0"/>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4BACDC3C">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6.2.3运营期声环境影响</w:t>
      </w:r>
      <w:r>
        <w:rPr>
          <w:rFonts w:hint="eastAsia" w:ascii="Times New Roman" w:cs="Times New Roman"/>
          <w:snapToGrid w:val="0"/>
          <w:color w:val="auto"/>
          <w:spacing w:val="0"/>
          <w:kern w:val="0"/>
          <w:szCs w:val="24"/>
          <w:highlight w:val="none"/>
          <w:lang w:val="en-US" w:eastAsia="zh-CN"/>
        </w:rPr>
        <w:t>预测</w:t>
      </w:r>
      <w:r>
        <w:rPr>
          <w:rFonts w:hint="eastAsia" w:ascii="Times New Roman" w:hAnsi="Times New Roman" w:cs="Times New Roman"/>
          <w:snapToGrid w:val="0"/>
          <w:color w:val="auto"/>
          <w:spacing w:val="0"/>
          <w:kern w:val="0"/>
          <w:szCs w:val="24"/>
          <w:highlight w:val="none"/>
          <w:lang w:val="en-US" w:eastAsia="zh-CN"/>
        </w:rPr>
        <w:t>与评价</w:t>
      </w:r>
    </w:p>
    <w:p w14:paraId="641D806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6.2.3.1声源数据</w:t>
      </w:r>
    </w:p>
    <w:p w14:paraId="69DC4DAF">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1）基础气象数据</w:t>
      </w:r>
    </w:p>
    <w:p w14:paraId="72E192B8">
      <w:pPr>
        <w:pStyle w:val="504"/>
        <w:adjustRightInd w:val="0"/>
        <w:snapToGrid w:val="0"/>
        <w:spacing w:line="360" w:lineRule="auto"/>
        <w:ind w:firstLine="480"/>
        <w:rPr>
          <w:rFonts w:ascii="Times New Roman" w:hAnsi="Times New Roman" w:eastAsia="宋体" w:cs="Times New Roman"/>
          <w:color w:val="auto"/>
          <w:kern w:val="0"/>
          <w:highlight w:val="none"/>
        </w:rPr>
      </w:pPr>
      <w:r>
        <w:rPr>
          <w:rFonts w:hint="eastAsia" w:ascii="Times New Roman" w:hAnsi="Times New Roman" w:eastAsia="宋体" w:cs="Times New Roman"/>
          <w:snapToGrid w:val="0"/>
          <w:color w:val="auto"/>
          <w:kern w:val="0"/>
          <w:highlight w:val="none"/>
        </w:rPr>
        <w:t>本项目建设地点位于</w:t>
      </w:r>
      <w:r>
        <w:rPr>
          <w:rFonts w:hint="eastAsia" w:ascii="Times New Roman"/>
          <w:snapToGrid w:val="0"/>
          <w:color w:val="auto"/>
          <w:kern w:val="0"/>
          <w:highlight w:val="none"/>
          <w:lang w:val="fr-FR"/>
        </w:rPr>
        <w:t>乌苏市</w:t>
      </w:r>
      <w:r>
        <w:rPr>
          <w:rFonts w:hint="eastAsia" w:ascii="Times New Roman"/>
          <w:snapToGrid w:val="0"/>
          <w:color w:val="auto"/>
          <w:kern w:val="0"/>
          <w:highlight w:val="none"/>
        </w:rPr>
        <w:t>化工产业集中区</w:t>
      </w:r>
      <w:r>
        <w:rPr>
          <w:rFonts w:hint="eastAsia" w:ascii="Times New Roman" w:hAnsi="Times New Roman" w:eastAsia="宋体" w:cs="Times New Roman"/>
          <w:snapToGrid w:val="0"/>
          <w:color w:val="auto"/>
          <w:kern w:val="0"/>
          <w:highlight w:val="none"/>
        </w:rPr>
        <w:t>，声环境影响预测基础数据见表6.2-</w:t>
      </w:r>
      <w:r>
        <w:rPr>
          <w:rFonts w:hint="eastAsia" w:ascii="Times New Roman" w:hAnsi="Times New Roman" w:eastAsia="宋体" w:cs="Times New Roman"/>
          <w:snapToGrid w:val="0"/>
          <w:color w:val="auto"/>
          <w:kern w:val="0"/>
          <w:highlight w:val="none"/>
          <w:lang w:val="en-US" w:eastAsia="zh-CN"/>
        </w:rPr>
        <w:t>31</w:t>
      </w:r>
      <w:r>
        <w:rPr>
          <w:rFonts w:hint="eastAsia" w:ascii="Times New Roman" w:hAnsi="Times New Roman" w:eastAsia="宋体" w:cs="Times New Roman"/>
          <w:snapToGrid w:val="0"/>
          <w:color w:val="auto"/>
          <w:kern w:val="0"/>
          <w:highlight w:val="none"/>
        </w:rPr>
        <w:t>。</w:t>
      </w:r>
    </w:p>
    <w:p w14:paraId="5A7EDB30">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w:t>
      </w:r>
      <w:r>
        <w:rPr>
          <w:rFonts w:hint="eastAsia" w:ascii="Times New Roman" w:hAnsi="Times New Roman" w:cs="Times New Roman"/>
          <w:snapToGrid w:val="0"/>
          <w:color w:val="auto"/>
          <w:kern w:val="0"/>
          <w:sz w:val="21"/>
          <w:szCs w:val="21"/>
          <w:highlight w:val="none"/>
          <w:lang w:val="en-US" w:eastAsia="zh-CN"/>
        </w:rPr>
        <w:t>31</w:t>
      </w:r>
      <w:r>
        <w:rPr>
          <w:rFonts w:hint="eastAsia" w:ascii="Times New Roman" w:hAnsi="Times New Roman" w:cs="Times New Roman"/>
          <w:snapToGrid w:val="0"/>
          <w:color w:val="auto"/>
          <w:kern w:val="0"/>
          <w:sz w:val="21"/>
          <w:szCs w:val="21"/>
          <w:highlight w:val="none"/>
        </w:rPr>
        <w:t xml:space="preserve"> 项目噪声环境影响预测基础数据表</w:t>
      </w:r>
    </w:p>
    <w:tbl>
      <w:tblPr>
        <w:tblStyle w:val="5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666"/>
        <w:gridCol w:w="2868"/>
        <w:gridCol w:w="2696"/>
      </w:tblGrid>
      <w:tr w14:paraId="190995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6" w:type="dxa"/>
            <w:tcBorders>
              <w:top w:val="single" w:color="auto" w:sz="4" w:space="0"/>
              <w:left w:val="single" w:color="auto" w:sz="4" w:space="0"/>
            </w:tcBorders>
            <w:shd w:val="clear" w:color="auto" w:fill="auto"/>
            <w:vAlign w:val="center"/>
          </w:tcPr>
          <w:p w14:paraId="005B168D">
            <w:pPr>
              <w:adjustRightInd w:val="0"/>
              <w:snapToGrid w:val="0"/>
              <w:jc w:val="center"/>
              <w:rPr>
                <w:snapToGrid w:val="0"/>
                <w:color w:val="auto"/>
                <w:kern w:val="0"/>
                <w:szCs w:val="21"/>
                <w:highlight w:val="none"/>
              </w:rPr>
            </w:pPr>
            <w:r>
              <w:rPr>
                <w:snapToGrid w:val="0"/>
                <w:color w:val="auto"/>
                <w:kern w:val="0"/>
                <w:szCs w:val="21"/>
                <w:highlight w:val="none"/>
              </w:rPr>
              <w:t>项目所在区域</w:t>
            </w:r>
          </w:p>
        </w:tc>
        <w:tc>
          <w:tcPr>
            <w:tcW w:w="2868" w:type="dxa"/>
            <w:tcBorders>
              <w:top w:val="single" w:color="auto" w:sz="4" w:space="0"/>
            </w:tcBorders>
            <w:shd w:val="clear" w:color="auto" w:fill="auto"/>
            <w:vAlign w:val="center"/>
          </w:tcPr>
          <w:p w14:paraId="286D8571">
            <w:pPr>
              <w:adjustRightInd w:val="0"/>
              <w:snapToGrid w:val="0"/>
              <w:jc w:val="center"/>
              <w:rPr>
                <w:snapToGrid w:val="0"/>
                <w:color w:val="auto"/>
                <w:kern w:val="0"/>
                <w:szCs w:val="21"/>
                <w:highlight w:val="none"/>
              </w:rPr>
            </w:pPr>
            <w:r>
              <w:rPr>
                <w:snapToGrid w:val="0"/>
                <w:color w:val="auto"/>
                <w:kern w:val="0"/>
                <w:szCs w:val="21"/>
                <w:highlight w:val="none"/>
              </w:rPr>
              <w:t>参量</w:t>
            </w:r>
          </w:p>
        </w:tc>
        <w:tc>
          <w:tcPr>
            <w:tcW w:w="2696" w:type="dxa"/>
            <w:tcBorders>
              <w:top w:val="single" w:color="auto" w:sz="4" w:space="0"/>
              <w:right w:val="single" w:color="auto" w:sz="4" w:space="0"/>
            </w:tcBorders>
            <w:shd w:val="clear" w:color="auto" w:fill="auto"/>
            <w:vAlign w:val="center"/>
          </w:tcPr>
          <w:p w14:paraId="624DE115">
            <w:pPr>
              <w:adjustRightInd w:val="0"/>
              <w:snapToGrid w:val="0"/>
              <w:jc w:val="center"/>
              <w:rPr>
                <w:snapToGrid w:val="0"/>
                <w:color w:val="auto"/>
                <w:kern w:val="0"/>
                <w:szCs w:val="21"/>
                <w:highlight w:val="none"/>
              </w:rPr>
            </w:pPr>
            <w:r>
              <w:rPr>
                <w:snapToGrid w:val="0"/>
                <w:color w:val="auto"/>
                <w:kern w:val="0"/>
                <w:szCs w:val="21"/>
                <w:highlight w:val="none"/>
              </w:rPr>
              <w:t>取值</w:t>
            </w:r>
          </w:p>
        </w:tc>
      </w:tr>
      <w:tr w14:paraId="0AC27D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666" w:type="dxa"/>
            <w:vMerge w:val="restart"/>
            <w:tcBorders>
              <w:left w:val="single" w:color="auto" w:sz="4" w:space="0"/>
            </w:tcBorders>
            <w:shd w:val="clear" w:color="auto" w:fill="auto"/>
            <w:vAlign w:val="center"/>
          </w:tcPr>
          <w:p w14:paraId="0B5BEE94">
            <w:pPr>
              <w:adjustRightInd w:val="0"/>
              <w:snapToGrid w:val="0"/>
              <w:jc w:val="center"/>
              <w:rPr>
                <w:snapToGrid w:val="0"/>
                <w:color w:val="auto"/>
                <w:kern w:val="0"/>
                <w:szCs w:val="21"/>
                <w:highlight w:val="none"/>
              </w:rPr>
            </w:pPr>
            <w:r>
              <w:rPr>
                <w:rFonts w:hint="eastAsia"/>
                <w:snapToGrid w:val="0"/>
                <w:color w:val="auto"/>
                <w:kern w:val="0"/>
                <w:szCs w:val="21"/>
                <w:highlight w:val="none"/>
              </w:rPr>
              <w:t>乌苏市</w:t>
            </w:r>
          </w:p>
        </w:tc>
        <w:tc>
          <w:tcPr>
            <w:tcW w:w="2868" w:type="dxa"/>
            <w:shd w:val="clear" w:color="auto" w:fill="auto"/>
            <w:vAlign w:val="center"/>
          </w:tcPr>
          <w:p w14:paraId="52D51F62">
            <w:pPr>
              <w:adjustRightInd w:val="0"/>
              <w:snapToGrid w:val="0"/>
              <w:jc w:val="center"/>
              <w:rPr>
                <w:snapToGrid w:val="0"/>
                <w:color w:val="auto"/>
                <w:kern w:val="0"/>
                <w:szCs w:val="21"/>
                <w:highlight w:val="none"/>
                <w:lang w:eastAsia="en-US" w:bidi="en-US"/>
              </w:rPr>
            </w:pPr>
            <w:r>
              <w:rPr>
                <w:snapToGrid w:val="0"/>
                <w:color w:val="auto"/>
                <w:kern w:val="0"/>
                <w:szCs w:val="21"/>
                <w:highlight w:val="none"/>
                <w:lang w:eastAsia="en-US" w:bidi="en-US"/>
              </w:rPr>
              <w:t>主导风向</w:t>
            </w:r>
          </w:p>
        </w:tc>
        <w:tc>
          <w:tcPr>
            <w:tcW w:w="2696" w:type="dxa"/>
            <w:tcBorders>
              <w:right w:val="single" w:color="auto" w:sz="4" w:space="0"/>
            </w:tcBorders>
            <w:shd w:val="clear" w:color="auto" w:fill="auto"/>
            <w:vAlign w:val="center"/>
          </w:tcPr>
          <w:p w14:paraId="278CB0EB">
            <w:pPr>
              <w:adjustRightInd w:val="0"/>
              <w:snapToGrid w:val="0"/>
              <w:jc w:val="center"/>
              <w:rPr>
                <w:snapToGrid w:val="0"/>
                <w:color w:val="auto"/>
                <w:kern w:val="0"/>
                <w:szCs w:val="21"/>
                <w:highlight w:val="none"/>
                <w:lang w:bidi="en-US"/>
              </w:rPr>
            </w:pPr>
            <w:r>
              <w:rPr>
                <w:color w:val="auto"/>
                <w:highlight w:val="none"/>
              </w:rPr>
              <w:t>S或SSE</w:t>
            </w:r>
          </w:p>
        </w:tc>
      </w:tr>
      <w:tr w14:paraId="44039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6" w:type="dxa"/>
            <w:vMerge w:val="continue"/>
            <w:tcBorders>
              <w:left w:val="single" w:color="auto" w:sz="4" w:space="0"/>
            </w:tcBorders>
            <w:shd w:val="clear" w:color="auto" w:fill="auto"/>
            <w:vAlign w:val="center"/>
          </w:tcPr>
          <w:p w14:paraId="1B0FF529">
            <w:pPr>
              <w:adjustRightInd w:val="0"/>
              <w:snapToGrid w:val="0"/>
              <w:jc w:val="center"/>
              <w:rPr>
                <w:snapToGrid w:val="0"/>
                <w:color w:val="auto"/>
                <w:kern w:val="0"/>
                <w:szCs w:val="21"/>
                <w:highlight w:val="none"/>
              </w:rPr>
            </w:pPr>
          </w:p>
        </w:tc>
        <w:tc>
          <w:tcPr>
            <w:tcW w:w="2868" w:type="dxa"/>
            <w:shd w:val="clear" w:color="auto" w:fill="auto"/>
            <w:vAlign w:val="center"/>
          </w:tcPr>
          <w:p w14:paraId="7A616495">
            <w:pPr>
              <w:adjustRightInd w:val="0"/>
              <w:snapToGrid w:val="0"/>
              <w:jc w:val="center"/>
              <w:rPr>
                <w:snapToGrid w:val="0"/>
                <w:color w:val="auto"/>
                <w:kern w:val="0"/>
                <w:szCs w:val="21"/>
                <w:highlight w:val="none"/>
                <w:lang w:bidi="en-US"/>
              </w:rPr>
            </w:pPr>
            <w:r>
              <w:rPr>
                <w:snapToGrid w:val="0"/>
                <w:color w:val="auto"/>
                <w:kern w:val="0"/>
                <w:szCs w:val="21"/>
                <w:highlight w:val="none"/>
                <w:lang w:bidi="en-US"/>
              </w:rPr>
              <w:t>平均风速（m/s）</w:t>
            </w:r>
          </w:p>
        </w:tc>
        <w:tc>
          <w:tcPr>
            <w:tcW w:w="2696" w:type="dxa"/>
            <w:tcBorders>
              <w:right w:val="single" w:color="auto" w:sz="4" w:space="0"/>
            </w:tcBorders>
            <w:shd w:val="clear" w:color="auto" w:fill="auto"/>
            <w:vAlign w:val="center"/>
          </w:tcPr>
          <w:p w14:paraId="00EE6B5C">
            <w:pPr>
              <w:adjustRightInd w:val="0"/>
              <w:snapToGrid w:val="0"/>
              <w:jc w:val="center"/>
              <w:rPr>
                <w:rFonts w:hint="default"/>
                <w:snapToGrid w:val="0"/>
                <w:color w:val="auto"/>
                <w:kern w:val="0"/>
                <w:szCs w:val="21"/>
                <w:highlight w:val="none"/>
                <w:lang w:val="en-US" w:bidi="en-US"/>
              </w:rPr>
            </w:pPr>
            <w:r>
              <w:rPr>
                <w:rFonts w:hint="eastAsia"/>
                <w:snapToGrid w:val="0"/>
                <w:color w:val="auto"/>
                <w:kern w:val="0"/>
                <w:szCs w:val="21"/>
                <w:highlight w:val="none"/>
                <w:lang w:bidi="en-US"/>
              </w:rPr>
              <w:t>1.</w:t>
            </w:r>
            <w:r>
              <w:rPr>
                <w:rFonts w:hint="eastAsia"/>
                <w:snapToGrid w:val="0"/>
                <w:color w:val="auto"/>
                <w:kern w:val="0"/>
                <w:szCs w:val="21"/>
                <w:highlight w:val="none"/>
                <w:lang w:val="en-US" w:eastAsia="zh-CN" w:bidi="en-US"/>
              </w:rPr>
              <w:t>58</w:t>
            </w:r>
          </w:p>
        </w:tc>
      </w:tr>
      <w:tr w14:paraId="70B0D7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6" w:type="dxa"/>
            <w:vMerge w:val="continue"/>
            <w:tcBorders>
              <w:left w:val="single" w:color="auto" w:sz="4" w:space="0"/>
            </w:tcBorders>
            <w:shd w:val="clear" w:color="auto" w:fill="auto"/>
            <w:vAlign w:val="center"/>
          </w:tcPr>
          <w:p w14:paraId="26EBCB67">
            <w:pPr>
              <w:adjustRightInd w:val="0"/>
              <w:snapToGrid w:val="0"/>
              <w:jc w:val="center"/>
              <w:rPr>
                <w:snapToGrid w:val="0"/>
                <w:color w:val="auto"/>
                <w:kern w:val="0"/>
                <w:szCs w:val="21"/>
                <w:highlight w:val="none"/>
              </w:rPr>
            </w:pPr>
          </w:p>
        </w:tc>
        <w:tc>
          <w:tcPr>
            <w:tcW w:w="2868" w:type="dxa"/>
            <w:shd w:val="clear" w:color="auto" w:fill="auto"/>
            <w:vAlign w:val="center"/>
          </w:tcPr>
          <w:p w14:paraId="5740BC9A">
            <w:pPr>
              <w:adjustRightInd w:val="0"/>
              <w:snapToGrid w:val="0"/>
              <w:jc w:val="center"/>
              <w:rPr>
                <w:snapToGrid w:val="0"/>
                <w:color w:val="auto"/>
                <w:kern w:val="0"/>
                <w:szCs w:val="21"/>
                <w:highlight w:val="none"/>
                <w:lang w:eastAsia="en-US" w:bidi="en-US"/>
              </w:rPr>
            </w:pPr>
            <w:r>
              <w:rPr>
                <w:snapToGrid w:val="0"/>
                <w:color w:val="auto"/>
                <w:kern w:val="0"/>
                <w:szCs w:val="21"/>
                <w:highlight w:val="none"/>
                <w:lang w:eastAsia="en-US" w:bidi="en-US"/>
              </w:rPr>
              <w:t>年平均气温（</w:t>
            </w:r>
            <w:r>
              <w:rPr>
                <w:rFonts w:hint="eastAsia"/>
                <w:snapToGrid w:val="0"/>
                <w:color w:val="auto"/>
                <w:kern w:val="0"/>
                <w:szCs w:val="21"/>
                <w:highlight w:val="none"/>
                <w:lang w:eastAsia="en-US" w:bidi="en-US"/>
              </w:rPr>
              <w:t>℃</w:t>
            </w:r>
            <w:r>
              <w:rPr>
                <w:snapToGrid w:val="0"/>
                <w:color w:val="auto"/>
                <w:kern w:val="0"/>
                <w:szCs w:val="21"/>
                <w:highlight w:val="none"/>
                <w:lang w:eastAsia="en-US" w:bidi="en-US"/>
              </w:rPr>
              <w:t>）</w:t>
            </w:r>
          </w:p>
        </w:tc>
        <w:tc>
          <w:tcPr>
            <w:tcW w:w="2696" w:type="dxa"/>
            <w:tcBorders>
              <w:right w:val="single" w:color="auto" w:sz="4" w:space="0"/>
            </w:tcBorders>
            <w:shd w:val="clear" w:color="auto" w:fill="auto"/>
            <w:vAlign w:val="center"/>
          </w:tcPr>
          <w:p w14:paraId="7F290F6A">
            <w:pPr>
              <w:adjustRightInd w:val="0"/>
              <w:snapToGrid w:val="0"/>
              <w:jc w:val="center"/>
              <w:rPr>
                <w:snapToGrid w:val="0"/>
                <w:color w:val="auto"/>
                <w:kern w:val="0"/>
                <w:szCs w:val="21"/>
                <w:highlight w:val="none"/>
                <w:lang w:bidi="en-US"/>
              </w:rPr>
            </w:pPr>
            <w:r>
              <w:rPr>
                <w:rFonts w:hint="eastAsia"/>
                <w:snapToGrid w:val="0"/>
                <w:color w:val="auto"/>
                <w:kern w:val="0"/>
                <w:szCs w:val="21"/>
                <w:highlight w:val="none"/>
                <w:lang w:bidi="en-US"/>
              </w:rPr>
              <w:t>9.0</w:t>
            </w:r>
          </w:p>
        </w:tc>
      </w:tr>
      <w:tr w14:paraId="7D0023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6" w:type="dxa"/>
            <w:vMerge w:val="continue"/>
            <w:tcBorders>
              <w:left w:val="single" w:color="auto" w:sz="4" w:space="0"/>
            </w:tcBorders>
            <w:shd w:val="clear" w:color="auto" w:fill="auto"/>
            <w:vAlign w:val="center"/>
          </w:tcPr>
          <w:p w14:paraId="5A3DDA2A">
            <w:pPr>
              <w:adjustRightInd w:val="0"/>
              <w:snapToGrid w:val="0"/>
              <w:jc w:val="center"/>
              <w:rPr>
                <w:snapToGrid w:val="0"/>
                <w:color w:val="auto"/>
                <w:kern w:val="0"/>
                <w:szCs w:val="21"/>
                <w:highlight w:val="none"/>
              </w:rPr>
            </w:pPr>
          </w:p>
        </w:tc>
        <w:tc>
          <w:tcPr>
            <w:tcW w:w="2868" w:type="dxa"/>
            <w:shd w:val="clear" w:color="auto" w:fill="auto"/>
            <w:vAlign w:val="center"/>
          </w:tcPr>
          <w:p w14:paraId="12A5ADEE">
            <w:pPr>
              <w:adjustRightInd w:val="0"/>
              <w:snapToGrid w:val="0"/>
              <w:jc w:val="center"/>
              <w:rPr>
                <w:snapToGrid w:val="0"/>
                <w:color w:val="auto"/>
                <w:kern w:val="0"/>
                <w:szCs w:val="21"/>
                <w:highlight w:val="none"/>
                <w:lang w:bidi="en-US"/>
              </w:rPr>
            </w:pPr>
            <w:r>
              <w:rPr>
                <w:rFonts w:hint="eastAsia"/>
                <w:snapToGrid w:val="0"/>
                <w:color w:val="auto"/>
                <w:kern w:val="0"/>
                <w:szCs w:val="21"/>
                <w:highlight w:val="none"/>
                <w:lang w:bidi="en-US"/>
              </w:rPr>
              <w:t>年平均相对湿度</w:t>
            </w:r>
            <w:r>
              <w:rPr>
                <w:snapToGrid w:val="0"/>
                <w:color w:val="auto"/>
                <w:kern w:val="0"/>
                <w:szCs w:val="21"/>
                <w:highlight w:val="none"/>
                <w:lang w:bidi="en-US"/>
              </w:rPr>
              <w:t>（</w:t>
            </w:r>
            <w:r>
              <w:rPr>
                <w:rFonts w:hint="eastAsia"/>
                <w:snapToGrid w:val="0"/>
                <w:color w:val="auto"/>
                <w:kern w:val="0"/>
                <w:szCs w:val="21"/>
                <w:highlight w:val="none"/>
                <w:lang w:bidi="en-US"/>
              </w:rPr>
              <w:t>%</w:t>
            </w:r>
            <w:r>
              <w:rPr>
                <w:snapToGrid w:val="0"/>
                <w:color w:val="auto"/>
                <w:kern w:val="0"/>
                <w:szCs w:val="21"/>
                <w:highlight w:val="none"/>
                <w:lang w:bidi="en-US"/>
              </w:rPr>
              <w:t>）</w:t>
            </w:r>
          </w:p>
        </w:tc>
        <w:tc>
          <w:tcPr>
            <w:tcW w:w="2696" w:type="dxa"/>
            <w:tcBorders>
              <w:right w:val="single" w:color="auto" w:sz="4" w:space="0"/>
            </w:tcBorders>
            <w:shd w:val="clear" w:color="auto" w:fill="auto"/>
            <w:vAlign w:val="center"/>
          </w:tcPr>
          <w:p w14:paraId="506A02DF">
            <w:pPr>
              <w:adjustRightInd w:val="0"/>
              <w:snapToGrid w:val="0"/>
              <w:jc w:val="center"/>
              <w:rPr>
                <w:snapToGrid w:val="0"/>
                <w:color w:val="auto"/>
                <w:kern w:val="0"/>
                <w:szCs w:val="21"/>
                <w:highlight w:val="none"/>
                <w:lang w:bidi="en-US"/>
              </w:rPr>
            </w:pPr>
            <w:r>
              <w:rPr>
                <w:rFonts w:hint="eastAsia"/>
                <w:snapToGrid w:val="0"/>
                <w:color w:val="auto"/>
                <w:kern w:val="0"/>
                <w:szCs w:val="21"/>
                <w:highlight w:val="none"/>
                <w:lang w:bidi="en-US"/>
              </w:rPr>
              <w:t>58</w:t>
            </w:r>
          </w:p>
        </w:tc>
      </w:tr>
      <w:tr w14:paraId="760E1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6" w:type="dxa"/>
            <w:vMerge w:val="continue"/>
            <w:tcBorders>
              <w:left w:val="single" w:color="auto" w:sz="4" w:space="0"/>
              <w:bottom w:val="single" w:color="auto" w:sz="4" w:space="0"/>
            </w:tcBorders>
            <w:shd w:val="clear" w:color="auto" w:fill="auto"/>
            <w:vAlign w:val="center"/>
          </w:tcPr>
          <w:p w14:paraId="0CDFC1AD">
            <w:pPr>
              <w:adjustRightInd w:val="0"/>
              <w:snapToGrid w:val="0"/>
              <w:jc w:val="center"/>
              <w:rPr>
                <w:snapToGrid w:val="0"/>
                <w:color w:val="auto"/>
                <w:kern w:val="0"/>
                <w:szCs w:val="21"/>
                <w:highlight w:val="none"/>
              </w:rPr>
            </w:pPr>
          </w:p>
        </w:tc>
        <w:tc>
          <w:tcPr>
            <w:tcW w:w="2868" w:type="dxa"/>
            <w:tcBorders>
              <w:bottom w:val="single" w:color="auto" w:sz="4" w:space="0"/>
            </w:tcBorders>
            <w:shd w:val="clear" w:color="auto" w:fill="auto"/>
            <w:vAlign w:val="center"/>
          </w:tcPr>
          <w:p w14:paraId="799CE1A8">
            <w:pPr>
              <w:adjustRightInd w:val="0"/>
              <w:snapToGrid w:val="0"/>
              <w:jc w:val="center"/>
              <w:rPr>
                <w:snapToGrid w:val="0"/>
                <w:color w:val="auto"/>
                <w:kern w:val="0"/>
                <w:szCs w:val="21"/>
                <w:highlight w:val="none"/>
              </w:rPr>
            </w:pPr>
            <w:r>
              <w:rPr>
                <w:snapToGrid w:val="0"/>
                <w:color w:val="auto"/>
                <w:kern w:val="0"/>
                <w:szCs w:val="21"/>
                <w:highlight w:val="none"/>
              </w:rPr>
              <w:t>空气大气压（hPa）</w:t>
            </w:r>
          </w:p>
        </w:tc>
        <w:tc>
          <w:tcPr>
            <w:tcW w:w="2696" w:type="dxa"/>
            <w:tcBorders>
              <w:bottom w:val="single" w:color="auto" w:sz="4" w:space="0"/>
              <w:right w:val="single" w:color="auto" w:sz="4" w:space="0"/>
            </w:tcBorders>
            <w:shd w:val="clear" w:color="auto" w:fill="auto"/>
            <w:vAlign w:val="center"/>
          </w:tcPr>
          <w:p w14:paraId="3FD2C769">
            <w:pPr>
              <w:adjustRightInd w:val="0"/>
              <w:snapToGrid w:val="0"/>
              <w:jc w:val="center"/>
              <w:rPr>
                <w:snapToGrid w:val="0"/>
                <w:color w:val="auto"/>
                <w:kern w:val="0"/>
                <w:szCs w:val="21"/>
                <w:highlight w:val="none"/>
              </w:rPr>
            </w:pPr>
            <w:r>
              <w:rPr>
                <w:rFonts w:hint="eastAsia"/>
                <w:snapToGrid w:val="0"/>
                <w:color w:val="auto"/>
                <w:kern w:val="0"/>
                <w:szCs w:val="21"/>
                <w:highlight w:val="none"/>
              </w:rPr>
              <w:t>952</w:t>
            </w:r>
          </w:p>
        </w:tc>
      </w:tr>
    </w:tbl>
    <w:p w14:paraId="6B5432A3">
      <w:pPr>
        <w:pStyle w:val="504"/>
        <w:adjustRightInd w:val="0"/>
        <w:snapToGrid w:val="0"/>
        <w:spacing w:before="120" w:beforeLines="50"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2）噪声源</w:t>
      </w:r>
    </w:p>
    <w:p w14:paraId="52703457">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本次预测采用《环境影响评价技术导则 声环境》（HJ2.4-2021）中推荐的模式进行定量预测，本项目噪声源强见表6.2-</w:t>
      </w:r>
      <w:r>
        <w:rPr>
          <w:rFonts w:hint="eastAsia" w:ascii="Times New Roman" w:hAnsi="Times New Roman" w:eastAsia="宋体" w:cs="Times New Roman"/>
          <w:snapToGrid w:val="0"/>
          <w:color w:val="auto"/>
          <w:kern w:val="0"/>
          <w:highlight w:val="none"/>
          <w:lang w:val="en-US" w:eastAsia="zh-CN"/>
        </w:rPr>
        <w:t>32</w:t>
      </w:r>
      <w:r>
        <w:rPr>
          <w:rFonts w:hint="eastAsia" w:ascii="Times New Roman" w:hAnsi="Times New Roman" w:eastAsia="宋体" w:cs="Times New Roman"/>
          <w:snapToGrid w:val="0"/>
          <w:color w:val="auto"/>
          <w:kern w:val="0"/>
          <w:highlight w:val="none"/>
        </w:rPr>
        <w:t>和表6.2-3</w:t>
      </w:r>
      <w:r>
        <w:rPr>
          <w:rFonts w:hint="eastAsia" w:ascii="Times New Roman" w:hAnsi="Times New Roman" w:eastAsia="宋体" w:cs="Times New Roman"/>
          <w:snapToGrid w:val="0"/>
          <w:color w:val="auto"/>
          <w:kern w:val="0"/>
          <w:highlight w:val="none"/>
          <w:lang w:val="en-US" w:eastAsia="zh-CN"/>
        </w:rPr>
        <w:t>3</w:t>
      </w:r>
      <w:r>
        <w:rPr>
          <w:rFonts w:hint="eastAsia" w:ascii="Times New Roman" w:hAnsi="Times New Roman" w:eastAsia="宋体" w:cs="Times New Roman"/>
          <w:snapToGrid w:val="0"/>
          <w:color w:val="auto"/>
          <w:kern w:val="0"/>
          <w:highlight w:val="none"/>
        </w:rPr>
        <w:t>。</w:t>
      </w:r>
    </w:p>
    <w:p w14:paraId="11A1D5C0">
      <w:pPr>
        <w:pStyle w:val="6"/>
        <w:wordWrap/>
        <w:topLinePunct w:val="0"/>
        <w:autoSpaceDN/>
        <w:adjustRightInd w:val="0"/>
        <w:snapToGrid w:val="0"/>
        <w:spacing w:line="360" w:lineRule="auto"/>
        <w:ind w:firstLine="480"/>
        <w:rPr>
          <w:rFonts w:eastAsia="宋体"/>
          <w:snapToGrid w:val="0"/>
          <w:color w:val="auto"/>
          <w:kern w:val="0"/>
          <w:sz w:val="24"/>
          <w:szCs w:val="24"/>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1A6BDB10">
      <w:pPr>
        <w:pStyle w:val="412"/>
        <w:tabs>
          <w:tab w:val="left" w:pos="0"/>
          <w:tab w:val="clear" w:pos="6840"/>
        </w:tabs>
        <w:topLinePunct w:val="0"/>
        <w:autoSpaceDE w:val="0"/>
        <w:autoSpaceDN w:val="0"/>
        <w:adjustRightInd w:val="0"/>
        <w:spacing w:before="120" w:beforeLines="50" w:line="240" w:lineRule="auto"/>
        <w:ind w:left="422" w:hanging="422"/>
        <w:textAlignment w:val="center"/>
        <w:rPr>
          <w:rFonts w:hint="eastAsia" w:ascii="Times New Roman" w:hAnsi="Times New Roman" w:cs="Times New Roman"/>
          <w:color w:val="auto"/>
          <w:sz w:val="21"/>
          <w:szCs w:val="21"/>
          <w:highlight w:val="none"/>
        </w:rPr>
      </w:pPr>
      <w:bookmarkStart w:id="145" w:name="_Ref165156587"/>
      <w:r>
        <w:rPr>
          <w:rFonts w:hint="eastAsia" w:ascii="Times New Roman" w:hAnsi="Times New Roman" w:cs="Times New Roman"/>
          <w:color w:val="auto"/>
          <w:sz w:val="21"/>
          <w:szCs w:val="21"/>
          <w:highlight w:val="none"/>
        </w:rPr>
        <w:t>表</w:t>
      </w:r>
      <w:bookmarkEnd w:id="145"/>
      <w:r>
        <w:rPr>
          <w:rFonts w:hint="eastAsia" w:ascii="Times New Roman" w:hAnsi="Times New Roman" w:cs="Times New Roman"/>
          <w:color w:val="auto"/>
          <w:sz w:val="21"/>
          <w:szCs w:val="21"/>
          <w:highlight w:val="none"/>
        </w:rPr>
        <w:t>6.2-</w:t>
      </w:r>
      <w:r>
        <w:rPr>
          <w:rFonts w:hint="eastAsia" w:ascii="Times New Roman" w:hAnsi="Times New Roman" w:cs="Times New Roman"/>
          <w:color w:val="auto"/>
          <w:sz w:val="21"/>
          <w:szCs w:val="21"/>
          <w:highlight w:val="none"/>
          <w:lang w:val="en-US" w:eastAsia="zh-CN"/>
        </w:rPr>
        <w:t>32</w:t>
      </w:r>
      <w:r>
        <w:rPr>
          <w:rFonts w:hint="eastAsia" w:ascii="Times New Roman" w:hAnsi="Times New Roman" w:cs="Times New Roman"/>
          <w:color w:val="auto"/>
          <w:sz w:val="21"/>
          <w:szCs w:val="21"/>
          <w:highlight w:val="none"/>
        </w:rPr>
        <w:t xml:space="preserve"> 工业企业噪声源强调查清单（室外噪声）</w:t>
      </w:r>
    </w:p>
    <w:tbl>
      <w:tblPr>
        <w:tblStyle w:val="56"/>
        <w:tblW w:w="49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745"/>
        <w:gridCol w:w="2442"/>
        <w:gridCol w:w="958"/>
        <w:gridCol w:w="958"/>
        <w:gridCol w:w="972"/>
        <w:gridCol w:w="980"/>
        <w:gridCol w:w="980"/>
        <w:gridCol w:w="1963"/>
        <w:gridCol w:w="1922"/>
      </w:tblGrid>
      <w:tr w14:paraId="4C88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7" w:type="pct"/>
            <w:vMerge w:val="restart"/>
            <w:tcBorders>
              <w:tl2br w:val="nil"/>
              <w:tr2bl w:val="nil"/>
            </w:tcBorders>
            <w:noWrap w:val="0"/>
            <w:vAlign w:val="center"/>
          </w:tcPr>
          <w:p w14:paraId="345FE53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序号</w:t>
            </w:r>
          </w:p>
        </w:tc>
        <w:tc>
          <w:tcPr>
            <w:tcW w:w="623" w:type="pct"/>
            <w:vMerge w:val="restart"/>
            <w:tcBorders>
              <w:tl2br w:val="nil"/>
              <w:tr2bl w:val="nil"/>
            </w:tcBorders>
            <w:noWrap w:val="0"/>
            <w:vAlign w:val="center"/>
          </w:tcPr>
          <w:p w14:paraId="6D191950">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单元名称</w:t>
            </w:r>
          </w:p>
        </w:tc>
        <w:tc>
          <w:tcPr>
            <w:tcW w:w="872" w:type="pct"/>
            <w:vMerge w:val="restart"/>
            <w:tcBorders>
              <w:tl2br w:val="nil"/>
              <w:tr2bl w:val="nil"/>
            </w:tcBorders>
            <w:noWrap w:val="0"/>
            <w:vAlign w:val="center"/>
          </w:tcPr>
          <w:p w14:paraId="0BAE94B3">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声源名称</w:t>
            </w:r>
          </w:p>
        </w:tc>
        <w:tc>
          <w:tcPr>
            <w:tcW w:w="1031" w:type="pct"/>
            <w:gridSpan w:val="3"/>
            <w:tcBorders>
              <w:tl2br w:val="nil"/>
              <w:tr2bl w:val="nil"/>
            </w:tcBorders>
            <w:noWrap w:val="0"/>
            <w:vAlign w:val="center"/>
          </w:tcPr>
          <w:p w14:paraId="6CFE73FD">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空间相对位置/m</w:t>
            </w:r>
          </w:p>
        </w:tc>
        <w:tc>
          <w:tcPr>
            <w:tcW w:w="350" w:type="pct"/>
            <w:vMerge w:val="restart"/>
            <w:tcBorders>
              <w:tl2br w:val="nil"/>
              <w:tr2bl w:val="nil"/>
            </w:tcBorders>
            <w:noWrap w:val="0"/>
            <w:vAlign w:val="center"/>
          </w:tcPr>
          <w:p w14:paraId="09526840">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声功率级/dB</w:t>
            </w:r>
            <w:r>
              <w:rPr>
                <w:rFonts w:hint="eastAsia"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lang w:val="en-US" w:eastAsia="zh-CN"/>
              </w:rPr>
              <w:t>A</w:t>
            </w:r>
            <w:r>
              <w:rPr>
                <w:rFonts w:hint="eastAsia" w:cs="Times New Roman"/>
                <w:snapToGrid w:val="0"/>
                <w:color w:val="auto"/>
                <w:kern w:val="0"/>
                <w:sz w:val="21"/>
                <w:szCs w:val="21"/>
                <w:highlight w:val="none"/>
                <w:lang w:val="en-US" w:eastAsia="zh-CN"/>
              </w:rPr>
              <w:t>）</w:t>
            </w:r>
          </w:p>
        </w:tc>
        <w:tc>
          <w:tcPr>
            <w:tcW w:w="350" w:type="pct"/>
            <w:vMerge w:val="restart"/>
            <w:tcBorders>
              <w:tl2br w:val="nil"/>
              <w:tr2bl w:val="nil"/>
            </w:tcBorders>
            <w:noWrap w:val="0"/>
            <w:vAlign w:val="center"/>
          </w:tcPr>
          <w:p w14:paraId="3E689524">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距声源</w:t>
            </w:r>
          </w:p>
          <w:p w14:paraId="028BE6B1">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距离/m</w:t>
            </w:r>
          </w:p>
        </w:tc>
        <w:tc>
          <w:tcPr>
            <w:tcW w:w="701" w:type="pct"/>
            <w:vMerge w:val="restart"/>
            <w:tcBorders>
              <w:tl2br w:val="nil"/>
              <w:tr2bl w:val="nil"/>
            </w:tcBorders>
            <w:noWrap w:val="0"/>
            <w:vAlign w:val="center"/>
          </w:tcPr>
          <w:p w14:paraId="579BA97E">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声源控制措施</w:t>
            </w:r>
          </w:p>
        </w:tc>
        <w:tc>
          <w:tcPr>
            <w:tcW w:w="683" w:type="pct"/>
            <w:vMerge w:val="restart"/>
            <w:tcBorders>
              <w:tl2br w:val="nil"/>
              <w:tr2bl w:val="nil"/>
            </w:tcBorders>
            <w:noWrap w:val="0"/>
            <w:vAlign w:val="center"/>
          </w:tcPr>
          <w:p w14:paraId="176E4CB8">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运行时段</w:t>
            </w:r>
          </w:p>
        </w:tc>
      </w:tr>
      <w:tr w14:paraId="59D2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7" w:type="pct"/>
            <w:vMerge w:val="continue"/>
            <w:tcBorders>
              <w:tl2br w:val="nil"/>
              <w:tr2bl w:val="nil"/>
            </w:tcBorders>
            <w:noWrap w:val="0"/>
            <w:vAlign w:val="center"/>
          </w:tcPr>
          <w:p w14:paraId="28A4A44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623" w:type="pct"/>
            <w:vMerge w:val="continue"/>
            <w:tcBorders>
              <w:tl2br w:val="nil"/>
              <w:tr2bl w:val="nil"/>
            </w:tcBorders>
            <w:noWrap w:val="0"/>
            <w:vAlign w:val="center"/>
          </w:tcPr>
          <w:p w14:paraId="3D3321E2">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872" w:type="pct"/>
            <w:vMerge w:val="continue"/>
            <w:tcBorders>
              <w:tl2br w:val="nil"/>
              <w:tr2bl w:val="nil"/>
            </w:tcBorders>
            <w:noWrap w:val="0"/>
            <w:vAlign w:val="center"/>
          </w:tcPr>
          <w:p w14:paraId="66810B4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342" w:type="pct"/>
            <w:tcBorders>
              <w:tl2br w:val="nil"/>
              <w:tr2bl w:val="nil"/>
            </w:tcBorders>
            <w:noWrap w:val="0"/>
            <w:vAlign w:val="center"/>
          </w:tcPr>
          <w:p w14:paraId="75A7BB02">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X</w:t>
            </w:r>
          </w:p>
        </w:tc>
        <w:tc>
          <w:tcPr>
            <w:tcW w:w="342" w:type="pct"/>
            <w:tcBorders>
              <w:tl2br w:val="nil"/>
              <w:tr2bl w:val="nil"/>
            </w:tcBorders>
            <w:noWrap w:val="0"/>
            <w:vAlign w:val="center"/>
          </w:tcPr>
          <w:p w14:paraId="39ECE2F4">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Y</w:t>
            </w:r>
          </w:p>
        </w:tc>
        <w:tc>
          <w:tcPr>
            <w:tcW w:w="347" w:type="pct"/>
            <w:tcBorders>
              <w:tl2br w:val="nil"/>
              <w:tr2bl w:val="nil"/>
            </w:tcBorders>
            <w:noWrap w:val="0"/>
            <w:vAlign w:val="center"/>
          </w:tcPr>
          <w:p w14:paraId="004DC34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Z</w:t>
            </w:r>
          </w:p>
        </w:tc>
        <w:tc>
          <w:tcPr>
            <w:tcW w:w="350" w:type="pct"/>
            <w:vMerge w:val="continue"/>
            <w:tcBorders>
              <w:tl2br w:val="nil"/>
              <w:tr2bl w:val="nil"/>
            </w:tcBorders>
            <w:noWrap w:val="0"/>
            <w:vAlign w:val="center"/>
          </w:tcPr>
          <w:p w14:paraId="0889CEEF">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350" w:type="pct"/>
            <w:vMerge w:val="continue"/>
            <w:tcBorders>
              <w:tl2br w:val="nil"/>
              <w:tr2bl w:val="nil"/>
            </w:tcBorders>
            <w:noWrap w:val="0"/>
            <w:vAlign w:val="center"/>
          </w:tcPr>
          <w:p w14:paraId="7D10DD75">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701" w:type="pct"/>
            <w:vMerge w:val="continue"/>
            <w:tcBorders>
              <w:tl2br w:val="nil"/>
              <w:tr2bl w:val="nil"/>
            </w:tcBorders>
            <w:noWrap w:val="0"/>
            <w:vAlign w:val="center"/>
          </w:tcPr>
          <w:p w14:paraId="0B76B222">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683" w:type="pct"/>
            <w:vMerge w:val="continue"/>
            <w:tcBorders>
              <w:tl2br w:val="nil"/>
              <w:tr2bl w:val="nil"/>
            </w:tcBorders>
            <w:noWrap w:val="0"/>
            <w:vAlign w:val="center"/>
          </w:tcPr>
          <w:p w14:paraId="00D149D5">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p>
        </w:tc>
      </w:tr>
      <w:tr w14:paraId="23B0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7" w:type="pct"/>
            <w:tcBorders>
              <w:tl2br w:val="nil"/>
              <w:tr2bl w:val="nil"/>
            </w:tcBorders>
            <w:noWrap w:val="0"/>
            <w:vAlign w:val="center"/>
          </w:tcPr>
          <w:p w14:paraId="1D1F82D5">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w:t>
            </w:r>
          </w:p>
        </w:tc>
        <w:tc>
          <w:tcPr>
            <w:tcW w:w="623" w:type="pct"/>
            <w:tcBorders>
              <w:tl2br w:val="nil"/>
              <w:tr2bl w:val="nil"/>
            </w:tcBorders>
            <w:noWrap w:val="0"/>
            <w:vAlign w:val="center"/>
          </w:tcPr>
          <w:p w14:paraId="193C5D96">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spacing w:val="0"/>
                <w:kern w:val="0"/>
                <w:sz w:val="21"/>
                <w:szCs w:val="21"/>
                <w:highlight w:val="none"/>
                <w:lang w:val="en-US" w:eastAsia="zh-CN"/>
              </w:rPr>
              <w:t>车间外</w:t>
            </w:r>
          </w:p>
        </w:tc>
        <w:tc>
          <w:tcPr>
            <w:tcW w:w="872" w:type="pct"/>
            <w:tcBorders>
              <w:tl2br w:val="nil"/>
              <w:tr2bl w:val="nil"/>
            </w:tcBorders>
            <w:noWrap w:val="0"/>
            <w:vAlign w:val="center"/>
          </w:tcPr>
          <w:p w14:paraId="32CD6C69">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snapToGrid w:val="0"/>
                <w:color w:val="auto"/>
                <w:kern w:val="0"/>
                <w:szCs w:val="21"/>
                <w:highlight w:val="none"/>
                <w:lang w:eastAsia="en-US"/>
              </w:rPr>
              <w:t>泵类</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4台</w:t>
            </w:r>
            <w:r>
              <w:rPr>
                <w:rFonts w:hint="eastAsia"/>
                <w:snapToGrid w:val="0"/>
                <w:color w:val="auto"/>
                <w:kern w:val="0"/>
                <w:szCs w:val="21"/>
                <w:highlight w:val="none"/>
                <w:lang w:eastAsia="zh-CN"/>
              </w:rPr>
              <w:t>）</w:t>
            </w:r>
          </w:p>
        </w:tc>
        <w:tc>
          <w:tcPr>
            <w:tcW w:w="342" w:type="pct"/>
            <w:tcBorders>
              <w:tl2br w:val="nil"/>
              <w:tr2bl w:val="nil"/>
            </w:tcBorders>
            <w:noWrap w:val="0"/>
            <w:vAlign w:val="center"/>
          </w:tcPr>
          <w:p w14:paraId="312C74A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snapToGrid w:val="0"/>
                <w:color w:val="auto"/>
                <w:kern w:val="0"/>
                <w:szCs w:val="21"/>
                <w:highlight w:val="none"/>
                <w:lang w:val="en-US" w:eastAsia="zh-CN"/>
              </w:rPr>
              <w:t>-332</w:t>
            </w:r>
          </w:p>
        </w:tc>
        <w:tc>
          <w:tcPr>
            <w:tcW w:w="342" w:type="pct"/>
            <w:tcBorders>
              <w:tl2br w:val="nil"/>
              <w:tr2bl w:val="nil"/>
            </w:tcBorders>
            <w:noWrap w:val="0"/>
            <w:vAlign w:val="center"/>
          </w:tcPr>
          <w:p w14:paraId="516F8E4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snapToGrid w:val="0"/>
                <w:color w:val="auto"/>
                <w:kern w:val="0"/>
                <w:szCs w:val="21"/>
                <w:highlight w:val="none"/>
                <w:lang w:val="en-US" w:eastAsia="zh-CN"/>
              </w:rPr>
              <w:t>-346</w:t>
            </w:r>
          </w:p>
        </w:tc>
        <w:tc>
          <w:tcPr>
            <w:tcW w:w="347" w:type="pct"/>
            <w:tcBorders>
              <w:tl2br w:val="nil"/>
              <w:tr2bl w:val="nil"/>
            </w:tcBorders>
            <w:noWrap w:val="0"/>
            <w:vAlign w:val="center"/>
          </w:tcPr>
          <w:p w14:paraId="3C64A70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snapToGrid w:val="0"/>
                <w:color w:val="auto"/>
                <w:kern w:val="0"/>
                <w:szCs w:val="21"/>
                <w:highlight w:val="none"/>
              </w:rPr>
              <w:t>1.2</w:t>
            </w:r>
          </w:p>
        </w:tc>
        <w:tc>
          <w:tcPr>
            <w:tcW w:w="350" w:type="pct"/>
            <w:tcBorders>
              <w:tl2br w:val="nil"/>
              <w:tr2bl w:val="nil"/>
            </w:tcBorders>
            <w:noWrap w:val="0"/>
            <w:vAlign w:val="center"/>
          </w:tcPr>
          <w:p w14:paraId="695138E4">
            <w:pPr>
              <w:pStyle w:val="768"/>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85</w:t>
            </w:r>
          </w:p>
        </w:tc>
        <w:tc>
          <w:tcPr>
            <w:tcW w:w="350" w:type="pct"/>
            <w:tcBorders>
              <w:tl2br w:val="nil"/>
              <w:tr2bl w:val="nil"/>
            </w:tcBorders>
            <w:noWrap w:val="0"/>
            <w:vAlign w:val="center"/>
          </w:tcPr>
          <w:p w14:paraId="2C85B6FB">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1</w:t>
            </w:r>
          </w:p>
        </w:tc>
        <w:tc>
          <w:tcPr>
            <w:tcW w:w="701" w:type="pct"/>
            <w:tcBorders>
              <w:tl2br w:val="nil"/>
              <w:tr2bl w:val="nil"/>
            </w:tcBorders>
            <w:noWrap w:val="0"/>
            <w:vAlign w:val="center"/>
          </w:tcPr>
          <w:p w14:paraId="1D0285D7">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减振基础</w:t>
            </w:r>
          </w:p>
        </w:tc>
        <w:tc>
          <w:tcPr>
            <w:tcW w:w="683" w:type="pct"/>
            <w:tcBorders>
              <w:tl2br w:val="nil"/>
              <w:tr2bl w:val="nil"/>
            </w:tcBorders>
            <w:noWrap w:val="0"/>
            <w:vAlign w:val="center"/>
          </w:tcPr>
          <w:p w14:paraId="52195E86">
            <w:pPr>
              <w:pStyle w:val="768"/>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昼间、夜间</w:t>
            </w:r>
          </w:p>
        </w:tc>
      </w:tr>
      <w:tr w14:paraId="3153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0"/>
            <w:tcBorders>
              <w:tl2br w:val="nil"/>
              <w:tr2bl w:val="nil"/>
            </w:tcBorders>
            <w:noWrap w:val="0"/>
            <w:vAlign w:val="center"/>
          </w:tcPr>
          <w:p w14:paraId="1F31C8FD">
            <w:pPr>
              <w:pStyle w:val="768"/>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注：以厂区中心为原点。</w:t>
            </w:r>
          </w:p>
        </w:tc>
      </w:tr>
    </w:tbl>
    <w:p w14:paraId="16E22144">
      <w:pPr>
        <w:pStyle w:val="412"/>
        <w:tabs>
          <w:tab w:val="left" w:pos="0"/>
          <w:tab w:val="clear" w:pos="6840"/>
        </w:tabs>
        <w:topLinePunct w:val="0"/>
        <w:autoSpaceDE w:val="0"/>
        <w:autoSpaceDN w:val="0"/>
        <w:adjustRightInd w:val="0"/>
        <w:spacing w:before="120" w:beforeLines="50" w:line="240" w:lineRule="auto"/>
        <w:ind w:left="422" w:hanging="422"/>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表6.2-3</w:t>
      </w:r>
      <w:r>
        <w:rPr>
          <w:rFonts w:hint="eastAsia" w:ascii="Times New Roman" w:hAnsi="Times New Roman" w:cs="Times New Roman"/>
          <w:color w:val="auto"/>
          <w:sz w:val="21"/>
          <w:szCs w:val="21"/>
          <w:highlight w:val="none"/>
          <w:lang w:val="en-US" w:eastAsia="zh-CN"/>
        </w:rPr>
        <w:t>3</w:t>
      </w:r>
      <w:r>
        <w:rPr>
          <w:rFonts w:hint="eastAsia" w:ascii="Times New Roman" w:hAnsi="Times New Roman" w:cs="Times New Roman"/>
          <w:color w:val="auto"/>
          <w:sz w:val="21"/>
          <w:szCs w:val="21"/>
          <w:highlight w:val="none"/>
        </w:rPr>
        <w:t xml:space="preserve"> 工业企业噪声源强调查清单（室内声源）</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7" w:type="dxa"/>
          <w:bottom w:w="0" w:type="dxa"/>
          <w:right w:w="17" w:type="dxa"/>
        </w:tblCellMar>
      </w:tblPr>
      <w:tblGrid>
        <w:gridCol w:w="298"/>
        <w:gridCol w:w="1186"/>
        <w:gridCol w:w="1401"/>
        <w:gridCol w:w="935"/>
        <w:gridCol w:w="750"/>
        <w:gridCol w:w="1839"/>
        <w:gridCol w:w="546"/>
        <w:gridCol w:w="546"/>
        <w:gridCol w:w="590"/>
        <w:gridCol w:w="854"/>
        <w:gridCol w:w="1145"/>
        <w:gridCol w:w="1145"/>
        <w:gridCol w:w="1002"/>
        <w:gridCol w:w="1002"/>
        <w:gridCol w:w="753"/>
      </w:tblGrid>
      <w:tr w14:paraId="2F4E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7" w:type="dxa"/>
            <w:bottom w:w="0" w:type="dxa"/>
            <w:right w:w="17" w:type="dxa"/>
          </w:tblCellMar>
        </w:tblPrEx>
        <w:trPr>
          <w:trHeight w:val="340" w:hRule="atLeast"/>
          <w:jc w:val="center"/>
        </w:trPr>
        <w:tc>
          <w:tcPr>
            <w:tcW w:w="107" w:type="pct"/>
            <w:vMerge w:val="restart"/>
            <w:shd w:val="clear" w:color="auto" w:fill="auto"/>
            <w:vAlign w:val="center"/>
          </w:tcPr>
          <w:p w14:paraId="16DA317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序号</w:t>
            </w:r>
          </w:p>
        </w:tc>
        <w:tc>
          <w:tcPr>
            <w:tcW w:w="424" w:type="pct"/>
            <w:vMerge w:val="restart"/>
            <w:shd w:val="clear" w:color="auto" w:fill="auto"/>
            <w:vAlign w:val="center"/>
          </w:tcPr>
          <w:p w14:paraId="061A758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hint="eastAsia"/>
                <w:color w:val="auto"/>
                <w:highlight w:val="none"/>
                <w:lang w:val="en-US" w:eastAsia="zh-CN"/>
              </w:rPr>
              <w:t>建筑物名称</w:t>
            </w:r>
          </w:p>
        </w:tc>
        <w:tc>
          <w:tcPr>
            <w:tcW w:w="501" w:type="pct"/>
            <w:vMerge w:val="restart"/>
            <w:shd w:val="clear" w:color="auto" w:fill="auto"/>
            <w:vAlign w:val="center"/>
          </w:tcPr>
          <w:p w14:paraId="661E89B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声源名称</w:t>
            </w:r>
          </w:p>
        </w:tc>
        <w:tc>
          <w:tcPr>
            <w:tcW w:w="334" w:type="pct"/>
            <w:vMerge w:val="restart"/>
            <w:shd w:val="clear" w:color="auto" w:fill="auto"/>
            <w:vAlign w:val="center"/>
          </w:tcPr>
          <w:p w14:paraId="328DB44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imes New Roman" w:hAnsi="Times New Roman" w:eastAsia="宋体" w:cs="Times New Roman"/>
                <w:snapToGrid w:val="0"/>
                <w:color w:val="auto"/>
                <w:spacing w:val="0"/>
                <w:kern w:val="0"/>
                <w:sz w:val="21"/>
                <w:szCs w:val="21"/>
                <w:highlight w:val="none"/>
                <w:lang w:eastAsia="zh-CN"/>
              </w:rPr>
            </w:pPr>
            <w:r>
              <w:rPr>
                <w:rFonts w:hint="eastAsia" w:ascii="Times New Roman" w:hAnsi="Times New Roman" w:eastAsia="宋体" w:cs="Times New Roman"/>
                <w:snapToGrid w:val="0"/>
                <w:color w:val="auto"/>
                <w:spacing w:val="0"/>
                <w:kern w:val="0"/>
                <w:sz w:val="21"/>
                <w:szCs w:val="21"/>
                <w:highlight w:val="none"/>
              </w:rPr>
              <w:t>声压级/dB</w:t>
            </w:r>
            <w:r>
              <w:rPr>
                <w:rFonts w:hint="eastAsia" w:cs="Times New Roman"/>
                <w:snapToGrid w:val="0"/>
                <w:color w:val="auto"/>
                <w:spacing w:val="0"/>
                <w:kern w:val="0"/>
                <w:sz w:val="21"/>
                <w:szCs w:val="21"/>
                <w:highlight w:val="none"/>
                <w:lang w:eastAsia="zh-CN"/>
              </w:rPr>
              <w:t>（</w:t>
            </w:r>
            <w:r>
              <w:rPr>
                <w:rFonts w:hint="eastAsia" w:ascii="Times New Roman" w:hAnsi="Times New Roman" w:eastAsia="宋体" w:cs="Times New Roman"/>
                <w:snapToGrid w:val="0"/>
                <w:color w:val="auto"/>
                <w:spacing w:val="0"/>
                <w:kern w:val="0"/>
                <w:sz w:val="21"/>
                <w:szCs w:val="21"/>
                <w:highlight w:val="none"/>
              </w:rPr>
              <w:t>A</w:t>
            </w:r>
            <w:r>
              <w:rPr>
                <w:rFonts w:hint="eastAsia" w:cs="Times New Roman"/>
                <w:snapToGrid w:val="0"/>
                <w:color w:val="auto"/>
                <w:spacing w:val="0"/>
                <w:kern w:val="0"/>
                <w:sz w:val="21"/>
                <w:szCs w:val="21"/>
                <w:highlight w:val="none"/>
                <w:lang w:eastAsia="zh-CN"/>
              </w:rPr>
              <w:t>）</w:t>
            </w:r>
          </w:p>
        </w:tc>
        <w:tc>
          <w:tcPr>
            <w:tcW w:w="268" w:type="pct"/>
            <w:vMerge w:val="restart"/>
            <w:shd w:val="clear" w:color="auto" w:fill="auto"/>
            <w:vAlign w:val="center"/>
          </w:tcPr>
          <w:p w14:paraId="2849BC3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hint="eastAsia" w:ascii="Times New Roman" w:hAnsi="Times New Roman" w:eastAsia="宋体" w:cs="Times New Roman"/>
                <w:snapToGrid w:val="0"/>
                <w:color w:val="auto"/>
                <w:spacing w:val="0"/>
                <w:kern w:val="0"/>
                <w:sz w:val="21"/>
                <w:szCs w:val="21"/>
                <w:highlight w:val="none"/>
              </w:rPr>
              <w:t>距声源</w:t>
            </w:r>
          </w:p>
          <w:p w14:paraId="5AAEBE3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hint="eastAsia" w:ascii="Times New Roman" w:hAnsi="Times New Roman" w:eastAsia="宋体" w:cs="Times New Roman"/>
                <w:snapToGrid w:val="0"/>
                <w:color w:val="auto"/>
                <w:spacing w:val="0"/>
                <w:kern w:val="0"/>
                <w:sz w:val="21"/>
                <w:szCs w:val="21"/>
                <w:highlight w:val="none"/>
              </w:rPr>
              <w:t>距离/m</w:t>
            </w:r>
          </w:p>
        </w:tc>
        <w:tc>
          <w:tcPr>
            <w:tcW w:w="657" w:type="pct"/>
            <w:vMerge w:val="restart"/>
            <w:shd w:val="clear" w:color="auto" w:fill="auto"/>
            <w:vAlign w:val="center"/>
          </w:tcPr>
          <w:p w14:paraId="2D695F6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声源控制措施</w:t>
            </w:r>
          </w:p>
        </w:tc>
        <w:tc>
          <w:tcPr>
            <w:tcW w:w="601" w:type="pct"/>
            <w:gridSpan w:val="3"/>
            <w:shd w:val="clear" w:color="auto" w:fill="auto"/>
            <w:vAlign w:val="center"/>
          </w:tcPr>
          <w:p w14:paraId="5216711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空间相对位置/m</w:t>
            </w:r>
          </w:p>
        </w:tc>
        <w:tc>
          <w:tcPr>
            <w:tcW w:w="305" w:type="pct"/>
            <w:vMerge w:val="restart"/>
            <w:shd w:val="clear" w:color="auto" w:fill="auto"/>
            <w:vAlign w:val="center"/>
          </w:tcPr>
          <w:p w14:paraId="1DB2A85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距室内边界距离/m</w:t>
            </w:r>
          </w:p>
        </w:tc>
        <w:tc>
          <w:tcPr>
            <w:tcW w:w="409" w:type="pct"/>
            <w:vMerge w:val="restart"/>
            <w:shd w:val="clear" w:color="auto" w:fill="auto"/>
            <w:vAlign w:val="center"/>
          </w:tcPr>
          <w:p w14:paraId="6FC8473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室内边</w:t>
            </w:r>
          </w:p>
          <w:p w14:paraId="7E7D745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界声级/</w:t>
            </w:r>
            <w:r>
              <w:rPr>
                <w:rFonts w:ascii="Times New Roman" w:hAnsi="Times New Roman" w:eastAsia="宋体" w:cs="Times New Roman"/>
                <w:color w:val="auto"/>
                <w:spacing w:val="0"/>
                <w:kern w:val="0"/>
                <w:sz w:val="21"/>
                <w:szCs w:val="21"/>
                <w:highlight w:val="none"/>
                <w:lang w:val="zh-CN"/>
              </w:rPr>
              <w:t xml:space="preserve"> </w:t>
            </w:r>
            <w:r>
              <w:rPr>
                <w:rFonts w:ascii="Times New Roman" w:hAnsi="Times New Roman" w:eastAsia="宋体" w:cs="Times New Roman"/>
                <w:snapToGrid w:val="0"/>
                <w:color w:val="auto"/>
                <w:spacing w:val="0"/>
                <w:kern w:val="0"/>
                <w:sz w:val="21"/>
                <w:szCs w:val="21"/>
                <w:highlight w:val="none"/>
                <w:lang w:val="zh-CN"/>
              </w:rPr>
              <w:t>dB</w:t>
            </w:r>
            <w:r>
              <w:rPr>
                <w:rFonts w:hint="eastAsia" w:cs="Times New Roman"/>
                <w:snapToGrid w:val="0"/>
                <w:color w:val="auto"/>
                <w:spacing w:val="0"/>
                <w:kern w:val="0"/>
                <w:sz w:val="21"/>
                <w:szCs w:val="21"/>
                <w:highlight w:val="none"/>
                <w:lang w:val="zh-CN"/>
              </w:rPr>
              <w:t>（</w:t>
            </w:r>
            <w:r>
              <w:rPr>
                <w:rFonts w:ascii="Times New Roman" w:hAnsi="Times New Roman" w:eastAsia="宋体" w:cs="Times New Roman"/>
                <w:snapToGrid w:val="0"/>
                <w:color w:val="auto"/>
                <w:spacing w:val="0"/>
                <w:kern w:val="0"/>
                <w:sz w:val="21"/>
                <w:szCs w:val="21"/>
                <w:highlight w:val="none"/>
                <w:lang w:val="zh-CN"/>
              </w:rPr>
              <w:t>A</w:t>
            </w:r>
            <w:r>
              <w:rPr>
                <w:rFonts w:hint="eastAsia" w:cs="Times New Roman"/>
                <w:snapToGrid w:val="0"/>
                <w:color w:val="auto"/>
                <w:spacing w:val="0"/>
                <w:kern w:val="0"/>
                <w:sz w:val="21"/>
                <w:szCs w:val="21"/>
                <w:highlight w:val="none"/>
                <w:lang w:val="zh-CN"/>
              </w:rPr>
              <w:t>）</w:t>
            </w:r>
          </w:p>
        </w:tc>
        <w:tc>
          <w:tcPr>
            <w:tcW w:w="409" w:type="pct"/>
            <w:vMerge w:val="restart"/>
            <w:shd w:val="clear" w:color="auto" w:fill="auto"/>
            <w:vAlign w:val="center"/>
          </w:tcPr>
          <w:p w14:paraId="42D64A9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运行时段</w:t>
            </w:r>
          </w:p>
        </w:tc>
        <w:tc>
          <w:tcPr>
            <w:tcW w:w="358" w:type="pct"/>
            <w:vMerge w:val="restart"/>
            <w:shd w:val="clear" w:color="auto" w:fill="auto"/>
            <w:vAlign w:val="center"/>
          </w:tcPr>
          <w:p w14:paraId="449C769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建筑物</w:t>
            </w:r>
          </w:p>
          <w:p w14:paraId="24B3F4D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插入损</w:t>
            </w:r>
          </w:p>
          <w:p w14:paraId="75195AA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失/</w:t>
            </w:r>
            <w:r>
              <w:rPr>
                <w:rFonts w:ascii="Times New Roman" w:hAnsi="Times New Roman" w:eastAsia="宋体" w:cs="Times New Roman"/>
                <w:color w:val="auto"/>
                <w:spacing w:val="0"/>
                <w:kern w:val="0"/>
                <w:sz w:val="21"/>
                <w:szCs w:val="21"/>
                <w:highlight w:val="none"/>
                <w:lang w:val="zh-CN"/>
              </w:rPr>
              <w:t xml:space="preserve"> </w:t>
            </w:r>
            <w:r>
              <w:rPr>
                <w:rFonts w:ascii="Times New Roman" w:hAnsi="Times New Roman" w:eastAsia="宋体" w:cs="Times New Roman"/>
                <w:snapToGrid w:val="0"/>
                <w:color w:val="auto"/>
                <w:spacing w:val="0"/>
                <w:kern w:val="0"/>
                <w:sz w:val="21"/>
                <w:szCs w:val="21"/>
                <w:highlight w:val="none"/>
                <w:lang w:val="zh-CN"/>
              </w:rPr>
              <w:t>dB</w:t>
            </w:r>
            <w:r>
              <w:rPr>
                <w:rFonts w:hint="eastAsia" w:cs="Times New Roman"/>
                <w:snapToGrid w:val="0"/>
                <w:color w:val="auto"/>
                <w:spacing w:val="0"/>
                <w:kern w:val="0"/>
                <w:sz w:val="21"/>
                <w:szCs w:val="21"/>
                <w:highlight w:val="none"/>
                <w:lang w:val="zh-CN"/>
              </w:rPr>
              <w:t>（</w:t>
            </w:r>
            <w:r>
              <w:rPr>
                <w:rFonts w:ascii="Times New Roman" w:hAnsi="Times New Roman" w:eastAsia="宋体" w:cs="Times New Roman"/>
                <w:snapToGrid w:val="0"/>
                <w:color w:val="auto"/>
                <w:spacing w:val="0"/>
                <w:kern w:val="0"/>
                <w:sz w:val="21"/>
                <w:szCs w:val="21"/>
                <w:highlight w:val="none"/>
                <w:lang w:val="zh-CN"/>
              </w:rPr>
              <w:t>A</w:t>
            </w:r>
            <w:r>
              <w:rPr>
                <w:rFonts w:hint="eastAsia" w:cs="Times New Roman"/>
                <w:snapToGrid w:val="0"/>
                <w:color w:val="auto"/>
                <w:spacing w:val="0"/>
                <w:kern w:val="0"/>
                <w:sz w:val="21"/>
                <w:szCs w:val="21"/>
                <w:highlight w:val="none"/>
                <w:lang w:val="zh-CN"/>
              </w:rPr>
              <w:t>）</w:t>
            </w:r>
          </w:p>
        </w:tc>
        <w:tc>
          <w:tcPr>
            <w:tcW w:w="623" w:type="pct"/>
            <w:gridSpan w:val="2"/>
            <w:shd w:val="clear" w:color="auto" w:fill="auto"/>
            <w:vAlign w:val="center"/>
          </w:tcPr>
          <w:p w14:paraId="623CAFD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建筑物外噪声</w:t>
            </w:r>
          </w:p>
        </w:tc>
      </w:tr>
      <w:tr w14:paraId="2951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7" w:type="dxa"/>
            <w:bottom w:w="0" w:type="dxa"/>
            <w:right w:w="17" w:type="dxa"/>
          </w:tblCellMar>
        </w:tblPrEx>
        <w:trPr>
          <w:trHeight w:val="340" w:hRule="atLeast"/>
          <w:jc w:val="center"/>
        </w:trPr>
        <w:tc>
          <w:tcPr>
            <w:tcW w:w="107" w:type="pct"/>
            <w:vMerge w:val="continue"/>
            <w:shd w:val="clear" w:color="auto" w:fill="auto"/>
            <w:vAlign w:val="center"/>
          </w:tcPr>
          <w:p w14:paraId="484E2BF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424" w:type="pct"/>
            <w:vMerge w:val="continue"/>
            <w:shd w:val="clear" w:color="auto" w:fill="auto"/>
            <w:vAlign w:val="center"/>
          </w:tcPr>
          <w:p w14:paraId="02E5B6E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501" w:type="pct"/>
            <w:vMerge w:val="continue"/>
            <w:shd w:val="clear" w:color="auto" w:fill="auto"/>
            <w:vAlign w:val="center"/>
          </w:tcPr>
          <w:p w14:paraId="0184F42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334" w:type="pct"/>
            <w:vMerge w:val="continue"/>
            <w:shd w:val="clear" w:color="auto" w:fill="auto"/>
            <w:vAlign w:val="center"/>
          </w:tcPr>
          <w:p w14:paraId="11CF313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268" w:type="pct"/>
            <w:vMerge w:val="continue"/>
            <w:shd w:val="clear" w:color="auto" w:fill="auto"/>
            <w:vAlign w:val="center"/>
          </w:tcPr>
          <w:p w14:paraId="50DB841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657" w:type="pct"/>
            <w:vMerge w:val="continue"/>
            <w:shd w:val="clear" w:color="auto" w:fill="auto"/>
            <w:vAlign w:val="center"/>
          </w:tcPr>
          <w:p w14:paraId="320C9E8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195" w:type="pct"/>
            <w:shd w:val="clear" w:color="auto" w:fill="auto"/>
            <w:vAlign w:val="center"/>
          </w:tcPr>
          <w:p w14:paraId="5E3C7333">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X</w:t>
            </w:r>
          </w:p>
        </w:tc>
        <w:tc>
          <w:tcPr>
            <w:tcW w:w="195" w:type="pct"/>
            <w:shd w:val="clear" w:color="auto" w:fill="auto"/>
            <w:vAlign w:val="center"/>
          </w:tcPr>
          <w:p w14:paraId="5E76FAE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Y</w:t>
            </w:r>
          </w:p>
        </w:tc>
        <w:tc>
          <w:tcPr>
            <w:tcW w:w="211" w:type="pct"/>
            <w:shd w:val="clear" w:color="auto" w:fill="auto"/>
            <w:vAlign w:val="center"/>
          </w:tcPr>
          <w:p w14:paraId="72F35E6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Z</w:t>
            </w:r>
          </w:p>
        </w:tc>
        <w:tc>
          <w:tcPr>
            <w:tcW w:w="305" w:type="pct"/>
            <w:vMerge w:val="continue"/>
            <w:shd w:val="clear" w:color="auto" w:fill="auto"/>
            <w:vAlign w:val="center"/>
          </w:tcPr>
          <w:p w14:paraId="5A84041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409" w:type="pct"/>
            <w:vMerge w:val="continue"/>
            <w:shd w:val="clear" w:color="auto" w:fill="auto"/>
            <w:vAlign w:val="center"/>
          </w:tcPr>
          <w:p w14:paraId="68EE3DE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409" w:type="pct"/>
            <w:vMerge w:val="continue"/>
            <w:shd w:val="clear" w:color="auto" w:fill="auto"/>
            <w:vAlign w:val="center"/>
          </w:tcPr>
          <w:p w14:paraId="41F14EC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358" w:type="pct"/>
            <w:vMerge w:val="continue"/>
            <w:shd w:val="clear" w:color="auto" w:fill="auto"/>
            <w:vAlign w:val="center"/>
          </w:tcPr>
          <w:p w14:paraId="1B585E2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p>
        </w:tc>
        <w:tc>
          <w:tcPr>
            <w:tcW w:w="358" w:type="pct"/>
            <w:shd w:val="clear" w:color="auto" w:fill="auto"/>
            <w:vAlign w:val="center"/>
          </w:tcPr>
          <w:p w14:paraId="5A58F68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声压级/</w:t>
            </w:r>
            <w:r>
              <w:rPr>
                <w:rFonts w:ascii="Times New Roman" w:hAnsi="Times New Roman" w:eastAsia="宋体" w:cs="Times New Roman"/>
                <w:color w:val="auto"/>
                <w:spacing w:val="0"/>
                <w:kern w:val="0"/>
                <w:sz w:val="21"/>
                <w:szCs w:val="21"/>
                <w:highlight w:val="none"/>
                <w:lang w:val="zh-CN"/>
              </w:rPr>
              <w:t xml:space="preserve"> </w:t>
            </w:r>
            <w:r>
              <w:rPr>
                <w:rFonts w:ascii="Times New Roman" w:hAnsi="Times New Roman" w:eastAsia="宋体" w:cs="Times New Roman"/>
                <w:snapToGrid w:val="0"/>
                <w:color w:val="auto"/>
                <w:spacing w:val="0"/>
                <w:kern w:val="0"/>
                <w:sz w:val="21"/>
                <w:szCs w:val="21"/>
                <w:highlight w:val="none"/>
                <w:lang w:val="zh-CN"/>
              </w:rPr>
              <w:t>dB</w:t>
            </w:r>
            <w:r>
              <w:rPr>
                <w:rFonts w:hint="eastAsia" w:cs="Times New Roman"/>
                <w:snapToGrid w:val="0"/>
                <w:color w:val="auto"/>
                <w:spacing w:val="0"/>
                <w:kern w:val="0"/>
                <w:sz w:val="21"/>
                <w:szCs w:val="21"/>
                <w:highlight w:val="none"/>
                <w:lang w:val="zh-CN"/>
              </w:rPr>
              <w:t>（</w:t>
            </w:r>
            <w:r>
              <w:rPr>
                <w:rFonts w:ascii="Times New Roman" w:hAnsi="Times New Roman" w:eastAsia="宋体" w:cs="Times New Roman"/>
                <w:snapToGrid w:val="0"/>
                <w:color w:val="auto"/>
                <w:spacing w:val="0"/>
                <w:kern w:val="0"/>
                <w:sz w:val="21"/>
                <w:szCs w:val="21"/>
                <w:highlight w:val="none"/>
                <w:lang w:val="zh-CN"/>
              </w:rPr>
              <w:t>A</w:t>
            </w:r>
            <w:r>
              <w:rPr>
                <w:rFonts w:hint="eastAsia" w:cs="Times New Roman"/>
                <w:snapToGrid w:val="0"/>
                <w:color w:val="auto"/>
                <w:spacing w:val="0"/>
                <w:kern w:val="0"/>
                <w:sz w:val="21"/>
                <w:szCs w:val="21"/>
                <w:highlight w:val="none"/>
                <w:lang w:val="zh-CN"/>
              </w:rPr>
              <w:t>）</w:t>
            </w:r>
          </w:p>
        </w:tc>
        <w:tc>
          <w:tcPr>
            <w:tcW w:w="265" w:type="pct"/>
            <w:shd w:val="clear" w:color="auto" w:fill="auto"/>
            <w:vAlign w:val="center"/>
          </w:tcPr>
          <w:p w14:paraId="4C5983F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建筑物外距离</w:t>
            </w:r>
          </w:p>
        </w:tc>
      </w:tr>
      <w:tr w14:paraId="2A91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7" w:type="dxa"/>
            <w:bottom w:w="0" w:type="dxa"/>
            <w:right w:w="17" w:type="dxa"/>
          </w:tblCellMar>
        </w:tblPrEx>
        <w:trPr>
          <w:trHeight w:val="340" w:hRule="atLeast"/>
          <w:jc w:val="center"/>
        </w:trPr>
        <w:tc>
          <w:tcPr>
            <w:tcW w:w="107" w:type="pct"/>
            <w:shd w:val="clear" w:color="auto" w:fill="auto"/>
            <w:vAlign w:val="center"/>
          </w:tcPr>
          <w:p w14:paraId="4F3BD16D">
            <w:pPr>
              <w:adjustRightInd w:val="0"/>
              <w:snapToGrid w:val="0"/>
              <w:jc w:val="center"/>
              <w:rPr>
                <w:rFonts w:ascii="Times New Roman" w:hAnsi="Times New Roman" w:eastAsia="宋体" w:cs="Times New Roman"/>
                <w:snapToGrid w:val="0"/>
                <w:color w:val="auto"/>
                <w:spacing w:val="0"/>
                <w:kern w:val="0"/>
                <w:sz w:val="21"/>
                <w:szCs w:val="21"/>
                <w:highlight w:val="none"/>
              </w:rPr>
            </w:pPr>
            <w:r>
              <w:rPr>
                <w:rFonts w:hint="eastAsia"/>
                <w:color w:val="auto"/>
                <w:kern w:val="0"/>
                <w:szCs w:val="21"/>
                <w:highlight w:val="none"/>
              </w:rPr>
              <w:t>1</w:t>
            </w:r>
          </w:p>
        </w:tc>
        <w:tc>
          <w:tcPr>
            <w:tcW w:w="424" w:type="pct"/>
            <w:shd w:val="clear" w:color="auto" w:fill="auto"/>
            <w:vAlign w:val="center"/>
          </w:tcPr>
          <w:p w14:paraId="2E0A974C">
            <w:pPr>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rPr>
            </w:pPr>
            <w:r>
              <w:rPr>
                <w:rFonts w:hint="eastAsia"/>
                <w:color w:val="auto"/>
                <w:kern w:val="0"/>
                <w:szCs w:val="21"/>
                <w:highlight w:val="none"/>
                <w:lang w:val="en-US" w:eastAsia="zh-CN"/>
              </w:rPr>
              <w:t>发酵</w:t>
            </w:r>
            <w:r>
              <w:rPr>
                <w:rFonts w:hint="eastAsia"/>
                <w:color w:val="auto"/>
                <w:kern w:val="0"/>
                <w:szCs w:val="21"/>
                <w:highlight w:val="none"/>
              </w:rPr>
              <w:t>车间</w:t>
            </w:r>
          </w:p>
        </w:tc>
        <w:tc>
          <w:tcPr>
            <w:tcW w:w="501" w:type="pct"/>
            <w:shd w:val="clear" w:color="auto" w:fill="auto"/>
            <w:vAlign w:val="center"/>
          </w:tcPr>
          <w:p w14:paraId="1E90E35B">
            <w:pPr>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lang w:val="en-US" w:eastAsia="zh-CN"/>
              </w:rPr>
              <w:t>泵类</w:t>
            </w:r>
          </w:p>
        </w:tc>
        <w:tc>
          <w:tcPr>
            <w:tcW w:w="334" w:type="pct"/>
            <w:shd w:val="clear" w:color="auto" w:fill="auto"/>
            <w:vAlign w:val="center"/>
          </w:tcPr>
          <w:p w14:paraId="34075EFE">
            <w:pPr>
              <w:adjustRightInd w:val="0"/>
              <w:snapToGrid w:val="0"/>
              <w:jc w:val="center"/>
              <w:rPr>
                <w:rFonts w:ascii="Times New Roman" w:hAnsi="Times New Roman" w:eastAsia="宋体" w:cs="Times New Roman"/>
                <w:snapToGrid w:val="0"/>
                <w:color w:val="auto"/>
                <w:spacing w:val="0"/>
                <w:kern w:val="0"/>
                <w:sz w:val="21"/>
                <w:szCs w:val="21"/>
                <w:highlight w:val="none"/>
              </w:rPr>
            </w:pPr>
            <w:r>
              <w:rPr>
                <w:rFonts w:hint="eastAsia"/>
                <w:color w:val="auto"/>
                <w:kern w:val="0"/>
                <w:szCs w:val="21"/>
                <w:highlight w:val="none"/>
              </w:rPr>
              <w:t>85</w:t>
            </w:r>
          </w:p>
        </w:tc>
        <w:tc>
          <w:tcPr>
            <w:tcW w:w="268" w:type="pct"/>
            <w:shd w:val="clear" w:color="auto" w:fill="auto"/>
            <w:vAlign w:val="center"/>
          </w:tcPr>
          <w:p w14:paraId="40DACDE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1</w:t>
            </w:r>
          </w:p>
        </w:tc>
        <w:tc>
          <w:tcPr>
            <w:tcW w:w="657" w:type="pct"/>
            <w:shd w:val="clear" w:color="auto" w:fill="auto"/>
            <w:vAlign w:val="center"/>
          </w:tcPr>
          <w:p w14:paraId="3C47B55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厂房隔声</w:t>
            </w:r>
            <w:r>
              <w:rPr>
                <w:rFonts w:hint="eastAsia" w:ascii="Times New Roman" w:hAnsi="Times New Roman" w:eastAsia="宋体" w:cs="Times New Roman"/>
                <w:color w:val="auto"/>
                <w:spacing w:val="0"/>
                <w:kern w:val="0"/>
                <w:sz w:val="21"/>
                <w:szCs w:val="21"/>
                <w:highlight w:val="none"/>
              </w:rPr>
              <w:t>+减振基础</w:t>
            </w:r>
          </w:p>
        </w:tc>
        <w:tc>
          <w:tcPr>
            <w:tcW w:w="195" w:type="pct"/>
            <w:shd w:val="clear" w:color="auto" w:fill="auto"/>
            <w:vAlign w:val="center"/>
          </w:tcPr>
          <w:p w14:paraId="2BAD74B9">
            <w:pPr>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-356</w:t>
            </w:r>
          </w:p>
        </w:tc>
        <w:tc>
          <w:tcPr>
            <w:tcW w:w="195" w:type="pct"/>
            <w:shd w:val="clear" w:color="auto" w:fill="auto"/>
            <w:vAlign w:val="center"/>
          </w:tcPr>
          <w:p w14:paraId="4B593D64">
            <w:pPr>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-312</w:t>
            </w:r>
          </w:p>
        </w:tc>
        <w:tc>
          <w:tcPr>
            <w:tcW w:w="211" w:type="pct"/>
            <w:shd w:val="clear" w:color="auto" w:fill="auto"/>
            <w:vAlign w:val="center"/>
          </w:tcPr>
          <w:p w14:paraId="65171FAB">
            <w:pPr>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rPr>
              <w:t>1.2</w:t>
            </w:r>
          </w:p>
        </w:tc>
        <w:tc>
          <w:tcPr>
            <w:tcW w:w="305" w:type="pct"/>
            <w:shd w:val="clear" w:color="auto" w:fill="auto"/>
            <w:vAlign w:val="center"/>
          </w:tcPr>
          <w:p w14:paraId="5105C0E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5</w:t>
            </w:r>
          </w:p>
        </w:tc>
        <w:tc>
          <w:tcPr>
            <w:tcW w:w="409" w:type="pct"/>
            <w:shd w:val="clear" w:color="auto" w:fill="auto"/>
            <w:vAlign w:val="center"/>
          </w:tcPr>
          <w:p w14:paraId="1F646042">
            <w:pPr>
              <w:adjustRightInd w:val="0"/>
              <w:snapToGrid w:val="0"/>
              <w:jc w:val="center"/>
              <w:rPr>
                <w:rFonts w:ascii="Times New Roman" w:hAnsi="Times New Roman" w:eastAsia="宋体" w:cs="Times New Roman"/>
                <w:snapToGrid w:val="0"/>
                <w:color w:val="auto"/>
                <w:spacing w:val="0"/>
                <w:kern w:val="0"/>
                <w:sz w:val="21"/>
                <w:szCs w:val="21"/>
                <w:highlight w:val="none"/>
                <w:lang w:val="en-US" w:eastAsia="zh-CN" w:bidi="ar-SA"/>
              </w:rPr>
            </w:pPr>
            <w:r>
              <w:rPr>
                <w:rFonts w:hint="eastAsia"/>
                <w:color w:val="auto"/>
                <w:kern w:val="0"/>
                <w:szCs w:val="21"/>
                <w:highlight w:val="none"/>
              </w:rPr>
              <w:t>85</w:t>
            </w:r>
          </w:p>
        </w:tc>
        <w:tc>
          <w:tcPr>
            <w:tcW w:w="409" w:type="pct"/>
            <w:shd w:val="clear" w:color="auto" w:fill="auto"/>
            <w:vAlign w:val="center"/>
          </w:tcPr>
          <w:p w14:paraId="3E45705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昼间、夜间</w:t>
            </w:r>
          </w:p>
        </w:tc>
        <w:tc>
          <w:tcPr>
            <w:tcW w:w="358" w:type="pct"/>
            <w:shd w:val="clear" w:color="auto" w:fill="auto"/>
            <w:vAlign w:val="center"/>
          </w:tcPr>
          <w:p w14:paraId="42AED84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20</w:t>
            </w:r>
          </w:p>
        </w:tc>
        <w:tc>
          <w:tcPr>
            <w:tcW w:w="358" w:type="pct"/>
            <w:shd w:val="clear" w:color="auto" w:fill="auto"/>
            <w:vAlign w:val="center"/>
          </w:tcPr>
          <w:p w14:paraId="5BF06A1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imes New Roman" w:hAnsi="Times New Roman" w:eastAsia="宋体" w:cs="Times New Roman"/>
                <w:snapToGrid w:val="0"/>
                <w:color w:val="auto"/>
                <w:spacing w:val="0"/>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65</w:t>
            </w:r>
          </w:p>
        </w:tc>
        <w:tc>
          <w:tcPr>
            <w:tcW w:w="265" w:type="pct"/>
            <w:shd w:val="clear" w:color="auto" w:fill="auto"/>
            <w:vAlign w:val="center"/>
          </w:tcPr>
          <w:p w14:paraId="3A52D0A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1m</w:t>
            </w:r>
          </w:p>
        </w:tc>
      </w:tr>
      <w:tr w14:paraId="4ECC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340" w:hRule="atLeast"/>
          <w:jc w:val="center"/>
        </w:trPr>
        <w:tc>
          <w:tcPr>
            <w:tcW w:w="107" w:type="pct"/>
            <w:shd w:val="clear" w:color="auto" w:fill="auto"/>
            <w:vAlign w:val="center"/>
          </w:tcPr>
          <w:p w14:paraId="52110AD9">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color w:val="auto"/>
                <w:kern w:val="0"/>
                <w:szCs w:val="21"/>
                <w:highlight w:val="none"/>
              </w:rPr>
              <w:t>2</w:t>
            </w:r>
          </w:p>
        </w:tc>
        <w:tc>
          <w:tcPr>
            <w:tcW w:w="424" w:type="pct"/>
            <w:vMerge w:val="restart"/>
            <w:shd w:val="clear" w:color="auto" w:fill="auto"/>
            <w:vAlign w:val="center"/>
          </w:tcPr>
          <w:p w14:paraId="56D6A648">
            <w:pPr>
              <w:adjustRightInd w:val="0"/>
              <w:snapToGrid w:val="0"/>
              <w:jc w:val="center"/>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lang w:val="en-US" w:eastAsia="zh-CN"/>
              </w:rPr>
              <w:t>提取车间</w:t>
            </w:r>
          </w:p>
        </w:tc>
        <w:tc>
          <w:tcPr>
            <w:tcW w:w="501" w:type="pct"/>
            <w:shd w:val="clear" w:color="auto" w:fill="auto"/>
            <w:vAlign w:val="center"/>
          </w:tcPr>
          <w:p w14:paraId="7CBA4F68">
            <w:pPr>
              <w:widowControl/>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ascii="宋体" w:hAnsi="宋体" w:cs="Calibri"/>
                <w:color w:val="auto"/>
                <w:szCs w:val="21"/>
                <w:highlight w:val="none"/>
              </w:rPr>
              <w:t>风机</w:t>
            </w:r>
          </w:p>
        </w:tc>
        <w:tc>
          <w:tcPr>
            <w:tcW w:w="334" w:type="pct"/>
            <w:shd w:val="clear" w:color="auto" w:fill="auto"/>
            <w:vAlign w:val="center"/>
          </w:tcPr>
          <w:p w14:paraId="54B33D15">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color w:val="auto"/>
                <w:szCs w:val="21"/>
                <w:highlight w:val="none"/>
              </w:rPr>
              <w:t>85~105</w:t>
            </w:r>
          </w:p>
        </w:tc>
        <w:tc>
          <w:tcPr>
            <w:tcW w:w="268" w:type="pct"/>
            <w:shd w:val="clear" w:color="auto" w:fill="auto"/>
            <w:vAlign w:val="center"/>
          </w:tcPr>
          <w:p w14:paraId="59210C3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1</w:t>
            </w:r>
          </w:p>
        </w:tc>
        <w:tc>
          <w:tcPr>
            <w:tcW w:w="657" w:type="pct"/>
            <w:shd w:val="clear" w:color="auto" w:fill="auto"/>
            <w:vAlign w:val="center"/>
          </w:tcPr>
          <w:p w14:paraId="3B2DE0E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厂房隔声</w:t>
            </w:r>
            <w:r>
              <w:rPr>
                <w:rFonts w:hint="eastAsia" w:ascii="Times New Roman" w:hAnsi="Times New Roman" w:eastAsia="宋体" w:cs="Times New Roman"/>
                <w:color w:val="auto"/>
                <w:spacing w:val="0"/>
                <w:kern w:val="0"/>
                <w:sz w:val="21"/>
                <w:szCs w:val="21"/>
                <w:highlight w:val="none"/>
              </w:rPr>
              <w:t>+减振基础</w:t>
            </w:r>
          </w:p>
        </w:tc>
        <w:tc>
          <w:tcPr>
            <w:tcW w:w="546" w:type="dxa"/>
            <w:shd w:val="clear" w:color="auto" w:fill="auto"/>
            <w:vAlign w:val="center"/>
          </w:tcPr>
          <w:p w14:paraId="552FF8DE">
            <w:pPr>
              <w:adjustRightInd w:val="0"/>
              <w:snapToGrid w:val="0"/>
              <w:jc w:val="center"/>
              <w:rPr>
                <w:rFonts w:hint="eastAsia" w:ascii="Times New Roman" w:hAnsi="Times New Roman" w:eastAsia="宋体" w:cs="Times New Roman"/>
                <w:color w:val="auto"/>
                <w:spacing w:val="0"/>
                <w:kern w:val="0"/>
                <w:sz w:val="21"/>
                <w:szCs w:val="21"/>
                <w:highlight w:val="none"/>
              </w:rPr>
            </w:pPr>
            <w:r>
              <w:rPr>
                <w:rFonts w:hint="eastAsia" w:cs="Times New Roman"/>
                <w:snapToGrid w:val="0"/>
                <w:color w:val="auto"/>
                <w:spacing w:val="0"/>
                <w:kern w:val="0"/>
                <w:sz w:val="21"/>
                <w:szCs w:val="21"/>
                <w:highlight w:val="none"/>
                <w:lang w:val="en-US" w:eastAsia="zh-CN"/>
              </w:rPr>
              <w:t>-375</w:t>
            </w:r>
          </w:p>
        </w:tc>
        <w:tc>
          <w:tcPr>
            <w:tcW w:w="546" w:type="dxa"/>
            <w:shd w:val="clear" w:color="auto" w:fill="auto"/>
            <w:vAlign w:val="center"/>
          </w:tcPr>
          <w:p w14:paraId="046A6E81">
            <w:pPr>
              <w:adjustRightInd w:val="0"/>
              <w:snapToGrid w:val="0"/>
              <w:jc w:val="center"/>
              <w:rPr>
                <w:rFonts w:hint="eastAsia" w:ascii="Times New Roman" w:hAnsi="Times New Roman" w:eastAsia="宋体" w:cs="Times New Roman"/>
                <w:color w:val="auto"/>
                <w:spacing w:val="0"/>
                <w:kern w:val="0"/>
                <w:sz w:val="21"/>
                <w:szCs w:val="21"/>
                <w:highlight w:val="none"/>
              </w:rPr>
            </w:pPr>
            <w:r>
              <w:rPr>
                <w:rFonts w:hint="eastAsia" w:cs="Times New Roman"/>
                <w:snapToGrid w:val="0"/>
                <w:color w:val="auto"/>
                <w:spacing w:val="0"/>
                <w:kern w:val="0"/>
                <w:sz w:val="21"/>
                <w:szCs w:val="21"/>
                <w:highlight w:val="none"/>
                <w:lang w:val="en-US" w:eastAsia="zh-CN"/>
              </w:rPr>
              <w:t>-249</w:t>
            </w:r>
          </w:p>
        </w:tc>
        <w:tc>
          <w:tcPr>
            <w:tcW w:w="211" w:type="pct"/>
            <w:shd w:val="clear" w:color="auto" w:fill="auto"/>
            <w:vAlign w:val="center"/>
          </w:tcPr>
          <w:p w14:paraId="28DE5C56">
            <w:pPr>
              <w:adjustRightInd w:val="0"/>
              <w:snapToGrid w:val="0"/>
              <w:jc w:val="center"/>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rPr>
              <w:t>1.2</w:t>
            </w:r>
          </w:p>
        </w:tc>
        <w:tc>
          <w:tcPr>
            <w:tcW w:w="305" w:type="pct"/>
            <w:shd w:val="clear" w:color="auto" w:fill="auto"/>
            <w:vAlign w:val="center"/>
          </w:tcPr>
          <w:p w14:paraId="43E9FB3E">
            <w:pPr>
              <w:keepNext w:val="0"/>
              <w:keepLines w:val="0"/>
              <w:pageBreakBefore w:val="0"/>
              <w:widowControl/>
              <w:kinsoku/>
              <w:wordWrap/>
              <w:overflowPunct/>
              <w:topLinePunct w:val="0"/>
              <w:autoSpaceDE/>
              <w:autoSpaceDN/>
              <w:bidi w:val="0"/>
              <w:adjustRightInd w:val="0"/>
              <w:snapToGrid w:val="0"/>
              <w:ind w:left="0" w:leftChars="0" w:right="0" w:rightChars="0"/>
              <w:jc w:val="center"/>
              <w:textAlignment w:val="baseline"/>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8</w:t>
            </w:r>
          </w:p>
        </w:tc>
        <w:tc>
          <w:tcPr>
            <w:tcW w:w="409" w:type="pct"/>
            <w:shd w:val="clear" w:color="auto" w:fill="auto"/>
            <w:vAlign w:val="center"/>
          </w:tcPr>
          <w:p w14:paraId="644389A6">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color w:val="auto"/>
                <w:szCs w:val="21"/>
                <w:highlight w:val="none"/>
              </w:rPr>
              <w:t>85~105</w:t>
            </w:r>
          </w:p>
        </w:tc>
        <w:tc>
          <w:tcPr>
            <w:tcW w:w="409" w:type="pct"/>
            <w:shd w:val="clear" w:color="auto" w:fill="auto"/>
            <w:vAlign w:val="center"/>
          </w:tcPr>
          <w:p w14:paraId="784DAD9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昼间、夜间</w:t>
            </w:r>
          </w:p>
        </w:tc>
        <w:tc>
          <w:tcPr>
            <w:tcW w:w="358" w:type="pct"/>
            <w:shd w:val="clear" w:color="auto" w:fill="auto"/>
            <w:vAlign w:val="center"/>
          </w:tcPr>
          <w:p w14:paraId="16FA4F6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20</w:t>
            </w:r>
          </w:p>
        </w:tc>
        <w:tc>
          <w:tcPr>
            <w:tcW w:w="358" w:type="pct"/>
            <w:shd w:val="clear" w:color="auto" w:fill="auto"/>
            <w:vAlign w:val="center"/>
          </w:tcPr>
          <w:p w14:paraId="5C741CB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65~85</w:t>
            </w:r>
          </w:p>
        </w:tc>
        <w:tc>
          <w:tcPr>
            <w:tcW w:w="265" w:type="pct"/>
            <w:shd w:val="clear" w:color="auto" w:fill="auto"/>
            <w:vAlign w:val="center"/>
          </w:tcPr>
          <w:p w14:paraId="6667798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1m</w:t>
            </w:r>
          </w:p>
        </w:tc>
      </w:tr>
      <w:tr w14:paraId="2D24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340" w:hRule="atLeast"/>
          <w:jc w:val="center"/>
        </w:trPr>
        <w:tc>
          <w:tcPr>
            <w:tcW w:w="107" w:type="pct"/>
            <w:shd w:val="clear" w:color="auto" w:fill="auto"/>
            <w:vAlign w:val="center"/>
          </w:tcPr>
          <w:p w14:paraId="24156B8C">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color w:val="auto"/>
                <w:kern w:val="0"/>
                <w:szCs w:val="21"/>
                <w:highlight w:val="none"/>
              </w:rPr>
              <w:t>3</w:t>
            </w:r>
          </w:p>
        </w:tc>
        <w:tc>
          <w:tcPr>
            <w:tcW w:w="424" w:type="pct"/>
            <w:vMerge w:val="continue"/>
            <w:shd w:val="clear" w:color="auto" w:fill="auto"/>
            <w:vAlign w:val="center"/>
          </w:tcPr>
          <w:p w14:paraId="16657601">
            <w:pPr>
              <w:adjustRightInd w:val="0"/>
              <w:snapToGrid w:val="0"/>
              <w:jc w:val="center"/>
              <w:rPr>
                <w:rFonts w:ascii="Times New Roman" w:hAnsi="Times New Roman" w:eastAsia="宋体" w:cs="Times New Roman"/>
                <w:snapToGrid w:val="0"/>
                <w:color w:val="auto"/>
                <w:spacing w:val="0"/>
                <w:kern w:val="0"/>
                <w:sz w:val="21"/>
                <w:szCs w:val="21"/>
                <w:highlight w:val="none"/>
              </w:rPr>
            </w:pPr>
          </w:p>
        </w:tc>
        <w:tc>
          <w:tcPr>
            <w:tcW w:w="501" w:type="pct"/>
            <w:shd w:val="clear" w:color="auto" w:fill="auto"/>
            <w:vAlign w:val="center"/>
          </w:tcPr>
          <w:p w14:paraId="755EEE02">
            <w:pPr>
              <w:widowControl/>
              <w:adjustRightInd w:val="0"/>
              <w:snapToGrid w:val="0"/>
              <w:jc w:val="center"/>
              <w:rPr>
                <w:rFonts w:ascii="Times New Roman" w:hAnsi="Times New Roman" w:eastAsia="宋体" w:cs="Times New Roman"/>
                <w:snapToGrid w:val="0"/>
                <w:color w:val="auto"/>
                <w:spacing w:val="0"/>
                <w:kern w:val="0"/>
                <w:sz w:val="21"/>
                <w:szCs w:val="21"/>
                <w:highlight w:val="none"/>
              </w:rPr>
            </w:pPr>
            <w:r>
              <w:rPr>
                <w:rFonts w:hint="eastAsia" w:ascii="宋体" w:hAnsi="宋体" w:cs="Calibri"/>
                <w:color w:val="auto"/>
                <w:szCs w:val="21"/>
                <w:highlight w:val="none"/>
              </w:rPr>
              <w:t>离心机</w:t>
            </w:r>
          </w:p>
        </w:tc>
        <w:tc>
          <w:tcPr>
            <w:tcW w:w="334" w:type="pct"/>
            <w:shd w:val="clear" w:color="auto" w:fill="auto"/>
            <w:vAlign w:val="center"/>
          </w:tcPr>
          <w:p w14:paraId="41D002F4">
            <w:pPr>
              <w:adjustRightInd w:val="0"/>
              <w:snapToGrid w:val="0"/>
              <w:jc w:val="center"/>
              <w:rPr>
                <w:rFonts w:hint="eastAsia" w:ascii="Times New Roman" w:hAnsi="Times New Roman" w:eastAsia="宋体" w:cs="Times New Roman"/>
                <w:color w:val="auto"/>
                <w:spacing w:val="0"/>
                <w:kern w:val="0"/>
                <w:sz w:val="21"/>
                <w:szCs w:val="21"/>
                <w:highlight w:val="none"/>
              </w:rPr>
            </w:pPr>
            <w:r>
              <w:rPr>
                <w:color w:val="auto"/>
                <w:szCs w:val="21"/>
                <w:highlight w:val="none"/>
              </w:rPr>
              <w:t>90</w:t>
            </w:r>
            <w:r>
              <w:rPr>
                <w:rFonts w:hint="eastAsia" w:ascii="宋体" w:hAnsi="宋体" w:cs="Calibri"/>
                <w:color w:val="auto"/>
                <w:szCs w:val="21"/>
                <w:highlight w:val="none"/>
              </w:rPr>
              <w:t>～</w:t>
            </w:r>
            <w:r>
              <w:rPr>
                <w:color w:val="auto"/>
                <w:szCs w:val="21"/>
                <w:highlight w:val="none"/>
              </w:rPr>
              <w:t>110</w:t>
            </w:r>
          </w:p>
        </w:tc>
        <w:tc>
          <w:tcPr>
            <w:tcW w:w="268" w:type="pct"/>
            <w:shd w:val="clear" w:color="auto" w:fill="auto"/>
            <w:vAlign w:val="center"/>
          </w:tcPr>
          <w:p w14:paraId="5B02714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1</w:t>
            </w:r>
          </w:p>
        </w:tc>
        <w:tc>
          <w:tcPr>
            <w:tcW w:w="657" w:type="pct"/>
            <w:shd w:val="clear" w:color="auto" w:fill="auto"/>
            <w:vAlign w:val="center"/>
          </w:tcPr>
          <w:p w14:paraId="41ABA19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厂房隔声</w:t>
            </w:r>
            <w:r>
              <w:rPr>
                <w:rFonts w:hint="eastAsia" w:ascii="Times New Roman" w:hAnsi="Times New Roman" w:eastAsia="宋体" w:cs="Times New Roman"/>
                <w:color w:val="auto"/>
                <w:spacing w:val="0"/>
                <w:kern w:val="0"/>
                <w:sz w:val="21"/>
                <w:szCs w:val="21"/>
                <w:highlight w:val="none"/>
              </w:rPr>
              <w:t>+减振基础</w:t>
            </w:r>
          </w:p>
        </w:tc>
        <w:tc>
          <w:tcPr>
            <w:tcW w:w="195" w:type="pct"/>
            <w:shd w:val="clear" w:color="auto" w:fill="auto"/>
            <w:vAlign w:val="center"/>
          </w:tcPr>
          <w:p w14:paraId="40AB024F">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-359</w:t>
            </w:r>
          </w:p>
        </w:tc>
        <w:tc>
          <w:tcPr>
            <w:tcW w:w="195" w:type="pct"/>
            <w:shd w:val="clear" w:color="auto" w:fill="auto"/>
            <w:vAlign w:val="center"/>
          </w:tcPr>
          <w:p w14:paraId="6840ED9A">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-247</w:t>
            </w:r>
          </w:p>
        </w:tc>
        <w:tc>
          <w:tcPr>
            <w:tcW w:w="211" w:type="pct"/>
            <w:shd w:val="clear" w:color="auto" w:fill="auto"/>
            <w:vAlign w:val="center"/>
          </w:tcPr>
          <w:p w14:paraId="44C1215C">
            <w:pPr>
              <w:adjustRightInd w:val="0"/>
              <w:snapToGrid w:val="0"/>
              <w:jc w:val="center"/>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rPr>
              <w:t>1.2</w:t>
            </w:r>
          </w:p>
        </w:tc>
        <w:tc>
          <w:tcPr>
            <w:tcW w:w="305" w:type="pct"/>
            <w:shd w:val="clear" w:color="auto" w:fill="auto"/>
            <w:vAlign w:val="center"/>
          </w:tcPr>
          <w:p w14:paraId="09B10AFF">
            <w:pPr>
              <w:keepNext w:val="0"/>
              <w:keepLines w:val="0"/>
              <w:pageBreakBefore w:val="0"/>
              <w:widowControl/>
              <w:kinsoku/>
              <w:wordWrap/>
              <w:overflowPunct/>
              <w:topLinePunct w:val="0"/>
              <w:autoSpaceDE/>
              <w:autoSpaceDN/>
              <w:bidi w:val="0"/>
              <w:adjustRightInd w:val="0"/>
              <w:snapToGrid w:val="0"/>
              <w:ind w:left="0" w:leftChars="0" w:right="0" w:rightChars="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16</w:t>
            </w:r>
          </w:p>
        </w:tc>
        <w:tc>
          <w:tcPr>
            <w:tcW w:w="409" w:type="pct"/>
            <w:shd w:val="clear" w:color="auto" w:fill="auto"/>
            <w:vAlign w:val="center"/>
          </w:tcPr>
          <w:p w14:paraId="04156E09">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color w:val="auto"/>
                <w:szCs w:val="21"/>
                <w:highlight w:val="none"/>
              </w:rPr>
              <w:t>90</w:t>
            </w:r>
            <w:r>
              <w:rPr>
                <w:rFonts w:hint="eastAsia" w:ascii="宋体" w:hAnsi="宋体" w:cs="Calibri"/>
                <w:color w:val="auto"/>
                <w:szCs w:val="21"/>
                <w:highlight w:val="none"/>
              </w:rPr>
              <w:t>～</w:t>
            </w:r>
            <w:r>
              <w:rPr>
                <w:color w:val="auto"/>
                <w:szCs w:val="21"/>
                <w:highlight w:val="none"/>
              </w:rPr>
              <w:t>110</w:t>
            </w:r>
          </w:p>
        </w:tc>
        <w:tc>
          <w:tcPr>
            <w:tcW w:w="409" w:type="pct"/>
            <w:shd w:val="clear" w:color="auto" w:fill="auto"/>
            <w:vAlign w:val="center"/>
          </w:tcPr>
          <w:p w14:paraId="69C2D7C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昼间、夜间</w:t>
            </w:r>
          </w:p>
        </w:tc>
        <w:tc>
          <w:tcPr>
            <w:tcW w:w="358" w:type="pct"/>
            <w:shd w:val="clear" w:color="auto" w:fill="auto"/>
            <w:vAlign w:val="center"/>
          </w:tcPr>
          <w:p w14:paraId="7FFD9FB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20</w:t>
            </w:r>
          </w:p>
        </w:tc>
        <w:tc>
          <w:tcPr>
            <w:tcW w:w="358" w:type="pct"/>
            <w:shd w:val="clear" w:color="auto" w:fill="auto"/>
            <w:vAlign w:val="center"/>
          </w:tcPr>
          <w:p w14:paraId="5954C96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70~90</w:t>
            </w:r>
          </w:p>
        </w:tc>
        <w:tc>
          <w:tcPr>
            <w:tcW w:w="265" w:type="pct"/>
            <w:shd w:val="clear" w:color="auto" w:fill="auto"/>
            <w:vAlign w:val="center"/>
          </w:tcPr>
          <w:p w14:paraId="0C2652C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1m</w:t>
            </w:r>
          </w:p>
        </w:tc>
      </w:tr>
      <w:tr w14:paraId="049B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7" w:type="dxa"/>
            <w:bottom w:w="0" w:type="dxa"/>
            <w:right w:w="17" w:type="dxa"/>
          </w:tblCellMar>
        </w:tblPrEx>
        <w:trPr>
          <w:trHeight w:val="340" w:hRule="atLeast"/>
          <w:jc w:val="center"/>
        </w:trPr>
        <w:tc>
          <w:tcPr>
            <w:tcW w:w="107" w:type="pct"/>
            <w:shd w:val="clear" w:color="auto" w:fill="auto"/>
            <w:vAlign w:val="center"/>
          </w:tcPr>
          <w:p w14:paraId="4B9D4503">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olor w:val="auto"/>
                <w:kern w:val="0"/>
                <w:szCs w:val="21"/>
                <w:highlight w:val="none"/>
              </w:rPr>
              <w:t>4</w:t>
            </w:r>
          </w:p>
        </w:tc>
        <w:tc>
          <w:tcPr>
            <w:tcW w:w="424" w:type="pct"/>
            <w:shd w:val="clear" w:color="auto" w:fill="auto"/>
            <w:vAlign w:val="center"/>
          </w:tcPr>
          <w:p w14:paraId="3F90B9B5">
            <w:pPr>
              <w:adjustRightInd w:val="0"/>
              <w:snapToGrid w:val="0"/>
              <w:jc w:val="center"/>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lang w:val="en-US" w:eastAsia="zh-CN"/>
              </w:rPr>
              <w:t>空分</w:t>
            </w:r>
          </w:p>
        </w:tc>
        <w:tc>
          <w:tcPr>
            <w:tcW w:w="501" w:type="pct"/>
            <w:shd w:val="clear" w:color="auto" w:fill="auto"/>
            <w:vAlign w:val="center"/>
          </w:tcPr>
          <w:p w14:paraId="134DB74B">
            <w:pPr>
              <w:widowControl/>
              <w:adjustRightInd w:val="0"/>
              <w:snapToGrid w:val="0"/>
              <w:jc w:val="center"/>
              <w:rPr>
                <w:rFonts w:ascii="Times New Roman" w:hAnsi="Times New Roman" w:eastAsia="宋体" w:cs="Times New Roman"/>
                <w:snapToGrid w:val="0"/>
                <w:color w:val="auto"/>
                <w:spacing w:val="0"/>
                <w:kern w:val="0"/>
                <w:sz w:val="21"/>
                <w:szCs w:val="21"/>
                <w:highlight w:val="none"/>
              </w:rPr>
            </w:pPr>
            <w:r>
              <w:rPr>
                <w:rFonts w:hint="eastAsia" w:ascii="宋体" w:hAnsi="宋体" w:cs="Calibri"/>
                <w:color w:val="auto"/>
                <w:szCs w:val="21"/>
                <w:highlight w:val="none"/>
              </w:rPr>
              <w:t>空压机</w:t>
            </w:r>
          </w:p>
        </w:tc>
        <w:tc>
          <w:tcPr>
            <w:tcW w:w="334" w:type="pct"/>
            <w:shd w:val="clear" w:color="auto" w:fill="auto"/>
            <w:vAlign w:val="center"/>
          </w:tcPr>
          <w:p w14:paraId="324259FC">
            <w:pPr>
              <w:widowControl/>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color w:val="auto"/>
                <w:szCs w:val="21"/>
                <w:highlight w:val="none"/>
              </w:rPr>
              <w:t>100</w:t>
            </w:r>
            <w:r>
              <w:rPr>
                <w:rFonts w:hint="eastAsia" w:ascii="宋体" w:hAnsi="宋体" w:cs="Calibri"/>
                <w:color w:val="auto"/>
                <w:szCs w:val="21"/>
                <w:highlight w:val="none"/>
              </w:rPr>
              <w:t>～</w:t>
            </w:r>
            <w:r>
              <w:rPr>
                <w:color w:val="auto"/>
                <w:szCs w:val="21"/>
                <w:highlight w:val="none"/>
              </w:rPr>
              <w:t>150</w:t>
            </w:r>
          </w:p>
        </w:tc>
        <w:tc>
          <w:tcPr>
            <w:tcW w:w="268" w:type="pct"/>
            <w:shd w:val="clear" w:color="auto" w:fill="auto"/>
            <w:vAlign w:val="center"/>
          </w:tcPr>
          <w:p w14:paraId="2B0EA6D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1</w:t>
            </w:r>
          </w:p>
        </w:tc>
        <w:tc>
          <w:tcPr>
            <w:tcW w:w="657" w:type="pct"/>
            <w:shd w:val="clear" w:color="auto" w:fill="auto"/>
            <w:vAlign w:val="center"/>
          </w:tcPr>
          <w:p w14:paraId="7405467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厂房隔声</w:t>
            </w:r>
            <w:r>
              <w:rPr>
                <w:rFonts w:hint="eastAsia" w:ascii="Times New Roman" w:hAnsi="Times New Roman" w:eastAsia="宋体" w:cs="Times New Roman"/>
                <w:color w:val="auto"/>
                <w:spacing w:val="0"/>
                <w:kern w:val="0"/>
                <w:sz w:val="21"/>
                <w:szCs w:val="21"/>
                <w:highlight w:val="none"/>
              </w:rPr>
              <w:t>+减振基础</w:t>
            </w:r>
          </w:p>
        </w:tc>
        <w:tc>
          <w:tcPr>
            <w:tcW w:w="195" w:type="pct"/>
            <w:shd w:val="clear" w:color="auto" w:fill="auto"/>
            <w:vAlign w:val="center"/>
          </w:tcPr>
          <w:p w14:paraId="0AEEFC5A">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-111</w:t>
            </w:r>
          </w:p>
        </w:tc>
        <w:tc>
          <w:tcPr>
            <w:tcW w:w="195" w:type="pct"/>
            <w:shd w:val="clear" w:color="auto" w:fill="auto"/>
            <w:vAlign w:val="center"/>
          </w:tcPr>
          <w:p w14:paraId="5D894D68">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-185</w:t>
            </w:r>
          </w:p>
        </w:tc>
        <w:tc>
          <w:tcPr>
            <w:tcW w:w="211" w:type="pct"/>
            <w:shd w:val="clear" w:color="auto" w:fill="auto"/>
            <w:vAlign w:val="center"/>
          </w:tcPr>
          <w:p w14:paraId="67F7A76F">
            <w:pPr>
              <w:adjustRightInd w:val="0"/>
              <w:snapToGrid w:val="0"/>
              <w:jc w:val="center"/>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rPr>
              <w:t>1.2</w:t>
            </w:r>
          </w:p>
        </w:tc>
        <w:tc>
          <w:tcPr>
            <w:tcW w:w="305" w:type="pct"/>
            <w:shd w:val="clear" w:color="auto" w:fill="auto"/>
            <w:vAlign w:val="center"/>
          </w:tcPr>
          <w:p w14:paraId="2222F3BF">
            <w:pPr>
              <w:keepNext w:val="0"/>
              <w:keepLines w:val="0"/>
              <w:pageBreakBefore w:val="0"/>
              <w:widowControl/>
              <w:kinsoku/>
              <w:wordWrap/>
              <w:overflowPunct/>
              <w:topLinePunct w:val="0"/>
              <w:autoSpaceDE/>
              <w:autoSpaceDN/>
              <w:bidi w:val="0"/>
              <w:adjustRightInd w:val="0"/>
              <w:snapToGrid w:val="0"/>
              <w:ind w:left="0" w:leftChars="0" w:right="0" w:rightChars="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6</w:t>
            </w:r>
          </w:p>
        </w:tc>
        <w:tc>
          <w:tcPr>
            <w:tcW w:w="409" w:type="pct"/>
            <w:shd w:val="clear" w:color="auto" w:fill="auto"/>
            <w:vAlign w:val="center"/>
          </w:tcPr>
          <w:p w14:paraId="4F523ECC">
            <w:pPr>
              <w:widowControl/>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color w:val="auto"/>
                <w:szCs w:val="21"/>
                <w:highlight w:val="none"/>
              </w:rPr>
              <w:t>100</w:t>
            </w:r>
            <w:r>
              <w:rPr>
                <w:rFonts w:hint="eastAsia" w:ascii="宋体" w:hAnsi="宋体" w:cs="Calibri"/>
                <w:color w:val="auto"/>
                <w:szCs w:val="21"/>
                <w:highlight w:val="none"/>
              </w:rPr>
              <w:t>～</w:t>
            </w:r>
            <w:r>
              <w:rPr>
                <w:color w:val="auto"/>
                <w:szCs w:val="21"/>
                <w:highlight w:val="none"/>
              </w:rPr>
              <w:t>150</w:t>
            </w:r>
          </w:p>
        </w:tc>
        <w:tc>
          <w:tcPr>
            <w:tcW w:w="409" w:type="pct"/>
            <w:shd w:val="clear" w:color="auto" w:fill="auto"/>
            <w:vAlign w:val="center"/>
          </w:tcPr>
          <w:p w14:paraId="3D2FBB1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昼间、夜间</w:t>
            </w:r>
          </w:p>
        </w:tc>
        <w:tc>
          <w:tcPr>
            <w:tcW w:w="358" w:type="pct"/>
            <w:shd w:val="clear" w:color="auto" w:fill="auto"/>
            <w:vAlign w:val="center"/>
          </w:tcPr>
          <w:p w14:paraId="17B0663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20</w:t>
            </w:r>
          </w:p>
        </w:tc>
        <w:tc>
          <w:tcPr>
            <w:tcW w:w="358" w:type="pct"/>
            <w:shd w:val="clear" w:color="auto" w:fill="auto"/>
            <w:vAlign w:val="center"/>
          </w:tcPr>
          <w:p w14:paraId="2B3D295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80~130</w:t>
            </w:r>
          </w:p>
        </w:tc>
        <w:tc>
          <w:tcPr>
            <w:tcW w:w="265" w:type="pct"/>
            <w:shd w:val="clear" w:color="auto" w:fill="auto"/>
            <w:vAlign w:val="center"/>
          </w:tcPr>
          <w:p w14:paraId="48E0C19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1m</w:t>
            </w:r>
          </w:p>
        </w:tc>
      </w:tr>
      <w:tr w14:paraId="42F9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7" w:type="dxa"/>
            <w:bottom w:w="0" w:type="dxa"/>
            <w:right w:w="17" w:type="dxa"/>
          </w:tblCellMar>
        </w:tblPrEx>
        <w:trPr>
          <w:trHeight w:val="340" w:hRule="atLeast"/>
          <w:jc w:val="center"/>
        </w:trPr>
        <w:tc>
          <w:tcPr>
            <w:tcW w:w="107" w:type="pct"/>
            <w:shd w:val="clear" w:color="auto" w:fill="auto"/>
            <w:vAlign w:val="center"/>
          </w:tcPr>
          <w:p w14:paraId="22B7E61E">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olor w:val="auto"/>
                <w:kern w:val="0"/>
                <w:szCs w:val="21"/>
                <w:highlight w:val="none"/>
              </w:rPr>
              <w:t>5</w:t>
            </w:r>
          </w:p>
        </w:tc>
        <w:tc>
          <w:tcPr>
            <w:tcW w:w="424" w:type="pct"/>
            <w:shd w:val="clear" w:color="auto" w:fill="auto"/>
            <w:vAlign w:val="center"/>
          </w:tcPr>
          <w:p w14:paraId="4D4A01D3">
            <w:pPr>
              <w:adjustRightInd w:val="0"/>
              <w:snapToGrid w:val="0"/>
              <w:jc w:val="center"/>
              <w:rPr>
                <w:rFonts w:ascii="Times New Roman" w:hAnsi="Times New Roman" w:eastAsia="宋体" w:cs="Times New Roman"/>
                <w:snapToGrid w:val="0"/>
                <w:color w:val="auto"/>
                <w:spacing w:val="0"/>
                <w:kern w:val="0"/>
                <w:sz w:val="21"/>
                <w:szCs w:val="21"/>
                <w:highlight w:val="none"/>
              </w:rPr>
            </w:pPr>
            <w:r>
              <w:rPr>
                <w:rFonts w:hint="eastAsia" w:ascii="宋体" w:hAnsi="宋体" w:cs="Calibri"/>
                <w:color w:val="auto"/>
                <w:szCs w:val="21"/>
                <w:highlight w:val="none"/>
              </w:rPr>
              <w:t>循环水场</w:t>
            </w:r>
          </w:p>
        </w:tc>
        <w:tc>
          <w:tcPr>
            <w:tcW w:w="501" w:type="pct"/>
            <w:shd w:val="clear" w:color="auto" w:fill="auto"/>
            <w:vAlign w:val="center"/>
          </w:tcPr>
          <w:p w14:paraId="3E73D553">
            <w:pPr>
              <w:adjustRightInd w:val="0"/>
              <w:snapToGrid w:val="0"/>
              <w:jc w:val="center"/>
              <w:rPr>
                <w:rFonts w:ascii="Times New Roman" w:hAnsi="Times New Roman" w:eastAsia="宋体" w:cs="Times New Roman"/>
                <w:snapToGrid w:val="0"/>
                <w:color w:val="auto"/>
                <w:spacing w:val="0"/>
                <w:kern w:val="0"/>
                <w:sz w:val="21"/>
                <w:szCs w:val="21"/>
                <w:highlight w:val="none"/>
              </w:rPr>
            </w:pPr>
            <w:r>
              <w:rPr>
                <w:rFonts w:hint="eastAsia"/>
                <w:color w:val="auto"/>
                <w:kern w:val="0"/>
                <w:szCs w:val="21"/>
                <w:highlight w:val="none"/>
                <w:lang w:val="en-US" w:eastAsia="zh-CN"/>
              </w:rPr>
              <w:t>泵类</w:t>
            </w:r>
          </w:p>
        </w:tc>
        <w:tc>
          <w:tcPr>
            <w:tcW w:w="334" w:type="pct"/>
            <w:shd w:val="clear" w:color="auto" w:fill="auto"/>
            <w:vAlign w:val="center"/>
          </w:tcPr>
          <w:p w14:paraId="6D715470">
            <w:pPr>
              <w:widowControl/>
              <w:adjustRightInd w:val="0"/>
              <w:snapToGrid w:val="0"/>
              <w:jc w:val="center"/>
              <w:rPr>
                <w:rFonts w:hint="eastAsia" w:ascii="Times New Roman" w:hAnsi="Times New Roman" w:eastAsia="宋体" w:cs="Times New Roman"/>
                <w:color w:val="auto"/>
                <w:spacing w:val="0"/>
                <w:kern w:val="0"/>
                <w:sz w:val="21"/>
                <w:szCs w:val="21"/>
                <w:highlight w:val="none"/>
              </w:rPr>
            </w:pPr>
            <w:r>
              <w:rPr>
                <w:color w:val="auto"/>
                <w:szCs w:val="21"/>
                <w:highlight w:val="none"/>
              </w:rPr>
              <w:t>100~120</w:t>
            </w:r>
          </w:p>
        </w:tc>
        <w:tc>
          <w:tcPr>
            <w:tcW w:w="268" w:type="pct"/>
            <w:shd w:val="clear" w:color="auto" w:fill="auto"/>
            <w:vAlign w:val="center"/>
          </w:tcPr>
          <w:p w14:paraId="2292132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1</w:t>
            </w:r>
          </w:p>
        </w:tc>
        <w:tc>
          <w:tcPr>
            <w:tcW w:w="657" w:type="pct"/>
            <w:shd w:val="clear" w:color="auto" w:fill="auto"/>
            <w:vAlign w:val="center"/>
          </w:tcPr>
          <w:p w14:paraId="0C95F86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spacing w:val="0"/>
                <w:kern w:val="0"/>
                <w:sz w:val="21"/>
                <w:szCs w:val="21"/>
                <w:highlight w:val="none"/>
              </w:rPr>
              <w:t>厂房隔声</w:t>
            </w:r>
            <w:r>
              <w:rPr>
                <w:rFonts w:hint="eastAsia" w:ascii="Times New Roman" w:hAnsi="Times New Roman" w:eastAsia="宋体" w:cs="Times New Roman"/>
                <w:color w:val="auto"/>
                <w:spacing w:val="0"/>
                <w:kern w:val="0"/>
                <w:sz w:val="21"/>
                <w:szCs w:val="21"/>
                <w:highlight w:val="none"/>
              </w:rPr>
              <w:t>+减振基础</w:t>
            </w:r>
          </w:p>
        </w:tc>
        <w:tc>
          <w:tcPr>
            <w:tcW w:w="195" w:type="pct"/>
            <w:shd w:val="clear" w:color="auto" w:fill="auto"/>
            <w:vAlign w:val="center"/>
          </w:tcPr>
          <w:p w14:paraId="01B111CC">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-248</w:t>
            </w:r>
          </w:p>
        </w:tc>
        <w:tc>
          <w:tcPr>
            <w:tcW w:w="195" w:type="pct"/>
            <w:shd w:val="clear" w:color="auto" w:fill="auto"/>
            <w:vAlign w:val="center"/>
          </w:tcPr>
          <w:p w14:paraId="392AEB87">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-441</w:t>
            </w:r>
          </w:p>
        </w:tc>
        <w:tc>
          <w:tcPr>
            <w:tcW w:w="211" w:type="pct"/>
            <w:shd w:val="clear" w:color="auto" w:fill="auto"/>
            <w:vAlign w:val="center"/>
          </w:tcPr>
          <w:p w14:paraId="20B55C2D">
            <w:pPr>
              <w:adjustRightInd w:val="0"/>
              <w:snapToGrid w:val="0"/>
              <w:jc w:val="center"/>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olor w:val="auto"/>
                <w:kern w:val="0"/>
                <w:szCs w:val="21"/>
                <w:highlight w:val="none"/>
              </w:rPr>
              <w:t>1.2</w:t>
            </w:r>
          </w:p>
        </w:tc>
        <w:tc>
          <w:tcPr>
            <w:tcW w:w="305" w:type="pct"/>
            <w:shd w:val="clear" w:color="auto" w:fill="auto"/>
            <w:vAlign w:val="center"/>
          </w:tcPr>
          <w:p w14:paraId="330B7012">
            <w:pPr>
              <w:keepNext w:val="0"/>
              <w:keepLines w:val="0"/>
              <w:pageBreakBefore w:val="0"/>
              <w:widowControl/>
              <w:kinsoku/>
              <w:wordWrap/>
              <w:overflowPunct/>
              <w:topLinePunct w:val="0"/>
              <w:autoSpaceDE/>
              <w:autoSpaceDN/>
              <w:bidi w:val="0"/>
              <w:adjustRightInd w:val="0"/>
              <w:snapToGrid w:val="0"/>
              <w:ind w:left="0" w:leftChars="0" w:right="0" w:rightChars="0"/>
              <w:jc w:val="center"/>
              <w:textAlignment w:val="baseline"/>
              <w:rPr>
                <w:rFonts w:hint="eastAsia" w:ascii="Times New Roman" w:hAnsi="Times New Roman" w:eastAsia="宋体" w:cs="Times New Roman"/>
                <w:snapToGrid w:val="0"/>
                <w:color w:val="auto"/>
                <w:spacing w:val="0"/>
                <w:kern w:val="0"/>
                <w:sz w:val="21"/>
                <w:szCs w:val="21"/>
                <w:highlight w:val="none"/>
                <w:lang w:val="en-US" w:eastAsia="zh-CN"/>
              </w:rPr>
            </w:pPr>
            <w:r>
              <w:rPr>
                <w:rFonts w:hint="eastAsia" w:cs="Times New Roman"/>
                <w:snapToGrid w:val="0"/>
                <w:color w:val="auto"/>
                <w:spacing w:val="0"/>
                <w:kern w:val="0"/>
                <w:sz w:val="21"/>
                <w:szCs w:val="21"/>
                <w:highlight w:val="none"/>
                <w:lang w:val="en-US" w:eastAsia="zh-CN"/>
              </w:rPr>
              <w:t>5</w:t>
            </w:r>
          </w:p>
        </w:tc>
        <w:tc>
          <w:tcPr>
            <w:tcW w:w="409" w:type="pct"/>
            <w:shd w:val="clear" w:color="auto" w:fill="auto"/>
            <w:vAlign w:val="center"/>
          </w:tcPr>
          <w:p w14:paraId="52C8F3D2">
            <w:pPr>
              <w:widowControl/>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color w:val="auto"/>
                <w:szCs w:val="21"/>
                <w:highlight w:val="none"/>
              </w:rPr>
              <w:t>100~120</w:t>
            </w:r>
          </w:p>
        </w:tc>
        <w:tc>
          <w:tcPr>
            <w:tcW w:w="409" w:type="pct"/>
            <w:shd w:val="clear" w:color="auto" w:fill="auto"/>
            <w:vAlign w:val="center"/>
          </w:tcPr>
          <w:p w14:paraId="3516661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昼间、夜间</w:t>
            </w:r>
          </w:p>
        </w:tc>
        <w:tc>
          <w:tcPr>
            <w:tcW w:w="358" w:type="pct"/>
            <w:shd w:val="clear" w:color="auto" w:fill="auto"/>
            <w:vAlign w:val="center"/>
          </w:tcPr>
          <w:p w14:paraId="75F5A61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kern w:val="0"/>
                <w:sz w:val="21"/>
                <w:szCs w:val="21"/>
                <w:highlight w:val="none"/>
              </w:rPr>
              <w:t>20</w:t>
            </w:r>
          </w:p>
        </w:tc>
        <w:tc>
          <w:tcPr>
            <w:tcW w:w="358" w:type="pct"/>
            <w:shd w:val="clear" w:color="auto" w:fill="auto"/>
            <w:vAlign w:val="center"/>
          </w:tcPr>
          <w:p w14:paraId="14DB9CA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color w:val="auto"/>
                <w:spacing w:val="0"/>
                <w:kern w:val="0"/>
                <w:sz w:val="21"/>
                <w:szCs w:val="21"/>
                <w:highlight w:val="none"/>
                <w:lang w:val="en-US"/>
              </w:rPr>
            </w:pPr>
            <w:r>
              <w:rPr>
                <w:rFonts w:hint="eastAsia" w:ascii="Times New Roman" w:hAnsi="Times New Roman" w:eastAsia="宋体" w:cs="Times New Roman"/>
                <w:color w:val="auto"/>
                <w:spacing w:val="0"/>
                <w:kern w:val="0"/>
                <w:sz w:val="21"/>
                <w:szCs w:val="21"/>
                <w:highlight w:val="none"/>
                <w:lang w:val="en-US" w:eastAsia="zh-CN"/>
              </w:rPr>
              <w:t>80~100</w:t>
            </w:r>
          </w:p>
        </w:tc>
        <w:tc>
          <w:tcPr>
            <w:tcW w:w="265" w:type="pct"/>
            <w:shd w:val="clear" w:color="auto" w:fill="auto"/>
            <w:vAlign w:val="center"/>
          </w:tcPr>
          <w:p w14:paraId="1E751EF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ascii="Times New Roman" w:hAnsi="Times New Roman" w:eastAsia="宋体" w:cs="Times New Roman"/>
                <w:snapToGrid w:val="0"/>
                <w:color w:val="auto"/>
                <w:spacing w:val="0"/>
                <w:kern w:val="0"/>
                <w:sz w:val="21"/>
                <w:szCs w:val="21"/>
                <w:highlight w:val="none"/>
              </w:rPr>
            </w:pPr>
            <w:r>
              <w:rPr>
                <w:rFonts w:ascii="Times New Roman" w:hAnsi="Times New Roman" w:eastAsia="宋体" w:cs="Times New Roman"/>
                <w:snapToGrid w:val="0"/>
                <w:color w:val="auto"/>
                <w:spacing w:val="0"/>
                <w:kern w:val="0"/>
                <w:sz w:val="21"/>
                <w:szCs w:val="21"/>
                <w:highlight w:val="none"/>
              </w:rPr>
              <w:t>1m</w:t>
            </w:r>
          </w:p>
        </w:tc>
      </w:tr>
      <w:tr w14:paraId="1DA9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7" w:type="dxa"/>
            <w:bottom w:w="0" w:type="dxa"/>
            <w:right w:w="17" w:type="dxa"/>
          </w:tblCellMar>
        </w:tblPrEx>
        <w:trPr>
          <w:trHeight w:val="340" w:hRule="atLeast"/>
          <w:jc w:val="center"/>
        </w:trPr>
        <w:tc>
          <w:tcPr>
            <w:tcW w:w="5000" w:type="pct"/>
            <w:gridSpan w:val="15"/>
            <w:shd w:val="clear" w:color="auto" w:fill="auto"/>
            <w:vAlign w:val="center"/>
          </w:tcPr>
          <w:p w14:paraId="683ECDB2">
            <w:pPr>
              <w:keepNext w:val="0"/>
              <w:keepLines w:val="0"/>
              <w:pageBreakBefore w:val="0"/>
              <w:widowControl/>
              <w:kinsoku/>
              <w:wordWrap/>
              <w:overflowPunct/>
              <w:topLinePunct w:val="0"/>
              <w:autoSpaceDE/>
              <w:autoSpaceDN/>
              <w:bidi w:val="0"/>
              <w:adjustRightInd w:val="0"/>
              <w:snapToGrid w:val="0"/>
              <w:ind w:left="0" w:leftChars="0" w:right="0" w:rightChars="0"/>
              <w:jc w:val="left"/>
              <w:rPr>
                <w:rFonts w:ascii="Times New Roman" w:hAnsi="Times New Roman" w:eastAsia="宋体" w:cs="Times New Roman"/>
                <w:snapToGrid w:val="0"/>
                <w:color w:val="auto"/>
                <w:spacing w:val="0"/>
                <w:kern w:val="0"/>
                <w:sz w:val="21"/>
                <w:szCs w:val="21"/>
                <w:highlight w:val="none"/>
              </w:rPr>
            </w:pPr>
            <w:r>
              <w:rPr>
                <w:rFonts w:hint="eastAsia" w:cs="Times New Roman"/>
                <w:snapToGrid w:val="0"/>
                <w:color w:val="auto"/>
                <w:kern w:val="0"/>
                <w:sz w:val="21"/>
                <w:szCs w:val="21"/>
                <w:highlight w:val="none"/>
                <w:lang w:val="en-US" w:eastAsia="zh-CN"/>
              </w:rPr>
              <w:t>注：以厂区中心为原点。</w:t>
            </w:r>
          </w:p>
        </w:tc>
      </w:tr>
    </w:tbl>
    <w:p w14:paraId="7CE7D1DF">
      <w:pPr>
        <w:rPr>
          <w:color w:val="auto"/>
          <w:szCs w:val="21"/>
          <w:highlight w:val="none"/>
        </w:rPr>
      </w:pPr>
    </w:p>
    <w:p w14:paraId="461E1C45">
      <w:pPr>
        <w:pStyle w:val="6"/>
        <w:ind w:firstLine="480"/>
        <w:rPr>
          <w:rFonts w:eastAsia="宋体"/>
          <w:color w:val="auto"/>
          <w:sz w:val="24"/>
          <w:szCs w:val="24"/>
          <w:highlight w:val="none"/>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4C40E54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6.2.3.2预测范围及预测内容</w:t>
      </w:r>
    </w:p>
    <w:p w14:paraId="755918EF">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（1）项目厂界外200m范围内无声环境保护目标，预测项目厂界外1m</w:t>
      </w:r>
      <w:r>
        <w:rPr>
          <w:rFonts w:hint="eastAsia" w:ascii="Times New Roman" w:hAnsi="Times New Roman" w:eastAsia="宋体" w:cs="Times New Roman"/>
          <w:snapToGrid w:val="0"/>
          <w:color w:val="auto"/>
          <w:kern w:val="0"/>
          <w:highlight w:val="none"/>
          <w:lang w:eastAsia="zh-CN"/>
        </w:rPr>
        <w:t>的</w:t>
      </w:r>
      <w:r>
        <w:rPr>
          <w:rFonts w:hint="eastAsia" w:ascii="Times New Roman" w:hAnsi="Times New Roman" w:eastAsia="宋体" w:cs="Times New Roman"/>
          <w:snapToGrid w:val="0"/>
          <w:color w:val="auto"/>
          <w:kern w:val="0"/>
          <w:highlight w:val="none"/>
        </w:rPr>
        <w:t>噪声值。</w:t>
      </w:r>
    </w:p>
    <w:p w14:paraId="323D9CD2">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（2）预测项目运行后，厂区内主要声源对厂区东、西、南、北厂界的噪声贡献值，评价项目厂界昼、夜间噪声的达标情况。</w:t>
      </w:r>
    </w:p>
    <w:p w14:paraId="5833EBA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6.2.3.3评价标准</w:t>
      </w:r>
    </w:p>
    <w:p w14:paraId="0D58F32A">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项目所在区域声功能区划属于《声环境质量标准》（GB3096-2008）的“3类区”，厂界各侧噪声排放标准应执行《工业企业厂界环境噪声排放标准》（GB12348-2008）中的3类标准限值的要求，即昼间65dB</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A），夜间55dB</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A）。</w:t>
      </w:r>
    </w:p>
    <w:p w14:paraId="4C9F26C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6.2.3.4预测模式</w:t>
      </w:r>
    </w:p>
    <w:p w14:paraId="566B98FA">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（1）</w:t>
      </w:r>
      <w:r>
        <w:rPr>
          <w:rFonts w:ascii="Times New Roman" w:hAnsi="Times New Roman" w:eastAsia="宋体" w:cs="Times New Roman"/>
          <w:snapToGrid w:val="0"/>
          <w:color w:val="auto"/>
          <w:kern w:val="0"/>
          <w:highlight w:val="none"/>
        </w:rPr>
        <w:t>预测模式选择</w:t>
      </w:r>
    </w:p>
    <w:p w14:paraId="2580C6E5">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根据《环境影响评价技术导则 声环境》（HJ 2.4-2021），中的工业噪声预测模式。预测环境数据见</w:t>
      </w:r>
      <w:r>
        <w:rPr>
          <w:rFonts w:hint="eastAsia" w:ascii="Times New Roman" w:hAnsi="Times New Roman" w:eastAsia="宋体" w:cs="Times New Roman"/>
          <w:snapToGrid w:val="0"/>
          <w:color w:val="auto"/>
          <w:kern w:val="0"/>
          <w:highlight w:val="none"/>
          <w:lang w:val="en-US" w:eastAsia="zh-CN"/>
        </w:rPr>
        <w:t>表6.2-30</w:t>
      </w:r>
      <w:r>
        <w:rPr>
          <w:rFonts w:ascii="Times New Roman" w:hAnsi="Times New Roman" w:eastAsia="宋体" w:cs="Times New Roman"/>
          <w:snapToGrid w:val="0"/>
          <w:color w:val="auto"/>
          <w:kern w:val="0"/>
          <w:highlight w:val="none"/>
        </w:rPr>
        <w:t>。</w:t>
      </w:r>
    </w:p>
    <w:p w14:paraId="29293D17">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①</w:t>
      </w:r>
      <w:r>
        <w:rPr>
          <w:rFonts w:ascii="Times New Roman" w:hAnsi="Times New Roman" w:eastAsia="宋体" w:cs="Times New Roman"/>
          <w:snapToGrid w:val="0"/>
          <w:color w:val="auto"/>
          <w:kern w:val="0"/>
          <w:highlight w:val="none"/>
        </w:rPr>
        <w:t>计算某个室内声源在靠近围护结构处产生的倍频带声压级：</w:t>
      </w:r>
    </w:p>
    <w:p w14:paraId="0D6B5F31">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drawing>
          <wp:anchor distT="0" distB="0" distL="114300" distR="114300" simplePos="0" relativeHeight="251660288" behindDoc="0" locked="0" layoutInCell="1" allowOverlap="1">
            <wp:simplePos x="0" y="0"/>
            <wp:positionH relativeFrom="column">
              <wp:posOffset>1779270</wp:posOffset>
            </wp:positionH>
            <wp:positionV relativeFrom="paragraph">
              <wp:posOffset>50800</wp:posOffset>
            </wp:positionV>
            <wp:extent cx="1943735" cy="485775"/>
            <wp:effectExtent l="0" t="0" r="18415" b="8890"/>
            <wp:wrapTopAndBottom/>
            <wp:docPr id="9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6"/>
                    <pic:cNvPicPr>
                      <a:picLocks noChangeAspect="1"/>
                    </pic:cNvPicPr>
                  </pic:nvPicPr>
                  <pic:blipFill>
                    <a:blip r:embed="rId45"/>
                    <a:stretch>
                      <a:fillRect/>
                    </a:stretch>
                  </pic:blipFill>
                  <pic:spPr>
                    <a:xfrm>
                      <a:off x="0" y="0"/>
                      <a:ext cx="1943735" cy="485775"/>
                    </a:xfrm>
                    <a:prstGeom prst="rect">
                      <a:avLst/>
                    </a:prstGeom>
                    <a:noFill/>
                    <a:ln>
                      <a:noFill/>
                    </a:ln>
                  </pic:spPr>
                </pic:pic>
              </a:graphicData>
            </a:graphic>
          </wp:anchor>
        </w:drawing>
      </w:r>
      <w:r>
        <w:rPr>
          <w:rFonts w:ascii="Times New Roman" w:hAnsi="Times New Roman" w:eastAsia="宋体" w:cs="Times New Roman"/>
          <w:snapToGrid w:val="0"/>
          <w:color w:val="auto"/>
          <w:kern w:val="0"/>
          <w:highlight w:val="none"/>
        </w:rPr>
        <w:t>式中：L</w:t>
      </w:r>
      <w:r>
        <w:rPr>
          <w:rFonts w:ascii="Times New Roman" w:hAnsi="Times New Roman" w:eastAsia="宋体" w:cs="Times New Roman"/>
          <w:snapToGrid w:val="0"/>
          <w:color w:val="auto"/>
          <w:kern w:val="0"/>
          <w:highlight w:val="none"/>
          <w:vertAlign w:val="subscript"/>
        </w:rPr>
        <w:t>oct，1</w:t>
      </w:r>
      <w:r>
        <w:rPr>
          <w:rFonts w:ascii="Times New Roman" w:hAnsi="Times New Roman" w:eastAsia="宋体" w:cs="Times New Roman"/>
          <w:snapToGrid w:val="0"/>
          <w:color w:val="auto"/>
          <w:kern w:val="0"/>
          <w:highlight w:val="none"/>
        </w:rPr>
        <w:t>—某个室内声源在靠近围护结构处产生的倍频带声压级，dB；</w:t>
      </w:r>
    </w:p>
    <w:p w14:paraId="12A314D1">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 xml:space="preserve">      L</w:t>
      </w:r>
      <w:r>
        <w:rPr>
          <w:rFonts w:ascii="Times New Roman" w:hAnsi="Times New Roman" w:eastAsia="宋体" w:cs="Times New Roman"/>
          <w:snapToGrid w:val="0"/>
          <w:color w:val="auto"/>
          <w:kern w:val="0"/>
          <w:highlight w:val="none"/>
          <w:vertAlign w:val="subscript"/>
        </w:rPr>
        <w:t>woct</w:t>
      </w:r>
      <w:r>
        <w:rPr>
          <w:rFonts w:ascii="Times New Roman" w:hAnsi="Times New Roman" w:eastAsia="宋体" w:cs="Times New Roman"/>
          <w:snapToGrid w:val="0"/>
          <w:color w:val="auto"/>
          <w:kern w:val="0"/>
          <w:highlight w:val="none"/>
        </w:rPr>
        <w:t>—某个声源的倍频带声功率级，dB；</w:t>
      </w:r>
    </w:p>
    <w:p w14:paraId="0250CEED">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 xml:space="preserve">      r</w:t>
      </w:r>
      <w:r>
        <w:rPr>
          <w:rFonts w:ascii="Times New Roman" w:hAnsi="Times New Roman" w:eastAsia="宋体" w:cs="Times New Roman"/>
          <w:snapToGrid w:val="0"/>
          <w:color w:val="auto"/>
          <w:kern w:val="0"/>
          <w:highlight w:val="none"/>
          <w:vertAlign w:val="subscript"/>
        </w:rPr>
        <w:t>1</w:t>
      </w:r>
      <w:r>
        <w:rPr>
          <w:rFonts w:ascii="Times New Roman" w:hAnsi="Times New Roman" w:eastAsia="宋体" w:cs="Times New Roman"/>
          <w:snapToGrid w:val="0"/>
          <w:color w:val="auto"/>
          <w:kern w:val="0"/>
          <w:highlight w:val="none"/>
        </w:rPr>
        <w:t>—室内某个声源与靠近围护结构处的距离，m；</w:t>
      </w:r>
    </w:p>
    <w:p w14:paraId="281F11B8">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 xml:space="preserve">      R—房间常数，m</w:t>
      </w:r>
      <w:r>
        <w:rPr>
          <w:rFonts w:ascii="Times New Roman" w:hAnsi="Times New Roman" w:eastAsia="宋体" w:cs="Times New Roman"/>
          <w:snapToGrid w:val="0"/>
          <w:color w:val="auto"/>
          <w:kern w:val="0"/>
          <w:highlight w:val="none"/>
          <w:vertAlign w:val="superscript"/>
        </w:rPr>
        <w:t>2</w:t>
      </w:r>
      <w:r>
        <w:rPr>
          <w:rFonts w:ascii="Times New Roman" w:hAnsi="Times New Roman" w:eastAsia="宋体" w:cs="Times New Roman"/>
          <w:snapToGrid w:val="0"/>
          <w:color w:val="auto"/>
          <w:kern w:val="0"/>
          <w:highlight w:val="none"/>
        </w:rPr>
        <w:t>；</w:t>
      </w:r>
    </w:p>
    <w:p w14:paraId="1A3F7541">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 xml:space="preserve">    </w:t>
      </w:r>
      <w:r>
        <w:rPr>
          <w:rFonts w:hint="eastAsia" w:ascii="Times New Roman" w:hAnsi="Times New Roman" w:eastAsia="宋体" w:cs="Times New Roman"/>
          <w:snapToGrid w:val="0"/>
          <w:color w:val="auto"/>
          <w:kern w:val="0"/>
          <w:highlight w:val="none"/>
        </w:rPr>
        <w:t xml:space="preserve"> </w:t>
      </w:r>
      <w:r>
        <w:rPr>
          <w:rFonts w:ascii="Times New Roman" w:hAnsi="Times New Roman" w:eastAsia="宋体" w:cs="Times New Roman"/>
          <w:snapToGrid w:val="0"/>
          <w:color w:val="auto"/>
          <w:kern w:val="0"/>
          <w:highlight w:val="none"/>
        </w:rPr>
        <w:t xml:space="preserve"> Q—方向性因子。</w:t>
      </w:r>
    </w:p>
    <w:p w14:paraId="31CB965B">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②</w:t>
      </w:r>
      <w:r>
        <w:rPr>
          <w:rFonts w:ascii="Times New Roman" w:hAnsi="Times New Roman" w:eastAsia="宋体" w:cs="Times New Roman"/>
          <w:snapToGrid w:val="0"/>
          <w:color w:val="auto"/>
          <w:kern w:val="0"/>
          <w:highlight w:val="none"/>
        </w:rPr>
        <w:t>计算所有室内声源在靠近围护结构处产生的总倍频带声压级：</w:t>
      </w:r>
    </w:p>
    <w:p w14:paraId="3B0024EA">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drawing>
          <wp:anchor distT="0" distB="0" distL="114300" distR="114300" simplePos="0" relativeHeight="251661312" behindDoc="0" locked="0" layoutInCell="1" allowOverlap="1">
            <wp:simplePos x="0" y="0"/>
            <wp:positionH relativeFrom="column">
              <wp:posOffset>1802130</wp:posOffset>
            </wp:positionH>
            <wp:positionV relativeFrom="paragraph">
              <wp:posOffset>33020</wp:posOffset>
            </wp:positionV>
            <wp:extent cx="1818640" cy="457200"/>
            <wp:effectExtent l="0" t="0" r="10160" b="0"/>
            <wp:wrapTopAndBottom/>
            <wp:docPr id="9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2"/>
                    <pic:cNvPicPr>
                      <a:picLocks noChangeAspect="1"/>
                    </pic:cNvPicPr>
                  </pic:nvPicPr>
                  <pic:blipFill>
                    <a:blip r:embed="rId46"/>
                    <a:stretch>
                      <a:fillRect/>
                    </a:stretch>
                  </pic:blipFill>
                  <pic:spPr>
                    <a:xfrm>
                      <a:off x="0" y="0"/>
                      <a:ext cx="1818640" cy="457200"/>
                    </a:xfrm>
                    <a:prstGeom prst="rect">
                      <a:avLst/>
                    </a:prstGeom>
                    <a:noFill/>
                    <a:ln>
                      <a:noFill/>
                    </a:ln>
                  </pic:spPr>
                </pic:pic>
              </a:graphicData>
            </a:graphic>
          </wp:anchor>
        </w:drawing>
      </w:r>
      <w:r>
        <w:rPr>
          <w:rFonts w:hint="eastAsia" w:ascii="Times New Roman" w:hAnsi="Times New Roman" w:eastAsia="宋体" w:cs="Times New Roman"/>
          <w:snapToGrid w:val="0"/>
          <w:color w:val="auto"/>
          <w:kern w:val="0"/>
          <w:highlight w:val="none"/>
        </w:rPr>
        <w:t>③</w:t>
      </w:r>
      <w:r>
        <w:rPr>
          <w:rFonts w:ascii="Times New Roman" w:hAnsi="Times New Roman" w:eastAsia="宋体" w:cs="Times New Roman"/>
          <w:snapToGrid w:val="0"/>
          <w:color w:val="auto"/>
          <w:kern w:val="0"/>
          <w:highlight w:val="none"/>
        </w:rPr>
        <w:t>计算室外靠近围护结构处的声压级：</w:t>
      </w:r>
    </w:p>
    <w:p w14:paraId="716DC8D4">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drawing>
          <wp:anchor distT="0" distB="0" distL="114300" distR="114300" simplePos="0" relativeHeight="251662336" behindDoc="0" locked="0" layoutInCell="1" allowOverlap="1">
            <wp:simplePos x="0" y="0"/>
            <wp:positionH relativeFrom="column">
              <wp:posOffset>1779270</wp:posOffset>
            </wp:positionH>
            <wp:positionV relativeFrom="paragraph">
              <wp:posOffset>38100</wp:posOffset>
            </wp:positionV>
            <wp:extent cx="1914525" cy="238125"/>
            <wp:effectExtent l="0" t="0" r="9525" b="9525"/>
            <wp:wrapTopAndBottom/>
            <wp:docPr id="9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3"/>
                    <pic:cNvPicPr>
                      <a:picLocks noChangeAspect="1"/>
                    </pic:cNvPicPr>
                  </pic:nvPicPr>
                  <pic:blipFill>
                    <a:blip r:embed="rId47"/>
                    <a:stretch>
                      <a:fillRect/>
                    </a:stretch>
                  </pic:blipFill>
                  <pic:spPr>
                    <a:xfrm>
                      <a:off x="0" y="0"/>
                      <a:ext cx="1914525" cy="238125"/>
                    </a:xfrm>
                    <a:prstGeom prst="rect">
                      <a:avLst/>
                    </a:prstGeom>
                    <a:noFill/>
                    <a:ln>
                      <a:noFill/>
                    </a:ln>
                  </pic:spPr>
                </pic:pic>
              </a:graphicData>
            </a:graphic>
          </wp:anchor>
        </w:drawing>
      </w:r>
      <w:r>
        <w:rPr>
          <w:rFonts w:ascii="Times New Roman" w:hAnsi="Times New Roman" w:eastAsia="宋体" w:cs="Times New Roman"/>
          <w:snapToGrid w:val="0"/>
          <w:color w:val="auto"/>
          <w:kern w:val="0"/>
          <w:highlight w:val="none"/>
        </w:rPr>
        <w:t>将室外声级</w:t>
      </w:r>
      <w:r>
        <w:rPr>
          <w:rFonts w:ascii="Times New Roman" w:hAnsi="Times New Roman" w:eastAsia="宋体" w:cs="Times New Roman"/>
          <w:snapToGrid w:val="0"/>
          <w:color w:val="auto"/>
          <w:kern w:val="0"/>
          <w:highlight w:val="none"/>
        </w:rPr>
        <w:drawing>
          <wp:inline distT="0" distB="0" distL="114300" distR="114300">
            <wp:extent cx="533400" cy="238125"/>
            <wp:effectExtent l="0" t="0" r="0" b="952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a:stretch>
                      <a:fillRect/>
                    </a:stretch>
                  </pic:blipFill>
                  <pic:spPr>
                    <a:xfrm>
                      <a:off x="0" y="0"/>
                      <a:ext cx="533400" cy="2381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和透声面积换算成等效的室外声源，计算等效声源第i个倍频带的声功率级</w:t>
      </w:r>
      <w:r>
        <w:rPr>
          <w:rFonts w:ascii="Times New Roman" w:hAnsi="Times New Roman" w:eastAsia="宋体" w:cs="Times New Roman"/>
          <w:snapToGrid w:val="0"/>
          <w:color w:val="auto"/>
          <w:kern w:val="0"/>
          <w:highlight w:val="none"/>
        </w:rPr>
        <w:drawing>
          <wp:inline distT="0" distB="0" distL="114300" distR="114300">
            <wp:extent cx="314325" cy="228600"/>
            <wp:effectExtent l="0" t="0" r="9525" b="0"/>
            <wp:docPr id="9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5"/>
                    <pic:cNvPicPr>
                      <a:picLocks noChangeAspect="1"/>
                    </pic:cNvPicPr>
                  </pic:nvPicPr>
                  <pic:blipFill>
                    <a:blip r:embed="rId49"/>
                    <a:stretch>
                      <a:fillRect/>
                    </a:stretch>
                  </pic:blipFill>
                  <pic:spPr>
                    <a:xfrm>
                      <a:off x="0" y="0"/>
                      <a:ext cx="314325" cy="228600"/>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w:t>
      </w:r>
    </w:p>
    <w:p w14:paraId="4DB8654B">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 xml:space="preserve">     </w:t>
      </w:r>
      <w:r>
        <w:rPr>
          <w:rFonts w:ascii="Times New Roman" w:hAnsi="Times New Roman" w:eastAsia="宋体" w:cs="Times New Roman"/>
          <w:snapToGrid w:val="0"/>
          <w:color w:val="auto"/>
          <w:kern w:val="0"/>
          <w:highlight w:val="none"/>
        </w:rPr>
        <w:drawing>
          <wp:inline distT="0" distB="0" distL="114300" distR="114300">
            <wp:extent cx="1515110" cy="238125"/>
            <wp:effectExtent l="0" t="0" r="0" b="9525"/>
            <wp:docPr id="9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6"/>
                    <pic:cNvPicPr>
                      <a:picLocks noChangeAspect="1"/>
                    </pic:cNvPicPr>
                  </pic:nvPicPr>
                  <pic:blipFill>
                    <a:blip r:embed="rId50"/>
                    <a:stretch>
                      <a:fillRect/>
                    </a:stretch>
                  </pic:blipFill>
                  <pic:spPr>
                    <a:xfrm>
                      <a:off x="0" y="0"/>
                      <a:ext cx="1515110" cy="238125"/>
                    </a:xfrm>
                    <a:prstGeom prst="rect">
                      <a:avLst/>
                    </a:prstGeom>
                    <a:noFill/>
                    <a:ln>
                      <a:noFill/>
                    </a:ln>
                  </pic:spPr>
                </pic:pic>
              </a:graphicData>
            </a:graphic>
          </wp:inline>
        </w:drawing>
      </w:r>
    </w:p>
    <w:p w14:paraId="3F16DB86">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式中：S—透声面积，m</w:t>
      </w:r>
      <w:r>
        <w:rPr>
          <w:rFonts w:ascii="Times New Roman" w:hAnsi="Times New Roman" w:eastAsia="宋体" w:cs="Times New Roman"/>
          <w:snapToGrid w:val="0"/>
          <w:color w:val="auto"/>
          <w:kern w:val="0"/>
          <w:highlight w:val="none"/>
          <w:vertAlign w:val="superscript"/>
        </w:rPr>
        <w:t>2</w:t>
      </w:r>
    </w:p>
    <w:p w14:paraId="1EC9642E">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等效室外声源的位置为围护结构的位置，其倍频带声功率级为</w:t>
      </w:r>
      <w:r>
        <w:rPr>
          <w:rFonts w:ascii="Times New Roman" w:hAnsi="Times New Roman" w:eastAsia="宋体" w:cs="Times New Roman"/>
          <w:snapToGrid w:val="0"/>
          <w:color w:val="auto"/>
          <w:kern w:val="0"/>
          <w:highlight w:val="none"/>
        </w:rPr>
        <w:drawing>
          <wp:inline distT="0" distB="0" distL="114300" distR="114300">
            <wp:extent cx="314325" cy="228600"/>
            <wp:effectExtent l="0" t="0" r="9525" b="0"/>
            <wp:docPr id="9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7"/>
                    <pic:cNvPicPr>
                      <a:picLocks noChangeAspect="1"/>
                    </pic:cNvPicPr>
                  </pic:nvPicPr>
                  <pic:blipFill>
                    <a:blip r:embed="rId49"/>
                    <a:stretch>
                      <a:fillRect/>
                    </a:stretch>
                  </pic:blipFill>
                  <pic:spPr>
                    <a:xfrm>
                      <a:off x="0" y="0"/>
                      <a:ext cx="314325" cy="228600"/>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，由此按室外声源方法计算等效室外声源在预测点产生的声级。</w:t>
      </w:r>
    </w:p>
    <w:p w14:paraId="1E7E1E17">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④</w:t>
      </w:r>
      <w:r>
        <w:rPr>
          <w:rFonts w:ascii="Times New Roman" w:hAnsi="Times New Roman" w:eastAsia="宋体" w:cs="Times New Roman"/>
          <w:snapToGrid w:val="0"/>
          <w:color w:val="auto"/>
          <w:kern w:val="0"/>
          <w:highlight w:val="none"/>
        </w:rPr>
        <w:t>计算某个室外声源在预测点产生的倍频带声压级：</w:t>
      </w:r>
    </w:p>
    <w:p w14:paraId="47440A49">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drawing>
          <wp:anchor distT="0" distB="0" distL="114300" distR="114300" simplePos="0" relativeHeight="251663360" behindDoc="0" locked="0" layoutInCell="1" allowOverlap="1">
            <wp:simplePos x="0" y="0"/>
            <wp:positionH relativeFrom="column">
              <wp:posOffset>1558290</wp:posOffset>
            </wp:positionH>
            <wp:positionV relativeFrom="paragraph">
              <wp:posOffset>33020</wp:posOffset>
            </wp:positionV>
            <wp:extent cx="2287270" cy="409575"/>
            <wp:effectExtent l="0" t="0" r="17780" b="8255"/>
            <wp:wrapTopAndBottom/>
            <wp:docPr id="9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8"/>
                    <pic:cNvPicPr>
                      <a:picLocks noChangeAspect="1"/>
                    </pic:cNvPicPr>
                  </pic:nvPicPr>
                  <pic:blipFill>
                    <a:blip r:embed="rId51"/>
                    <a:stretch>
                      <a:fillRect/>
                    </a:stretch>
                  </pic:blipFill>
                  <pic:spPr>
                    <a:xfrm>
                      <a:off x="0" y="0"/>
                      <a:ext cx="2287270" cy="409575"/>
                    </a:xfrm>
                    <a:prstGeom prst="rect">
                      <a:avLst/>
                    </a:prstGeom>
                    <a:noFill/>
                    <a:ln>
                      <a:noFill/>
                    </a:ln>
                  </pic:spPr>
                </pic:pic>
              </a:graphicData>
            </a:graphic>
          </wp:anchor>
        </w:drawing>
      </w:r>
      <w:r>
        <w:rPr>
          <w:snapToGrid w:val="0"/>
          <w:color w:val="auto"/>
          <w:kern w:val="0"/>
          <w:sz w:val="24"/>
          <w:highlight w:val="none"/>
        </w:rPr>
        <w:t>式中：</w:t>
      </w:r>
      <w:r>
        <w:rPr>
          <w:snapToGrid w:val="0"/>
          <w:color w:val="auto"/>
          <w:kern w:val="0"/>
          <w:sz w:val="24"/>
          <w:highlight w:val="none"/>
        </w:rPr>
        <w:drawing>
          <wp:inline distT="0" distB="0" distL="114300" distR="114300">
            <wp:extent cx="428625" cy="228600"/>
            <wp:effectExtent l="0" t="0" r="8890" b="0"/>
            <wp:docPr id="10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9"/>
                    <pic:cNvPicPr>
                      <a:picLocks noChangeAspect="1"/>
                    </pic:cNvPicPr>
                  </pic:nvPicPr>
                  <pic:blipFill>
                    <a:blip r:embed="rId52"/>
                    <a:stretch>
                      <a:fillRect/>
                    </a:stretch>
                  </pic:blipFill>
                  <pic:spPr>
                    <a:xfrm>
                      <a:off x="0" y="0"/>
                      <a:ext cx="428625" cy="228600"/>
                    </a:xfrm>
                    <a:prstGeom prst="rect">
                      <a:avLst/>
                    </a:prstGeom>
                    <a:noFill/>
                    <a:ln>
                      <a:noFill/>
                    </a:ln>
                  </pic:spPr>
                </pic:pic>
              </a:graphicData>
            </a:graphic>
          </wp:inline>
        </w:drawing>
      </w:r>
      <w:r>
        <w:rPr>
          <w:snapToGrid w:val="0"/>
          <w:color w:val="auto"/>
          <w:kern w:val="0"/>
          <w:sz w:val="24"/>
          <w:highlight w:val="none"/>
        </w:rPr>
        <w:t>—点声源在预测点产生的倍频带声压级，dB；</w:t>
      </w:r>
    </w:p>
    <w:p w14:paraId="5DAD4AC1">
      <w:pPr>
        <w:widowControl/>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drawing>
          <wp:inline distT="0" distB="0" distL="114300" distR="114300">
            <wp:extent cx="485775" cy="228600"/>
            <wp:effectExtent l="0" t="0" r="8890" b="0"/>
            <wp:docPr id="10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30"/>
                    <pic:cNvPicPr>
                      <a:picLocks noChangeAspect="1"/>
                    </pic:cNvPicPr>
                  </pic:nvPicPr>
                  <pic:blipFill>
                    <a:blip r:embed="rId53"/>
                    <a:stretch>
                      <a:fillRect/>
                    </a:stretch>
                  </pic:blipFill>
                  <pic:spPr>
                    <a:xfrm>
                      <a:off x="0" y="0"/>
                      <a:ext cx="485775" cy="228600"/>
                    </a:xfrm>
                    <a:prstGeom prst="rect">
                      <a:avLst/>
                    </a:prstGeom>
                    <a:noFill/>
                    <a:ln>
                      <a:noFill/>
                    </a:ln>
                  </pic:spPr>
                </pic:pic>
              </a:graphicData>
            </a:graphic>
          </wp:inline>
        </w:drawing>
      </w:r>
      <w:r>
        <w:rPr>
          <w:snapToGrid w:val="0"/>
          <w:color w:val="auto"/>
          <w:kern w:val="0"/>
          <w:sz w:val="24"/>
          <w:highlight w:val="none"/>
        </w:rPr>
        <w:t>—参考位置</w:t>
      </w:r>
      <w:r>
        <w:rPr>
          <w:snapToGrid w:val="0"/>
          <w:color w:val="auto"/>
          <w:kern w:val="0"/>
          <w:sz w:val="24"/>
          <w:highlight w:val="none"/>
        </w:rPr>
        <w:drawing>
          <wp:inline distT="0" distB="0" distL="114300" distR="114300">
            <wp:extent cx="142875" cy="228600"/>
            <wp:effectExtent l="0" t="0" r="9525" b="0"/>
            <wp:docPr id="10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1"/>
                    <pic:cNvPicPr>
                      <a:picLocks noChangeAspect="1"/>
                    </pic:cNvPicPr>
                  </pic:nvPicPr>
                  <pic:blipFill>
                    <a:blip r:embed="rId54"/>
                    <a:stretch>
                      <a:fillRect/>
                    </a:stretch>
                  </pic:blipFill>
                  <pic:spPr>
                    <a:xfrm>
                      <a:off x="0" y="0"/>
                      <a:ext cx="142875" cy="228600"/>
                    </a:xfrm>
                    <a:prstGeom prst="rect">
                      <a:avLst/>
                    </a:prstGeom>
                    <a:noFill/>
                    <a:ln>
                      <a:noFill/>
                    </a:ln>
                  </pic:spPr>
                </pic:pic>
              </a:graphicData>
            </a:graphic>
          </wp:inline>
        </w:drawing>
      </w:r>
      <w:r>
        <w:rPr>
          <w:snapToGrid w:val="0"/>
          <w:color w:val="auto"/>
          <w:kern w:val="0"/>
          <w:sz w:val="24"/>
          <w:highlight w:val="none"/>
        </w:rPr>
        <w:t>处的倍频带声压级，dB；</w:t>
      </w:r>
    </w:p>
    <w:p w14:paraId="3D371B68">
      <w:pPr>
        <w:widowControl/>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drawing>
          <wp:inline distT="0" distB="0" distL="114300" distR="114300">
            <wp:extent cx="114300" cy="123825"/>
            <wp:effectExtent l="0" t="0" r="0" b="5715"/>
            <wp:docPr id="10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2"/>
                    <pic:cNvPicPr>
                      <a:picLocks noChangeAspect="1"/>
                    </pic:cNvPicPr>
                  </pic:nvPicPr>
                  <pic:blipFill>
                    <a:blip r:embed="rId55"/>
                    <a:stretch>
                      <a:fillRect/>
                    </a:stretch>
                  </pic:blipFill>
                  <pic:spPr>
                    <a:xfrm>
                      <a:off x="0" y="0"/>
                      <a:ext cx="114300" cy="123825"/>
                    </a:xfrm>
                    <a:prstGeom prst="rect">
                      <a:avLst/>
                    </a:prstGeom>
                    <a:noFill/>
                    <a:ln>
                      <a:noFill/>
                    </a:ln>
                  </pic:spPr>
                </pic:pic>
              </a:graphicData>
            </a:graphic>
          </wp:inline>
        </w:drawing>
      </w:r>
      <w:r>
        <w:rPr>
          <w:snapToGrid w:val="0"/>
          <w:color w:val="auto"/>
          <w:kern w:val="0"/>
          <w:sz w:val="24"/>
          <w:highlight w:val="none"/>
        </w:rPr>
        <w:t>—预测点距声源的距离，m；</w:t>
      </w:r>
    </w:p>
    <w:p w14:paraId="375F0C27">
      <w:pPr>
        <w:widowControl/>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drawing>
          <wp:inline distT="0" distB="0" distL="114300" distR="114300">
            <wp:extent cx="142875" cy="228600"/>
            <wp:effectExtent l="0" t="0" r="9525" b="0"/>
            <wp:docPr id="10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3"/>
                    <pic:cNvPicPr>
                      <a:picLocks noChangeAspect="1"/>
                    </pic:cNvPicPr>
                  </pic:nvPicPr>
                  <pic:blipFill>
                    <a:blip r:embed="rId56"/>
                    <a:stretch>
                      <a:fillRect/>
                    </a:stretch>
                  </pic:blipFill>
                  <pic:spPr>
                    <a:xfrm>
                      <a:off x="0" y="0"/>
                      <a:ext cx="142875" cy="228600"/>
                    </a:xfrm>
                    <a:prstGeom prst="rect">
                      <a:avLst/>
                    </a:prstGeom>
                    <a:noFill/>
                    <a:ln>
                      <a:noFill/>
                    </a:ln>
                  </pic:spPr>
                </pic:pic>
              </a:graphicData>
            </a:graphic>
          </wp:inline>
        </w:drawing>
      </w:r>
      <w:r>
        <w:rPr>
          <w:snapToGrid w:val="0"/>
          <w:color w:val="auto"/>
          <w:kern w:val="0"/>
          <w:sz w:val="24"/>
          <w:highlight w:val="none"/>
        </w:rPr>
        <w:t>—参考位置距声源的距离，m；</w:t>
      </w:r>
    </w:p>
    <w:p w14:paraId="05BC0A21">
      <w:pPr>
        <w:widowControl/>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drawing>
          <wp:inline distT="0" distB="0" distL="114300" distR="114300">
            <wp:extent cx="342900" cy="228600"/>
            <wp:effectExtent l="0" t="0" r="0" b="0"/>
            <wp:docPr id="10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4"/>
                    <pic:cNvPicPr>
                      <a:picLocks noChangeAspect="1"/>
                    </pic:cNvPicPr>
                  </pic:nvPicPr>
                  <pic:blipFill>
                    <a:blip r:embed="rId57"/>
                    <a:stretch>
                      <a:fillRect/>
                    </a:stretch>
                  </pic:blipFill>
                  <pic:spPr>
                    <a:xfrm>
                      <a:off x="0" y="0"/>
                      <a:ext cx="342900" cy="228600"/>
                    </a:xfrm>
                    <a:prstGeom prst="rect">
                      <a:avLst/>
                    </a:prstGeom>
                    <a:noFill/>
                    <a:ln>
                      <a:noFill/>
                    </a:ln>
                  </pic:spPr>
                </pic:pic>
              </a:graphicData>
            </a:graphic>
          </wp:inline>
        </w:drawing>
      </w:r>
      <w:r>
        <w:rPr>
          <w:snapToGrid w:val="0"/>
          <w:color w:val="auto"/>
          <w:kern w:val="0"/>
          <w:sz w:val="24"/>
          <w:highlight w:val="none"/>
        </w:rPr>
        <w:t>—各种因素引起的衰减量，dB。</w:t>
      </w:r>
    </w:p>
    <w:p w14:paraId="1B51940A">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如已知声源的倍频带声功率级</w:t>
      </w:r>
      <w:r>
        <w:rPr>
          <w:snapToGrid w:val="0"/>
          <w:color w:val="auto"/>
          <w:kern w:val="0"/>
          <w:sz w:val="24"/>
          <w:highlight w:val="none"/>
        </w:rPr>
        <w:drawing>
          <wp:inline distT="0" distB="0" distL="114300" distR="114300">
            <wp:extent cx="314325" cy="228600"/>
            <wp:effectExtent l="0" t="0" r="9525" b="0"/>
            <wp:docPr id="10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5"/>
                    <pic:cNvPicPr>
                      <a:picLocks noChangeAspect="1"/>
                    </pic:cNvPicPr>
                  </pic:nvPicPr>
                  <pic:blipFill>
                    <a:blip r:embed="rId49"/>
                    <a:stretch>
                      <a:fillRect/>
                    </a:stretch>
                  </pic:blipFill>
                  <pic:spPr>
                    <a:xfrm>
                      <a:off x="0" y="0"/>
                      <a:ext cx="314325" cy="228600"/>
                    </a:xfrm>
                    <a:prstGeom prst="rect">
                      <a:avLst/>
                    </a:prstGeom>
                    <a:noFill/>
                    <a:ln>
                      <a:noFill/>
                    </a:ln>
                  </pic:spPr>
                </pic:pic>
              </a:graphicData>
            </a:graphic>
          </wp:inline>
        </w:drawing>
      </w:r>
      <w:r>
        <w:rPr>
          <w:snapToGrid w:val="0"/>
          <w:color w:val="auto"/>
          <w:kern w:val="0"/>
          <w:sz w:val="24"/>
          <w:highlight w:val="none"/>
        </w:rPr>
        <w:t>，且声源可看作是位于地面上的，则</w:t>
      </w:r>
    </w:p>
    <w:p w14:paraId="4CF77B43">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drawing>
          <wp:inline distT="0" distB="0" distL="114300" distR="114300">
            <wp:extent cx="1704340" cy="228600"/>
            <wp:effectExtent l="0" t="0" r="10160" b="0"/>
            <wp:docPr id="10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6"/>
                    <pic:cNvPicPr>
                      <a:picLocks noChangeAspect="1"/>
                    </pic:cNvPicPr>
                  </pic:nvPicPr>
                  <pic:blipFill>
                    <a:blip r:embed="rId58"/>
                    <a:stretch>
                      <a:fillRect/>
                    </a:stretch>
                  </pic:blipFill>
                  <pic:spPr>
                    <a:xfrm>
                      <a:off x="0" y="0"/>
                      <a:ext cx="1704340" cy="228600"/>
                    </a:xfrm>
                    <a:prstGeom prst="rect">
                      <a:avLst/>
                    </a:prstGeom>
                    <a:noFill/>
                    <a:ln>
                      <a:noFill/>
                    </a:ln>
                  </pic:spPr>
                </pic:pic>
              </a:graphicData>
            </a:graphic>
          </wp:inline>
        </w:drawing>
      </w:r>
    </w:p>
    <w:p w14:paraId="23898D26">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由各倍频带声压级合成计算该声源产生的A声级</w:t>
      </w:r>
      <w:r>
        <w:rPr>
          <w:rFonts w:ascii="Times New Roman" w:hAnsi="Times New Roman" w:eastAsia="宋体" w:cs="Times New Roman"/>
          <w:snapToGrid w:val="0"/>
          <w:color w:val="auto"/>
          <w:kern w:val="0"/>
          <w:highlight w:val="none"/>
        </w:rPr>
        <w:drawing>
          <wp:inline distT="0" distB="0" distL="114300" distR="114300">
            <wp:extent cx="485775" cy="219075"/>
            <wp:effectExtent l="0" t="0" r="8890" b="9525"/>
            <wp:docPr id="10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7"/>
                    <pic:cNvPicPr>
                      <a:picLocks noChangeAspect="1"/>
                    </pic:cNvPicPr>
                  </pic:nvPicPr>
                  <pic:blipFill>
                    <a:blip r:embed="rId59"/>
                    <a:stretch>
                      <a:fillRect/>
                    </a:stretch>
                  </pic:blipFill>
                  <pic:spPr>
                    <a:xfrm>
                      <a:off x="0" y="0"/>
                      <a:ext cx="485775" cy="21907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w:t>
      </w:r>
    </w:p>
    <w:p w14:paraId="2A109910">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⑤</w:t>
      </w:r>
      <w:r>
        <w:rPr>
          <w:rFonts w:ascii="Times New Roman" w:hAnsi="Times New Roman" w:eastAsia="宋体" w:cs="Times New Roman"/>
          <w:snapToGrid w:val="0"/>
          <w:color w:val="auto"/>
          <w:kern w:val="0"/>
          <w:highlight w:val="none"/>
        </w:rPr>
        <w:t>计算总声压级</w:t>
      </w:r>
    </w:p>
    <w:p w14:paraId="2AD4E50B">
      <w:pPr>
        <w:pStyle w:val="504"/>
        <w:widowControl/>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设第i个室外声源在预测点产生的A声级为</w:t>
      </w:r>
      <w:r>
        <w:rPr>
          <w:rFonts w:ascii="Times New Roman" w:hAnsi="Times New Roman" w:eastAsia="宋体" w:cs="Times New Roman"/>
          <w:snapToGrid w:val="0"/>
          <w:color w:val="auto"/>
          <w:kern w:val="0"/>
          <w:highlight w:val="none"/>
        </w:rPr>
        <w:drawing>
          <wp:inline distT="0" distB="0" distL="114300" distR="114300">
            <wp:extent cx="333375" cy="238125"/>
            <wp:effectExtent l="0" t="0" r="9525" b="7620"/>
            <wp:docPr id="10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8"/>
                    <pic:cNvPicPr>
                      <a:picLocks noChangeAspect="1"/>
                    </pic:cNvPicPr>
                  </pic:nvPicPr>
                  <pic:blipFill>
                    <a:blip r:embed="rId60"/>
                    <a:stretch>
                      <a:fillRect/>
                    </a:stretch>
                  </pic:blipFill>
                  <pic:spPr>
                    <a:xfrm>
                      <a:off x="0" y="0"/>
                      <a:ext cx="333375" cy="2381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，在</w:t>
      </w:r>
      <w:r>
        <w:rPr>
          <w:rFonts w:ascii="Times New Roman" w:hAnsi="Times New Roman" w:eastAsia="宋体" w:cs="Times New Roman"/>
          <w:snapToGrid w:val="0"/>
          <w:color w:val="auto"/>
          <w:kern w:val="0"/>
          <w:highlight w:val="none"/>
        </w:rPr>
        <w:drawing>
          <wp:inline distT="0" distB="0" distL="114300" distR="114300">
            <wp:extent cx="142875" cy="161925"/>
            <wp:effectExtent l="0" t="0" r="9525" b="6350"/>
            <wp:docPr id="8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9"/>
                    <pic:cNvPicPr>
                      <a:picLocks noChangeAspect="1"/>
                    </pic:cNvPicPr>
                  </pic:nvPicPr>
                  <pic:blipFill>
                    <a:blip r:embed="rId61"/>
                    <a:stretch>
                      <a:fillRect/>
                    </a:stretch>
                  </pic:blipFill>
                  <pic:spPr>
                    <a:xfrm>
                      <a:off x="0" y="0"/>
                      <a:ext cx="142875" cy="1619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时间内该声源工作时间为</w:t>
      </w:r>
      <w:r>
        <w:rPr>
          <w:rFonts w:ascii="Times New Roman" w:hAnsi="Times New Roman" w:eastAsia="宋体" w:cs="Times New Roman"/>
          <w:snapToGrid w:val="0"/>
          <w:color w:val="auto"/>
          <w:kern w:val="0"/>
          <w:highlight w:val="none"/>
        </w:rPr>
        <w:drawing>
          <wp:inline distT="0" distB="0" distL="114300" distR="114300">
            <wp:extent cx="219075" cy="238125"/>
            <wp:effectExtent l="0" t="0" r="9525" b="6350"/>
            <wp:docPr id="11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0"/>
                    <pic:cNvPicPr>
                      <a:picLocks noChangeAspect="1"/>
                    </pic:cNvPicPr>
                  </pic:nvPicPr>
                  <pic:blipFill>
                    <a:blip r:embed="rId62"/>
                    <a:stretch>
                      <a:fillRect/>
                    </a:stretch>
                  </pic:blipFill>
                  <pic:spPr>
                    <a:xfrm>
                      <a:off x="0" y="0"/>
                      <a:ext cx="219075" cy="2381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，第j个等效室外声源在预测点产生的A声级为</w:t>
      </w:r>
      <w:r>
        <w:rPr>
          <w:rFonts w:ascii="Times New Roman" w:hAnsi="Times New Roman" w:eastAsia="宋体" w:cs="Times New Roman"/>
          <w:snapToGrid w:val="0"/>
          <w:color w:val="auto"/>
          <w:kern w:val="0"/>
          <w:highlight w:val="none"/>
        </w:rPr>
        <w:drawing>
          <wp:inline distT="0" distB="0" distL="114300" distR="114300">
            <wp:extent cx="390525" cy="238125"/>
            <wp:effectExtent l="0" t="0" r="9525" b="7620"/>
            <wp:docPr id="11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1"/>
                    <pic:cNvPicPr>
                      <a:picLocks noChangeAspect="1"/>
                    </pic:cNvPicPr>
                  </pic:nvPicPr>
                  <pic:blipFill>
                    <a:blip r:embed="rId63"/>
                    <a:stretch>
                      <a:fillRect/>
                    </a:stretch>
                  </pic:blipFill>
                  <pic:spPr>
                    <a:xfrm>
                      <a:off x="0" y="0"/>
                      <a:ext cx="390525" cy="2381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，在</w:t>
      </w:r>
      <w:r>
        <w:rPr>
          <w:rFonts w:ascii="Times New Roman" w:hAnsi="Times New Roman" w:eastAsia="宋体" w:cs="Times New Roman"/>
          <w:snapToGrid w:val="0"/>
          <w:color w:val="auto"/>
          <w:kern w:val="0"/>
          <w:highlight w:val="none"/>
        </w:rPr>
        <w:drawing>
          <wp:inline distT="0" distB="0" distL="114300" distR="114300">
            <wp:extent cx="142875" cy="161925"/>
            <wp:effectExtent l="0" t="0" r="9525" b="6350"/>
            <wp:docPr id="11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2"/>
                    <pic:cNvPicPr>
                      <a:picLocks noChangeAspect="1"/>
                    </pic:cNvPicPr>
                  </pic:nvPicPr>
                  <pic:blipFill>
                    <a:blip r:embed="rId61"/>
                    <a:stretch>
                      <a:fillRect/>
                    </a:stretch>
                  </pic:blipFill>
                  <pic:spPr>
                    <a:xfrm>
                      <a:off x="0" y="0"/>
                      <a:ext cx="142875" cy="1619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时间内该声源工作时间为</w:t>
      </w:r>
      <w:r>
        <w:rPr>
          <w:rFonts w:ascii="Times New Roman" w:hAnsi="Times New Roman" w:eastAsia="宋体" w:cs="Times New Roman"/>
          <w:snapToGrid w:val="0"/>
          <w:color w:val="auto"/>
          <w:kern w:val="0"/>
          <w:highlight w:val="none"/>
        </w:rPr>
        <w:drawing>
          <wp:inline distT="0" distB="0" distL="114300" distR="114300">
            <wp:extent cx="295275" cy="238125"/>
            <wp:effectExtent l="0" t="0" r="9525" b="6350"/>
            <wp:docPr id="11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3"/>
                    <pic:cNvPicPr>
                      <a:picLocks noChangeAspect="1"/>
                    </pic:cNvPicPr>
                  </pic:nvPicPr>
                  <pic:blipFill>
                    <a:blip r:embed="rId64"/>
                    <a:stretch>
                      <a:fillRect/>
                    </a:stretch>
                  </pic:blipFill>
                  <pic:spPr>
                    <a:xfrm>
                      <a:off x="0" y="0"/>
                      <a:ext cx="295275" cy="2381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，则预测点的总等效声级为：</w:t>
      </w:r>
    </w:p>
    <w:p w14:paraId="396C94B2">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snapToGrid w:val="0"/>
          <w:color w:val="auto"/>
          <w:kern w:val="0"/>
          <w:sz w:val="24"/>
          <w:highlight w:val="none"/>
        </w:rPr>
        <w:drawing>
          <wp:anchor distT="0" distB="0" distL="114300" distR="114300" simplePos="0" relativeHeight="251664384" behindDoc="0" locked="0" layoutInCell="1" allowOverlap="1">
            <wp:simplePos x="0" y="0"/>
            <wp:positionH relativeFrom="column">
              <wp:posOffset>960120</wp:posOffset>
            </wp:positionH>
            <wp:positionV relativeFrom="paragraph">
              <wp:posOffset>21590</wp:posOffset>
            </wp:positionV>
            <wp:extent cx="3276600" cy="485775"/>
            <wp:effectExtent l="0" t="0" r="0" b="8890"/>
            <wp:wrapTopAndBottom/>
            <wp:docPr id="11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4"/>
                    <pic:cNvPicPr>
                      <a:picLocks noChangeAspect="1"/>
                    </pic:cNvPicPr>
                  </pic:nvPicPr>
                  <pic:blipFill>
                    <a:blip r:embed="rId65"/>
                    <a:stretch>
                      <a:fillRect/>
                    </a:stretch>
                  </pic:blipFill>
                  <pic:spPr>
                    <a:xfrm>
                      <a:off x="0" y="0"/>
                      <a:ext cx="3276600" cy="485775"/>
                    </a:xfrm>
                    <a:prstGeom prst="rect">
                      <a:avLst/>
                    </a:prstGeom>
                    <a:noFill/>
                    <a:ln>
                      <a:noFill/>
                    </a:ln>
                  </pic:spPr>
                </pic:pic>
              </a:graphicData>
            </a:graphic>
          </wp:anchor>
        </w:drawing>
      </w:r>
      <w:r>
        <w:rPr>
          <w:snapToGrid w:val="0"/>
          <w:color w:val="auto"/>
          <w:kern w:val="0"/>
          <w:sz w:val="24"/>
          <w:highlight w:val="none"/>
        </w:rPr>
        <w:t>式中：</w:t>
      </w:r>
      <w:r>
        <w:rPr>
          <w:snapToGrid w:val="0"/>
          <w:color w:val="auto"/>
          <w:kern w:val="0"/>
          <w:sz w:val="24"/>
          <w:highlight w:val="none"/>
        </w:rPr>
        <w:drawing>
          <wp:inline distT="0" distB="0" distL="114300" distR="114300">
            <wp:extent cx="142875" cy="161925"/>
            <wp:effectExtent l="0" t="0" r="9525" b="6350"/>
            <wp:docPr id="11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5"/>
                    <pic:cNvPicPr>
                      <a:picLocks noChangeAspect="1"/>
                    </pic:cNvPicPr>
                  </pic:nvPicPr>
                  <pic:blipFill>
                    <a:blip r:embed="rId61"/>
                    <a:stretch>
                      <a:fillRect/>
                    </a:stretch>
                  </pic:blipFill>
                  <pic:spPr>
                    <a:xfrm>
                      <a:off x="0" y="0"/>
                      <a:ext cx="142875" cy="161925"/>
                    </a:xfrm>
                    <a:prstGeom prst="rect">
                      <a:avLst/>
                    </a:prstGeom>
                    <a:noFill/>
                    <a:ln>
                      <a:noFill/>
                    </a:ln>
                  </pic:spPr>
                </pic:pic>
              </a:graphicData>
            </a:graphic>
          </wp:inline>
        </w:drawing>
      </w:r>
      <w:r>
        <w:rPr>
          <w:snapToGrid w:val="0"/>
          <w:color w:val="auto"/>
          <w:kern w:val="0"/>
          <w:sz w:val="24"/>
          <w:highlight w:val="none"/>
        </w:rPr>
        <w:t>—计算等效声级的时间，h；</w:t>
      </w:r>
    </w:p>
    <w:p w14:paraId="55ED51F5">
      <w:pPr>
        <w:widowControl/>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drawing>
          <wp:inline distT="0" distB="0" distL="114300" distR="114300">
            <wp:extent cx="180975" cy="180975"/>
            <wp:effectExtent l="0" t="0" r="9525" b="8890"/>
            <wp:docPr id="11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46"/>
                    <pic:cNvPicPr>
                      <a:picLocks noChangeAspect="1"/>
                    </pic:cNvPicPr>
                  </pic:nvPicPr>
                  <pic:blipFill>
                    <a:blip r:embed="rId66"/>
                    <a:stretch>
                      <a:fillRect/>
                    </a:stretch>
                  </pic:blipFill>
                  <pic:spPr>
                    <a:xfrm>
                      <a:off x="0" y="0"/>
                      <a:ext cx="180975" cy="180975"/>
                    </a:xfrm>
                    <a:prstGeom prst="rect">
                      <a:avLst/>
                    </a:prstGeom>
                    <a:noFill/>
                    <a:ln>
                      <a:noFill/>
                    </a:ln>
                  </pic:spPr>
                </pic:pic>
              </a:graphicData>
            </a:graphic>
          </wp:inline>
        </w:drawing>
      </w:r>
      <w:r>
        <w:rPr>
          <w:snapToGrid w:val="0"/>
          <w:color w:val="auto"/>
          <w:kern w:val="0"/>
          <w:sz w:val="24"/>
          <w:highlight w:val="none"/>
        </w:rPr>
        <w:t>—室外声源个数；</w:t>
      </w:r>
    </w:p>
    <w:p w14:paraId="04F442D8">
      <w:pPr>
        <w:pStyle w:val="504"/>
        <w:widowControl/>
        <w:adjustRightInd w:val="0"/>
        <w:snapToGrid w:val="0"/>
        <w:spacing w:line="360" w:lineRule="auto"/>
        <w:ind w:firstLine="1200" w:firstLineChars="50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drawing>
          <wp:inline distT="0" distB="0" distL="114300" distR="114300">
            <wp:extent cx="200025" cy="161925"/>
            <wp:effectExtent l="0" t="0" r="0" b="6350"/>
            <wp:docPr id="11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47"/>
                    <pic:cNvPicPr>
                      <a:picLocks noChangeAspect="1"/>
                    </pic:cNvPicPr>
                  </pic:nvPicPr>
                  <pic:blipFill>
                    <a:blip r:embed="rId67"/>
                    <a:stretch>
                      <a:fillRect/>
                    </a:stretch>
                  </pic:blipFill>
                  <pic:spPr>
                    <a:xfrm>
                      <a:off x="0" y="0"/>
                      <a:ext cx="200025" cy="161925"/>
                    </a:xfrm>
                    <a:prstGeom prst="rect">
                      <a:avLst/>
                    </a:prstGeom>
                    <a:noFill/>
                    <a:ln>
                      <a:noFill/>
                    </a:ln>
                  </pic:spPr>
                </pic:pic>
              </a:graphicData>
            </a:graphic>
          </wp:inline>
        </w:drawing>
      </w:r>
      <w:r>
        <w:rPr>
          <w:rFonts w:ascii="Times New Roman" w:hAnsi="Times New Roman" w:eastAsia="宋体" w:cs="Times New Roman"/>
          <w:snapToGrid w:val="0"/>
          <w:color w:val="auto"/>
          <w:kern w:val="0"/>
          <w:highlight w:val="none"/>
        </w:rPr>
        <w:t>—等效室外声源个数。</w:t>
      </w:r>
    </w:p>
    <w:p w14:paraId="63F4940F">
      <w:pPr>
        <w:pStyle w:val="504"/>
        <w:widowControl/>
        <w:adjustRightInd w:val="0"/>
        <w:snapToGrid w:val="0"/>
        <w:spacing w:line="360" w:lineRule="auto"/>
        <w:ind w:firstLine="1200" w:firstLineChars="50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L</w:t>
      </w:r>
      <w:r>
        <w:rPr>
          <w:rFonts w:ascii="Times New Roman" w:hAnsi="Times New Roman" w:eastAsia="宋体" w:cs="Times New Roman"/>
          <w:snapToGrid w:val="0"/>
          <w:color w:val="auto"/>
          <w:kern w:val="0"/>
          <w:highlight w:val="none"/>
          <w:vertAlign w:val="subscript"/>
        </w:rPr>
        <w:t>eqb</w:t>
      </w:r>
      <w:r>
        <w:rPr>
          <w:rFonts w:ascii="Times New Roman" w:hAnsi="Times New Roman" w:eastAsia="宋体" w:cs="Times New Roman"/>
          <w:snapToGrid w:val="0"/>
          <w:color w:val="auto"/>
          <w:kern w:val="0"/>
          <w:highlight w:val="none"/>
        </w:rPr>
        <w:t>－预测点的背景值，dB</w:t>
      </w:r>
      <w:r>
        <w:rPr>
          <w:rFonts w:hint="eastAsia" w:ascii="Times New Roman" w:hAnsi="Times New Roman" w:eastAsia="宋体" w:cs="Times New Roman"/>
          <w:snapToGrid w:val="0"/>
          <w:color w:val="auto"/>
          <w:kern w:val="0"/>
          <w:highlight w:val="none"/>
          <w:lang w:eastAsia="zh-CN"/>
        </w:rPr>
        <w:t>（</w:t>
      </w:r>
      <w:r>
        <w:rPr>
          <w:rFonts w:ascii="Times New Roman" w:hAnsi="Times New Roman" w:eastAsia="宋体" w:cs="Times New Roman"/>
          <w:snapToGrid w:val="0"/>
          <w:color w:val="auto"/>
          <w:kern w:val="0"/>
          <w:highlight w:val="none"/>
        </w:rPr>
        <w:t>A</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w:t>
      </w:r>
    </w:p>
    <w:p w14:paraId="160090F2">
      <w:pPr>
        <w:pStyle w:val="504"/>
        <w:widowControl/>
        <w:numPr>
          <w:ilvl w:val="0"/>
          <w:numId w:val="3"/>
        </w:numPr>
        <w:adjustRightInd w:val="0"/>
        <w:snapToGrid w:val="0"/>
        <w:spacing w:line="360" w:lineRule="auto"/>
        <w:ind w:firstLine="480"/>
        <w:rPr>
          <w:rFonts w:hint="eastAsia"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确定某预测点可能受到影响的主要声源，根据声源源强的数据、参数，计算出噪声从各声源传播到预测点上的声衰减量，由此计算出各声源单独作用于预测点时产生的A声级（LAi）。</w:t>
      </w:r>
    </w:p>
    <w:p w14:paraId="13AE3ADC">
      <w:pPr>
        <w:pStyle w:val="504"/>
        <w:widowControl/>
        <w:numPr>
          <w:ilvl w:val="0"/>
          <w:numId w:val="0"/>
        </w:numPr>
        <w:adjustRightInd w:val="0"/>
        <w:snapToGrid w:val="0"/>
        <w:spacing w:line="360" w:lineRule="auto"/>
        <w:rPr>
          <w:rFonts w:hint="eastAsia" w:ascii="Times New Roman" w:hAnsi="Times New Roman" w:eastAsia="宋体" w:cs="Times New Roman"/>
          <w:snapToGrid w:val="0"/>
          <w:color w:val="auto"/>
          <w:kern w:val="0"/>
          <w:highlight w:val="none"/>
        </w:rPr>
      </w:pPr>
    </w:p>
    <w:p w14:paraId="243B147B">
      <w:pPr>
        <w:pStyle w:val="504"/>
        <w:widowControl/>
        <w:adjustRightInd w:val="0"/>
        <w:snapToGrid w:val="0"/>
        <w:spacing w:line="360" w:lineRule="auto"/>
        <w:ind w:firstLine="480"/>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6.2.3.5预测结果</w:t>
      </w:r>
    </w:p>
    <w:p w14:paraId="65020DAE">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通过预测模型计算，项目厂界噪声预测结果与达标分析见表</w:t>
      </w:r>
      <w:r>
        <w:rPr>
          <w:rFonts w:hint="eastAsia" w:ascii="Times New Roman" w:hAnsi="Times New Roman" w:eastAsia="宋体" w:cs="Times New Roman"/>
          <w:snapToGrid w:val="0"/>
          <w:color w:val="auto"/>
          <w:kern w:val="0"/>
          <w:highlight w:val="none"/>
        </w:rPr>
        <w:t>6.2-3</w:t>
      </w:r>
      <w:r>
        <w:rPr>
          <w:rFonts w:hint="eastAsia" w:ascii="Times New Roman" w:hAnsi="Times New Roman" w:eastAsia="宋体" w:cs="Times New Roman"/>
          <w:snapToGrid w:val="0"/>
          <w:color w:val="auto"/>
          <w:kern w:val="0"/>
          <w:highlight w:val="none"/>
          <w:lang w:val="en-US" w:eastAsia="zh-CN"/>
        </w:rPr>
        <w:t>4</w:t>
      </w:r>
      <w:r>
        <w:rPr>
          <w:rFonts w:hint="eastAsia" w:ascii="Times New Roman" w:hAnsi="Times New Roman" w:eastAsia="宋体" w:cs="Times New Roman"/>
          <w:snapToGrid w:val="0"/>
          <w:color w:val="auto"/>
          <w:kern w:val="0"/>
          <w:highlight w:val="none"/>
        </w:rPr>
        <w:t>。</w:t>
      </w:r>
    </w:p>
    <w:p w14:paraId="3612A231">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eastAsiaTheme="minorEastAsia"/>
          <w:snapToGrid w:val="0"/>
          <w:color w:val="auto"/>
          <w:kern w:val="0"/>
          <w:sz w:val="21"/>
          <w:szCs w:val="21"/>
          <w:highlight w:val="none"/>
          <w:lang w:eastAsia="zh-CN"/>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6.2-3</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rPr>
        <w:t xml:space="preserve"> 噪声预测结果与达标分析表   单位：dB</w:t>
      </w:r>
      <w:r>
        <w:rPr>
          <w:rFonts w:hint="eastAsia" w:ascii="Times New Roman" w:hAnsi="Times New Roman" w:cs="Times New Roman"/>
          <w:snapToGrid w:val="0"/>
          <w:color w:val="auto"/>
          <w:kern w:val="0"/>
          <w:sz w:val="21"/>
          <w:szCs w:val="21"/>
          <w:highlight w:val="none"/>
          <w:lang w:eastAsia="zh-CN"/>
        </w:rPr>
        <w:t>（</w:t>
      </w:r>
      <w:r>
        <w:rPr>
          <w:rFonts w:hint="eastAsia" w:ascii="Times New Roman" w:hAnsi="Times New Roman" w:cs="Times New Roman"/>
          <w:snapToGrid w:val="0"/>
          <w:color w:val="auto"/>
          <w:kern w:val="0"/>
          <w:sz w:val="21"/>
          <w:szCs w:val="21"/>
          <w:highlight w:val="none"/>
        </w:rPr>
        <w:t>A</w:t>
      </w:r>
      <w:r>
        <w:rPr>
          <w:rFonts w:hint="eastAsia" w:ascii="Times New Roman" w:hAnsi="Times New Roman" w:cs="Times New Roman"/>
          <w:snapToGrid w:val="0"/>
          <w:color w:val="auto"/>
          <w:kern w:val="0"/>
          <w:sz w:val="21"/>
          <w:szCs w:val="21"/>
          <w:highlight w:val="none"/>
          <w:lang w:eastAsia="zh-CN"/>
        </w:rPr>
        <w:t>）</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1"/>
        <w:gridCol w:w="1023"/>
        <w:gridCol w:w="1259"/>
        <w:gridCol w:w="1259"/>
        <w:gridCol w:w="1259"/>
        <w:gridCol w:w="1259"/>
        <w:gridCol w:w="1105"/>
      </w:tblGrid>
      <w:tr w14:paraId="55BB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8" w:type="pct"/>
            <w:shd w:val="clear" w:color="auto" w:fill="auto"/>
            <w:vAlign w:val="center"/>
          </w:tcPr>
          <w:p w14:paraId="1C2ECF02">
            <w:pPr>
              <w:adjustRightInd w:val="0"/>
              <w:snapToGrid w:val="0"/>
              <w:jc w:val="center"/>
              <w:rPr>
                <w:snapToGrid w:val="0"/>
                <w:color w:val="auto"/>
                <w:kern w:val="0"/>
                <w:szCs w:val="21"/>
                <w:highlight w:val="none"/>
              </w:rPr>
            </w:pPr>
            <w:r>
              <w:rPr>
                <w:snapToGrid w:val="0"/>
                <w:color w:val="auto"/>
                <w:kern w:val="0"/>
                <w:szCs w:val="21"/>
                <w:highlight w:val="none"/>
              </w:rPr>
              <w:t>预测方位</w:t>
            </w:r>
          </w:p>
        </w:tc>
        <w:tc>
          <w:tcPr>
            <w:tcW w:w="600" w:type="pct"/>
            <w:shd w:val="clear" w:color="auto" w:fill="auto"/>
            <w:vAlign w:val="center"/>
          </w:tcPr>
          <w:p w14:paraId="758E675A">
            <w:pPr>
              <w:adjustRightInd w:val="0"/>
              <w:snapToGrid w:val="0"/>
              <w:jc w:val="center"/>
              <w:rPr>
                <w:snapToGrid w:val="0"/>
                <w:color w:val="auto"/>
                <w:kern w:val="0"/>
                <w:szCs w:val="21"/>
                <w:highlight w:val="none"/>
              </w:rPr>
            </w:pPr>
            <w:r>
              <w:rPr>
                <w:snapToGrid w:val="0"/>
                <w:color w:val="auto"/>
                <w:kern w:val="0"/>
                <w:szCs w:val="21"/>
                <w:highlight w:val="none"/>
              </w:rPr>
              <w:t>时段</w:t>
            </w:r>
          </w:p>
        </w:tc>
        <w:tc>
          <w:tcPr>
            <w:tcW w:w="738" w:type="pct"/>
            <w:shd w:val="clear" w:color="auto" w:fill="auto"/>
            <w:vAlign w:val="center"/>
          </w:tcPr>
          <w:p w14:paraId="225FA29A">
            <w:pPr>
              <w:adjustRightInd w:val="0"/>
              <w:snapToGrid w:val="0"/>
              <w:jc w:val="center"/>
              <w:rPr>
                <w:snapToGrid w:val="0"/>
                <w:color w:val="auto"/>
                <w:kern w:val="0"/>
                <w:szCs w:val="21"/>
                <w:highlight w:val="none"/>
              </w:rPr>
            </w:pPr>
            <w:r>
              <w:rPr>
                <w:snapToGrid w:val="0"/>
                <w:color w:val="auto"/>
                <w:kern w:val="0"/>
                <w:szCs w:val="21"/>
                <w:highlight w:val="none"/>
              </w:rPr>
              <w:t>贡献值</w:t>
            </w:r>
          </w:p>
        </w:tc>
        <w:tc>
          <w:tcPr>
            <w:tcW w:w="738" w:type="pct"/>
            <w:shd w:val="clear" w:color="auto" w:fill="auto"/>
            <w:vAlign w:val="center"/>
          </w:tcPr>
          <w:p w14:paraId="6D19E5C2">
            <w:pPr>
              <w:adjustRightInd w:val="0"/>
              <w:snapToGrid w:val="0"/>
              <w:jc w:val="center"/>
              <w:rPr>
                <w:snapToGrid w:val="0"/>
                <w:color w:val="auto"/>
                <w:kern w:val="0"/>
                <w:szCs w:val="21"/>
                <w:highlight w:val="none"/>
              </w:rPr>
            </w:pPr>
            <w:r>
              <w:rPr>
                <w:rFonts w:hint="eastAsia"/>
                <w:snapToGrid w:val="0"/>
                <w:color w:val="auto"/>
                <w:kern w:val="0"/>
                <w:szCs w:val="21"/>
                <w:highlight w:val="none"/>
              </w:rPr>
              <w:t>现状值</w:t>
            </w:r>
          </w:p>
        </w:tc>
        <w:tc>
          <w:tcPr>
            <w:tcW w:w="738" w:type="pct"/>
            <w:shd w:val="clear" w:color="auto" w:fill="auto"/>
            <w:vAlign w:val="center"/>
          </w:tcPr>
          <w:p w14:paraId="221DCF05">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预测</w:t>
            </w:r>
            <w:r>
              <w:rPr>
                <w:rFonts w:hint="eastAsia"/>
                <w:snapToGrid w:val="0"/>
                <w:color w:val="auto"/>
                <w:kern w:val="0"/>
                <w:szCs w:val="21"/>
                <w:highlight w:val="none"/>
              </w:rPr>
              <w:t>值</w:t>
            </w:r>
          </w:p>
        </w:tc>
        <w:tc>
          <w:tcPr>
            <w:tcW w:w="738" w:type="pct"/>
            <w:shd w:val="clear" w:color="auto" w:fill="auto"/>
            <w:vAlign w:val="center"/>
          </w:tcPr>
          <w:p w14:paraId="04FBD5DE">
            <w:pPr>
              <w:adjustRightInd w:val="0"/>
              <w:snapToGrid w:val="0"/>
              <w:jc w:val="center"/>
              <w:rPr>
                <w:snapToGrid w:val="0"/>
                <w:color w:val="auto"/>
                <w:kern w:val="0"/>
                <w:szCs w:val="21"/>
                <w:highlight w:val="none"/>
              </w:rPr>
            </w:pPr>
            <w:r>
              <w:rPr>
                <w:snapToGrid w:val="0"/>
                <w:color w:val="auto"/>
                <w:kern w:val="0"/>
                <w:szCs w:val="21"/>
                <w:highlight w:val="none"/>
              </w:rPr>
              <w:t>标准</w:t>
            </w:r>
            <w:r>
              <w:rPr>
                <w:rFonts w:hint="eastAsia"/>
                <w:snapToGrid w:val="0"/>
                <w:color w:val="auto"/>
                <w:kern w:val="0"/>
                <w:szCs w:val="21"/>
                <w:highlight w:val="none"/>
              </w:rPr>
              <w:t>限</w:t>
            </w:r>
            <w:r>
              <w:rPr>
                <w:snapToGrid w:val="0"/>
                <w:color w:val="auto"/>
                <w:kern w:val="0"/>
                <w:szCs w:val="21"/>
                <w:highlight w:val="none"/>
              </w:rPr>
              <w:t>值</w:t>
            </w:r>
          </w:p>
        </w:tc>
        <w:tc>
          <w:tcPr>
            <w:tcW w:w="648" w:type="pct"/>
            <w:shd w:val="clear" w:color="auto" w:fill="auto"/>
            <w:vAlign w:val="center"/>
          </w:tcPr>
          <w:p w14:paraId="68A4432B">
            <w:pPr>
              <w:adjustRightInd w:val="0"/>
              <w:snapToGrid w:val="0"/>
              <w:jc w:val="center"/>
              <w:rPr>
                <w:snapToGrid w:val="0"/>
                <w:color w:val="auto"/>
                <w:kern w:val="0"/>
                <w:szCs w:val="21"/>
                <w:highlight w:val="none"/>
              </w:rPr>
            </w:pPr>
            <w:r>
              <w:rPr>
                <w:snapToGrid w:val="0"/>
                <w:color w:val="auto"/>
                <w:kern w:val="0"/>
                <w:szCs w:val="21"/>
                <w:highlight w:val="none"/>
              </w:rPr>
              <w:t>达标情况</w:t>
            </w:r>
          </w:p>
        </w:tc>
      </w:tr>
      <w:tr w14:paraId="6E79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restart"/>
            <w:shd w:val="clear" w:color="auto" w:fill="auto"/>
            <w:vAlign w:val="center"/>
          </w:tcPr>
          <w:p w14:paraId="69E47BD9">
            <w:pPr>
              <w:adjustRightInd w:val="0"/>
              <w:snapToGrid w:val="0"/>
              <w:jc w:val="center"/>
              <w:rPr>
                <w:snapToGrid w:val="0"/>
                <w:color w:val="auto"/>
                <w:kern w:val="0"/>
                <w:szCs w:val="21"/>
                <w:highlight w:val="none"/>
              </w:rPr>
            </w:pPr>
            <w:r>
              <w:rPr>
                <w:snapToGrid w:val="0"/>
                <w:color w:val="auto"/>
                <w:kern w:val="0"/>
                <w:szCs w:val="21"/>
                <w:highlight w:val="none"/>
              </w:rPr>
              <w:t>东侧</w:t>
            </w:r>
          </w:p>
        </w:tc>
        <w:tc>
          <w:tcPr>
            <w:tcW w:w="600" w:type="pct"/>
            <w:shd w:val="clear" w:color="auto" w:fill="auto"/>
            <w:vAlign w:val="center"/>
          </w:tcPr>
          <w:p w14:paraId="1C7519B3">
            <w:pPr>
              <w:adjustRightInd w:val="0"/>
              <w:snapToGrid w:val="0"/>
              <w:jc w:val="center"/>
              <w:rPr>
                <w:snapToGrid w:val="0"/>
                <w:color w:val="auto"/>
                <w:kern w:val="0"/>
                <w:szCs w:val="21"/>
                <w:highlight w:val="none"/>
              </w:rPr>
            </w:pPr>
            <w:r>
              <w:rPr>
                <w:snapToGrid w:val="0"/>
                <w:color w:val="auto"/>
                <w:kern w:val="0"/>
                <w:szCs w:val="21"/>
                <w:highlight w:val="none"/>
              </w:rPr>
              <w:t>昼间</w:t>
            </w:r>
          </w:p>
        </w:tc>
        <w:tc>
          <w:tcPr>
            <w:tcW w:w="738" w:type="pct"/>
            <w:shd w:val="clear" w:color="auto" w:fill="auto"/>
            <w:vAlign w:val="center"/>
          </w:tcPr>
          <w:p w14:paraId="14FED630">
            <w:pPr>
              <w:adjustRightInd w:val="0"/>
              <w:snapToGrid w:val="0"/>
              <w:jc w:val="center"/>
              <w:rPr>
                <w:snapToGrid w:val="0"/>
                <w:color w:val="auto"/>
                <w:kern w:val="0"/>
                <w:szCs w:val="21"/>
                <w:highlight w:val="none"/>
              </w:rPr>
            </w:pPr>
            <w:r>
              <w:rPr>
                <w:rFonts w:hint="eastAsia"/>
                <w:snapToGrid w:val="0"/>
                <w:color w:val="auto"/>
                <w:kern w:val="0"/>
                <w:szCs w:val="21"/>
                <w:highlight w:val="none"/>
              </w:rPr>
              <w:t>27.2</w:t>
            </w:r>
          </w:p>
        </w:tc>
        <w:tc>
          <w:tcPr>
            <w:tcW w:w="738" w:type="pct"/>
            <w:shd w:val="clear" w:color="auto" w:fill="auto"/>
            <w:vAlign w:val="center"/>
          </w:tcPr>
          <w:p w14:paraId="4DFEC13D">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50</w:t>
            </w:r>
          </w:p>
        </w:tc>
        <w:tc>
          <w:tcPr>
            <w:tcW w:w="738" w:type="pct"/>
            <w:shd w:val="clear" w:color="auto" w:fill="auto"/>
            <w:vAlign w:val="center"/>
          </w:tcPr>
          <w:p w14:paraId="7668671F">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50.0</w:t>
            </w:r>
          </w:p>
        </w:tc>
        <w:tc>
          <w:tcPr>
            <w:tcW w:w="738" w:type="pct"/>
            <w:shd w:val="clear" w:color="auto" w:fill="auto"/>
            <w:vAlign w:val="center"/>
          </w:tcPr>
          <w:p w14:paraId="78AE36EE">
            <w:pPr>
              <w:adjustRightInd w:val="0"/>
              <w:snapToGrid w:val="0"/>
              <w:jc w:val="center"/>
              <w:rPr>
                <w:snapToGrid w:val="0"/>
                <w:color w:val="auto"/>
                <w:kern w:val="0"/>
                <w:szCs w:val="21"/>
                <w:highlight w:val="none"/>
              </w:rPr>
            </w:pPr>
            <w:r>
              <w:rPr>
                <w:snapToGrid w:val="0"/>
                <w:color w:val="auto"/>
                <w:kern w:val="0"/>
                <w:szCs w:val="21"/>
                <w:highlight w:val="none"/>
              </w:rPr>
              <w:t>65</w:t>
            </w:r>
          </w:p>
        </w:tc>
        <w:tc>
          <w:tcPr>
            <w:tcW w:w="648" w:type="pct"/>
            <w:shd w:val="clear" w:color="auto" w:fill="auto"/>
            <w:vAlign w:val="center"/>
          </w:tcPr>
          <w:p w14:paraId="371E7406">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583D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continue"/>
            <w:shd w:val="clear" w:color="auto" w:fill="auto"/>
            <w:vAlign w:val="center"/>
          </w:tcPr>
          <w:p w14:paraId="63C5FA6C">
            <w:pPr>
              <w:adjustRightInd w:val="0"/>
              <w:snapToGrid w:val="0"/>
              <w:jc w:val="center"/>
              <w:rPr>
                <w:snapToGrid w:val="0"/>
                <w:color w:val="auto"/>
                <w:kern w:val="0"/>
                <w:szCs w:val="21"/>
                <w:highlight w:val="none"/>
              </w:rPr>
            </w:pPr>
          </w:p>
        </w:tc>
        <w:tc>
          <w:tcPr>
            <w:tcW w:w="600" w:type="pct"/>
            <w:shd w:val="clear" w:color="auto" w:fill="auto"/>
            <w:vAlign w:val="center"/>
          </w:tcPr>
          <w:p w14:paraId="0EBAD757">
            <w:pPr>
              <w:adjustRightInd w:val="0"/>
              <w:snapToGrid w:val="0"/>
              <w:jc w:val="center"/>
              <w:rPr>
                <w:snapToGrid w:val="0"/>
                <w:color w:val="auto"/>
                <w:kern w:val="0"/>
                <w:szCs w:val="21"/>
                <w:highlight w:val="none"/>
              </w:rPr>
            </w:pPr>
            <w:r>
              <w:rPr>
                <w:snapToGrid w:val="0"/>
                <w:color w:val="auto"/>
                <w:kern w:val="0"/>
                <w:szCs w:val="21"/>
                <w:highlight w:val="none"/>
              </w:rPr>
              <w:t>夜间</w:t>
            </w:r>
          </w:p>
        </w:tc>
        <w:tc>
          <w:tcPr>
            <w:tcW w:w="738" w:type="pct"/>
            <w:shd w:val="clear" w:color="auto" w:fill="auto"/>
            <w:vAlign w:val="center"/>
          </w:tcPr>
          <w:p w14:paraId="2B6B8502">
            <w:pPr>
              <w:adjustRightInd w:val="0"/>
              <w:snapToGrid w:val="0"/>
              <w:jc w:val="center"/>
              <w:rPr>
                <w:snapToGrid w:val="0"/>
                <w:color w:val="auto"/>
                <w:kern w:val="0"/>
                <w:szCs w:val="21"/>
                <w:highlight w:val="none"/>
              </w:rPr>
            </w:pPr>
            <w:r>
              <w:rPr>
                <w:rFonts w:hint="eastAsia"/>
                <w:snapToGrid w:val="0"/>
                <w:color w:val="auto"/>
                <w:kern w:val="0"/>
                <w:szCs w:val="21"/>
                <w:highlight w:val="none"/>
              </w:rPr>
              <w:t>27.2</w:t>
            </w:r>
          </w:p>
        </w:tc>
        <w:tc>
          <w:tcPr>
            <w:tcW w:w="738" w:type="pct"/>
            <w:shd w:val="clear" w:color="auto" w:fill="auto"/>
            <w:vAlign w:val="center"/>
          </w:tcPr>
          <w:p w14:paraId="427C703B">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49</w:t>
            </w:r>
          </w:p>
        </w:tc>
        <w:tc>
          <w:tcPr>
            <w:tcW w:w="738" w:type="pct"/>
            <w:shd w:val="clear" w:color="auto" w:fill="auto"/>
            <w:vAlign w:val="center"/>
          </w:tcPr>
          <w:p w14:paraId="02F64E71">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49.0</w:t>
            </w:r>
          </w:p>
        </w:tc>
        <w:tc>
          <w:tcPr>
            <w:tcW w:w="738" w:type="pct"/>
            <w:shd w:val="clear" w:color="auto" w:fill="auto"/>
            <w:vAlign w:val="center"/>
          </w:tcPr>
          <w:p w14:paraId="48D2B3DC">
            <w:pPr>
              <w:adjustRightInd w:val="0"/>
              <w:snapToGrid w:val="0"/>
              <w:jc w:val="center"/>
              <w:rPr>
                <w:snapToGrid w:val="0"/>
                <w:color w:val="auto"/>
                <w:kern w:val="0"/>
                <w:szCs w:val="21"/>
                <w:highlight w:val="none"/>
              </w:rPr>
            </w:pPr>
            <w:r>
              <w:rPr>
                <w:snapToGrid w:val="0"/>
                <w:color w:val="auto"/>
                <w:kern w:val="0"/>
                <w:szCs w:val="21"/>
                <w:highlight w:val="none"/>
              </w:rPr>
              <w:t>55</w:t>
            </w:r>
          </w:p>
        </w:tc>
        <w:tc>
          <w:tcPr>
            <w:tcW w:w="648" w:type="pct"/>
            <w:shd w:val="clear" w:color="auto" w:fill="auto"/>
            <w:vAlign w:val="center"/>
          </w:tcPr>
          <w:p w14:paraId="5217E6FE">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3FC4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restart"/>
            <w:shd w:val="clear" w:color="auto" w:fill="auto"/>
            <w:vAlign w:val="center"/>
          </w:tcPr>
          <w:p w14:paraId="201E84D2">
            <w:pPr>
              <w:adjustRightInd w:val="0"/>
              <w:snapToGrid w:val="0"/>
              <w:jc w:val="center"/>
              <w:rPr>
                <w:snapToGrid w:val="0"/>
                <w:color w:val="auto"/>
                <w:kern w:val="0"/>
                <w:szCs w:val="21"/>
                <w:highlight w:val="none"/>
              </w:rPr>
            </w:pPr>
            <w:r>
              <w:rPr>
                <w:snapToGrid w:val="0"/>
                <w:color w:val="auto"/>
                <w:kern w:val="0"/>
                <w:szCs w:val="21"/>
                <w:highlight w:val="none"/>
              </w:rPr>
              <w:t>南侧</w:t>
            </w:r>
          </w:p>
        </w:tc>
        <w:tc>
          <w:tcPr>
            <w:tcW w:w="600" w:type="pct"/>
            <w:shd w:val="clear" w:color="auto" w:fill="auto"/>
            <w:vAlign w:val="center"/>
          </w:tcPr>
          <w:p w14:paraId="2EA9BE51">
            <w:pPr>
              <w:adjustRightInd w:val="0"/>
              <w:snapToGrid w:val="0"/>
              <w:jc w:val="center"/>
              <w:rPr>
                <w:snapToGrid w:val="0"/>
                <w:color w:val="auto"/>
                <w:kern w:val="0"/>
                <w:szCs w:val="21"/>
                <w:highlight w:val="none"/>
              </w:rPr>
            </w:pPr>
            <w:r>
              <w:rPr>
                <w:snapToGrid w:val="0"/>
                <w:color w:val="auto"/>
                <w:kern w:val="0"/>
                <w:szCs w:val="21"/>
                <w:highlight w:val="none"/>
              </w:rPr>
              <w:t>昼间</w:t>
            </w:r>
          </w:p>
        </w:tc>
        <w:tc>
          <w:tcPr>
            <w:tcW w:w="738" w:type="pct"/>
            <w:shd w:val="clear" w:color="auto" w:fill="auto"/>
            <w:vAlign w:val="center"/>
          </w:tcPr>
          <w:p w14:paraId="78E49CA1">
            <w:pPr>
              <w:adjustRightInd w:val="0"/>
              <w:snapToGrid w:val="0"/>
              <w:jc w:val="center"/>
              <w:rPr>
                <w:snapToGrid w:val="0"/>
                <w:color w:val="auto"/>
                <w:kern w:val="0"/>
                <w:szCs w:val="21"/>
                <w:highlight w:val="none"/>
              </w:rPr>
            </w:pPr>
            <w:r>
              <w:rPr>
                <w:rFonts w:hint="eastAsia"/>
                <w:snapToGrid w:val="0"/>
                <w:color w:val="auto"/>
                <w:kern w:val="0"/>
                <w:szCs w:val="21"/>
                <w:highlight w:val="none"/>
              </w:rPr>
              <w:t>35.6</w:t>
            </w:r>
          </w:p>
        </w:tc>
        <w:tc>
          <w:tcPr>
            <w:tcW w:w="738" w:type="pct"/>
            <w:shd w:val="clear" w:color="auto" w:fill="auto"/>
            <w:vAlign w:val="center"/>
          </w:tcPr>
          <w:p w14:paraId="792458C8">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54</w:t>
            </w:r>
          </w:p>
        </w:tc>
        <w:tc>
          <w:tcPr>
            <w:tcW w:w="738" w:type="pct"/>
            <w:shd w:val="clear" w:color="auto" w:fill="auto"/>
            <w:vAlign w:val="center"/>
          </w:tcPr>
          <w:p w14:paraId="2135C45F">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54.1</w:t>
            </w:r>
          </w:p>
        </w:tc>
        <w:tc>
          <w:tcPr>
            <w:tcW w:w="738" w:type="pct"/>
            <w:shd w:val="clear" w:color="auto" w:fill="auto"/>
            <w:vAlign w:val="center"/>
          </w:tcPr>
          <w:p w14:paraId="233FD71C">
            <w:pPr>
              <w:adjustRightInd w:val="0"/>
              <w:snapToGrid w:val="0"/>
              <w:jc w:val="center"/>
              <w:rPr>
                <w:snapToGrid w:val="0"/>
                <w:color w:val="auto"/>
                <w:kern w:val="0"/>
                <w:szCs w:val="21"/>
                <w:highlight w:val="none"/>
              </w:rPr>
            </w:pPr>
            <w:r>
              <w:rPr>
                <w:snapToGrid w:val="0"/>
                <w:color w:val="auto"/>
                <w:kern w:val="0"/>
                <w:szCs w:val="21"/>
                <w:highlight w:val="none"/>
              </w:rPr>
              <w:t>65</w:t>
            </w:r>
          </w:p>
        </w:tc>
        <w:tc>
          <w:tcPr>
            <w:tcW w:w="648" w:type="pct"/>
            <w:shd w:val="clear" w:color="auto" w:fill="auto"/>
            <w:vAlign w:val="center"/>
          </w:tcPr>
          <w:p w14:paraId="4BA6A551">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08F2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continue"/>
            <w:shd w:val="clear" w:color="auto" w:fill="auto"/>
            <w:vAlign w:val="center"/>
          </w:tcPr>
          <w:p w14:paraId="64642F8F">
            <w:pPr>
              <w:adjustRightInd w:val="0"/>
              <w:snapToGrid w:val="0"/>
              <w:jc w:val="center"/>
              <w:rPr>
                <w:snapToGrid w:val="0"/>
                <w:color w:val="auto"/>
                <w:kern w:val="0"/>
                <w:szCs w:val="21"/>
                <w:highlight w:val="none"/>
              </w:rPr>
            </w:pPr>
          </w:p>
        </w:tc>
        <w:tc>
          <w:tcPr>
            <w:tcW w:w="600" w:type="pct"/>
            <w:shd w:val="clear" w:color="auto" w:fill="auto"/>
            <w:vAlign w:val="center"/>
          </w:tcPr>
          <w:p w14:paraId="48D5BDD1">
            <w:pPr>
              <w:adjustRightInd w:val="0"/>
              <w:snapToGrid w:val="0"/>
              <w:jc w:val="center"/>
              <w:rPr>
                <w:snapToGrid w:val="0"/>
                <w:color w:val="auto"/>
                <w:kern w:val="0"/>
                <w:szCs w:val="21"/>
                <w:highlight w:val="none"/>
              </w:rPr>
            </w:pPr>
            <w:r>
              <w:rPr>
                <w:snapToGrid w:val="0"/>
                <w:color w:val="auto"/>
                <w:kern w:val="0"/>
                <w:szCs w:val="21"/>
                <w:highlight w:val="none"/>
              </w:rPr>
              <w:t>夜间</w:t>
            </w:r>
          </w:p>
        </w:tc>
        <w:tc>
          <w:tcPr>
            <w:tcW w:w="738" w:type="pct"/>
            <w:shd w:val="clear" w:color="auto" w:fill="auto"/>
            <w:vAlign w:val="center"/>
          </w:tcPr>
          <w:p w14:paraId="5F74EF5C">
            <w:pPr>
              <w:adjustRightInd w:val="0"/>
              <w:snapToGrid w:val="0"/>
              <w:jc w:val="center"/>
              <w:rPr>
                <w:snapToGrid w:val="0"/>
                <w:color w:val="auto"/>
                <w:kern w:val="0"/>
                <w:szCs w:val="21"/>
                <w:highlight w:val="none"/>
              </w:rPr>
            </w:pPr>
            <w:r>
              <w:rPr>
                <w:rFonts w:hint="eastAsia"/>
                <w:snapToGrid w:val="0"/>
                <w:color w:val="auto"/>
                <w:kern w:val="0"/>
                <w:szCs w:val="21"/>
                <w:highlight w:val="none"/>
              </w:rPr>
              <w:t>35.6</w:t>
            </w:r>
          </w:p>
        </w:tc>
        <w:tc>
          <w:tcPr>
            <w:tcW w:w="738" w:type="pct"/>
            <w:shd w:val="clear" w:color="auto" w:fill="auto"/>
            <w:vAlign w:val="center"/>
          </w:tcPr>
          <w:p w14:paraId="44273DE8">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37</w:t>
            </w:r>
          </w:p>
        </w:tc>
        <w:tc>
          <w:tcPr>
            <w:tcW w:w="738" w:type="pct"/>
            <w:shd w:val="clear" w:color="auto" w:fill="auto"/>
            <w:vAlign w:val="center"/>
          </w:tcPr>
          <w:p w14:paraId="132B0E5D">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39.4</w:t>
            </w:r>
          </w:p>
        </w:tc>
        <w:tc>
          <w:tcPr>
            <w:tcW w:w="738" w:type="pct"/>
            <w:shd w:val="clear" w:color="auto" w:fill="auto"/>
            <w:vAlign w:val="center"/>
          </w:tcPr>
          <w:p w14:paraId="6289CB48">
            <w:pPr>
              <w:adjustRightInd w:val="0"/>
              <w:snapToGrid w:val="0"/>
              <w:jc w:val="center"/>
              <w:rPr>
                <w:snapToGrid w:val="0"/>
                <w:color w:val="auto"/>
                <w:kern w:val="0"/>
                <w:szCs w:val="21"/>
                <w:highlight w:val="none"/>
              </w:rPr>
            </w:pPr>
            <w:r>
              <w:rPr>
                <w:snapToGrid w:val="0"/>
                <w:color w:val="auto"/>
                <w:kern w:val="0"/>
                <w:szCs w:val="21"/>
                <w:highlight w:val="none"/>
              </w:rPr>
              <w:t>55</w:t>
            </w:r>
          </w:p>
        </w:tc>
        <w:tc>
          <w:tcPr>
            <w:tcW w:w="648" w:type="pct"/>
            <w:shd w:val="clear" w:color="auto" w:fill="auto"/>
            <w:vAlign w:val="center"/>
          </w:tcPr>
          <w:p w14:paraId="34E4F130">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63BA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restart"/>
            <w:shd w:val="clear" w:color="auto" w:fill="auto"/>
            <w:vAlign w:val="center"/>
          </w:tcPr>
          <w:p w14:paraId="71958121">
            <w:pPr>
              <w:adjustRightInd w:val="0"/>
              <w:snapToGrid w:val="0"/>
              <w:jc w:val="center"/>
              <w:rPr>
                <w:snapToGrid w:val="0"/>
                <w:color w:val="auto"/>
                <w:kern w:val="0"/>
                <w:szCs w:val="21"/>
                <w:highlight w:val="none"/>
              </w:rPr>
            </w:pPr>
            <w:r>
              <w:rPr>
                <w:snapToGrid w:val="0"/>
                <w:color w:val="auto"/>
                <w:kern w:val="0"/>
                <w:szCs w:val="21"/>
                <w:highlight w:val="none"/>
              </w:rPr>
              <w:t>西侧</w:t>
            </w:r>
          </w:p>
        </w:tc>
        <w:tc>
          <w:tcPr>
            <w:tcW w:w="600" w:type="pct"/>
            <w:shd w:val="clear" w:color="auto" w:fill="auto"/>
            <w:vAlign w:val="center"/>
          </w:tcPr>
          <w:p w14:paraId="29AF8EB9">
            <w:pPr>
              <w:adjustRightInd w:val="0"/>
              <w:snapToGrid w:val="0"/>
              <w:jc w:val="center"/>
              <w:rPr>
                <w:snapToGrid w:val="0"/>
                <w:color w:val="auto"/>
                <w:kern w:val="0"/>
                <w:szCs w:val="21"/>
                <w:highlight w:val="none"/>
              </w:rPr>
            </w:pPr>
            <w:r>
              <w:rPr>
                <w:snapToGrid w:val="0"/>
                <w:color w:val="auto"/>
                <w:kern w:val="0"/>
                <w:szCs w:val="21"/>
                <w:highlight w:val="none"/>
              </w:rPr>
              <w:t>昼间</w:t>
            </w:r>
          </w:p>
        </w:tc>
        <w:tc>
          <w:tcPr>
            <w:tcW w:w="738" w:type="pct"/>
            <w:shd w:val="clear" w:color="auto" w:fill="auto"/>
            <w:vAlign w:val="center"/>
          </w:tcPr>
          <w:p w14:paraId="4B793386">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42</w:t>
            </w:r>
            <w:r>
              <w:rPr>
                <w:rFonts w:hint="eastAsia"/>
                <w:snapToGrid w:val="0"/>
                <w:color w:val="auto"/>
                <w:kern w:val="0"/>
                <w:szCs w:val="21"/>
                <w:highlight w:val="none"/>
              </w:rPr>
              <w:t>.1</w:t>
            </w:r>
          </w:p>
        </w:tc>
        <w:tc>
          <w:tcPr>
            <w:tcW w:w="738" w:type="pct"/>
            <w:shd w:val="clear" w:color="auto" w:fill="auto"/>
            <w:vAlign w:val="center"/>
          </w:tcPr>
          <w:p w14:paraId="53428584">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42</w:t>
            </w:r>
          </w:p>
        </w:tc>
        <w:tc>
          <w:tcPr>
            <w:tcW w:w="738" w:type="pct"/>
            <w:shd w:val="clear" w:color="auto" w:fill="auto"/>
            <w:vAlign w:val="center"/>
          </w:tcPr>
          <w:p w14:paraId="34040A0A">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45.1</w:t>
            </w:r>
          </w:p>
        </w:tc>
        <w:tc>
          <w:tcPr>
            <w:tcW w:w="738" w:type="pct"/>
            <w:shd w:val="clear" w:color="auto" w:fill="auto"/>
            <w:vAlign w:val="center"/>
          </w:tcPr>
          <w:p w14:paraId="10C6CBF4">
            <w:pPr>
              <w:adjustRightInd w:val="0"/>
              <w:snapToGrid w:val="0"/>
              <w:jc w:val="center"/>
              <w:rPr>
                <w:snapToGrid w:val="0"/>
                <w:color w:val="auto"/>
                <w:kern w:val="0"/>
                <w:szCs w:val="21"/>
                <w:highlight w:val="none"/>
              </w:rPr>
            </w:pPr>
            <w:r>
              <w:rPr>
                <w:snapToGrid w:val="0"/>
                <w:color w:val="auto"/>
                <w:kern w:val="0"/>
                <w:szCs w:val="21"/>
                <w:highlight w:val="none"/>
              </w:rPr>
              <w:t>65</w:t>
            </w:r>
          </w:p>
        </w:tc>
        <w:tc>
          <w:tcPr>
            <w:tcW w:w="648" w:type="pct"/>
            <w:shd w:val="clear" w:color="auto" w:fill="auto"/>
            <w:vAlign w:val="center"/>
          </w:tcPr>
          <w:p w14:paraId="70C114F3">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0324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continue"/>
            <w:shd w:val="clear" w:color="auto" w:fill="auto"/>
            <w:vAlign w:val="center"/>
          </w:tcPr>
          <w:p w14:paraId="7970B92D">
            <w:pPr>
              <w:adjustRightInd w:val="0"/>
              <w:snapToGrid w:val="0"/>
              <w:jc w:val="center"/>
              <w:rPr>
                <w:snapToGrid w:val="0"/>
                <w:color w:val="auto"/>
                <w:kern w:val="0"/>
                <w:szCs w:val="21"/>
                <w:highlight w:val="none"/>
              </w:rPr>
            </w:pPr>
          </w:p>
        </w:tc>
        <w:tc>
          <w:tcPr>
            <w:tcW w:w="600" w:type="pct"/>
            <w:shd w:val="clear" w:color="auto" w:fill="auto"/>
            <w:vAlign w:val="center"/>
          </w:tcPr>
          <w:p w14:paraId="261BB3AC">
            <w:pPr>
              <w:adjustRightInd w:val="0"/>
              <w:snapToGrid w:val="0"/>
              <w:jc w:val="center"/>
              <w:rPr>
                <w:snapToGrid w:val="0"/>
                <w:color w:val="auto"/>
                <w:kern w:val="0"/>
                <w:szCs w:val="21"/>
                <w:highlight w:val="none"/>
              </w:rPr>
            </w:pPr>
            <w:r>
              <w:rPr>
                <w:snapToGrid w:val="0"/>
                <w:color w:val="auto"/>
                <w:kern w:val="0"/>
                <w:szCs w:val="21"/>
                <w:highlight w:val="none"/>
              </w:rPr>
              <w:t>夜间</w:t>
            </w:r>
          </w:p>
        </w:tc>
        <w:tc>
          <w:tcPr>
            <w:tcW w:w="738" w:type="pct"/>
            <w:shd w:val="clear" w:color="auto" w:fill="auto"/>
            <w:vAlign w:val="center"/>
          </w:tcPr>
          <w:p w14:paraId="37E1DB40">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42</w:t>
            </w:r>
            <w:r>
              <w:rPr>
                <w:rFonts w:hint="eastAsia"/>
                <w:snapToGrid w:val="0"/>
                <w:color w:val="auto"/>
                <w:kern w:val="0"/>
                <w:szCs w:val="21"/>
                <w:highlight w:val="none"/>
              </w:rPr>
              <w:t>.1</w:t>
            </w:r>
          </w:p>
        </w:tc>
        <w:tc>
          <w:tcPr>
            <w:tcW w:w="738" w:type="pct"/>
            <w:shd w:val="clear" w:color="auto" w:fill="auto"/>
            <w:vAlign w:val="center"/>
          </w:tcPr>
          <w:p w14:paraId="4D0A0AD3">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44</w:t>
            </w:r>
          </w:p>
        </w:tc>
        <w:tc>
          <w:tcPr>
            <w:tcW w:w="738" w:type="pct"/>
            <w:shd w:val="clear" w:color="auto" w:fill="auto"/>
            <w:vAlign w:val="center"/>
          </w:tcPr>
          <w:p w14:paraId="2586BF1F">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46.2</w:t>
            </w:r>
          </w:p>
        </w:tc>
        <w:tc>
          <w:tcPr>
            <w:tcW w:w="738" w:type="pct"/>
            <w:shd w:val="clear" w:color="auto" w:fill="auto"/>
            <w:vAlign w:val="center"/>
          </w:tcPr>
          <w:p w14:paraId="198EB780">
            <w:pPr>
              <w:adjustRightInd w:val="0"/>
              <w:snapToGrid w:val="0"/>
              <w:jc w:val="center"/>
              <w:rPr>
                <w:snapToGrid w:val="0"/>
                <w:color w:val="auto"/>
                <w:kern w:val="0"/>
                <w:szCs w:val="21"/>
                <w:highlight w:val="none"/>
              </w:rPr>
            </w:pPr>
            <w:r>
              <w:rPr>
                <w:snapToGrid w:val="0"/>
                <w:color w:val="auto"/>
                <w:kern w:val="0"/>
                <w:szCs w:val="21"/>
                <w:highlight w:val="none"/>
              </w:rPr>
              <w:t>55</w:t>
            </w:r>
          </w:p>
        </w:tc>
        <w:tc>
          <w:tcPr>
            <w:tcW w:w="648" w:type="pct"/>
            <w:shd w:val="clear" w:color="auto" w:fill="auto"/>
            <w:vAlign w:val="center"/>
          </w:tcPr>
          <w:p w14:paraId="37685763">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2E35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restart"/>
            <w:shd w:val="clear" w:color="auto" w:fill="auto"/>
            <w:vAlign w:val="center"/>
          </w:tcPr>
          <w:p w14:paraId="7E1BB9C7">
            <w:pPr>
              <w:adjustRightInd w:val="0"/>
              <w:snapToGrid w:val="0"/>
              <w:jc w:val="center"/>
              <w:rPr>
                <w:snapToGrid w:val="0"/>
                <w:color w:val="auto"/>
                <w:kern w:val="0"/>
                <w:szCs w:val="21"/>
                <w:highlight w:val="none"/>
              </w:rPr>
            </w:pPr>
            <w:r>
              <w:rPr>
                <w:snapToGrid w:val="0"/>
                <w:color w:val="auto"/>
                <w:kern w:val="0"/>
                <w:szCs w:val="21"/>
                <w:highlight w:val="none"/>
              </w:rPr>
              <w:t>北侧</w:t>
            </w:r>
          </w:p>
        </w:tc>
        <w:tc>
          <w:tcPr>
            <w:tcW w:w="600" w:type="pct"/>
            <w:shd w:val="clear" w:color="auto" w:fill="auto"/>
            <w:vAlign w:val="center"/>
          </w:tcPr>
          <w:p w14:paraId="068AB000">
            <w:pPr>
              <w:adjustRightInd w:val="0"/>
              <w:snapToGrid w:val="0"/>
              <w:jc w:val="center"/>
              <w:rPr>
                <w:snapToGrid w:val="0"/>
                <w:color w:val="auto"/>
                <w:kern w:val="0"/>
                <w:szCs w:val="21"/>
                <w:highlight w:val="none"/>
              </w:rPr>
            </w:pPr>
            <w:r>
              <w:rPr>
                <w:snapToGrid w:val="0"/>
                <w:color w:val="auto"/>
                <w:kern w:val="0"/>
                <w:szCs w:val="21"/>
                <w:highlight w:val="none"/>
              </w:rPr>
              <w:t>昼间</w:t>
            </w:r>
          </w:p>
        </w:tc>
        <w:tc>
          <w:tcPr>
            <w:tcW w:w="738" w:type="pct"/>
            <w:shd w:val="clear" w:color="auto" w:fill="auto"/>
            <w:vAlign w:val="center"/>
          </w:tcPr>
          <w:p w14:paraId="6C9BFAAA">
            <w:pPr>
              <w:adjustRightInd w:val="0"/>
              <w:snapToGrid w:val="0"/>
              <w:jc w:val="center"/>
              <w:rPr>
                <w:snapToGrid w:val="0"/>
                <w:color w:val="auto"/>
                <w:kern w:val="0"/>
                <w:szCs w:val="21"/>
                <w:highlight w:val="none"/>
              </w:rPr>
            </w:pPr>
            <w:r>
              <w:rPr>
                <w:rFonts w:hint="eastAsia"/>
                <w:snapToGrid w:val="0"/>
                <w:color w:val="auto"/>
                <w:kern w:val="0"/>
                <w:szCs w:val="21"/>
                <w:highlight w:val="none"/>
              </w:rPr>
              <w:t>20.3</w:t>
            </w:r>
          </w:p>
        </w:tc>
        <w:tc>
          <w:tcPr>
            <w:tcW w:w="738" w:type="pct"/>
            <w:shd w:val="clear" w:color="auto" w:fill="auto"/>
            <w:vAlign w:val="center"/>
          </w:tcPr>
          <w:p w14:paraId="0FEC1CD9">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42</w:t>
            </w:r>
          </w:p>
        </w:tc>
        <w:tc>
          <w:tcPr>
            <w:tcW w:w="738" w:type="pct"/>
            <w:shd w:val="clear" w:color="auto" w:fill="auto"/>
            <w:vAlign w:val="center"/>
          </w:tcPr>
          <w:p w14:paraId="36326321">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42.0</w:t>
            </w:r>
          </w:p>
        </w:tc>
        <w:tc>
          <w:tcPr>
            <w:tcW w:w="738" w:type="pct"/>
            <w:shd w:val="clear" w:color="auto" w:fill="auto"/>
            <w:vAlign w:val="center"/>
          </w:tcPr>
          <w:p w14:paraId="08DD1399">
            <w:pPr>
              <w:adjustRightInd w:val="0"/>
              <w:snapToGrid w:val="0"/>
              <w:jc w:val="center"/>
              <w:rPr>
                <w:snapToGrid w:val="0"/>
                <w:color w:val="auto"/>
                <w:kern w:val="0"/>
                <w:szCs w:val="21"/>
                <w:highlight w:val="none"/>
              </w:rPr>
            </w:pPr>
            <w:r>
              <w:rPr>
                <w:snapToGrid w:val="0"/>
                <w:color w:val="auto"/>
                <w:kern w:val="0"/>
                <w:szCs w:val="21"/>
                <w:highlight w:val="none"/>
              </w:rPr>
              <w:t>65</w:t>
            </w:r>
          </w:p>
        </w:tc>
        <w:tc>
          <w:tcPr>
            <w:tcW w:w="648" w:type="pct"/>
            <w:shd w:val="clear" w:color="auto" w:fill="auto"/>
            <w:vAlign w:val="center"/>
          </w:tcPr>
          <w:p w14:paraId="28E8BE97">
            <w:pPr>
              <w:adjustRightInd w:val="0"/>
              <w:snapToGrid w:val="0"/>
              <w:jc w:val="center"/>
              <w:rPr>
                <w:snapToGrid w:val="0"/>
                <w:color w:val="auto"/>
                <w:kern w:val="0"/>
                <w:szCs w:val="21"/>
                <w:highlight w:val="none"/>
              </w:rPr>
            </w:pPr>
            <w:r>
              <w:rPr>
                <w:snapToGrid w:val="0"/>
                <w:color w:val="auto"/>
                <w:kern w:val="0"/>
                <w:szCs w:val="21"/>
                <w:highlight w:val="none"/>
              </w:rPr>
              <w:t>达标</w:t>
            </w:r>
          </w:p>
        </w:tc>
      </w:tr>
      <w:tr w14:paraId="5AF7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jc w:val="center"/>
        </w:trPr>
        <w:tc>
          <w:tcPr>
            <w:tcW w:w="798" w:type="pct"/>
            <w:vMerge w:val="continue"/>
            <w:shd w:val="clear" w:color="auto" w:fill="auto"/>
            <w:vAlign w:val="center"/>
          </w:tcPr>
          <w:p w14:paraId="2D23AF7B">
            <w:pPr>
              <w:adjustRightInd w:val="0"/>
              <w:snapToGrid w:val="0"/>
              <w:jc w:val="center"/>
              <w:rPr>
                <w:snapToGrid w:val="0"/>
                <w:color w:val="auto"/>
                <w:kern w:val="0"/>
                <w:szCs w:val="21"/>
                <w:highlight w:val="none"/>
              </w:rPr>
            </w:pPr>
          </w:p>
        </w:tc>
        <w:tc>
          <w:tcPr>
            <w:tcW w:w="600" w:type="pct"/>
            <w:shd w:val="clear" w:color="auto" w:fill="auto"/>
            <w:vAlign w:val="center"/>
          </w:tcPr>
          <w:p w14:paraId="6C8C0FA8">
            <w:pPr>
              <w:adjustRightInd w:val="0"/>
              <w:snapToGrid w:val="0"/>
              <w:jc w:val="center"/>
              <w:rPr>
                <w:snapToGrid w:val="0"/>
                <w:color w:val="auto"/>
                <w:kern w:val="0"/>
                <w:szCs w:val="21"/>
                <w:highlight w:val="none"/>
              </w:rPr>
            </w:pPr>
            <w:r>
              <w:rPr>
                <w:snapToGrid w:val="0"/>
                <w:color w:val="auto"/>
                <w:kern w:val="0"/>
                <w:szCs w:val="21"/>
                <w:highlight w:val="none"/>
              </w:rPr>
              <w:t>夜间</w:t>
            </w:r>
          </w:p>
        </w:tc>
        <w:tc>
          <w:tcPr>
            <w:tcW w:w="738" w:type="pct"/>
            <w:shd w:val="clear" w:color="auto" w:fill="auto"/>
            <w:vAlign w:val="center"/>
          </w:tcPr>
          <w:p w14:paraId="4786247A">
            <w:pPr>
              <w:adjustRightInd w:val="0"/>
              <w:snapToGrid w:val="0"/>
              <w:jc w:val="center"/>
              <w:rPr>
                <w:snapToGrid w:val="0"/>
                <w:color w:val="auto"/>
                <w:kern w:val="0"/>
                <w:szCs w:val="21"/>
                <w:highlight w:val="none"/>
              </w:rPr>
            </w:pPr>
            <w:r>
              <w:rPr>
                <w:rFonts w:hint="eastAsia"/>
                <w:snapToGrid w:val="0"/>
                <w:color w:val="auto"/>
                <w:kern w:val="0"/>
                <w:szCs w:val="21"/>
                <w:highlight w:val="none"/>
              </w:rPr>
              <w:t>20.3</w:t>
            </w:r>
          </w:p>
        </w:tc>
        <w:tc>
          <w:tcPr>
            <w:tcW w:w="738" w:type="pct"/>
            <w:shd w:val="clear" w:color="auto" w:fill="auto"/>
            <w:vAlign w:val="center"/>
          </w:tcPr>
          <w:p w14:paraId="15DF76E5">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48</w:t>
            </w:r>
          </w:p>
        </w:tc>
        <w:tc>
          <w:tcPr>
            <w:tcW w:w="738" w:type="pct"/>
            <w:shd w:val="clear" w:color="auto" w:fill="auto"/>
            <w:vAlign w:val="center"/>
          </w:tcPr>
          <w:p w14:paraId="2E8E51E7">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48.0</w:t>
            </w:r>
          </w:p>
        </w:tc>
        <w:tc>
          <w:tcPr>
            <w:tcW w:w="738" w:type="pct"/>
            <w:shd w:val="clear" w:color="auto" w:fill="auto"/>
            <w:vAlign w:val="center"/>
          </w:tcPr>
          <w:p w14:paraId="111A2221">
            <w:pPr>
              <w:adjustRightInd w:val="0"/>
              <w:snapToGrid w:val="0"/>
              <w:jc w:val="center"/>
              <w:rPr>
                <w:snapToGrid w:val="0"/>
                <w:color w:val="auto"/>
                <w:kern w:val="0"/>
                <w:szCs w:val="21"/>
                <w:highlight w:val="none"/>
              </w:rPr>
            </w:pPr>
            <w:r>
              <w:rPr>
                <w:snapToGrid w:val="0"/>
                <w:color w:val="auto"/>
                <w:kern w:val="0"/>
                <w:szCs w:val="21"/>
                <w:highlight w:val="none"/>
              </w:rPr>
              <w:t>55</w:t>
            </w:r>
          </w:p>
        </w:tc>
        <w:tc>
          <w:tcPr>
            <w:tcW w:w="648" w:type="pct"/>
            <w:shd w:val="clear" w:color="auto" w:fill="auto"/>
            <w:vAlign w:val="center"/>
          </w:tcPr>
          <w:p w14:paraId="42096871">
            <w:pPr>
              <w:adjustRightInd w:val="0"/>
              <w:snapToGrid w:val="0"/>
              <w:jc w:val="center"/>
              <w:rPr>
                <w:snapToGrid w:val="0"/>
                <w:color w:val="auto"/>
                <w:kern w:val="0"/>
                <w:szCs w:val="21"/>
                <w:highlight w:val="none"/>
              </w:rPr>
            </w:pPr>
            <w:r>
              <w:rPr>
                <w:snapToGrid w:val="0"/>
                <w:color w:val="auto"/>
                <w:kern w:val="0"/>
                <w:szCs w:val="21"/>
                <w:highlight w:val="none"/>
              </w:rPr>
              <w:t>达标</w:t>
            </w:r>
          </w:p>
        </w:tc>
      </w:tr>
    </w:tbl>
    <w:p w14:paraId="0F744C65">
      <w:pPr>
        <w:pStyle w:val="504"/>
        <w:spacing w:line="460" w:lineRule="exact"/>
        <w:ind w:firstLine="480"/>
        <w:rPr>
          <w:rFonts w:ascii="Times New Roman" w:hAnsi="Times New Roman" w:cs="Times New Roman"/>
          <w:color w:val="auto"/>
          <w:kern w:val="0"/>
          <w:highlight w:val="none"/>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ascii="Times New Roman" w:hAnsi="Times New Roman" w:cs="Times New Roman"/>
          <w:color w:val="auto"/>
          <w:kern w:val="0"/>
          <w:highlight w:val="none"/>
        </w:rPr>
        <w:t>由上表可知，</w:t>
      </w:r>
      <w:r>
        <w:rPr>
          <w:rFonts w:hint="eastAsia" w:ascii="Times New Roman" w:hAnsi="Times New Roman" w:cs="Times New Roman"/>
          <w:color w:val="auto"/>
          <w:kern w:val="0"/>
          <w:highlight w:val="none"/>
        </w:rPr>
        <w:t>本项目设施</w:t>
      </w:r>
      <w:r>
        <w:rPr>
          <w:rFonts w:ascii="Times New Roman" w:hAnsi="Times New Roman" w:cs="Times New Roman"/>
          <w:color w:val="auto"/>
          <w:kern w:val="0"/>
          <w:highlight w:val="none"/>
        </w:rPr>
        <w:t>厂界昼间和夜间噪声</w:t>
      </w:r>
      <w:r>
        <w:rPr>
          <w:rFonts w:hint="eastAsia" w:ascii="Times New Roman" w:hAnsi="Times New Roman" w:cs="Times New Roman"/>
          <w:color w:val="auto"/>
          <w:kern w:val="0"/>
          <w:highlight w:val="none"/>
          <w:lang w:val="en-US" w:eastAsia="zh-CN"/>
        </w:rPr>
        <w:t>预测</w:t>
      </w:r>
      <w:r>
        <w:rPr>
          <w:rFonts w:ascii="Times New Roman" w:hAnsi="Times New Roman" w:cs="Times New Roman"/>
          <w:color w:val="auto"/>
          <w:kern w:val="0"/>
          <w:highlight w:val="none"/>
        </w:rPr>
        <w:t>值均能满足《工业企业厂界环境噪声排放标准》（GB12348-2008）3类（昼间65dB（A）、夜间55dB（A））排放限值</w:t>
      </w:r>
      <w:r>
        <w:rPr>
          <w:rFonts w:hint="eastAsia" w:ascii="Times New Roman" w:hAnsi="Times New Roman" w:cs="Times New Roman"/>
          <w:color w:val="auto"/>
          <w:kern w:val="0"/>
          <w:highlight w:val="none"/>
        </w:rPr>
        <w:t>。同时本项目实施后，厂界噪声排放可以满足《工业企业厂界环境噪声排放标准》（GB12348-2008）3类（昼间65dB（A）、夜间55dB（A）），对周边声环境影响较小。</w:t>
      </w:r>
    </w:p>
    <w:p w14:paraId="22CC489D">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表6.2-3</w:t>
      </w:r>
      <w:r>
        <w:rPr>
          <w:rFonts w:hint="eastAsia" w:ascii="Times New Roman" w:hAnsi="Times New Roman" w:cs="Times New Roman"/>
          <w:snapToGrid w:val="0"/>
          <w:color w:val="auto"/>
          <w:kern w:val="0"/>
          <w:sz w:val="21"/>
          <w:szCs w:val="21"/>
          <w:highlight w:val="none"/>
          <w:lang w:val="en-US" w:eastAsia="zh-CN"/>
        </w:rPr>
        <w:t>5</w:t>
      </w:r>
      <w:r>
        <w:rPr>
          <w:rFonts w:hint="eastAsia" w:ascii="Times New Roman" w:hAnsi="Times New Roman" w:cs="Times New Roman"/>
          <w:snapToGrid w:val="0"/>
          <w:color w:val="auto"/>
          <w:kern w:val="0"/>
          <w:sz w:val="21"/>
          <w:szCs w:val="21"/>
          <w:highlight w:val="none"/>
        </w:rPr>
        <w:t xml:space="preserve"> </w:t>
      </w:r>
      <w:r>
        <w:rPr>
          <w:rFonts w:ascii="Times New Roman" w:hAnsi="Times New Roman" w:cs="Times New Roman"/>
          <w:snapToGrid w:val="0"/>
          <w:color w:val="auto"/>
          <w:kern w:val="0"/>
          <w:sz w:val="21"/>
          <w:szCs w:val="21"/>
          <w:highlight w:val="none"/>
        </w:rPr>
        <w:t>声环境影响评价自查表</w:t>
      </w:r>
    </w:p>
    <w:tbl>
      <w:tblPr>
        <w:tblStyle w:val="735"/>
        <w:tblW w:w="5006" w:type="pct"/>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0"/>
        <w:gridCol w:w="1472"/>
        <w:gridCol w:w="858"/>
        <w:gridCol w:w="436"/>
        <w:gridCol w:w="475"/>
        <w:gridCol w:w="924"/>
        <w:gridCol w:w="586"/>
        <w:gridCol w:w="384"/>
        <w:gridCol w:w="475"/>
        <w:gridCol w:w="439"/>
        <w:gridCol w:w="202"/>
        <w:gridCol w:w="1101"/>
      </w:tblGrid>
      <w:tr w14:paraId="33EE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50" w:type="dxa"/>
            <w:gridSpan w:val="2"/>
            <w:shd w:val="clear" w:color="auto" w:fill="auto"/>
            <w:vAlign w:val="center"/>
          </w:tcPr>
          <w:p w14:paraId="26D119E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工作内容</w:t>
            </w:r>
          </w:p>
        </w:tc>
        <w:tc>
          <w:tcPr>
            <w:tcW w:w="5872" w:type="dxa"/>
            <w:gridSpan w:val="10"/>
            <w:shd w:val="clear" w:color="auto" w:fill="auto"/>
            <w:vAlign w:val="center"/>
          </w:tcPr>
          <w:p w14:paraId="0C17B0A4">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自查项目</w:t>
            </w:r>
          </w:p>
        </w:tc>
      </w:tr>
      <w:tr w14:paraId="4E26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restart"/>
            <w:vAlign w:val="center"/>
          </w:tcPr>
          <w:p w14:paraId="34956398">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评价等级与范围</w:t>
            </w:r>
          </w:p>
        </w:tc>
        <w:tc>
          <w:tcPr>
            <w:tcW w:w="1470" w:type="dxa"/>
            <w:vAlign w:val="center"/>
          </w:tcPr>
          <w:p w14:paraId="215BF18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评价等级</w:t>
            </w:r>
          </w:p>
        </w:tc>
        <w:tc>
          <w:tcPr>
            <w:tcW w:w="5872" w:type="dxa"/>
            <w:gridSpan w:val="10"/>
            <w:vAlign w:val="center"/>
          </w:tcPr>
          <w:p w14:paraId="48B0789C">
            <w:pPr>
              <w:pStyle w:val="680"/>
              <w:keepNext w:val="0"/>
              <w:keepLines w:val="0"/>
              <w:pageBreakBefore w:val="0"/>
              <w:widowControl w:val="0"/>
              <w:tabs>
                <w:tab w:val="left" w:pos="2103"/>
                <w:tab w:val="left" w:pos="3635"/>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一级</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en-US"/>
              </w:rPr>
              <w:tab/>
            </w:r>
            <w:r>
              <w:rPr>
                <w:rFonts w:ascii="Times New Roman" w:hAnsi="Times New Roman" w:eastAsia="宋体" w:cs="Times New Roman"/>
                <w:snapToGrid w:val="0"/>
                <w:color w:val="auto"/>
                <w:kern w:val="0"/>
                <w:sz w:val="21"/>
                <w:szCs w:val="21"/>
                <w:highlight w:val="none"/>
                <w:lang w:eastAsia="en-US"/>
              </w:rPr>
              <w:t>二级</w:t>
            </w:r>
            <w:r>
              <w:rPr>
                <w:rFonts w:ascii="Times New Roman" w:hAnsi="Times New Roman" w:eastAsia="宋体" w:cs="Times New Roman"/>
                <w:snapToGrid w:val="0"/>
                <w:color w:val="auto"/>
                <w:kern w:val="0"/>
                <w:sz w:val="21"/>
                <w:szCs w:val="21"/>
                <w:highlight w:val="none"/>
                <w:lang w:eastAsia="en-US"/>
              </w:rPr>
              <w:sym w:font="Wingdings 2" w:char="00A3"/>
            </w:r>
            <w:r>
              <w:rPr>
                <w:rFonts w:ascii="Times New Roman" w:hAnsi="Times New Roman" w:eastAsia="宋体" w:cs="Times New Roman"/>
                <w:snapToGrid w:val="0"/>
                <w:color w:val="auto"/>
                <w:kern w:val="0"/>
                <w:sz w:val="21"/>
                <w:szCs w:val="21"/>
                <w:highlight w:val="none"/>
                <w:lang w:eastAsia="en-US"/>
              </w:rPr>
              <w:tab/>
            </w:r>
            <w:r>
              <w:rPr>
                <w:rFonts w:ascii="Times New Roman" w:hAnsi="Times New Roman" w:eastAsia="宋体" w:cs="Times New Roman"/>
                <w:snapToGrid w:val="0"/>
                <w:color w:val="auto"/>
                <w:kern w:val="0"/>
                <w:sz w:val="21"/>
                <w:szCs w:val="21"/>
                <w:highlight w:val="none"/>
                <w:lang w:eastAsia="en-US"/>
              </w:rPr>
              <w:t>三级</w:t>
            </w:r>
            <w:r>
              <w:rPr>
                <w:rFonts w:hint="eastAsia" w:ascii="Times New Roman" w:hAnsi="Times New Roman" w:eastAsia="宋体" w:cs="Times New Roman"/>
                <w:snapToGrid w:val="0"/>
                <w:color w:val="auto"/>
                <w:kern w:val="0"/>
                <w:sz w:val="21"/>
                <w:szCs w:val="21"/>
                <w:highlight w:val="none"/>
                <w:lang w:eastAsia="en-US"/>
              </w:rPr>
              <w:t>☑</w:t>
            </w:r>
          </w:p>
        </w:tc>
      </w:tr>
      <w:tr w14:paraId="486A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6A8AED1B">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en-US" w:bidi="zh-CN"/>
              </w:rPr>
            </w:pPr>
          </w:p>
        </w:tc>
        <w:tc>
          <w:tcPr>
            <w:tcW w:w="1470" w:type="dxa"/>
            <w:vAlign w:val="center"/>
          </w:tcPr>
          <w:p w14:paraId="461A7EA5">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评价范围</w:t>
            </w:r>
          </w:p>
        </w:tc>
        <w:tc>
          <w:tcPr>
            <w:tcW w:w="5872" w:type="dxa"/>
            <w:gridSpan w:val="10"/>
            <w:vAlign w:val="center"/>
          </w:tcPr>
          <w:p w14:paraId="1771DF86">
            <w:pPr>
              <w:pStyle w:val="680"/>
              <w:keepNext w:val="0"/>
              <w:keepLines w:val="0"/>
              <w:pageBreakBefore w:val="0"/>
              <w:widowControl w:val="0"/>
              <w:tabs>
                <w:tab w:val="left" w:pos="2384"/>
                <w:tab w:val="left" w:pos="5315"/>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200m</w:t>
            </w:r>
            <w:r>
              <w:rPr>
                <w:rFonts w:hint="eastAsia" w:ascii="Times New Roman" w:hAnsi="Times New Roman" w:eastAsia="宋体" w:cs="Times New Roman"/>
                <w:snapToGrid w:val="0"/>
                <w:color w:val="auto"/>
                <w:kern w:val="0"/>
                <w:sz w:val="21"/>
                <w:szCs w:val="21"/>
                <w:highlight w:val="none"/>
                <w:lang w:eastAsia="en-US"/>
              </w:rPr>
              <w:t>☑</w:t>
            </w:r>
            <w:r>
              <w:rPr>
                <w:rFonts w:hint="eastAsia" w:ascii="Times New Roman" w:hAnsi="Times New Roman" w:eastAsia="宋体" w:cs="Times New Roman"/>
                <w:snapToGrid w:val="0"/>
                <w:color w:val="auto"/>
                <w:kern w:val="0"/>
                <w:sz w:val="21"/>
                <w:szCs w:val="21"/>
                <w:highlight w:val="none"/>
                <w:lang w:val="en-US" w:eastAsia="en-US"/>
              </w:rPr>
              <w:t xml:space="preserve">        </w:t>
            </w:r>
            <w:r>
              <w:rPr>
                <w:rFonts w:ascii="Times New Roman" w:hAnsi="Times New Roman" w:eastAsia="宋体" w:cs="Times New Roman"/>
                <w:snapToGrid w:val="0"/>
                <w:color w:val="auto"/>
                <w:kern w:val="0"/>
                <w:sz w:val="21"/>
                <w:szCs w:val="21"/>
                <w:highlight w:val="none"/>
                <w:lang w:eastAsia="en-US"/>
              </w:rPr>
              <w:t>大于 200m</w:t>
            </w:r>
            <w:r>
              <w:rPr>
                <w:rFonts w:hint="eastAsia" w:ascii="Times New Roman" w:hAnsi="Times New Roman" w:eastAsia="宋体" w:cs="Times New Roman"/>
                <w:snapToGrid w:val="0"/>
                <w:color w:val="auto"/>
                <w:kern w:val="0"/>
                <w:sz w:val="21"/>
                <w:szCs w:val="21"/>
                <w:highlight w:val="none"/>
                <w:lang w:eastAsia="en-US"/>
              </w:rPr>
              <w:t>□</w:t>
            </w:r>
            <w:r>
              <w:rPr>
                <w:rFonts w:hint="eastAsia" w:ascii="Times New Roman" w:hAnsi="Times New Roman" w:eastAsia="宋体" w:cs="Times New Roman"/>
                <w:snapToGrid w:val="0"/>
                <w:color w:val="auto"/>
                <w:kern w:val="0"/>
                <w:sz w:val="21"/>
                <w:szCs w:val="21"/>
                <w:highlight w:val="none"/>
                <w:lang w:val="en-US" w:eastAsia="en-US"/>
              </w:rPr>
              <w:t xml:space="preserve">        </w:t>
            </w:r>
            <w:r>
              <w:rPr>
                <w:rFonts w:ascii="Times New Roman" w:hAnsi="Times New Roman" w:eastAsia="宋体" w:cs="Times New Roman"/>
                <w:snapToGrid w:val="0"/>
                <w:color w:val="auto"/>
                <w:kern w:val="0"/>
                <w:sz w:val="21"/>
                <w:szCs w:val="21"/>
                <w:highlight w:val="none"/>
                <w:lang w:eastAsia="en-US"/>
              </w:rPr>
              <w:t>小于 200m</w:t>
            </w:r>
            <w:r>
              <w:rPr>
                <w:rFonts w:hint="eastAsia" w:ascii="Times New Roman" w:hAnsi="Times New Roman" w:eastAsia="宋体" w:cs="Times New Roman"/>
                <w:snapToGrid w:val="0"/>
                <w:color w:val="auto"/>
                <w:kern w:val="0"/>
                <w:sz w:val="21"/>
                <w:szCs w:val="21"/>
                <w:highlight w:val="none"/>
                <w:lang w:eastAsia="en-US"/>
              </w:rPr>
              <w:t>□</w:t>
            </w:r>
          </w:p>
        </w:tc>
      </w:tr>
      <w:tr w14:paraId="0201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Align w:val="center"/>
          </w:tcPr>
          <w:p w14:paraId="181745D8">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评价因子</w:t>
            </w:r>
          </w:p>
        </w:tc>
        <w:tc>
          <w:tcPr>
            <w:tcW w:w="1470" w:type="dxa"/>
            <w:vAlign w:val="center"/>
          </w:tcPr>
          <w:p w14:paraId="6ED0F056">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评价因子</w:t>
            </w:r>
          </w:p>
        </w:tc>
        <w:tc>
          <w:tcPr>
            <w:tcW w:w="5872" w:type="dxa"/>
            <w:gridSpan w:val="10"/>
            <w:vAlign w:val="center"/>
          </w:tcPr>
          <w:p w14:paraId="3B727B5F">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等效连续A声级</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zh-CN"/>
              </w:rPr>
              <w:t xml:space="preserve"> 最大A声级</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 xml:space="preserve">  计权等效连续感觉噪声级</w:t>
            </w:r>
            <w:r>
              <w:rPr>
                <w:rFonts w:hint="eastAsia" w:ascii="Times New Roman" w:hAnsi="Times New Roman" w:eastAsia="宋体" w:cs="Times New Roman"/>
                <w:snapToGrid w:val="0"/>
                <w:color w:val="auto"/>
                <w:kern w:val="0"/>
                <w:sz w:val="21"/>
                <w:szCs w:val="21"/>
                <w:highlight w:val="none"/>
                <w:lang w:eastAsia="zh-CN"/>
              </w:rPr>
              <w:t>□</w:t>
            </w:r>
          </w:p>
        </w:tc>
      </w:tr>
      <w:tr w14:paraId="19E5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Align w:val="center"/>
          </w:tcPr>
          <w:p w14:paraId="6BDD411D">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评价标准</w:t>
            </w:r>
          </w:p>
        </w:tc>
        <w:tc>
          <w:tcPr>
            <w:tcW w:w="1470" w:type="dxa"/>
            <w:vAlign w:val="center"/>
          </w:tcPr>
          <w:p w14:paraId="5A697792">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评价标准</w:t>
            </w:r>
          </w:p>
        </w:tc>
        <w:tc>
          <w:tcPr>
            <w:tcW w:w="5872" w:type="dxa"/>
            <w:gridSpan w:val="10"/>
            <w:vAlign w:val="center"/>
          </w:tcPr>
          <w:p w14:paraId="6DB890A2">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国家标准</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zh-CN"/>
              </w:rPr>
              <w:t xml:space="preserve">        地方标准</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 xml:space="preserve">        国外标准</w:t>
            </w:r>
            <w:r>
              <w:rPr>
                <w:rFonts w:hint="eastAsia" w:ascii="Times New Roman" w:hAnsi="Times New Roman" w:eastAsia="宋体" w:cs="Times New Roman"/>
                <w:snapToGrid w:val="0"/>
                <w:color w:val="auto"/>
                <w:kern w:val="0"/>
                <w:sz w:val="21"/>
                <w:szCs w:val="21"/>
                <w:highlight w:val="none"/>
                <w:lang w:eastAsia="zh-CN"/>
              </w:rPr>
              <w:t>□</w:t>
            </w:r>
          </w:p>
        </w:tc>
      </w:tr>
      <w:tr w14:paraId="746A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restart"/>
            <w:vAlign w:val="center"/>
          </w:tcPr>
          <w:p w14:paraId="1F4382DA">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现状评价</w:t>
            </w:r>
          </w:p>
        </w:tc>
        <w:tc>
          <w:tcPr>
            <w:tcW w:w="1470" w:type="dxa"/>
            <w:vAlign w:val="center"/>
          </w:tcPr>
          <w:p w14:paraId="7E966A8E">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环境功能区</w:t>
            </w:r>
          </w:p>
        </w:tc>
        <w:tc>
          <w:tcPr>
            <w:tcW w:w="857" w:type="dxa"/>
            <w:vAlign w:val="center"/>
          </w:tcPr>
          <w:p w14:paraId="62223029">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0 类区</w:t>
            </w:r>
            <w:r>
              <w:rPr>
                <w:rFonts w:hint="eastAsia" w:ascii="Times New Roman" w:hAnsi="Times New Roman" w:eastAsia="宋体" w:cs="Times New Roman"/>
                <w:snapToGrid w:val="0"/>
                <w:color w:val="auto"/>
                <w:kern w:val="0"/>
                <w:sz w:val="21"/>
                <w:szCs w:val="21"/>
                <w:highlight w:val="none"/>
                <w:lang w:eastAsia="en-US"/>
              </w:rPr>
              <w:t>□</w:t>
            </w:r>
          </w:p>
        </w:tc>
        <w:tc>
          <w:tcPr>
            <w:tcW w:w="909" w:type="dxa"/>
            <w:gridSpan w:val="2"/>
            <w:vAlign w:val="center"/>
          </w:tcPr>
          <w:p w14:paraId="2AD40A1A">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1 类区</w:t>
            </w:r>
            <w:r>
              <w:rPr>
                <w:rFonts w:hint="eastAsia" w:ascii="Times New Roman" w:hAnsi="Times New Roman" w:eastAsia="宋体" w:cs="Times New Roman"/>
                <w:snapToGrid w:val="0"/>
                <w:color w:val="auto"/>
                <w:kern w:val="0"/>
                <w:sz w:val="21"/>
                <w:szCs w:val="21"/>
                <w:highlight w:val="none"/>
                <w:lang w:eastAsia="en-US"/>
              </w:rPr>
              <w:t>□</w:t>
            </w:r>
          </w:p>
        </w:tc>
        <w:tc>
          <w:tcPr>
            <w:tcW w:w="923" w:type="dxa"/>
            <w:vAlign w:val="center"/>
          </w:tcPr>
          <w:p w14:paraId="3AC9C54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2 类区</w:t>
            </w:r>
            <w:r>
              <w:rPr>
                <w:rFonts w:hint="eastAsia" w:ascii="Times New Roman" w:hAnsi="Times New Roman" w:eastAsia="宋体" w:cs="Times New Roman"/>
                <w:snapToGrid w:val="0"/>
                <w:color w:val="auto"/>
                <w:kern w:val="0"/>
                <w:sz w:val="21"/>
                <w:szCs w:val="21"/>
                <w:highlight w:val="none"/>
                <w:lang w:eastAsia="en-US"/>
              </w:rPr>
              <w:t>□</w:t>
            </w:r>
          </w:p>
        </w:tc>
        <w:tc>
          <w:tcPr>
            <w:tcW w:w="969" w:type="dxa"/>
            <w:gridSpan w:val="2"/>
            <w:vAlign w:val="center"/>
          </w:tcPr>
          <w:p w14:paraId="1D7A02BA">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3 类区</w:t>
            </w:r>
            <w:r>
              <w:rPr>
                <w:rFonts w:hint="eastAsia" w:ascii="Times New Roman" w:hAnsi="Times New Roman" w:eastAsia="宋体" w:cs="Times New Roman"/>
                <w:snapToGrid w:val="0"/>
                <w:color w:val="auto"/>
                <w:kern w:val="0"/>
                <w:sz w:val="21"/>
                <w:szCs w:val="21"/>
                <w:highlight w:val="none"/>
                <w:lang w:eastAsia="en-US"/>
              </w:rPr>
              <w:t>☑</w:t>
            </w:r>
          </w:p>
        </w:tc>
        <w:tc>
          <w:tcPr>
            <w:tcW w:w="1114" w:type="dxa"/>
            <w:gridSpan w:val="3"/>
            <w:vAlign w:val="center"/>
          </w:tcPr>
          <w:p w14:paraId="52CEB2CE">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4a 类区</w:t>
            </w:r>
            <w:r>
              <w:rPr>
                <w:rFonts w:hint="eastAsia" w:ascii="Times New Roman" w:hAnsi="Times New Roman" w:eastAsia="宋体" w:cs="Times New Roman"/>
                <w:snapToGrid w:val="0"/>
                <w:color w:val="auto"/>
                <w:kern w:val="0"/>
                <w:sz w:val="21"/>
                <w:szCs w:val="21"/>
                <w:highlight w:val="none"/>
                <w:lang w:eastAsia="en-US"/>
              </w:rPr>
              <w:t>□</w:t>
            </w:r>
          </w:p>
        </w:tc>
        <w:tc>
          <w:tcPr>
            <w:tcW w:w="1100" w:type="dxa"/>
            <w:vAlign w:val="center"/>
          </w:tcPr>
          <w:p w14:paraId="75F5A39B">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4b 类区</w:t>
            </w:r>
            <w:r>
              <w:rPr>
                <w:rFonts w:hint="eastAsia" w:ascii="Times New Roman" w:hAnsi="Times New Roman" w:eastAsia="宋体" w:cs="Times New Roman"/>
                <w:snapToGrid w:val="0"/>
                <w:color w:val="auto"/>
                <w:kern w:val="0"/>
                <w:sz w:val="21"/>
                <w:szCs w:val="21"/>
                <w:highlight w:val="none"/>
                <w:lang w:eastAsia="en-US"/>
              </w:rPr>
              <w:t>□</w:t>
            </w:r>
          </w:p>
        </w:tc>
      </w:tr>
      <w:tr w14:paraId="104C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7F423F9C">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en-US" w:bidi="zh-CN"/>
              </w:rPr>
            </w:pPr>
          </w:p>
        </w:tc>
        <w:tc>
          <w:tcPr>
            <w:tcW w:w="1470" w:type="dxa"/>
            <w:vAlign w:val="center"/>
          </w:tcPr>
          <w:p w14:paraId="73455BFD">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评价年度</w:t>
            </w:r>
          </w:p>
        </w:tc>
        <w:tc>
          <w:tcPr>
            <w:tcW w:w="1292" w:type="dxa"/>
            <w:gridSpan w:val="2"/>
            <w:vAlign w:val="center"/>
          </w:tcPr>
          <w:p w14:paraId="4A712B32">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初期</w:t>
            </w:r>
            <w:r>
              <w:rPr>
                <w:rFonts w:ascii="Times New Roman" w:hAnsi="Times New Roman" w:eastAsia="宋体" w:cs="Times New Roman"/>
                <w:snapToGrid w:val="0"/>
                <w:color w:val="auto"/>
                <w:kern w:val="0"/>
                <w:sz w:val="21"/>
                <w:szCs w:val="21"/>
                <w:highlight w:val="none"/>
                <w:lang w:eastAsia="en-US"/>
              </w:rPr>
              <w:sym w:font="Wingdings 2" w:char="00A3"/>
            </w:r>
          </w:p>
        </w:tc>
        <w:tc>
          <w:tcPr>
            <w:tcW w:w="1397" w:type="dxa"/>
            <w:gridSpan w:val="2"/>
            <w:vAlign w:val="center"/>
          </w:tcPr>
          <w:p w14:paraId="2E51A368">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近期</w:t>
            </w:r>
            <w:r>
              <w:rPr>
                <w:rFonts w:ascii="Times New Roman" w:hAnsi="Times New Roman" w:eastAsia="宋体" w:cs="Times New Roman"/>
                <w:snapToGrid w:val="0"/>
                <w:color w:val="auto"/>
                <w:kern w:val="0"/>
                <w:sz w:val="21"/>
                <w:szCs w:val="21"/>
                <w:highlight w:val="none"/>
                <w:lang w:eastAsia="en-US"/>
              </w:rPr>
              <w:sym w:font="Wingdings 2" w:char="00A3"/>
            </w:r>
          </w:p>
        </w:tc>
        <w:tc>
          <w:tcPr>
            <w:tcW w:w="1443" w:type="dxa"/>
            <w:gridSpan w:val="3"/>
            <w:vAlign w:val="center"/>
          </w:tcPr>
          <w:p w14:paraId="17B4B8C6">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中期</w:t>
            </w:r>
            <w:r>
              <w:rPr>
                <w:rFonts w:ascii="Times New Roman" w:hAnsi="Times New Roman" w:eastAsia="宋体" w:cs="Times New Roman"/>
                <w:snapToGrid w:val="0"/>
                <w:color w:val="auto"/>
                <w:kern w:val="0"/>
                <w:sz w:val="21"/>
                <w:szCs w:val="21"/>
                <w:highlight w:val="none"/>
                <w:lang w:eastAsia="en-US"/>
              </w:rPr>
              <w:sym w:font="Wingdings 2" w:char="00A3"/>
            </w:r>
          </w:p>
        </w:tc>
        <w:tc>
          <w:tcPr>
            <w:tcW w:w="1740" w:type="dxa"/>
            <w:gridSpan w:val="3"/>
            <w:vAlign w:val="center"/>
          </w:tcPr>
          <w:p w14:paraId="7823F49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远期</w:t>
            </w:r>
            <w:r>
              <w:rPr>
                <w:rFonts w:ascii="Times New Roman" w:hAnsi="Times New Roman" w:eastAsia="宋体" w:cs="Times New Roman"/>
                <w:snapToGrid w:val="0"/>
                <w:color w:val="auto"/>
                <w:kern w:val="0"/>
                <w:sz w:val="21"/>
                <w:szCs w:val="21"/>
                <w:highlight w:val="none"/>
                <w:lang w:eastAsia="en-US"/>
              </w:rPr>
              <w:sym w:font="Wingdings 2" w:char="00A3"/>
            </w:r>
          </w:p>
        </w:tc>
      </w:tr>
      <w:tr w14:paraId="6D36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0706CC83">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en-US" w:bidi="zh-CN"/>
              </w:rPr>
            </w:pPr>
          </w:p>
        </w:tc>
        <w:tc>
          <w:tcPr>
            <w:tcW w:w="1470" w:type="dxa"/>
            <w:vAlign w:val="center"/>
          </w:tcPr>
          <w:p w14:paraId="5C8197AE">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现状调查方法</w:t>
            </w:r>
          </w:p>
        </w:tc>
        <w:tc>
          <w:tcPr>
            <w:tcW w:w="5872" w:type="dxa"/>
            <w:gridSpan w:val="10"/>
            <w:vAlign w:val="center"/>
          </w:tcPr>
          <w:p w14:paraId="0F58BAA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现场实测法</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zh-CN"/>
              </w:rPr>
              <w:t xml:space="preserve">     现场实测加模型计算法</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 xml:space="preserve">    收集资料</w:t>
            </w:r>
            <w:r>
              <w:rPr>
                <w:rFonts w:hint="eastAsia" w:ascii="Times New Roman" w:hAnsi="Times New Roman" w:eastAsia="宋体" w:cs="Times New Roman"/>
                <w:snapToGrid w:val="0"/>
                <w:color w:val="auto"/>
                <w:kern w:val="0"/>
                <w:sz w:val="21"/>
                <w:szCs w:val="21"/>
                <w:highlight w:val="none"/>
                <w:lang w:eastAsia="zh-CN"/>
              </w:rPr>
              <w:t>□</w:t>
            </w:r>
          </w:p>
        </w:tc>
      </w:tr>
      <w:tr w14:paraId="503A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68FAD93A">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zh-CN" w:bidi="zh-CN"/>
              </w:rPr>
            </w:pPr>
          </w:p>
        </w:tc>
        <w:tc>
          <w:tcPr>
            <w:tcW w:w="1470" w:type="dxa"/>
            <w:vAlign w:val="center"/>
          </w:tcPr>
          <w:p w14:paraId="24934669">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现状评价</w:t>
            </w:r>
          </w:p>
        </w:tc>
        <w:tc>
          <w:tcPr>
            <w:tcW w:w="1766" w:type="dxa"/>
            <w:gridSpan w:val="3"/>
            <w:vAlign w:val="center"/>
          </w:tcPr>
          <w:p w14:paraId="3149442F">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达标百分比</w:t>
            </w:r>
          </w:p>
        </w:tc>
        <w:tc>
          <w:tcPr>
            <w:tcW w:w="4106" w:type="dxa"/>
            <w:gridSpan w:val="7"/>
            <w:vAlign w:val="center"/>
          </w:tcPr>
          <w:p w14:paraId="6161C742">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en-US" w:eastAsia="en-US"/>
              </w:rPr>
            </w:pPr>
            <w:r>
              <w:rPr>
                <w:rFonts w:hint="eastAsia" w:ascii="Times New Roman" w:hAnsi="Times New Roman" w:eastAsia="宋体" w:cs="Times New Roman"/>
                <w:snapToGrid w:val="0"/>
                <w:color w:val="auto"/>
                <w:kern w:val="0"/>
                <w:sz w:val="21"/>
                <w:szCs w:val="21"/>
                <w:highlight w:val="none"/>
                <w:lang w:val="en-US" w:eastAsia="en-US"/>
              </w:rPr>
              <w:t>100%</w:t>
            </w:r>
          </w:p>
        </w:tc>
      </w:tr>
      <w:tr w14:paraId="44F5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Align w:val="center"/>
          </w:tcPr>
          <w:p w14:paraId="3E486EB3">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噪声源</w:t>
            </w:r>
          </w:p>
          <w:p w14:paraId="21516074">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调查</w:t>
            </w:r>
          </w:p>
        </w:tc>
        <w:tc>
          <w:tcPr>
            <w:tcW w:w="1470" w:type="dxa"/>
            <w:vAlign w:val="center"/>
          </w:tcPr>
          <w:p w14:paraId="06B91C9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噪声源调查</w:t>
            </w:r>
          </w:p>
          <w:p w14:paraId="590A9478">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方法</w:t>
            </w:r>
          </w:p>
        </w:tc>
        <w:tc>
          <w:tcPr>
            <w:tcW w:w="5872" w:type="dxa"/>
            <w:gridSpan w:val="10"/>
            <w:vAlign w:val="center"/>
          </w:tcPr>
          <w:p w14:paraId="5DD174B0">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现场实测</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 xml:space="preserve">        已有资料</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zh-CN"/>
              </w:rPr>
              <w:t xml:space="preserve">      研究成果</w:t>
            </w:r>
            <w:r>
              <w:rPr>
                <w:rFonts w:hint="eastAsia" w:ascii="Times New Roman" w:hAnsi="Times New Roman" w:eastAsia="宋体" w:cs="Times New Roman"/>
                <w:snapToGrid w:val="0"/>
                <w:color w:val="auto"/>
                <w:kern w:val="0"/>
                <w:sz w:val="21"/>
                <w:szCs w:val="21"/>
                <w:highlight w:val="none"/>
                <w:lang w:eastAsia="zh-CN"/>
              </w:rPr>
              <w:t>□</w:t>
            </w:r>
          </w:p>
        </w:tc>
      </w:tr>
      <w:tr w14:paraId="3BE3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restart"/>
            <w:vAlign w:val="center"/>
          </w:tcPr>
          <w:p w14:paraId="7CA7E42C">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声环境影响预测与评价</w:t>
            </w:r>
          </w:p>
        </w:tc>
        <w:tc>
          <w:tcPr>
            <w:tcW w:w="1470" w:type="dxa"/>
            <w:vAlign w:val="center"/>
          </w:tcPr>
          <w:p w14:paraId="7D44C413">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预测模型</w:t>
            </w:r>
          </w:p>
        </w:tc>
        <w:tc>
          <w:tcPr>
            <w:tcW w:w="3274" w:type="dxa"/>
            <w:gridSpan w:val="5"/>
            <w:vAlign w:val="center"/>
          </w:tcPr>
          <w:p w14:paraId="28E08A88">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导则推荐模型</w:t>
            </w:r>
            <w:r>
              <w:rPr>
                <w:rFonts w:hint="eastAsia" w:ascii="Times New Roman" w:hAnsi="Times New Roman" w:eastAsia="宋体" w:cs="Times New Roman"/>
                <w:snapToGrid w:val="0"/>
                <w:color w:val="auto"/>
                <w:kern w:val="0"/>
                <w:sz w:val="21"/>
                <w:szCs w:val="21"/>
                <w:highlight w:val="none"/>
                <w:lang w:eastAsia="en-US"/>
              </w:rPr>
              <w:t>☑</w:t>
            </w:r>
          </w:p>
        </w:tc>
        <w:tc>
          <w:tcPr>
            <w:tcW w:w="2598" w:type="dxa"/>
            <w:gridSpan w:val="5"/>
            <w:vAlign w:val="center"/>
          </w:tcPr>
          <w:p w14:paraId="0F4AB292">
            <w:pPr>
              <w:pStyle w:val="680"/>
              <w:keepNext w:val="0"/>
              <w:keepLines w:val="0"/>
              <w:pageBreakBefore w:val="0"/>
              <w:widowControl w:val="0"/>
              <w:tabs>
                <w:tab w:val="left" w:pos="1633"/>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其他</w:t>
            </w:r>
            <w:r>
              <w:rPr>
                <w:rFonts w:hint="eastAsia" w:ascii="Times New Roman" w:hAnsi="Times New Roman" w:eastAsia="宋体" w:cs="Times New Roman"/>
                <w:snapToGrid w:val="0"/>
                <w:color w:val="auto"/>
                <w:kern w:val="0"/>
                <w:sz w:val="21"/>
                <w:szCs w:val="21"/>
                <w:highlight w:val="none"/>
                <w:lang w:eastAsia="en-US"/>
              </w:rPr>
              <w:t>□</w:t>
            </w:r>
          </w:p>
        </w:tc>
      </w:tr>
      <w:tr w14:paraId="247C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2F9C67C8">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en-US" w:bidi="zh-CN"/>
              </w:rPr>
            </w:pPr>
          </w:p>
        </w:tc>
        <w:tc>
          <w:tcPr>
            <w:tcW w:w="1470" w:type="dxa"/>
            <w:vAlign w:val="center"/>
          </w:tcPr>
          <w:p w14:paraId="6B8E8767">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预测范围</w:t>
            </w:r>
          </w:p>
        </w:tc>
        <w:tc>
          <w:tcPr>
            <w:tcW w:w="5872" w:type="dxa"/>
            <w:gridSpan w:val="10"/>
            <w:vAlign w:val="center"/>
          </w:tcPr>
          <w:p w14:paraId="162333FE">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200 m</w:t>
            </w:r>
            <w:r>
              <w:rPr>
                <w:rFonts w:ascii="Times New Roman" w:hAnsi="Times New Roman" w:eastAsia="宋体" w:cs="Times New Roman"/>
                <w:snapToGrid w:val="0"/>
                <w:color w:val="auto"/>
                <w:kern w:val="0"/>
                <w:sz w:val="21"/>
                <w:szCs w:val="21"/>
                <w:highlight w:val="none"/>
                <w:lang w:eastAsia="en-US"/>
              </w:rPr>
              <w:sym w:font="Wingdings 2" w:char="0052"/>
            </w:r>
            <w:r>
              <w:rPr>
                <w:rFonts w:ascii="Times New Roman" w:hAnsi="Times New Roman" w:eastAsia="宋体" w:cs="Times New Roman"/>
                <w:snapToGrid w:val="0"/>
                <w:color w:val="auto"/>
                <w:kern w:val="0"/>
                <w:sz w:val="21"/>
                <w:szCs w:val="21"/>
                <w:highlight w:val="none"/>
                <w:lang w:eastAsia="en-US"/>
              </w:rPr>
              <w:t xml:space="preserve">         大于200 m</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en-US"/>
              </w:rPr>
              <w:t xml:space="preserve">           小于200 m</w:t>
            </w:r>
            <w:r>
              <w:rPr>
                <w:rFonts w:hint="eastAsia" w:ascii="Times New Roman" w:hAnsi="Times New Roman" w:eastAsia="宋体" w:cs="Times New Roman"/>
                <w:snapToGrid w:val="0"/>
                <w:color w:val="auto"/>
                <w:kern w:val="0"/>
                <w:sz w:val="21"/>
                <w:szCs w:val="21"/>
                <w:highlight w:val="none"/>
                <w:lang w:eastAsia="en-US"/>
              </w:rPr>
              <w:t>□</w:t>
            </w:r>
          </w:p>
        </w:tc>
      </w:tr>
      <w:tr w14:paraId="447E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135A57D4">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en-US" w:bidi="zh-CN"/>
              </w:rPr>
            </w:pPr>
          </w:p>
        </w:tc>
        <w:tc>
          <w:tcPr>
            <w:tcW w:w="1470" w:type="dxa"/>
            <w:vAlign w:val="center"/>
          </w:tcPr>
          <w:p w14:paraId="3C81A43F">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预测因子</w:t>
            </w:r>
          </w:p>
        </w:tc>
        <w:tc>
          <w:tcPr>
            <w:tcW w:w="1766" w:type="dxa"/>
            <w:gridSpan w:val="3"/>
            <w:vAlign w:val="center"/>
          </w:tcPr>
          <w:p w14:paraId="681F2A91">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等效连续A声级</w:t>
            </w:r>
            <w:r>
              <w:rPr>
                <w:rFonts w:hint="eastAsia" w:ascii="Times New Roman" w:hAnsi="Times New Roman" w:eastAsia="宋体" w:cs="Times New Roman"/>
                <w:snapToGrid w:val="0"/>
                <w:color w:val="auto"/>
                <w:kern w:val="0"/>
                <w:sz w:val="21"/>
                <w:szCs w:val="21"/>
                <w:highlight w:val="none"/>
                <w:lang w:eastAsia="en-US"/>
              </w:rPr>
              <w:t>☑</w:t>
            </w:r>
          </w:p>
        </w:tc>
        <w:tc>
          <w:tcPr>
            <w:tcW w:w="1508" w:type="dxa"/>
            <w:gridSpan w:val="2"/>
            <w:vAlign w:val="center"/>
          </w:tcPr>
          <w:p w14:paraId="397E3164">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最大A声级</w:t>
            </w:r>
            <w:r>
              <w:rPr>
                <w:rFonts w:hint="eastAsia" w:ascii="Times New Roman" w:hAnsi="Times New Roman" w:eastAsia="宋体" w:cs="Times New Roman"/>
                <w:snapToGrid w:val="0"/>
                <w:color w:val="auto"/>
                <w:kern w:val="0"/>
                <w:sz w:val="21"/>
                <w:szCs w:val="21"/>
                <w:highlight w:val="none"/>
                <w:lang w:eastAsia="en-US"/>
              </w:rPr>
              <w:t>□</w:t>
            </w:r>
          </w:p>
        </w:tc>
        <w:tc>
          <w:tcPr>
            <w:tcW w:w="2598" w:type="dxa"/>
            <w:gridSpan w:val="5"/>
            <w:vAlign w:val="center"/>
          </w:tcPr>
          <w:p w14:paraId="21D7C01D">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计权等效连续感觉噪声级</w:t>
            </w:r>
            <w:r>
              <w:rPr>
                <w:rFonts w:hint="eastAsia" w:ascii="Times New Roman" w:hAnsi="Times New Roman" w:eastAsia="宋体" w:cs="Times New Roman"/>
                <w:snapToGrid w:val="0"/>
                <w:color w:val="auto"/>
                <w:kern w:val="0"/>
                <w:sz w:val="21"/>
                <w:szCs w:val="21"/>
                <w:highlight w:val="none"/>
                <w:lang w:eastAsia="zh-CN"/>
              </w:rPr>
              <w:t>□</w:t>
            </w:r>
          </w:p>
        </w:tc>
      </w:tr>
      <w:tr w14:paraId="66BE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6A859626">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zh-CN" w:bidi="zh-CN"/>
              </w:rPr>
            </w:pPr>
          </w:p>
        </w:tc>
        <w:tc>
          <w:tcPr>
            <w:tcW w:w="1470" w:type="dxa"/>
            <w:vAlign w:val="center"/>
          </w:tcPr>
          <w:p w14:paraId="28F570E1">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厂界噪声</w:t>
            </w:r>
          </w:p>
          <w:p w14:paraId="7D44AA84">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贡献值</w:t>
            </w:r>
          </w:p>
        </w:tc>
        <w:tc>
          <w:tcPr>
            <w:tcW w:w="5872" w:type="dxa"/>
            <w:gridSpan w:val="10"/>
            <w:vAlign w:val="center"/>
          </w:tcPr>
          <w:p w14:paraId="44E85AC1">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达标</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en-US"/>
              </w:rPr>
              <w:t xml:space="preserve">             </w:t>
            </w:r>
            <w:r>
              <w:rPr>
                <w:rFonts w:hint="eastAsia" w:ascii="Times New Roman" w:hAnsi="Times New Roman" w:eastAsia="宋体" w:cs="Times New Roman"/>
                <w:snapToGrid w:val="0"/>
                <w:color w:val="auto"/>
                <w:kern w:val="0"/>
                <w:sz w:val="21"/>
                <w:szCs w:val="21"/>
                <w:highlight w:val="none"/>
                <w:lang w:val="en-US" w:eastAsia="en-US"/>
              </w:rPr>
              <w:t xml:space="preserve">   </w:t>
            </w:r>
            <w:r>
              <w:rPr>
                <w:rFonts w:ascii="Times New Roman" w:hAnsi="Times New Roman" w:eastAsia="宋体" w:cs="Times New Roman"/>
                <w:snapToGrid w:val="0"/>
                <w:color w:val="auto"/>
                <w:kern w:val="0"/>
                <w:sz w:val="21"/>
                <w:szCs w:val="21"/>
                <w:highlight w:val="none"/>
                <w:lang w:eastAsia="en-US"/>
              </w:rPr>
              <w:t xml:space="preserve">    不达标</w:t>
            </w:r>
            <w:r>
              <w:rPr>
                <w:rFonts w:hint="eastAsia" w:ascii="Times New Roman" w:hAnsi="Times New Roman" w:eastAsia="宋体" w:cs="Times New Roman"/>
                <w:snapToGrid w:val="0"/>
                <w:color w:val="auto"/>
                <w:kern w:val="0"/>
                <w:sz w:val="21"/>
                <w:szCs w:val="21"/>
                <w:highlight w:val="none"/>
                <w:lang w:eastAsia="en-US"/>
              </w:rPr>
              <w:t>□</w:t>
            </w:r>
          </w:p>
        </w:tc>
      </w:tr>
      <w:tr w14:paraId="68B8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5122674F">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en-US" w:bidi="zh-CN"/>
              </w:rPr>
            </w:pPr>
          </w:p>
        </w:tc>
        <w:tc>
          <w:tcPr>
            <w:tcW w:w="1470" w:type="dxa"/>
            <w:vAlign w:val="center"/>
          </w:tcPr>
          <w:p w14:paraId="45D27716">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声环境保护目标处噪声值</w:t>
            </w:r>
          </w:p>
        </w:tc>
        <w:tc>
          <w:tcPr>
            <w:tcW w:w="5872" w:type="dxa"/>
            <w:gridSpan w:val="10"/>
            <w:vAlign w:val="center"/>
          </w:tcPr>
          <w:p w14:paraId="40EA270F">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达标</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en-US"/>
              </w:rPr>
              <w:t xml:space="preserve">                    不达标</w:t>
            </w:r>
            <w:r>
              <w:rPr>
                <w:rFonts w:hint="eastAsia" w:ascii="Times New Roman" w:hAnsi="Times New Roman" w:eastAsia="宋体" w:cs="Times New Roman"/>
                <w:snapToGrid w:val="0"/>
                <w:color w:val="auto"/>
                <w:kern w:val="0"/>
                <w:sz w:val="21"/>
                <w:szCs w:val="21"/>
                <w:highlight w:val="none"/>
                <w:lang w:eastAsia="en-US"/>
              </w:rPr>
              <w:t>□</w:t>
            </w:r>
          </w:p>
        </w:tc>
      </w:tr>
      <w:tr w14:paraId="1B0F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restart"/>
            <w:vAlign w:val="center"/>
          </w:tcPr>
          <w:p w14:paraId="134C4453">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环境监测计划</w:t>
            </w:r>
          </w:p>
        </w:tc>
        <w:tc>
          <w:tcPr>
            <w:tcW w:w="1470" w:type="dxa"/>
            <w:vAlign w:val="center"/>
          </w:tcPr>
          <w:p w14:paraId="1EE9AFC6">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排放监测</w:t>
            </w:r>
          </w:p>
        </w:tc>
        <w:tc>
          <w:tcPr>
            <w:tcW w:w="5872" w:type="dxa"/>
            <w:gridSpan w:val="10"/>
            <w:vAlign w:val="center"/>
          </w:tcPr>
          <w:p w14:paraId="4263F019">
            <w:pPr>
              <w:pStyle w:val="680"/>
              <w:keepNext w:val="0"/>
              <w:keepLines w:val="0"/>
              <w:pageBreakBefore w:val="0"/>
              <w:widowControl w:val="0"/>
              <w:tabs>
                <w:tab w:val="left" w:pos="1621"/>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厂界监测</w:t>
            </w:r>
            <w:r>
              <w:rPr>
                <w:rFonts w:hint="eastAsia" w:ascii="Times New Roman" w:hAnsi="Times New Roman" w:eastAsia="宋体" w:cs="Times New Roman"/>
                <w:snapToGrid w:val="0"/>
                <w:color w:val="auto"/>
                <w:kern w:val="0"/>
                <w:sz w:val="21"/>
                <w:szCs w:val="21"/>
                <w:highlight w:val="none"/>
                <w:lang w:eastAsia="en-US"/>
              </w:rPr>
              <w:t>☑</w:t>
            </w:r>
            <w:r>
              <w:rPr>
                <w:rFonts w:hint="eastAsia" w:ascii="Times New Roman" w:hAnsi="Times New Roman" w:eastAsia="宋体" w:cs="Times New Roman"/>
                <w:snapToGrid w:val="0"/>
                <w:color w:val="auto"/>
                <w:kern w:val="0"/>
                <w:sz w:val="21"/>
                <w:szCs w:val="21"/>
                <w:highlight w:val="none"/>
                <w:lang w:val="en-US" w:eastAsia="zh-CN"/>
              </w:rPr>
              <w:t xml:space="preserve"> </w:t>
            </w:r>
            <w:r>
              <w:rPr>
                <w:rFonts w:ascii="Times New Roman" w:hAnsi="Times New Roman" w:eastAsia="宋体" w:cs="Times New Roman"/>
                <w:snapToGrid w:val="0"/>
                <w:color w:val="auto"/>
                <w:kern w:val="0"/>
                <w:sz w:val="21"/>
                <w:szCs w:val="21"/>
                <w:highlight w:val="none"/>
                <w:lang w:eastAsia="zh-CN"/>
              </w:rPr>
              <w:t>固定位置监测</w:t>
            </w:r>
            <w:r>
              <w:rPr>
                <w:rFonts w:ascii="Times New Roman" w:hAnsi="Times New Roman" w:eastAsia="宋体" w:cs="Times New Roman"/>
                <w:snapToGrid w:val="0"/>
                <w:color w:val="auto"/>
                <w:kern w:val="0"/>
                <w:sz w:val="21"/>
                <w:szCs w:val="21"/>
                <w:highlight w:val="none"/>
                <w:lang w:eastAsia="en-US"/>
              </w:rPr>
              <w:sym w:font="Wingdings 2" w:char="00A3"/>
            </w:r>
            <w:r>
              <w:rPr>
                <w:rFonts w:ascii="Times New Roman" w:hAnsi="Times New Roman" w:eastAsia="宋体" w:cs="Times New Roman"/>
                <w:snapToGrid w:val="0"/>
                <w:color w:val="auto"/>
                <w:kern w:val="0"/>
                <w:sz w:val="21"/>
                <w:szCs w:val="21"/>
                <w:highlight w:val="none"/>
                <w:lang w:eastAsia="zh-CN"/>
              </w:rPr>
              <w:t xml:space="preserve"> 自动监测</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 xml:space="preserve"> 手动监测</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 xml:space="preserve"> 无监测</w:t>
            </w:r>
            <w:r>
              <w:rPr>
                <w:rFonts w:hint="eastAsia" w:ascii="Times New Roman" w:hAnsi="Times New Roman" w:eastAsia="宋体" w:cs="Times New Roman"/>
                <w:snapToGrid w:val="0"/>
                <w:color w:val="auto"/>
                <w:kern w:val="0"/>
                <w:sz w:val="21"/>
                <w:szCs w:val="21"/>
                <w:highlight w:val="none"/>
                <w:lang w:eastAsia="zh-CN"/>
              </w:rPr>
              <w:t>□</w:t>
            </w:r>
          </w:p>
        </w:tc>
      </w:tr>
      <w:tr w14:paraId="6C6E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Merge w:val="continue"/>
            <w:vAlign w:val="center"/>
          </w:tcPr>
          <w:p w14:paraId="3E8B9813">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val="zh-CN" w:eastAsia="zh-CN" w:bidi="zh-CN"/>
              </w:rPr>
            </w:pPr>
          </w:p>
        </w:tc>
        <w:tc>
          <w:tcPr>
            <w:tcW w:w="1470" w:type="dxa"/>
            <w:vAlign w:val="center"/>
          </w:tcPr>
          <w:p w14:paraId="2442B1B1">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声环境保护目标处噪声监测</w:t>
            </w:r>
          </w:p>
        </w:tc>
        <w:tc>
          <w:tcPr>
            <w:tcW w:w="2689" w:type="dxa"/>
            <w:gridSpan w:val="4"/>
            <w:vAlign w:val="center"/>
          </w:tcPr>
          <w:p w14:paraId="0BC4D017">
            <w:pPr>
              <w:pStyle w:val="680"/>
              <w:keepNext w:val="0"/>
              <w:keepLines w:val="0"/>
              <w:pageBreakBefore w:val="0"/>
              <w:widowControl w:val="0"/>
              <w:tabs>
                <w:tab w:val="left" w:pos="2252"/>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监测因子：（</w:t>
            </w:r>
            <w:r>
              <w:rPr>
                <w:rFonts w:hint="eastAsia" w:ascii="Times New Roman" w:hAnsi="Times New Roman" w:eastAsia="宋体" w:cs="Times New Roman"/>
                <w:snapToGrid w:val="0"/>
                <w:color w:val="auto"/>
                <w:kern w:val="0"/>
                <w:sz w:val="21"/>
                <w:szCs w:val="21"/>
                <w:highlight w:val="none"/>
                <w:lang w:val="en-US" w:eastAsia="en-US"/>
              </w:rPr>
              <w:t>/</w:t>
            </w:r>
            <w:r>
              <w:rPr>
                <w:rFonts w:ascii="Times New Roman" w:hAnsi="Times New Roman" w:eastAsia="宋体" w:cs="Times New Roman"/>
                <w:snapToGrid w:val="0"/>
                <w:color w:val="auto"/>
                <w:kern w:val="0"/>
                <w:sz w:val="21"/>
                <w:szCs w:val="21"/>
                <w:highlight w:val="none"/>
                <w:lang w:eastAsia="en-US"/>
              </w:rPr>
              <w:t>）</w:t>
            </w:r>
          </w:p>
        </w:tc>
        <w:tc>
          <w:tcPr>
            <w:tcW w:w="1881" w:type="dxa"/>
            <w:gridSpan w:val="4"/>
            <w:vAlign w:val="center"/>
          </w:tcPr>
          <w:p w14:paraId="1ADA870D">
            <w:pPr>
              <w:pStyle w:val="680"/>
              <w:keepNext w:val="0"/>
              <w:keepLines w:val="0"/>
              <w:pageBreakBefore w:val="0"/>
              <w:widowControl w:val="0"/>
              <w:tabs>
                <w:tab w:val="left" w:pos="1735"/>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监测点位数（</w:t>
            </w:r>
            <w:r>
              <w:rPr>
                <w:rFonts w:hint="eastAsia" w:ascii="Times New Roman" w:hAnsi="Times New Roman" w:eastAsia="宋体" w:cs="Times New Roman"/>
                <w:snapToGrid w:val="0"/>
                <w:color w:val="auto"/>
                <w:kern w:val="0"/>
                <w:sz w:val="21"/>
                <w:szCs w:val="21"/>
                <w:highlight w:val="none"/>
                <w:lang w:val="en-US" w:eastAsia="en-US"/>
              </w:rPr>
              <w:t>/</w:t>
            </w:r>
            <w:r>
              <w:rPr>
                <w:rFonts w:ascii="Times New Roman" w:hAnsi="Times New Roman" w:eastAsia="宋体" w:cs="Times New Roman"/>
                <w:snapToGrid w:val="0"/>
                <w:color w:val="auto"/>
                <w:kern w:val="0"/>
                <w:sz w:val="21"/>
                <w:szCs w:val="21"/>
                <w:highlight w:val="none"/>
                <w:lang w:eastAsia="en-US"/>
              </w:rPr>
              <w:t>）</w:t>
            </w:r>
          </w:p>
        </w:tc>
        <w:tc>
          <w:tcPr>
            <w:tcW w:w="1302" w:type="dxa"/>
            <w:gridSpan w:val="2"/>
            <w:vAlign w:val="center"/>
          </w:tcPr>
          <w:p w14:paraId="051C89B2">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无监测</w:t>
            </w:r>
            <w:r>
              <w:rPr>
                <w:rFonts w:hint="eastAsia" w:ascii="Times New Roman" w:hAnsi="Times New Roman" w:eastAsia="宋体" w:cs="Times New Roman"/>
                <w:snapToGrid w:val="0"/>
                <w:color w:val="auto"/>
                <w:kern w:val="0"/>
                <w:sz w:val="21"/>
                <w:szCs w:val="21"/>
                <w:highlight w:val="none"/>
                <w:lang w:eastAsia="en-US"/>
              </w:rPr>
              <w:t>□</w:t>
            </w:r>
          </w:p>
        </w:tc>
      </w:tr>
      <w:tr w14:paraId="7140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80" w:type="dxa"/>
            <w:vAlign w:val="center"/>
          </w:tcPr>
          <w:p w14:paraId="790ED884">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评价结论</w:t>
            </w:r>
          </w:p>
        </w:tc>
        <w:tc>
          <w:tcPr>
            <w:tcW w:w="1470" w:type="dxa"/>
            <w:vAlign w:val="center"/>
          </w:tcPr>
          <w:p w14:paraId="5FF1F824">
            <w:pPr>
              <w:pStyle w:val="680"/>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环境影响</w:t>
            </w:r>
          </w:p>
        </w:tc>
        <w:tc>
          <w:tcPr>
            <w:tcW w:w="5872" w:type="dxa"/>
            <w:gridSpan w:val="10"/>
            <w:vAlign w:val="center"/>
          </w:tcPr>
          <w:p w14:paraId="625BEB03">
            <w:pPr>
              <w:pStyle w:val="680"/>
              <w:keepNext w:val="0"/>
              <w:keepLines w:val="0"/>
              <w:pageBreakBefore w:val="0"/>
              <w:widowControl w:val="0"/>
              <w:tabs>
                <w:tab w:val="left" w:pos="1202"/>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en-US"/>
              </w:rPr>
            </w:pPr>
            <w:r>
              <w:rPr>
                <w:rFonts w:ascii="Times New Roman" w:hAnsi="Times New Roman" w:eastAsia="宋体" w:cs="Times New Roman"/>
                <w:snapToGrid w:val="0"/>
                <w:color w:val="auto"/>
                <w:kern w:val="0"/>
                <w:sz w:val="21"/>
                <w:szCs w:val="21"/>
                <w:highlight w:val="none"/>
                <w:lang w:eastAsia="en-US"/>
              </w:rPr>
              <w:t>可行</w:t>
            </w:r>
            <w:r>
              <w:rPr>
                <w:rFonts w:hint="eastAsia" w:ascii="Times New Roman" w:hAnsi="Times New Roman" w:eastAsia="宋体" w:cs="Times New Roman"/>
                <w:snapToGrid w:val="0"/>
                <w:color w:val="auto"/>
                <w:kern w:val="0"/>
                <w:sz w:val="21"/>
                <w:szCs w:val="21"/>
                <w:highlight w:val="none"/>
                <w:lang w:eastAsia="en-US"/>
              </w:rPr>
              <w:t>☑</w:t>
            </w:r>
            <w:r>
              <w:rPr>
                <w:rFonts w:ascii="Times New Roman" w:hAnsi="Times New Roman" w:eastAsia="宋体" w:cs="Times New Roman"/>
                <w:snapToGrid w:val="0"/>
                <w:color w:val="auto"/>
                <w:kern w:val="0"/>
                <w:sz w:val="21"/>
                <w:szCs w:val="21"/>
                <w:highlight w:val="none"/>
                <w:lang w:eastAsia="en-US"/>
              </w:rPr>
              <w:tab/>
            </w:r>
            <w:r>
              <w:rPr>
                <w:rFonts w:ascii="Times New Roman" w:hAnsi="Times New Roman" w:eastAsia="宋体" w:cs="Times New Roman"/>
                <w:snapToGrid w:val="0"/>
                <w:color w:val="auto"/>
                <w:kern w:val="0"/>
                <w:sz w:val="21"/>
                <w:szCs w:val="21"/>
                <w:highlight w:val="none"/>
                <w:lang w:eastAsia="en-US"/>
              </w:rPr>
              <w:t>不可行</w:t>
            </w:r>
            <w:r>
              <w:rPr>
                <w:rFonts w:hint="eastAsia" w:ascii="Times New Roman" w:hAnsi="Times New Roman" w:eastAsia="宋体" w:cs="Times New Roman"/>
                <w:snapToGrid w:val="0"/>
                <w:color w:val="auto"/>
                <w:kern w:val="0"/>
                <w:sz w:val="21"/>
                <w:szCs w:val="21"/>
                <w:highlight w:val="none"/>
                <w:lang w:eastAsia="en-US"/>
              </w:rPr>
              <w:t>□</w:t>
            </w:r>
          </w:p>
        </w:tc>
      </w:tr>
      <w:tr w14:paraId="4999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322" w:type="dxa"/>
            <w:gridSpan w:val="12"/>
            <w:vAlign w:val="center"/>
          </w:tcPr>
          <w:p w14:paraId="23260E44">
            <w:pPr>
              <w:pStyle w:val="680"/>
              <w:keepNext w:val="0"/>
              <w:keepLines w:val="0"/>
              <w:pageBreakBefore w:val="0"/>
              <w:widowControl w:val="0"/>
              <w:tabs>
                <w:tab w:val="left" w:pos="2985"/>
              </w:tabs>
              <w:kinsoku/>
              <w:wordWrap/>
              <w:overflowPunct/>
              <w:topLinePunct w:val="0"/>
              <w:autoSpaceDE/>
              <w:autoSpaceDN/>
              <w:bidi w:val="0"/>
              <w:adjustRightInd w:val="0"/>
              <w:snapToGrid w:val="0"/>
              <w:ind w:left="0" w:leftChars="0" w:right="0" w:rightChars="0"/>
              <w:jc w:val="center"/>
              <w:textAlignment w:val="auto"/>
              <w:rPr>
                <w:rFonts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lang w:eastAsia="zh-CN"/>
              </w:rPr>
              <w:t>注“</w:t>
            </w:r>
            <w:r>
              <w:rPr>
                <w:rFonts w:hint="eastAsia" w:ascii="Times New Roman" w:hAnsi="Times New Roman" w:eastAsia="宋体"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lang w:eastAsia="zh-CN"/>
              </w:rPr>
              <w:t>”为勾选项 ，可√；“（  ）”为内容填写项。</w:t>
            </w:r>
          </w:p>
        </w:tc>
      </w:tr>
    </w:tbl>
    <w:p w14:paraId="491D027E">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6.2.4运营期固体废物环境影响分析</w:t>
      </w:r>
    </w:p>
    <w:p w14:paraId="3FDAC76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6.2.4.1固体废物产生、分类及处置情况</w:t>
      </w:r>
    </w:p>
    <w:p w14:paraId="0B5D43CB">
      <w:pPr>
        <w:spacing w:line="360" w:lineRule="auto"/>
        <w:ind w:firstLine="480" w:firstLineChars="200"/>
        <w:rPr>
          <w:color w:val="auto"/>
          <w:sz w:val="24"/>
          <w:szCs w:val="26"/>
          <w:highlight w:val="none"/>
        </w:rPr>
      </w:pPr>
      <w:r>
        <w:rPr>
          <w:color w:val="auto"/>
          <w:sz w:val="24"/>
          <w:szCs w:val="26"/>
          <w:highlight w:val="none"/>
        </w:rPr>
        <w:t>根据《中华人民共和国生态环境法典》《固体废物鉴别标准 通则》（GB34330-2017）</w:t>
      </w:r>
      <w:r>
        <w:rPr>
          <w:rFonts w:hint="eastAsia"/>
          <w:color w:val="auto"/>
          <w:sz w:val="24"/>
          <w:szCs w:val="26"/>
          <w:highlight w:val="none"/>
          <w:lang w:eastAsia="zh-CN"/>
        </w:rPr>
        <w:t>、</w:t>
      </w:r>
      <w:r>
        <w:rPr>
          <w:color w:val="auto"/>
          <w:sz w:val="24"/>
          <w:szCs w:val="26"/>
          <w:highlight w:val="none"/>
        </w:rPr>
        <w:t>《危险废物鉴别标准通则》（GB5085.7-2019）</w:t>
      </w:r>
      <w:r>
        <w:rPr>
          <w:rFonts w:hint="eastAsia"/>
          <w:color w:val="auto"/>
          <w:sz w:val="24"/>
          <w:szCs w:val="26"/>
          <w:highlight w:val="none"/>
          <w:lang w:eastAsia="zh-CN"/>
        </w:rPr>
        <w:t>、</w:t>
      </w:r>
      <w:r>
        <w:rPr>
          <w:color w:val="auto"/>
          <w:sz w:val="24"/>
          <w:szCs w:val="26"/>
          <w:highlight w:val="none"/>
        </w:rPr>
        <w:t>《国家危险废物名录》（2021年版）及相关鉴别标准，将本项目产生的固体废物分为危险废物、一般工业固体废物和生活垃圾。</w:t>
      </w:r>
    </w:p>
    <w:p w14:paraId="41E2C2D0">
      <w:pPr>
        <w:spacing w:line="360" w:lineRule="auto"/>
        <w:ind w:firstLine="480" w:firstLineChars="200"/>
        <w:rPr>
          <w:color w:val="auto"/>
          <w:sz w:val="24"/>
          <w:szCs w:val="26"/>
          <w:highlight w:val="none"/>
        </w:rPr>
      </w:pPr>
      <w:r>
        <w:rPr>
          <w:color w:val="auto"/>
          <w:sz w:val="24"/>
          <w:szCs w:val="26"/>
          <w:highlight w:val="none"/>
        </w:rPr>
        <w:t>固废处置遵循分类原则、回收利用原则、减量化原则、无公害原则及分散与集中处理相结合的原则，将不同类型固体废物进行分类收集和堆存，并对不同污染性质的污染物进行定向处置。</w:t>
      </w:r>
    </w:p>
    <w:p w14:paraId="26A34474">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项目固体废物产生情况及处置措施见表6.2-3</w:t>
      </w:r>
      <w:r>
        <w:rPr>
          <w:rFonts w:hint="eastAsia" w:ascii="Times New Roman" w:hAnsi="Times New Roman" w:eastAsia="宋体" w:cs="Times New Roman"/>
          <w:snapToGrid w:val="0"/>
          <w:color w:val="auto"/>
          <w:kern w:val="0"/>
          <w:highlight w:val="none"/>
          <w:lang w:val="en-US" w:eastAsia="zh-CN"/>
        </w:rPr>
        <w:t>6</w:t>
      </w:r>
      <w:r>
        <w:rPr>
          <w:rFonts w:hint="eastAsia" w:ascii="Times New Roman" w:hAnsi="Times New Roman" w:eastAsia="宋体" w:cs="Times New Roman"/>
          <w:snapToGrid w:val="0"/>
          <w:color w:val="auto"/>
          <w:kern w:val="0"/>
          <w:highlight w:val="none"/>
        </w:rPr>
        <w:t>。</w:t>
      </w:r>
    </w:p>
    <w:p w14:paraId="36EE1C49">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rPr>
      </w:pPr>
    </w:p>
    <w:p w14:paraId="50A74306">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rPr>
      </w:pPr>
    </w:p>
    <w:p w14:paraId="60FA95BE">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rPr>
      </w:pPr>
    </w:p>
    <w:p w14:paraId="74CCF285">
      <w:pPr>
        <w:pStyle w:val="412"/>
        <w:tabs>
          <w:tab w:val="left" w:pos="0"/>
          <w:tab w:val="clear" w:pos="6840"/>
        </w:tabs>
        <w:topLinePunct w:val="0"/>
        <w:adjustRightInd w:val="0"/>
        <w:spacing w:line="240" w:lineRule="auto"/>
        <w:ind w:left="0" w:firstLine="0" w:firstLineChars="0"/>
        <w:textAlignment w:val="center"/>
        <w:rPr>
          <w:color w:val="auto"/>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6.2-3</w:t>
      </w:r>
      <w:r>
        <w:rPr>
          <w:rFonts w:hint="eastAsia" w:ascii="Times New Roman" w:hAnsi="Times New Roman" w:cs="Times New Roman"/>
          <w:snapToGrid w:val="0"/>
          <w:color w:val="auto"/>
          <w:kern w:val="0"/>
          <w:sz w:val="21"/>
          <w:szCs w:val="21"/>
          <w:highlight w:val="none"/>
          <w:lang w:val="en-US" w:eastAsia="zh-CN"/>
        </w:rPr>
        <w:t>6</w:t>
      </w:r>
      <w:r>
        <w:rPr>
          <w:rFonts w:hint="eastAsia" w:ascii="Times New Roman" w:hAnsi="Times New Roman" w:cs="Times New Roman"/>
          <w:snapToGrid w:val="0"/>
          <w:color w:val="auto"/>
          <w:kern w:val="0"/>
          <w:sz w:val="21"/>
          <w:szCs w:val="21"/>
          <w:highlight w:val="none"/>
        </w:rPr>
        <w:t xml:space="preserve"> 本项目实施后固体废物产生及处置情况表</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79"/>
        <w:gridCol w:w="1259"/>
        <w:gridCol w:w="659"/>
        <w:gridCol w:w="1182"/>
        <w:gridCol w:w="920"/>
        <w:gridCol w:w="919"/>
        <w:gridCol w:w="529"/>
        <w:gridCol w:w="1392"/>
        <w:gridCol w:w="552"/>
        <w:gridCol w:w="477"/>
      </w:tblGrid>
      <w:tr w14:paraId="7891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12" w:type="dxa"/>
            <w:vAlign w:val="center"/>
          </w:tcPr>
          <w:p w14:paraId="25D2D616">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编号</w:t>
            </w:r>
          </w:p>
        </w:tc>
        <w:tc>
          <w:tcPr>
            <w:tcW w:w="1359" w:type="dxa"/>
            <w:vAlign w:val="center"/>
          </w:tcPr>
          <w:p w14:paraId="00D8262C">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固废名称</w:t>
            </w:r>
          </w:p>
        </w:tc>
        <w:tc>
          <w:tcPr>
            <w:tcW w:w="709" w:type="dxa"/>
            <w:vAlign w:val="center"/>
          </w:tcPr>
          <w:p w14:paraId="7069A335">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类别</w:t>
            </w:r>
          </w:p>
        </w:tc>
        <w:tc>
          <w:tcPr>
            <w:tcW w:w="1276" w:type="dxa"/>
            <w:vAlign w:val="center"/>
          </w:tcPr>
          <w:p w14:paraId="3CF342A2">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代码</w:t>
            </w:r>
          </w:p>
        </w:tc>
        <w:tc>
          <w:tcPr>
            <w:tcW w:w="992" w:type="dxa"/>
            <w:vAlign w:val="center"/>
          </w:tcPr>
          <w:p w14:paraId="02DC5477">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产生量（</w:t>
            </w:r>
            <w:r>
              <w:rPr>
                <w:snapToGrid w:val="0"/>
                <w:color w:val="auto"/>
                <w:kern w:val="0"/>
                <w:szCs w:val="21"/>
                <w:highlight w:val="none"/>
                <w:lang w:bidi="ar"/>
              </w:rPr>
              <w:t>t/a</w:t>
            </w:r>
            <w:r>
              <w:rPr>
                <w:rFonts w:hint="eastAsia"/>
                <w:snapToGrid w:val="0"/>
                <w:color w:val="auto"/>
                <w:kern w:val="0"/>
                <w:szCs w:val="21"/>
                <w:highlight w:val="none"/>
                <w:lang w:bidi="ar"/>
              </w:rPr>
              <w:t>）</w:t>
            </w:r>
          </w:p>
        </w:tc>
        <w:tc>
          <w:tcPr>
            <w:tcW w:w="991" w:type="dxa"/>
            <w:vAlign w:val="center"/>
          </w:tcPr>
          <w:p w14:paraId="6869972E">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产生工序</w:t>
            </w:r>
          </w:p>
          <w:p w14:paraId="0A2E7786">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及装置</w:t>
            </w:r>
          </w:p>
        </w:tc>
        <w:tc>
          <w:tcPr>
            <w:tcW w:w="568" w:type="dxa"/>
            <w:vAlign w:val="center"/>
          </w:tcPr>
          <w:p w14:paraId="1C76A289">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形态</w:t>
            </w:r>
          </w:p>
        </w:tc>
        <w:tc>
          <w:tcPr>
            <w:tcW w:w="1504" w:type="dxa"/>
            <w:vAlign w:val="center"/>
          </w:tcPr>
          <w:p w14:paraId="2DDEF3D2">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主要</w:t>
            </w:r>
            <w:r>
              <w:rPr>
                <w:snapToGrid w:val="0"/>
                <w:color w:val="auto"/>
                <w:kern w:val="0"/>
                <w:szCs w:val="21"/>
                <w:highlight w:val="none"/>
                <w:lang w:bidi="ar"/>
              </w:rPr>
              <w:t>/</w:t>
            </w:r>
            <w:r>
              <w:rPr>
                <w:rFonts w:hint="eastAsia"/>
                <w:snapToGrid w:val="0"/>
                <w:color w:val="auto"/>
                <w:kern w:val="0"/>
                <w:szCs w:val="21"/>
                <w:highlight w:val="none"/>
                <w:lang w:bidi="ar"/>
              </w:rPr>
              <w:t>危害成分</w:t>
            </w:r>
          </w:p>
        </w:tc>
        <w:tc>
          <w:tcPr>
            <w:tcW w:w="592" w:type="dxa"/>
            <w:vAlign w:val="center"/>
          </w:tcPr>
          <w:p w14:paraId="733E2C4F">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产废周期</w:t>
            </w:r>
          </w:p>
        </w:tc>
        <w:tc>
          <w:tcPr>
            <w:tcW w:w="511" w:type="dxa"/>
            <w:vAlign w:val="center"/>
          </w:tcPr>
          <w:p w14:paraId="5C88FFEB">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危险</w:t>
            </w:r>
          </w:p>
          <w:p w14:paraId="5EFA1606">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特性</w:t>
            </w:r>
          </w:p>
        </w:tc>
      </w:tr>
      <w:tr w14:paraId="4223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12" w:type="dxa"/>
            <w:vAlign w:val="center"/>
          </w:tcPr>
          <w:p w14:paraId="6FDA757D">
            <w:pPr>
              <w:adjustRightInd w:val="0"/>
              <w:snapToGrid w:val="0"/>
              <w:jc w:val="center"/>
              <w:rPr>
                <w:snapToGrid w:val="0"/>
                <w:color w:val="auto"/>
                <w:kern w:val="0"/>
                <w:szCs w:val="21"/>
                <w:highlight w:val="none"/>
              </w:rPr>
            </w:pPr>
            <w:r>
              <w:rPr>
                <w:snapToGrid w:val="0"/>
                <w:color w:val="auto"/>
                <w:kern w:val="0"/>
                <w:szCs w:val="21"/>
                <w:highlight w:val="none"/>
                <w:lang w:bidi="ar"/>
              </w:rPr>
              <w:t>S1</w:t>
            </w:r>
          </w:p>
        </w:tc>
        <w:tc>
          <w:tcPr>
            <w:tcW w:w="1359" w:type="dxa"/>
            <w:vAlign w:val="center"/>
          </w:tcPr>
          <w:p w14:paraId="0F023F44">
            <w:pPr>
              <w:adjustRightInd w:val="0"/>
              <w:snapToGrid w:val="0"/>
              <w:jc w:val="center"/>
              <w:rPr>
                <w:snapToGrid w:val="0"/>
                <w:color w:val="auto"/>
                <w:kern w:val="0"/>
                <w:szCs w:val="21"/>
                <w:highlight w:val="none"/>
              </w:rPr>
            </w:pPr>
            <w:r>
              <w:rPr>
                <w:rFonts w:hint="eastAsia"/>
                <w:snapToGrid w:val="0"/>
                <w:color w:val="auto"/>
                <w:kern w:val="0"/>
                <w:szCs w:val="21"/>
                <w:highlight w:val="none"/>
              </w:rPr>
              <w:t>菌体污泥</w:t>
            </w:r>
          </w:p>
        </w:tc>
        <w:tc>
          <w:tcPr>
            <w:tcW w:w="709" w:type="dxa"/>
            <w:vAlign w:val="center"/>
          </w:tcPr>
          <w:p w14:paraId="7FA55C47">
            <w:pPr>
              <w:adjustRightInd w:val="0"/>
              <w:snapToGrid w:val="0"/>
              <w:jc w:val="center"/>
              <w:rPr>
                <w:snapToGrid w:val="0"/>
                <w:color w:val="auto"/>
                <w:kern w:val="0"/>
                <w:szCs w:val="21"/>
                <w:highlight w:val="none"/>
              </w:rPr>
            </w:pPr>
            <w:r>
              <w:rPr>
                <w:snapToGrid w:val="0"/>
                <w:color w:val="auto"/>
                <w:kern w:val="0"/>
                <w:szCs w:val="21"/>
                <w:highlight w:val="none"/>
                <w:lang w:bidi="ar"/>
              </w:rPr>
              <w:t>SW59</w:t>
            </w:r>
          </w:p>
        </w:tc>
        <w:tc>
          <w:tcPr>
            <w:tcW w:w="1276" w:type="dxa"/>
            <w:vAlign w:val="center"/>
          </w:tcPr>
          <w:p w14:paraId="537D7E38">
            <w:pPr>
              <w:adjustRightInd w:val="0"/>
              <w:snapToGrid w:val="0"/>
              <w:jc w:val="center"/>
              <w:rPr>
                <w:snapToGrid w:val="0"/>
                <w:color w:val="auto"/>
                <w:kern w:val="0"/>
                <w:szCs w:val="21"/>
                <w:highlight w:val="none"/>
              </w:rPr>
            </w:pPr>
            <w:r>
              <w:rPr>
                <w:snapToGrid w:val="0"/>
                <w:color w:val="auto"/>
                <w:kern w:val="0"/>
                <w:szCs w:val="21"/>
                <w:highlight w:val="none"/>
                <w:lang w:bidi="ar"/>
              </w:rPr>
              <w:t>900-099-S59</w:t>
            </w:r>
          </w:p>
        </w:tc>
        <w:tc>
          <w:tcPr>
            <w:tcW w:w="992" w:type="dxa"/>
            <w:vAlign w:val="center"/>
          </w:tcPr>
          <w:p w14:paraId="77B85D49">
            <w:pPr>
              <w:adjustRightInd w:val="0"/>
              <w:snapToGrid w:val="0"/>
              <w:jc w:val="center"/>
              <w:rPr>
                <w:snapToGrid w:val="0"/>
                <w:color w:val="auto"/>
                <w:kern w:val="0"/>
                <w:szCs w:val="21"/>
                <w:highlight w:val="none"/>
              </w:rPr>
            </w:pPr>
            <w:r>
              <w:rPr>
                <w:snapToGrid w:val="0"/>
                <w:color w:val="auto"/>
                <w:kern w:val="0"/>
                <w:szCs w:val="21"/>
                <w:highlight w:val="none"/>
                <w:lang w:bidi="ar"/>
              </w:rPr>
              <w:t>24320</w:t>
            </w:r>
          </w:p>
        </w:tc>
        <w:tc>
          <w:tcPr>
            <w:tcW w:w="991" w:type="dxa"/>
            <w:vAlign w:val="center"/>
          </w:tcPr>
          <w:p w14:paraId="6D814439">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压滤</w:t>
            </w:r>
          </w:p>
        </w:tc>
        <w:tc>
          <w:tcPr>
            <w:tcW w:w="568" w:type="dxa"/>
            <w:vAlign w:val="center"/>
          </w:tcPr>
          <w:p w14:paraId="2AEB720B">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固态</w:t>
            </w:r>
          </w:p>
        </w:tc>
        <w:tc>
          <w:tcPr>
            <w:tcW w:w="1504" w:type="dxa"/>
            <w:vAlign w:val="center"/>
          </w:tcPr>
          <w:p w14:paraId="71F18015">
            <w:pPr>
              <w:adjustRightInd w:val="0"/>
              <w:snapToGrid w:val="0"/>
              <w:jc w:val="center"/>
              <w:rPr>
                <w:rFonts w:hint="eastAsia"/>
                <w:snapToGrid w:val="0"/>
                <w:color w:val="auto"/>
                <w:kern w:val="0"/>
                <w:szCs w:val="21"/>
                <w:highlight w:val="none"/>
              </w:rPr>
            </w:pPr>
            <w:r>
              <w:rPr>
                <w:rFonts w:hint="eastAsia"/>
                <w:snapToGrid w:val="0"/>
                <w:color w:val="auto"/>
                <w:kern w:val="0"/>
                <w:szCs w:val="21"/>
                <w:highlight w:val="none"/>
              </w:rPr>
              <w:t>有机质、</w:t>
            </w:r>
          </w:p>
          <w:p w14:paraId="76C6FB09">
            <w:pPr>
              <w:adjustRightInd w:val="0"/>
              <w:snapToGrid w:val="0"/>
              <w:jc w:val="center"/>
              <w:rPr>
                <w:snapToGrid w:val="0"/>
                <w:color w:val="auto"/>
                <w:kern w:val="0"/>
                <w:szCs w:val="21"/>
                <w:highlight w:val="none"/>
              </w:rPr>
            </w:pPr>
            <w:r>
              <w:rPr>
                <w:rFonts w:hint="eastAsia"/>
                <w:snapToGrid w:val="0"/>
                <w:color w:val="auto"/>
                <w:kern w:val="0"/>
                <w:szCs w:val="21"/>
                <w:highlight w:val="none"/>
              </w:rPr>
              <w:t>硫酸钙</w:t>
            </w:r>
          </w:p>
        </w:tc>
        <w:tc>
          <w:tcPr>
            <w:tcW w:w="592" w:type="dxa"/>
            <w:vAlign w:val="center"/>
          </w:tcPr>
          <w:p w14:paraId="0EDA0957">
            <w:pPr>
              <w:adjustRightInd w:val="0"/>
              <w:snapToGrid w:val="0"/>
              <w:jc w:val="center"/>
              <w:rPr>
                <w:snapToGrid w:val="0"/>
                <w:color w:val="auto"/>
                <w:kern w:val="0"/>
                <w:szCs w:val="21"/>
                <w:highlight w:val="none"/>
              </w:rPr>
            </w:pPr>
            <w:r>
              <w:rPr>
                <w:rFonts w:hint="eastAsia"/>
                <w:snapToGrid w:val="0"/>
                <w:color w:val="auto"/>
                <w:kern w:val="0"/>
                <w:szCs w:val="21"/>
                <w:highlight w:val="none"/>
                <w:lang w:bidi="ar"/>
              </w:rPr>
              <w:t>连续</w:t>
            </w:r>
          </w:p>
        </w:tc>
        <w:tc>
          <w:tcPr>
            <w:tcW w:w="511" w:type="dxa"/>
            <w:vAlign w:val="center"/>
          </w:tcPr>
          <w:p w14:paraId="0BB084B3">
            <w:pPr>
              <w:adjustRightInd w:val="0"/>
              <w:snapToGrid w:val="0"/>
              <w:jc w:val="center"/>
              <w:rPr>
                <w:snapToGrid w:val="0"/>
                <w:color w:val="auto"/>
                <w:kern w:val="0"/>
                <w:szCs w:val="21"/>
                <w:highlight w:val="none"/>
              </w:rPr>
            </w:pPr>
            <w:r>
              <w:rPr>
                <w:snapToGrid w:val="0"/>
                <w:color w:val="auto"/>
                <w:kern w:val="0"/>
                <w:szCs w:val="21"/>
                <w:highlight w:val="none"/>
                <w:lang w:bidi="ar"/>
              </w:rPr>
              <w:t>-</w:t>
            </w:r>
          </w:p>
        </w:tc>
      </w:tr>
      <w:tr w14:paraId="1A63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12" w:type="dxa"/>
            <w:vAlign w:val="center"/>
          </w:tcPr>
          <w:p w14:paraId="54A48812">
            <w:pPr>
              <w:adjustRightInd w:val="0"/>
              <w:snapToGrid w:val="0"/>
              <w:jc w:val="center"/>
              <w:rPr>
                <w:snapToGrid w:val="0"/>
                <w:color w:val="auto"/>
                <w:kern w:val="0"/>
                <w:szCs w:val="21"/>
                <w:highlight w:val="none"/>
              </w:rPr>
            </w:pPr>
            <w:r>
              <w:rPr>
                <w:snapToGrid w:val="0"/>
                <w:color w:val="auto"/>
                <w:kern w:val="0"/>
                <w:szCs w:val="21"/>
                <w:highlight w:val="none"/>
                <w:lang w:bidi="ar"/>
              </w:rPr>
              <w:t>S2</w:t>
            </w:r>
          </w:p>
        </w:tc>
        <w:tc>
          <w:tcPr>
            <w:tcW w:w="1359" w:type="dxa"/>
            <w:vAlign w:val="center"/>
          </w:tcPr>
          <w:p w14:paraId="5A63CBC2">
            <w:pPr>
              <w:adjustRightInd w:val="0"/>
              <w:snapToGrid w:val="0"/>
              <w:jc w:val="center"/>
              <w:rPr>
                <w:rFonts w:hint="eastAsia" w:eastAsia="宋体"/>
                <w:snapToGrid w:val="0"/>
                <w:color w:val="auto"/>
                <w:kern w:val="0"/>
                <w:szCs w:val="21"/>
                <w:highlight w:val="none"/>
                <w:lang w:eastAsia="zh-CN" w:bidi="ar"/>
              </w:rPr>
            </w:pPr>
            <w:r>
              <w:rPr>
                <w:rFonts w:hint="eastAsia"/>
                <w:snapToGrid w:val="0"/>
                <w:color w:val="auto"/>
                <w:kern w:val="0"/>
                <w:szCs w:val="21"/>
                <w:highlight w:val="none"/>
                <w:lang w:eastAsia="zh-CN" w:bidi="ar"/>
              </w:rPr>
              <w:t>废矿物油</w:t>
            </w:r>
          </w:p>
        </w:tc>
        <w:tc>
          <w:tcPr>
            <w:tcW w:w="709" w:type="dxa"/>
            <w:vAlign w:val="center"/>
          </w:tcPr>
          <w:p w14:paraId="689EC463">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H</w:t>
            </w:r>
            <w:r>
              <w:rPr>
                <w:snapToGrid w:val="0"/>
                <w:color w:val="auto"/>
                <w:kern w:val="0"/>
                <w:szCs w:val="21"/>
                <w:highlight w:val="none"/>
                <w:lang w:bidi="ar"/>
              </w:rPr>
              <w:t>W08</w:t>
            </w:r>
          </w:p>
        </w:tc>
        <w:tc>
          <w:tcPr>
            <w:tcW w:w="1276" w:type="dxa"/>
            <w:vAlign w:val="center"/>
          </w:tcPr>
          <w:p w14:paraId="3BE90800">
            <w:pPr>
              <w:adjustRightInd w:val="0"/>
              <w:snapToGrid w:val="0"/>
              <w:jc w:val="center"/>
              <w:rPr>
                <w:snapToGrid w:val="0"/>
                <w:color w:val="auto"/>
                <w:kern w:val="0"/>
                <w:szCs w:val="21"/>
                <w:highlight w:val="none"/>
                <w:lang w:bidi="ar"/>
              </w:rPr>
            </w:pPr>
            <w:r>
              <w:rPr>
                <w:snapToGrid w:val="0"/>
                <w:color w:val="auto"/>
                <w:kern w:val="0"/>
                <w:szCs w:val="21"/>
                <w:highlight w:val="none"/>
                <w:lang w:bidi="ar"/>
              </w:rPr>
              <w:t>900-219-08</w:t>
            </w:r>
          </w:p>
        </w:tc>
        <w:tc>
          <w:tcPr>
            <w:tcW w:w="992" w:type="dxa"/>
            <w:vAlign w:val="center"/>
          </w:tcPr>
          <w:p w14:paraId="31BB9386">
            <w:pPr>
              <w:adjustRightInd w:val="0"/>
              <w:snapToGrid w:val="0"/>
              <w:jc w:val="center"/>
              <w:rPr>
                <w:rFonts w:hint="eastAsia" w:eastAsia="宋体"/>
                <w:snapToGrid w:val="0"/>
                <w:color w:val="auto"/>
                <w:kern w:val="0"/>
                <w:szCs w:val="21"/>
                <w:highlight w:val="none"/>
                <w:lang w:eastAsia="zh-CN" w:bidi="ar"/>
              </w:rPr>
            </w:pPr>
            <w:r>
              <w:rPr>
                <w:rFonts w:hint="eastAsia"/>
                <w:snapToGrid w:val="0"/>
                <w:color w:val="auto"/>
                <w:kern w:val="0"/>
                <w:szCs w:val="21"/>
                <w:highlight w:val="none"/>
                <w:lang w:val="en-US" w:eastAsia="zh-CN" w:bidi="ar"/>
              </w:rPr>
              <w:t>5</w:t>
            </w:r>
          </w:p>
        </w:tc>
        <w:tc>
          <w:tcPr>
            <w:tcW w:w="991" w:type="dxa"/>
            <w:vAlign w:val="center"/>
          </w:tcPr>
          <w:p w14:paraId="11814B39">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机修</w:t>
            </w:r>
          </w:p>
        </w:tc>
        <w:tc>
          <w:tcPr>
            <w:tcW w:w="568" w:type="dxa"/>
            <w:vAlign w:val="center"/>
          </w:tcPr>
          <w:p w14:paraId="2FB5669C">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液态</w:t>
            </w:r>
          </w:p>
        </w:tc>
        <w:tc>
          <w:tcPr>
            <w:tcW w:w="1504" w:type="dxa"/>
            <w:vAlign w:val="center"/>
          </w:tcPr>
          <w:p w14:paraId="172A0519">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润滑油</w:t>
            </w:r>
          </w:p>
        </w:tc>
        <w:tc>
          <w:tcPr>
            <w:tcW w:w="592" w:type="dxa"/>
            <w:vAlign w:val="center"/>
          </w:tcPr>
          <w:p w14:paraId="70620AB7">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不定</w:t>
            </w:r>
          </w:p>
        </w:tc>
        <w:tc>
          <w:tcPr>
            <w:tcW w:w="511" w:type="dxa"/>
            <w:vAlign w:val="center"/>
          </w:tcPr>
          <w:p w14:paraId="78358213">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T</w:t>
            </w:r>
            <w:r>
              <w:rPr>
                <w:rFonts w:hint="eastAsia"/>
                <w:snapToGrid w:val="0"/>
                <w:color w:val="auto"/>
                <w:kern w:val="0"/>
                <w:szCs w:val="21"/>
                <w:highlight w:val="none"/>
                <w:lang w:eastAsia="zh-CN" w:bidi="ar"/>
              </w:rPr>
              <w:t>、</w:t>
            </w:r>
            <w:r>
              <w:rPr>
                <w:rFonts w:hint="eastAsia"/>
                <w:snapToGrid w:val="0"/>
                <w:color w:val="auto"/>
                <w:kern w:val="0"/>
                <w:szCs w:val="21"/>
                <w:highlight w:val="none"/>
                <w:lang w:val="en-US" w:eastAsia="zh-CN" w:bidi="ar"/>
              </w:rPr>
              <w:t>I</w:t>
            </w:r>
          </w:p>
        </w:tc>
      </w:tr>
      <w:tr w14:paraId="583C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12" w:type="dxa"/>
            <w:vAlign w:val="center"/>
          </w:tcPr>
          <w:p w14:paraId="0BB916CA">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S</w:t>
            </w:r>
            <w:r>
              <w:rPr>
                <w:snapToGrid w:val="0"/>
                <w:color w:val="auto"/>
                <w:kern w:val="0"/>
                <w:szCs w:val="21"/>
                <w:highlight w:val="none"/>
                <w:lang w:bidi="ar"/>
              </w:rPr>
              <w:t>3</w:t>
            </w:r>
          </w:p>
        </w:tc>
        <w:tc>
          <w:tcPr>
            <w:tcW w:w="1359" w:type="dxa"/>
            <w:vAlign w:val="center"/>
          </w:tcPr>
          <w:p w14:paraId="78968BA8">
            <w:pPr>
              <w:adjustRightInd w:val="0"/>
              <w:snapToGrid w:val="0"/>
              <w:jc w:val="center"/>
              <w:rPr>
                <w:rFonts w:hint="eastAsia" w:eastAsia="宋体"/>
                <w:snapToGrid w:val="0"/>
                <w:color w:val="auto"/>
                <w:kern w:val="0"/>
                <w:szCs w:val="21"/>
                <w:highlight w:val="none"/>
                <w:lang w:eastAsia="zh-CN" w:bidi="ar"/>
              </w:rPr>
            </w:pPr>
            <w:r>
              <w:rPr>
                <w:rFonts w:hint="eastAsia"/>
                <w:snapToGrid w:val="0"/>
                <w:color w:val="auto"/>
                <w:kern w:val="0"/>
                <w:szCs w:val="21"/>
                <w:highlight w:val="none"/>
                <w:lang w:eastAsia="zh-CN" w:bidi="ar"/>
              </w:rPr>
              <w:t>化验室废液</w:t>
            </w:r>
          </w:p>
        </w:tc>
        <w:tc>
          <w:tcPr>
            <w:tcW w:w="709" w:type="dxa"/>
            <w:vAlign w:val="center"/>
          </w:tcPr>
          <w:p w14:paraId="6D66525B">
            <w:pPr>
              <w:adjustRightInd w:val="0"/>
              <w:snapToGrid w:val="0"/>
              <w:jc w:val="center"/>
              <w:rPr>
                <w:snapToGrid w:val="0"/>
                <w:color w:val="auto"/>
                <w:kern w:val="0"/>
                <w:szCs w:val="21"/>
                <w:highlight w:val="none"/>
              </w:rPr>
            </w:pPr>
            <w:r>
              <w:rPr>
                <w:snapToGrid w:val="0"/>
                <w:color w:val="auto"/>
                <w:kern w:val="0"/>
                <w:szCs w:val="21"/>
                <w:highlight w:val="none"/>
              </w:rPr>
              <w:t>HW49</w:t>
            </w:r>
          </w:p>
        </w:tc>
        <w:tc>
          <w:tcPr>
            <w:tcW w:w="1276" w:type="dxa"/>
            <w:vAlign w:val="center"/>
          </w:tcPr>
          <w:p w14:paraId="12BF47C6">
            <w:pPr>
              <w:adjustRightInd w:val="0"/>
              <w:snapToGrid w:val="0"/>
              <w:jc w:val="center"/>
              <w:rPr>
                <w:snapToGrid w:val="0"/>
                <w:color w:val="auto"/>
                <w:kern w:val="0"/>
                <w:szCs w:val="21"/>
                <w:highlight w:val="none"/>
              </w:rPr>
            </w:pPr>
            <w:r>
              <w:rPr>
                <w:snapToGrid w:val="0"/>
                <w:color w:val="auto"/>
                <w:kern w:val="0"/>
                <w:szCs w:val="21"/>
                <w:highlight w:val="none"/>
              </w:rPr>
              <w:t>900-047-49</w:t>
            </w:r>
          </w:p>
        </w:tc>
        <w:tc>
          <w:tcPr>
            <w:tcW w:w="992" w:type="dxa"/>
            <w:vAlign w:val="center"/>
          </w:tcPr>
          <w:p w14:paraId="16CEEA5B">
            <w:pPr>
              <w:adjustRightInd w:val="0"/>
              <w:snapToGrid w:val="0"/>
              <w:jc w:val="center"/>
              <w:rPr>
                <w:snapToGrid w:val="0"/>
                <w:color w:val="auto"/>
                <w:kern w:val="0"/>
                <w:szCs w:val="21"/>
                <w:highlight w:val="none"/>
                <w:lang w:bidi="ar"/>
              </w:rPr>
            </w:pPr>
            <w:r>
              <w:rPr>
                <w:snapToGrid w:val="0"/>
                <w:color w:val="auto"/>
                <w:kern w:val="0"/>
                <w:szCs w:val="21"/>
                <w:highlight w:val="none"/>
                <w:lang w:bidi="ar"/>
              </w:rPr>
              <w:t>1</w:t>
            </w:r>
          </w:p>
        </w:tc>
        <w:tc>
          <w:tcPr>
            <w:tcW w:w="991" w:type="dxa"/>
            <w:vAlign w:val="center"/>
          </w:tcPr>
          <w:p w14:paraId="5041796F">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实验室</w:t>
            </w:r>
          </w:p>
        </w:tc>
        <w:tc>
          <w:tcPr>
            <w:tcW w:w="568" w:type="dxa"/>
            <w:vAlign w:val="center"/>
          </w:tcPr>
          <w:p w14:paraId="4E9294D3">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液态</w:t>
            </w:r>
          </w:p>
        </w:tc>
        <w:tc>
          <w:tcPr>
            <w:tcW w:w="1504" w:type="dxa"/>
            <w:vAlign w:val="center"/>
          </w:tcPr>
          <w:p w14:paraId="7FE18D85">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化学试剂</w:t>
            </w:r>
          </w:p>
        </w:tc>
        <w:tc>
          <w:tcPr>
            <w:tcW w:w="592" w:type="dxa"/>
            <w:vAlign w:val="center"/>
          </w:tcPr>
          <w:p w14:paraId="7890A601">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连续</w:t>
            </w:r>
          </w:p>
        </w:tc>
        <w:tc>
          <w:tcPr>
            <w:tcW w:w="511" w:type="dxa"/>
            <w:vAlign w:val="center"/>
          </w:tcPr>
          <w:p w14:paraId="626D2168">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T</w:t>
            </w:r>
            <w:r>
              <w:rPr>
                <w:rFonts w:hint="eastAsia"/>
                <w:snapToGrid w:val="0"/>
                <w:color w:val="auto"/>
                <w:kern w:val="0"/>
                <w:szCs w:val="21"/>
                <w:highlight w:val="none"/>
                <w:lang w:eastAsia="zh-CN" w:bidi="ar"/>
              </w:rPr>
              <w:t>、</w:t>
            </w:r>
            <w:r>
              <w:rPr>
                <w:rFonts w:hint="eastAsia"/>
                <w:snapToGrid w:val="0"/>
                <w:color w:val="auto"/>
                <w:kern w:val="0"/>
                <w:szCs w:val="21"/>
                <w:highlight w:val="none"/>
                <w:lang w:val="en-US" w:eastAsia="zh-CN" w:bidi="ar"/>
              </w:rPr>
              <w:t>C、I、R</w:t>
            </w:r>
          </w:p>
        </w:tc>
      </w:tr>
      <w:tr w14:paraId="4061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12" w:type="dxa"/>
            <w:vAlign w:val="center"/>
          </w:tcPr>
          <w:p w14:paraId="7404E751">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S</w:t>
            </w:r>
            <w:r>
              <w:rPr>
                <w:snapToGrid w:val="0"/>
                <w:color w:val="auto"/>
                <w:kern w:val="0"/>
                <w:szCs w:val="21"/>
                <w:highlight w:val="none"/>
                <w:lang w:bidi="ar"/>
              </w:rPr>
              <w:t>4</w:t>
            </w:r>
          </w:p>
        </w:tc>
        <w:tc>
          <w:tcPr>
            <w:tcW w:w="1359" w:type="dxa"/>
            <w:vAlign w:val="center"/>
          </w:tcPr>
          <w:p w14:paraId="001D0486">
            <w:pPr>
              <w:adjustRightInd w:val="0"/>
              <w:snapToGrid w:val="0"/>
              <w:jc w:val="center"/>
              <w:rPr>
                <w:snapToGrid w:val="0"/>
                <w:color w:val="auto"/>
                <w:kern w:val="0"/>
                <w:szCs w:val="21"/>
                <w:highlight w:val="none"/>
                <w:lang w:bidi="ar"/>
              </w:rPr>
            </w:pPr>
            <w:r>
              <w:rPr>
                <w:rFonts w:hint="eastAsia"/>
                <w:color w:val="auto"/>
                <w:kern w:val="0"/>
                <w:sz w:val="21"/>
                <w:szCs w:val="21"/>
                <w:highlight w:val="none"/>
                <w:lang w:bidi="ar"/>
              </w:rPr>
              <w:t>废铅蓄电池</w:t>
            </w:r>
          </w:p>
        </w:tc>
        <w:tc>
          <w:tcPr>
            <w:tcW w:w="709" w:type="dxa"/>
            <w:vAlign w:val="center"/>
          </w:tcPr>
          <w:p w14:paraId="1D48644D">
            <w:pPr>
              <w:adjustRightInd w:val="0"/>
              <w:snapToGrid w:val="0"/>
              <w:jc w:val="center"/>
              <w:rPr>
                <w:color w:val="auto"/>
                <w:szCs w:val="21"/>
                <w:highlight w:val="none"/>
              </w:rPr>
            </w:pPr>
            <w:r>
              <w:rPr>
                <w:color w:val="auto"/>
                <w:highlight w:val="none"/>
              </w:rPr>
              <w:t>HW31</w:t>
            </w:r>
          </w:p>
        </w:tc>
        <w:tc>
          <w:tcPr>
            <w:tcW w:w="1276" w:type="dxa"/>
            <w:vAlign w:val="center"/>
          </w:tcPr>
          <w:p w14:paraId="4B24FF8A">
            <w:pPr>
              <w:adjustRightInd w:val="0"/>
              <w:snapToGrid w:val="0"/>
              <w:jc w:val="center"/>
              <w:rPr>
                <w:color w:val="auto"/>
                <w:highlight w:val="none"/>
              </w:rPr>
            </w:pPr>
            <w:r>
              <w:rPr>
                <w:color w:val="auto"/>
                <w:highlight w:val="none"/>
              </w:rPr>
              <w:t>900-052-31</w:t>
            </w:r>
          </w:p>
        </w:tc>
        <w:tc>
          <w:tcPr>
            <w:tcW w:w="992" w:type="dxa"/>
            <w:vAlign w:val="center"/>
          </w:tcPr>
          <w:p w14:paraId="6A6DCA03">
            <w:pPr>
              <w:adjustRightInd w:val="0"/>
              <w:snapToGrid w:val="0"/>
              <w:jc w:val="center"/>
              <w:rPr>
                <w:color w:val="auto"/>
                <w:highlight w:val="none"/>
              </w:rPr>
            </w:pPr>
            <w:r>
              <w:rPr>
                <w:color w:val="auto"/>
                <w:highlight w:val="none"/>
              </w:rPr>
              <w:t>5</w:t>
            </w:r>
          </w:p>
        </w:tc>
        <w:tc>
          <w:tcPr>
            <w:tcW w:w="991" w:type="dxa"/>
            <w:vAlign w:val="center"/>
          </w:tcPr>
          <w:p w14:paraId="711AA800">
            <w:pPr>
              <w:adjustRightInd w:val="0"/>
              <w:snapToGrid w:val="0"/>
              <w:jc w:val="center"/>
              <w:rPr>
                <w:color w:val="auto"/>
                <w:highlight w:val="none"/>
              </w:rPr>
            </w:pPr>
            <w:r>
              <w:rPr>
                <w:rFonts w:hint="eastAsia" w:ascii="宋体" w:hAnsi="宋体"/>
                <w:color w:val="auto"/>
                <w:highlight w:val="none"/>
              </w:rPr>
              <w:t>各工序</w:t>
            </w:r>
          </w:p>
        </w:tc>
        <w:tc>
          <w:tcPr>
            <w:tcW w:w="568" w:type="dxa"/>
            <w:vAlign w:val="center"/>
          </w:tcPr>
          <w:p w14:paraId="54F42B8D">
            <w:pPr>
              <w:adjustRightInd w:val="0"/>
              <w:snapToGrid w:val="0"/>
              <w:jc w:val="center"/>
              <w:rPr>
                <w:color w:val="auto"/>
                <w:highlight w:val="none"/>
              </w:rPr>
            </w:pPr>
            <w:r>
              <w:rPr>
                <w:rFonts w:hint="eastAsia" w:ascii="宋体" w:hAnsi="宋体"/>
                <w:color w:val="auto"/>
                <w:highlight w:val="none"/>
              </w:rPr>
              <w:t>固态</w:t>
            </w:r>
          </w:p>
        </w:tc>
        <w:tc>
          <w:tcPr>
            <w:tcW w:w="1504" w:type="dxa"/>
            <w:vAlign w:val="center"/>
          </w:tcPr>
          <w:p w14:paraId="2F92A49A">
            <w:pPr>
              <w:adjustRightInd w:val="0"/>
              <w:snapToGrid w:val="0"/>
              <w:jc w:val="center"/>
              <w:rPr>
                <w:color w:val="auto"/>
                <w:highlight w:val="none"/>
              </w:rPr>
            </w:pPr>
            <w:r>
              <w:rPr>
                <w:rFonts w:hint="eastAsia" w:ascii="宋体" w:hAnsi="宋体"/>
                <w:color w:val="auto"/>
                <w:highlight w:val="none"/>
              </w:rPr>
              <w:t>铅、酸</w:t>
            </w:r>
          </w:p>
        </w:tc>
        <w:tc>
          <w:tcPr>
            <w:tcW w:w="592" w:type="dxa"/>
            <w:vAlign w:val="center"/>
          </w:tcPr>
          <w:p w14:paraId="6034CD44">
            <w:pPr>
              <w:adjustRightInd w:val="0"/>
              <w:snapToGrid w:val="0"/>
              <w:jc w:val="center"/>
              <w:rPr>
                <w:color w:val="auto"/>
                <w:highlight w:val="none"/>
              </w:rPr>
            </w:pPr>
            <w:r>
              <w:rPr>
                <w:rFonts w:hint="eastAsia" w:ascii="宋体" w:hAnsi="宋体"/>
                <w:color w:val="auto"/>
                <w:highlight w:val="none"/>
              </w:rPr>
              <w:t>不定</w:t>
            </w:r>
          </w:p>
        </w:tc>
        <w:tc>
          <w:tcPr>
            <w:tcW w:w="511" w:type="dxa"/>
            <w:vAlign w:val="center"/>
          </w:tcPr>
          <w:p w14:paraId="258E199D">
            <w:pPr>
              <w:adjustRightInd w:val="0"/>
              <w:snapToGrid w:val="0"/>
              <w:jc w:val="center"/>
              <w:rPr>
                <w:color w:val="auto"/>
                <w:highlight w:val="none"/>
              </w:rPr>
            </w:pPr>
            <w:r>
              <w:rPr>
                <w:color w:val="auto"/>
                <w:highlight w:val="none"/>
              </w:rPr>
              <w:t>T</w:t>
            </w:r>
          </w:p>
        </w:tc>
      </w:tr>
      <w:tr w14:paraId="5270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12" w:type="dxa"/>
            <w:vAlign w:val="center"/>
          </w:tcPr>
          <w:p w14:paraId="14A40F27">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S</w:t>
            </w:r>
            <w:r>
              <w:rPr>
                <w:snapToGrid w:val="0"/>
                <w:color w:val="auto"/>
                <w:kern w:val="0"/>
                <w:szCs w:val="21"/>
                <w:highlight w:val="none"/>
                <w:lang w:bidi="ar"/>
              </w:rPr>
              <w:t>5</w:t>
            </w:r>
          </w:p>
        </w:tc>
        <w:tc>
          <w:tcPr>
            <w:tcW w:w="1359" w:type="dxa"/>
            <w:vAlign w:val="center"/>
          </w:tcPr>
          <w:p w14:paraId="7F8F6DE2">
            <w:pPr>
              <w:adjustRightInd w:val="0"/>
              <w:snapToGrid w:val="0"/>
              <w:jc w:val="center"/>
              <w:rPr>
                <w:snapToGrid w:val="0"/>
                <w:color w:val="auto"/>
                <w:kern w:val="0"/>
                <w:szCs w:val="21"/>
                <w:highlight w:val="none"/>
                <w:lang w:bidi="ar"/>
              </w:rPr>
            </w:pPr>
            <w:r>
              <w:rPr>
                <w:rFonts w:hint="eastAsia"/>
                <w:snapToGrid w:val="0"/>
                <w:color w:val="auto"/>
                <w:kern w:val="0"/>
                <w:szCs w:val="21"/>
                <w:highlight w:val="none"/>
                <w:lang w:bidi="ar"/>
              </w:rPr>
              <w:t>生活垃圾</w:t>
            </w:r>
          </w:p>
        </w:tc>
        <w:tc>
          <w:tcPr>
            <w:tcW w:w="709" w:type="dxa"/>
            <w:vAlign w:val="center"/>
          </w:tcPr>
          <w:p w14:paraId="439CA2B8">
            <w:pPr>
              <w:adjustRightInd w:val="0"/>
              <w:snapToGrid w:val="0"/>
              <w:jc w:val="center"/>
              <w:rPr>
                <w:rFonts w:hint="eastAsia" w:eastAsia="宋体"/>
                <w:color w:val="auto"/>
                <w:szCs w:val="21"/>
                <w:highlight w:val="none"/>
                <w:lang w:eastAsia="zh-CN"/>
              </w:rPr>
            </w:pPr>
            <w:r>
              <w:rPr>
                <w:rFonts w:hint="eastAsia"/>
                <w:color w:val="auto"/>
                <w:highlight w:val="none"/>
                <w:lang w:eastAsia="zh-CN"/>
              </w:rPr>
              <w:t>SW64</w:t>
            </w:r>
          </w:p>
        </w:tc>
        <w:tc>
          <w:tcPr>
            <w:tcW w:w="1276" w:type="dxa"/>
            <w:vAlign w:val="center"/>
          </w:tcPr>
          <w:p w14:paraId="2B0FC4BB">
            <w:pPr>
              <w:adjustRightInd w:val="0"/>
              <w:snapToGrid w:val="0"/>
              <w:jc w:val="center"/>
              <w:rPr>
                <w:rFonts w:hint="eastAsia" w:eastAsia="宋体"/>
                <w:color w:val="auto"/>
                <w:highlight w:val="none"/>
                <w:lang w:eastAsia="zh-CN"/>
              </w:rPr>
            </w:pPr>
            <w:r>
              <w:rPr>
                <w:rFonts w:hint="eastAsia"/>
                <w:color w:val="auto"/>
                <w:highlight w:val="none"/>
                <w:lang w:eastAsia="zh-CN"/>
              </w:rPr>
              <w:t>900-099-S64</w:t>
            </w:r>
          </w:p>
        </w:tc>
        <w:tc>
          <w:tcPr>
            <w:tcW w:w="992" w:type="dxa"/>
            <w:vAlign w:val="center"/>
          </w:tcPr>
          <w:p w14:paraId="0C194268">
            <w:pPr>
              <w:adjustRightInd w:val="0"/>
              <w:snapToGrid w:val="0"/>
              <w:jc w:val="center"/>
              <w:rPr>
                <w:rFonts w:hint="eastAsia" w:eastAsia="宋体"/>
                <w:color w:val="auto"/>
                <w:highlight w:val="none"/>
                <w:lang w:eastAsia="zh-CN"/>
              </w:rPr>
            </w:pPr>
            <w:r>
              <w:rPr>
                <w:rFonts w:hint="eastAsia"/>
                <w:color w:val="auto"/>
                <w:highlight w:val="none"/>
                <w:lang w:eastAsia="zh-CN"/>
              </w:rPr>
              <w:t>12</w:t>
            </w:r>
          </w:p>
        </w:tc>
        <w:tc>
          <w:tcPr>
            <w:tcW w:w="991" w:type="dxa"/>
            <w:vAlign w:val="center"/>
          </w:tcPr>
          <w:p w14:paraId="3E7DDB6E">
            <w:pPr>
              <w:adjustRightInd w:val="0"/>
              <w:snapToGrid w:val="0"/>
              <w:jc w:val="center"/>
              <w:rPr>
                <w:color w:val="auto"/>
                <w:highlight w:val="none"/>
              </w:rPr>
            </w:pPr>
            <w:r>
              <w:rPr>
                <w:rFonts w:hint="eastAsia" w:ascii="宋体" w:hAnsi="宋体"/>
                <w:color w:val="auto"/>
                <w:highlight w:val="none"/>
              </w:rPr>
              <w:t>职工生活</w:t>
            </w:r>
          </w:p>
        </w:tc>
        <w:tc>
          <w:tcPr>
            <w:tcW w:w="568" w:type="dxa"/>
            <w:vAlign w:val="center"/>
          </w:tcPr>
          <w:p w14:paraId="307BC438">
            <w:pPr>
              <w:adjustRightInd w:val="0"/>
              <w:snapToGrid w:val="0"/>
              <w:jc w:val="center"/>
              <w:rPr>
                <w:color w:val="auto"/>
                <w:highlight w:val="none"/>
              </w:rPr>
            </w:pPr>
            <w:r>
              <w:rPr>
                <w:rFonts w:hint="eastAsia" w:ascii="宋体" w:hAnsi="宋体"/>
                <w:color w:val="auto"/>
                <w:highlight w:val="none"/>
              </w:rPr>
              <w:t>固态</w:t>
            </w:r>
          </w:p>
        </w:tc>
        <w:tc>
          <w:tcPr>
            <w:tcW w:w="1504" w:type="dxa"/>
            <w:vAlign w:val="center"/>
          </w:tcPr>
          <w:p w14:paraId="192857EC">
            <w:pPr>
              <w:adjustRightInd w:val="0"/>
              <w:snapToGrid w:val="0"/>
              <w:jc w:val="center"/>
              <w:rPr>
                <w:color w:val="auto"/>
                <w:highlight w:val="none"/>
              </w:rPr>
            </w:pPr>
            <w:r>
              <w:rPr>
                <w:rFonts w:hint="eastAsia" w:ascii="宋体" w:hAnsi="宋体"/>
                <w:color w:val="auto"/>
                <w:highlight w:val="none"/>
              </w:rPr>
              <w:t>有机质</w:t>
            </w:r>
          </w:p>
        </w:tc>
        <w:tc>
          <w:tcPr>
            <w:tcW w:w="592" w:type="dxa"/>
            <w:vAlign w:val="center"/>
          </w:tcPr>
          <w:p w14:paraId="4D6724BD">
            <w:pPr>
              <w:adjustRightInd w:val="0"/>
              <w:snapToGrid w:val="0"/>
              <w:jc w:val="center"/>
              <w:rPr>
                <w:color w:val="auto"/>
                <w:highlight w:val="none"/>
              </w:rPr>
            </w:pPr>
            <w:r>
              <w:rPr>
                <w:rFonts w:hint="eastAsia" w:ascii="宋体" w:hAnsi="宋体"/>
                <w:color w:val="auto"/>
                <w:highlight w:val="none"/>
              </w:rPr>
              <w:t>连续</w:t>
            </w:r>
          </w:p>
        </w:tc>
        <w:tc>
          <w:tcPr>
            <w:tcW w:w="511" w:type="dxa"/>
            <w:vAlign w:val="center"/>
          </w:tcPr>
          <w:p w14:paraId="42C25D2A">
            <w:pPr>
              <w:adjustRightInd w:val="0"/>
              <w:snapToGrid w:val="0"/>
              <w:jc w:val="center"/>
              <w:rPr>
                <w:color w:val="auto"/>
                <w:highlight w:val="none"/>
              </w:rPr>
            </w:pPr>
            <w:r>
              <w:rPr>
                <w:color w:val="auto"/>
                <w:highlight w:val="none"/>
              </w:rPr>
              <w:t>--</w:t>
            </w:r>
          </w:p>
        </w:tc>
      </w:tr>
    </w:tbl>
    <w:p w14:paraId="5EA6315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6.2.4.2危险废物贮存场所（设施）环境影响分析</w:t>
      </w:r>
    </w:p>
    <w:p w14:paraId="50C4FE9D">
      <w:pPr>
        <w:adjustRightInd w:val="0"/>
        <w:snapToGrid w:val="0"/>
        <w:spacing w:line="360" w:lineRule="auto"/>
        <w:ind w:firstLine="480" w:firstLineChars="200"/>
        <w:textAlignment w:val="baseline"/>
        <w:rPr>
          <w:snapToGrid w:val="0"/>
          <w:color w:val="auto"/>
          <w:kern w:val="0"/>
          <w:sz w:val="24"/>
          <w:highlight w:val="none"/>
        </w:rPr>
      </w:pPr>
      <w:r>
        <w:rPr>
          <w:rFonts w:hint="eastAsia"/>
          <w:snapToGrid w:val="0"/>
          <w:color w:val="auto"/>
          <w:kern w:val="0"/>
          <w:sz w:val="24"/>
          <w:highlight w:val="none"/>
        </w:rPr>
        <w:t>本项目危险废物</w:t>
      </w:r>
      <w:r>
        <w:rPr>
          <w:rFonts w:hint="eastAsia"/>
          <w:snapToGrid w:val="0"/>
          <w:color w:val="auto"/>
          <w:kern w:val="0"/>
          <w:sz w:val="24"/>
          <w:highlight w:val="none"/>
          <w:lang w:eastAsia="zh-CN"/>
        </w:rPr>
        <w:t>依托</w:t>
      </w:r>
      <w:r>
        <w:rPr>
          <w:rFonts w:hint="eastAsia"/>
          <w:snapToGrid w:val="0"/>
          <w:color w:val="auto"/>
          <w:kern w:val="0"/>
          <w:sz w:val="24"/>
          <w:highlight w:val="none"/>
        </w:rPr>
        <w:t>现有工程</w:t>
      </w:r>
      <w:r>
        <w:rPr>
          <w:snapToGrid w:val="0"/>
          <w:color w:val="auto"/>
          <w:kern w:val="0"/>
          <w:sz w:val="24"/>
          <w:highlight w:val="none"/>
        </w:rPr>
        <w:t>危险废物贮存库</w:t>
      </w:r>
      <w:r>
        <w:rPr>
          <w:rFonts w:hint="eastAsia"/>
          <w:snapToGrid w:val="0"/>
          <w:color w:val="auto"/>
          <w:kern w:val="0"/>
          <w:sz w:val="24"/>
          <w:highlight w:val="none"/>
        </w:rPr>
        <w:t>贮存，</w:t>
      </w:r>
      <w:r>
        <w:rPr>
          <w:snapToGrid w:val="0"/>
          <w:color w:val="auto"/>
          <w:kern w:val="0"/>
          <w:sz w:val="24"/>
          <w:highlight w:val="none"/>
        </w:rPr>
        <w:t>根据验收报告，</w:t>
      </w:r>
      <w:r>
        <w:rPr>
          <w:rFonts w:hint="eastAsia"/>
          <w:snapToGrid w:val="0"/>
          <w:color w:val="auto"/>
          <w:kern w:val="0"/>
          <w:sz w:val="24"/>
          <w:highlight w:val="none"/>
        </w:rPr>
        <w:t>现有工程</w:t>
      </w:r>
      <w:r>
        <w:rPr>
          <w:snapToGrid w:val="0"/>
          <w:color w:val="auto"/>
          <w:kern w:val="0"/>
          <w:sz w:val="24"/>
          <w:highlight w:val="none"/>
        </w:rPr>
        <w:t>危废暂存库按照《危险废物贮存污染控制标准》要求建设，满足防渗、防雨淋等相关设计和管理要求</w:t>
      </w:r>
      <w:r>
        <w:rPr>
          <w:rFonts w:hint="eastAsia"/>
          <w:snapToGrid w:val="0"/>
          <w:color w:val="auto"/>
          <w:kern w:val="0"/>
          <w:sz w:val="24"/>
          <w:highlight w:val="none"/>
        </w:rPr>
        <w:t>。</w:t>
      </w:r>
    </w:p>
    <w:p w14:paraId="279C82C8">
      <w:pPr>
        <w:adjustRightInd w:val="0"/>
        <w:snapToGrid w:val="0"/>
        <w:spacing w:line="360" w:lineRule="auto"/>
        <w:ind w:firstLine="480" w:firstLineChars="200"/>
        <w:textAlignment w:val="baseline"/>
        <w:rPr>
          <w:color w:val="auto"/>
          <w:sz w:val="24"/>
          <w:highlight w:val="none"/>
        </w:rPr>
      </w:pPr>
      <w:r>
        <w:rPr>
          <w:snapToGrid w:val="0"/>
          <w:color w:val="auto"/>
          <w:kern w:val="0"/>
          <w:sz w:val="24"/>
          <w:highlight w:val="none"/>
        </w:rPr>
        <w:t>危险废物贮存库设有专人管理，出入人员都要作登记；危险废物贮存库为独立建筑物，贮存库地面进行防渗且有围挡，不相容的危险废物不能堆放在一起，分类分区堆放；不同类的危险废物由不同要求的容器盛装；贮存库内布置有灭火器等消防设施；内墙面张贴危险废物贮存库的管理要求及注意事项，贮存库外墙应张贴说明（企业名称、危险废物种类、危险情况、安全措施、处置方式、管理部门、负责人及电话等）和图示。</w:t>
      </w:r>
      <w:r>
        <w:rPr>
          <w:rFonts w:hint="eastAsia"/>
          <w:snapToGrid w:val="0"/>
          <w:color w:val="auto"/>
          <w:kern w:val="0"/>
          <w:sz w:val="24"/>
          <w:highlight w:val="none"/>
        </w:rPr>
        <w:t>综上，</w:t>
      </w:r>
      <w:r>
        <w:rPr>
          <w:snapToGrid w:val="0"/>
          <w:color w:val="auto"/>
          <w:kern w:val="0"/>
          <w:sz w:val="24"/>
          <w:highlight w:val="none"/>
        </w:rPr>
        <w:t>不会对周围环境造成明显的影响。</w:t>
      </w:r>
    </w:p>
    <w:p w14:paraId="4B1F095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6.2.4.3固体废物环境影响分析</w:t>
      </w:r>
    </w:p>
    <w:p w14:paraId="62D6DC2C">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固体废物特别是危险废物主要会对周边大气环境、地表水环境、</w:t>
      </w:r>
      <w:r>
        <w:rPr>
          <w:rFonts w:hint="eastAsia"/>
          <w:snapToGrid w:val="0"/>
          <w:color w:val="auto"/>
          <w:kern w:val="0"/>
          <w:sz w:val="24"/>
          <w:highlight w:val="none"/>
        </w:rPr>
        <w:t>地下水环境、</w:t>
      </w:r>
      <w:r>
        <w:rPr>
          <w:snapToGrid w:val="0"/>
          <w:color w:val="auto"/>
          <w:kern w:val="0"/>
          <w:sz w:val="24"/>
          <w:highlight w:val="none"/>
        </w:rPr>
        <w:t>土壤环境可能造成</w:t>
      </w:r>
      <w:r>
        <w:rPr>
          <w:rFonts w:hint="eastAsia"/>
          <w:snapToGrid w:val="0"/>
          <w:color w:val="auto"/>
          <w:kern w:val="0"/>
          <w:sz w:val="24"/>
          <w:highlight w:val="none"/>
        </w:rPr>
        <w:t>影响。</w:t>
      </w:r>
    </w:p>
    <w:p w14:paraId="601CA13B">
      <w:pPr>
        <w:adjustRightInd w:val="0"/>
        <w:spacing w:line="360" w:lineRule="auto"/>
        <w:ind w:firstLine="480" w:firstLineChars="200"/>
        <w:textAlignment w:val="baseline"/>
        <w:rPr>
          <w:snapToGrid w:val="0"/>
          <w:color w:val="auto"/>
          <w:kern w:val="0"/>
          <w:sz w:val="24"/>
          <w:highlight w:val="none"/>
        </w:rPr>
      </w:pPr>
      <w:r>
        <w:rPr>
          <w:rFonts w:hint="eastAsia"/>
          <w:snapToGrid w:val="0"/>
          <w:color w:val="auto"/>
          <w:kern w:val="0"/>
          <w:sz w:val="24"/>
          <w:highlight w:val="none"/>
        </w:rPr>
        <w:t>（1）对环境空气的影响分析</w:t>
      </w:r>
    </w:p>
    <w:p w14:paraId="7EEBE4A1">
      <w:pPr>
        <w:adjustRightInd w:val="0"/>
        <w:spacing w:line="360" w:lineRule="auto"/>
        <w:ind w:firstLine="480" w:firstLineChars="200"/>
        <w:textAlignment w:val="baseline"/>
        <w:rPr>
          <w:snapToGrid w:val="0"/>
          <w:color w:val="auto"/>
          <w:kern w:val="0"/>
          <w:sz w:val="24"/>
          <w:highlight w:val="none"/>
        </w:rPr>
      </w:pPr>
      <w:r>
        <w:rPr>
          <w:rFonts w:hint="eastAsia"/>
          <w:snapToGrid w:val="0"/>
          <w:color w:val="auto"/>
          <w:kern w:val="0"/>
          <w:sz w:val="24"/>
          <w:highlight w:val="none"/>
        </w:rPr>
        <w:t>本项目产生的一般工业固体废物依托现有工程</w:t>
      </w:r>
      <w:r>
        <w:rPr>
          <w:snapToGrid w:val="0"/>
          <w:color w:val="auto"/>
          <w:kern w:val="0"/>
          <w:sz w:val="24"/>
          <w:highlight w:val="none"/>
        </w:rPr>
        <w:t>一般工业固体废物</w:t>
      </w:r>
      <w:r>
        <w:rPr>
          <w:rFonts w:hint="eastAsia"/>
          <w:snapToGrid w:val="0"/>
          <w:color w:val="auto"/>
          <w:kern w:val="0"/>
          <w:sz w:val="24"/>
          <w:highlight w:val="none"/>
        </w:rPr>
        <w:t>贮存库暂存，不露天堆置，不会产生大风扬尘；项目危险废物采用塑料桶、铁桶或包装袋密封承装，依托现有工程危险废物贮存库暂存后</w:t>
      </w:r>
      <w:r>
        <w:rPr>
          <w:snapToGrid w:val="0"/>
          <w:color w:val="auto"/>
          <w:kern w:val="0"/>
          <w:sz w:val="24"/>
          <w:highlight w:val="none"/>
        </w:rPr>
        <w:t>委托</w:t>
      </w:r>
      <w:r>
        <w:rPr>
          <w:rFonts w:hint="eastAsia"/>
          <w:snapToGrid w:val="0"/>
          <w:color w:val="auto"/>
          <w:kern w:val="0"/>
          <w:sz w:val="24"/>
          <w:highlight w:val="none"/>
        </w:rPr>
        <w:t>有资质单位</w:t>
      </w:r>
      <w:r>
        <w:rPr>
          <w:snapToGrid w:val="0"/>
          <w:color w:val="auto"/>
          <w:kern w:val="0"/>
          <w:sz w:val="24"/>
          <w:highlight w:val="none"/>
        </w:rPr>
        <w:t>进行安全处置</w:t>
      </w:r>
      <w:r>
        <w:rPr>
          <w:rFonts w:hint="eastAsia"/>
          <w:snapToGrid w:val="0"/>
          <w:color w:val="auto"/>
          <w:kern w:val="0"/>
          <w:sz w:val="24"/>
          <w:highlight w:val="none"/>
        </w:rPr>
        <w:t>，不在危废间内长期堆存，因此，对环境空气质量影响较小。</w:t>
      </w:r>
    </w:p>
    <w:p w14:paraId="0D733CCD">
      <w:pPr>
        <w:adjustRightInd w:val="0"/>
        <w:spacing w:line="360" w:lineRule="auto"/>
        <w:ind w:firstLine="480" w:firstLineChars="200"/>
        <w:textAlignment w:val="baseline"/>
        <w:rPr>
          <w:snapToGrid w:val="0"/>
          <w:color w:val="auto"/>
          <w:kern w:val="0"/>
          <w:sz w:val="24"/>
          <w:highlight w:val="none"/>
        </w:rPr>
      </w:pPr>
      <w:r>
        <w:rPr>
          <w:rFonts w:hint="eastAsia"/>
          <w:snapToGrid w:val="0"/>
          <w:color w:val="auto"/>
          <w:kern w:val="0"/>
          <w:sz w:val="24"/>
          <w:highlight w:val="none"/>
        </w:rPr>
        <w:t>（2）对地表水环境影响分析</w:t>
      </w:r>
    </w:p>
    <w:p w14:paraId="3BC8BBBD">
      <w:pPr>
        <w:adjustRightInd w:val="0"/>
        <w:spacing w:line="360" w:lineRule="auto"/>
        <w:ind w:firstLine="456" w:firstLineChars="200"/>
        <w:textAlignment w:val="baseline"/>
        <w:rPr>
          <w:snapToGrid w:val="0"/>
          <w:color w:val="auto"/>
          <w:spacing w:val="-6"/>
          <w:kern w:val="0"/>
          <w:sz w:val="24"/>
          <w:highlight w:val="none"/>
        </w:rPr>
      </w:pPr>
      <w:r>
        <w:rPr>
          <w:rFonts w:hint="eastAsia"/>
          <w:snapToGrid w:val="0"/>
          <w:color w:val="auto"/>
          <w:spacing w:val="-6"/>
          <w:kern w:val="0"/>
          <w:sz w:val="24"/>
          <w:highlight w:val="none"/>
        </w:rPr>
        <w:t>本项目产生的固体废物全部进行综合利用和安全合理处置，不外排，因此，对周围地表水体基本无影响。另外，固体废物在贮存过程中也采取了严格的防渗漏措施，对于危险废物，按照《危险废物贮存污染控制标准》（GB18597-2023）要求，采用专门的容器进行收集贮存；对于一般固废和生活垃圾及时外运，减少在厂内的堆放时间，因此，本项目产生的固体废物也不会有渗滤液外排，不会影响厂区环境。</w:t>
      </w:r>
    </w:p>
    <w:p w14:paraId="76C722BB">
      <w:pPr>
        <w:adjustRightIn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（3）对地下水环境的影响分析</w:t>
      </w:r>
    </w:p>
    <w:p w14:paraId="7A62050D">
      <w:pPr>
        <w:adjustRightInd w:val="0"/>
        <w:spacing w:line="360" w:lineRule="auto"/>
        <w:ind w:firstLine="456" w:firstLineChars="200"/>
        <w:textAlignment w:val="baseline"/>
        <w:rPr>
          <w:rFonts w:hint="eastAsia" w:ascii="Times New Roman" w:hAnsi="Times New Roman" w:eastAsia="宋体" w:cs="Times New Roman"/>
          <w:snapToGrid w:val="0"/>
          <w:color w:val="auto"/>
          <w:spacing w:val="-6"/>
          <w:kern w:val="0"/>
          <w:sz w:val="24"/>
          <w:highlight w:val="none"/>
        </w:rPr>
      </w:pPr>
      <w:r>
        <w:rPr>
          <w:rFonts w:hint="eastAsia" w:ascii="Times New Roman" w:hAnsi="Times New Roman" w:eastAsia="宋体" w:cs="Times New Roman"/>
          <w:snapToGrid w:val="0"/>
          <w:color w:val="auto"/>
          <w:spacing w:val="-6"/>
          <w:kern w:val="0"/>
          <w:sz w:val="24"/>
          <w:highlight w:val="none"/>
        </w:rPr>
        <w:t>本项目依托现有工程一般工业固体废物贮存库暂存和危险废物贮存库对固体废物进行贮存</w:t>
      </w:r>
      <w:r>
        <w:rPr>
          <w:rFonts w:hint="eastAsia" w:ascii="Times New Roman" w:hAnsi="Times New Roman" w:eastAsia="宋体" w:cs="Times New Roman"/>
          <w:snapToGrid w:val="0"/>
          <w:color w:val="auto"/>
          <w:spacing w:val="-6"/>
          <w:kern w:val="0"/>
          <w:sz w:val="24"/>
          <w:highlight w:val="none"/>
          <w:lang w:eastAsia="zh-CN"/>
        </w:rPr>
        <w:t>，对</w:t>
      </w:r>
      <w:r>
        <w:rPr>
          <w:rFonts w:hint="eastAsia" w:ascii="Times New Roman" w:hAnsi="Times New Roman" w:eastAsia="宋体" w:cs="Times New Roman"/>
          <w:snapToGrid w:val="0"/>
          <w:color w:val="auto"/>
          <w:spacing w:val="-6"/>
          <w:kern w:val="0"/>
          <w:sz w:val="24"/>
          <w:highlight w:val="none"/>
        </w:rPr>
        <w:t>堆放场所地面进行硬化和防渗漏处理，其中危险废物贮存库作为重点防渗区防渗。通过采取以上措施可确保固体废物堆放不会对地下水产生不利影响。</w:t>
      </w:r>
    </w:p>
    <w:p w14:paraId="0AE39930">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w:t>
      </w:r>
      <w:r>
        <w:rPr>
          <w:rFonts w:hint="eastAsia"/>
          <w:snapToGrid w:val="0"/>
          <w:color w:val="auto"/>
          <w:kern w:val="0"/>
          <w:sz w:val="24"/>
          <w:highlight w:val="none"/>
        </w:rPr>
        <w:t>4</w:t>
      </w:r>
      <w:r>
        <w:rPr>
          <w:snapToGrid w:val="0"/>
          <w:color w:val="auto"/>
          <w:kern w:val="0"/>
          <w:sz w:val="24"/>
          <w:highlight w:val="none"/>
        </w:rPr>
        <w:t>）土壤环境的影响</w:t>
      </w:r>
    </w:p>
    <w:p w14:paraId="4ACBE3E8">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固体废物的长期露天堆放</w:t>
      </w:r>
      <w:r>
        <w:rPr>
          <w:rFonts w:hint="eastAsia"/>
          <w:snapToGrid w:val="0"/>
          <w:color w:val="auto"/>
          <w:kern w:val="0"/>
          <w:sz w:val="24"/>
          <w:highlight w:val="none"/>
          <w:lang w:eastAsia="zh-CN"/>
        </w:rPr>
        <w:t>，</w:t>
      </w:r>
      <w:r>
        <w:rPr>
          <w:snapToGrid w:val="0"/>
          <w:color w:val="auto"/>
          <w:kern w:val="0"/>
          <w:sz w:val="24"/>
          <w:highlight w:val="none"/>
        </w:rPr>
        <w:t>其有害成分通过地表径流和雨水的淋溶、渗透作用，通过土壤孔隙向四周和纵深的土壤迁移。在迁移过程中，由于土壤的吸附能力和吸附容量很大，固体废物随着渗滤水在地下水中的迁移，使有害成分在土壤固相中呈现不同程度的积累，导致土壤成分和结构的改变，间接又对在该土壤上生长的植物及土壤中的动物、微生物产生了危害。</w:t>
      </w:r>
    </w:p>
    <w:p w14:paraId="0FB5A02F">
      <w:pPr>
        <w:adjustRightInd w:val="0"/>
        <w:spacing w:line="360" w:lineRule="auto"/>
        <w:ind w:firstLine="480" w:firstLineChars="200"/>
        <w:textAlignment w:val="baseline"/>
        <w:rPr>
          <w:snapToGrid w:val="0"/>
          <w:color w:val="auto"/>
          <w:kern w:val="0"/>
          <w:sz w:val="24"/>
          <w:highlight w:val="none"/>
        </w:rPr>
      </w:pPr>
      <w:r>
        <w:rPr>
          <w:rFonts w:hint="eastAsia"/>
          <w:snapToGrid w:val="0"/>
          <w:color w:val="auto"/>
          <w:kern w:val="0"/>
          <w:sz w:val="24"/>
          <w:highlight w:val="none"/>
        </w:rPr>
        <w:t>本</w:t>
      </w:r>
      <w:r>
        <w:rPr>
          <w:snapToGrid w:val="0"/>
          <w:color w:val="auto"/>
          <w:kern w:val="0"/>
          <w:sz w:val="24"/>
          <w:highlight w:val="none"/>
        </w:rPr>
        <w:t>项目产生固体废物均暂存于</w:t>
      </w:r>
      <w:r>
        <w:rPr>
          <w:rFonts w:hint="eastAsia"/>
          <w:snapToGrid w:val="0"/>
          <w:color w:val="auto"/>
          <w:kern w:val="0"/>
          <w:sz w:val="24"/>
          <w:highlight w:val="none"/>
        </w:rPr>
        <w:t>现有工程</w:t>
      </w:r>
      <w:r>
        <w:rPr>
          <w:snapToGrid w:val="0"/>
          <w:color w:val="auto"/>
          <w:kern w:val="0"/>
          <w:sz w:val="24"/>
          <w:highlight w:val="none"/>
        </w:rPr>
        <w:t>一般工业固体废物</w:t>
      </w:r>
      <w:r>
        <w:rPr>
          <w:rFonts w:hint="eastAsia"/>
          <w:snapToGrid w:val="0"/>
          <w:color w:val="auto"/>
          <w:kern w:val="0"/>
          <w:sz w:val="24"/>
          <w:highlight w:val="none"/>
        </w:rPr>
        <w:t>贮存库暂存和危险废物贮存库</w:t>
      </w:r>
      <w:r>
        <w:rPr>
          <w:snapToGrid w:val="0"/>
          <w:color w:val="auto"/>
          <w:kern w:val="0"/>
          <w:sz w:val="24"/>
          <w:highlight w:val="none"/>
        </w:rPr>
        <w:t>，采取防风、防雨措施，不存在露天堆放</w:t>
      </w:r>
      <w:r>
        <w:rPr>
          <w:rFonts w:hint="eastAsia"/>
          <w:snapToGrid w:val="0"/>
          <w:color w:val="auto"/>
          <w:kern w:val="0"/>
          <w:sz w:val="24"/>
          <w:highlight w:val="none"/>
        </w:rPr>
        <w:t>，危险废物</w:t>
      </w:r>
      <w:r>
        <w:rPr>
          <w:snapToGrid w:val="0"/>
          <w:color w:val="auto"/>
          <w:kern w:val="0"/>
          <w:sz w:val="24"/>
          <w:highlight w:val="none"/>
        </w:rPr>
        <w:t>分类收集，及时处理，严格执行《危险废物贮存污染控制标准》（GB</w:t>
      </w:r>
      <w:r>
        <w:rPr>
          <w:rFonts w:hint="eastAsia"/>
          <w:snapToGrid w:val="0"/>
          <w:color w:val="auto"/>
          <w:kern w:val="0"/>
          <w:sz w:val="24"/>
          <w:highlight w:val="none"/>
        </w:rPr>
        <w:t xml:space="preserve"> </w:t>
      </w:r>
      <w:r>
        <w:rPr>
          <w:snapToGrid w:val="0"/>
          <w:color w:val="auto"/>
          <w:kern w:val="0"/>
          <w:sz w:val="24"/>
          <w:highlight w:val="none"/>
        </w:rPr>
        <w:t>18597-2023）相关要求，因此，固体废物特别是危险废物的有害成分进入土壤环境的可能性较小，对周边土壤环境的影响较小。</w:t>
      </w:r>
    </w:p>
    <w:p w14:paraId="4EFC24CD">
      <w:pPr>
        <w:adjustRightInd w:val="0"/>
        <w:spacing w:line="360" w:lineRule="auto"/>
        <w:ind w:firstLine="480" w:firstLineChars="200"/>
        <w:textAlignment w:val="baseline"/>
        <w:rPr>
          <w:snapToGrid w:val="0"/>
          <w:color w:val="auto"/>
          <w:kern w:val="0"/>
          <w:sz w:val="24"/>
          <w:highlight w:val="none"/>
        </w:rPr>
      </w:pPr>
      <w:r>
        <w:rPr>
          <w:rFonts w:hint="eastAsia"/>
          <w:snapToGrid w:val="0"/>
          <w:color w:val="auto"/>
          <w:kern w:val="0"/>
          <w:sz w:val="24"/>
          <w:highlight w:val="none"/>
        </w:rPr>
        <w:t>（5）运输过程的环境影响分析</w:t>
      </w:r>
    </w:p>
    <w:p w14:paraId="1A2ADC2C">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危险废物贮存库的危险废物应定期送往有资质单位处置，应满足以下要求：</w:t>
      </w:r>
    </w:p>
    <w:p w14:paraId="1903FA8F">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从事危险废物运输的单位应当具有相关的危险废物运营资质，禁止个人和没有获得相关运营资质的单位从事危险废物运输。危险废物运输由建设单位委托具有相应危险废物运输资质的单位进行运输，整个过程采用全封闭运输车辆，严禁跑冒滴漏。与运输单位的合同中制定惩罚措施，严禁运输过程中抛洒滴漏的发生。运输线路避开限行时间和路段，绕行敏感区域。运输车辆安装GPS装置，随时可监控车辆行驶情况。</w:t>
      </w:r>
    </w:p>
    <w:p w14:paraId="7D911459">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危险废物须交由有危险废物处置资质单位处置，危险废物处理处置实行全过程管理，要求建立危险废物管理台账和转移联单制度。建设单位、危险废物处理处置单位应当建立管理台账，详细记录危险废物产生量、转移量、处理处置量及其去向等情况，定期向所在地县级以上地方环保部门报告。</w:t>
      </w:r>
    </w:p>
    <w:p w14:paraId="3C079EA1">
      <w:pPr>
        <w:adjustRightInd w:val="0"/>
        <w:spacing w:line="360" w:lineRule="auto"/>
        <w:ind w:firstLine="480" w:firstLineChars="200"/>
        <w:textAlignment w:val="baseline"/>
        <w:rPr>
          <w:snapToGrid w:val="0"/>
          <w:color w:val="auto"/>
          <w:kern w:val="0"/>
          <w:sz w:val="24"/>
          <w:highlight w:val="none"/>
        </w:rPr>
      </w:pPr>
      <w:r>
        <w:rPr>
          <w:snapToGrid w:val="0"/>
          <w:color w:val="auto"/>
          <w:kern w:val="0"/>
          <w:sz w:val="24"/>
          <w:highlight w:val="none"/>
        </w:rPr>
        <w:t>在采取以上措施后，危险废物的运输、处置过程对环境影响很小。</w:t>
      </w:r>
    </w:p>
    <w:p w14:paraId="2D1711D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6.2.4.4固体废物环境影响结论</w:t>
      </w:r>
    </w:p>
    <w:p w14:paraId="769629AB">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综上所述，</w:t>
      </w:r>
      <w:r>
        <w:rPr>
          <w:rFonts w:hint="eastAsia"/>
          <w:snapToGrid w:val="0"/>
          <w:color w:val="auto"/>
          <w:kern w:val="0"/>
          <w:sz w:val="24"/>
          <w:highlight w:val="none"/>
        </w:rPr>
        <w:t>本项目</w:t>
      </w:r>
      <w:r>
        <w:rPr>
          <w:snapToGrid w:val="0"/>
          <w:color w:val="auto"/>
          <w:kern w:val="0"/>
          <w:sz w:val="24"/>
          <w:highlight w:val="none"/>
        </w:rPr>
        <w:t>建成投产后，建设单位在加强工业固体废物的管理，妥善处理或处置各类固体废物的情况下，对周边环境产生影响较小。</w:t>
      </w:r>
    </w:p>
    <w:p w14:paraId="74719DB7">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6.2.5运营期土壤环境影响预测与评价</w:t>
      </w:r>
    </w:p>
    <w:p w14:paraId="6ADB799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6.2.5.1土壤环境影响识别</w:t>
      </w:r>
    </w:p>
    <w:p w14:paraId="5CCDA867">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本项目为污染影响类项目，根据《环境影响评价技术导则 土壤环境（试行）》（HJ964-2018）附录A，本项目属于I类，本项目占地规模为中型，项目位于</w:t>
      </w:r>
      <w:r>
        <w:rPr>
          <w:rFonts w:hint="eastAsia" w:ascii="Times New Roman"/>
          <w:snapToGrid w:val="0"/>
          <w:color w:val="auto"/>
          <w:kern w:val="0"/>
          <w:highlight w:val="none"/>
          <w:lang w:val="fr-FR"/>
        </w:rPr>
        <w:t>乌苏市</w:t>
      </w:r>
      <w:r>
        <w:rPr>
          <w:rFonts w:hint="eastAsia" w:ascii="Times New Roman"/>
          <w:snapToGrid w:val="0"/>
          <w:color w:val="auto"/>
          <w:kern w:val="0"/>
          <w:highlight w:val="none"/>
        </w:rPr>
        <w:t>化工产业集中区凯赛（乌苏）生物材料有限公司厂区内</w:t>
      </w:r>
      <w:r>
        <w:rPr>
          <w:rFonts w:hint="eastAsia" w:ascii="Times New Roman" w:hAnsi="Times New Roman" w:eastAsia="宋体" w:cs="Times New Roman"/>
          <w:snapToGrid w:val="0"/>
          <w:color w:val="auto"/>
          <w:kern w:val="0"/>
          <w:highlight w:val="none"/>
        </w:rPr>
        <w:t>，占地类型为工业用地，环境敏感性为“不敏感”，本次土壤评价等级为二级。评价范围为项目占地范围内及占地范围外200m范围内。</w:t>
      </w:r>
    </w:p>
    <w:p w14:paraId="70FA4A34">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（1）土壤环境影响类型与影响途径识别</w:t>
      </w:r>
    </w:p>
    <w:p w14:paraId="77F172AB">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污染物质主要通过大气沉降、工业污水入渗，以及固体废物堆放沉降、降雨淋溶等方式进入土壤环境。本次评价在工程分析结果的基础上，结合土壤环境敏感目标，根据建设项目建设期和运营期两个阶段的具体特征，识别土壤环境影响类型与影响途径。识别结果见表6.2-3</w:t>
      </w:r>
      <w:r>
        <w:rPr>
          <w:rFonts w:hint="eastAsia" w:ascii="Times New Roman" w:hAnsi="Times New Roman" w:eastAsia="宋体" w:cs="Times New Roman"/>
          <w:snapToGrid w:val="0"/>
          <w:color w:val="auto"/>
          <w:kern w:val="0"/>
          <w:highlight w:val="none"/>
          <w:lang w:val="en-US" w:eastAsia="zh-CN"/>
        </w:rPr>
        <w:t>7</w:t>
      </w:r>
      <w:r>
        <w:rPr>
          <w:rFonts w:hint="eastAsia" w:ascii="Times New Roman" w:hAnsi="Times New Roman" w:eastAsia="宋体" w:cs="Times New Roman"/>
          <w:snapToGrid w:val="0"/>
          <w:color w:val="auto"/>
          <w:kern w:val="0"/>
          <w:highlight w:val="none"/>
        </w:rPr>
        <w:t>。</w:t>
      </w:r>
    </w:p>
    <w:p w14:paraId="7DB03BE4">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6.2-3</w:t>
      </w:r>
      <w:r>
        <w:rPr>
          <w:rFonts w:hint="eastAsia" w:ascii="Times New Roman" w:hAnsi="Times New Roman" w:cs="Times New Roman"/>
          <w:snapToGrid w:val="0"/>
          <w:color w:val="auto"/>
          <w:kern w:val="0"/>
          <w:sz w:val="21"/>
          <w:szCs w:val="21"/>
          <w:highlight w:val="none"/>
          <w:lang w:val="en-US" w:eastAsia="zh-CN"/>
        </w:rPr>
        <w:t>7</w:t>
      </w:r>
      <w:r>
        <w:rPr>
          <w:rFonts w:hint="eastAsia" w:ascii="Times New Roman" w:hAnsi="Times New Roman" w:cs="Times New Roman"/>
          <w:snapToGrid w:val="0"/>
          <w:color w:val="auto"/>
          <w:kern w:val="0"/>
          <w:sz w:val="21"/>
          <w:szCs w:val="21"/>
          <w:highlight w:val="none"/>
        </w:rPr>
        <w:t xml:space="preserve"> 土壤影响途径及影响类型一览表</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6"/>
        <w:gridCol w:w="1706"/>
        <w:gridCol w:w="1704"/>
        <w:gridCol w:w="1704"/>
        <w:gridCol w:w="1708"/>
      </w:tblGrid>
      <w:tr w14:paraId="3C25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vMerge w:val="restart"/>
            <w:shd w:val="clear" w:color="auto" w:fill="auto"/>
            <w:vAlign w:val="center"/>
          </w:tcPr>
          <w:p w14:paraId="7BE6F31A">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不同时段</w:t>
            </w:r>
          </w:p>
        </w:tc>
        <w:tc>
          <w:tcPr>
            <w:tcW w:w="3999" w:type="pct"/>
            <w:gridSpan w:val="4"/>
            <w:shd w:val="clear" w:color="auto" w:fill="auto"/>
            <w:vAlign w:val="center"/>
          </w:tcPr>
          <w:p w14:paraId="2B9263F7">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污染影响类型</w:t>
            </w:r>
          </w:p>
        </w:tc>
      </w:tr>
      <w:tr w14:paraId="11A3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vMerge w:val="continue"/>
            <w:shd w:val="clear" w:color="auto" w:fill="auto"/>
            <w:vAlign w:val="center"/>
          </w:tcPr>
          <w:p w14:paraId="1EC28E56">
            <w:pPr>
              <w:pStyle w:val="304"/>
              <w:adjustRightInd w:val="0"/>
              <w:snapToGrid w:val="0"/>
              <w:spacing w:before="0" w:after="0" w:line="240" w:lineRule="auto"/>
              <w:ind w:left="0" w:right="0"/>
              <w:rPr>
                <w:rFonts w:eastAsia="Times New Roman"/>
                <w:snapToGrid w:val="0"/>
                <w:color w:val="auto"/>
                <w:kern w:val="0"/>
                <w:sz w:val="21"/>
                <w:szCs w:val="21"/>
                <w:highlight w:val="none"/>
              </w:rPr>
            </w:pPr>
          </w:p>
        </w:tc>
        <w:tc>
          <w:tcPr>
            <w:tcW w:w="1000" w:type="pct"/>
            <w:shd w:val="clear" w:color="auto" w:fill="auto"/>
            <w:vAlign w:val="center"/>
          </w:tcPr>
          <w:p w14:paraId="576CB9F0">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大气沉降</w:t>
            </w:r>
          </w:p>
        </w:tc>
        <w:tc>
          <w:tcPr>
            <w:tcW w:w="999" w:type="pct"/>
            <w:shd w:val="clear" w:color="auto" w:fill="auto"/>
            <w:vAlign w:val="center"/>
          </w:tcPr>
          <w:p w14:paraId="5BD81BB0">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地面漫流</w:t>
            </w:r>
          </w:p>
        </w:tc>
        <w:tc>
          <w:tcPr>
            <w:tcW w:w="999" w:type="pct"/>
            <w:shd w:val="clear" w:color="auto" w:fill="auto"/>
            <w:vAlign w:val="center"/>
          </w:tcPr>
          <w:p w14:paraId="247E0772">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垂直入渗</w:t>
            </w:r>
          </w:p>
        </w:tc>
        <w:tc>
          <w:tcPr>
            <w:tcW w:w="1000" w:type="pct"/>
            <w:shd w:val="clear" w:color="auto" w:fill="auto"/>
            <w:vAlign w:val="center"/>
          </w:tcPr>
          <w:p w14:paraId="6BA3AB5B">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其他</w:t>
            </w:r>
          </w:p>
        </w:tc>
      </w:tr>
      <w:tr w14:paraId="4388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shd w:val="clear" w:color="auto" w:fill="auto"/>
            <w:vAlign w:val="center"/>
          </w:tcPr>
          <w:p w14:paraId="77786C38">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建设期</w:t>
            </w:r>
          </w:p>
        </w:tc>
        <w:tc>
          <w:tcPr>
            <w:tcW w:w="1000" w:type="pct"/>
            <w:shd w:val="clear" w:color="auto" w:fill="auto"/>
            <w:vAlign w:val="center"/>
          </w:tcPr>
          <w:p w14:paraId="403310B5">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999" w:type="pct"/>
            <w:shd w:val="clear" w:color="auto" w:fill="auto"/>
            <w:vAlign w:val="center"/>
          </w:tcPr>
          <w:p w14:paraId="60D06D81">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999" w:type="pct"/>
            <w:shd w:val="clear" w:color="auto" w:fill="auto"/>
            <w:vAlign w:val="center"/>
          </w:tcPr>
          <w:p w14:paraId="1C0DB34C">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1000" w:type="pct"/>
            <w:shd w:val="clear" w:color="auto" w:fill="auto"/>
            <w:vAlign w:val="center"/>
          </w:tcPr>
          <w:p w14:paraId="74D502F8">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r>
      <w:tr w14:paraId="6EDE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shd w:val="clear" w:color="auto" w:fill="auto"/>
            <w:vAlign w:val="center"/>
          </w:tcPr>
          <w:p w14:paraId="676DC7F5">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运营期</w:t>
            </w:r>
          </w:p>
        </w:tc>
        <w:tc>
          <w:tcPr>
            <w:tcW w:w="1000" w:type="pct"/>
            <w:shd w:val="clear" w:color="auto" w:fill="auto"/>
            <w:vAlign w:val="center"/>
          </w:tcPr>
          <w:p w14:paraId="777BF1EF">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999" w:type="pct"/>
            <w:shd w:val="clear" w:color="auto" w:fill="auto"/>
            <w:vAlign w:val="center"/>
          </w:tcPr>
          <w:p w14:paraId="2C6A267C">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999" w:type="pct"/>
            <w:shd w:val="clear" w:color="auto" w:fill="auto"/>
            <w:vAlign w:val="center"/>
          </w:tcPr>
          <w:p w14:paraId="2BD8E52A">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1000" w:type="pct"/>
            <w:shd w:val="clear" w:color="auto" w:fill="auto"/>
            <w:vAlign w:val="center"/>
          </w:tcPr>
          <w:p w14:paraId="0A633E2E">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r>
      <w:tr w14:paraId="7E33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shd w:val="clear" w:color="auto" w:fill="auto"/>
            <w:vAlign w:val="center"/>
          </w:tcPr>
          <w:p w14:paraId="3065BEA9">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服务期满后</w:t>
            </w:r>
          </w:p>
        </w:tc>
        <w:tc>
          <w:tcPr>
            <w:tcW w:w="1000" w:type="pct"/>
            <w:shd w:val="clear" w:color="auto" w:fill="auto"/>
            <w:vAlign w:val="center"/>
          </w:tcPr>
          <w:p w14:paraId="15880153">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999" w:type="pct"/>
            <w:shd w:val="clear" w:color="auto" w:fill="auto"/>
            <w:vAlign w:val="center"/>
          </w:tcPr>
          <w:p w14:paraId="24B25387">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999" w:type="pct"/>
            <w:shd w:val="clear" w:color="auto" w:fill="auto"/>
            <w:vAlign w:val="center"/>
          </w:tcPr>
          <w:p w14:paraId="36797344">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c>
          <w:tcPr>
            <w:tcW w:w="1000" w:type="pct"/>
            <w:shd w:val="clear" w:color="auto" w:fill="auto"/>
            <w:vAlign w:val="center"/>
          </w:tcPr>
          <w:p w14:paraId="6CFB3A9F">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hint="eastAsia" w:eastAsia="Times New Roman"/>
                <w:snapToGrid w:val="0"/>
                <w:color w:val="auto"/>
                <w:kern w:val="0"/>
                <w:sz w:val="21"/>
                <w:szCs w:val="21"/>
                <w:highlight w:val="none"/>
              </w:rPr>
              <w:t>/</w:t>
            </w:r>
          </w:p>
        </w:tc>
      </w:tr>
    </w:tbl>
    <w:p w14:paraId="3191372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6.2.5.2土壤环境影响源及影响因子识别</w:t>
      </w:r>
    </w:p>
    <w:p w14:paraId="18049425">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本项目属于污染影响型建设项目，对土壤影响源及影响因子识别见表6.2-3</w:t>
      </w:r>
      <w:r>
        <w:rPr>
          <w:rFonts w:hint="eastAsia" w:ascii="Times New Roman" w:hAnsi="Times New Roman" w:eastAsia="宋体" w:cs="Times New Roman"/>
          <w:snapToGrid w:val="0"/>
          <w:color w:val="auto"/>
          <w:kern w:val="0"/>
          <w:highlight w:val="none"/>
          <w:lang w:val="en-US" w:eastAsia="zh-CN"/>
        </w:rPr>
        <w:t>8</w:t>
      </w:r>
      <w:r>
        <w:rPr>
          <w:rFonts w:hint="eastAsia" w:ascii="Times New Roman" w:hAnsi="Times New Roman" w:eastAsia="宋体" w:cs="Times New Roman"/>
          <w:snapToGrid w:val="0"/>
          <w:color w:val="auto"/>
          <w:kern w:val="0"/>
          <w:highlight w:val="none"/>
        </w:rPr>
        <w:t>。</w:t>
      </w:r>
    </w:p>
    <w:p w14:paraId="2368F7FD">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6.2-3</w:t>
      </w:r>
      <w:r>
        <w:rPr>
          <w:rFonts w:hint="eastAsia" w:ascii="Times New Roman" w:hAnsi="Times New Roman" w:cs="Times New Roman"/>
          <w:snapToGrid w:val="0"/>
          <w:color w:val="auto"/>
          <w:kern w:val="0"/>
          <w:sz w:val="21"/>
          <w:szCs w:val="21"/>
          <w:highlight w:val="none"/>
          <w:lang w:val="en-US" w:eastAsia="zh-CN"/>
        </w:rPr>
        <w:t>8</w:t>
      </w:r>
      <w:r>
        <w:rPr>
          <w:rFonts w:hint="eastAsia" w:ascii="Times New Roman" w:hAnsi="Times New Roman" w:cs="Times New Roman"/>
          <w:snapToGrid w:val="0"/>
          <w:color w:val="auto"/>
          <w:kern w:val="0"/>
          <w:sz w:val="21"/>
          <w:szCs w:val="21"/>
          <w:highlight w:val="none"/>
        </w:rPr>
        <w:t xml:space="preserve"> 污染影响型建设项目土壤影响源及影响因子识别表</w:t>
      </w:r>
    </w:p>
    <w:tbl>
      <w:tblPr>
        <w:tblStyle w:val="735"/>
        <w:tblW w:w="507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53"/>
        <w:gridCol w:w="1934"/>
        <w:gridCol w:w="2644"/>
        <w:gridCol w:w="1770"/>
        <w:gridCol w:w="947"/>
      </w:tblGrid>
      <w:tr w14:paraId="43BDF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82" w:type="pct"/>
            <w:shd w:val="clear" w:color="auto" w:fill="auto"/>
            <w:vAlign w:val="center"/>
          </w:tcPr>
          <w:p w14:paraId="4E0F6A2D">
            <w:pPr>
              <w:autoSpaceDE/>
              <w:autoSpaceDN/>
              <w:adjustRightInd w:val="0"/>
              <w:snapToGrid w:val="0"/>
              <w:jc w:val="center"/>
              <w:rPr>
                <w:color w:val="auto"/>
                <w:szCs w:val="21"/>
                <w:highlight w:val="none"/>
                <w:lang w:eastAsia="en-US"/>
              </w:rPr>
            </w:pPr>
            <w:r>
              <w:rPr>
                <w:rFonts w:hint="eastAsia"/>
                <w:color w:val="auto"/>
                <w:szCs w:val="21"/>
                <w:highlight w:val="none"/>
                <w:lang w:eastAsia="en-US"/>
              </w:rPr>
              <w:t>名称</w:t>
            </w:r>
          </w:p>
        </w:tc>
        <w:tc>
          <w:tcPr>
            <w:tcW w:w="1144" w:type="pct"/>
            <w:shd w:val="clear" w:color="auto" w:fill="auto"/>
            <w:vAlign w:val="center"/>
          </w:tcPr>
          <w:p w14:paraId="68280AD9">
            <w:pPr>
              <w:autoSpaceDE/>
              <w:autoSpaceDN/>
              <w:adjustRightInd w:val="0"/>
              <w:snapToGrid w:val="0"/>
              <w:jc w:val="center"/>
              <w:rPr>
                <w:color w:val="auto"/>
                <w:szCs w:val="21"/>
                <w:highlight w:val="none"/>
                <w:lang w:eastAsia="en-US"/>
              </w:rPr>
            </w:pPr>
            <w:r>
              <w:rPr>
                <w:color w:val="auto"/>
                <w:szCs w:val="21"/>
                <w:highlight w:val="none"/>
                <w:lang w:eastAsia="en-US"/>
              </w:rPr>
              <w:t>污染途径</w:t>
            </w:r>
          </w:p>
        </w:tc>
        <w:tc>
          <w:tcPr>
            <w:tcW w:w="1564" w:type="pct"/>
            <w:shd w:val="clear" w:color="auto" w:fill="auto"/>
            <w:vAlign w:val="center"/>
          </w:tcPr>
          <w:p w14:paraId="285BC079">
            <w:pPr>
              <w:autoSpaceDE/>
              <w:autoSpaceDN/>
              <w:adjustRightInd w:val="0"/>
              <w:snapToGrid w:val="0"/>
              <w:jc w:val="center"/>
              <w:rPr>
                <w:color w:val="auto"/>
                <w:szCs w:val="21"/>
                <w:highlight w:val="none"/>
                <w:lang w:eastAsia="en-US"/>
              </w:rPr>
            </w:pPr>
            <w:r>
              <w:rPr>
                <w:color w:val="auto"/>
                <w:szCs w:val="21"/>
                <w:highlight w:val="none"/>
                <w:lang w:eastAsia="en-US"/>
              </w:rPr>
              <w:t>全部污染物指标</w:t>
            </w:r>
          </w:p>
        </w:tc>
        <w:tc>
          <w:tcPr>
            <w:tcW w:w="1047" w:type="pct"/>
            <w:shd w:val="clear" w:color="auto" w:fill="auto"/>
            <w:vAlign w:val="center"/>
          </w:tcPr>
          <w:p w14:paraId="62967B4A">
            <w:pPr>
              <w:autoSpaceDE/>
              <w:autoSpaceDN/>
              <w:adjustRightInd w:val="0"/>
              <w:snapToGrid w:val="0"/>
              <w:jc w:val="center"/>
              <w:rPr>
                <w:color w:val="auto"/>
                <w:szCs w:val="21"/>
                <w:highlight w:val="none"/>
                <w:lang w:eastAsia="en-US"/>
              </w:rPr>
            </w:pPr>
            <w:r>
              <w:rPr>
                <w:color w:val="auto"/>
                <w:szCs w:val="21"/>
                <w:highlight w:val="none"/>
                <w:lang w:eastAsia="en-US"/>
              </w:rPr>
              <w:t>特征因子</w:t>
            </w:r>
          </w:p>
        </w:tc>
        <w:tc>
          <w:tcPr>
            <w:tcW w:w="560" w:type="pct"/>
            <w:shd w:val="clear" w:color="auto" w:fill="auto"/>
            <w:vAlign w:val="center"/>
          </w:tcPr>
          <w:p w14:paraId="5BC7F671">
            <w:pPr>
              <w:autoSpaceDE/>
              <w:autoSpaceDN/>
              <w:adjustRightInd w:val="0"/>
              <w:snapToGrid w:val="0"/>
              <w:jc w:val="center"/>
              <w:rPr>
                <w:color w:val="auto"/>
                <w:szCs w:val="21"/>
                <w:highlight w:val="none"/>
                <w:lang w:eastAsia="en-US"/>
              </w:rPr>
            </w:pPr>
            <w:r>
              <w:rPr>
                <w:color w:val="auto"/>
                <w:szCs w:val="21"/>
                <w:highlight w:val="none"/>
                <w:lang w:eastAsia="en-US"/>
              </w:rPr>
              <w:t>备注</w:t>
            </w:r>
          </w:p>
        </w:tc>
      </w:tr>
      <w:tr w14:paraId="2DB7E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82" w:type="pct"/>
            <w:shd w:val="clear" w:color="auto" w:fill="auto"/>
            <w:vAlign w:val="center"/>
          </w:tcPr>
          <w:p w14:paraId="786B0C97">
            <w:pPr>
              <w:autoSpaceDE/>
              <w:autoSpaceDN/>
              <w:adjustRightInd w:val="0"/>
              <w:snapToGrid w:val="0"/>
              <w:jc w:val="center"/>
              <w:rPr>
                <w:color w:val="auto"/>
                <w:szCs w:val="21"/>
                <w:highlight w:val="none"/>
                <w:lang w:eastAsia="en-US"/>
              </w:rPr>
            </w:pPr>
            <w:r>
              <w:rPr>
                <w:rFonts w:hint="eastAsia"/>
                <w:color w:val="auto"/>
                <w:szCs w:val="21"/>
                <w:highlight w:val="none"/>
                <w:lang w:eastAsia="en-US"/>
              </w:rPr>
              <w:t>废水</w:t>
            </w:r>
          </w:p>
        </w:tc>
        <w:tc>
          <w:tcPr>
            <w:tcW w:w="1144" w:type="pct"/>
            <w:shd w:val="clear" w:color="auto" w:fill="auto"/>
            <w:vAlign w:val="center"/>
          </w:tcPr>
          <w:p w14:paraId="74AE748F">
            <w:pPr>
              <w:autoSpaceDE/>
              <w:autoSpaceDN/>
              <w:adjustRightInd w:val="0"/>
              <w:snapToGrid w:val="0"/>
              <w:jc w:val="center"/>
              <w:rPr>
                <w:color w:val="auto"/>
                <w:szCs w:val="21"/>
                <w:highlight w:val="none"/>
                <w:lang w:eastAsia="en-US"/>
              </w:rPr>
            </w:pPr>
            <w:r>
              <w:rPr>
                <w:rFonts w:hint="eastAsia" w:eastAsia="Times New Roman"/>
                <w:snapToGrid w:val="0"/>
                <w:color w:val="auto"/>
                <w:kern w:val="0"/>
                <w:szCs w:val="21"/>
                <w:highlight w:val="none"/>
                <w:lang w:eastAsia="en-US"/>
              </w:rPr>
              <w:t>地面漫流</w:t>
            </w:r>
            <w:r>
              <w:rPr>
                <w:rFonts w:hint="eastAsia"/>
                <w:snapToGrid w:val="0"/>
                <w:color w:val="auto"/>
                <w:kern w:val="0"/>
                <w:szCs w:val="21"/>
                <w:highlight w:val="none"/>
                <w:lang w:eastAsia="en-US"/>
              </w:rPr>
              <w:t>、</w:t>
            </w:r>
            <w:r>
              <w:rPr>
                <w:color w:val="auto"/>
                <w:szCs w:val="21"/>
                <w:highlight w:val="none"/>
                <w:lang w:eastAsia="en-US"/>
              </w:rPr>
              <w:t>垂直入渗</w:t>
            </w:r>
          </w:p>
        </w:tc>
        <w:tc>
          <w:tcPr>
            <w:tcW w:w="1564" w:type="pct"/>
            <w:shd w:val="clear" w:color="auto" w:fill="auto"/>
            <w:vAlign w:val="center"/>
          </w:tcPr>
          <w:p w14:paraId="6A712442">
            <w:pPr>
              <w:autoSpaceDE/>
              <w:autoSpaceDN/>
              <w:adjustRightInd w:val="0"/>
              <w:snapToGrid w:val="0"/>
              <w:jc w:val="center"/>
              <w:rPr>
                <w:color w:val="auto"/>
                <w:szCs w:val="21"/>
                <w:highlight w:val="none"/>
                <w:lang w:eastAsia="en-US"/>
              </w:rPr>
            </w:pPr>
            <w:r>
              <w:rPr>
                <w:rFonts w:hint="eastAsia"/>
                <w:color w:val="auto"/>
                <w:szCs w:val="21"/>
                <w:highlight w:val="none"/>
                <w:lang w:eastAsia="en-US"/>
              </w:rPr>
              <w:t>SS、COD、BOD</w:t>
            </w:r>
            <w:r>
              <w:rPr>
                <w:rFonts w:hint="eastAsia"/>
                <w:color w:val="auto"/>
                <w:szCs w:val="21"/>
                <w:highlight w:val="none"/>
                <w:vertAlign w:val="subscript"/>
                <w:lang w:eastAsia="en-US"/>
              </w:rPr>
              <w:t>5</w:t>
            </w:r>
            <w:r>
              <w:rPr>
                <w:rFonts w:hint="eastAsia"/>
                <w:color w:val="auto"/>
                <w:szCs w:val="21"/>
                <w:highlight w:val="none"/>
                <w:lang w:eastAsia="en-US"/>
              </w:rPr>
              <w:t>、氨氮</w:t>
            </w:r>
          </w:p>
        </w:tc>
        <w:tc>
          <w:tcPr>
            <w:tcW w:w="1047" w:type="pct"/>
            <w:shd w:val="clear" w:color="auto" w:fill="auto"/>
            <w:vAlign w:val="center"/>
          </w:tcPr>
          <w:p w14:paraId="1BC8AEF9">
            <w:pPr>
              <w:autoSpaceDE/>
              <w:autoSpaceDN/>
              <w:adjustRightInd w:val="0"/>
              <w:snapToGrid w:val="0"/>
              <w:jc w:val="center"/>
              <w:rPr>
                <w:color w:val="auto"/>
                <w:szCs w:val="21"/>
                <w:highlight w:val="none"/>
                <w:lang w:eastAsia="en-US"/>
              </w:rPr>
            </w:pPr>
            <w:r>
              <w:rPr>
                <w:rFonts w:hint="eastAsia"/>
                <w:color w:val="auto"/>
                <w:szCs w:val="21"/>
                <w:highlight w:val="none"/>
                <w:lang w:eastAsia="en-US"/>
              </w:rPr>
              <w:t>COD</w:t>
            </w:r>
          </w:p>
        </w:tc>
        <w:tc>
          <w:tcPr>
            <w:tcW w:w="560" w:type="pct"/>
            <w:shd w:val="clear" w:color="auto" w:fill="auto"/>
            <w:vAlign w:val="center"/>
          </w:tcPr>
          <w:p w14:paraId="4553BDD5">
            <w:pPr>
              <w:autoSpaceDE/>
              <w:autoSpaceDN/>
              <w:adjustRightInd w:val="0"/>
              <w:snapToGrid w:val="0"/>
              <w:jc w:val="center"/>
              <w:rPr>
                <w:color w:val="auto"/>
                <w:szCs w:val="21"/>
                <w:highlight w:val="none"/>
                <w:lang w:eastAsia="en-US"/>
              </w:rPr>
            </w:pPr>
            <w:r>
              <w:rPr>
                <w:rFonts w:hint="eastAsia"/>
                <w:color w:val="auto"/>
                <w:szCs w:val="21"/>
                <w:highlight w:val="none"/>
                <w:lang w:eastAsia="en-US"/>
              </w:rPr>
              <w:t>事故</w:t>
            </w:r>
          </w:p>
        </w:tc>
      </w:tr>
      <w:tr w14:paraId="0E37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82" w:type="pct"/>
            <w:shd w:val="clear" w:color="auto" w:fill="auto"/>
            <w:vAlign w:val="center"/>
          </w:tcPr>
          <w:p w14:paraId="737EA487">
            <w:pPr>
              <w:autoSpaceDE/>
              <w:autoSpaceDN/>
              <w:adjustRightInd w:val="0"/>
              <w:snapToGrid w:val="0"/>
              <w:jc w:val="center"/>
              <w:rPr>
                <w:color w:val="auto"/>
                <w:szCs w:val="21"/>
                <w:highlight w:val="none"/>
                <w:lang w:eastAsia="en-US"/>
              </w:rPr>
            </w:pPr>
            <w:r>
              <w:rPr>
                <w:rFonts w:hint="eastAsia"/>
                <w:color w:val="auto"/>
                <w:szCs w:val="21"/>
                <w:highlight w:val="none"/>
                <w:lang w:eastAsia="en-US"/>
              </w:rPr>
              <w:t>罐区化学品</w:t>
            </w:r>
          </w:p>
        </w:tc>
        <w:tc>
          <w:tcPr>
            <w:tcW w:w="1144" w:type="pct"/>
            <w:shd w:val="clear" w:color="auto" w:fill="auto"/>
            <w:vAlign w:val="center"/>
          </w:tcPr>
          <w:p w14:paraId="1386E2BD">
            <w:pPr>
              <w:autoSpaceDE/>
              <w:autoSpaceDN/>
              <w:adjustRightInd w:val="0"/>
              <w:snapToGrid w:val="0"/>
              <w:jc w:val="center"/>
              <w:rPr>
                <w:rFonts w:eastAsia="Times New Roman"/>
                <w:snapToGrid w:val="0"/>
                <w:color w:val="auto"/>
                <w:kern w:val="0"/>
                <w:szCs w:val="21"/>
                <w:highlight w:val="none"/>
                <w:lang w:eastAsia="en-US"/>
              </w:rPr>
            </w:pPr>
            <w:r>
              <w:rPr>
                <w:rFonts w:hint="eastAsia" w:eastAsia="Times New Roman"/>
                <w:snapToGrid w:val="0"/>
                <w:color w:val="auto"/>
                <w:kern w:val="0"/>
                <w:szCs w:val="21"/>
                <w:highlight w:val="none"/>
                <w:lang w:eastAsia="en-US"/>
              </w:rPr>
              <w:t>地面漫流</w:t>
            </w:r>
            <w:r>
              <w:rPr>
                <w:rFonts w:hint="eastAsia"/>
                <w:snapToGrid w:val="0"/>
                <w:color w:val="auto"/>
                <w:kern w:val="0"/>
                <w:szCs w:val="21"/>
                <w:highlight w:val="none"/>
                <w:lang w:eastAsia="en-US"/>
              </w:rPr>
              <w:t>、</w:t>
            </w:r>
            <w:r>
              <w:rPr>
                <w:color w:val="auto"/>
                <w:szCs w:val="21"/>
                <w:highlight w:val="none"/>
                <w:lang w:eastAsia="en-US"/>
              </w:rPr>
              <w:t>垂直入渗</w:t>
            </w:r>
          </w:p>
        </w:tc>
        <w:tc>
          <w:tcPr>
            <w:tcW w:w="1564" w:type="pct"/>
            <w:shd w:val="clear" w:color="auto" w:fill="auto"/>
            <w:vAlign w:val="center"/>
          </w:tcPr>
          <w:p w14:paraId="4EB75234">
            <w:pPr>
              <w:autoSpaceDE/>
              <w:autoSpaceDN/>
              <w:adjustRightInd w:val="0"/>
              <w:snapToGrid w:val="0"/>
              <w:jc w:val="center"/>
              <w:rPr>
                <w:color w:val="auto"/>
                <w:szCs w:val="21"/>
                <w:highlight w:val="none"/>
                <w:lang w:eastAsia="en-US"/>
              </w:rPr>
            </w:pPr>
            <w:r>
              <w:rPr>
                <w:rFonts w:hint="eastAsia" w:cs="宋体"/>
                <w:color w:val="auto"/>
                <w:highlight w:val="none"/>
                <w:lang w:val="en-US" w:eastAsia="zh-CN" w:bidi="ar"/>
              </w:rPr>
              <w:t>烷烃</w:t>
            </w:r>
          </w:p>
        </w:tc>
        <w:tc>
          <w:tcPr>
            <w:tcW w:w="1047" w:type="pct"/>
            <w:shd w:val="clear" w:color="auto" w:fill="auto"/>
            <w:vAlign w:val="center"/>
          </w:tcPr>
          <w:p w14:paraId="3C9CEEE8">
            <w:pPr>
              <w:autoSpaceDE/>
              <w:autoSpaceDN/>
              <w:adjustRightInd w:val="0"/>
              <w:snapToGrid w:val="0"/>
              <w:jc w:val="center"/>
              <w:rPr>
                <w:color w:val="auto"/>
                <w:szCs w:val="21"/>
                <w:highlight w:val="none"/>
                <w:lang w:eastAsia="en-US"/>
              </w:rPr>
            </w:pPr>
            <w:r>
              <w:rPr>
                <w:rFonts w:hint="eastAsia"/>
                <w:color w:val="auto"/>
                <w:highlight w:val="none"/>
                <w:lang w:eastAsia="en-US"/>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560" w:type="pct"/>
            <w:shd w:val="clear" w:color="auto" w:fill="auto"/>
            <w:vAlign w:val="center"/>
          </w:tcPr>
          <w:p w14:paraId="037B63B0">
            <w:pPr>
              <w:autoSpaceDE/>
              <w:autoSpaceDN/>
              <w:adjustRightInd w:val="0"/>
              <w:snapToGrid w:val="0"/>
              <w:jc w:val="center"/>
              <w:rPr>
                <w:color w:val="auto"/>
                <w:szCs w:val="21"/>
                <w:highlight w:val="none"/>
                <w:lang w:eastAsia="en-US"/>
              </w:rPr>
            </w:pPr>
            <w:r>
              <w:rPr>
                <w:rFonts w:hint="eastAsia"/>
                <w:color w:val="auto"/>
                <w:szCs w:val="21"/>
                <w:highlight w:val="none"/>
                <w:lang w:eastAsia="en-US"/>
              </w:rPr>
              <w:t>事故</w:t>
            </w:r>
          </w:p>
        </w:tc>
      </w:tr>
      <w:tr w14:paraId="09C3E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82" w:type="pct"/>
            <w:tcBorders>
              <w:top w:val="single" w:color="auto" w:sz="4" w:space="0"/>
            </w:tcBorders>
            <w:shd w:val="clear" w:color="auto" w:fill="auto"/>
            <w:vAlign w:val="center"/>
          </w:tcPr>
          <w:p w14:paraId="08E07472">
            <w:pPr>
              <w:autoSpaceDE/>
              <w:autoSpaceDN/>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废矿物油</w:t>
            </w:r>
          </w:p>
        </w:tc>
        <w:tc>
          <w:tcPr>
            <w:tcW w:w="1144" w:type="pct"/>
            <w:shd w:val="clear" w:color="auto" w:fill="auto"/>
            <w:vAlign w:val="center"/>
          </w:tcPr>
          <w:p w14:paraId="719F7706">
            <w:pPr>
              <w:autoSpaceDE/>
              <w:autoSpaceDN/>
              <w:adjustRightInd w:val="0"/>
              <w:snapToGrid w:val="0"/>
              <w:jc w:val="center"/>
              <w:rPr>
                <w:color w:val="auto"/>
                <w:szCs w:val="21"/>
                <w:highlight w:val="none"/>
                <w:lang w:eastAsia="en-US"/>
              </w:rPr>
            </w:pPr>
            <w:r>
              <w:rPr>
                <w:color w:val="auto"/>
                <w:szCs w:val="21"/>
                <w:highlight w:val="none"/>
                <w:lang w:eastAsia="en-US"/>
              </w:rPr>
              <w:t>垂直入渗</w:t>
            </w:r>
          </w:p>
        </w:tc>
        <w:tc>
          <w:tcPr>
            <w:tcW w:w="1564" w:type="pct"/>
            <w:shd w:val="clear" w:color="auto" w:fill="auto"/>
            <w:vAlign w:val="center"/>
          </w:tcPr>
          <w:p w14:paraId="0C6C1701">
            <w:pPr>
              <w:autoSpaceDE/>
              <w:autoSpaceDN/>
              <w:adjustRightInd w:val="0"/>
              <w:snapToGrid w:val="0"/>
              <w:jc w:val="center"/>
              <w:rPr>
                <w:color w:val="auto"/>
                <w:highlight w:val="none"/>
                <w:lang w:eastAsia="en-US"/>
              </w:rPr>
            </w:pPr>
            <w:r>
              <w:rPr>
                <w:rFonts w:hint="eastAsia"/>
                <w:color w:val="auto"/>
                <w:highlight w:val="none"/>
                <w:lang w:eastAsia="en-US"/>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1047" w:type="pct"/>
            <w:shd w:val="clear" w:color="auto" w:fill="auto"/>
            <w:vAlign w:val="center"/>
          </w:tcPr>
          <w:p w14:paraId="53796004">
            <w:pPr>
              <w:autoSpaceDE/>
              <w:autoSpaceDN/>
              <w:adjustRightInd w:val="0"/>
              <w:snapToGrid w:val="0"/>
              <w:jc w:val="center"/>
              <w:rPr>
                <w:color w:val="auto"/>
                <w:highlight w:val="none"/>
                <w:lang w:eastAsia="en-US"/>
              </w:rPr>
            </w:pPr>
            <w:r>
              <w:rPr>
                <w:rFonts w:hint="eastAsia"/>
                <w:color w:val="auto"/>
                <w:highlight w:val="none"/>
                <w:lang w:eastAsia="en-US"/>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560" w:type="pct"/>
            <w:shd w:val="clear" w:color="auto" w:fill="auto"/>
            <w:vAlign w:val="center"/>
          </w:tcPr>
          <w:p w14:paraId="76F38FBA">
            <w:pPr>
              <w:autoSpaceDE/>
              <w:autoSpaceDN/>
              <w:adjustRightInd w:val="0"/>
              <w:snapToGrid w:val="0"/>
              <w:jc w:val="center"/>
              <w:rPr>
                <w:color w:val="auto"/>
                <w:szCs w:val="21"/>
                <w:highlight w:val="none"/>
                <w:lang w:eastAsia="en-US"/>
              </w:rPr>
            </w:pPr>
            <w:r>
              <w:rPr>
                <w:rFonts w:hint="eastAsia"/>
                <w:color w:val="auto"/>
                <w:szCs w:val="21"/>
                <w:highlight w:val="none"/>
                <w:lang w:eastAsia="en-US"/>
              </w:rPr>
              <w:t>事故</w:t>
            </w:r>
          </w:p>
        </w:tc>
      </w:tr>
    </w:tbl>
    <w:p w14:paraId="09B16D93">
      <w:pPr>
        <w:pStyle w:val="504"/>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textAlignment w:val="auto"/>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3）垂直入渗</w:t>
      </w:r>
    </w:p>
    <w:p w14:paraId="56A7892C">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正常状况下，为有效防止废水</w:t>
      </w:r>
      <w:r>
        <w:rPr>
          <w:rFonts w:hint="eastAsia"/>
          <w:color w:val="auto"/>
          <w:kern w:val="0"/>
          <w:sz w:val="24"/>
          <w:highlight w:val="none"/>
          <w:lang w:eastAsia="zh-CN"/>
        </w:rPr>
        <w:t>泄漏</w:t>
      </w:r>
      <w:r>
        <w:rPr>
          <w:rFonts w:hint="eastAsia"/>
          <w:color w:val="auto"/>
          <w:kern w:val="0"/>
          <w:sz w:val="24"/>
          <w:highlight w:val="none"/>
        </w:rPr>
        <w:t>对区域土壤产生影响，进行分区防腐、防渗处理，同时加强对废水输送管道的维护和管理，防止废水的跑、冒、滴、漏和非正常排水。在不受外界因素作用下，按照设备操作规程进行合理、规范操作，废水不会发生泄漏事故。因此，正常状况下建设项目不会发生渗漏污染土壤的情景。非正常工况下，废水发生泄漏且工作人员未能及时发现，废水中COD持续渗入土壤并逐渐向下运移。</w:t>
      </w:r>
    </w:p>
    <w:p w14:paraId="16D209DA">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达西定律是渗流理论中最基本的定律，本次根据达西定律对土壤及包气带中废水的渗漏速度进行计算。</w:t>
      </w:r>
      <w:r>
        <w:rPr>
          <w:color w:val="auto"/>
          <w:kern w:val="0"/>
          <w:sz w:val="24"/>
          <w:highlight w:val="none"/>
        </w:rPr>
        <w:t>达西定律（</w:t>
      </w:r>
      <w:r>
        <w:rPr>
          <w:rFonts w:hint="eastAsia"/>
          <w:color w:val="auto"/>
          <w:kern w:val="0"/>
          <w:sz w:val="24"/>
          <w:highlight w:val="none"/>
        </w:rPr>
        <w:t>渗流量</w:t>
      </w:r>
      <w:r>
        <w:rPr>
          <w:color w:val="auto"/>
          <w:kern w:val="0"/>
          <w:sz w:val="24"/>
          <w:highlight w:val="none"/>
        </w:rPr>
        <w:t>Q=K⋅A⋅i或渗流速度v=K⋅i）</w:t>
      </w:r>
      <w:r>
        <w:rPr>
          <w:rFonts w:hint="eastAsia"/>
          <w:color w:val="auto"/>
          <w:kern w:val="0"/>
          <w:sz w:val="24"/>
          <w:highlight w:val="none"/>
        </w:rPr>
        <w:t>是</w:t>
      </w:r>
      <w:r>
        <w:rPr>
          <w:color w:val="auto"/>
          <w:kern w:val="0"/>
          <w:sz w:val="24"/>
          <w:highlight w:val="none"/>
        </w:rPr>
        <w:t>描述水在多孔介质中渗流规律的核心理论，在土壤环境影响预测与评价中主要用于量化水分（及随水迁移的污染物）在土壤-地下水系统中的运动特征，</w:t>
      </w:r>
      <w:r>
        <w:rPr>
          <w:rFonts w:hint="eastAsia"/>
          <w:color w:val="auto"/>
          <w:kern w:val="0"/>
          <w:sz w:val="24"/>
          <w:highlight w:val="none"/>
        </w:rPr>
        <w:t>可以</w:t>
      </w:r>
      <w:r>
        <w:rPr>
          <w:color w:val="auto"/>
          <w:kern w:val="0"/>
          <w:sz w:val="24"/>
          <w:highlight w:val="none"/>
        </w:rPr>
        <w:t>支撑污染风险评估、防渗措施效果验证、污染物迁移范围预测等关键环节。</w:t>
      </w:r>
    </w:p>
    <w:p w14:paraId="5D7952E8">
      <w:pPr>
        <w:adjustRightInd w:val="0"/>
        <w:snapToGrid w:val="0"/>
        <w:spacing w:line="360" w:lineRule="auto"/>
        <w:ind w:firstLine="480" w:firstLineChars="200"/>
        <w:rPr>
          <w:color w:val="auto"/>
          <w:kern w:val="0"/>
          <w:sz w:val="24"/>
          <w:highlight w:val="none"/>
        </w:rPr>
      </w:pPr>
      <w:r>
        <w:rPr>
          <w:color w:val="auto"/>
          <w:kern w:val="0"/>
          <w:sz w:val="24"/>
          <w:highlight w:val="none"/>
        </w:rPr>
        <w:t>土壤环境中的污染物（如重金属、有机物、渗滤液等）迁移主要通过水动力弥散实现，而水流运动是驱动污染物迁移的载体。达西定律通过计算渗流速度，为污染物迁移速度、迁移量及扩散范围的预测提供基础参数。其核心逻辑为：渗透系数K越大、水力梯度i越高，水流速度越快，污染物迁移风险越高。</w:t>
      </w:r>
      <w:r>
        <w:rPr>
          <w:rFonts w:hint="eastAsia"/>
          <w:color w:val="auto"/>
          <w:kern w:val="0"/>
          <w:sz w:val="24"/>
          <w:highlight w:val="none"/>
        </w:rPr>
        <w:t>计算方式如下：</w:t>
      </w:r>
    </w:p>
    <w:p w14:paraId="09B15D82">
      <w:pPr>
        <w:adjustRightInd w:val="0"/>
        <w:snapToGrid w:val="0"/>
        <w:spacing w:line="360" w:lineRule="auto"/>
        <w:ind w:firstLine="480" w:firstLineChars="200"/>
        <w:rPr>
          <w:color w:val="auto"/>
          <w:kern w:val="0"/>
          <w:sz w:val="24"/>
          <w:highlight w:val="none"/>
        </w:rPr>
      </w:pPr>
      <w:r>
        <w:rPr>
          <w:color w:val="auto"/>
          <w:kern w:val="0"/>
          <w:sz w:val="24"/>
          <w:highlight w:val="none"/>
        </w:rPr>
        <w:t>单位面积渗流量（渗透速度v）v=K⋅i（v单位m/s）</w:t>
      </w:r>
      <w:r>
        <w:rPr>
          <w:rFonts w:hint="eastAsia"/>
          <w:color w:val="auto"/>
          <w:kern w:val="0"/>
          <w:sz w:val="24"/>
          <w:highlight w:val="none"/>
        </w:rPr>
        <w:t>；</w:t>
      </w:r>
    </w:p>
    <w:p w14:paraId="6BA37B51">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根据《乌苏市西区污水厂建设工程地下水环境影响评价专项水文地质勘察报告》，项目区包气带深度取20m；</w:t>
      </w:r>
      <w:r>
        <w:rPr>
          <w:color w:val="auto"/>
          <w:kern w:val="0"/>
          <w:sz w:val="24"/>
          <w:highlight w:val="none"/>
        </w:rPr>
        <w:t>i</w:t>
      </w:r>
      <w:r>
        <w:rPr>
          <w:rFonts w:hint="eastAsia"/>
          <w:color w:val="auto"/>
          <w:kern w:val="0"/>
          <w:sz w:val="24"/>
          <w:highlight w:val="none"/>
        </w:rPr>
        <w:t>=0.03；</w:t>
      </w:r>
      <w:r>
        <w:rPr>
          <w:color w:val="auto"/>
          <w:kern w:val="0"/>
          <w:sz w:val="24"/>
          <w:highlight w:val="none"/>
        </w:rPr>
        <w:t>K</w:t>
      </w:r>
      <w:r>
        <w:rPr>
          <w:rFonts w:hint="eastAsia"/>
          <w:color w:val="auto"/>
          <w:kern w:val="0"/>
          <w:sz w:val="24"/>
          <w:highlight w:val="none"/>
        </w:rPr>
        <w:t>=3.47×10</w:t>
      </w:r>
      <w:r>
        <w:rPr>
          <w:rFonts w:hint="eastAsia"/>
          <w:color w:val="auto"/>
          <w:kern w:val="0"/>
          <w:sz w:val="24"/>
          <w:highlight w:val="none"/>
          <w:vertAlign w:val="superscript"/>
        </w:rPr>
        <w:t>-4</w:t>
      </w:r>
      <w:r>
        <w:rPr>
          <w:rFonts w:hint="eastAsia"/>
          <w:color w:val="auto"/>
          <w:kern w:val="0"/>
          <w:sz w:val="24"/>
          <w:highlight w:val="none"/>
        </w:rPr>
        <w:t>cm/s；</w:t>
      </w:r>
      <w:r>
        <w:rPr>
          <w:color w:val="auto"/>
          <w:kern w:val="0"/>
          <w:sz w:val="24"/>
          <w:highlight w:val="none"/>
        </w:rPr>
        <w:t>渗透速度</w:t>
      </w:r>
      <w:r>
        <w:rPr>
          <w:rFonts w:hint="eastAsia"/>
          <w:color w:val="auto"/>
          <w:kern w:val="0"/>
          <w:sz w:val="24"/>
          <w:highlight w:val="none"/>
        </w:rPr>
        <w:t>v为1×10</w:t>
      </w:r>
      <w:r>
        <w:rPr>
          <w:rFonts w:hint="eastAsia"/>
          <w:color w:val="auto"/>
          <w:kern w:val="0"/>
          <w:sz w:val="24"/>
          <w:highlight w:val="none"/>
          <w:vertAlign w:val="superscript"/>
        </w:rPr>
        <w:t>-5</w:t>
      </w:r>
      <w:r>
        <w:rPr>
          <w:rFonts w:hint="eastAsia"/>
          <w:color w:val="auto"/>
          <w:kern w:val="0"/>
          <w:sz w:val="24"/>
          <w:highlight w:val="none"/>
        </w:rPr>
        <w:t>m/s，渗透时长23天可以穿过包气带达到潜水层。</w:t>
      </w:r>
    </w:p>
    <w:p w14:paraId="73EB2F51">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由于土壤环境标准没有COD必检指标，COD的测定易受土壤中还原性无机物干扰，难以准确反映土壤“污染性有机物”的真实含量。因此本报告提出企业需按照自行监测方案定期监测项目区土质及空白样，通过比对COD指标辅助评估土壤污染程度。</w:t>
      </w:r>
    </w:p>
    <w:p w14:paraId="2923BCBD">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color w:val="auto"/>
          <w:kern w:val="0"/>
          <w:highlight w:val="none"/>
          <w:lang w:bidi="ar"/>
        </w:rPr>
        <w:t>本项目依据《环境影响评价技术导则</w:t>
      </w:r>
      <w:r>
        <w:rPr>
          <w:rFonts w:ascii="Times New Roman" w:hAnsi="Times New Roman" w:eastAsia="宋体" w:cs="Times New Roman"/>
          <w:color w:val="auto"/>
          <w:kern w:val="0"/>
          <w:highlight w:val="none"/>
          <w:lang w:bidi="ar"/>
        </w:rPr>
        <w:t xml:space="preserve"> </w:t>
      </w:r>
      <w:r>
        <w:rPr>
          <w:rFonts w:hint="eastAsia" w:ascii="Times New Roman" w:hAnsi="Times New Roman" w:eastAsia="宋体" w:cs="Times New Roman"/>
          <w:color w:val="auto"/>
          <w:kern w:val="0"/>
          <w:highlight w:val="none"/>
          <w:lang w:bidi="ar"/>
        </w:rPr>
        <w:t>地下水环境》（</w:t>
      </w:r>
      <w:r>
        <w:rPr>
          <w:rFonts w:ascii="Times New Roman" w:hAnsi="Times New Roman" w:eastAsia="宋体" w:cs="Times New Roman"/>
          <w:color w:val="auto"/>
          <w:kern w:val="0"/>
          <w:highlight w:val="none"/>
          <w:lang w:bidi="ar"/>
        </w:rPr>
        <w:t>HJ610-2016</w:t>
      </w:r>
      <w:r>
        <w:rPr>
          <w:rFonts w:hint="eastAsia" w:ascii="Times New Roman" w:hAnsi="Times New Roman" w:eastAsia="宋体" w:cs="Times New Roman"/>
          <w:color w:val="auto"/>
          <w:kern w:val="0"/>
          <w:highlight w:val="none"/>
          <w:lang w:bidi="ar"/>
        </w:rPr>
        <w:t>）的要求，提出相应的防渗技术措施。根据场地特性和项目特征，制定分区防渗方案：对地下及半地下工程构筑物实施重点防渗；对可能发生物料和污染物</w:t>
      </w:r>
      <w:r>
        <w:rPr>
          <w:rFonts w:hint="eastAsia" w:ascii="Times New Roman" w:hAnsi="Times New Roman" w:eastAsia="宋体" w:cs="Times New Roman"/>
          <w:color w:val="auto"/>
          <w:kern w:val="0"/>
          <w:highlight w:val="none"/>
          <w:lang w:eastAsia="zh-CN" w:bidi="ar"/>
        </w:rPr>
        <w:t>泄漏</w:t>
      </w:r>
      <w:r>
        <w:rPr>
          <w:rFonts w:hint="eastAsia" w:ascii="Times New Roman" w:hAnsi="Times New Roman" w:eastAsia="宋体" w:cs="Times New Roman"/>
          <w:color w:val="auto"/>
          <w:kern w:val="0"/>
          <w:highlight w:val="none"/>
          <w:lang w:bidi="ar"/>
        </w:rPr>
        <w:t>的地上构筑物采取一般防渗；其他区域则按建筑要求进行地面处理。防渗材料应与物料或污染物相兼容，其渗透系数应不大于</w:t>
      </w:r>
      <w:r>
        <w:rPr>
          <w:rFonts w:ascii="Times New Roman" w:hAnsi="Times New Roman" w:eastAsia="宋体" w:cs="Times New Roman"/>
          <w:color w:val="auto"/>
          <w:kern w:val="0"/>
          <w:highlight w:val="none"/>
          <w:lang w:bidi="ar"/>
        </w:rPr>
        <w:t>1.0</w:t>
      </w:r>
      <w:r>
        <w:rPr>
          <w:rFonts w:hint="eastAsia" w:ascii="Times New Roman" w:hAnsi="Times New Roman" w:eastAsia="宋体" w:cs="Times New Roman"/>
          <w:color w:val="auto"/>
          <w:kern w:val="0"/>
          <w:highlight w:val="none"/>
          <w:lang w:bidi="ar"/>
        </w:rPr>
        <w:t>×</w:t>
      </w:r>
      <w:r>
        <w:rPr>
          <w:rFonts w:ascii="Times New Roman" w:hAnsi="Times New Roman" w:eastAsia="宋体" w:cs="Times New Roman"/>
          <w:color w:val="auto"/>
          <w:kern w:val="0"/>
          <w:highlight w:val="none"/>
          <w:lang w:bidi="ar"/>
        </w:rPr>
        <w:t>10</w:t>
      </w:r>
      <w:r>
        <w:rPr>
          <w:rFonts w:ascii="Times New Roman" w:hAnsi="Times New Roman" w:eastAsia="宋体" w:cs="Times New Roman"/>
          <w:color w:val="auto"/>
          <w:kern w:val="0"/>
          <w:highlight w:val="none"/>
          <w:vertAlign w:val="superscript"/>
          <w:lang w:bidi="ar"/>
        </w:rPr>
        <w:t>-7</w:t>
      </w:r>
      <w:r>
        <w:rPr>
          <w:rFonts w:ascii="Times New Roman" w:hAnsi="Times New Roman" w:eastAsia="宋体" w:cs="Times New Roman"/>
          <w:color w:val="auto"/>
          <w:kern w:val="0"/>
          <w:highlight w:val="none"/>
          <w:lang w:bidi="ar"/>
        </w:rPr>
        <w:t>cm/s</w:t>
      </w:r>
      <w:r>
        <w:rPr>
          <w:rFonts w:hint="eastAsia" w:ascii="Times New Roman" w:hAnsi="Times New Roman" w:eastAsia="宋体" w:cs="Times New Roman"/>
          <w:color w:val="auto"/>
          <w:kern w:val="0"/>
          <w:highlight w:val="none"/>
          <w:lang w:bidi="ar"/>
        </w:rPr>
        <w:t>。在全面实施分区防渗措施后，物料或污染物的垂直入渗对土壤的影响减小。</w:t>
      </w:r>
    </w:p>
    <w:p w14:paraId="5261A0DD">
      <w:pPr>
        <w:pStyle w:val="504"/>
        <w:adjustRightInd w:val="0"/>
        <w:snapToGrid w:val="0"/>
        <w:spacing w:line="360" w:lineRule="auto"/>
        <w:ind w:firstLine="480"/>
        <w:rPr>
          <w:rFonts w:hint="eastAsia"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因此，本项目土壤环境</w:t>
      </w:r>
      <w:r>
        <w:rPr>
          <w:rFonts w:hint="eastAsia" w:ascii="Times New Roman" w:hAnsi="Times New Roman" w:eastAsia="宋体" w:cs="Times New Roman"/>
          <w:snapToGrid w:val="0"/>
          <w:color w:val="auto"/>
          <w:kern w:val="0"/>
          <w:highlight w:val="none"/>
          <w:lang w:val="en-US" w:eastAsia="zh-CN"/>
        </w:rPr>
        <w:t>预测</w:t>
      </w:r>
      <w:r>
        <w:rPr>
          <w:rFonts w:hint="eastAsia" w:ascii="Times New Roman" w:hAnsi="Times New Roman" w:eastAsia="宋体" w:cs="Times New Roman"/>
          <w:snapToGrid w:val="0"/>
          <w:color w:val="auto"/>
          <w:kern w:val="0"/>
          <w:highlight w:val="none"/>
        </w:rPr>
        <w:t>因子为石油烃</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10</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40</w:t>
      </w:r>
      <w:r>
        <w:rPr>
          <w:rFonts w:hint="eastAsia" w:ascii="Times New Roman" w:hAnsi="Times New Roman" w:eastAsia="宋体" w:cs="Times New Roman"/>
          <w:snapToGrid w:val="0"/>
          <w:color w:val="auto"/>
          <w:kern w:val="0"/>
          <w:highlight w:val="none"/>
          <w:lang w:eastAsia="zh-CN"/>
        </w:rPr>
        <w:t>）。</w:t>
      </w:r>
    </w:p>
    <w:p w14:paraId="75E0206D">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本项目预测/影响评价因子筛选情况具体见表6.2-3</w:t>
      </w:r>
      <w:r>
        <w:rPr>
          <w:rFonts w:hint="eastAsia" w:ascii="Times New Roman" w:hAnsi="Times New Roman" w:eastAsia="宋体" w:cs="Times New Roman"/>
          <w:snapToGrid w:val="0"/>
          <w:color w:val="auto"/>
          <w:kern w:val="0"/>
          <w:highlight w:val="none"/>
          <w:lang w:val="en-US" w:eastAsia="zh-CN"/>
        </w:rPr>
        <w:t>9</w:t>
      </w:r>
      <w:r>
        <w:rPr>
          <w:rFonts w:hint="eastAsia" w:ascii="Times New Roman" w:hAnsi="Times New Roman" w:eastAsia="宋体" w:cs="Times New Roman"/>
          <w:snapToGrid w:val="0"/>
          <w:color w:val="auto"/>
          <w:kern w:val="0"/>
          <w:highlight w:val="none"/>
        </w:rPr>
        <w:t>。</w:t>
      </w:r>
    </w:p>
    <w:p w14:paraId="1689D599">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6.2-3</w:t>
      </w:r>
      <w:r>
        <w:rPr>
          <w:rFonts w:hint="eastAsia" w:ascii="Times New Roman" w:hAnsi="Times New Roman" w:cs="Times New Roman"/>
          <w:snapToGrid w:val="0"/>
          <w:color w:val="auto"/>
          <w:kern w:val="0"/>
          <w:sz w:val="21"/>
          <w:szCs w:val="21"/>
          <w:highlight w:val="none"/>
          <w:lang w:val="en-US" w:eastAsia="zh-CN"/>
        </w:rPr>
        <w:t>9</w:t>
      </w:r>
      <w:r>
        <w:rPr>
          <w:rFonts w:hint="eastAsia" w:ascii="Times New Roman" w:hAnsi="Times New Roman" w:cs="Times New Roman"/>
          <w:snapToGrid w:val="0"/>
          <w:color w:val="auto"/>
          <w:kern w:val="0"/>
          <w:sz w:val="21"/>
          <w:szCs w:val="21"/>
          <w:highlight w:val="none"/>
        </w:rPr>
        <w:t xml:space="preserve"> 污染影响型建设项目土壤影响源及影响因子识别表</w:t>
      </w:r>
    </w:p>
    <w:tbl>
      <w:tblPr>
        <w:tblStyle w:val="735"/>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97"/>
        <w:gridCol w:w="3370"/>
        <w:gridCol w:w="1803"/>
        <w:gridCol w:w="1782"/>
      </w:tblGrid>
      <w:tr w14:paraId="4074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6" w:type="pct"/>
            <w:shd w:val="clear" w:color="auto" w:fill="auto"/>
            <w:vAlign w:val="center"/>
          </w:tcPr>
          <w:p w14:paraId="27585859">
            <w:pPr>
              <w:autoSpaceDE/>
              <w:autoSpaceDN/>
              <w:adjustRightInd w:val="0"/>
              <w:snapToGrid w:val="0"/>
              <w:jc w:val="center"/>
              <w:rPr>
                <w:snapToGrid w:val="0"/>
                <w:color w:val="auto"/>
                <w:kern w:val="0"/>
                <w:szCs w:val="21"/>
                <w:highlight w:val="none"/>
                <w:lang w:eastAsia="en-US"/>
              </w:rPr>
            </w:pPr>
            <w:r>
              <w:rPr>
                <w:snapToGrid w:val="0"/>
                <w:color w:val="auto"/>
                <w:kern w:val="0"/>
                <w:szCs w:val="21"/>
                <w:highlight w:val="none"/>
                <w:lang w:eastAsia="en-US"/>
              </w:rPr>
              <w:t>环境要素</w:t>
            </w:r>
          </w:p>
        </w:tc>
        <w:tc>
          <w:tcPr>
            <w:tcW w:w="2017" w:type="pct"/>
            <w:shd w:val="clear" w:color="auto" w:fill="auto"/>
            <w:vAlign w:val="center"/>
          </w:tcPr>
          <w:p w14:paraId="148E0050">
            <w:pPr>
              <w:autoSpaceDE/>
              <w:autoSpaceDN/>
              <w:adjustRightInd w:val="0"/>
              <w:snapToGrid w:val="0"/>
              <w:jc w:val="center"/>
              <w:rPr>
                <w:snapToGrid w:val="0"/>
                <w:color w:val="auto"/>
                <w:kern w:val="0"/>
                <w:szCs w:val="21"/>
                <w:highlight w:val="none"/>
                <w:lang w:eastAsia="en-US"/>
              </w:rPr>
            </w:pPr>
            <w:r>
              <w:rPr>
                <w:snapToGrid w:val="0"/>
                <w:color w:val="auto"/>
                <w:kern w:val="0"/>
                <w:szCs w:val="21"/>
                <w:highlight w:val="none"/>
                <w:lang w:eastAsia="en-US"/>
              </w:rPr>
              <w:t>预测/影响评价因子</w:t>
            </w:r>
          </w:p>
        </w:tc>
        <w:tc>
          <w:tcPr>
            <w:tcW w:w="1079" w:type="pct"/>
            <w:shd w:val="clear" w:color="auto" w:fill="auto"/>
            <w:vAlign w:val="center"/>
          </w:tcPr>
          <w:p w14:paraId="5C394E43">
            <w:pPr>
              <w:autoSpaceDE/>
              <w:autoSpaceDN/>
              <w:adjustRightInd w:val="0"/>
              <w:snapToGrid w:val="0"/>
              <w:jc w:val="center"/>
              <w:rPr>
                <w:snapToGrid w:val="0"/>
                <w:color w:val="auto"/>
                <w:kern w:val="0"/>
                <w:szCs w:val="21"/>
                <w:highlight w:val="none"/>
                <w:lang w:eastAsia="en-US"/>
              </w:rPr>
            </w:pPr>
            <w:r>
              <w:rPr>
                <w:rFonts w:hint="eastAsia"/>
                <w:snapToGrid w:val="0"/>
                <w:color w:val="auto"/>
                <w:kern w:val="0"/>
                <w:szCs w:val="21"/>
                <w:highlight w:val="none"/>
                <w:lang w:eastAsia="en-US"/>
              </w:rPr>
              <w:t>影响途径</w:t>
            </w:r>
          </w:p>
        </w:tc>
        <w:tc>
          <w:tcPr>
            <w:tcW w:w="1066" w:type="pct"/>
            <w:shd w:val="clear" w:color="auto" w:fill="auto"/>
            <w:vAlign w:val="center"/>
          </w:tcPr>
          <w:p w14:paraId="76CA0018">
            <w:pPr>
              <w:autoSpaceDE/>
              <w:autoSpaceDN/>
              <w:adjustRightInd w:val="0"/>
              <w:snapToGrid w:val="0"/>
              <w:jc w:val="center"/>
              <w:rPr>
                <w:snapToGrid w:val="0"/>
                <w:color w:val="auto"/>
                <w:kern w:val="0"/>
                <w:szCs w:val="21"/>
                <w:highlight w:val="none"/>
                <w:lang w:eastAsia="en-US"/>
              </w:rPr>
            </w:pPr>
            <w:r>
              <w:rPr>
                <w:snapToGrid w:val="0"/>
                <w:color w:val="auto"/>
                <w:kern w:val="0"/>
                <w:szCs w:val="21"/>
                <w:highlight w:val="none"/>
                <w:lang w:eastAsia="en-US"/>
              </w:rPr>
              <w:t>预测/影响评价</w:t>
            </w:r>
          </w:p>
        </w:tc>
      </w:tr>
      <w:tr w14:paraId="49DA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6" w:type="pct"/>
            <w:shd w:val="clear" w:color="auto" w:fill="auto"/>
            <w:vAlign w:val="center"/>
          </w:tcPr>
          <w:p w14:paraId="6013BE7C">
            <w:pPr>
              <w:autoSpaceDE/>
              <w:autoSpaceDN/>
              <w:adjustRightInd w:val="0"/>
              <w:snapToGrid w:val="0"/>
              <w:jc w:val="center"/>
              <w:rPr>
                <w:snapToGrid w:val="0"/>
                <w:color w:val="auto"/>
                <w:kern w:val="0"/>
                <w:szCs w:val="21"/>
                <w:highlight w:val="none"/>
                <w:lang w:eastAsia="en-US"/>
              </w:rPr>
            </w:pPr>
            <w:r>
              <w:rPr>
                <w:snapToGrid w:val="0"/>
                <w:color w:val="auto"/>
                <w:kern w:val="0"/>
                <w:szCs w:val="21"/>
                <w:highlight w:val="none"/>
                <w:lang w:eastAsia="en-US"/>
              </w:rPr>
              <w:t>土壤环境</w:t>
            </w:r>
          </w:p>
        </w:tc>
        <w:tc>
          <w:tcPr>
            <w:tcW w:w="2017" w:type="pct"/>
            <w:shd w:val="clear" w:color="auto" w:fill="auto"/>
            <w:vAlign w:val="center"/>
          </w:tcPr>
          <w:p w14:paraId="678074E3">
            <w:pPr>
              <w:autoSpaceDE/>
              <w:autoSpaceDN/>
              <w:adjustRightInd w:val="0"/>
              <w:snapToGrid w:val="0"/>
              <w:jc w:val="center"/>
              <w:rPr>
                <w:snapToGrid w:val="0"/>
                <w:color w:val="auto"/>
                <w:kern w:val="0"/>
                <w:szCs w:val="21"/>
                <w:highlight w:val="none"/>
                <w:lang w:eastAsia="zh-CN"/>
              </w:rPr>
            </w:pPr>
            <w:r>
              <w:rPr>
                <w:rFonts w:hint="eastAsia"/>
                <w:snapToGrid w:val="0"/>
                <w:color w:val="auto"/>
                <w:kern w:val="0"/>
                <w:szCs w:val="21"/>
                <w:highlight w:val="none"/>
                <w:lang w:eastAsia="en-US"/>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1079" w:type="pct"/>
            <w:shd w:val="clear" w:color="auto" w:fill="auto"/>
            <w:vAlign w:val="center"/>
          </w:tcPr>
          <w:p w14:paraId="636D812B">
            <w:pPr>
              <w:autoSpaceDE/>
              <w:autoSpaceDN/>
              <w:adjustRightInd w:val="0"/>
              <w:snapToGrid w:val="0"/>
              <w:jc w:val="center"/>
              <w:rPr>
                <w:snapToGrid w:val="0"/>
                <w:color w:val="auto"/>
                <w:kern w:val="0"/>
                <w:szCs w:val="21"/>
                <w:highlight w:val="none"/>
                <w:lang w:eastAsia="en-US"/>
              </w:rPr>
            </w:pPr>
            <w:r>
              <w:rPr>
                <w:snapToGrid w:val="0"/>
                <w:color w:val="auto"/>
                <w:kern w:val="0"/>
                <w:szCs w:val="21"/>
                <w:highlight w:val="none"/>
                <w:lang w:eastAsia="en-US"/>
              </w:rPr>
              <w:t>垂直入渗</w:t>
            </w:r>
          </w:p>
        </w:tc>
        <w:tc>
          <w:tcPr>
            <w:tcW w:w="1066" w:type="pct"/>
            <w:shd w:val="clear" w:color="auto" w:fill="auto"/>
            <w:vAlign w:val="center"/>
          </w:tcPr>
          <w:p w14:paraId="0FAAC97F">
            <w:pPr>
              <w:autoSpaceDE/>
              <w:autoSpaceDN/>
              <w:adjustRightInd w:val="0"/>
              <w:snapToGrid w:val="0"/>
              <w:jc w:val="center"/>
              <w:rPr>
                <w:snapToGrid w:val="0"/>
                <w:color w:val="auto"/>
                <w:kern w:val="0"/>
                <w:szCs w:val="21"/>
                <w:highlight w:val="none"/>
                <w:lang w:eastAsia="en-US"/>
              </w:rPr>
            </w:pPr>
            <w:r>
              <w:rPr>
                <w:rFonts w:hint="eastAsia"/>
                <w:snapToGrid w:val="0"/>
                <w:color w:val="auto"/>
                <w:kern w:val="0"/>
                <w:szCs w:val="21"/>
                <w:highlight w:val="none"/>
                <w:lang w:eastAsia="en-US"/>
              </w:rPr>
              <w:t>定量分析</w:t>
            </w:r>
          </w:p>
        </w:tc>
      </w:tr>
    </w:tbl>
    <w:p w14:paraId="22F8337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6.2.5.3土壤环境影响分析</w:t>
      </w:r>
    </w:p>
    <w:p w14:paraId="67427636">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项目设置“单元-厂区-园区”事故废水三级预防与控制体系，其中第一级预防与控制体系包括装置围堰、罐组</w:t>
      </w:r>
      <w:r>
        <w:rPr>
          <w:rFonts w:hint="eastAsia" w:ascii="Times New Roman" w:hAnsi="Times New Roman" w:eastAsia="宋体" w:cs="Times New Roman"/>
          <w:snapToGrid w:val="0"/>
          <w:color w:val="auto"/>
          <w:kern w:val="0"/>
          <w:highlight w:val="none"/>
          <w:lang w:eastAsia="zh-CN"/>
        </w:rPr>
        <w:t>防火堤</w:t>
      </w:r>
      <w:r>
        <w:rPr>
          <w:rFonts w:hint="eastAsia" w:ascii="Times New Roman" w:hAnsi="Times New Roman" w:eastAsia="宋体" w:cs="Times New Roman"/>
          <w:snapToGrid w:val="0"/>
          <w:color w:val="auto"/>
          <w:kern w:val="0"/>
          <w:highlight w:val="none"/>
        </w:rPr>
        <w:t>等；第二级预防与控制体系为全厂事故水池。若出现极端事故情况，当一级、二级预防和控制体系无法达到控制事故废水要求时，应启动第三级园区事故水预防与控制系统，将事故液排入园区公共事故水池。本项目通过三级防控系统，可将事故废水控制在本项目范围内。在全面落实三级防控措施的情况下，事故废水的地面漫流对土壤影响较小。</w:t>
      </w:r>
    </w:p>
    <w:p w14:paraId="367B97C5">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val="en-US" w:eastAsia="zh-CN"/>
        </w:rPr>
        <w:t>烷烃</w:t>
      </w:r>
      <w:r>
        <w:rPr>
          <w:rFonts w:hint="eastAsia" w:ascii="Times New Roman" w:hAnsi="Times New Roman" w:eastAsia="宋体" w:cs="Times New Roman"/>
          <w:snapToGrid w:val="0"/>
          <w:color w:val="auto"/>
          <w:kern w:val="0"/>
          <w:highlight w:val="none"/>
        </w:rPr>
        <w:t>垂直入渗土壤环境影响分析与评价</w:t>
      </w:r>
    </w:p>
    <w:p w14:paraId="62023B04">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1）情景假设及源强分析</w:t>
      </w:r>
    </w:p>
    <w:p w14:paraId="5695A7BA">
      <w:pPr>
        <w:pStyle w:val="504"/>
        <w:adjustRightInd w:val="0"/>
        <w:snapToGrid w:val="0"/>
        <w:spacing w:line="360" w:lineRule="auto"/>
        <w:ind w:firstLine="480"/>
        <w:rPr>
          <w:rFonts w:ascii="Times New Roman" w:hAnsi="Times New Roman" w:eastAsia="宋体" w:cs="Times New Roman"/>
          <w:color w:val="auto"/>
          <w:kern w:val="0"/>
          <w:highlight w:val="none"/>
        </w:rPr>
      </w:pPr>
      <w:r>
        <w:rPr>
          <w:rFonts w:hint="eastAsia" w:ascii="Times New Roman" w:hAnsi="Times New Roman" w:eastAsia="宋体" w:cs="Times New Roman"/>
          <w:snapToGrid w:val="0"/>
          <w:color w:val="auto"/>
          <w:kern w:val="0"/>
          <w:highlight w:val="none"/>
        </w:rPr>
        <w:t>本项目在影响识别的基础上，根据建设项目的特征，设定的预测情景为</w:t>
      </w:r>
      <w:r>
        <w:rPr>
          <w:rFonts w:hint="eastAsia" w:ascii="Times New Roman" w:hAnsi="Times New Roman" w:eastAsia="宋体" w:cs="Times New Roman"/>
          <w:snapToGrid w:val="0"/>
          <w:color w:val="auto"/>
          <w:kern w:val="0"/>
          <w:highlight w:val="none"/>
          <w:lang w:val="en-US" w:eastAsia="zh-CN"/>
        </w:rPr>
        <w:t>烷烃罐</w:t>
      </w:r>
      <w:r>
        <w:rPr>
          <w:rFonts w:hint="eastAsia" w:ascii="Times New Roman" w:hAnsi="Times New Roman" w:eastAsia="宋体" w:cs="Times New Roman"/>
          <w:snapToGrid w:val="0"/>
          <w:color w:val="auto"/>
          <w:kern w:val="0"/>
          <w:highlight w:val="none"/>
        </w:rPr>
        <w:t>泄漏同时</w:t>
      </w:r>
      <w:r>
        <w:rPr>
          <w:rFonts w:hint="eastAsia" w:ascii="Times New Roman" w:hAnsi="Times New Roman" w:eastAsia="宋体" w:cs="Times New Roman"/>
          <w:snapToGrid w:val="0"/>
          <w:color w:val="auto"/>
          <w:kern w:val="0"/>
          <w:highlight w:val="none"/>
          <w:lang w:val="en-US" w:eastAsia="zh-CN"/>
        </w:rPr>
        <w:t>罐区</w:t>
      </w:r>
      <w:r>
        <w:rPr>
          <w:rFonts w:hint="eastAsia" w:ascii="Times New Roman" w:hAnsi="Times New Roman" w:eastAsia="宋体" w:cs="Times New Roman"/>
          <w:snapToGrid w:val="0"/>
          <w:color w:val="auto"/>
          <w:kern w:val="0"/>
          <w:highlight w:val="none"/>
        </w:rPr>
        <w:t>防渗层</w:t>
      </w:r>
      <w:r>
        <w:rPr>
          <w:rFonts w:hint="eastAsia" w:ascii="Times New Roman" w:hAnsi="Times New Roman" w:eastAsia="宋体" w:cs="Times New Roman"/>
          <w:snapToGrid w:val="0"/>
          <w:color w:val="auto"/>
          <w:kern w:val="0"/>
          <w:highlight w:val="none"/>
          <w:lang w:val="en-US" w:eastAsia="zh-CN"/>
        </w:rPr>
        <w:t>破损</w:t>
      </w:r>
      <w:r>
        <w:rPr>
          <w:rFonts w:hint="eastAsia" w:ascii="Times New Roman" w:hAnsi="Times New Roman" w:eastAsia="宋体" w:cs="Times New Roman"/>
          <w:snapToGrid w:val="0"/>
          <w:color w:val="auto"/>
          <w:kern w:val="0"/>
          <w:highlight w:val="none"/>
        </w:rPr>
        <w:t>，导致污染物通过裂缝进入土壤对周围土壤产生污染影响。</w:t>
      </w:r>
    </w:p>
    <w:p w14:paraId="34F1E52C">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lang w:val="en-US" w:eastAsia="zh-CN"/>
        </w:rPr>
        <w:t>烷烃</w:t>
      </w:r>
      <w:r>
        <w:rPr>
          <w:rFonts w:hint="eastAsia" w:ascii="Times New Roman" w:hAnsi="Times New Roman" w:eastAsia="宋体" w:cs="Times New Roman"/>
          <w:snapToGrid w:val="0"/>
          <w:color w:val="auto"/>
          <w:kern w:val="0"/>
          <w:highlight w:val="none"/>
        </w:rPr>
        <w:t>密度约为</w:t>
      </w:r>
      <w:r>
        <w:rPr>
          <w:rFonts w:hint="eastAsia" w:ascii="Times New Roman" w:hAnsi="Times New Roman" w:eastAsia="宋体" w:cs="Times New Roman"/>
          <w:snapToGrid w:val="0"/>
          <w:color w:val="auto"/>
          <w:kern w:val="0"/>
          <w:highlight w:val="none"/>
          <w:lang w:val="en-US" w:eastAsia="zh-CN"/>
        </w:rPr>
        <w:t>0.735t</w:t>
      </w:r>
      <w:r>
        <w:rPr>
          <w:rFonts w:hint="eastAsia" w:ascii="Times New Roman" w:hAnsi="Times New Roman" w:eastAsia="宋体" w:cs="Times New Roman"/>
          <w:snapToGrid w:val="0"/>
          <w:color w:val="auto"/>
          <w:kern w:val="0"/>
          <w:highlight w:val="none"/>
        </w:rPr>
        <w:t>/</w:t>
      </w:r>
      <w:r>
        <w:rPr>
          <w:rFonts w:hint="eastAsia" w:ascii="Times New Roman" w:hAnsi="Times New Roman" w:eastAsia="宋体" w:cs="Times New Roman"/>
          <w:snapToGrid w:val="0"/>
          <w:color w:val="auto"/>
          <w:kern w:val="0"/>
          <w:highlight w:val="none"/>
          <w:lang w:val="en-US" w:eastAsia="zh-CN"/>
        </w:rPr>
        <w:t>m</w:t>
      </w:r>
      <w:r>
        <w:rPr>
          <w:rFonts w:hint="eastAsia" w:ascii="Times New Roman" w:hAnsi="Times New Roman" w:eastAsia="宋体" w:cs="Times New Roman"/>
          <w:snapToGrid w:val="0"/>
          <w:color w:val="auto"/>
          <w:kern w:val="0"/>
          <w:highlight w:val="none"/>
          <w:vertAlign w:val="superscript"/>
          <w:lang w:val="en-US" w:eastAsia="zh-CN"/>
        </w:rPr>
        <w:t>3</w:t>
      </w:r>
      <w:r>
        <w:rPr>
          <w:rFonts w:hint="eastAsia" w:ascii="Times New Roman" w:hAnsi="Times New Roman" w:eastAsia="宋体" w:cs="Times New Roman"/>
          <w:snapToGrid w:val="0"/>
          <w:color w:val="auto"/>
          <w:kern w:val="0"/>
          <w:highlight w:val="none"/>
        </w:rPr>
        <w:t>，即石油烃</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10</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40</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7.35</w:t>
      </w:r>
      <w:r>
        <w:rPr>
          <w:rFonts w:hint="eastAsia" w:ascii="Times New Roman" w:hAnsi="Times New Roman" w:eastAsia="宋体" w:cs="Times New Roman"/>
          <w:snapToGrid w:val="0"/>
          <w:color w:val="auto"/>
          <w:kern w:val="0"/>
          <w:highlight w:val="none"/>
        </w:rPr>
        <w:t>×10</w:t>
      </w:r>
      <w:r>
        <w:rPr>
          <w:rFonts w:hint="eastAsia" w:ascii="Times New Roman" w:hAnsi="Times New Roman" w:eastAsia="宋体" w:cs="Times New Roman"/>
          <w:snapToGrid w:val="0"/>
          <w:color w:val="auto"/>
          <w:kern w:val="0"/>
          <w:highlight w:val="none"/>
          <w:vertAlign w:val="superscript"/>
        </w:rPr>
        <w:t>5</w:t>
      </w:r>
      <w:r>
        <w:rPr>
          <w:rFonts w:hint="eastAsia" w:ascii="Times New Roman" w:hAnsi="Times New Roman" w:eastAsia="宋体" w:cs="Times New Roman"/>
          <w:snapToGrid w:val="0"/>
          <w:color w:val="auto"/>
          <w:kern w:val="0"/>
          <w:highlight w:val="none"/>
        </w:rPr>
        <w:t>mg/L</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按泄漏10天预测</w:t>
      </w:r>
      <w:r>
        <w:rPr>
          <w:rFonts w:hint="eastAsia" w:ascii="Times New Roman" w:hAnsi="Times New Roman" w:eastAsia="宋体" w:cs="Times New Roman"/>
          <w:snapToGrid w:val="0"/>
          <w:color w:val="auto"/>
          <w:kern w:val="0"/>
          <w:highlight w:val="none"/>
        </w:rPr>
        <w:t>。</w:t>
      </w:r>
    </w:p>
    <w:p w14:paraId="3BCFC8EA">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2）预测评价标准</w:t>
      </w:r>
    </w:p>
    <w:p w14:paraId="3D28C184">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本项目预测评价标准为《土壤环境质量 建设用地土壤污染风险管控标准（试行）》（GB36600-2018）表1“第二类用地”中的筛选值，石油烃（C</w:t>
      </w:r>
      <w:r>
        <w:rPr>
          <w:rFonts w:hint="eastAsia" w:ascii="Times New Roman" w:hAnsi="Times New Roman" w:eastAsia="宋体" w:cs="Times New Roman"/>
          <w:snapToGrid w:val="0"/>
          <w:color w:val="auto"/>
          <w:kern w:val="0"/>
          <w:highlight w:val="none"/>
          <w:vertAlign w:val="subscript"/>
        </w:rPr>
        <w:t>10</w:t>
      </w:r>
      <w:r>
        <w:rPr>
          <w:rFonts w:hint="eastAsia" w:ascii="Times New Roman" w:hAnsi="Times New Roman" w:eastAsia="宋体" w:cs="Times New Roman"/>
          <w:snapToGrid w:val="0"/>
          <w:color w:val="auto"/>
          <w:kern w:val="0"/>
          <w:highlight w:val="none"/>
        </w:rPr>
        <w:t>~C</w:t>
      </w:r>
      <w:r>
        <w:rPr>
          <w:rFonts w:hint="eastAsia" w:ascii="Times New Roman" w:hAnsi="Times New Roman" w:eastAsia="宋体" w:cs="Times New Roman"/>
          <w:snapToGrid w:val="0"/>
          <w:color w:val="auto"/>
          <w:kern w:val="0"/>
          <w:highlight w:val="none"/>
          <w:vertAlign w:val="subscript"/>
        </w:rPr>
        <w:t>40</w:t>
      </w:r>
      <w:r>
        <w:rPr>
          <w:rFonts w:hint="eastAsia" w:ascii="Times New Roman" w:hAnsi="Times New Roman" w:eastAsia="宋体" w:cs="Times New Roman"/>
          <w:snapToGrid w:val="0"/>
          <w:color w:val="auto"/>
          <w:kern w:val="0"/>
          <w:highlight w:val="none"/>
        </w:rPr>
        <w:t>）≤4500mg/kg。</w:t>
      </w:r>
    </w:p>
    <w:p w14:paraId="02D23C31">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3）预测模型</w:t>
      </w:r>
    </w:p>
    <w:p w14:paraId="5DD36155">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污染物在土壤包气带层中的运移和分布都受到多种因素的控制，如污染物本身的物理化学性质、土壤性质、土壤含水率等。一般认为，水在包气带中的运移符合活塞流模式，由于评价区土壤层包气带地层岩性简单，污染物的弥散、吸附和降解作用所产生的侧向迁移距离远远小于垂向迁移距离，因此本次将污染物在土壤包气带中的迁移概化为一维垂向数值模型。</w:t>
      </w:r>
    </w:p>
    <w:p w14:paraId="587073A9">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本次评价采用导则附录E.2一维非饱和溶质运移模型预测方法，公式如下：</w:t>
      </w:r>
    </w:p>
    <w:p w14:paraId="6667D433">
      <w:pPr>
        <w:adjustRightInd w:val="0"/>
        <w:snapToGrid w:val="0"/>
        <w:spacing w:before="156" w:beforeLines="50" w:line="360" w:lineRule="auto"/>
        <w:ind w:firstLine="480" w:firstLineChars="200"/>
        <w:rPr>
          <w:snapToGrid w:val="0"/>
          <w:color w:val="auto"/>
          <w:kern w:val="0"/>
          <w:sz w:val="24"/>
          <w:highlight w:val="none"/>
        </w:rPr>
      </w:pPr>
      <w:r>
        <w:rPr>
          <w:snapToGrid w:val="0"/>
          <w:color w:val="auto"/>
          <w:kern w:val="0"/>
          <w:sz w:val="24"/>
          <w:highlight w:val="none"/>
        </w:rPr>
        <w:pict>
          <v:shape id="_x0000_s1287" o:spid="_x0000_s1287" o:spt="75" type="#_x0000_t75" style="position:absolute;left:0pt;margin-left:123.75pt;margin-top:6.5pt;height:36.25pt;width:150.4pt;mso-wrap-distance-bottom:0pt;mso-wrap-distance-top:0pt;z-index:-251631616;mso-width-relative:page;mso-height-relative:page;" o:ole="t" filled="f" coordsize="21600,21600">
            <v:path/>
            <v:fill on="f" focussize="0,0"/>
            <v:stroke/>
            <v:imagedata r:id="rId69" o:title=""/>
            <o:lock v:ext="edit" aspectratio="t"/>
            <w10:wrap type="topAndBottom"/>
          </v:shape>
          <o:OLEObject Type="Embed" ProgID="Equation.3" ShapeID="_x0000_s1287" DrawAspect="Content" ObjectID="_1468075728" r:id="rId68">
            <o:LockedField>false</o:LockedField>
          </o:OLEObject>
        </w:pict>
      </w:r>
      <w:r>
        <w:rPr>
          <w:rFonts w:hint="eastAsia"/>
          <w:snapToGrid w:val="0"/>
          <w:color w:val="auto"/>
          <w:kern w:val="0"/>
          <w:sz w:val="24"/>
          <w:highlight w:val="none"/>
        </w:rPr>
        <w:t>式中</w:t>
      </w:r>
      <w:r>
        <w:rPr>
          <w:snapToGrid w:val="0"/>
          <w:color w:val="auto"/>
          <w:kern w:val="0"/>
          <w:sz w:val="24"/>
          <w:highlight w:val="none"/>
        </w:rPr>
        <w:t>：C——污染物介质中的浓度，mg/L；</w:t>
      </w:r>
    </w:p>
    <w:p w14:paraId="351BF25F">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D——弥散系数，m</w:t>
      </w:r>
      <w:r>
        <w:rPr>
          <w:snapToGrid w:val="0"/>
          <w:color w:val="auto"/>
          <w:kern w:val="0"/>
          <w:sz w:val="24"/>
          <w:highlight w:val="none"/>
          <w:vertAlign w:val="superscript"/>
        </w:rPr>
        <w:t>2</w:t>
      </w:r>
      <w:r>
        <w:rPr>
          <w:snapToGrid w:val="0"/>
          <w:color w:val="auto"/>
          <w:kern w:val="0"/>
          <w:sz w:val="24"/>
          <w:highlight w:val="none"/>
        </w:rPr>
        <w:t>/d；</w:t>
      </w:r>
    </w:p>
    <w:p w14:paraId="797E79A1">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q——渗流速率，m/d；</w:t>
      </w:r>
    </w:p>
    <w:p w14:paraId="0CDBCB4E">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z——延z轴的距离，m；</w:t>
      </w:r>
    </w:p>
    <w:p w14:paraId="531D43F8">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t——时间变量，d；</w:t>
      </w:r>
    </w:p>
    <w:p w14:paraId="325EB597">
      <w:pPr>
        <w:adjustRightInd w:val="0"/>
        <w:snapToGrid w:val="0"/>
        <w:spacing w:line="360" w:lineRule="auto"/>
        <w:ind w:firstLine="1200" w:firstLineChars="500"/>
        <w:rPr>
          <w:snapToGrid w:val="0"/>
          <w:color w:val="auto"/>
          <w:kern w:val="0"/>
          <w:sz w:val="24"/>
          <w:highlight w:val="none"/>
        </w:rPr>
      </w:pPr>
      <w:r>
        <w:rPr>
          <w:snapToGrid w:val="0"/>
          <w:color w:val="auto"/>
          <w:kern w:val="0"/>
          <w:sz w:val="24"/>
          <w:highlight w:val="none"/>
        </w:rPr>
        <w:t>θ——土壤含水率，%；</w:t>
      </w:r>
    </w:p>
    <w:p w14:paraId="5F6BF4FB">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ascii="Times New Roman" w:hAnsi="Times New Roman" w:eastAsia="宋体" w:cs="Times New Roman"/>
          <w:snapToGrid w:val="0"/>
          <w:color w:val="auto"/>
          <w:kern w:val="0"/>
          <w:highlight w:val="none"/>
        </w:rPr>
        <w:t>初始条件：</w:t>
      </w:r>
    </w:p>
    <w:p w14:paraId="05E5F9F5">
      <w:pPr>
        <w:pStyle w:val="504"/>
        <w:adjustRightInd w:val="0"/>
        <w:snapToGrid w:val="0"/>
        <w:spacing w:line="360" w:lineRule="auto"/>
        <w:ind w:firstLine="480"/>
        <w:rPr>
          <w:rFonts w:ascii="Times New Roman" w:hAnsi="Times New Roman"/>
          <w:bCs/>
          <w:snapToGrid w:val="0"/>
          <w:color w:val="auto"/>
          <w:szCs w:val="28"/>
          <w:highlight w:val="none"/>
          <w:lang w:bidi="en-US"/>
        </w:rPr>
      </w:pPr>
      <w:r>
        <w:rPr>
          <w:rFonts w:ascii="Times New Roman" w:hAnsi="Times New Roman" w:eastAsia="宋体" w:cs="Times New Roman"/>
          <w:snapToGrid w:val="0"/>
          <w:color w:val="auto"/>
          <w:kern w:val="0"/>
          <w:highlight w:val="none"/>
        </w:rPr>
        <w:t>c</w:t>
      </w:r>
      <w:r>
        <w:rPr>
          <w:rFonts w:hint="eastAsia" w:ascii="Times New Roman" w:hAnsi="Times New Roman" w:eastAsia="宋体" w:cs="Times New Roman"/>
          <w:snapToGrid w:val="0"/>
          <w:color w:val="auto"/>
          <w:kern w:val="0"/>
          <w:highlight w:val="none"/>
          <w:lang w:eastAsia="zh-CN"/>
        </w:rPr>
        <w:t>（</w:t>
      </w:r>
      <w:r>
        <w:rPr>
          <w:rFonts w:ascii="Times New Roman" w:hAnsi="Times New Roman" w:eastAsia="宋体" w:cs="Times New Roman"/>
          <w:snapToGrid w:val="0"/>
          <w:color w:val="auto"/>
          <w:kern w:val="0"/>
          <w:highlight w:val="none"/>
        </w:rPr>
        <w:t>z</w:t>
      </w:r>
      <w:r>
        <w:rPr>
          <w:rFonts w:hint="eastAsia" w:ascii="Times New Roman" w:hAnsi="Times New Roman" w:eastAsia="宋体" w:cs="Times New Roman"/>
          <w:snapToGrid w:val="0"/>
          <w:color w:val="auto"/>
          <w:kern w:val="0"/>
          <w:highlight w:val="none"/>
        </w:rPr>
        <w:t>，</w:t>
      </w:r>
      <w:r>
        <w:rPr>
          <w:rFonts w:ascii="Times New Roman" w:hAnsi="Times New Roman" w:eastAsia="宋体" w:cs="Times New Roman"/>
          <w:snapToGrid w:val="0"/>
          <w:color w:val="auto"/>
          <w:kern w:val="0"/>
          <w:highlight w:val="none"/>
        </w:rPr>
        <w:t>t</w:t>
      </w:r>
      <w:r>
        <w:rPr>
          <w:rFonts w:hint="eastAsia" w:ascii="Times New Roman" w:hAnsi="Times New Roman" w:eastAsia="宋体" w:cs="Times New Roman"/>
          <w:snapToGrid w:val="0"/>
          <w:color w:val="auto"/>
          <w:kern w:val="0"/>
          <w:highlight w:val="none"/>
          <w:lang w:eastAsia="zh-CN"/>
        </w:rPr>
        <w:t>）</w:t>
      </w:r>
      <w:r>
        <w:rPr>
          <w:rFonts w:ascii="Times New Roman" w:hAnsi="Times New Roman" w:eastAsia="宋体" w:cs="Times New Roman"/>
          <w:snapToGrid w:val="0"/>
          <w:color w:val="auto"/>
          <w:kern w:val="0"/>
          <w:highlight w:val="none"/>
        </w:rPr>
        <w:t>=0</w:t>
      </w:r>
      <w:r>
        <w:rPr>
          <w:rFonts w:hint="eastAsia" w:ascii="Times New Roman" w:hAnsi="Times New Roman" w:eastAsia="宋体" w:cs="Times New Roman"/>
          <w:snapToGrid w:val="0"/>
          <w:color w:val="auto"/>
          <w:kern w:val="0"/>
          <w:highlight w:val="none"/>
        </w:rPr>
        <w:t xml:space="preserve">  </w:t>
      </w:r>
      <w:r>
        <w:rPr>
          <w:rFonts w:ascii="Times New Roman" w:hAnsi="Times New Roman" w:eastAsia="宋体" w:cs="Times New Roman"/>
          <w:snapToGrid w:val="0"/>
          <w:color w:val="auto"/>
          <w:kern w:val="0"/>
          <w:highlight w:val="none"/>
        </w:rPr>
        <w:t>t=0</w:t>
      </w:r>
      <w:r>
        <w:rPr>
          <w:rFonts w:hint="eastAsia" w:ascii="Times New Roman" w:hAnsi="Times New Roman" w:eastAsia="宋体" w:cs="Times New Roman"/>
          <w:snapToGrid w:val="0"/>
          <w:color w:val="auto"/>
          <w:kern w:val="0"/>
          <w:highlight w:val="none"/>
        </w:rPr>
        <w:t xml:space="preserve"> </w:t>
      </w:r>
      <w:r>
        <w:rPr>
          <w:rFonts w:hint="eastAsia" w:ascii="Times New Roman" w:hAnsi="Times New Roman"/>
          <w:bCs/>
          <w:snapToGrid w:val="0"/>
          <w:color w:val="auto"/>
          <w:szCs w:val="28"/>
          <w:highlight w:val="none"/>
          <w:lang w:bidi="en-US"/>
        </w:rPr>
        <w:t xml:space="preserve"> </w:t>
      </w:r>
      <w:r>
        <w:rPr>
          <w:rFonts w:ascii="Times New Roman" w:hAnsi="Times New Roman" w:eastAsia="宋体" w:cs="Times New Roman"/>
          <w:snapToGrid w:val="0"/>
          <w:color w:val="auto"/>
          <w:kern w:val="0"/>
          <w:highlight w:val="none"/>
        </w:rPr>
        <w:t>L≤z&lt;0</w:t>
      </w:r>
    </w:p>
    <w:p w14:paraId="2C843EC1">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4）模型构建</w:t>
      </w:r>
    </w:p>
    <w:p w14:paraId="3915148A">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由于污染物在土壤包气带中的迁移转化过程十分复杂，存在包括吸附、沉淀、生物吸收、化学与生物降解等作用。本次预测评价本着风险最大化原则，在模拟污染物扩散时不考虑吸附、化学反应等降解作用，仅考虑典型污染物在对流、弥散作用下的扩散过程及规律。</w:t>
      </w:r>
    </w:p>
    <w:p w14:paraId="4FC7E277">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边界条件：</w:t>
      </w:r>
    </w:p>
    <w:p w14:paraId="24A2DB29">
      <w:pPr>
        <w:autoSpaceDE w:val="0"/>
        <w:autoSpaceDN w:val="0"/>
        <w:adjustRightInd w:val="0"/>
        <w:snapToGrid w:val="0"/>
        <w:spacing w:line="360" w:lineRule="auto"/>
        <w:ind w:firstLine="480" w:firstLineChars="200"/>
        <w:jc w:val="left"/>
        <w:rPr>
          <w:bCs/>
          <w:snapToGrid w:val="0"/>
          <w:color w:val="auto"/>
          <w:sz w:val="24"/>
          <w:szCs w:val="28"/>
          <w:highlight w:val="none"/>
          <w:lang w:bidi="en-US"/>
        </w:rPr>
      </w:pPr>
      <w:r>
        <w:rPr>
          <w:rFonts w:hint="eastAsia"/>
          <w:bCs/>
          <w:snapToGrid w:val="0"/>
          <w:color w:val="auto"/>
          <w:sz w:val="24"/>
          <w:szCs w:val="28"/>
          <w:highlight w:val="none"/>
          <w:lang w:bidi="en-US"/>
        </w:rPr>
        <w:t>上边界条件：连续点源情景C</w:t>
      </w:r>
      <w:r>
        <w:rPr>
          <w:rFonts w:hint="eastAsia"/>
          <w:bCs/>
          <w:snapToGrid w:val="0"/>
          <w:color w:val="auto"/>
          <w:sz w:val="24"/>
          <w:szCs w:val="28"/>
          <w:highlight w:val="none"/>
          <w:lang w:eastAsia="zh-CN" w:bidi="en-US"/>
        </w:rPr>
        <w:t>（</w:t>
      </w:r>
      <w:r>
        <w:rPr>
          <w:rFonts w:hint="eastAsia"/>
          <w:bCs/>
          <w:snapToGrid w:val="0"/>
          <w:color w:val="auto"/>
          <w:sz w:val="24"/>
          <w:szCs w:val="28"/>
          <w:highlight w:val="none"/>
          <w:lang w:bidi="en-US"/>
        </w:rPr>
        <w:t>z,t</w:t>
      </w:r>
      <w:r>
        <w:rPr>
          <w:rFonts w:hint="eastAsia"/>
          <w:bCs/>
          <w:snapToGrid w:val="0"/>
          <w:color w:val="auto"/>
          <w:sz w:val="24"/>
          <w:szCs w:val="28"/>
          <w:highlight w:val="none"/>
          <w:lang w:eastAsia="zh-CN" w:bidi="en-US"/>
        </w:rPr>
        <w:t>）</w:t>
      </w:r>
      <w:r>
        <w:rPr>
          <w:rFonts w:hint="eastAsia"/>
          <w:bCs/>
          <w:snapToGrid w:val="0"/>
          <w:color w:val="auto"/>
          <w:sz w:val="24"/>
          <w:szCs w:val="28"/>
          <w:highlight w:val="none"/>
          <w:lang w:bidi="en-US"/>
        </w:rPr>
        <w:t>=C</w:t>
      </w:r>
      <w:r>
        <w:rPr>
          <w:rFonts w:hint="eastAsia"/>
          <w:bCs/>
          <w:snapToGrid w:val="0"/>
          <w:color w:val="auto"/>
          <w:sz w:val="24"/>
          <w:szCs w:val="28"/>
          <w:highlight w:val="none"/>
          <w:vertAlign w:val="subscript"/>
          <w:lang w:bidi="en-US"/>
        </w:rPr>
        <w:t>0</w:t>
      </w:r>
      <w:r>
        <w:rPr>
          <w:rFonts w:hint="eastAsia"/>
          <w:bCs/>
          <w:snapToGrid w:val="0"/>
          <w:color w:val="auto"/>
          <w:sz w:val="24"/>
          <w:szCs w:val="28"/>
          <w:highlight w:val="none"/>
          <w:lang w:bidi="en-US"/>
        </w:rPr>
        <w:t xml:space="preserve">   t＞0  z=0；</w:t>
      </w:r>
    </w:p>
    <w:p w14:paraId="23C35AD0">
      <w:pPr>
        <w:autoSpaceDE w:val="0"/>
        <w:autoSpaceDN w:val="0"/>
        <w:adjustRightInd w:val="0"/>
        <w:snapToGrid w:val="0"/>
        <w:spacing w:line="360" w:lineRule="auto"/>
        <w:ind w:firstLine="420" w:firstLineChars="200"/>
        <w:jc w:val="left"/>
        <w:rPr>
          <w:bCs/>
          <w:snapToGrid w:val="0"/>
          <w:color w:val="auto"/>
          <w:sz w:val="24"/>
          <w:szCs w:val="28"/>
          <w:highlight w:val="none"/>
          <w:lang w:bidi="en-US"/>
        </w:rPr>
      </w:pPr>
      <w:r>
        <w:rPr>
          <w:snapToGrid w:val="0"/>
          <w:color w:val="auto"/>
          <w:kern w:val="0"/>
          <w:highlight w:val="none"/>
        </w:rPr>
        <w:drawing>
          <wp:anchor distT="0" distB="0" distL="114300" distR="114300" simplePos="0" relativeHeight="251668480" behindDoc="0" locked="0" layoutInCell="1" allowOverlap="1">
            <wp:simplePos x="0" y="0"/>
            <wp:positionH relativeFrom="page">
              <wp:posOffset>3307715</wp:posOffset>
            </wp:positionH>
            <wp:positionV relativeFrom="paragraph">
              <wp:posOffset>229870</wp:posOffset>
            </wp:positionV>
            <wp:extent cx="2240915" cy="289560"/>
            <wp:effectExtent l="0" t="0" r="6985" b="15240"/>
            <wp:wrapNone/>
            <wp:docPr id="119"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12.png"/>
                    <pic:cNvPicPr>
                      <a:picLocks noChangeAspect="1"/>
                    </pic:cNvPicPr>
                  </pic:nvPicPr>
                  <pic:blipFill>
                    <a:blip r:embed="rId70"/>
                    <a:stretch>
                      <a:fillRect/>
                    </a:stretch>
                  </pic:blipFill>
                  <pic:spPr>
                    <a:xfrm>
                      <a:off x="0" y="0"/>
                      <a:ext cx="2240915" cy="289560"/>
                    </a:xfrm>
                    <a:prstGeom prst="rect">
                      <a:avLst/>
                    </a:prstGeom>
                    <a:noFill/>
                    <a:ln>
                      <a:noFill/>
                    </a:ln>
                  </pic:spPr>
                </pic:pic>
              </a:graphicData>
            </a:graphic>
          </wp:anchor>
        </w:drawing>
      </w:r>
      <w:r>
        <w:rPr>
          <w:rFonts w:hint="eastAsia"/>
          <w:bCs/>
          <w:snapToGrid w:val="0"/>
          <w:color w:val="auto"/>
          <w:sz w:val="24"/>
          <w:szCs w:val="28"/>
          <w:highlight w:val="none"/>
          <w:lang w:bidi="en-US"/>
        </w:rPr>
        <w:t>石油烃</w:t>
      </w:r>
      <w:r>
        <w:rPr>
          <w:rFonts w:hint="eastAsia" w:ascii="Times New Roman" w:hAnsi="Times New Roman" w:eastAsia="宋体" w:cs="Times New Roman"/>
          <w:snapToGrid w:val="0"/>
          <w:color w:val="auto"/>
          <w:kern w:val="0"/>
          <w:sz w:val="24"/>
          <w:szCs w:val="32"/>
          <w:highlight w:val="none"/>
          <w:lang w:eastAsia="zh-CN"/>
        </w:rPr>
        <w:t>（</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10</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40</w:t>
      </w:r>
      <w:r>
        <w:rPr>
          <w:rFonts w:hint="eastAsia" w:ascii="Times New Roman" w:hAnsi="Times New Roman" w:eastAsia="宋体" w:cs="Times New Roman"/>
          <w:snapToGrid w:val="0"/>
          <w:color w:val="auto"/>
          <w:kern w:val="0"/>
          <w:sz w:val="24"/>
          <w:szCs w:val="32"/>
          <w:highlight w:val="none"/>
          <w:lang w:eastAsia="zh-CN"/>
        </w:rPr>
        <w:t>）</w:t>
      </w:r>
      <w:r>
        <w:rPr>
          <w:rFonts w:hint="eastAsia"/>
          <w:bCs/>
          <w:snapToGrid w:val="0"/>
          <w:color w:val="auto"/>
          <w:sz w:val="24"/>
          <w:szCs w:val="28"/>
          <w:highlight w:val="none"/>
          <w:lang w:bidi="en-US"/>
        </w:rPr>
        <w:t>浓度约</w:t>
      </w:r>
      <w:r>
        <w:rPr>
          <w:rFonts w:hint="eastAsia"/>
          <w:bCs/>
          <w:snapToGrid w:val="0"/>
          <w:color w:val="auto"/>
          <w:sz w:val="24"/>
          <w:szCs w:val="28"/>
          <w:highlight w:val="none"/>
          <w:lang w:val="en-US" w:eastAsia="zh-CN" w:bidi="en-US"/>
        </w:rPr>
        <w:t>7.35</w:t>
      </w:r>
      <w:r>
        <w:rPr>
          <w:rFonts w:hint="eastAsia"/>
          <w:bCs/>
          <w:snapToGrid w:val="0"/>
          <w:color w:val="auto"/>
          <w:sz w:val="24"/>
          <w:szCs w:val="28"/>
          <w:highlight w:val="none"/>
          <w:lang w:bidi="en-US"/>
        </w:rPr>
        <w:t>×10</w:t>
      </w:r>
      <w:r>
        <w:rPr>
          <w:rFonts w:hint="eastAsia"/>
          <w:bCs/>
          <w:snapToGrid w:val="0"/>
          <w:color w:val="auto"/>
          <w:sz w:val="24"/>
          <w:szCs w:val="28"/>
          <w:highlight w:val="none"/>
          <w:vertAlign w:val="superscript"/>
          <w:lang w:bidi="en-US"/>
        </w:rPr>
        <w:t>5</w:t>
      </w:r>
      <w:r>
        <w:rPr>
          <w:rFonts w:hint="eastAsia"/>
          <w:bCs/>
          <w:snapToGrid w:val="0"/>
          <w:color w:val="auto"/>
          <w:sz w:val="24"/>
          <w:szCs w:val="28"/>
          <w:highlight w:val="none"/>
          <w:lang w:bidi="en-US"/>
        </w:rPr>
        <w:t>mg/L。以上述浓度作为上边界条件。</w:t>
      </w:r>
    </w:p>
    <w:p w14:paraId="57D40650">
      <w:pPr>
        <w:autoSpaceDE w:val="0"/>
        <w:autoSpaceDN w:val="0"/>
        <w:adjustRightInd w:val="0"/>
        <w:snapToGrid w:val="0"/>
        <w:spacing w:line="360" w:lineRule="auto"/>
        <w:ind w:firstLine="480" w:firstLineChars="200"/>
        <w:jc w:val="left"/>
        <w:rPr>
          <w:bCs/>
          <w:snapToGrid w:val="0"/>
          <w:color w:val="auto"/>
          <w:sz w:val="24"/>
          <w:szCs w:val="28"/>
          <w:highlight w:val="none"/>
          <w:lang w:bidi="en-US"/>
        </w:rPr>
      </w:pPr>
      <w:r>
        <w:rPr>
          <w:rFonts w:hint="eastAsia"/>
          <w:bCs/>
          <w:snapToGrid w:val="0"/>
          <w:color w:val="auto"/>
          <w:sz w:val="24"/>
          <w:szCs w:val="28"/>
          <w:highlight w:val="none"/>
          <w:lang w:bidi="en-US"/>
        </w:rPr>
        <w:t>底部边界条件：零梯度边界                               。</w:t>
      </w:r>
    </w:p>
    <w:p w14:paraId="4EC848ED">
      <w:pPr>
        <w:autoSpaceDE w:val="0"/>
        <w:autoSpaceDN w:val="0"/>
        <w:adjustRightInd w:val="0"/>
        <w:snapToGrid w:val="0"/>
        <w:spacing w:line="360" w:lineRule="auto"/>
        <w:ind w:firstLine="480" w:firstLineChars="200"/>
        <w:jc w:val="left"/>
        <w:rPr>
          <w:bCs/>
          <w:snapToGrid w:val="0"/>
          <w:color w:val="auto"/>
          <w:sz w:val="24"/>
          <w:szCs w:val="28"/>
          <w:highlight w:val="none"/>
          <w:lang w:bidi="en-US"/>
        </w:rPr>
      </w:pPr>
      <w:r>
        <w:rPr>
          <w:rFonts w:hint="eastAsia"/>
          <w:bCs/>
          <w:snapToGrid w:val="0"/>
          <w:color w:val="auto"/>
          <w:sz w:val="24"/>
          <w:szCs w:val="28"/>
          <w:highlight w:val="none"/>
          <w:lang w:bidi="en-US"/>
        </w:rPr>
        <w:t>水流模型中上边界为定压力水头边界，下边界为自由排水；溶质运移模型中上边界为定通量边界，下边界为零通量边界。</w:t>
      </w:r>
    </w:p>
    <w:p w14:paraId="1F373DF5">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本项目土壤环境影响类型为“污染影响型”，影响途径主要为运营期项目场地污染物以点源形式垂直进入土壤环境。污染因子选取石油烃</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10</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40</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进行预测分析。</w:t>
      </w:r>
    </w:p>
    <w:p w14:paraId="6C80DDC8">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color w:val="auto"/>
          <w:kern w:val="0"/>
          <w:szCs w:val="28"/>
          <w:highlight w:val="none"/>
        </w:rPr>
        <w:t>利用HYDRUS-1D运行溶质运移模型，将相关土壤参数、污染源参数和防渗层参数代入模型中，</w:t>
      </w:r>
      <w:r>
        <w:rPr>
          <w:rFonts w:hint="eastAsia" w:ascii="Times New Roman" w:hAnsi="Times New Roman" w:eastAsia="宋体" w:cs="Times New Roman"/>
          <w:snapToGrid w:val="0"/>
          <w:color w:val="auto"/>
          <w:kern w:val="0"/>
          <w:highlight w:val="none"/>
        </w:rPr>
        <w:t>N1</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0</w:t>
      </w:r>
      <w:r>
        <w:rPr>
          <w:rFonts w:hint="eastAsia" w:ascii="Times New Roman" w:hAnsi="Times New Roman" w:eastAsia="宋体" w:cs="Times New Roman"/>
          <w:snapToGrid w:val="0"/>
          <w:color w:val="auto"/>
          <w:kern w:val="0"/>
          <w:highlight w:val="none"/>
        </w:rPr>
        <w:t>m）、N2</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2</w:t>
      </w:r>
      <w:r>
        <w:rPr>
          <w:rFonts w:hint="eastAsia" w:ascii="Times New Roman" w:hAnsi="Times New Roman" w:eastAsia="宋体" w:cs="Times New Roman"/>
          <w:snapToGrid w:val="0"/>
          <w:color w:val="auto"/>
          <w:kern w:val="0"/>
          <w:highlight w:val="none"/>
        </w:rPr>
        <w:t>.0m）、N3</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5.0</w:t>
      </w:r>
      <w:r>
        <w:rPr>
          <w:rFonts w:hint="eastAsia" w:ascii="Times New Roman" w:hAnsi="Times New Roman" w:eastAsia="宋体" w:cs="Times New Roman"/>
          <w:snapToGrid w:val="0"/>
          <w:color w:val="auto"/>
          <w:kern w:val="0"/>
          <w:highlight w:val="none"/>
        </w:rPr>
        <w:t>m）、N4（</w:t>
      </w:r>
      <w:r>
        <w:rPr>
          <w:rFonts w:hint="eastAsia" w:ascii="Times New Roman" w:hAnsi="Times New Roman" w:eastAsia="宋体" w:cs="Times New Roman"/>
          <w:snapToGrid w:val="0"/>
          <w:color w:val="auto"/>
          <w:kern w:val="0"/>
          <w:highlight w:val="none"/>
          <w:lang w:val="en-US" w:eastAsia="zh-CN"/>
        </w:rPr>
        <w:t>10.0</w:t>
      </w:r>
      <w:r>
        <w:rPr>
          <w:rFonts w:hint="eastAsia" w:ascii="Times New Roman" w:hAnsi="Times New Roman" w:eastAsia="宋体" w:cs="Times New Roman"/>
          <w:snapToGrid w:val="0"/>
          <w:color w:val="auto"/>
          <w:kern w:val="0"/>
          <w:highlight w:val="none"/>
        </w:rPr>
        <w:t>m）、N5（</w:t>
      </w:r>
      <w:r>
        <w:rPr>
          <w:rFonts w:hint="eastAsia" w:ascii="Times New Roman" w:hAnsi="Times New Roman" w:eastAsia="宋体" w:cs="Times New Roman"/>
          <w:snapToGrid w:val="0"/>
          <w:color w:val="auto"/>
          <w:kern w:val="0"/>
          <w:highlight w:val="none"/>
          <w:lang w:val="en-US" w:eastAsia="zh-CN"/>
        </w:rPr>
        <w:t>20</w:t>
      </w:r>
      <w:r>
        <w:rPr>
          <w:rFonts w:hint="eastAsia" w:ascii="Times New Roman" w:hAnsi="Times New Roman" w:eastAsia="宋体" w:cs="Times New Roman"/>
          <w:snapToGrid w:val="0"/>
          <w:color w:val="auto"/>
          <w:kern w:val="0"/>
          <w:highlight w:val="none"/>
        </w:rPr>
        <w:t>.0m）不同观察点石油烃</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10</w:t>
      </w:r>
      <w:r>
        <w:rPr>
          <w:rFonts w:hint="eastAsia" w:ascii="Times New Roman" w:hAnsi="Times New Roman" w:eastAsia="宋体" w:cs="Times New Roman"/>
          <w:snapToGrid w:val="0"/>
          <w:color w:val="auto"/>
          <w:kern w:val="0"/>
          <w:highlight w:val="none"/>
          <w:lang w:val="en-US" w:eastAsia="zh-CN"/>
        </w:rPr>
        <w:t>~C</w:t>
      </w:r>
      <w:r>
        <w:rPr>
          <w:rFonts w:hint="eastAsia" w:ascii="Times New Roman" w:hAnsi="Times New Roman" w:eastAsia="宋体" w:cs="Times New Roman"/>
          <w:snapToGrid w:val="0"/>
          <w:color w:val="auto"/>
          <w:kern w:val="0"/>
          <w:highlight w:val="none"/>
          <w:vertAlign w:val="subscript"/>
          <w:lang w:val="en-US" w:eastAsia="zh-CN"/>
        </w:rPr>
        <w:t>40</w:t>
      </w:r>
      <w:r>
        <w:rPr>
          <w:rFonts w:hint="eastAsia" w:ascii="Times New Roman" w:hAnsi="Times New Roman" w:eastAsia="宋体" w:cs="Times New Roman"/>
          <w:snapToGrid w:val="0"/>
          <w:color w:val="auto"/>
          <w:kern w:val="0"/>
          <w:highlight w:val="none"/>
          <w:lang w:eastAsia="zh-CN"/>
        </w:rPr>
        <w:t>）</w:t>
      </w:r>
      <w:r>
        <w:rPr>
          <w:rFonts w:hint="eastAsia" w:ascii="Times New Roman" w:hAnsi="Times New Roman" w:eastAsia="宋体" w:cs="Times New Roman"/>
          <w:snapToGrid w:val="0"/>
          <w:color w:val="auto"/>
          <w:kern w:val="0"/>
          <w:highlight w:val="none"/>
        </w:rPr>
        <w:t>浓度预测结果见图6.2-1</w:t>
      </w:r>
      <w:r>
        <w:rPr>
          <w:rFonts w:hint="eastAsia" w:ascii="Times New Roman" w:hAnsi="Times New Roman" w:eastAsia="宋体" w:cs="Times New Roman"/>
          <w:snapToGrid w:val="0"/>
          <w:color w:val="auto"/>
          <w:kern w:val="0"/>
          <w:highlight w:val="none"/>
          <w:lang w:val="en-US" w:eastAsia="zh-CN"/>
        </w:rPr>
        <w:t>6</w:t>
      </w:r>
      <w:r>
        <w:rPr>
          <w:rFonts w:hint="eastAsia" w:ascii="Times New Roman" w:hAnsi="Times New Roman" w:eastAsia="宋体" w:cs="Times New Roman"/>
          <w:snapToGrid w:val="0"/>
          <w:color w:val="auto"/>
          <w:kern w:val="0"/>
          <w:highlight w:val="none"/>
        </w:rPr>
        <w:t>，土壤剖面石油烃浓度随时间变化预测结果见图6.2-1</w:t>
      </w:r>
      <w:r>
        <w:rPr>
          <w:rFonts w:hint="eastAsia" w:ascii="Times New Roman" w:hAnsi="Times New Roman" w:eastAsia="宋体" w:cs="Times New Roman"/>
          <w:snapToGrid w:val="0"/>
          <w:color w:val="auto"/>
          <w:kern w:val="0"/>
          <w:highlight w:val="none"/>
          <w:lang w:val="en-US" w:eastAsia="zh-CN"/>
        </w:rPr>
        <w:t>7</w:t>
      </w:r>
      <w:r>
        <w:rPr>
          <w:rFonts w:hint="eastAsia" w:ascii="Times New Roman" w:hAnsi="Times New Roman" w:eastAsia="宋体" w:cs="Times New Roman"/>
          <w:snapToGrid w:val="0"/>
          <w:color w:val="auto"/>
          <w:kern w:val="0"/>
          <w:highlight w:val="none"/>
        </w:rPr>
        <w:t>。</w:t>
      </w:r>
    </w:p>
    <w:p w14:paraId="00C51F04">
      <w:pPr>
        <w:adjustRightInd w:val="0"/>
        <w:snapToGrid w:val="0"/>
        <w:spacing w:line="360" w:lineRule="auto"/>
        <w:jc w:val="center"/>
        <w:rPr>
          <w:rFonts w:hint="eastAsia" w:eastAsia="黑体"/>
          <w:snapToGrid w:val="0"/>
          <w:color w:val="auto"/>
          <w:kern w:val="0"/>
          <w:szCs w:val="21"/>
          <w:highlight w:val="none"/>
          <w:lang w:eastAsia="zh-CN"/>
        </w:rPr>
      </w:pPr>
      <w:r>
        <w:rPr>
          <w:rFonts w:hint="eastAsia" w:eastAsia="黑体"/>
          <w:snapToGrid w:val="0"/>
          <w:color w:val="auto"/>
          <w:kern w:val="0"/>
          <w:szCs w:val="21"/>
          <w:highlight w:val="none"/>
          <w:lang w:eastAsia="zh-CN"/>
        </w:rPr>
        <w:drawing>
          <wp:inline distT="0" distB="0" distL="114300" distR="114300">
            <wp:extent cx="3705225" cy="3048000"/>
            <wp:effectExtent l="0" t="0" r="9525" b="0"/>
            <wp:docPr id="2" name="图片 2" descr="081bc7ffb097d90eda3f094d3cfbdf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81bc7ffb097d90eda3f094d3cfbdf49"/>
                    <pic:cNvPicPr>
                      <a:picLocks noChangeAspect="1"/>
                    </pic:cNvPicPr>
                  </pic:nvPicPr>
                  <pic:blipFill>
                    <a:blip r:embed="rId71"/>
                    <a:stretch>
                      <a:fillRect/>
                    </a:stretch>
                  </pic:blipFill>
                  <pic:spPr>
                    <a:xfrm>
                      <a:off x="0" y="0"/>
                      <a:ext cx="3705225" cy="3048000"/>
                    </a:xfrm>
                    <a:prstGeom prst="rect">
                      <a:avLst/>
                    </a:prstGeom>
                  </pic:spPr>
                </pic:pic>
              </a:graphicData>
            </a:graphic>
          </wp:inline>
        </w:drawing>
      </w:r>
    </w:p>
    <w:p w14:paraId="594EE4BA">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图6.2-1</w:t>
      </w:r>
      <w:r>
        <w:rPr>
          <w:rFonts w:hint="eastAsia" w:eastAsia="黑体"/>
          <w:snapToGrid w:val="0"/>
          <w:color w:val="auto"/>
          <w:kern w:val="0"/>
          <w:szCs w:val="21"/>
          <w:highlight w:val="none"/>
          <w:lang w:val="en-US" w:eastAsia="zh-CN"/>
        </w:rPr>
        <w:t>6</w:t>
      </w:r>
      <w:r>
        <w:rPr>
          <w:rFonts w:hint="eastAsia" w:eastAsia="黑体"/>
          <w:snapToGrid w:val="0"/>
          <w:color w:val="auto"/>
          <w:kern w:val="0"/>
          <w:szCs w:val="21"/>
          <w:highlight w:val="none"/>
        </w:rPr>
        <w:t xml:space="preserve"> 观察点石油烃</w:t>
      </w:r>
      <w:r>
        <w:rPr>
          <w:rFonts w:hint="eastAsia" w:eastAsia="黑体"/>
          <w:b/>
          <w:bCs/>
          <w:snapToGrid w:val="0"/>
          <w:color w:val="auto"/>
          <w:kern w:val="0"/>
          <w:sz w:val="21"/>
          <w:szCs w:val="21"/>
          <w:highlight w:val="none"/>
          <w:lang w:eastAsia="zh-CN"/>
        </w:rPr>
        <w:t>（</w:t>
      </w:r>
      <w:r>
        <w:rPr>
          <w:rFonts w:hint="eastAsia" w:eastAsia="黑体"/>
          <w:b/>
          <w:bCs/>
          <w:snapToGrid w:val="0"/>
          <w:color w:val="auto"/>
          <w:kern w:val="0"/>
          <w:sz w:val="21"/>
          <w:szCs w:val="21"/>
          <w:highlight w:val="none"/>
          <w:lang w:val="en-US" w:eastAsia="zh-CN"/>
        </w:rPr>
        <w:t>C</w:t>
      </w:r>
      <w:r>
        <w:rPr>
          <w:rFonts w:hint="eastAsia" w:eastAsia="黑体"/>
          <w:b/>
          <w:bCs/>
          <w:snapToGrid w:val="0"/>
          <w:color w:val="auto"/>
          <w:kern w:val="0"/>
          <w:sz w:val="21"/>
          <w:szCs w:val="21"/>
          <w:highlight w:val="none"/>
          <w:vertAlign w:val="subscript"/>
          <w:lang w:val="en-US" w:eastAsia="zh-CN"/>
        </w:rPr>
        <w:t>10</w:t>
      </w:r>
      <w:r>
        <w:rPr>
          <w:rFonts w:hint="eastAsia" w:eastAsia="黑体"/>
          <w:b/>
          <w:bCs/>
          <w:snapToGrid w:val="0"/>
          <w:color w:val="auto"/>
          <w:kern w:val="0"/>
          <w:sz w:val="21"/>
          <w:szCs w:val="21"/>
          <w:highlight w:val="none"/>
          <w:lang w:val="en-US" w:eastAsia="zh-CN"/>
        </w:rPr>
        <w:t>~C</w:t>
      </w:r>
      <w:r>
        <w:rPr>
          <w:rFonts w:hint="eastAsia" w:eastAsia="黑体"/>
          <w:b/>
          <w:bCs/>
          <w:snapToGrid w:val="0"/>
          <w:color w:val="auto"/>
          <w:kern w:val="0"/>
          <w:sz w:val="21"/>
          <w:szCs w:val="21"/>
          <w:highlight w:val="none"/>
          <w:vertAlign w:val="subscript"/>
          <w:lang w:val="en-US" w:eastAsia="zh-CN"/>
        </w:rPr>
        <w:t>40</w:t>
      </w:r>
      <w:r>
        <w:rPr>
          <w:rFonts w:hint="eastAsia" w:eastAsia="黑体"/>
          <w:b/>
          <w:bCs/>
          <w:snapToGrid w:val="0"/>
          <w:color w:val="auto"/>
          <w:kern w:val="0"/>
          <w:sz w:val="21"/>
          <w:szCs w:val="21"/>
          <w:highlight w:val="none"/>
          <w:lang w:eastAsia="zh-CN"/>
        </w:rPr>
        <w:t>）</w:t>
      </w:r>
      <w:r>
        <w:rPr>
          <w:rFonts w:hint="eastAsia" w:eastAsia="黑体"/>
          <w:snapToGrid w:val="0"/>
          <w:color w:val="auto"/>
          <w:kern w:val="0"/>
          <w:szCs w:val="21"/>
          <w:highlight w:val="none"/>
        </w:rPr>
        <w:t>浓度变化曲线图</w:t>
      </w:r>
    </w:p>
    <w:p w14:paraId="17A420FC">
      <w:pPr>
        <w:adjustRightInd w:val="0"/>
        <w:snapToGrid w:val="0"/>
        <w:spacing w:line="360" w:lineRule="auto"/>
        <w:jc w:val="center"/>
        <w:rPr>
          <w:rFonts w:hint="eastAsia" w:eastAsia="黑体"/>
          <w:snapToGrid w:val="0"/>
          <w:color w:val="auto"/>
          <w:kern w:val="0"/>
          <w:szCs w:val="21"/>
          <w:highlight w:val="none"/>
          <w:lang w:eastAsia="zh-CN"/>
        </w:rPr>
      </w:pPr>
      <w:r>
        <w:rPr>
          <w:rFonts w:hint="eastAsia" w:eastAsia="黑体"/>
          <w:snapToGrid w:val="0"/>
          <w:color w:val="auto"/>
          <w:kern w:val="0"/>
          <w:szCs w:val="21"/>
          <w:highlight w:val="none"/>
          <w:lang w:eastAsia="zh-CN"/>
        </w:rPr>
        <w:drawing>
          <wp:inline distT="0" distB="0" distL="114300" distR="114300">
            <wp:extent cx="3771900" cy="3000375"/>
            <wp:effectExtent l="0" t="0" r="0" b="9525"/>
            <wp:docPr id="42" name="图片 42" descr="f5997d1b126fcd54367aec623f933f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f5997d1b126fcd54367aec623f933f1e"/>
                    <pic:cNvPicPr>
                      <a:picLocks noChangeAspect="1"/>
                    </pic:cNvPicPr>
                  </pic:nvPicPr>
                  <pic:blipFill>
                    <a:blip r:embed="rId72"/>
                    <a:stretch>
                      <a:fillRect/>
                    </a:stretch>
                  </pic:blipFill>
                  <pic:spPr>
                    <a:xfrm>
                      <a:off x="0" y="0"/>
                      <a:ext cx="3771900" cy="3000375"/>
                    </a:xfrm>
                    <a:prstGeom prst="rect">
                      <a:avLst/>
                    </a:prstGeom>
                  </pic:spPr>
                </pic:pic>
              </a:graphicData>
            </a:graphic>
          </wp:inline>
        </w:drawing>
      </w:r>
    </w:p>
    <w:p w14:paraId="23A242D7">
      <w:pPr>
        <w:adjustRightInd w:val="0"/>
        <w:snapToGrid w:val="0"/>
        <w:spacing w:line="360" w:lineRule="auto"/>
        <w:jc w:val="center"/>
        <w:rPr>
          <w:rFonts w:eastAsia="黑体"/>
          <w:snapToGrid w:val="0"/>
          <w:color w:val="auto"/>
          <w:kern w:val="0"/>
          <w:szCs w:val="21"/>
          <w:highlight w:val="none"/>
        </w:rPr>
      </w:pPr>
      <w:r>
        <w:rPr>
          <w:rFonts w:hint="eastAsia" w:eastAsia="黑体"/>
          <w:snapToGrid w:val="0"/>
          <w:color w:val="auto"/>
          <w:kern w:val="0"/>
          <w:szCs w:val="21"/>
          <w:highlight w:val="none"/>
        </w:rPr>
        <w:t>图6.2-1</w:t>
      </w:r>
      <w:r>
        <w:rPr>
          <w:rFonts w:hint="eastAsia" w:eastAsia="黑体"/>
          <w:snapToGrid w:val="0"/>
          <w:color w:val="auto"/>
          <w:kern w:val="0"/>
          <w:szCs w:val="21"/>
          <w:highlight w:val="none"/>
          <w:lang w:val="en-US" w:eastAsia="zh-CN"/>
        </w:rPr>
        <w:t>7</w:t>
      </w:r>
      <w:r>
        <w:rPr>
          <w:rFonts w:hint="eastAsia" w:eastAsia="黑体"/>
          <w:snapToGrid w:val="0"/>
          <w:color w:val="auto"/>
          <w:kern w:val="0"/>
          <w:szCs w:val="21"/>
          <w:highlight w:val="none"/>
        </w:rPr>
        <w:t xml:space="preserve"> 土壤剖面石油烃</w:t>
      </w:r>
      <w:r>
        <w:rPr>
          <w:rFonts w:hint="eastAsia" w:ascii="Times New Roman" w:hAnsi="Times New Roman" w:eastAsia="宋体" w:cs="Times New Roman"/>
          <w:b/>
          <w:bCs/>
          <w:snapToGrid w:val="0"/>
          <w:color w:val="auto"/>
          <w:kern w:val="0"/>
          <w:highlight w:val="none"/>
          <w:lang w:eastAsia="zh-CN"/>
        </w:rPr>
        <w:t>（</w:t>
      </w:r>
      <w:r>
        <w:rPr>
          <w:rFonts w:hint="eastAsia" w:ascii="Times New Roman" w:hAnsi="Times New Roman" w:eastAsia="宋体" w:cs="Times New Roman"/>
          <w:b/>
          <w:bCs/>
          <w:snapToGrid w:val="0"/>
          <w:color w:val="auto"/>
          <w:kern w:val="0"/>
          <w:highlight w:val="none"/>
          <w:lang w:val="en-US" w:eastAsia="zh-CN"/>
        </w:rPr>
        <w:t>C</w:t>
      </w:r>
      <w:r>
        <w:rPr>
          <w:rFonts w:hint="eastAsia" w:ascii="Times New Roman" w:hAnsi="Times New Roman" w:eastAsia="宋体" w:cs="Times New Roman"/>
          <w:b/>
          <w:bCs/>
          <w:snapToGrid w:val="0"/>
          <w:color w:val="auto"/>
          <w:kern w:val="0"/>
          <w:highlight w:val="none"/>
          <w:vertAlign w:val="subscript"/>
          <w:lang w:val="en-US" w:eastAsia="zh-CN"/>
        </w:rPr>
        <w:t>10</w:t>
      </w:r>
      <w:r>
        <w:rPr>
          <w:rFonts w:hint="eastAsia" w:ascii="Times New Roman" w:hAnsi="Times New Roman" w:eastAsia="宋体" w:cs="Times New Roman"/>
          <w:b/>
          <w:bCs/>
          <w:snapToGrid w:val="0"/>
          <w:color w:val="auto"/>
          <w:kern w:val="0"/>
          <w:highlight w:val="none"/>
          <w:lang w:val="en-US" w:eastAsia="zh-CN"/>
        </w:rPr>
        <w:t>~C</w:t>
      </w:r>
      <w:r>
        <w:rPr>
          <w:rFonts w:hint="eastAsia" w:ascii="Times New Roman" w:hAnsi="Times New Roman" w:eastAsia="宋体" w:cs="Times New Roman"/>
          <w:b/>
          <w:bCs/>
          <w:snapToGrid w:val="0"/>
          <w:color w:val="auto"/>
          <w:kern w:val="0"/>
          <w:highlight w:val="none"/>
          <w:vertAlign w:val="subscript"/>
          <w:lang w:val="en-US" w:eastAsia="zh-CN"/>
        </w:rPr>
        <w:t>40</w:t>
      </w:r>
      <w:r>
        <w:rPr>
          <w:rFonts w:hint="eastAsia" w:ascii="Times New Roman" w:hAnsi="Times New Roman" w:eastAsia="宋体" w:cs="Times New Roman"/>
          <w:b/>
          <w:bCs/>
          <w:snapToGrid w:val="0"/>
          <w:color w:val="auto"/>
          <w:kern w:val="0"/>
          <w:highlight w:val="none"/>
          <w:lang w:eastAsia="zh-CN"/>
        </w:rPr>
        <w:t>）</w:t>
      </w:r>
      <w:r>
        <w:rPr>
          <w:rFonts w:hint="eastAsia" w:eastAsia="黑体"/>
          <w:snapToGrid w:val="0"/>
          <w:color w:val="auto"/>
          <w:kern w:val="0"/>
          <w:szCs w:val="21"/>
          <w:highlight w:val="none"/>
        </w:rPr>
        <w:t>浓度随时间变化曲线图</w:t>
      </w:r>
    </w:p>
    <w:p w14:paraId="47B6EE2C">
      <w:pPr>
        <w:autoSpaceDE w:val="0"/>
        <w:autoSpaceDN w:val="0"/>
        <w:adjustRightInd w:val="0"/>
        <w:snapToGrid w:val="0"/>
        <w:spacing w:line="360" w:lineRule="auto"/>
        <w:ind w:firstLine="480" w:firstLineChars="200"/>
        <w:jc w:val="both"/>
        <w:rPr>
          <w:snapToGrid w:val="0"/>
          <w:color w:val="auto"/>
          <w:kern w:val="0"/>
          <w:sz w:val="24"/>
          <w:highlight w:val="none"/>
        </w:rPr>
      </w:pPr>
      <w:r>
        <w:rPr>
          <w:rFonts w:hint="eastAsia"/>
          <w:snapToGrid w:val="0"/>
          <w:color w:val="auto"/>
          <w:kern w:val="0"/>
          <w:sz w:val="24"/>
          <w:highlight w:val="none"/>
        </w:rPr>
        <w:t>由土壤模拟结果可知，污染物石油烃</w:t>
      </w:r>
      <w:r>
        <w:rPr>
          <w:rFonts w:hint="eastAsia" w:ascii="Times New Roman" w:hAnsi="Times New Roman" w:eastAsia="宋体" w:cs="Times New Roman"/>
          <w:snapToGrid w:val="0"/>
          <w:color w:val="auto"/>
          <w:kern w:val="0"/>
          <w:sz w:val="24"/>
          <w:szCs w:val="32"/>
          <w:highlight w:val="none"/>
          <w:lang w:eastAsia="zh-CN"/>
        </w:rPr>
        <w:t>（</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10</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40</w:t>
      </w:r>
      <w:r>
        <w:rPr>
          <w:rFonts w:hint="eastAsia" w:ascii="Times New Roman" w:hAnsi="Times New Roman" w:eastAsia="宋体" w:cs="Times New Roman"/>
          <w:snapToGrid w:val="0"/>
          <w:color w:val="auto"/>
          <w:kern w:val="0"/>
          <w:sz w:val="24"/>
          <w:szCs w:val="32"/>
          <w:highlight w:val="none"/>
          <w:lang w:eastAsia="zh-CN"/>
        </w:rPr>
        <w:t>）</w:t>
      </w:r>
      <w:r>
        <w:rPr>
          <w:rFonts w:hint="eastAsia"/>
          <w:snapToGrid w:val="0"/>
          <w:color w:val="auto"/>
          <w:kern w:val="0"/>
          <w:sz w:val="24"/>
          <w:highlight w:val="none"/>
        </w:rPr>
        <w:t>在土壤中随时间不断向下迁移，各土层中污染物含量不断累积，会对土壤进行污染</w:t>
      </w:r>
      <w:r>
        <w:rPr>
          <w:rFonts w:hint="eastAsia"/>
          <w:color w:val="auto"/>
          <w:sz w:val="24"/>
          <w:highlight w:val="none"/>
        </w:rPr>
        <w:t>，</w:t>
      </w:r>
      <w:r>
        <w:rPr>
          <w:rFonts w:hint="eastAsia"/>
          <w:snapToGrid w:val="0"/>
          <w:color w:val="auto"/>
          <w:kern w:val="0"/>
          <w:sz w:val="24"/>
          <w:highlight w:val="none"/>
        </w:rPr>
        <w:t>土壤中石油烃</w:t>
      </w:r>
      <w:r>
        <w:rPr>
          <w:rFonts w:hint="eastAsia" w:ascii="Times New Roman" w:hAnsi="Times New Roman" w:eastAsia="宋体" w:cs="Times New Roman"/>
          <w:snapToGrid w:val="0"/>
          <w:color w:val="auto"/>
          <w:kern w:val="0"/>
          <w:sz w:val="24"/>
          <w:szCs w:val="32"/>
          <w:highlight w:val="none"/>
          <w:lang w:eastAsia="zh-CN"/>
        </w:rPr>
        <w:t>（</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10</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40</w:t>
      </w:r>
      <w:r>
        <w:rPr>
          <w:rFonts w:hint="eastAsia" w:ascii="Times New Roman" w:hAnsi="Times New Roman" w:eastAsia="宋体" w:cs="Times New Roman"/>
          <w:snapToGrid w:val="0"/>
          <w:color w:val="auto"/>
          <w:kern w:val="0"/>
          <w:sz w:val="24"/>
          <w:szCs w:val="32"/>
          <w:highlight w:val="none"/>
          <w:lang w:eastAsia="zh-CN"/>
        </w:rPr>
        <w:t>）</w:t>
      </w:r>
      <w:r>
        <w:rPr>
          <w:rFonts w:hint="eastAsia"/>
          <w:snapToGrid w:val="0"/>
          <w:color w:val="auto"/>
          <w:kern w:val="0"/>
          <w:sz w:val="24"/>
          <w:highlight w:val="none"/>
        </w:rPr>
        <w:t>浓度均满足《土壤环境质量 建设用地土壤污染风险管控标准（试行）》（GB36600-2018）表1“第二类用地”中的筛选值（石油烃（C</w:t>
      </w:r>
      <w:r>
        <w:rPr>
          <w:rFonts w:hint="eastAsia"/>
          <w:snapToGrid w:val="0"/>
          <w:color w:val="auto"/>
          <w:kern w:val="0"/>
          <w:sz w:val="24"/>
          <w:highlight w:val="none"/>
          <w:vertAlign w:val="subscript"/>
        </w:rPr>
        <w:t>10</w:t>
      </w:r>
      <w:r>
        <w:rPr>
          <w:rFonts w:hint="eastAsia"/>
          <w:snapToGrid w:val="0"/>
          <w:color w:val="auto"/>
          <w:kern w:val="0"/>
          <w:sz w:val="24"/>
          <w:highlight w:val="none"/>
        </w:rPr>
        <w:t>~C</w:t>
      </w:r>
      <w:r>
        <w:rPr>
          <w:rFonts w:hint="eastAsia"/>
          <w:snapToGrid w:val="0"/>
          <w:color w:val="auto"/>
          <w:kern w:val="0"/>
          <w:sz w:val="24"/>
          <w:highlight w:val="none"/>
          <w:vertAlign w:val="subscript"/>
        </w:rPr>
        <w:t>40</w:t>
      </w:r>
      <w:r>
        <w:rPr>
          <w:rFonts w:hint="eastAsia"/>
          <w:snapToGrid w:val="0"/>
          <w:color w:val="auto"/>
          <w:kern w:val="0"/>
          <w:sz w:val="24"/>
          <w:highlight w:val="none"/>
        </w:rPr>
        <w:t>）：4500mg/kg）。短时泄漏</w:t>
      </w:r>
      <w:r>
        <w:rPr>
          <w:rFonts w:hint="eastAsia"/>
          <w:color w:val="auto"/>
          <w:sz w:val="24"/>
          <w:highlight w:val="none"/>
        </w:rPr>
        <w:t>不会穿透土壤层进入地下水中，</w:t>
      </w:r>
      <w:r>
        <w:rPr>
          <w:rFonts w:hint="eastAsia"/>
          <w:color w:val="auto"/>
          <w:sz w:val="24"/>
          <w:highlight w:val="none"/>
          <w:lang w:val="en-US" w:eastAsia="zh-CN"/>
        </w:rPr>
        <w:t>长期泄漏会污染地下水，</w:t>
      </w:r>
      <w:r>
        <w:rPr>
          <w:rFonts w:hint="eastAsia"/>
          <w:snapToGrid w:val="0"/>
          <w:color w:val="auto"/>
          <w:kern w:val="0"/>
          <w:sz w:val="24"/>
          <w:highlight w:val="none"/>
        </w:rPr>
        <w:t>企业需加强运营期管理，一旦发现泄漏立即采取措施，减少持续渗漏时间，及时收集泄漏物，以确保渗漏的石油烃</w:t>
      </w:r>
      <w:r>
        <w:rPr>
          <w:rFonts w:hint="eastAsia" w:ascii="Times New Roman" w:hAnsi="Times New Roman" w:eastAsia="宋体" w:cs="Times New Roman"/>
          <w:snapToGrid w:val="0"/>
          <w:color w:val="auto"/>
          <w:kern w:val="0"/>
          <w:sz w:val="24"/>
          <w:szCs w:val="32"/>
          <w:highlight w:val="none"/>
          <w:lang w:eastAsia="zh-CN"/>
        </w:rPr>
        <w:t>（</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10</w:t>
      </w:r>
      <w:r>
        <w:rPr>
          <w:rFonts w:hint="eastAsia" w:ascii="Times New Roman" w:hAnsi="Times New Roman" w:eastAsia="宋体" w:cs="Times New Roman"/>
          <w:snapToGrid w:val="0"/>
          <w:color w:val="auto"/>
          <w:kern w:val="0"/>
          <w:sz w:val="24"/>
          <w:szCs w:val="32"/>
          <w:highlight w:val="none"/>
          <w:lang w:val="en-US" w:eastAsia="zh-CN"/>
        </w:rPr>
        <w:t>~C</w:t>
      </w:r>
      <w:r>
        <w:rPr>
          <w:rFonts w:hint="eastAsia" w:ascii="Times New Roman" w:hAnsi="Times New Roman" w:eastAsia="宋体" w:cs="Times New Roman"/>
          <w:snapToGrid w:val="0"/>
          <w:color w:val="auto"/>
          <w:kern w:val="0"/>
          <w:sz w:val="24"/>
          <w:szCs w:val="32"/>
          <w:highlight w:val="none"/>
          <w:vertAlign w:val="subscript"/>
          <w:lang w:val="en-US" w:eastAsia="zh-CN"/>
        </w:rPr>
        <w:t>40</w:t>
      </w:r>
      <w:r>
        <w:rPr>
          <w:rFonts w:hint="eastAsia" w:ascii="Times New Roman" w:hAnsi="Times New Roman" w:eastAsia="宋体" w:cs="Times New Roman"/>
          <w:snapToGrid w:val="0"/>
          <w:color w:val="auto"/>
          <w:kern w:val="0"/>
          <w:sz w:val="24"/>
          <w:szCs w:val="32"/>
          <w:highlight w:val="none"/>
          <w:lang w:eastAsia="zh-CN"/>
        </w:rPr>
        <w:t>）</w:t>
      </w:r>
      <w:r>
        <w:rPr>
          <w:rFonts w:hint="eastAsia"/>
          <w:snapToGrid w:val="0"/>
          <w:color w:val="auto"/>
          <w:kern w:val="0"/>
          <w:sz w:val="24"/>
          <w:highlight w:val="none"/>
        </w:rPr>
        <w:t>不进入地下水，</w:t>
      </w:r>
      <w:r>
        <w:rPr>
          <w:rFonts w:hint="eastAsia"/>
          <w:snapToGrid w:val="0"/>
          <w:color w:val="auto"/>
          <w:kern w:val="0"/>
          <w:sz w:val="24"/>
          <w:highlight w:val="none"/>
          <w:lang w:val="en-US" w:eastAsia="zh-CN"/>
        </w:rPr>
        <w:t>不会</w:t>
      </w:r>
      <w:r>
        <w:rPr>
          <w:rFonts w:hint="eastAsia"/>
          <w:snapToGrid w:val="0"/>
          <w:color w:val="auto"/>
          <w:kern w:val="0"/>
          <w:sz w:val="24"/>
          <w:highlight w:val="none"/>
        </w:rPr>
        <w:t>对地下水造成污染。</w:t>
      </w:r>
    </w:p>
    <w:p w14:paraId="72C47C9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6.2.5.4土壤环境影响评价结论</w:t>
      </w:r>
    </w:p>
    <w:p w14:paraId="5A5BA43C">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主要通过定性方法从大气沉降和垂直入渗分析项目运营对土壤环境的影响。本项目采取了源头控制和分区防渗措施，正常情况下各类物料、固废中污染物不会影响土壤环境，但在非正常情况下，进入土壤的物质可能会对土壤环境造成一定的影响，但影响较小。</w:t>
      </w:r>
    </w:p>
    <w:p w14:paraId="10C101E5">
      <w:pPr>
        <w:pStyle w:val="504"/>
        <w:adjustRightInd w:val="0"/>
        <w:snapToGrid w:val="0"/>
        <w:spacing w:line="360" w:lineRule="auto"/>
        <w:ind w:firstLine="480"/>
        <w:rPr>
          <w:rFonts w:ascii="Times New Roman" w:hAnsi="Times New Roman" w:eastAsia="宋体" w:cs="Times New Roman"/>
          <w:snapToGrid w:val="0"/>
          <w:color w:val="auto"/>
          <w:kern w:val="0"/>
          <w:highlight w:val="none"/>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宋体" w:cs="Times New Roman"/>
          <w:snapToGrid w:val="0"/>
          <w:color w:val="auto"/>
          <w:kern w:val="0"/>
          <w:highlight w:val="none"/>
        </w:rPr>
        <w:t>项目企业建有完善的环保设施及处置措施，正常情况下能有效防控污染物进入土壤环境，项目在严格做好地面分区防渗措施的建设，采取必要的检修及管理措施和加强地下水和土壤污染隐患排查及隐患整改条件下，本项目建设对土壤环境的影响可接受。</w:t>
      </w:r>
    </w:p>
    <w:p w14:paraId="4CB33958">
      <w:pPr>
        <w:adjustRightInd w:val="0"/>
        <w:snapToGrid w:val="0"/>
        <w:jc w:val="center"/>
        <w:rPr>
          <w:b/>
          <w:bCs/>
          <w:snapToGrid w:val="0"/>
          <w:color w:val="auto"/>
          <w:kern w:val="0"/>
          <w:szCs w:val="21"/>
          <w:highlight w:val="none"/>
        </w:rPr>
      </w:pPr>
      <w:r>
        <w:rPr>
          <w:rFonts w:hint="eastAsia"/>
          <w:b/>
          <w:bCs/>
          <w:snapToGrid w:val="0"/>
          <w:color w:val="auto"/>
          <w:kern w:val="0"/>
          <w:szCs w:val="21"/>
          <w:highlight w:val="none"/>
        </w:rPr>
        <w:t>表6.2-</w:t>
      </w:r>
      <w:r>
        <w:rPr>
          <w:rFonts w:hint="eastAsia"/>
          <w:b/>
          <w:bCs/>
          <w:snapToGrid w:val="0"/>
          <w:color w:val="auto"/>
          <w:kern w:val="0"/>
          <w:szCs w:val="21"/>
          <w:highlight w:val="none"/>
          <w:lang w:val="en-US" w:eastAsia="zh-CN"/>
        </w:rPr>
        <w:t>40</w:t>
      </w:r>
      <w:r>
        <w:rPr>
          <w:rFonts w:hint="eastAsia"/>
          <w:b/>
          <w:bCs/>
          <w:snapToGrid w:val="0"/>
          <w:color w:val="auto"/>
          <w:kern w:val="0"/>
          <w:szCs w:val="21"/>
          <w:highlight w:val="none"/>
        </w:rPr>
        <w:t xml:space="preserve"> 土壤环境影响评价自查表</w:t>
      </w:r>
    </w:p>
    <w:tbl>
      <w:tblPr>
        <w:tblStyle w:val="56"/>
        <w:tblW w:w="5000"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389"/>
        <w:gridCol w:w="1523"/>
        <w:gridCol w:w="1149"/>
        <w:gridCol w:w="138"/>
        <w:gridCol w:w="1394"/>
        <w:gridCol w:w="984"/>
        <w:gridCol w:w="409"/>
        <w:gridCol w:w="1666"/>
        <w:gridCol w:w="784"/>
      </w:tblGrid>
      <w:tr w14:paraId="6A1E59B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12" w:type="dxa"/>
            <w:gridSpan w:val="2"/>
            <w:shd w:val="clear" w:color="auto" w:fill="auto"/>
            <w:vAlign w:val="center"/>
          </w:tcPr>
          <w:p w14:paraId="7449464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工作内容</w:t>
            </w:r>
          </w:p>
        </w:tc>
        <w:tc>
          <w:tcPr>
            <w:tcW w:w="5740" w:type="dxa"/>
            <w:gridSpan w:val="6"/>
            <w:shd w:val="clear" w:color="auto" w:fill="auto"/>
            <w:vAlign w:val="center"/>
          </w:tcPr>
          <w:p w14:paraId="22E3325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完成情况</w:t>
            </w:r>
          </w:p>
        </w:tc>
        <w:tc>
          <w:tcPr>
            <w:tcW w:w="784" w:type="dxa"/>
            <w:shd w:val="clear" w:color="auto" w:fill="auto"/>
            <w:vAlign w:val="center"/>
          </w:tcPr>
          <w:p w14:paraId="791B73E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备注</w:t>
            </w:r>
          </w:p>
        </w:tc>
      </w:tr>
      <w:tr w14:paraId="7C3B4E9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restart"/>
            <w:vAlign w:val="center"/>
          </w:tcPr>
          <w:p w14:paraId="2CD544F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影响识别</w:t>
            </w:r>
          </w:p>
        </w:tc>
        <w:tc>
          <w:tcPr>
            <w:tcW w:w="1523" w:type="dxa"/>
            <w:vAlign w:val="center"/>
          </w:tcPr>
          <w:p w14:paraId="6B9C13C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影响类型</w:t>
            </w:r>
          </w:p>
        </w:tc>
        <w:tc>
          <w:tcPr>
            <w:tcW w:w="5740" w:type="dxa"/>
            <w:gridSpan w:val="6"/>
            <w:vAlign w:val="center"/>
          </w:tcPr>
          <w:p w14:paraId="7B38DDF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污染影响型☑；生态影响型</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；两种兼有</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7D829F57">
            <w:pPr>
              <w:adjustRightInd w:val="0"/>
              <w:snapToGrid w:val="0"/>
              <w:jc w:val="center"/>
              <w:rPr>
                <w:snapToGrid w:val="0"/>
                <w:color w:val="auto"/>
                <w:kern w:val="0"/>
                <w:szCs w:val="21"/>
                <w:highlight w:val="none"/>
              </w:rPr>
            </w:pPr>
          </w:p>
        </w:tc>
      </w:tr>
      <w:tr w14:paraId="147294F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5689E6AD">
            <w:pPr>
              <w:adjustRightInd w:val="0"/>
              <w:snapToGrid w:val="0"/>
              <w:jc w:val="center"/>
              <w:rPr>
                <w:snapToGrid w:val="0"/>
                <w:color w:val="auto"/>
                <w:kern w:val="0"/>
                <w:szCs w:val="21"/>
                <w:highlight w:val="none"/>
              </w:rPr>
            </w:pPr>
          </w:p>
        </w:tc>
        <w:tc>
          <w:tcPr>
            <w:tcW w:w="1523" w:type="dxa"/>
            <w:vAlign w:val="center"/>
          </w:tcPr>
          <w:p w14:paraId="57B98D8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土地利用类型</w:t>
            </w:r>
          </w:p>
        </w:tc>
        <w:tc>
          <w:tcPr>
            <w:tcW w:w="5740" w:type="dxa"/>
            <w:gridSpan w:val="6"/>
            <w:vAlign w:val="center"/>
          </w:tcPr>
          <w:p w14:paraId="78F87FA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建设用地☑；农用地</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；未利用地</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67975C9A">
            <w:pPr>
              <w:pStyle w:val="680"/>
              <w:adjustRightInd w:val="0"/>
              <w:snapToGrid w:val="0"/>
              <w:jc w:val="center"/>
              <w:rPr>
                <w:rFonts w:ascii="Times New Roman" w:hAnsi="Times New Roman" w:eastAsia="宋体" w:cs="Times New Roman"/>
                <w:snapToGrid w:val="0"/>
                <w:color w:val="auto"/>
                <w:kern w:val="0"/>
                <w:szCs w:val="21"/>
                <w:highlight w:val="none"/>
              </w:rPr>
            </w:pPr>
          </w:p>
        </w:tc>
      </w:tr>
      <w:tr w14:paraId="4867262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22FD933D">
            <w:pPr>
              <w:adjustRightInd w:val="0"/>
              <w:snapToGrid w:val="0"/>
              <w:jc w:val="center"/>
              <w:rPr>
                <w:snapToGrid w:val="0"/>
                <w:color w:val="auto"/>
                <w:kern w:val="0"/>
                <w:szCs w:val="21"/>
                <w:highlight w:val="none"/>
              </w:rPr>
            </w:pPr>
          </w:p>
        </w:tc>
        <w:tc>
          <w:tcPr>
            <w:tcW w:w="1523" w:type="dxa"/>
            <w:vAlign w:val="center"/>
          </w:tcPr>
          <w:p w14:paraId="493A476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占地规模</w:t>
            </w:r>
          </w:p>
        </w:tc>
        <w:tc>
          <w:tcPr>
            <w:tcW w:w="5740" w:type="dxa"/>
            <w:gridSpan w:val="6"/>
            <w:vAlign w:val="center"/>
          </w:tcPr>
          <w:p w14:paraId="1648FA5E">
            <w:pPr>
              <w:pStyle w:val="680"/>
              <w:tabs>
                <w:tab w:val="left" w:pos="1360"/>
              </w:tabs>
              <w:adjustRightInd w:val="0"/>
              <w:snapToGrid w:val="0"/>
              <w:jc w:val="center"/>
              <w:rPr>
                <w:rFonts w:ascii="Times New Roman" w:hAnsi="Times New Roman" w:eastAsia="宋体" w:cs="Times New Roman"/>
                <w:snapToGrid w:val="0"/>
                <w:color w:val="auto"/>
                <w:kern w:val="0"/>
                <w:szCs w:val="21"/>
                <w:highlight w:val="none"/>
                <w:vertAlign w:val="superscript"/>
              </w:rPr>
            </w:pPr>
            <w:r>
              <w:rPr>
                <w:rFonts w:hint="eastAsia" w:ascii="Times New Roman" w:hAnsi="Times New Roman" w:eastAsia="宋体" w:cs="Times New Roman"/>
                <w:snapToGrid w:val="0"/>
                <w:color w:val="auto"/>
                <w:kern w:val="0"/>
                <w:szCs w:val="21"/>
                <w:highlight w:val="none"/>
                <w:lang w:val="en-US"/>
              </w:rPr>
              <w:t>130000</w:t>
            </w:r>
            <w:r>
              <w:rPr>
                <w:rFonts w:ascii="Times New Roman" w:hAnsi="Times New Roman" w:eastAsia="宋体" w:cs="Times New Roman"/>
                <w:snapToGrid w:val="0"/>
                <w:color w:val="auto"/>
                <w:kern w:val="0"/>
                <w:szCs w:val="21"/>
                <w:highlight w:val="none"/>
              </w:rPr>
              <w:t>m</w:t>
            </w:r>
            <w:r>
              <w:rPr>
                <w:rFonts w:ascii="Times New Roman" w:hAnsi="Times New Roman" w:eastAsia="宋体" w:cs="Times New Roman"/>
                <w:snapToGrid w:val="0"/>
                <w:color w:val="auto"/>
                <w:kern w:val="0"/>
                <w:szCs w:val="21"/>
                <w:highlight w:val="none"/>
                <w:vertAlign w:val="superscript"/>
              </w:rPr>
              <w:t>2</w:t>
            </w:r>
          </w:p>
        </w:tc>
        <w:tc>
          <w:tcPr>
            <w:tcW w:w="784" w:type="dxa"/>
            <w:vAlign w:val="center"/>
          </w:tcPr>
          <w:p w14:paraId="594BC552">
            <w:pPr>
              <w:adjustRightInd w:val="0"/>
              <w:snapToGrid w:val="0"/>
              <w:jc w:val="center"/>
              <w:rPr>
                <w:snapToGrid w:val="0"/>
                <w:color w:val="auto"/>
                <w:kern w:val="0"/>
                <w:szCs w:val="21"/>
                <w:highlight w:val="none"/>
              </w:rPr>
            </w:pPr>
          </w:p>
        </w:tc>
      </w:tr>
      <w:tr w14:paraId="301AF5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4965AFEE">
            <w:pPr>
              <w:adjustRightInd w:val="0"/>
              <w:snapToGrid w:val="0"/>
              <w:jc w:val="center"/>
              <w:rPr>
                <w:snapToGrid w:val="0"/>
                <w:color w:val="auto"/>
                <w:kern w:val="0"/>
                <w:szCs w:val="21"/>
                <w:highlight w:val="none"/>
              </w:rPr>
            </w:pPr>
          </w:p>
        </w:tc>
        <w:tc>
          <w:tcPr>
            <w:tcW w:w="1523" w:type="dxa"/>
            <w:vAlign w:val="center"/>
          </w:tcPr>
          <w:p w14:paraId="5D62753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敏感目标信息</w:t>
            </w:r>
          </w:p>
        </w:tc>
        <w:tc>
          <w:tcPr>
            <w:tcW w:w="5740" w:type="dxa"/>
            <w:gridSpan w:val="6"/>
            <w:vAlign w:val="center"/>
          </w:tcPr>
          <w:p w14:paraId="315D1011">
            <w:pPr>
              <w:pStyle w:val="680"/>
              <w:tabs>
                <w:tab w:val="left" w:pos="1629"/>
                <w:tab w:val="left" w:pos="3520"/>
                <w:tab w:val="left" w:pos="5140"/>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敏感目标（</w:t>
            </w:r>
            <w:r>
              <w:rPr>
                <w:rFonts w:hint="eastAsia" w:ascii="Times New Roman" w:hAnsi="Times New Roman" w:eastAsia="宋体" w:cs="Times New Roman"/>
                <w:snapToGrid w:val="0"/>
                <w:color w:val="auto"/>
                <w:kern w:val="0"/>
                <w:szCs w:val="21"/>
                <w:highlight w:val="none"/>
                <w:lang w:val="en-US"/>
              </w:rPr>
              <w:t>无</w:t>
            </w:r>
            <w:r>
              <w:rPr>
                <w:rFonts w:ascii="Times New Roman" w:hAnsi="Times New Roman" w:eastAsia="宋体" w:cs="Times New Roman"/>
                <w:snapToGrid w:val="0"/>
                <w:color w:val="auto"/>
                <w:kern w:val="0"/>
                <w:szCs w:val="21"/>
                <w:highlight w:val="none"/>
              </w:rPr>
              <w:t>）</w:t>
            </w:r>
          </w:p>
        </w:tc>
        <w:tc>
          <w:tcPr>
            <w:tcW w:w="784" w:type="dxa"/>
            <w:vAlign w:val="center"/>
          </w:tcPr>
          <w:p w14:paraId="3B6155B5">
            <w:pPr>
              <w:adjustRightInd w:val="0"/>
              <w:snapToGrid w:val="0"/>
              <w:jc w:val="center"/>
              <w:rPr>
                <w:snapToGrid w:val="0"/>
                <w:color w:val="auto"/>
                <w:kern w:val="0"/>
                <w:szCs w:val="21"/>
                <w:highlight w:val="none"/>
              </w:rPr>
            </w:pPr>
          </w:p>
        </w:tc>
      </w:tr>
      <w:tr w14:paraId="31E25E4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3F787988">
            <w:pPr>
              <w:adjustRightInd w:val="0"/>
              <w:snapToGrid w:val="0"/>
              <w:jc w:val="center"/>
              <w:rPr>
                <w:snapToGrid w:val="0"/>
                <w:color w:val="auto"/>
                <w:kern w:val="0"/>
                <w:szCs w:val="21"/>
                <w:highlight w:val="none"/>
              </w:rPr>
            </w:pPr>
          </w:p>
        </w:tc>
        <w:tc>
          <w:tcPr>
            <w:tcW w:w="1523" w:type="dxa"/>
            <w:vAlign w:val="center"/>
          </w:tcPr>
          <w:p w14:paraId="41DA50F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影响途径</w:t>
            </w:r>
          </w:p>
        </w:tc>
        <w:tc>
          <w:tcPr>
            <w:tcW w:w="5740" w:type="dxa"/>
            <w:gridSpan w:val="6"/>
            <w:vAlign w:val="center"/>
          </w:tcPr>
          <w:p w14:paraId="32345902">
            <w:pPr>
              <w:pStyle w:val="680"/>
              <w:tabs>
                <w:tab w:val="left" w:pos="5229"/>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spacing w:val="-6"/>
                <w:kern w:val="0"/>
                <w:sz w:val="21"/>
                <w:szCs w:val="21"/>
                <w:highlight w:val="none"/>
              </w:rPr>
              <w:t>大气沉降</w:t>
            </w:r>
            <w:r>
              <w:rPr>
                <w:rFonts w:hint="eastAsia" w:ascii="Times New Roman" w:hAnsi="Times New Roman" w:eastAsia="宋体" w:cs="Times New Roman"/>
                <w:snapToGrid w:val="0"/>
                <w:color w:val="auto"/>
                <w:spacing w:val="-6"/>
                <w:kern w:val="0"/>
                <w:sz w:val="21"/>
                <w:szCs w:val="21"/>
                <w:highlight w:val="none"/>
                <w:lang w:eastAsia="zh-CN"/>
              </w:rPr>
              <w:t>□</w:t>
            </w:r>
            <w:r>
              <w:rPr>
                <w:rFonts w:ascii="Times New Roman" w:hAnsi="Times New Roman" w:eastAsia="宋体" w:cs="Times New Roman"/>
                <w:snapToGrid w:val="0"/>
                <w:color w:val="auto"/>
                <w:spacing w:val="-6"/>
                <w:kern w:val="0"/>
                <w:sz w:val="21"/>
                <w:szCs w:val="21"/>
                <w:highlight w:val="none"/>
              </w:rPr>
              <w:t>；地面漫流</w:t>
            </w:r>
            <w:r>
              <w:rPr>
                <w:rFonts w:hint="eastAsia" w:ascii="Times New Roman" w:hAnsi="Times New Roman" w:eastAsia="宋体" w:cs="Times New Roman"/>
                <w:snapToGrid w:val="0"/>
                <w:color w:val="auto"/>
                <w:spacing w:val="-6"/>
                <w:kern w:val="0"/>
                <w:sz w:val="21"/>
                <w:szCs w:val="21"/>
                <w:highlight w:val="none"/>
                <w:lang w:eastAsia="zh-CN"/>
              </w:rPr>
              <w:t>☑</w:t>
            </w:r>
            <w:r>
              <w:rPr>
                <w:rFonts w:ascii="Times New Roman" w:hAnsi="Times New Roman" w:eastAsia="宋体" w:cs="Times New Roman"/>
                <w:snapToGrid w:val="0"/>
                <w:color w:val="auto"/>
                <w:spacing w:val="-6"/>
                <w:kern w:val="0"/>
                <w:sz w:val="21"/>
                <w:szCs w:val="21"/>
                <w:highlight w:val="none"/>
              </w:rPr>
              <w:t>；垂直入渗☑；地下水位</w:t>
            </w:r>
            <w:r>
              <w:rPr>
                <w:rFonts w:hint="eastAsia" w:ascii="Times New Roman" w:hAnsi="Times New Roman" w:eastAsia="宋体" w:cs="Times New Roman"/>
                <w:snapToGrid w:val="0"/>
                <w:color w:val="auto"/>
                <w:spacing w:val="-6"/>
                <w:kern w:val="0"/>
                <w:sz w:val="21"/>
                <w:szCs w:val="21"/>
                <w:highlight w:val="none"/>
              </w:rPr>
              <w:t>□</w:t>
            </w:r>
            <w:r>
              <w:rPr>
                <w:rFonts w:ascii="Times New Roman" w:hAnsi="Times New Roman" w:eastAsia="宋体" w:cs="Times New Roman"/>
                <w:snapToGrid w:val="0"/>
                <w:color w:val="auto"/>
                <w:spacing w:val="-6"/>
                <w:kern w:val="0"/>
                <w:sz w:val="21"/>
                <w:szCs w:val="21"/>
                <w:highlight w:val="none"/>
              </w:rPr>
              <w:t>；其他</w:t>
            </w:r>
            <w:r>
              <w:rPr>
                <w:rFonts w:hint="eastAsia" w:ascii="Times New Roman" w:hAnsi="Times New Roman" w:eastAsia="宋体" w:cs="Times New Roman"/>
                <w:snapToGrid w:val="0"/>
                <w:color w:val="auto"/>
                <w:spacing w:val="-6"/>
                <w:kern w:val="0"/>
                <w:sz w:val="21"/>
                <w:szCs w:val="21"/>
                <w:highlight w:val="none"/>
              </w:rPr>
              <w:t>□</w:t>
            </w:r>
          </w:p>
        </w:tc>
        <w:tc>
          <w:tcPr>
            <w:tcW w:w="784" w:type="dxa"/>
            <w:vAlign w:val="center"/>
          </w:tcPr>
          <w:p w14:paraId="20FF894A">
            <w:pPr>
              <w:adjustRightInd w:val="0"/>
              <w:snapToGrid w:val="0"/>
              <w:jc w:val="center"/>
              <w:rPr>
                <w:snapToGrid w:val="0"/>
                <w:color w:val="auto"/>
                <w:kern w:val="0"/>
                <w:szCs w:val="21"/>
                <w:highlight w:val="none"/>
              </w:rPr>
            </w:pPr>
          </w:p>
        </w:tc>
      </w:tr>
      <w:tr w14:paraId="60BDBE0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6A332D3E">
            <w:pPr>
              <w:adjustRightInd w:val="0"/>
              <w:snapToGrid w:val="0"/>
              <w:jc w:val="center"/>
              <w:rPr>
                <w:snapToGrid w:val="0"/>
                <w:color w:val="auto"/>
                <w:kern w:val="0"/>
                <w:szCs w:val="21"/>
                <w:highlight w:val="none"/>
              </w:rPr>
            </w:pPr>
          </w:p>
        </w:tc>
        <w:tc>
          <w:tcPr>
            <w:tcW w:w="1523" w:type="dxa"/>
            <w:vAlign w:val="center"/>
          </w:tcPr>
          <w:p w14:paraId="776CAB7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全部污染物</w:t>
            </w:r>
          </w:p>
        </w:tc>
        <w:tc>
          <w:tcPr>
            <w:tcW w:w="5740" w:type="dxa"/>
            <w:gridSpan w:val="6"/>
            <w:vAlign w:val="center"/>
          </w:tcPr>
          <w:p w14:paraId="0B348F19">
            <w:pPr>
              <w:adjustRightInd w:val="0"/>
              <w:snapToGrid w:val="0"/>
              <w:jc w:val="center"/>
              <w:rPr>
                <w:snapToGrid w:val="0"/>
                <w:color w:val="auto"/>
                <w:kern w:val="0"/>
                <w:szCs w:val="21"/>
                <w:highlight w:val="none"/>
              </w:rPr>
            </w:pPr>
            <w:r>
              <w:rPr>
                <w:rFonts w:hint="eastAsia"/>
                <w:color w:val="auto"/>
                <w:szCs w:val="21"/>
                <w:highlight w:val="none"/>
                <w:lang w:eastAsia="en-US"/>
              </w:rPr>
              <w:t>SS、COD、BOD</w:t>
            </w:r>
            <w:r>
              <w:rPr>
                <w:rFonts w:hint="eastAsia"/>
                <w:color w:val="auto"/>
                <w:szCs w:val="21"/>
                <w:highlight w:val="none"/>
                <w:vertAlign w:val="subscript"/>
                <w:lang w:eastAsia="en-US"/>
              </w:rPr>
              <w:t>5</w:t>
            </w:r>
            <w:r>
              <w:rPr>
                <w:rFonts w:hint="eastAsia"/>
                <w:color w:val="auto"/>
                <w:szCs w:val="21"/>
                <w:highlight w:val="none"/>
                <w:lang w:eastAsia="en-US"/>
              </w:rPr>
              <w:t>、氨氮</w:t>
            </w:r>
            <w:r>
              <w:rPr>
                <w:rFonts w:hint="eastAsia"/>
                <w:snapToGrid w:val="0"/>
                <w:color w:val="auto"/>
                <w:kern w:val="0"/>
                <w:szCs w:val="21"/>
                <w:highlight w:val="none"/>
                <w:lang w:val="en-US" w:eastAsia="zh-CN"/>
              </w:rPr>
              <w:t>、</w:t>
            </w:r>
            <w:r>
              <w:rPr>
                <w:snapToGrid w:val="0"/>
                <w:color w:val="auto"/>
                <w:kern w:val="0"/>
                <w:szCs w:val="21"/>
                <w:highlight w:val="none"/>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784" w:type="dxa"/>
            <w:vAlign w:val="center"/>
          </w:tcPr>
          <w:p w14:paraId="59D8CB2D">
            <w:pPr>
              <w:adjustRightInd w:val="0"/>
              <w:snapToGrid w:val="0"/>
              <w:jc w:val="center"/>
              <w:rPr>
                <w:snapToGrid w:val="0"/>
                <w:color w:val="auto"/>
                <w:kern w:val="0"/>
                <w:szCs w:val="21"/>
                <w:highlight w:val="none"/>
              </w:rPr>
            </w:pPr>
          </w:p>
        </w:tc>
      </w:tr>
      <w:tr w14:paraId="2A15D15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4B42B81E">
            <w:pPr>
              <w:adjustRightInd w:val="0"/>
              <w:snapToGrid w:val="0"/>
              <w:jc w:val="center"/>
              <w:rPr>
                <w:snapToGrid w:val="0"/>
                <w:color w:val="auto"/>
                <w:kern w:val="0"/>
                <w:szCs w:val="21"/>
                <w:highlight w:val="none"/>
              </w:rPr>
            </w:pPr>
          </w:p>
        </w:tc>
        <w:tc>
          <w:tcPr>
            <w:tcW w:w="1523" w:type="dxa"/>
            <w:vAlign w:val="center"/>
          </w:tcPr>
          <w:p w14:paraId="6D70689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特征因子</w:t>
            </w:r>
          </w:p>
        </w:tc>
        <w:tc>
          <w:tcPr>
            <w:tcW w:w="5740" w:type="dxa"/>
            <w:gridSpan w:val="6"/>
            <w:vAlign w:val="center"/>
          </w:tcPr>
          <w:p w14:paraId="05A563FC">
            <w:pPr>
              <w:adjustRightInd w:val="0"/>
              <w:snapToGrid w:val="0"/>
              <w:jc w:val="center"/>
              <w:rPr>
                <w:snapToGrid w:val="0"/>
                <w:color w:val="auto"/>
                <w:kern w:val="0"/>
                <w:szCs w:val="21"/>
                <w:highlight w:val="none"/>
              </w:rPr>
            </w:pPr>
            <w:r>
              <w:rPr>
                <w:rFonts w:hint="eastAsia"/>
                <w:snapToGrid w:val="0"/>
                <w:color w:val="auto"/>
                <w:kern w:val="0"/>
                <w:szCs w:val="21"/>
                <w:highlight w:val="none"/>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784" w:type="dxa"/>
            <w:vAlign w:val="center"/>
          </w:tcPr>
          <w:p w14:paraId="554F57C3">
            <w:pPr>
              <w:adjustRightInd w:val="0"/>
              <w:snapToGrid w:val="0"/>
              <w:jc w:val="center"/>
              <w:rPr>
                <w:snapToGrid w:val="0"/>
                <w:color w:val="auto"/>
                <w:kern w:val="0"/>
                <w:szCs w:val="21"/>
                <w:highlight w:val="none"/>
              </w:rPr>
            </w:pPr>
          </w:p>
        </w:tc>
      </w:tr>
      <w:tr w14:paraId="568BA28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5E092A30">
            <w:pPr>
              <w:adjustRightInd w:val="0"/>
              <w:snapToGrid w:val="0"/>
              <w:jc w:val="center"/>
              <w:rPr>
                <w:snapToGrid w:val="0"/>
                <w:color w:val="auto"/>
                <w:kern w:val="0"/>
                <w:szCs w:val="21"/>
                <w:highlight w:val="none"/>
              </w:rPr>
            </w:pPr>
          </w:p>
        </w:tc>
        <w:tc>
          <w:tcPr>
            <w:tcW w:w="1523" w:type="dxa"/>
            <w:vAlign w:val="center"/>
          </w:tcPr>
          <w:p w14:paraId="7D1182E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所属土壤环境影响评价项目类别</w:t>
            </w:r>
          </w:p>
        </w:tc>
        <w:tc>
          <w:tcPr>
            <w:tcW w:w="5740" w:type="dxa"/>
            <w:gridSpan w:val="6"/>
            <w:vAlign w:val="center"/>
          </w:tcPr>
          <w:p w14:paraId="32F6C4A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Ⅰ类</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；Ⅱ类</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；Ⅲ类</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；Ⅳ类</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57DEE5CC">
            <w:pPr>
              <w:adjustRightInd w:val="0"/>
              <w:snapToGrid w:val="0"/>
              <w:jc w:val="center"/>
              <w:rPr>
                <w:snapToGrid w:val="0"/>
                <w:color w:val="auto"/>
                <w:kern w:val="0"/>
                <w:szCs w:val="21"/>
                <w:highlight w:val="none"/>
              </w:rPr>
            </w:pPr>
          </w:p>
        </w:tc>
      </w:tr>
      <w:tr w14:paraId="4AC0524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507677C2">
            <w:pPr>
              <w:adjustRightInd w:val="0"/>
              <w:snapToGrid w:val="0"/>
              <w:jc w:val="center"/>
              <w:rPr>
                <w:snapToGrid w:val="0"/>
                <w:color w:val="auto"/>
                <w:kern w:val="0"/>
                <w:szCs w:val="21"/>
                <w:highlight w:val="none"/>
              </w:rPr>
            </w:pPr>
          </w:p>
        </w:tc>
        <w:tc>
          <w:tcPr>
            <w:tcW w:w="1523" w:type="dxa"/>
            <w:vAlign w:val="center"/>
          </w:tcPr>
          <w:p w14:paraId="0A4D31B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敏感程度</w:t>
            </w:r>
          </w:p>
        </w:tc>
        <w:tc>
          <w:tcPr>
            <w:tcW w:w="5740" w:type="dxa"/>
            <w:gridSpan w:val="6"/>
            <w:vAlign w:val="center"/>
          </w:tcPr>
          <w:p w14:paraId="018C2A7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敏感</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；较敏感</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；不敏感</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1012E179">
            <w:pPr>
              <w:adjustRightInd w:val="0"/>
              <w:snapToGrid w:val="0"/>
              <w:jc w:val="center"/>
              <w:rPr>
                <w:snapToGrid w:val="0"/>
                <w:color w:val="auto"/>
                <w:kern w:val="0"/>
                <w:szCs w:val="21"/>
                <w:highlight w:val="none"/>
              </w:rPr>
            </w:pPr>
          </w:p>
        </w:tc>
      </w:tr>
      <w:tr w14:paraId="40196D5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12" w:type="dxa"/>
            <w:gridSpan w:val="2"/>
            <w:vAlign w:val="center"/>
          </w:tcPr>
          <w:p w14:paraId="5035B05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评价工作等级</w:t>
            </w:r>
          </w:p>
        </w:tc>
        <w:tc>
          <w:tcPr>
            <w:tcW w:w="5740" w:type="dxa"/>
            <w:gridSpan w:val="6"/>
            <w:vAlign w:val="center"/>
          </w:tcPr>
          <w:p w14:paraId="569A6FB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一级</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；二级☑；三级</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27476DE3">
            <w:pPr>
              <w:adjustRightInd w:val="0"/>
              <w:snapToGrid w:val="0"/>
              <w:jc w:val="center"/>
              <w:rPr>
                <w:snapToGrid w:val="0"/>
                <w:color w:val="auto"/>
                <w:kern w:val="0"/>
                <w:szCs w:val="21"/>
                <w:highlight w:val="none"/>
              </w:rPr>
            </w:pPr>
          </w:p>
        </w:tc>
      </w:tr>
      <w:tr w14:paraId="3073427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restart"/>
            <w:vAlign w:val="center"/>
          </w:tcPr>
          <w:p w14:paraId="322D92B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现状调查内容</w:t>
            </w:r>
          </w:p>
        </w:tc>
        <w:tc>
          <w:tcPr>
            <w:tcW w:w="1523" w:type="dxa"/>
            <w:vAlign w:val="center"/>
          </w:tcPr>
          <w:p w14:paraId="5BA336F5">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资料收集</w:t>
            </w:r>
          </w:p>
        </w:tc>
        <w:tc>
          <w:tcPr>
            <w:tcW w:w="5740" w:type="dxa"/>
            <w:gridSpan w:val="6"/>
            <w:vAlign w:val="center"/>
          </w:tcPr>
          <w:p w14:paraId="0EF0510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a）</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；b）</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；c）</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；d）</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4C474C44">
            <w:pPr>
              <w:adjustRightInd w:val="0"/>
              <w:snapToGrid w:val="0"/>
              <w:jc w:val="center"/>
              <w:rPr>
                <w:snapToGrid w:val="0"/>
                <w:color w:val="auto"/>
                <w:kern w:val="0"/>
                <w:szCs w:val="21"/>
                <w:highlight w:val="none"/>
              </w:rPr>
            </w:pPr>
          </w:p>
        </w:tc>
      </w:tr>
      <w:tr w14:paraId="5C307F5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34215AFA">
            <w:pPr>
              <w:adjustRightInd w:val="0"/>
              <w:snapToGrid w:val="0"/>
              <w:jc w:val="center"/>
              <w:rPr>
                <w:snapToGrid w:val="0"/>
                <w:color w:val="auto"/>
                <w:kern w:val="0"/>
                <w:szCs w:val="21"/>
                <w:highlight w:val="none"/>
              </w:rPr>
            </w:pPr>
          </w:p>
        </w:tc>
        <w:tc>
          <w:tcPr>
            <w:tcW w:w="1523" w:type="dxa"/>
            <w:vAlign w:val="center"/>
          </w:tcPr>
          <w:p w14:paraId="75AB6FF0">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理化特性</w:t>
            </w:r>
          </w:p>
        </w:tc>
        <w:tc>
          <w:tcPr>
            <w:tcW w:w="5740" w:type="dxa"/>
            <w:gridSpan w:val="6"/>
            <w:vAlign w:val="center"/>
          </w:tcPr>
          <w:p w14:paraId="77D753BA">
            <w:pPr>
              <w:adjustRightInd w:val="0"/>
              <w:snapToGrid w:val="0"/>
              <w:jc w:val="center"/>
              <w:rPr>
                <w:snapToGrid w:val="0"/>
                <w:color w:val="auto"/>
                <w:kern w:val="0"/>
                <w:szCs w:val="21"/>
                <w:highlight w:val="none"/>
              </w:rPr>
            </w:pPr>
            <w:r>
              <w:rPr>
                <w:snapToGrid w:val="0"/>
                <w:color w:val="auto"/>
                <w:kern w:val="0"/>
                <w:szCs w:val="21"/>
                <w:highlight w:val="none"/>
              </w:rPr>
              <w:t>颜色</w:t>
            </w:r>
            <w:r>
              <w:rPr>
                <w:rFonts w:hint="eastAsia"/>
                <w:snapToGrid w:val="0"/>
                <w:color w:val="auto"/>
                <w:kern w:val="0"/>
                <w:szCs w:val="21"/>
                <w:highlight w:val="none"/>
              </w:rPr>
              <w:t>、结构、质地、</w:t>
            </w:r>
            <w:r>
              <w:rPr>
                <w:snapToGrid w:val="0"/>
                <w:color w:val="auto"/>
                <w:kern w:val="0"/>
                <w:szCs w:val="21"/>
                <w:highlight w:val="none"/>
              </w:rPr>
              <w:t>砂砾含量</w:t>
            </w:r>
            <w:r>
              <w:rPr>
                <w:rFonts w:hint="eastAsia"/>
                <w:snapToGrid w:val="0"/>
                <w:color w:val="auto"/>
                <w:kern w:val="0"/>
                <w:szCs w:val="21"/>
                <w:highlight w:val="none"/>
              </w:rPr>
              <w:t>、氧化还原电位、</w:t>
            </w:r>
            <w:r>
              <w:rPr>
                <w:rFonts w:hint="eastAsia"/>
                <w:color w:val="auto"/>
                <w:szCs w:val="21"/>
                <w:highlight w:val="none"/>
              </w:rPr>
              <w:t>pH、</w:t>
            </w:r>
            <w:r>
              <w:rPr>
                <w:rFonts w:hint="eastAsia"/>
                <w:snapToGrid w:val="0"/>
                <w:color w:val="auto"/>
                <w:kern w:val="0"/>
                <w:szCs w:val="21"/>
                <w:highlight w:val="none"/>
              </w:rPr>
              <w:t>阳离子交换量</w:t>
            </w:r>
            <w:r>
              <w:rPr>
                <w:rFonts w:hint="eastAsia"/>
                <w:color w:val="auto"/>
                <w:szCs w:val="21"/>
                <w:highlight w:val="none"/>
              </w:rPr>
              <w:t>、</w:t>
            </w:r>
            <w:r>
              <w:rPr>
                <w:rFonts w:hint="eastAsia"/>
                <w:snapToGrid w:val="0"/>
                <w:color w:val="auto"/>
                <w:kern w:val="0"/>
                <w:szCs w:val="21"/>
                <w:highlight w:val="none"/>
              </w:rPr>
              <w:t>总孔隙度、</w:t>
            </w:r>
            <w:r>
              <w:rPr>
                <w:rFonts w:hint="eastAsia"/>
                <w:color w:val="auto"/>
                <w:szCs w:val="21"/>
                <w:highlight w:val="none"/>
              </w:rPr>
              <w:t>土壤容重</w:t>
            </w:r>
          </w:p>
        </w:tc>
        <w:tc>
          <w:tcPr>
            <w:tcW w:w="784" w:type="dxa"/>
            <w:vAlign w:val="center"/>
          </w:tcPr>
          <w:p w14:paraId="7AD1A6FB">
            <w:pPr>
              <w:pStyle w:val="680"/>
              <w:adjustRightInd w:val="0"/>
              <w:snapToGrid w:val="0"/>
              <w:jc w:val="center"/>
              <w:rPr>
                <w:rFonts w:hint="default" w:ascii="Times New Roman" w:hAnsi="Times New Roman" w:eastAsia="宋体" w:cs="Times New Roman"/>
                <w:snapToGrid w:val="0"/>
                <w:color w:val="auto"/>
                <w:kern w:val="0"/>
                <w:szCs w:val="21"/>
                <w:highlight w:val="none"/>
                <w:lang w:val="en-US" w:eastAsia="zh-CN"/>
              </w:rPr>
            </w:pPr>
            <w:r>
              <w:rPr>
                <w:rFonts w:hint="eastAsia" w:ascii="Times New Roman" w:hAnsi="Times New Roman" w:eastAsia="宋体" w:cs="Times New Roman"/>
                <w:snapToGrid w:val="0"/>
                <w:color w:val="auto"/>
                <w:kern w:val="0"/>
                <w:szCs w:val="21"/>
                <w:highlight w:val="none"/>
                <w:lang w:val="en-US" w:eastAsia="zh-CN"/>
              </w:rPr>
              <w:t>见表5.3-17</w:t>
            </w:r>
          </w:p>
        </w:tc>
      </w:tr>
      <w:tr w14:paraId="155B6D8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293F4AD9">
            <w:pPr>
              <w:adjustRightInd w:val="0"/>
              <w:snapToGrid w:val="0"/>
              <w:jc w:val="center"/>
              <w:rPr>
                <w:snapToGrid w:val="0"/>
                <w:color w:val="auto"/>
                <w:kern w:val="0"/>
                <w:szCs w:val="21"/>
                <w:highlight w:val="none"/>
              </w:rPr>
            </w:pPr>
          </w:p>
        </w:tc>
        <w:tc>
          <w:tcPr>
            <w:tcW w:w="1523" w:type="dxa"/>
            <w:vMerge w:val="restart"/>
            <w:vAlign w:val="center"/>
          </w:tcPr>
          <w:p w14:paraId="55E0254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现状监测点位</w:t>
            </w:r>
          </w:p>
        </w:tc>
        <w:tc>
          <w:tcPr>
            <w:tcW w:w="1287" w:type="dxa"/>
            <w:gridSpan w:val="2"/>
            <w:vAlign w:val="center"/>
          </w:tcPr>
          <w:p w14:paraId="35C0F598">
            <w:pPr>
              <w:adjustRightInd w:val="0"/>
              <w:snapToGrid w:val="0"/>
              <w:jc w:val="center"/>
              <w:rPr>
                <w:snapToGrid w:val="0"/>
                <w:color w:val="auto"/>
                <w:kern w:val="0"/>
                <w:szCs w:val="21"/>
                <w:highlight w:val="none"/>
              </w:rPr>
            </w:pPr>
          </w:p>
        </w:tc>
        <w:tc>
          <w:tcPr>
            <w:tcW w:w="1394" w:type="dxa"/>
            <w:vAlign w:val="center"/>
          </w:tcPr>
          <w:p w14:paraId="4FD0DC0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占地范围内</w:t>
            </w:r>
          </w:p>
        </w:tc>
        <w:tc>
          <w:tcPr>
            <w:tcW w:w="1393" w:type="dxa"/>
            <w:gridSpan w:val="2"/>
            <w:vAlign w:val="center"/>
          </w:tcPr>
          <w:p w14:paraId="5FD0E0A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占地范围外</w:t>
            </w:r>
          </w:p>
        </w:tc>
        <w:tc>
          <w:tcPr>
            <w:tcW w:w="1666" w:type="dxa"/>
            <w:vAlign w:val="center"/>
          </w:tcPr>
          <w:p w14:paraId="1E7426AA">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深度</w:t>
            </w:r>
          </w:p>
        </w:tc>
        <w:tc>
          <w:tcPr>
            <w:tcW w:w="784" w:type="dxa"/>
            <w:vMerge w:val="restart"/>
            <w:vAlign w:val="center"/>
          </w:tcPr>
          <w:p w14:paraId="17EA9417">
            <w:pPr>
              <w:pStyle w:val="680"/>
              <w:adjustRightInd w:val="0"/>
              <w:snapToGrid w:val="0"/>
              <w:jc w:val="center"/>
              <w:rPr>
                <w:rFonts w:ascii="Times New Roman" w:hAnsi="Times New Roman" w:eastAsia="宋体" w:cs="Times New Roman"/>
                <w:snapToGrid w:val="0"/>
                <w:color w:val="auto"/>
                <w:kern w:val="0"/>
                <w:szCs w:val="21"/>
                <w:highlight w:val="none"/>
                <w:lang w:val="en-US"/>
              </w:rPr>
            </w:pPr>
          </w:p>
        </w:tc>
      </w:tr>
      <w:tr w14:paraId="45B6F54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10681057">
            <w:pPr>
              <w:adjustRightInd w:val="0"/>
              <w:snapToGrid w:val="0"/>
              <w:jc w:val="center"/>
              <w:rPr>
                <w:snapToGrid w:val="0"/>
                <w:color w:val="auto"/>
                <w:kern w:val="0"/>
                <w:szCs w:val="21"/>
                <w:highlight w:val="none"/>
              </w:rPr>
            </w:pPr>
          </w:p>
        </w:tc>
        <w:tc>
          <w:tcPr>
            <w:tcW w:w="1523" w:type="dxa"/>
            <w:vMerge w:val="continue"/>
            <w:vAlign w:val="center"/>
          </w:tcPr>
          <w:p w14:paraId="19DA95A1">
            <w:pPr>
              <w:adjustRightInd w:val="0"/>
              <w:snapToGrid w:val="0"/>
              <w:jc w:val="center"/>
              <w:rPr>
                <w:snapToGrid w:val="0"/>
                <w:color w:val="auto"/>
                <w:kern w:val="0"/>
                <w:szCs w:val="21"/>
                <w:highlight w:val="none"/>
              </w:rPr>
            </w:pPr>
          </w:p>
        </w:tc>
        <w:tc>
          <w:tcPr>
            <w:tcW w:w="1287" w:type="dxa"/>
            <w:gridSpan w:val="2"/>
            <w:vAlign w:val="center"/>
          </w:tcPr>
          <w:p w14:paraId="6D6A8FF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表层样点数</w:t>
            </w:r>
          </w:p>
        </w:tc>
        <w:tc>
          <w:tcPr>
            <w:tcW w:w="1394" w:type="dxa"/>
            <w:vAlign w:val="center"/>
          </w:tcPr>
          <w:p w14:paraId="25E5DCF4">
            <w:pPr>
              <w:adjustRightInd w:val="0"/>
              <w:snapToGrid w:val="0"/>
              <w:jc w:val="center"/>
              <w:rPr>
                <w:snapToGrid w:val="0"/>
                <w:color w:val="auto"/>
                <w:kern w:val="0"/>
                <w:szCs w:val="21"/>
                <w:highlight w:val="none"/>
              </w:rPr>
            </w:pPr>
            <w:r>
              <w:rPr>
                <w:rFonts w:hint="eastAsia"/>
                <w:snapToGrid w:val="0"/>
                <w:color w:val="auto"/>
                <w:kern w:val="0"/>
                <w:szCs w:val="21"/>
                <w:highlight w:val="none"/>
              </w:rPr>
              <w:t>1</w:t>
            </w:r>
          </w:p>
        </w:tc>
        <w:tc>
          <w:tcPr>
            <w:tcW w:w="1393" w:type="dxa"/>
            <w:gridSpan w:val="2"/>
            <w:vAlign w:val="center"/>
          </w:tcPr>
          <w:p w14:paraId="28DD8179">
            <w:pPr>
              <w:adjustRightInd w:val="0"/>
              <w:snapToGrid w:val="0"/>
              <w:jc w:val="center"/>
              <w:rPr>
                <w:snapToGrid w:val="0"/>
                <w:color w:val="auto"/>
                <w:kern w:val="0"/>
                <w:szCs w:val="21"/>
                <w:highlight w:val="none"/>
              </w:rPr>
            </w:pPr>
            <w:r>
              <w:rPr>
                <w:rFonts w:hint="eastAsia"/>
                <w:snapToGrid w:val="0"/>
                <w:color w:val="auto"/>
                <w:kern w:val="0"/>
                <w:szCs w:val="21"/>
                <w:highlight w:val="none"/>
              </w:rPr>
              <w:t>2</w:t>
            </w:r>
          </w:p>
        </w:tc>
        <w:tc>
          <w:tcPr>
            <w:tcW w:w="1666" w:type="dxa"/>
            <w:vAlign w:val="center"/>
          </w:tcPr>
          <w:p w14:paraId="1AA8E67F">
            <w:pPr>
              <w:adjustRightInd w:val="0"/>
              <w:snapToGrid w:val="0"/>
              <w:jc w:val="center"/>
              <w:rPr>
                <w:snapToGrid w:val="0"/>
                <w:color w:val="auto"/>
                <w:kern w:val="0"/>
                <w:szCs w:val="21"/>
                <w:highlight w:val="none"/>
              </w:rPr>
            </w:pPr>
            <w:r>
              <w:rPr>
                <w:rFonts w:hint="eastAsia"/>
                <w:snapToGrid w:val="0"/>
                <w:color w:val="auto"/>
                <w:kern w:val="0"/>
                <w:szCs w:val="21"/>
                <w:highlight w:val="none"/>
              </w:rPr>
              <w:t>0~0.2</w:t>
            </w:r>
          </w:p>
        </w:tc>
        <w:tc>
          <w:tcPr>
            <w:tcW w:w="784" w:type="dxa"/>
            <w:vMerge w:val="continue"/>
            <w:vAlign w:val="center"/>
          </w:tcPr>
          <w:p w14:paraId="3BE6F9B0">
            <w:pPr>
              <w:adjustRightInd w:val="0"/>
              <w:snapToGrid w:val="0"/>
              <w:jc w:val="center"/>
              <w:rPr>
                <w:snapToGrid w:val="0"/>
                <w:color w:val="auto"/>
                <w:kern w:val="0"/>
                <w:szCs w:val="21"/>
                <w:highlight w:val="none"/>
              </w:rPr>
            </w:pPr>
          </w:p>
        </w:tc>
      </w:tr>
      <w:tr w14:paraId="7F7EBD3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731B97E9">
            <w:pPr>
              <w:adjustRightInd w:val="0"/>
              <w:snapToGrid w:val="0"/>
              <w:jc w:val="center"/>
              <w:rPr>
                <w:snapToGrid w:val="0"/>
                <w:color w:val="auto"/>
                <w:kern w:val="0"/>
                <w:szCs w:val="21"/>
                <w:highlight w:val="none"/>
              </w:rPr>
            </w:pPr>
          </w:p>
        </w:tc>
        <w:tc>
          <w:tcPr>
            <w:tcW w:w="1523" w:type="dxa"/>
            <w:vMerge w:val="continue"/>
            <w:vAlign w:val="center"/>
          </w:tcPr>
          <w:p w14:paraId="75557F9F">
            <w:pPr>
              <w:adjustRightInd w:val="0"/>
              <w:snapToGrid w:val="0"/>
              <w:jc w:val="center"/>
              <w:rPr>
                <w:snapToGrid w:val="0"/>
                <w:color w:val="auto"/>
                <w:kern w:val="0"/>
                <w:szCs w:val="21"/>
                <w:highlight w:val="none"/>
              </w:rPr>
            </w:pPr>
          </w:p>
        </w:tc>
        <w:tc>
          <w:tcPr>
            <w:tcW w:w="1287" w:type="dxa"/>
            <w:gridSpan w:val="2"/>
            <w:vAlign w:val="center"/>
          </w:tcPr>
          <w:p w14:paraId="171E3F9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柱状样点数</w:t>
            </w:r>
          </w:p>
        </w:tc>
        <w:tc>
          <w:tcPr>
            <w:tcW w:w="1394" w:type="dxa"/>
            <w:vAlign w:val="center"/>
          </w:tcPr>
          <w:p w14:paraId="17D08C9B">
            <w:pPr>
              <w:adjustRightInd w:val="0"/>
              <w:snapToGrid w:val="0"/>
              <w:jc w:val="center"/>
              <w:rPr>
                <w:snapToGrid w:val="0"/>
                <w:color w:val="auto"/>
                <w:kern w:val="0"/>
                <w:szCs w:val="21"/>
                <w:highlight w:val="none"/>
              </w:rPr>
            </w:pPr>
            <w:r>
              <w:rPr>
                <w:rFonts w:hint="eastAsia"/>
                <w:snapToGrid w:val="0"/>
                <w:color w:val="auto"/>
                <w:kern w:val="0"/>
                <w:szCs w:val="21"/>
                <w:highlight w:val="none"/>
              </w:rPr>
              <w:t>3</w:t>
            </w:r>
          </w:p>
        </w:tc>
        <w:tc>
          <w:tcPr>
            <w:tcW w:w="1393" w:type="dxa"/>
            <w:gridSpan w:val="2"/>
            <w:vAlign w:val="center"/>
          </w:tcPr>
          <w:p w14:paraId="404060A0">
            <w:pPr>
              <w:adjustRightInd w:val="0"/>
              <w:snapToGrid w:val="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1666" w:type="dxa"/>
            <w:vAlign w:val="center"/>
          </w:tcPr>
          <w:p w14:paraId="4BDDCE4A">
            <w:pPr>
              <w:adjustRightInd w:val="0"/>
              <w:snapToGrid w:val="0"/>
              <w:jc w:val="center"/>
              <w:rPr>
                <w:snapToGrid w:val="0"/>
                <w:color w:val="auto"/>
                <w:kern w:val="0"/>
                <w:szCs w:val="21"/>
                <w:highlight w:val="none"/>
              </w:rPr>
            </w:pPr>
            <w:r>
              <w:rPr>
                <w:snapToGrid w:val="0"/>
                <w:color w:val="auto"/>
                <w:kern w:val="0"/>
                <w:szCs w:val="21"/>
                <w:highlight w:val="none"/>
              </w:rPr>
              <w:t>0~0.5m</w:t>
            </w:r>
            <w:r>
              <w:rPr>
                <w:rFonts w:hint="eastAsia"/>
                <w:snapToGrid w:val="0"/>
                <w:color w:val="auto"/>
                <w:kern w:val="0"/>
                <w:szCs w:val="21"/>
                <w:highlight w:val="none"/>
              </w:rPr>
              <w:t>、</w:t>
            </w:r>
            <w:r>
              <w:rPr>
                <w:snapToGrid w:val="0"/>
                <w:color w:val="auto"/>
                <w:kern w:val="0"/>
                <w:szCs w:val="21"/>
                <w:highlight w:val="none"/>
              </w:rPr>
              <w:t>0.5~1.5m</w:t>
            </w:r>
            <w:r>
              <w:rPr>
                <w:rFonts w:hint="eastAsia"/>
                <w:snapToGrid w:val="0"/>
                <w:color w:val="auto"/>
                <w:kern w:val="0"/>
                <w:szCs w:val="21"/>
                <w:highlight w:val="none"/>
              </w:rPr>
              <w:t>、</w:t>
            </w:r>
            <w:r>
              <w:rPr>
                <w:snapToGrid w:val="0"/>
                <w:color w:val="auto"/>
                <w:kern w:val="0"/>
                <w:szCs w:val="21"/>
                <w:highlight w:val="none"/>
              </w:rPr>
              <w:t>1.5~3m</w:t>
            </w:r>
          </w:p>
        </w:tc>
        <w:tc>
          <w:tcPr>
            <w:tcW w:w="784" w:type="dxa"/>
            <w:vMerge w:val="continue"/>
            <w:vAlign w:val="center"/>
          </w:tcPr>
          <w:p w14:paraId="409F3BBD">
            <w:pPr>
              <w:adjustRightInd w:val="0"/>
              <w:snapToGrid w:val="0"/>
              <w:jc w:val="center"/>
              <w:rPr>
                <w:snapToGrid w:val="0"/>
                <w:color w:val="auto"/>
                <w:kern w:val="0"/>
                <w:szCs w:val="21"/>
                <w:highlight w:val="none"/>
              </w:rPr>
            </w:pPr>
          </w:p>
        </w:tc>
      </w:tr>
      <w:tr w14:paraId="78FF39F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64FF9C6F">
            <w:pPr>
              <w:adjustRightInd w:val="0"/>
              <w:snapToGrid w:val="0"/>
              <w:jc w:val="center"/>
              <w:rPr>
                <w:snapToGrid w:val="0"/>
                <w:color w:val="auto"/>
                <w:kern w:val="0"/>
                <w:szCs w:val="21"/>
                <w:highlight w:val="none"/>
              </w:rPr>
            </w:pPr>
          </w:p>
        </w:tc>
        <w:tc>
          <w:tcPr>
            <w:tcW w:w="1523" w:type="dxa"/>
            <w:vAlign w:val="center"/>
          </w:tcPr>
          <w:p w14:paraId="40BE3A7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现状监测因子</w:t>
            </w:r>
          </w:p>
        </w:tc>
        <w:tc>
          <w:tcPr>
            <w:tcW w:w="5740" w:type="dxa"/>
            <w:gridSpan w:val="6"/>
            <w:vAlign w:val="center"/>
          </w:tcPr>
          <w:p w14:paraId="794482E8">
            <w:pPr>
              <w:adjustRightInd w:val="0"/>
              <w:snapToGrid w:val="0"/>
              <w:jc w:val="center"/>
              <w:rPr>
                <w:rFonts w:hint="eastAsia" w:eastAsia="宋体"/>
                <w:snapToGrid w:val="0"/>
                <w:color w:val="auto"/>
                <w:kern w:val="0"/>
                <w:szCs w:val="21"/>
                <w:highlight w:val="none"/>
                <w:lang w:eastAsia="zh-CN"/>
              </w:rPr>
            </w:pPr>
            <w:r>
              <w:rPr>
                <w:rFonts w:hint="eastAsia"/>
                <w:color w:val="auto"/>
                <w:szCs w:val="21"/>
                <w:highlight w:val="none"/>
              </w:rPr>
              <w:t>GB36600中表1基本45项+pH+石油烃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784" w:type="dxa"/>
            <w:vAlign w:val="center"/>
          </w:tcPr>
          <w:p w14:paraId="1357CA7D">
            <w:pPr>
              <w:adjustRightInd w:val="0"/>
              <w:snapToGrid w:val="0"/>
              <w:jc w:val="center"/>
              <w:rPr>
                <w:snapToGrid w:val="0"/>
                <w:color w:val="auto"/>
                <w:kern w:val="0"/>
                <w:szCs w:val="21"/>
                <w:highlight w:val="none"/>
              </w:rPr>
            </w:pPr>
          </w:p>
        </w:tc>
      </w:tr>
      <w:tr w14:paraId="29B89CC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restart"/>
            <w:vAlign w:val="center"/>
          </w:tcPr>
          <w:p w14:paraId="190CB86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现状评价</w:t>
            </w:r>
          </w:p>
        </w:tc>
        <w:tc>
          <w:tcPr>
            <w:tcW w:w="1523" w:type="dxa"/>
            <w:vAlign w:val="center"/>
          </w:tcPr>
          <w:p w14:paraId="719B9012">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评价因子</w:t>
            </w:r>
          </w:p>
        </w:tc>
        <w:tc>
          <w:tcPr>
            <w:tcW w:w="5740" w:type="dxa"/>
            <w:gridSpan w:val="6"/>
            <w:vAlign w:val="center"/>
          </w:tcPr>
          <w:p w14:paraId="213CB53C">
            <w:pPr>
              <w:adjustRightInd w:val="0"/>
              <w:snapToGrid w:val="0"/>
              <w:jc w:val="center"/>
              <w:rPr>
                <w:snapToGrid w:val="0"/>
                <w:color w:val="auto"/>
                <w:kern w:val="0"/>
                <w:szCs w:val="21"/>
                <w:highlight w:val="none"/>
              </w:rPr>
            </w:pPr>
            <w:r>
              <w:rPr>
                <w:rFonts w:hint="eastAsia"/>
                <w:color w:val="auto"/>
                <w:szCs w:val="21"/>
                <w:highlight w:val="none"/>
              </w:rPr>
              <w:t>GB36600中表1基本45项+pH+石油烃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784" w:type="dxa"/>
            <w:vAlign w:val="center"/>
          </w:tcPr>
          <w:p w14:paraId="79E10703">
            <w:pPr>
              <w:adjustRightInd w:val="0"/>
              <w:snapToGrid w:val="0"/>
              <w:jc w:val="center"/>
              <w:rPr>
                <w:snapToGrid w:val="0"/>
                <w:color w:val="auto"/>
                <w:kern w:val="0"/>
                <w:szCs w:val="21"/>
                <w:highlight w:val="none"/>
              </w:rPr>
            </w:pPr>
          </w:p>
        </w:tc>
      </w:tr>
      <w:tr w14:paraId="7709E24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18D4BC1A">
            <w:pPr>
              <w:adjustRightInd w:val="0"/>
              <w:snapToGrid w:val="0"/>
              <w:jc w:val="center"/>
              <w:rPr>
                <w:snapToGrid w:val="0"/>
                <w:color w:val="auto"/>
                <w:kern w:val="0"/>
                <w:szCs w:val="21"/>
                <w:highlight w:val="none"/>
              </w:rPr>
            </w:pPr>
          </w:p>
        </w:tc>
        <w:tc>
          <w:tcPr>
            <w:tcW w:w="1523" w:type="dxa"/>
            <w:vAlign w:val="center"/>
          </w:tcPr>
          <w:p w14:paraId="4DE6115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评价标准</w:t>
            </w:r>
          </w:p>
        </w:tc>
        <w:tc>
          <w:tcPr>
            <w:tcW w:w="5740" w:type="dxa"/>
            <w:gridSpan w:val="6"/>
            <w:vAlign w:val="center"/>
          </w:tcPr>
          <w:p w14:paraId="0E9EABA5">
            <w:pPr>
              <w:pStyle w:val="680"/>
              <w:tabs>
                <w:tab w:val="left" w:pos="5090"/>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GB 15618</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；GB 36600</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；表 D.1</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；表 D.2</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；其他（）</w:t>
            </w:r>
          </w:p>
        </w:tc>
        <w:tc>
          <w:tcPr>
            <w:tcW w:w="784" w:type="dxa"/>
            <w:vAlign w:val="center"/>
          </w:tcPr>
          <w:p w14:paraId="35B4D8EF">
            <w:pPr>
              <w:adjustRightInd w:val="0"/>
              <w:snapToGrid w:val="0"/>
              <w:jc w:val="center"/>
              <w:rPr>
                <w:snapToGrid w:val="0"/>
                <w:color w:val="auto"/>
                <w:kern w:val="0"/>
                <w:szCs w:val="21"/>
                <w:highlight w:val="none"/>
              </w:rPr>
            </w:pPr>
          </w:p>
        </w:tc>
      </w:tr>
      <w:tr w14:paraId="7782864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0DD4E67A">
            <w:pPr>
              <w:adjustRightInd w:val="0"/>
              <w:snapToGrid w:val="0"/>
              <w:jc w:val="center"/>
              <w:rPr>
                <w:snapToGrid w:val="0"/>
                <w:color w:val="auto"/>
                <w:kern w:val="0"/>
                <w:szCs w:val="21"/>
                <w:highlight w:val="none"/>
              </w:rPr>
            </w:pPr>
          </w:p>
        </w:tc>
        <w:tc>
          <w:tcPr>
            <w:tcW w:w="1523" w:type="dxa"/>
            <w:vAlign w:val="center"/>
          </w:tcPr>
          <w:p w14:paraId="6C0B67B9">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现状评价结论</w:t>
            </w:r>
          </w:p>
        </w:tc>
        <w:tc>
          <w:tcPr>
            <w:tcW w:w="5740" w:type="dxa"/>
            <w:gridSpan w:val="6"/>
            <w:vAlign w:val="center"/>
          </w:tcPr>
          <w:p w14:paraId="6B23BA64">
            <w:pPr>
              <w:adjustRightInd w:val="0"/>
              <w:snapToGrid w:val="0"/>
              <w:jc w:val="center"/>
              <w:rPr>
                <w:snapToGrid w:val="0"/>
                <w:color w:val="auto"/>
                <w:kern w:val="0"/>
                <w:szCs w:val="21"/>
                <w:highlight w:val="none"/>
              </w:rPr>
            </w:pPr>
            <w:r>
              <w:rPr>
                <w:rFonts w:hint="eastAsia"/>
                <w:color w:val="auto"/>
                <w:szCs w:val="21"/>
                <w:highlight w:val="none"/>
              </w:rPr>
              <w:t>土壤环境满足《土壤环境质量 建设用地土壤污染风险管控标准（试行）》（GB36600-2018）中第二类</w:t>
            </w:r>
            <w:r>
              <w:rPr>
                <w:rFonts w:hint="eastAsia"/>
                <w:color w:val="auto"/>
                <w:szCs w:val="21"/>
                <w:highlight w:val="none"/>
                <w:lang w:val="en-US" w:eastAsia="zh-CN"/>
              </w:rPr>
              <w:t>用地</w:t>
            </w:r>
            <w:r>
              <w:rPr>
                <w:rFonts w:hint="eastAsia"/>
                <w:color w:val="auto"/>
                <w:szCs w:val="21"/>
                <w:highlight w:val="none"/>
              </w:rPr>
              <w:t>筛选值</w:t>
            </w:r>
          </w:p>
        </w:tc>
        <w:tc>
          <w:tcPr>
            <w:tcW w:w="784" w:type="dxa"/>
            <w:vAlign w:val="center"/>
          </w:tcPr>
          <w:p w14:paraId="3E0B4D2F">
            <w:pPr>
              <w:adjustRightInd w:val="0"/>
              <w:snapToGrid w:val="0"/>
              <w:jc w:val="center"/>
              <w:rPr>
                <w:snapToGrid w:val="0"/>
                <w:color w:val="auto"/>
                <w:kern w:val="0"/>
                <w:szCs w:val="21"/>
                <w:highlight w:val="none"/>
              </w:rPr>
            </w:pPr>
          </w:p>
        </w:tc>
      </w:tr>
      <w:tr w14:paraId="7758BF9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restart"/>
            <w:vAlign w:val="center"/>
          </w:tcPr>
          <w:p w14:paraId="38DDC937">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影响预测</w:t>
            </w:r>
          </w:p>
        </w:tc>
        <w:tc>
          <w:tcPr>
            <w:tcW w:w="1523" w:type="dxa"/>
            <w:vAlign w:val="center"/>
          </w:tcPr>
          <w:p w14:paraId="22ED88C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预测因子</w:t>
            </w:r>
          </w:p>
        </w:tc>
        <w:tc>
          <w:tcPr>
            <w:tcW w:w="5740" w:type="dxa"/>
            <w:gridSpan w:val="6"/>
            <w:vAlign w:val="center"/>
          </w:tcPr>
          <w:p w14:paraId="1439B916">
            <w:pPr>
              <w:adjustRightInd w:val="0"/>
              <w:snapToGrid w:val="0"/>
              <w:jc w:val="center"/>
              <w:rPr>
                <w:snapToGrid w:val="0"/>
                <w:color w:val="auto"/>
                <w:kern w:val="0"/>
                <w:szCs w:val="21"/>
                <w:highlight w:val="none"/>
              </w:rPr>
            </w:pPr>
            <w:r>
              <w:rPr>
                <w:rFonts w:hint="eastAsia"/>
                <w:snapToGrid w:val="0"/>
                <w:color w:val="auto"/>
                <w:kern w:val="0"/>
                <w:szCs w:val="21"/>
                <w:highlight w:val="none"/>
              </w:rPr>
              <w:t>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784" w:type="dxa"/>
            <w:vAlign w:val="center"/>
          </w:tcPr>
          <w:p w14:paraId="6487D9E5">
            <w:pPr>
              <w:adjustRightInd w:val="0"/>
              <w:snapToGrid w:val="0"/>
              <w:jc w:val="center"/>
              <w:rPr>
                <w:snapToGrid w:val="0"/>
                <w:color w:val="auto"/>
                <w:kern w:val="0"/>
                <w:szCs w:val="21"/>
                <w:highlight w:val="none"/>
              </w:rPr>
            </w:pPr>
          </w:p>
        </w:tc>
      </w:tr>
      <w:tr w14:paraId="65EF139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3012B7DB">
            <w:pPr>
              <w:adjustRightInd w:val="0"/>
              <w:snapToGrid w:val="0"/>
              <w:jc w:val="center"/>
              <w:rPr>
                <w:snapToGrid w:val="0"/>
                <w:color w:val="auto"/>
                <w:kern w:val="0"/>
                <w:szCs w:val="21"/>
                <w:highlight w:val="none"/>
              </w:rPr>
            </w:pPr>
          </w:p>
        </w:tc>
        <w:tc>
          <w:tcPr>
            <w:tcW w:w="1523" w:type="dxa"/>
            <w:vAlign w:val="center"/>
          </w:tcPr>
          <w:p w14:paraId="3E06B35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预测方法</w:t>
            </w:r>
          </w:p>
        </w:tc>
        <w:tc>
          <w:tcPr>
            <w:tcW w:w="5740" w:type="dxa"/>
            <w:gridSpan w:val="6"/>
            <w:vAlign w:val="center"/>
          </w:tcPr>
          <w:p w14:paraId="1F0DA57F">
            <w:pPr>
              <w:pStyle w:val="680"/>
              <w:tabs>
                <w:tab w:val="left" w:pos="2920"/>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附录 E☑；附录 F</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；其他（类比法）</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3CE42A92">
            <w:pPr>
              <w:adjustRightInd w:val="0"/>
              <w:snapToGrid w:val="0"/>
              <w:jc w:val="center"/>
              <w:rPr>
                <w:snapToGrid w:val="0"/>
                <w:color w:val="auto"/>
                <w:kern w:val="0"/>
                <w:szCs w:val="21"/>
                <w:highlight w:val="none"/>
              </w:rPr>
            </w:pPr>
          </w:p>
        </w:tc>
      </w:tr>
      <w:tr w14:paraId="33630E1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7A04C8C7">
            <w:pPr>
              <w:adjustRightInd w:val="0"/>
              <w:snapToGrid w:val="0"/>
              <w:jc w:val="center"/>
              <w:rPr>
                <w:snapToGrid w:val="0"/>
                <w:color w:val="auto"/>
                <w:kern w:val="0"/>
                <w:szCs w:val="21"/>
                <w:highlight w:val="none"/>
              </w:rPr>
            </w:pPr>
          </w:p>
        </w:tc>
        <w:tc>
          <w:tcPr>
            <w:tcW w:w="1523" w:type="dxa"/>
            <w:vAlign w:val="center"/>
          </w:tcPr>
          <w:p w14:paraId="21E6D11E">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预测分析内容</w:t>
            </w:r>
          </w:p>
        </w:tc>
        <w:tc>
          <w:tcPr>
            <w:tcW w:w="5740" w:type="dxa"/>
            <w:gridSpan w:val="6"/>
            <w:vAlign w:val="center"/>
          </w:tcPr>
          <w:p w14:paraId="5F86A312">
            <w:pPr>
              <w:pStyle w:val="680"/>
              <w:tabs>
                <w:tab w:val="left" w:pos="1629"/>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影响范围（厂界外200m</w:t>
            </w:r>
            <w:r>
              <w:rPr>
                <w:rFonts w:hint="eastAsia" w:ascii="Times New Roman" w:hAnsi="Times New Roman" w:eastAsia="宋体" w:cs="Times New Roman"/>
                <w:snapToGrid w:val="0"/>
                <w:color w:val="auto"/>
                <w:kern w:val="0"/>
                <w:szCs w:val="21"/>
                <w:highlight w:val="none"/>
                <w:lang w:val="en-US" w:eastAsia="zh-CN"/>
              </w:rPr>
              <w:t>内</w:t>
            </w:r>
            <w:r>
              <w:rPr>
                <w:rFonts w:ascii="Times New Roman" w:hAnsi="Times New Roman" w:eastAsia="宋体" w:cs="Times New Roman"/>
                <w:snapToGrid w:val="0"/>
                <w:color w:val="auto"/>
                <w:kern w:val="0"/>
                <w:szCs w:val="21"/>
                <w:highlight w:val="none"/>
              </w:rPr>
              <w:t>）；影响程度（较小）</w:t>
            </w:r>
          </w:p>
        </w:tc>
        <w:tc>
          <w:tcPr>
            <w:tcW w:w="784" w:type="dxa"/>
            <w:vAlign w:val="center"/>
          </w:tcPr>
          <w:p w14:paraId="4CC6F86C">
            <w:pPr>
              <w:adjustRightInd w:val="0"/>
              <w:snapToGrid w:val="0"/>
              <w:jc w:val="center"/>
              <w:rPr>
                <w:snapToGrid w:val="0"/>
                <w:color w:val="auto"/>
                <w:kern w:val="0"/>
                <w:szCs w:val="21"/>
                <w:highlight w:val="none"/>
              </w:rPr>
            </w:pPr>
          </w:p>
        </w:tc>
      </w:tr>
      <w:tr w14:paraId="3EFB670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1721E8AF">
            <w:pPr>
              <w:adjustRightInd w:val="0"/>
              <w:snapToGrid w:val="0"/>
              <w:jc w:val="center"/>
              <w:rPr>
                <w:snapToGrid w:val="0"/>
                <w:color w:val="auto"/>
                <w:kern w:val="0"/>
                <w:szCs w:val="21"/>
                <w:highlight w:val="none"/>
              </w:rPr>
            </w:pPr>
          </w:p>
        </w:tc>
        <w:tc>
          <w:tcPr>
            <w:tcW w:w="1523" w:type="dxa"/>
            <w:vAlign w:val="center"/>
          </w:tcPr>
          <w:p w14:paraId="2E9AD491">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预测结论</w:t>
            </w:r>
          </w:p>
        </w:tc>
        <w:tc>
          <w:tcPr>
            <w:tcW w:w="5740" w:type="dxa"/>
            <w:gridSpan w:val="6"/>
            <w:vAlign w:val="center"/>
          </w:tcPr>
          <w:p w14:paraId="2E7A88E3">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达标结论：a）☑；b）</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；c）</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不达标结论：a）</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；b）</w:t>
            </w:r>
            <w:r>
              <w:rPr>
                <w:rFonts w:hint="eastAsia" w:ascii="Times New Roman" w:hAnsi="Times New Roman" w:eastAsia="宋体" w:cs="Times New Roman"/>
                <w:snapToGrid w:val="0"/>
                <w:color w:val="auto"/>
                <w:kern w:val="0"/>
                <w:szCs w:val="21"/>
                <w:highlight w:val="none"/>
              </w:rPr>
              <w:t>□</w:t>
            </w:r>
          </w:p>
        </w:tc>
        <w:tc>
          <w:tcPr>
            <w:tcW w:w="784" w:type="dxa"/>
            <w:vAlign w:val="center"/>
          </w:tcPr>
          <w:p w14:paraId="767A81A8">
            <w:pPr>
              <w:adjustRightInd w:val="0"/>
              <w:snapToGrid w:val="0"/>
              <w:jc w:val="center"/>
              <w:rPr>
                <w:snapToGrid w:val="0"/>
                <w:color w:val="auto"/>
                <w:kern w:val="0"/>
                <w:szCs w:val="21"/>
                <w:highlight w:val="none"/>
              </w:rPr>
            </w:pPr>
          </w:p>
        </w:tc>
      </w:tr>
      <w:tr w14:paraId="75FAA58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restart"/>
            <w:vAlign w:val="center"/>
          </w:tcPr>
          <w:p w14:paraId="325D76CD">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防治措施</w:t>
            </w:r>
          </w:p>
        </w:tc>
        <w:tc>
          <w:tcPr>
            <w:tcW w:w="1523" w:type="dxa"/>
            <w:vAlign w:val="center"/>
          </w:tcPr>
          <w:p w14:paraId="56355B5F">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防控措施</w:t>
            </w:r>
          </w:p>
        </w:tc>
        <w:tc>
          <w:tcPr>
            <w:tcW w:w="5740" w:type="dxa"/>
            <w:gridSpan w:val="6"/>
            <w:vAlign w:val="center"/>
          </w:tcPr>
          <w:p w14:paraId="53533FF2">
            <w:pPr>
              <w:pStyle w:val="680"/>
              <w:tabs>
                <w:tab w:val="left" w:pos="5500"/>
              </w:tabs>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土壤环境质量现状保障</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；源头控制☑；过程防控</w:t>
            </w:r>
            <w:r>
              <w:rPr>
                <w:rFonts w:hint="eastAsia" w:ascii="Times New Roman" w:hAnsi="Times New Roman" w:eastAsia="宋体" w:cs="Times New Roman"/>
                <w:snapToGrid w:val="0"/>
                <w:color w:val="auto"/>
                <w:kern w:val="0"/>
                <w:szCs w:val="21"/>
                <w:highlight w:val="none"/>
              </w:rPr>
              <w:t>☑</w:t>
            </w:r>
            <w:r>
              <w:rPr>
                <w:rFonts w:ascii="Times New Roman" w:hAnsi="Times New Roman" w:eastAsia="宋体" w:cs="Times New Roman"/>
                <w:snapToGrid w:val="0"/>
                <w:color w:val="auto"/>
                <w:kern w:val="0"/>
                <w:szCs w:val="21"/>
                <w:highlight w:val="none"/>
              </w:rPr>
              <w:t>；其他（）</w:t>
            </w:r>
          </w:p>
        </w:tc>
        <w:tc>
          <w:tcPr>
            <w:tcW w:w="784" w:type="dxa"/>
            <w:vAlign w:val="center"/>
          </w:tcPr>
          <w:p w14:paraId="3F17E046">
            <w:pPr>
              <w:adjustRightInd w:val="0"/>
              <w:snapToGrid w:val="0"/>
              <w:jc w:val="center"/>
              <w:rPr>
                <w:snapToGrid w:val="0"/>
                <w:color w:val="auto"/>
                <w:kern w:val="0"/>
                <w:szCs w:val="21"/>
                <w:highlight w:val="none"/>
              </w:rPr>
            </w:pPr>
          </w:p>
        </w:tc>
      </w:tr>
      <w:tr w14:paraId="6C8D3E3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76A314E0">
            <w:pPr>
              <w:adjustRightInd w:val="0"/>
              <w:snapToGrid w:val="0"/>
              <w:jc w:val="center"/>
              <w:rPr>
                <w:snapToGrid w:val="0"/>
                <w:color w:val="auto"/>
                <w:kern w:val="0"/>
                <w:szCs w:val="21"/>
                <w:highlight w:val="none"/>
              </w:rPr>
            </w:pPr>
          </w:p>
        </w:tc>
        <w:tc>
          <w:tcPr>
            <w:tcW w:w="1523" w:type="dxa"/>
            <w:vMerge w:val="restart"/>
            <w:vAlign w:val="center"/>
          </w:tcPr>
          <w:p w14:paraId="07C1A0E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跟踪监测</w:t>
            </w:r>
          </w:p>
        </w:tc>
        <w:tc>
          <w:tcPr>
            <w:tcW w:w="1149" w:type="dxa"/>
            <w:vAlign w:val="center"/>
          </w:tcPr>
          <w:p w14:paraId="6AE5EFA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监测点数</w:t>
            </w:r>
          </w:p>
        </w:tc>
        <w:tc>
          <w:tcPr>
            <w:tcW w:w="2516" w:type="dxa"/>
            <w:gridSpan w:val="3"/>
            <w:vAlign w:val="center"/>
          </w:tcPr>
          <w:p w14:paraId="288D04F6">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监测指标</w:t>
            </w:r>
          </w:p>
        </w:tc>
        <w:tc>
          <w:tcPr>
            <w:tcW w:w="2075" w:type="dxa"/>
            <w:gridSpan w:val="2"/>
            <w:vAlign w:val="center"/>
          </w:tcPr>
          <w:p w14:paraId="7A55179B">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监测频次</w:t>
            </w:r>
          </w:p>
        </w:tc>
        <w:tc>
          <w:tcPr>
            <w:tcW w:w="784" w:type="dxa"/>
            <w:vMerge w:val="restart"/>
            <w:vAlign w:val="center"/>
          </w:tcPr>
          <w:p w14:paraId="3F7BBCD5">
            <w:pPr>
              <w:adjustRightInd w:val="0"/>
              <w:snapToGrid w:val="0"/>
              <w:jc w:val="center"/>
              <w:rPr>
                <w:snapToGrid w:val="0"/>
                <w:color w:val="auto"/>
                <w:kern w:val="0"/>
                <w:szCs w:val="21"/>
                <w:highlight w:val="none"/>
              </w:rPr>
            </w:pPr>
          </w:p>
        </w:tc>
      </w:tr>
      <w:tr w14:paraId="56D0106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3C142A57">
            <w:pPr>
              <w:adjustRightInd w:val="0"/>
              <w:snapToGrid w:val="0"/>
              <w:jc w:val="center"/>
              <w:rPr>
                <w:snapToGrid w:val="0"/>
                <w:color w:val="auto"/>
                <w:kern w:val="0"/>
                <w:szCs w:val="21"/>
                <w:highlight w:val="none"/>
              </w:rPr>
            </w:pPr>
          </w:p>
        </w:tc>
        <w:tc>
          <w:tcPr>
            <w:tcW w:w="1523" w:type="dxa"/>
            <w:vMerge w:val="continue"/>
            <w:vAlign w:val="center"/>
          </w:tcPr>
          <w:p w14:paraId="7C84B791">
            <w:pPr>
              <w:adjustRightInd w:val="0"/>
              <w:snapToGrid w:val="0"/>
              <w:jc w:val="center"/>
              <w:rPr>
                <w:snapToGrid w:val="0"/>
                <w:color w:val="auto"/>
                <w:kern w:val="0"/>
                <w:szCs w:val="21"/>
                <w:highlight w:val="none"/>
              </w:rPr>
            </w:pPr>
          </w:p>
        </w:tc>
        <w:tc>
          <w:tcPr>
            <w:tcW w:w="1149" w:type="dxa"/>
            <w:vAlign w:val="center"/>
          </w:tcPr>
          <w:p w14:paraId="4C27147F">
            <w:pPr>
              <w:overflowPunct w:val="0"/>
              <w:autoSpaceDE w:val="0"/>
              <w:autoSpaceDN w:val="0"/>
              <w:adjustRightInd w:val="0"/>
              <w:snapToGrid w:val="0"/>
              <w:spacing w:line="360" w:lineRule="exact"/>
              <w:jc w:val="center"/>
              <w:rPr>
                <w:snapToGrid w:val="0"/>
                <w:color w:val="auto"/>
                <w:kern w:val="0"/>
                <w:szCs w:val="21"/>
                <w:highlight w:val="none"/>
              </w:rPr>
            </w:pPr>
            <w:r>
              <w:rPr>
                <w:rFonts w:hint="eastAsia" w:hAnsi="宋体" w:cs="宋体"/>
                <w:bCs/>
                <w:snapToGrid w:val="0"/>
                <w:color w:val="auto"/>
                <w:kern w:val="0"/>
                <w:szCs w:val="21"/>
                <w:highlight w:val="none"/>
                <w:u w:color="000000"/>
              </w:rPr>
              <w:t>1</w:t>
            </w:r>
          </w:p>
        </w:tc>
        <w:tc>
          <w:tcPr>
            <w:tcW w:w="2516" w:type="dxa"/>
            <w:gridSpan w:val="3"/>
            <w:vAlign w:val="center"/>
          </w:tcPr>
          <w:p w14:paraId="610AEF16">
            <w:pPr>
              <w:overflowPunct w:val="0"/>
              <w:autoSpaceDE w:val="0"/>
              <w:autoSpaceDN w:val="0"/>
              <w:adjustRightInd w:val="0"/>
              <w:snapToGrid w:val="0"/>
              <w:spacing w:line="360" w:lineRule="exact"/>
              <w:jc w:val="center"/>
              <w:rPr>
                <w:snapToGrid w:val="0"/>
                <w:color w:val="auto"/>
                <w:kern w:val="0"/>
                <w:szCs w:val="21"/>
                <w:highlight w:val="none"/>
              </w:rPr>
            </w:pPr>
            <w:r>
              <w:rPr>
                <w:rFonts w:hint="eastAsia" w:hAnsi="宋体" w:cs="宋体"/>
                <w:bCs/>
                <w:snapToGrid w:val="0"/>
                <w:color w:val="auto"/>
                <w:kern w:val="0"/>
                <w:szCs w:val="21"/>
                <w:highlight w:val="none"/>
                <w:u w:color="000000"/>
                <w:lang w:val="en-US" w:eastAsia="zh-CN"/>
              </w:rPr>
              <w:t>p</w:t>
            </w:r>
            <w:r>
              <w:rPr>
                <w:rFonts w:hint="eastAsia" w:hAnsi="宋体" w:cs="宋体"/>
                <w:bCs/>
                <w:snapToGrid w:val="0"/>
                <w:color w:val="auto"/>
                <w:kern w:val="0"/>
                <w:szCs w:val="21"/>
                <w:highlight w:val="none"/>
                <w:u w:color="000000"/>
              </w:rPr>
              <w:t>H、石油烃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2075" w:type="dxa"/>
            <w:gridSpan w:val="2"/>
            <w:vAlign w:val="center"/>
          </w:tcPr>
          <w:p w14:paraId="40FCAB59">
            <w:pPr>
              <w:overflowPunct w:val="0"/>
              <w:autoSpaceDE w:val="0"/>
              <w:autoSpaceDN w:val="0"/>
              <w:adjustRightInd w:val="0"/>
              <w:snapToGrid w:val="0"/>
              <w:spacing w:line="360" w:lineRule="exact"/>
              <w:jc w:val="center"/>
              <w:rPr>
                <w:snapToGrid w:val="0"/>
                <w:color w:val="auto"/>
                <w:kern w:val="0"/>
                <w:szCs w:val="21"/>
                <w:highlight w:val="none"/>
              </w:rPr>
            </w:pPr>
            <w:r>
              <w:rPr>
                <w:rFonts w:hAnsi="宋体" w:cs="宋体"/>
                <w:bCs/>
                <w:snapToGrid w:val="0"/>
                <w:color w:val="auto"/>
                <w:kern w:val="0"/>
                <w:szCs w:val="21"/>
                <w:highlight w:val="none"/>
                <w:u w:color="000000"/>
              </w:rPr>
              <w:t>1</w:t>
            </w:r>
            <w:r>
              <w:rPr>
                <w:rFonts w:hint="eastAsia" w:hAnsi="宋体" w:cs="宋体"/>
                <w:bCs/>
                <w:snapToGrid w:val="0"/>
                <w:color w:val="auto"/>
                <w:kern w:val="0"/>
                <w:szCs w:val="21"/>
                <w:highlight w:val="none"/>
                <w:u w:color="000000"/>
              </w:rPr>
              <w:t>次</w:t>
            </w:r>
            <w:r>
              <w:rPr>
                <w:rFonts w:hAnsi="宋体" w:cs="宋体"/>
                <w:bCs/>
                <w:snapToGrid w:val="0"/>
                <w:color w:val="auto"/>
                <w:kern w:val="0"/>
                <w:szCs w:val="21"/>
                <w:highlight w:val="none"/>
                <w:u w:color="000000"/>
              </w:rPr>
              <w:t>/</w:t>
            </w:r>
            <w:r>
              <w:rPr>
                <w:rFonts w:hint="eastAsia" w:hAnsi="宋体" w:cs="宋体"/>
                <w:bCs/>
                <w:snapToGrid w:val="0"/>
                <w:color w:val="auto"/>
                <w:kern w:val="0"/>
                <w:szCs w:val="21"/>
                <w:highlight w:val="none"/>
                <w:u w:color="000000"/>
              </w:rPr>
              <w:t>年</w:t>
            </w:r>
          </w:p>
        </w:tc>
        <w:tc>
          <w:tcPr>
            <w:tcW w:w="784" w:type="dxa"/>
            <w:vMerge w:val="continue"/>
            <w:vAlign w:val="center"/>
          </w:tcPr>
          <w:p w14:paraId="1AAC5040">
            <w:pPr>
              <w:adjustRightInd w:val="0"/>
              <w:snapToGrid w:val="0"/>
              <w:jc w:val="center"/>
              <w:rPr>
                <w:snapToGrid w:val="0"/>
                <w:color w:val="auto"/>
                <w:kern w:val="0"/>
                <w:szCs w:val="21"/>
                <w:highlight w:val="none"/>
              </w:rPr>
            </w:pPr>
          </w:p>
        </w:tc>
      </w:tr>
      <w:tr w14:paraId="1030022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dxa"/>
            <w:vMerge w:val="continue"/>
            <w:vAlign w:val="center"/>
          </w:tcPr>
          <w:p w14:paraId="3D5E12FB">
            <w:pPr>
              <w:adjustRightInd w:val="0"/>
              <w:snapToGrid w:val="0"/>
              <w:jc w:val="center"/>
              <w:rPr>
                <w:snapToGrid w:val="0"/>
                <w:color w:val="auto"/>
                <w:kern w:val="0"/>
                <w:szCs w:val="21"/>
                <w:highlight w:val="none"/>
              </w:rPr>
            </w:pPr>
          </w:p>
        </w:tc>
        <w:tc>
          <w:tcPr>
            <w:tcW w:w="1523" w:type="dxa"/>
            <w:vAlign w:val="center"/>
          </w:tcPr>
          <w:p w14:paraId="676CDDA8">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信息公开指标</w:t>
            </w:r>
          </w:p>
        </w:tc>
        <w:tc>
          <w:tcPr>
            <w:tcW w:w="5740" w:type="dxa"/>
            <w:gridSpan w:val="6"/>
            <w:vAlign w:val="center"/>
          </w:tcPr>
          <w:p w14:paraId="1FC8B845">
            <w:pPr>
              <w:adjustRightInd w:val="0"/>
              <w:snapToGrid w:val="0"/>
              <w:jc w:val="center"/>
              <w:rPr>
                <w:snapToGrid w:val="0"/>
                <w:color w:val="auto"/>
                <w:kern w:val="0"/>
                <w:szCs w:val="21"/>
                <w:highlight w:val="none"/>
              </w:rPr>
            </w:pPr>
            <w:r>
              <w:rPr>
                <w:rFonts w:hint="eastAsia" w:hAnsi="宋体" w:cs="宋体"/>
                <w:bCs/>
                <w:snapToGrid w:val="0"/>
                <w:color w:val="auto"/>
                <w:kern w:val="0"/>
                <w:szCs w:val="21"/>
                <w:highlight w:val="none"/>
                <w:u w:color="000000"/>
                <w:lang w:val="en-US" w:eastAsia="zh-CN"/>
              </w:rPr>
              <w:t>p</w:t>
            </w:r>
            <w:r>
              <w:rPr>
                <w:rFonts w:hint="eastAsia" w:hAnsi="宋体" w:cs="宋体"/>
                <w:bCs/>
                <w:snapToGrid w:val="0"/>
                <w:color w:val="auto"/>
                <w:kern w:val="0"/>
                <w:szCs w:val="21"/>
                <w:highlight w:val="none"/>
                <w:u w:color="000000"/>
              </w:rPr>
              <w:t>H、石油烃</w:t>
            </w:r>
            <w:r>
              <w:rPr>
                <w:rFonts w:hint="eastAsia"/>
                <w:color w:val="auto"/>
                <w:szCs w:val="21"/>
                <w:highlight w:val="none"/>
                <w:lang w:eastAsia="zh-CN"/>
              </w:rPr>
              <w:t>（</w:t>
            </w:r>
            <w:r>
              <w:rPr>
                <w:rFonts w:hint="eastAsia"/>
                <w:color w:val="auto"/>
                <w:szCs w:val="21"/>
                <w:highlight w:val="none"/>
                <w:lang w:val="en-US" w:eastAsia="zh-CN"/>
              </w:rPr>
              <w:t>C</w:t>
            </w:r>
            <w:r>
              <w:rPr>
                <w:rFonts w:hint="eastAsia"/>
                <w:color w:val="auto"/>
                <w:szCs w:val="21"/>
                <w:highlight w:val="none"/>
                <w:vertAlign w:val="subscript"/>
                <w:lang w:val="en-US" w:eastAsia="zh-CN"/>
              </w:rPr>
              <w:t>10</w:t>
            </w:r>
            <w:r>
              <w:rPr>
                <w:rFonts w:hint="eastAsia"/>
                <w:color w:val="auto"/>
                <w:szCs w:val="21"/>
                <w:highlight w:val="none"/>
                <w:lang w:val="en-US" w:eastAsia="zh-CN"/>
              </w:rPr>
              <w:t>~C</w:t>
            </w:r>
            <w:r>
              <w:rPr>
                <w:rFonts w:hint="eastAsia"/>
                <w:color w:val="auto"/>
                <w:szCs w:val="21"/>
                <w:highlight w:val="none"/>
                <w:vertAlign w:val="subscript"/>
                <w:lang w:val="en-US" w:eastAsia="zh-CN"/>
              </w:rPr>
              <w:t>40</w:t>
            </w:r>
            <w:r>
              <w:rPr>
                <w:rFonts w:hint="eastAsia"/>
                <w:color w:val="auto"/>
                <w:szCs w:val="21"/>
                <w:highlight w:val="none"/>
                <w:lang w:eastAsia="zh-CN"/>
              </w:rPr>
              <w:t>）</w:t>
            </w:r>
          </w:p>
        </w:tc>
        <w:tc>
          <w:tcPr>
            <w:tcW w:w="784" w:type="dxa"/>
            <w:vMerge w:val="continue"/>
            <w:vAlign w:val="center"/>
          </w:tcPr>
          <w:p w14:paraId="66E9EC4C">
            <w:pPr>
              <w:adjustRightInd w:val="0"/>
              <w:snapToGrid w:val="0"/>
              <w:jc w:val="center"/>
              <w:rPr>
                <w:snapToGrid w:val="0"/>
                <w:color w:val="auto"/>
                <w:kern w:val="0"/>
                <w:szCs w:val="21"/>
                <w:highlight w:val="none"/>
              </w:rPr>
            </w:pPr>
          </w:p>
        </w:tc>
      </w:tr>
      <w:tr w14:paraId="1570908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12" w:type="dxa"/>
            <w:gridSpan w:val="2"/>
            <w:vAlign w:val="center"/>
          </w:tcPr>
          <w:p w14:paraId="32A0D54C">
            <w:pPr>
              <w:pStyle w:val="680"/>
              <w:adjustRightInd w:val="0"/>
              <w:snapToGrid w:val="0"/>
              <w:jc w:val="cente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评价结论</w:t>
            </w:r>
          </w:p>
        </w:tc>
        <w:tc>
          <w:tcPr>
            <w:tcW w:w="5740" w:type="dxa"/>
            <w:gridSpan w:val="6"/>
            <w:vAlign w:val="center"/>
          </w:tcPr>
          <w:p w14:paraId="73CB9EC6">
            <w:pPr>
              <w:adjustRightInd w:val="0"/>
              <w:snapToGrid w:val="0"/>
              <w:jc w:val="center"/>
              <w:rPr>
                <w:snapToGrid w:val="0"/>
                <w:color w:val="auto"/>
                <w:kern w:val="0"/>
                <w:szCs w:val="21"/>
                <w:highlight w:val="none"/>
              </w:rPr>
            </w:pPr>
            <w:r>
              <w:rPr>
                <w:snapToGrid w:val="0"/>
                <w:color w:val="auto"/>
                <w:kern w:val="0"/>
                <w:szCs w:val="21"/>
                <w:highlight w:val="none"/>
              </w:rPr>
              <w:t>项目建设对土壤环境影响可接受</w:t>
            </w:r>
          </w:p>
        </w:tc>
        <w:tc>
          <w:tcPr>
            <w:tcW w:w="784" w:type="dxa"/>
            <w:vAlign w:val="center"/>
          </w:tcPr>
          <w:p w14:paraId="5413721F">
            <w:pPr>
              <w:adjustRightInd w:val="0"/>
              <w:snapToGrid w:val="0"/>
              <w:jc w:val="center"/>
              <w:rPr>
                <w:snapToGrid w:val="0"/>
                <w:color w:val="auto"/>
                <w:kern w:val="0"/>
                <w:szCs w:val="21"/>
                <w:highlight w:val="none"/>
              </w:rPr>
            </w:pPr>
          </w:p>
        </w:tc>
      </w:tr>
    </w:tbl>
    <w:p w14:paraId="1E8A302B">
      <w:pPr>
        <w:rPr>
          <w:color w:val="auto"/>
          <w:highlight w:val="none"/>
        </w:rPr>
      </w:pPr>
      <w:bookmarkStart w:id="146" w:name="_Toc245882761"/>
      <w:bookmarkStart w:id="147" w:name="_Toc454899373"/>
      <w:bookmarkStart w:id="148" w:name="_Toc395138419"/>
      <w:r>
        <w:rPr>
          <w:rFonts w:hint="eastAsia"/>
          <w:color w:val="auto"/>
          <w:highlight w:val="none"/>
        </w:rPr>
        <w:br w:type="page"/>
      </w:r>
    </w:p>
    <w:p w14:paraId="016D9EE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6.2.6运营期生态环境影响分析</w:t>
      </w:r>
    </w:p>
    <w:p w14:paraId="24A03BF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6.2.6.1对土地影响分析</w:t>
      </w:r>
    </w:p>
    <w:p w14:paraId="1FBC6C7B">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本项目占地属于厂区内的三类工业用地，不占用厂区外土地，本项目建设不会导致生态环境质量的降低。</w:t>
      </w:r>
    </w:p>
    <w:p w14:paraId="0EFFB6F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6.2.6.2植物资源影响分析</w:t>
      </w:r>
    </w:p>
    <w:p w14:paraId="38A65B3D">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本项目占地范围植物较少，</w:t>
      </w:r>
      <w:r>
        <w:rPr>
          <w:rFonts w:cs="Times New Roman"/>
          <w:color w:val="auto"/>
          <w:highlight w:val="none"/>
        </w:rPr>
        <w:t>项目建成后，将对厂区及周围环境进一步绿化，生产过程不存在破坏植被工业活动，运营期不会对植物资源产生不利影响</w:t>
      </w:r>
      <w:r>
        <w:rPr>
          <w:rFonts w:hint="eastAsia" w:ascii="Times New Roman" w:hAnsi="Times New Roman" w:cs="Times New Roman"/>
          <w:snapToGrid w:val="0"/>
          <w:color w:val="auto"/>
          <w:kern w:val="0"/>
          <w:highlight w:val="none"/>
        </w:rPr>
        <w:t>。</w:t>
      </w:r>
    </w:p>
    <w:p w14:paraId="48F0D2E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6.2.6.3动物影响分析</w:t>
      </w:r>
    </w:p>
    <w:p w14:paraId="6893FA35">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厂址周围已有众多现有企业以及其他人为活动，厂址附近没有野生动物，在建成后，厂区的正常生产不会对野生动物的栖息地和生境再产生干扰和影响，因此，在运营期对野生动物的影响很小。</w:t>
      </w:r>
    </w:p>
    <w:p w14:paraId="4042A87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6.2.6.4生态环境影响评价结论</w:t>
      </w:r>
    </w:p>
    <w:p w14:paraId="2D8D5E9F">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本项目占地属于厂区内的三类工业用地，不新增用地，区域内动植物的种类和数量基本不受影响。根据调查，项目建设地点不属于土地沙化区，项目运营期不会加重周边水土流失情况；评价范围内的植被和动物均为当地常见和广布种，虽然受到运营期人为扰动的影响，但不会使整个区域动植物群落的种类组成发生明显变化，对周边生态环境影响不大。</w:t>
      </w:r>
    </w:p>
    <w:p w14:paraId="2AB1B583">
      <w:pPr>
        <w:rPr>
          <w:rFonts w:ascii="宋体" w:hAnsi="宋体" w:cs="宋体"/>
          <w:b/>
          <w:bCs/>
          <w:color w:val="auto"/>
          <w:sz w:val="24"/>
          <w:highlight w:val="none"/>
        </w:rPr>
      </w:pPr>
      <w:r>
        <w:rPr>
          <w:rFonts w:hint="eastAsia" w:ascii="宋体" w:hAnsi="宋体" w:cs="宋体"/>
          <w:b/>
          <w:bCs/>
          <w:color w:val="auto"/>
          <w:sz w:val="24"/>
          <w:highlight w:val="none"/>
        </w:rPr>
        <w:br w:type="page"/>
      </w:r>
    </w:p>
    <w:p w14:paraId="0DA2A5ED">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表6.2-4</w:t>
      </w:r>
      <w:r>
        <w:rPr>
          <w:rFonts w:hint="eastAsia" w:ascii="Times New Roman" w:hAnsi="Times New Roman" w:cs="Times New Roman"/>
          <w:snapToGrid w:val="0"/>
          <w:color w:val="auto"/>
          <w:kern w:val="0"/>
          <w:sz w:val="21"/>
          <w:szCs w:val="21"/>
          <w:highlight w:val="none"/>
          <w:lang w:val="en-US" w:eastAsia="zh-CN"/>
        </w:rPr>
        <w:t>1</w:t>
      </w:r>
      <w:r>
        <w:rPr>
          <w:rFonts w:hint="eastAsia" w:ascii="Times New Roman" w:hAnsi="Times New Roman" w:cs="Times New Roman"/>
          <w:snapToGrid w:val="0"/>
          <w:color w:val="auto"/>
          <w:kern w:val="0"/>
          <w:sz w:val="21"/>
          <w:szCs w:val="21"/>
          <w:highlight w:val="none"/>
        </w:rPr>
        <w:t xml:space="preserve"> 生态环境影响评价自查表</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243"/>
        <w:gridCol w:w="6311"/>
      </w:tblGrid>
      <w:tr w14:paraId="34C2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blHeader/>
          <w:jc w:val="center"/>
        </w:trPr>
        <w:tc>
          <w:tcPr>
            <w:tcW w:w="1260" w:type="pct"/>
            <w:gridSpan w:val="2"/>
            <w:shd w:val="clear" w:color="auto" w:fill="auto"/>
            <w:vAlign w:val="center"/>
          </w:tcPr>
          <w:p w14:paraId="7BA5804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工作内容</w:t>
            </w:r>
          </w:p>
        </w:tc>
        <w:tc>
          <w:tcPr>
            <w:tcW w:w="3739" w:type="pct"/>
            <w:shd w:val="clear" w:color="auto" w:fill="auto"/>
            <w:vAlign w:val="center"/>
          </w:tcPr>
          <w:p w14:paraId="2947D34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自查项目</w:t>
            </w:r>
          </w:p>
        </w:tc>
      </w:tr>
      <w:tr w14:paraId="32C0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23" w:type="pct"/>
            <w:vMerge w:val="restart"/>
            <w:vAlign w:val="center"/>
          </w:tcPr>
          <w:p w14:paraId="6CBB858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生态影响识别</w:t>
            </w:r>
          </w:p>
        </w:tc>
        <w:tc>
          <w:tcPr>
            <w:tcW w:w="736" w:type="pct"/>
            <w:vAlign w:val="center"/>
          </w:tcPr>
          <w:p w14:paraId="648CBE2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生态保护</w:t>
            </w:r>
          </w:p>
          <w:p w14:paraId="2CFE7F1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目标</w:t>
            </w:r>
          </w:p>
        </w:tc>
        <w:tc>
          <w:tcPr>
            <w:tcW w:w="3739" w:type="pct"/>
            <w:vAlign w:val="center"/>
          </w:tcPr>
          <w:p w14:paraId="6EB8D903">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重要物种</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；国家公园</w:t>
            </w:r>
            <w:r>
              <w:rPr>
                <w:rFonts w:ascii="Times New Roman" w:hAnsi="Times New Roman" w:eastAsia="宋体" w:cs="Times New Roman"/>
                <w:snapToGrid w:val="0"/>
                <w:color w:val="auto"/>
                <w:kern w:val="0"/>
                <w:sz w:val="21"/>
                <w:szCs w:val="21"/>
                <w:highlight w:val="none"/>
              </w:rPr>
              <w:sym w:font="Wingdings 2" w:char="00A3"/>
            </w:r>
            <w:r>
              <w:rPr>
                <w:rFonts w:ascii="Times New Roman" w:hAnsi="Times New Roman" w:eastAsia="宋体" w:cs="Times New Roman"/>
                <w:snapToGrid w:val="0"/>
                <w:color w:val="auto"/>
                <w:kern w:val="0"/>
                <w:sz w:val="21"/>
                <w:szCs w:val="21"/>
                <w:highlight w:val="none"/>
              </w:rPr>
              <w:t>；自然保护区</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；自然公园</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；世界自然遗产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；生态保护红线</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；重要生境</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；其他具有重要生态功能、对保护生物多样性具有重要意义的区域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hint="eastAsia" w:ascii="Times New Roman" w:hAnsi="Times New Roman" w:eastAsia="宋体" w:cs="Times New Roman"/>
                <w:snapToGrid w:val="0"/>
                <w:color w:val="auto"/>
                <w:kern w:val="0"/>
                <w:sz w:val="21"/>
                <w:szCs w:val="21"/>
                <w:highlight w:val="none"/>
              </w:rPr>
              <w:t>□</w:t>
            </w:r>
          </w:p>
        </w:tc>
      </w:tr>
      <w:tr w14:paraId="52F5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23" w:type="pct"/>
            <w:vMerge w:val="continue"/>
            <w:vAlign w:val="center"/>
          </w:tcPr>
          <w:p w14:paraId="4019A6FA">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0F8A787C">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影响方式</w:t>
            </w:r>
          </w:p>
        </w:tc>
        <w:tc>
          <w:tcPr>
            <w:tcW w:w="3739" w:type="pct"/>
            <w:vAlign w:val="center"/>
          </w:tcPr>
          <w:p w14:paraId="7E842E4F">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工程占用</w:t>
            </w:r>
            <w:r>
              <w:rPr>
                <w:rFonts w:ascii="Times New Roman" w:hAnsi="Times New Roman" w:eastAsia="宋体" w:cs="Times New Roman"/>
                <w:snapToGrid w:val="0"/>
                <w:color w:val="auto"/>
                <w:kern w:val="0"/>
                <w:sz w:val="21"/>
                <w:szCs w:val="21"/>
                <w:highlight w:val="none"/>
              </w:rPr>
              <w:sym w:font="Wingdings 2" w:char="00A3"/>
            </w:r>
            <w:r>
              <w:rPr>
                <w:rFonts w:ascii="Times New Roman" w:hAnsi="Times New Roman" w:eastAsia="宋体" w:cs="Times New Roman"/>
                <w:snapToGrid w:val="0"/>
                <w:color w:val="auto"/>
                <w:kern w:val="0"/>
                <w:sz w:val="21"/>
                <w:szCs w:val="21"/>
                <w:highlight w:val="none"/>
              </w:rPr>
              <w:t>；施工活动干扰</w:t>
            </w:r>
            <w:r>
              <w:rPr>
                <w:rFonts w:ascii="Times New Roman" w:hAnsi="Times New Roman" w:eastAsia="宋体" w:cs="Times New Roman"/>
                <w:snapToGrid w:val="0"/>
                <w:color w:val="auto"/>
                <w:kern w:val="0"/>
                <w:sz w:val="21"/>
                <w:szCs w:val="21"/>
                <w:highlight w:val="none"/>
              </w:rPr>
              <w:sym w:font="Wingdings 2" w:char="F052"/>
            </w:r>
            <w:r>
              <w:rPr>
                <w:rFonts w:ascii="Times New Roman" w:hAnsi="Times New Roman" w:eastAsia="宋体" w:cs="Times New Roman"/>
                <w:snapToGrid w:val="0"/>
                <w:color w:val="auto"/>
                <w:kern w:val="0"/>
                <w:sz w:val="21"/>
                <w:szCs w:val="21"/>
                <w:highlight w:val="none"/>
              </w:rPr>
              <w:t>；改变环境条件</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hint="eastAsia" w:ascii="Times New Roman" w:hAnsi="Times New Roman" w:eastAsia="宋体" w:cs="Times New Roman"/>
                <w:snapToGrid w:val="0"/>
                <w:color w:val="auto"/>
                <w:kern w:val="0"/>
                <w:sz w:val="21"/>
                <w:szCs w:val="21"/>
                <w:highlight w:val="none"/>
              </w:rPr>
              <w:t>□</w:t>
            </w:r>
          </w:p>
        </w:tc>
      </w:tr>
      <w:tr w14:paraId="7FE9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23" w:type="pct"/>
            <w:vMerge w:val="continue"/>
            <w:vAlign w:val="center"/>
          </w:tcPr>
          <w:p w14:paraId="058CEE2D">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49B7129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评价因子</w:t>
            </w:r>
          </w:p>
        </w:tc>
        <w:tc>
          <w:tcPr>
            <w:tcW w:w="3739" w:type="pct"/>
            <w:vAlign w:val="center"/>
          </w:tcPr>
          <w:p w14:paraId="2E8AA5B9">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物种</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（）生境</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（）生物群落</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（）生态系统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（）生物多样性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（）生态敏感区</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（）自然景观</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（）自然遗迹</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00A3"/>
            </w:r>
            <w:r>
              <w:rPr>
                <w:rFonts w:ascii="Times New Roman" w:hAnsi="Times New Roman" w:eastAsia="宋体" w:cs="Times New Roman"/>
                <w:snapToGrid w:val="0"/>
                <w:color w:val="auto"/>
                <w:kern w:val="0"/>
                <w:sz w:val="21"/>
                <w:szCs w:val="21"/>
                <w:highlight w:val="none"/>
              </w:rPr>
              <w:t>（）</w:t>
            </w:r>
          </w:p>
        </w:tc>
      </w:tr>
      <w:tr w14:paraId="7AA7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260" w:type="pct"/>
            <w:gridSpan w:val="2"/>
            <w:vAlign w:val="center"/>
          </w:tcPr>
          <w:p w14:paraId="5220D84C">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评价等级</w:t>
            </w:r>
          </w:p>
        </w:tc>
        <w:tc>
          <w:tcPr>
            <w:tcW w:w="3739" w:type="pct"/>
            <w:vAlign w:val="center"/>
          </w:tcPr>
          <w:p w14:paraId="64599452">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一级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；二级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；三级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；生态影响简单分析</w:t>
            </w:r>
            <w:r>
              <w:rPr>
                <w:rFonts w:ascii="Times New Roman" w:hAnsi="Times New Roman" w:eastAsia="宋体" w:cs="Times New Roman"/>
                <w:snapToGrid w:val="0"/>
                <w:color w:val="auto"/>
                <w:kern w:val="0"/>
                <w:sz w:val="21"/>
                <w:szCs w:val="21"/>
                <w:highlight w:val="none"/>
              </w:rPr>
              <w:sym w:font="Wingdings 2" w:char="F052"/>
            </w:r>
          </w:p>
        </w:tc>
      </w:tr>
      <w:tr w14:paraId="6390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260" w:type="pct"/>
            <w:gridSpan w:val="2"/>
            <w:vAlign w:val="center"/>
          </w:tcPr>
          <w:p w14:paraId="32F15AE0">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评价范围</w:t>
            </w:r>
          </w:p>
        </w:tc>
        <w:tc>
          <w:tcPr>
            <w:tcW w:w="3739" w:type="pct"/>
            <w:vAlign w:val="center"/>
          </w:tcPr>
          <w:p w14:paraId="2A4C1C68">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陆域面积：（）km</w:t>
            </w:r>
            <w:r>
              <w:rPr>
                <w:rFonts w:ascii="Times New Roman" w:hAnsi="Times New Roman" w:eastAsia="宋体" w:cs="Times New Roman"/>
                <w:snapToGrid w:val="0"/>
                <w:color w:val="auto"/>
                <w:kern w:val="0"/>
                <w:sz w:val="21"/>
                <w:szCs w:val="21"/>
                <w:highlight w:val="none"/>
                <w:vertAlign w:val="superscript"/>
              </w:rPr>
              <w:t>2</w:t>
            </w:r>
            <w:r>
              <w:rPr>
                <w:rFonts w:ascii="Times New Roman" w:hAnsi="Times New Roman" w:eastAsia="宋体" w:cs="Times New Roman"/>
                <w:snapToGrid w:val="0"/>
                <w:color w:val="auto"/>
                <w:kern w:val="0"/>
                <w:sz w:val="21"/>
                <w:szCs w:val="21"/>
                <w:highlight w:val="none"/>
              </w:rPr>
              <w:t>；水域面积：（）km</w:t>
            </w:r>
            <w:r>
              <w:rPr>
                <w:rFonts w:ascii="Times New Roman" w:hAnsi="Times New Roman" w:eastAsia="宋体" w:cs="Times New Roman"/>
                <w:snapToGrid w:val="0"/>
                <w:color w:val="auto"/>
                <w:kern w:val="0"/>
                <w:sz w:val="21"/>
                <w:szCs w:val="21"/>
                <w:highlight w:val="none"/>
                <w:vertAlign w:val="superscript"/>
              </w:rPr>
              <w:t>2</w:t>
            </w:r>
          </w:p>
        </w:tc>
      </w:tr>
      <w:tr w14:paraId="78BD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23" w:type="pct"/>
            <w:vMerge w:val="restart"/>
            <w:vAlign w:val="center"/>
          </w:tcPr>
          <w:p w14:paraId="7CB2072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生态现状调查与评价</w:t>
            </w:r>
          </w:p>
        </w:tc>
        <w:tc>
          <w:tcPr>
            <w:tcW w:w="736" w:type="pct"/>
            <w:vAlign w:val="center"/>
          </w:tcPr>
          <w:p w14:paraId="4CABC66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调查方法</w:t>
            </w:r>
          </w:p>
        </w:tc>
        <w:tc>
          <w:tcPr>
            <w:tcW w:w="3739" w:type="pct"/>
            <w:vAlign w:val="center"/>
          </w:tcPr>
          <w:p w14:paraId="071218F2">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资料收集</w:t>
            </w:r>
            <w:r>
              <w:rPr>
                <w:rFonts w:ascii="Times New Roman" w:hAnsi="Times New Roman" w:eastAsia="宋体" w:cs="Times New Roman"/>
                <w:snapToGrid w:val="0"/>
                <w:color w:val="auto"/>
                <w:kern w:val="0"/>
                <w:sz w:val="21"/>
                <w:szCs w:val="21"/>
                <w:highlight w:val="none"/>
              </w:rPr>
              <w:sym w:font="Wingdings 2" w:char="F052"/>
            </w:r>
            <w:r>
              <w:rPr>
                <w:rFonts w:ascii="Times New Roman" w:hAnsi="Times New Roman" w:eastAsia="宋体" w:cs="Times New Roman"/>
                <w:snapToGrid w:val="0"/>
                <w:color w:val="auto"/>
                <w:kern w:val="0"/>
                <w:sz w:val="21"/>
                <w:szCs w:val="21"/>
                <w:highlight w:val="none"/>
              </w:rPr>
              <w:t>；遥感调查</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；调查样方、样线</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；调查点位、</w:t>
            </w:r>
            <w:r>
              <w:rPr>
                <w:rFonts w:hint="eastAsia" w:ascii="Times New Roman" w:hAnsi="Times New Roman" w:eastAsia="宋体" w:cs="Times New Roman"/>
                <w:snapToGrid w:val="0"/>
                <w:color w:val="auto"/>
                <w:kern w:val="0"/>
                <w:sz w:val="21"/>
                <w:szCs w:val="21"/>
                <w:highlight w:val="none"/>
              </w:rPr>
              <w:t>断面□</w:t>
            </w:r>
            <w:r>
              <w:rPr>
                <w:rFonts w:ascii="Times New Roman" w:hAnsi="Times New Roman" w:eastAsia="宋体" w:cs="Times New Roman"/>
                <w:snapToGrid w:val="0"/>
                <w:color w:val="auto"/>
                <w:kern w:val="0"/>
                <w:sz w:val="21"/>
                <w:szCs w:val="21"/>
                <w:highlight w:val="none"/>
              </w:rPr>
              <w:t>；专家和公众咨询法</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hint="eastAsia" w:ascii="Times New Roman" w:hAnsi="Times New Roman" w:eastAsia="宋体" w:cs="Times New Roman"/>
                <w:snapToGrid w:val="0"/>
                <w:color w:val="auto"/>
                <w:kern w:val="0"/>
                <w:sz w:val="21"/>
                <w:szCs w:val="21"/>
                <w:highlight w:val="none"/>
              </w:rPr>
              <w:t>□</w:t>
            </w:r>
          </w:p>
        </w:tc>
      </w:tr>
      <w:tr w14:paraId="30D7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23" w:type="pct"/>
            <w:vMerge w:val="continue"/>
            <w:vAlign w:val="center"/>
          </w:tcPr>
          <w:p w14:paraId="4436688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4E3FB47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调查时间</w:t>
            </w:r>
          </w:p>
        </w:tc>
        <w:tc>
          <w:tcPr>
            <w:tcW w:w="3739" w:type="pct"/>
            <w:vAlign w:val="center"/>
          </w:tcPr>
          <w:p w14:paraId="47FA0EEA">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春季</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；夏季</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；秋季</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；冬季</w:t>
            </w:r>
            <w:r>
              <w:rPr>
                <w:rFonts w:ascii="Times New Roman" w:hAnsi="Times New Roman" w:eastAsia="宋体" w:cs="Times New Roman"/>
                <w:snapToGrid w:val="0"/>
                <w:color w:val="auto"/>
                <w:kern w:val="0"/>
                <w:sz w:val="21"/>
                <w:szCs w:val="21"/>
                <w:highlight w:val="none"/>
              </w:rPr>
              <w:sym w:font="Wingdings 2" w:char="00A3"/>
            </w:r>
            <w:r>
              <w:rPr>
                <w:rFonts w:ascii="Times New Roman" w:hAnsi="Times New Roman" w:eastAsia="宋体" w:cs="Times New Roman"/>
                <w:snapToGrid w:val="0"/>
                <w:color w:val="auto"/>
                <w:kern w:val="0"/>
                <w:sz w:val="21"/>
                <w:szCs w:val="21"/>
                <w:highlight w:val="none"/>
              </w:rPr>
              <w:t>；丰水期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；枯水期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；平水期</w:t>
            </w:r>
            <w:r>
              <w:rPr>
                <w:rFonts w:hint="eastAsia" w:ascii="Times New Roman" w:hAnsi="Times New Roman" w:eastAsia="宋体" w:cs="Times New Roman"/>
                <w:snapToGrid w:val="0"/>
                <w:color w:val="auto"/>
                <w:kern w:val="0"/>
                <w:sz w:val="21"/>
                <w:szCs w:val="21"/>
                <w:highlight w:val="none"/>
              </w:rPr>
              <w:t>□</w:t>
            </w:r>
          </w:p>
        </w:tc>
      </w:tr>
      <w:tr w14:paraId="3424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23" w:type="pct"/>
            <w:vMerge w:val="continue"/>
            <w:vAlign w:val="center"/>
          </w:tcPr>
          <w:p w14:paraId="5D1D550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3BB2BDA7">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所在区域的生态问题</w:t>
            </w:r>
          </w:p>
        </w:tc>
        <w:tc>
          <w:tcPr>
            <w:tcW w:w="3739" w:type="pct"/>
            <w:vAlign w:val="center"/>
          </w:tcPr>
          <w:p w14:paraId="62DDBEA7">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水土流失</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；沙漠化</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；石漠化</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；盐渍化</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；生物入侵</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；污染危害</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hint="eastAsia" w:ascii="Times New Roman" w:hAnsi="Times New Roman" w:eastAsia="宋体" w:cs="Times New Roman"/>
                <w:snapToGrid w:val="0"/>
                <w:color w:val="auto"/>
                <w:kern w:val="0"/>
                <w:sz w:val="21"/>
                <w:szCs w:val="21"/>
                <w:highlight w:val="none"/>
              </w:rPr>
              <w:t>□</w:t>
            </w:r>
          </w:p>
        </w:tc>
      </w:tr>
      <w:tr w14:paraId="519C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23" w:type="pct"/>
            <w:vMerge w:val="continue"/>
            <w:vAlign w:val="center"/>
          </w:tcPr>
          <w:p w14:paraId="58361B78">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4E42915A">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评价内容</w:t>
            </w:r>
          </w:p>
        </w:tc>
        <w:tc>
          <w:tcPr>
            <w:tcW w:w="3739" w:type="pct"/>
            <w:vAlign w:val="center"/>
          </w:tcPr>
          <w:p w14:paraId="5EC23342">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植被/植物群落</w:t>
            </w:r>
            <w:r>
              <w:rPr>
                <w:rFonts w:ascii="Times New Roman" w:hAnsi="Times New Roman" w:eastAsia="宋体" w:cs="Times New Roman"/>
                <w:snapToGrid w:val="0"/>
                <w:color w:val="auto"/>
                <w:kern w:val="0"/>
                <w:sz w:val="21"/>
                <w:szCs w:val="21"/>
                <w:highlight w:val="none"/>
              </w:rPr>
              <w:sym w:font="Wingdings 2" w:char="F052"/>
            </w:r>
            <w:r>
              <w:rPr>
                <w:rFonts w:ascii="Times New Roman" w:hAnsi="Times New Roman" w:eastAsia="宋体" w:cs="Times New Roman"/>
                <w:snapToGrid w:val="0"/>
                <w:color w:val="auto"/>
                <w:kern w:val="0"/>
                <w:sz w:val="21"/>
                <w:szCs w:val="21"/>
                <w:highlight w:val="none"/>
              </w:rPr>
              <w:t>；土地利用</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；生态系统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；生物多样性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；重要物种</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；生态敏感区</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F052"/>
            </w:r>
          </w:p>
        </w:tc>
      </w:tr>
      <w:tr w14:paraId="4FE7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23" w:type="pct"/>
            <w:vMerge w:val="restart"/>
            <w:vAlign w:val="center"/>
          </w:tcPr>
          <w:p w14:paraId="1B1AB97F">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生态影响预测与评价</w:t>
            </w:r>
          </w:p>
        </w:tc>
        <w:tc>
          <w:tcPr>
            <w:tcW w:w="736" w:type="pct"/>
            <w:vAlign w:val="center"/>
          </w:tcPr>
          <w:p w14:paraId="0BF09F8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评价方法</w:t>
            </w:r>
          </w:p>
        </w:tc>
        <w:tc>
          <w:tcPr>
            <w:tcW w:w="3739" w:type="pct"/>
            <w:vAlign w:val="center"/>
          </w:tcPr>
          <w:p w14:paraId="202198A6">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定性</w:t>
            </w:r>
            <w:r>
              <w:rPr>
                <w:rFonts w:ascii="Times New Roman" w:hAnsi="Times New Roman" w:eastAsia="宋体" w:cs="Times New Roman"/>
                <w:snapToGrid w:val="0"/>
                <w:color w:val="auto"/>
                <w:kern w:val="0"/>
                <w:sz w:val="21"/>
                <w:szCs w:val="21"/>
                <w:highlight w:val="none"/>
              </w:rPr>
              <w:sym w:font="Wingdings 2" w:char="0052"/>
            </w:r>
            <w:r>
              <w:rPr>
                <w:rFonts w:ascii="Times New Roman" w:hAnsi="Times New Roman" w:eastAsia="宋体" w:cs="Times New Roman"/>
                <w:snapToGrid w:val="0"/>
                <w:color w:val="auto"/>
                <w:kern w:val="0"/>
                <w:sz w:val="21"/>
                <w:szCs w:val="21"/>
                <w:highlight w:val="none"/>
              </w:rPr>
              <w:t>；定性和定量</w:t>
            </w:r>
            <w:r>
              <w:rPr>
                <w:rFonts w:hint="eastAsia" w:ascii="Times New Roman" w:hAnsi="Times New Roman" w:eastAsia="宋体" w:cs="Times New Roman"/>
                <w:snapToGrid w:val="0"/>
                <w:color w:val="auto"/>
                <w:kern w:val="0"/>
                <w:sz w:val="21"/>
                <w:szCs w:val="21"/>
                <w:highlight w:val="none"/>
              </w:rPr>
              <w:t>□</w:t>
            </w:r>
          </w:p>
        </w:tc>
      </w:tr>
      <w:tr w14:paraId="4FB7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23" w:type="pct"/>
            <w:vMerge w:val="continue"/>
            <w:vAlign w:val="center"/>
          </w:tcPr>
          <w:p w14:paraId="27FE3A95">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0E7DF47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评价内容</w:t>
            </w:r>
          </w:p>
        </w:tc>
        <w:tc>
          <w:tcPr>
            <w:tcW w:w="3739" w:type="pct"/>
            <w:vAlign w:val="center"/>
          </w:tcPr>
          <w:p w14:paraId="080B737C">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植被/植物群落</w:t>
            </w:r>
            <w:r>
              <w:rPr>
                <w:rFonts w:ascii="Times New Roman" w:hAnsi="Times New Roman" w:eastAsia="宋体" w:cs="Times New Roman"/>
                <w:snapToGrid w:val="0"/>
                <w:color w:val="auto"/>
                <w:kern w:val="0"/>
                <w:sz w:val="21"/>
                <w:szCs w:val="21"/>
                <w:highlight w:val="none"/>
              </w:rPr>
              <w:sym w:font="Wingdings 2" w:char="F052"/>
            </w:r>
            <w:r>
              <w:rPr>
                <w:rFonts w:ascii="Times New Roman" w:hAnsi="Times New Roman" w:eastAsia="宋体" w:cs="Times New Roman"/>
                <w:snapToGrid w:val="0"/>
                <w:color w:val="auto"/>
                <w:kern w:val="0"/>
                <w:sz w:val="21"/>
                <w:szCs w:val="21"/>
                <w:highlight w:val="none"/>
              </w:rPr>
              <w:t>；土地利用</w:t>
            </w:r>
            <w:r>
              <w:rPr>
                <w:rFonts w:ascii="Times New Roman" w:hAnsi="Times New Roman" w:eastAsia="宋体" w:cs="Times New Roman"/>
                <w:snapToGrid w:val="0"/>
                <w:color w:val="auto"/>
                <w:kern w:val="0"/>
                <w:sz w:val="21"/>
                <w:szCs w:val="21"/>
                <w:highlight w:val="none"/>
              </w:rPr>
              <w:sym w:font="Wingdings 2" w:char="F052"/>
            </w:r>
            <w:r>
              <w:rPr>
                <w:rFonts w:ascii="Times New Roman" w:hAnsi="Times New Roman" w:eastAsia="宋体" w:cs="Times New Roman"/>
                <w:snapToGrid w:val="0"/>
                <w:color w:val="auto"/>
                <w:kern w:val="0"/>
                <w:sz w:val="21"/>
                <w:szCs w:val="21"/>
                <w:highlight w:val="none"/>
              </w:rPr>
              <w:t>；生态系统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；生物多样性</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；重要物种</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；生态敏感区</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；生物入侵风险</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F052"/>
            </w:r>
          </w:p>
        </w:tc>
      </w:tr>
      <w:tr w14:paraId="32CE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523" w:type="pct"/>
            <w:vMerge w:val="restart"/>
            <w:vAlign w:val="center"/>
          </w:tcPr>
          <w:p w14:paraId="759A2F2C">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生态保护对策措施</w:t>
            </w:r>
          </w:p>
        </w:tc>
        <w:tc>
          <w:tcPr>
            <w:tcW w:w="736" w:type="pct"/>
            <w:vAlign w:val="center"/>
          </w:tcPr>
          <w:p w14:paraId="70607DAE">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对策措施</w:t>
            </w:r>
          </w:p>
        </w:tc>
        <w:tc>
          <w:tcPr>
            <w:tcW w:w="3739" w:type="pct"/>
            <w:vAlign w:val="center"/>
          </w:tcPr>
          <w:p w14:paraId="3E2A8B59">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避让</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；减缓</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；生态修复</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；生态补偿</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；科研</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F052"/>
            </w:r>
          </w:p>
        </w:tc>
      </w:tr>
      <w:tr w14:paraId="2C1C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23" w:type="pct"/>
            <w:vMerge w:val="continue"/>
            <w:vAlign w:val="center"/>
          </w:tcPr>
          <w:p w14:paraId="48FFA213">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311D755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生态监测</w:t>
            </w:r>
          </w:p>
          <w:p w14:paraId="1CCF0D14">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计划</w:t>
            </w:r>
          </w:p>
        </w:tc>
        <w:tc>
          <w:tcPr>
            <w:tcW w:w="3739" w:type="pct"/>
            <w:vAlign w:val="center"/>
          </w:tcPr>
          <w:p w14:paraId="386C6484">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全生命周期</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；长期跟踪</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；常规</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；无</w:t>
            </w:r>
            <w:r>
              <w:rPr>
                <w:rFonts w:ascii="Times New Roman" w:hAnsi="Times New Roman" w:eastAsia="宋体" w:cs="Times New Roman"/>
                <w:snapToGrid w:val="0"/>
                <w:color w:val="auto"/>
                <w:kern w:val="0"/>
                <w:sz w:val="21"/>
                <w:szCs w:val="21"/>
                <w:highlight w:val="none"/>
              </w:rPr>
              <w:sym w:font="Wingdings 2" w:char="F052"/>
            </w:r>
          </w:p>
        </w:tc>
      </w:tr>
      <w:tr w14:paraId="054D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23" w:type="pct"/>
            <w:vMerge w:val="continue"/>
            <w:vAlign w:val="center"/>
          </w:tcPr>
          <w:p w14:paraId="293B3B6D">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p>
        </w:tc>
        <w:tc>
          <w:tcPr>
            <w:tcW w:w="736" w:type="pct"/>
            <w:vAlign w:val="center"/>
          </w:tcPr>
          <w:p w14:paraId="14D72C6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环境管理</w:t>
            </w:r>
          </w:p>
        </w:tc>
        <w:tc>
          <w:tcPr>
            <w:tcW w:w="3739" w:type="pct"/>
            <w:vAlign w:val="center"/>
          </w:tcPr>
          <w:p w14:paraId="3A05CF52">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环境监理</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；环境影响后评价</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；其他</w:t>
            </w:r>
            <w:r>
              <w:rPr>
                <w:rFonts w:ascii="Times New Roman" w:hAnsi="Times New Roman" w:eastAsia="宋体" w:cs="Times New Roman"/>
                <w:snapToGrid w:val="0"/>
                <w:color w:val="auto"/>
                <w:kern w:val="0"/>
                <w:sz w:val="21"/>
                <w:szCs w:val="21"/>
                <w:highlight w:val="none"/>
              </w:rPr>
              <w:sym w:font="Wingdings 2" w:char="F052"/>
            </w:r>
          </w:p>
        </w:tc>
      </w:tr>
      <w:tr w14:paraId="397E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23" w:type="pct"/>
            <w:vAlign w:val="center"/>
          </w:tcPr>
          <w:p w14:paraId="043ED00B">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评价</w:t>
            </w:r>
          </w:p>
          <w:p w14:paraId="305AC5D2">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结论</w:t>
            </w:r>
          </w:p>
        </w:tc>
        <w:tc>
          <w:tcPr>
            <w:tcW w:w="736" w:type="pct"/>
            <w:vAlign w:val="center"/>
          </w:tcPr>
          <w:p w14:paraId="7B6335E9">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生态影响</w:t>
            </w:r>
          </w:p>
        </w:tc>
        <w:tc>
          <w:tcPr>
            <w:tcW w:w="3739" w:type="pct"/>
            <w:vAlign w:val="center"/>
          </w:tcPr>
          <w:p w14:paraId="33203D0A">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可行</w:t>
            </w:r>
            <w:r>
              <w:rPr>
                <w:rFonts w:ascii="Times New Roman" w:hAnsi="Times New Roman" w:eastAsia="宋体" w:cs="Times New Roman"/>
                <w:snapToGrid w:val="0"/>
                <w:color w:val="auto"/>
                <w:kern w:val="0"/>
                <w:sz w:val="21"/>
                <w:szCs w:val="21"/>
                <w:highlight w:val="none"/>
              </w:rPr>
              <w:sym w:font="Wingdings 2" w:char="F052"/>
            </w:r>
            <w:r>
              <w:rPr>
                <w:rFonts w:ascii="Times New Roman" w:hAnsi="Times New Roman" w:eastAsia="宋体" w:cs="Times New Roman"/>
                <w:snapToGrid w:val="0"/>
                <w:color w:val="auto"/>
                <w:kern w:val="0"/>
                <w:sz w:val="21"/>
                <w:szCs w:val="21"/>
                <w:highlight w:val="none"/>
              </w:rPr>
              <w:t>；不可行</w:t>
            </w:r>
            <w:r>
              <w:rPr>
                <w:rFonts w:hint="eastAsia" w:ascii="Times New Roman" w:hAnsi="Times New Roman" w:eastAsia="宋体" w:cs="Times New Roman"/>
                <w:snapToGrid w:val="0"/>
                <w:color w:val="auto"/>
                <w:kern w:val="0"/>
                <w:sz w:val="21"/>
                <w:szCs w:val="21"/>
                <w:highlight w:val="none"/>
              </w:rPr>
              <w:t>□</w:t>
            </w:r>
          </w:p>
        </w:tc>
      </w:tr>
      <w:tr w14:paraId="54DB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000" w:type="pct"/>
            <w:gridSpan w:val="3"/>
            <w:vAlign w:val="center"/>
          </w:tcPr>
          <w:p w14:paraId="5A8FDEA4">
            <w:pPr>
              <w:keepNext w:val="0"/>
              <w:keepLines w:val="0"/>
              <w:pageBreakBefore w:val="0"/>
              <w:widowControl/>
              <w:kinsoku/>
              <w:wordWrap/>
              <w:overflowPunct/>
              <w:topLinePunct w:val="0"/>
              <w:autoSpaceDE/>
              <w:autoSpaceDN/>
              <w:bidi w:val="0"/>
              <w:adjustRightInd w:val="0"/>
              <w:snapToGrid w:val="0"/>
              <w:jc w:val="left"/>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注：“”为勾选项，可√；“（）”为内容填写项。</w:t>
            </w:r>
          </w:p>
        </w:tc>
      </w:tr>
    </w:tbl>
    <w:p w14:paraId="7E4C0F52">
      <w:pPr>
        <w:rPr>
          <w:rFonts w:hint="eastAsia" w:ascii="Times New Roman" w:hAnsi="Times New Roman" w:cs="Times New Roman"/>
          <w:snapToGrid w:val="0"/>
          <w:color w:val="auto"/>
          <w:kern w:val="0"/>
          <w:sz w:val="21"/>
          <w:szCs w:val="21"/>
          <w:highlight w:val="none"/>
        </w:rPr>
      </w:pPr>
    </w:p>
    <w:p w14:paraId="6F32E735">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149" w:name="_Toc658"/>
      <w:bookmarkStart w:id="150" w:name="_Toc13169"/>
      <w:r>
        <w:rPr>
          <w:rFonts w:hint="eastAsia" w:ascii="Times New Roman" w:hAnsi="Times New Roman" w:cs="Times New Roman"/>
          <w:b w:val="0"/>
          <w:bCs w:val="0"/>
          <w:snapToGrid w:val="0"/>
          <w:color w:val="auto"/>
          <w:kern w:val="0"/>
          <w:sz w:val="28"/>
          <w:szCs w:val="28"/>
          <w:highlight w:val="none"/>
          <w:lang w:val="en-US" w:eastAsia="zh-CN"/>
        </w:rPr>
        <w:t>6.3生态环境风险分析</w:t>
      </w:r>
      <w:bookmarkEnd w:id="149"/>
      <w:bookmarkEnd w:id="150"/>
    </w:p>
    <w:p w14:paraId="37222A36">
      <w:pPr>
        <w:pStyle w:val="504"/>
        <w:adjustRightInd w:val="0"/>
        <w:snapToGrid w:val="0"/>
        <w:spacing w:line="360" w:lineRule="auto"/>
        <w:ind w:firstLine="480"/>
        <w:rPr>
          <w:rFonts w:ascii="Times New Roman" w:hAnsi="Times New Roman"/>
          <w:snapToGrid w:val="0"/>
          <w:color w:val="auto"/>
          <w:kern w:val="0"/>
          <w:highlight w:val="none"/>
        </w:rPr>
      </w:pPr>
      <w:bookmarkStart w:id="151" w:name="_Toc8930"/>
      <w:bookmarkStart w:id="152" w:name="_Toc433814562"/>
      <w:bookmarkStart w:id="153" w:name="_Toc20167"/>
      <w:bookmarkStart w:id="154" w:name="_Toc448920648"/>
      <w:bookmarkStart w:id="155" w:name="_Toc477542422"/>
      <w:bookmarkStart w:id="156" w:name="_Toc653"/>
      <w:bookmarkStart w:id="157" w:name="_Toc485196113"/>
      <w:bookmarkStart w:id="158" w:name="_Toc668"/>
      <w:bookmarkStart w:id="159" w:name="_Toc3567"/>
      <w:bookmarkStart w:id="160" w:name="_Toc32513"/>
      <w:bookmarkStart w:id="161" w:name="_Toc483733168"/>
      <w:bookmarkStart w:id="162" w:name="_Toc398849230"/>
      <w:r>
        <w:rPr>
          <w:rFonts w:hint="eastAsia" w:eastAsiaTheme="minorEastAsia"/>
          <w:snapToGrid w:val="0"/>
          <w:color w:val="auto"/>
          <w:kern w:val="0"/>
          <w:sz w:val="24"/>
          <w:highlight w:val="none"/>
          <w:lang w:val="en-US" w:eastAsia="zh-CN"/>
        </w:rPr>
        <w:t>生态</w:t>
      </w:r>
      <w:r>
        <w:rPr>
          <w:rFonts w:hint="eastAsia" w:ascii="Times New Roman" w:hAnsi="Times New Roman"/>
          <w:snapToGrid w:val="0"/>
          <w:color w:val="auto"/>
          <w:kern w:val="0"/>
          <w:highlight w:val="none"/>
        </w:rPr>
        <w:t>环境风险评价的目的是分析和预测建设项目存在的潜在危险、有害因素，项目建设和运行期间发生的可预测突发事件或事故（一般不包括人为破坏及自然灾害），引起有毒有害、易燃易爆等物质泄漏，或突发事件产生的新的有毒有害物质，所造成的对人身安全与环境的影响和损害程度，提出合理可行的防范、应急与减缓措施，以使建设项目事故率、损失和</w:t>
      </w:r>
      <w:r>
        <w:rPr>
          <w:rFonts w:hint="eastAsia" w:eastAsiaTheme="minorEastAsia"/>
          <w:snapToGrid w:val="0"/>
          <w:color w:val="auto"/>
          <w:kern w:val="0"/>
          <w:sz w:val="24"/>
          <w:highlight w:val="none"/>
          <w:lang w:val="en-US" w:eastAsia="zh-CN"/>
        </w:rPr>
        <w:t>生态</w:t>
      </w:r>
      <w:r>
        <w:rPr>
          <w:rFonts w:hint="eastAsia" w:ascii="Times New Roman" w:hAnsi="Times New Roman"/>
          <w:snapToGrid w:val="0"/>
          <w:color w:val="auto"/>
          <w:kern w:val="0"/>
          <w:highlight w:val="none"/>
        </w:rPr>
        <w:t>环境影响达到可接受水平。</w:t>
      </w:r>
    </w:p>
    <w:p w14:paraId="3722E1D1">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163" w:name="_Toc390713439"/>
      <w:r>
        <w:rPr>
          <w:rFonts w:hint="eastAsia" w:ascii="Times New Roman" w:hAnsi="Times New Roman" w:cs="Times New Roman"/>
          <w:snapToGrid w:val="0"/>
          <w:color w:val="auto"/>
          <w:spacing w:val="0"/>
          <w:kern w:val="0"/>
          <w:szCs w:val="24"/>
          <w:highlight w:val="none"/>
          <w:lang w:val="en-US" w:eastAsia="zh-CN"/>
        </w:rPr>
        <w:t>6.3.1生态环境风险评价概述</w:t>
      </w:r>
    </w:p>
    <w:bookmarkEnd w:id="163"/>
    <w:p w14:paraId="093C4DE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6.3.1.1生态环境风险评价内容</w:t>
      </w:r>
    </w:p>
    <w:p w14:paraId="42EB6A06">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根据《建设项目环境风险评价技术导则》（HJ169-2018）和《关于进一步加强环境影响评价管理防范环境风险的通知》（环发〔2012〕77号），项目实施后</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环境风险评价的基本内容包括：</w:t>
      </w:r>
    </w:p>
    <w:p w14:paraId="011B05E0">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（1）项目风险调查。在分析建设项目物质及工艺系统危险性和环境敏感性的基础下，进行风险潜势的判断，确定风险评价等级。</w:t>
      </w:r>
    </w:p>
    <w:p w14:paraId="67755D63">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（2）项目风险识别及风险事故情形分析。明确危险物质在生产系统中的主要分布，筛选具有代表性的风险事故情形，合理设定事故源项。</w:t>
      </w:r>
    </w:p>
    <w:p w14:paraId="5CCF85B5">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（3）开展预测评价。各环境要素按确定的评价工作等级分别预测评价，并分析说明</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环境风险危害范围与程度，提出</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环境风险防范的基本要求。</w:t>
      </w:r>
    </w:p>
    <w:p w14:paraId="132FF2DE">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（4）提出</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环境风险管理对策，明确</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环境风险防范措施及突发</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环境事件应急预案编制要求。</w:t>
      </w:r>
    </w:p>
    <w:p w14:paraId="3BBC15F6">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（5）综合</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环境风险评价过程，给出评价结论与建议。</w:t>
      </w:r>
    </w:p>
    <w:p w14:paraId="118C761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6.3.1.2生态环境风险评价原则</w:t>
      </w:r>
    </w:p>
    <w:p w14:paraId="52245F85">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环境风险评价应以突发性事故导致的危险物质</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环境急性损害防控为目标，对建设项目的</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环境风险进行分析、预测和评估，提出</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环境风险预防、控制、减缓措施，明确</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环境风险监控及应急建议要求，为建设项目</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kern w:val="0"/>
          <w:highlight w:val="none"/>
        </w:rPr>
        <w:t>环境风险防控提供科学依据。</w:t>
      </w:r>
    </w:p>
    <w:p w14:paraId="62AD74C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6.3.1.3生态环境风险评价工作程序</w:t>
      </w:r>
    </w:p>
    <w:p w14:paraId="49111D9E">
      <w:pPr>
        <w:pStyle w:val="504"/>
        <w:adjustRightInd w:val="0"/>
        <w:snapToGrid w:val="0"/>
        <w:spacing w:line="360" w:lineRule="auto"/>
        <w:ind w:firstLine="480"/>
        <w:rPr>
          <w:rFonts w:ascii="Times New Roman" w:hAnsi="Times New Roman" w:cs="Times New Roman"/>
          <w:snapToGrid w:val="0"/>
          <w:color w:val="auto"/>
          <w:kern w:val="0"/>
          <w:highlight w:val="none"/>
        </w:rPr>
      </w:pPr>
      <w:r>
        <w:rPr>
          <w:rFonts w:hint="eastAsia" w:ascii="Times New Roman" w:hAnsi="Times New Roman" w:cs="Times New Roman"/>
          <w:snapToGrid w:val="0"/>
          <w:color w:val="auto"/>
          <w:kern w:val="0"/>
          <w:highlight w:val="none"/>
        </w:rPr>
        <w:t>根据《建设项目环境风险评价技术导则》（HJ169-2018）其评价工作流程见图6.3-1。</w:t>
      </w:r>
    </w:p>
    <w:p w14:paraId="14EDB432">
      <w:pPr>
        <w:adjustRightInd w:val="0"/>
        <w:snapToGrid w:val="0"/>
        <w:spacing w:line="360" w:lineRule="auto"/>
        <w:jc w:val="center"/>
        <w:rPr>
          <w:rFonts w:eastAsia="黑体"/>
          <w:snapToGrid w:val="0"/>
          <w:color w:val="auto"/>
          <w:kern w:val="0"/>
          <w:szCs w:val="21"/>
          <w:highlight w:val="none"/>
        </w:rPr>
      </w:pPr>
      <w:r>
        <w:rPr>
          <w:color w:val="auto"/>
          <w:highlight w:val="none"/>
        </w:rPr>
        <w:drawing>
          <wp:inline distT="0" distB="0" distL="114300" distR="114300">
            <wp:extent cx="5246370" cy="5761355"/>
            <wp:effectExtent l="0" t="0" r="11430" b="10795"/>
            <wp:docPr id="12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2"/>
                    <pic:cNvPicPr>
                      <a:picLocks noChangeAspect="1"/>
                    </pic:cNvPicPr>
                  </pic:nvPicPr>
                  <pic:blipFill>
                    <a:blip r:embed="rId73"/>
                    <a:srcRect l="4555" r="6242"/>
                    <a:stretch>
                      <a:fillRect/>
                    </a:stretch>
                  </pic:blipFill>
                  <pic:spPr>
                    <a:xfrm>
                      <a:off x="0" y="0"/>
                      <a:ext cx="5246370" cy="5761355"/>
                    </a:xfrm>
                    <a:prstGeom prst="rect">
                      <a:avLst/>
                    </a:prstGeom>
                    <a:noFill/>
                    <a:ln>
                      <a:noFill/>
                    </a:ln>
                  </pic:spPr>
                </pic:pic>
              </a:graphicData>
            </a:graphic>
          </wp:inline>
        </w:drawing>
      </w:r>
      <w:r>
        <w:rPr>
          <w:rFonts w:hint="eastAsia" w:eastAsia="黑体"/>
          <w:snapToGrid w:val="0"/>
          <w:color w:val="auto"/>
          <w:kern w:val="0"/>
          <w:szCs w:val="21"/>
          <w:highlight w:val="none"/>
        </w:rPr>
        <w:t xml:space="preserve">图6.3-1  </w:t>
      </w:r>
      <w:r>
        <w:rPr>
          <w:rFonts w:hint="eastAsia" w:eastAsia="黑体"/>
          <w:snapToGrid w:val="0"/>
          <w:color w:val="auto"/>
          <w:kern w:val="0"/>
          <w:szCs w:val="21"/>
          <w:highlight w:val="none"/>
          <w:lang w:val="en-US" w:eastAsia="zh-CN"/>
        </w:rPr>
        <w:t>生态</w:t>
      </w:r>
      <w:r>
        <w:rPr>
          <w:rFonts w:hint="eastAsia" w:eastAsia="黑体"/>
          <w:snapToGrid w:val="0"/>
          <w:color w:val="auto"/>
          <w:kern w:val="0"/>
          <w:szCs w:val="21"/>
          <w:highlight w:val="none"/>
        </w:rPr>
        <w:t>环境风险评价工作程序框图</w:t>
      </w:r>
    </w:p>
    <w:bookmarkEnd w:id="151"/>
    <w:bookmarkEnd w:id="152"/>
    <w:bookmarkEnd w:id="153"/>
    <w:bookmarkEnd w:id="154"/>
    <w:bookmarkEnd w:id="155"/>
    <w:bookmarkEnd w:id="156"/>
    <w:bookmarkEnd w:id="157"/>
    <w:bookmarkEnd w:id="158"/>
    <w:bookmarkEnd w:id="159"/>
    <w:bookmarkEnd w:id="160"/>
    <w:bookmarkEnd w:id="161"/>
    <w:bookmarkEnd w:id="162"/>
    <w:p w14:paraId="472824E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6.3.2生态环境风险调查</w:t>
      </w:r>
    </w:p>
    <w:p w14:paraId="272587C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6.3.2.1建设项目风险源调查</w:t>
      </w:r>
    </w:p>
    <w:p w14:paraId="2C02C328">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本次</w:t>
      </w:r>
      <w:r>
        <w:rPr>
          <w:rFonts w:hint="eastAsia" w:eastAsiaTheme="minorEastAsia"/>
          <w:snapToGrid w:val="0"/>
          <w:color w:val="auto"/>
          <w:kern w:val="0"/>
          <w:sz w:val="24"/>
          <w:highlight w:val="none"/>
          <w:lang w:val="en-US" w:eastAsia="zh-CN"/>
        </w:rPr>
        <w:t>生态</w:t>
      </w:r>
      <w:r>
        <w:rPr>
          <w:rFonts w:hint="eastAsia"/>
          <w:snapToGrid w:val="0"/>
          <w:color w:val="auto"/>
          <w:kern w:val="0"/>
          <w:sz w:val="24"/>
          <w:highlight w:val="none"/>
        </w:rPr>
        <w:t>环境风险源调查包括危险物质数量和分布情况、生产工艺特点的调查。</w:t>
      </w:r>
    </w:p>
    <w:p w14:paraId="7956850E">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（1）危险物质调查</w:t>
      </w:r>
    </w:p>
    <w:p w14:paraId="3A9E5B3C">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危险物质数量和分布情况的风险调查指本项目所涉及的主要原辅材料、燃料、中间产品、副产品、最终产品、污染物、火灾和爆炸伴生/次生物等的调查。</w:t>
      </w:r>
    </w:p>
    <w:p w14:paraId="5781A4D2">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根据建设单位提供的相关资料，本项目主要产品为</w:t>
      </w:r>
      <w:r>
        <w:rPr>
          <w:rFonts w:hint="eastAsia"/>
          <w:snapToGrid w:val="0"/>
          <w:color w:val="auto"/>
          <w:kern w:val="0"/>
          <w:sz w:val="24"/>
          <w:highlight w:val="none"/>
          <w:lang w:eastAsia="zh-CN"/>
        </w:rPr>
        <w:t>二元酸</w:t>
      </w:r>
      <w:r>
        <w:rPr>
          <w:rFonts w:hint="eastAsia"/>
          <w:snapToGrid w:val="0"/>
          <w:color w:val="auto"/>
          <w:kern w:val="0"/>
          <w:sz w:val="24"/>
          <w:highlight w:val="none"/>
        </w:rPr>
        <w:t>；主要原辅材料为</w:t>
      </w:r>
      <w:r>
        <w:rPr>
          <w:rFonts w:hint="eastAsia"/>
          <w:snapToGrid w:val="0"/>
          <w:color w:val="auto"/>
          <w:kern w:val="0"/>
          <w:sz w:val="24"/>
          <w:highlight w:val="none"/>
          <w:lang w:bidi="ar"/>
        </w:rPr>
        <w:t>烷烃、</w:t>
      </w:r>
      <w:r>
        <w:rPr>
          <w:rFonts w:hint="eastAsia"/>
          <w:snapToGrid w:val="0"/>
          <w:color w:val="auto"/>
          <w:kern w:val="0"/>
          <w:sz w:val="24"/>
          <w:highlight w:val="none"/>
        </w:rPr>
        <w:t>发酵液、硫酸（98%）、氧化钙、氢氧化钠溶液（32%）</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硫酸铵</w:t>
      </w:r>
      <w:r>
        <w:rPr>
          <w:rFonts w:hint="eastAsia"/>
          <w:snapToGrid w:val="0"/>
          <w:color w:val="auto"/>
          <w:kern w:val="0"/>
          <w:sz w:val="24"/>
          <w:highlight w:val="none"/>
        </w:rPr>
        <w:t>等。</w:t>
      </w:r>
    </w:p>
    <w:p w14:paraId="7BD20691">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本项目主体工程包括发酵装置、提取装置、脱色罐、溶解罐和干燥设备等，公辅工程包括循环水站、动力站等，蒸汽系统依托厂区现有5×75t/h燃煤锅炉，液体物料储运包括硫酸罐、</w:t>
      </w:r>
      <w:r>
        <w:rPr>
          <w:rFonts w:hint="eastAsia"/>
          <w:snapToGrid w:val="0"/>
          <w:color w:val="auto"/>
          <w:kern w:val="0"/>
          <w:sz w:val="24"/>
          <w:highlight w:val="none"/>
          <w:lang w:eastAsia="zh-CN"/>
        </w:rPr>
        <w:t>液碱</w:t>
      </w:r>
      <w:r>
        <w:rPr>
          <w:rFonts w:hint="eastAsia"/>
          <w:snapToGrid w:val="0"/>
          <w:color w:val="auto"/>
          <w:kern w:val="0"/>
          <w:sz w:val="24"/>
          <w:highlight w:val="none"/>
        </w:rPr>
        <w:t>罐、烷烃罐；固体原料依托成品仓库及危废暂存贮存库。</w:t>
      </w:r>
    </w:p>
    <w:p w14:paraId="79BE7723">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根据建设项目生产工艺特点，本项目产生的废气主要污染物为非甲烷总烃、颗粒物、硫酸雾、NH</w:t>
      </w:r>
      <w:r>
        <w:rPr>
          <w:rFonts w:hint="eastAsia"/>
          <w:snapToGrid w:val="0"/>
          <w:color w:val="auto"/>
          <w:kern w:val="0"/>
          <w:sz w:val="24"/>
          <w:highlight w:val="none"/>
          <w:vertAlign w:val="subscript"/>
        </w:rPr>
        <w:t>3</w:t>
      </w:r>
      <w:r>
        <w:rPr>
          <w:rFonts w:hint="eastAsia"/>
          <w:snapToGrid w:val="0"/>
          <w:color w:val="auto"/>
          <w:kern w:val="0"/>
          <w:sz w:val="24"/>
          <w:highlight w:val="none"/>
        </w:rPr>
        <w:t>、H</w:t>
      </w:r>
      <w:r>
        <w:rPr>
          <w:rFonts w:hint="eastAsia"/>
          <w:snapToGrid w:val="0"/>
          <w:color w:val="auto"/>
          <w:kern w:val="0"/>
          <w:sz w:val="24"/>
          <w:highlight w:val="none"/>
          <w:vertAlign w:val="subscript"/>
        </w:rPr>
        <w:t>2</w:t>
      </w:r>
      <w:r>
        <w:rPr>
          <w:rFonts w:hint="eastAsia"/>
          <w:snapToGrid w:val="0"/>
          <w:color w:val="auto"/>
          <w:kern w:val="0"/>
          <w:sz w:val="24"/>
          <w:highlight w:val="none"/>
        </w:rPr>
        <w:t>S、SO</w:t>
      </w:r>
      <w:r>
        <w:rPr>
          <w:rFonts w:hint="eastAsia"/>
          <w:snapToGrid w:val="0"/>
          <w:color w:val="auto"/>
          <w:kern w:val="0"/>
          <w:sz w:val="24"/>
          <w:highlight w:val="none"/>
          <w:vertAlign w:val="subscript"/>
        </w:rPr>
        <w:t>2</w:t>
      </w:r>
      <w:r>
        <w:rPr>
          <w:rFonts w:hint="eastAsia"/>
          <w:snapToGrid w:val="0"/>
          <w:color w:val="auto"/>
          <w:kern w:val="0"/>
          <w:sz w:val="24"/>
          <w:highlight w:val="none"/>
        </w:rPr>
        <w:t>、NO</w:t>
      </w:r>
      <w:r>
        <w:rPr>
          <w:rFonts w:hint="eastAsia"/>
          <w:snapToGrid w:val="0"/>
          <w:color w:val="auto"/>
          <w:kern w:val="0"/>
          <w:sz w:val="24"/>
          <w:highlight w:val="none"/>
          <w:vertAlign w:val="subscript"/>
        </w:rPr>
        <w:t>X</w:t>
      </w:r>
      <w:r>
        <w:rPr>
          <w:rFonts w:hint="eastAsia"/>
          <w:snapToGrid w:val="0"/>
          <w:color w:val="auto"/>
          <w:kern w:val="0"/>
          <w:sz w:val="24"/>
          <w:highlight w:val="none"/>
        </w:rPr>
        <w:t>等；产生的废水主要污染物为</w:t>
      </w:r>
      <w:r>
        <w:rPr>
          <w:rFonts w:hint="eastAsia"/>
          <w:snapToGrid w:val="0"/>
          <w:color w:val="auto"/>
          <w:kern w:val="0"/>
          <w:sz w:val="24"/>
          <w:highlight w:val="none"/>
          <w:lang w:val="en-US" w:eastAsia="zh-CN"/>
        </w:rPr>
        <w:t>pH、</w:t>
      </w:r>
      <w:r>
        <w:rPr>
          <w:rFonts w:hint="eastAsia"/>
          <w:snapToGrid w:val="0"/>
          <w:color w:val="auto"/>
          <w:kern w:val="0"/>
          <w:sz w:val="24"/>
          <w:highlight w:val="none"/>
        </w:rPr>
        <w:t>COD、BOD</w:t>
      </w:r>
      <w:r>
        <w:rPr>
          <w:rFonts w:hint="eastAsia"/>
          <w:snapToGrid w:val="0"/>
          <w:color w:val="auto"/>
          <w:kern w:val="0"/>
          <w:sz w:val="24"/>
          <w:highlight w:val="none"/>
          <w:vertAlign w:val="subscript"/>
        </w:rPr>
        <w:t>5</w:t>
      </w:r>
      <w:r>
        <w:rPr>
          <w:rFonts w:hint="eastAsia"/>
          <w:snapToGrid w:val="0"/>
          <w:color w:val="auto"/>
          <w:kern w:val="0"/>
          <w:sz w:val="24"/>
          <w:highlight w:val="none"/>
        </w:rPr>
        <w:t>、NH</w:t>
      </w:r>
      <w:r>
        <w:rPr>
          <w:rFonts w:hint="eastAsia"/>
          <w:snapToGrid w:val="0"/>
          <w:color w:val="auto"/>
          <w:kern w:val="0"/>
          <w:sz w:val="24"/>
          <w:highlight w:val="none"/>
          <w:vertAlign w:val="subscript"/>
        </w:rPr>
        <w:t>3</w:t>
      </w:r>
      <w:r>
        <w:rPr>
          <w:rFonts w:hint="eastAsia"/>
          <w:snapToGrid w:val="0"/>
          <w:color w:val="auto"/>
          <w:kern w:val="0"/>
          <w:sz w:val="24"/>
          <w:highlight w:val="none"/>
        </w:rPr>
        <w:t>-N、SS等；产生的固体废物包括一般工业固废、危险废物、生活垃圾，其中危险废物包括</w:t>
      </w:r>
      <w:r>
        <w:rPr>
          <w:rFonts w:hint="eastAsia"/>
          <w:snapToGrid w:val="0"/>
          <w:color w:val="auto"/>
          <w:kern w:val="0"/>
          <w:sz w:val="24"/>
          <w:highlight w:val="none"/>
          <w:lang w:eastAsia="zh-CN"/>
        </w:rPr>
        <w:t>废矿物油、</w:t>
      </w:r>
      <w:r>
        <w:rPr>
          <w:rFonts w:hint="eastAsia"/>
          <w:snapToGrid w:val="0"/>
          <w:color w:val="auto"/>
          <w:kern w:val="0"/>
          <w:sz w:val="24"/>
          <w:highlight w:val="none"/>
          <w:lang w:val="en-US" w:eastAsia="zh-CN"/>
        </w:rPr>
        <w:t>废铅蓄电池、化验室废液</w:t>
      </w:r>
      <w:r>
        <w:rPr>
          <w:rFonts w:hint="eastAsia"/>
          <w:snapToGrid w:val="0"/>
          <w:color w:val="auto"/>
          <w:kern w:val="0"/>
          <w:sz w:val="24"/>
          <w:highlight w:val="none"/>
        </w:rPr>
        <w:t>等。</w:t>
      </w:r>
    </w:p>
    <w:p w14:paraId="04E4D665">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建设项目环境风险评价技术导则》（HJ169-2018）附录B（资料性附录）进行物质危险性辨别。对照附录B可知，项目使用的原辅材料、产品及副产品，硫酸列入危险物质。本项目所用液碱浓度为32%的氢氧化钠溶液，根据《建设项目环境风险评价技术导则》（HJ169-2018）附录B可知，项目所用的氢氧化钠判定为健康危险急性毒性物质（类别4）。</w:t>
      </w:r>
    </w:p>
    <w:p w14:paraId="5FDC1B53">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本项目产生的废水COD</w:t>
      </w:r>
      <w:r>
        <w:rPr>
          <w:rFonts w:hint="eastAsia"/>
          <w:snapToGrid w:val="0"/>
          <w:color w:val="auto"/>
          <w:kern w:val="0"/>
          <w:sz w:val="24"/>
          <w:highlight w:val="none"/>
          <w:vertAlign w:val="subscript"/>
        </w:rPr>
        <w:t>Cr</w:t>
      </w:r>
      <w:r>
        <w:rPr>
          <w:rFonts w:hint="eastAsia"/>
          <w:snapToGrid w:val="0"/>
          <w:color w:val="auto"/>
          <w:kern w:val="0"/>
          <w:sz w:val="24"/>
          <w:highlight w:val="none"/>
        </w:rPr>
        <w:t>浓度≥10000mg/L，根据《建设项目环境风险评价技术导则》（HJ169-2018）附录B可知，项目废水属于危险物质</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仅计算管道运输在线量，厂区内计划新建的废水调节池不包含在本项目内</w:t>
      </w:r>
      <w:r>
        <w:rPr>
          <w:rFonts w:hint="eastAsia"/>
          <w:snapToGrid w:val="0"/>
          <w:color w:val="auto"/>
          <w:kern w:val="0"/>
          <w:sz w:val="24"/>
          <w:highlight w:val="none"/>
        </w:rPr>
        <w:t>；项目产生的废气通过排气筒排放，不会在厂区暂存，因此不计算最大存在量。项目产生的固体废物均为一般废物不属于危险废物。本项目设备维修养护过程中会产生废矿物油，属于风险物质。</w:t>
      </w:r>
    </w:p>
    <w:p w14:paraId="6DC170A3">
      <w:pPr>
        <w:widowControl/>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通过判断，</w:t>
      </w:r>
      <w:r>
        <w:rPr>
          <w:rFonts w:hint="eastAsia"/>
          <w:snapToGrid w:val="0"/>
          <w:color w:val="auto"/>
          <w:kern w:val="0"/>
          <w:sz w:val="24"/>
          <w:highlight w:val="none"/>
          <w:lang w:val="en-US" w:eastAsia="zh-CN"/>
        </w:rPr>
        <w:t>本</w:t>
      </w:r>
      <w:r>
        <w:rPr>
          <w:rFonts w:hint="eastAsia"/>
          <w:snapToGrid w:val="0"/>
          <w:color w:val="auto"/>
          <w:kern w:val="0"/>
          <w:sz w:val="24"/>
          <w:highlight w:val="none"/>
        </w:rPr>
        <w:t>项目</w:t>
      </w:r>
      <w:r>
        <w:rPr>
          <w:rFonts w:hint="eastAsia"/>
          <w:snapToGrid w:val="0"/>
          <w:color w:val="auto"/>
          <w:kern w:val="0"/>
          <w:sz w:val="24"/>
          <w:highlight w:val="none"/>
          <w:lang w:val="en-US" w:eastAsia="zh-CN"/>
        </w:rPr>
        <w:t>主要</w:t>
      </w:r>
      <w:r>
        <w:rPr>
          <w:rFonts w:hint="eastAsia"/>
          <w:snapToGrid w:val="0"/>
          <w:color w:val="auto"/>
          <w:kern w:val="0"/>
          <w:sz w:val="24"/>
          <w:highlight w:val="none"/>
        </w:rPr>
        <w:t>涉及的危险物质主要为硫酸、</w:t>
      </w:r>
      <w:r>
        <w:rPr>
          <w:rFonts w:hint="eastAsia"/>
          <w:snapToGrid w:val="0"/>
          <w:color w:val="auto"/>
          <w:kern w:val="0"/>
          <w:sz w:val="24"/>
          <w:highlight w:val="none"/>
          <w:lang w:eastAsia="zh-CN"/>
        </w:rPr>
        <w:t>液碱、</w:t>
      </w:r>
      <w:r>
        <w:rPr>
          <w:rFonts w:hint="eastAsia"/>
          <w:snapToGrid w:val="0"/>
          <w:color w:val="auto"/>
          <w:kern w:val="0"/>
          <w:sz w:val="24"/>
          <w:highlight w:val="none"/>
          <w:lang w:val="en-US" w:eastAsia="zh-CN"/>
        </w:rPr>
        <w:t>硫酸铵、烷烃、高浓废水、废矿物油等</w:t>
      </w:r>
      <w:r>
        <w:rPr>
          <w:rFonts w:hint="eastAsia"/>
          <w:snapToGrid w:val="0"/>
          <w:color w:val="auto"/>
          <w:kern w:val="0"/>
          <w:sz w:val="24"/>
          <w:highlight w:val="none"/>
        </w:rPr>
        <w:t>。</w:t>
      </w:r>
    </w:p>
    <w:p w14:paraId="4CF8739B">
      <w:pPr>
        <w:widowControl/>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w:t>
      </w:r>
      <w:r>
        <w:rPr>
          <w:rFonts w:hint="eastAsia"/>
          <w:snapToGrid w:val="0"/>
          <w:color w:val="auto"/>
          <w:kern w:val="0"/>
          <w:sz w:val="24"/>
          <w:highlight w:val="none"/>
        </w:rPr>
        <w:t>工程分析</w:t>
      </w:r>
      <w:r>
        <w:rPr>
          <w:snapToGrid w:val="0"/>
          <w:color w:val="auto"/>
          <w:kern w:val="0"/>
          <w:sz w:val="24"/>
          <w:highlight w:val="none"/>
        </w:rPr>
        <w:t>，项目危险物质分布情况见下表</w:t>
      </w:r>
      <w:r>
        <w:rPr>
          <w:rFonts w:hint="eastAsia"/>
          <w:snapToGrid w:val="0"/>
          <w:color w:val="auto"/>
          <w:kern w:val="0"/>
          <w:sz w:val="24"/>
          <w:highlight w:val="none"/>
        </w:rPr>
        <w:t>6</w:t>
      </w:r>
      <w:r>
        <w:rPr>
          <w:snapToGrid w:val="0"/>
          <w:color w:val="auto"/>
          <w:kern w:val="0"/>
          <w:sz w:val="24"/>
          <w:highlight w:val="none"/>
        </w:rPr>
        <w:t>.</w:t>
      </w:r>
      <w:r>
        <w:rPr>
          <w:rFonts w:hint="eastAsia"/>
          <w:snapToGrid w:val="0"/>
          <w:color w:val="auto"/>
          <w:kern w:val="0"/>
          <w:sz w:val="24"/>
          <w:highlight w:val="none"/>
        </w:rPr>
        <w:t>3</w:t>
      </w:r>
      <w:r>
        <w:rPr>
          <w:snapToGrid w:val="0"/>
          <w:color w:val="auto"/>
          <w:kern w:val="0"/>
          <w:sz w:val="24"/>
          <w:highlight w:val="none"/>
        </w:rPr>
        <w:t>-1所示。</w:t>
      </w:r>
    </w:p>
    <w:p w14:paraId="6F928440">
      <w:pPr>
        <w:tabs>
          <w:tab w:val="left" w:pos="720"/>
        </w:tabs>
        <w:adjustRightInd w:val="0"/>
        <w:snapToGrid w:val="0"/>
        <w:jc w:val="center"/>
        <w:rPr>
          <w:b/>
          <w:snapToGrid w:val="0"/>
          <w:color w:val="auto"/>
          <w:kern w:val="0"/>
          <w:szCs w:val="21"/>
          <w:highlight w:val="none"/>
        </w:rPr>
      </w:pPr>
      <w:r>
        <w:rPr>
          <w:rFonts w:hint="eastAsia"/>
          <w:b/>
          <w:snapToGrid w:val="0"/>
          <w:color w:val="auto"/>
          <w:kern w:val="0"/>
          <w:szCs w:val="21"/>
          <w:highlight w:val="none"/>
        </w:rPr>
        <w:t>表6.3-1 项目危险物质分布情况一览表</w:t>
      </w:r>
    </w:p>
    <w:tbl>
      <w:tblPr>
        <w:tblStyle w:val="57"/>
        <w:tblW w:w="50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7"/>
        <w:gridCol w:w="1427"/>
        <w:gridCol w:w="1540"/>
        <w:gridCol w:w="2127"/>
        <w:gridCol w:w="1388"/>
        <w:gridCol w:w="1388"/>
      </w:tblGrid>
      <w:tr w14:paraId="711A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3C71FC81">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序号</w:t>
            </w:r>
          </w:p>
        </w:tc>
        <w:tc>
          <w:tcPr>
            <w:tcW w:w="856" w:type="pct"/>
            <w:tcBorders>
              <w:tl2br w:val="nil"/>
              <w:tr2bl w:val="nil"/>
            </w:tcBorders>
            <w:vAlign w:val="center"/>
          </w:tcPr>
          <w:p w14:paraId="4067FBD9">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单元</w:t>
            </w:r>
          </w:p>
        </w:tc>
        <w:tc>
          <w:tcPr>
            <w:tcW w:w="924" w:type="pct"/>
            <w:tcBorders>
              <w:tl2br w:val="nil"/>
              <w:tr2bl w:val="nil"/>
            </w:tcBorders>
            <w:vAlign w:val="center"/>
          </w:tcPr>
          <w:p w14:paraId="39872BEC">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危险物质类型</w:t>
            </w:r>
          </w:p>
        </w:tc>
        <w:tc>
          <w:tcPr>
            <w:tcW w:w="1276" w:type="pct"/>
            <w:tcBorders>
              <w:tl2br w:val="nil"/>
              <w:tr2bl w:val="nil"/>
            </w:tcBorders>
            <w:vAlign w:val="center"/>
          </w:tcPr>
          <w:p w14:paraId="04B24027">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存储方式及数量</w:t>
            </w:r>
          </w:p>
        </w:tc>
        <w:tc>
          <w:tcPr>
            <w:tcW w:w="833" w:type="pct"/>
            <w:tcBorders>
              <w:tl2br w:val="nil"/>
              <w:tr2bl w:val="nil"/>
            </w:tcBorders>
            <w:vAlign w:val="center"/>
          </w:tcPr>
          <w:p w14:paraId="0FC06EB3">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最大存在量（t）</w:t>
            </w:r>
          </w:p>
        </w:tc>
        <w:tc>
          <w:tcPr>
            <w:tcW w:w="833" w:type="pct"/>
            <w:tcBorders>
              <w:tl2br w:val="nil"/>
              <w:tr2bl w:val="nil"/>
            </w:tcBorders>
            <w:vAlign w:val="center"/>
          </w:tcPr>
          <w:p w14:paraId="3965FEBC">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备注</w:t>
            </w:r>
          </w:p>
        </w:tc>
      </w:tr>
      <w:tr w14:paraId="2F4E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6BD2E63E">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1</w:t>
            </w:r>
          </w:p>
        </w:tc>
        <w:tc>
          <w:tcPr>
            <w:tcW w:w="856" w:type="pct"/>
            <w:tcBorders>
              <w:tl2br w:val="nil"/>
              <w:tr2bl w:val="nil"/>
            </w:tcBorders>
            <w:vAlign w:val="center"/>
          </w:tcPr>
          <w:p w14:paraId="3B96C118">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eastAsia" w:eastAsia="宋体"/>
                <w:snapToGrid w:val="0"/>
                <w:color w:val="auto"/>
                <w:kern w:val="0"/>
                <w:highlight w:val="none"/>
                <w:lang w:val="en-US" w:eastAsia="zh-CN"/>
              </w:rPr>
              <w:t>98%</w:t>
            </w:r>
            <w:r>
              <w:rPr>
                <w:rFonts w:hint="default" w:eastAsia="Times New Roman"/>
                <w:snapToGrid w:val="0"/>
                <w:color w:val="auto"/>
                <w:kern w:val="0"/>
                <w:highlight w:val="none"/>
              </w:rPr>
              <w:t>硫酸储罐</w:t>
            </w:r>
          </w:p>
        </w:tc>
        <w:tc>
          <w:tcPr>
            <w:tcW w:w="924" w:type="pct"/>
            <w:tcBorders>
              <w:tl2br w:val="nil"/>
              <w:tr2bl w:val="nil"/>
            </w:tcBorders>
            <w:vAlign w:val="center"/>
          </w:tcPr>
          <w:p w14:paraId="199E5CFC">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浓硫酸</w:t>
            </w:r>
          </w:p>
        </w:tc>
        <w:tc>
          <w:tcPr>
            <w:tcW w:w="1276" w:type="pct"/>
            <w:tcBorders>
              <w:tl2br w:val="nil"/>
              <w:tr2bl w:val="nil"/>
            </w:tcBorders>
            <w:vAlign w:val="center"/>
          </w:tcPr>
          <w:p w14:paraId="6AA8DC35">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1个</w:t>
            </w:r>
            <w:r>
              <w:rPr>
                <w:rFonts w:eastAsia="Times New Roman"/>
                <w:snapToGrid w:val="0"/>
                <w:color w:val="auto"/>
                <w:kern w:val="0"/>
                <w:highlight w:val="none"/>
              </w:rPr>
              <w:t>3</w:t>
            </w:r>
            <w:r>
              <w:rPr>
                <w:rFonts w:hint="eastAsia" w:eastAsia="宋体"/>
                <w:snapToGrid w:val="0"/>
                <w:color w:val="auto"/>
                <w:kern w:val="0"/>
                <w:highlight w:val="none"/>
                <w:lang w:val="en-US" w:eastAsia="zh-CN"/>
              </w:rPr>
              <w:t>1</w:t>
            </w:r>
            <w:r>
              <w:rPr>
                <w:rFonts w:eastAsia="Times New Roman"/>
                <w:snapToGrid w:val="0"/>
                <w:color w:val="auto"/>
                <w:kern w:val="0"/>
                <w:highlight w:val="none"/>
              </w:rPr>
              <w:t>0</w:t>
            </w:r>
            <w:r>
              <w:rPr>
                <w:rFonts w:hint="default" w:eastAsia="Times New Roman"/>
                <w:snapToGrid w:val="0"/>
                <w:color w:val="auto"/>
                <w:kern w:val="0"/>
                <w:highlight w:val="none"/>
              </w:rPr>
              <w:t>m</w:t>
            </w:r>
            <w:r>
              <w:rPr>
                <w:rFonts w:hint="default" w:eastAsia="Times New Roman"/>
                <w:snapToGrid w:val="0"/>
                <w:color w:val="auto"/>
                <w:kern w:val="0"/>
                <w:highlight w:val="none"/>
                <w:vertAlign w:val="superscript"/>
              </w:rPr>
              <w:t>3</w:t>
            </w:r>
            <w:r>
              <w:rPr>
                <w:rFonts w:eastAsia="Times New Roman"/>
                <w:snapToGrid w:val="0"/>
                <w:color w:val="auto"/>
                <w:kern w:val="0"/>
                <w:highlight w:val="none"/>
              </w:rPr>
              <w:t>拱</w:t>
            </w:r>
            <w:r>
              <w:rPr>
                <w:rFonts w:hint="default" w:eastAsia="Times New Roman"/>
                <w:snapToGrid w:val="0"/>
                <w:color w:val="auto"/>
                <w:kern w:val="0"/>
                <w:highlight w:val="none"/>
              </w:rPr>
              <w:t>顶罐</w:t>
            </w:r>
          </w:p>
        </w:tc>
        <w:tc>
          <w:tcPr>
            <w:tcW w:w="833" w:type="pct"/>
            <w:tcBorders>
              <w:tl2br w:val="nil"/>
              <w:tr2bl w:val="nil"/>
            </w:tcBorders>
            <w:vAlign w:val="center"/>
          </w:tcPr>
          <w:p w14:paraId="0F1E04F2">
            <w:pPr>
              <w:pStyle w:val="771"/>
              <w:widowControl w:val="0"/>
              <w:tabs>
                <w:tab w:val="left" w:pos="1119"/>
              </w:tabs>
              <w:adjustRightInd w:val="0"/>
              <w:snapToGrid w:val="0"/>
              <w:spacing w:line="240" w:lineRule="auto"/>
              <w:rPr>
                <w:rFonts w:hint="default" w:eastAsia="宋体"/>
                <w:snapToGrid w:val="0"/>
                <w:color w:val="auto"/>
                <w:kern w:val="0"/>
                <w:highlight w:val="none"/>
                <w:lang w:val="en-US" w:eastAsia="zh-CN"/>
              </w:rPr>
            </w:pPr>
            <w:r>
              <w:rPr>
                <w:rFonts w:hint="eastAsia" w:eastAsia="宋体"/>
                <w:snapToGrid w:val="0"/>
                <w:color w:val="auto"/>
                <w:kern w:val="0"/>
                <w:highlight w:val="none"/>
                <w:lang w:val="en-US" w:eastAsia="zh-CN"/>
              </w:rPr>
              <w:t>570.4</w:t>
            </w:r>
          </w:p>
        </w:tc>
        <w:tc>
          <w:tcPr>
            <w:tcW w:w="833" w:type="pct"/>
            <w:vMerge w:val="restart"/>
            <w:tcBorders>
              <w:tl2br w:val="nil"/>
              <w:tr2bl w:val="nil"/>
            </w:tcBorders>
            <w:vAlign w:val="center"/>
          </w:tcPr>
          <w:p w14:paraId="5BD41064">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罐区</w:t>
            </w:r>
          </w:p>
        </w:tc>
      </w:tr>
      <w:tr w14:paraId="6CE1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6EF55490">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2</w:t>
            </w:r>
          </w:p>
        </w:tc>
        <w:tc>
          <w:tcPr>
            <w:tcW w:w="856" w:type="pct"/>
            <w:tcBorders>
              <w:tl2br w:val="nil"/>
              <w:tr2bl w:val="nil"/>
            </w:tcBorders>
            <w:vAlign w:val="center"/>
          </w:tcPr>
          <w:p w14:paraId="60D1FD2E">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eastAsia"/>
                <w:color w:val="auto"/>
                <w:highlight w:val="none"/>
                <w:lang w:val="en-US" w:eastAsia="zh-CN"/>
              </w:rPr>
              <w:t>32%</w:t>
            </w:r>
            <w:r>
              <w:rPr>
                <w:rFonts w:hint="eastAsia" w:eastAsia="宋体"/>
                <w:snapToGrid w:val="0"/>
                <w:color w:val="auto"/>
                <w:kern w:val="0"/>
                <w:highlight w:val="none"/>
                <w:lang w:val="en-US" w:eastAsia="zh-CN"/>
              </w:rPr>
              <w:t>液碱</w:t>
            </w:r>
            <w:r>
              <w:rPr>
                <w:rFonts w:hint="default" w:eastAsia="Times New Roman"/>
                <w:snapToGrid w:val="0"/>
                <w:color w:val="auto"/>
                <w:kern w:val="0"/>
                <w:highlight w:val="none"/>
              </w:rPr>
              <w:t>储罐</w:t>
            </w:r>
          </w:p>
        </w:tc>
        <w:tc>
          <w:tcPr>
            <w:tcW w:w="924" w:type="pct"/>
            <w:tcBorders>
              <w:tl2br w:val="nil"/>
              <w:tr2bl w:val="nil"/>
            </w:tcBorders>
            <w:vAlign w:val="center"/>
          </w:tcPr>
          <w:p w14:paraId="06DEA91D">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eastAsia" w:eastAsia="宋体"/>
                <w:snapToGrid w:val="0"/>
                <w:color w:val="auto"/>
                <w:kern w:val="0"/>
                <w:highlight w:val="none"/>
                <w:lang w:val="en-US" w:eastAsia="zh-CN"/>
              </w:rPr>
              <w:t>液碱</w:t>
            </w:r>
          </w:p>
        </w:tc>
        <w:tc>
          <w:tcPr>
            <w:tcW w:w="1276" w:type="pct"/>
            <w:tcBorders>
              <w:tl2br w:val="nil"/>
              <w:tr2bl w:val="nil"/>
            </w:tcBorders>
            <w:vAlign w:val="center"/>
          </w:tcPr>
          <w:p w14:paraId="10D406C4">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3</w:t>
            </w:r>
            <w:r>
              <w:rPr>
                <w:rFonts w:hint="default" w:eastAsia="Times New Roman"/>
                <w:snapToGrid w:val="0"/>
                <w:color w:val="auto"/>
                <w:kern w:val="0"/>
                <w:highlight w:val="none"/>
              </w:rPr>
              <w:t>个</w:t>
            </w:r>
            <w:r>
              <w:rPr>
                <w:rFonts w:eastAsia="Times New Roman"/>
                <w:snapToGrid w:val="0"/>
                <w:color w:val="auto"/>
                <w:kern w:val="0"/>
                <w:highlight w:val="none"/>
              </w:rPr>
              <w:t>400</w:t>
            </w:r>
            <w:r>
              <w:rPr>
                <w:rFonts w:hint="default" w:eastAsia="Times New Roman"/>
                <w:snapToGrid w:val="0"/>
                <w:color w:val="auto"/>
                <w:kern w:val="0"/>
                <w:highlight w:val="none"/>
              </w:rPr>
              <w:t>m</w:t>
            </w:r>
            <w:r>
              <w:rPr>
                <w:rFonts w:hint="default" w:eastAsia="Times New Roman"/>
                <w:snapToGrid w:val="0"/>
                <w:color w:val="auto"/>
                <w:kern w:val="0"/>
                <w:highlight w:val="none"/>
                <w:vertAlign w:val="superscript"/>
              </w:rPr>
              <w:t>3</w:t>
            </w:r>
            <w:r>
              <w:rPr>
                <w:rFonts w:eastAsia="Times New Roman"/>
                <w:snapToGrid w:val="0"/>
                <w:color w:val="auto"/>
                <w:kern w:val="0"/>
                <w:highlight w:val="none"/>
              </w:rPr>
              <w:t>拱</w:t>
            </w:r>
            <w:r>
              <w:rPr>
                <w:rFonts w:hint="default" w:eastAsia="Times New Roman"/>
                <w:snapToGrid w:val="0"/>
                <w:color w:val="auto"/>
                <w:kern w:val="0"/>
                <w:highlight w:val="none"/>
              </w:rPr>
              <w:t>顶罐</w:t>
            </w:r>
          </w:p>
        </w:tc>
        <w:tc>
          <w:tcPr>
            <w:tcW w:w="833" w:type="pct"/>
            <w:tcBorders>
              <w:tl2br w:val="nil"/>
              <w:tr2bl w:val="nil"/>
            </w:tcBorders>
            <w:vAlign w:val="center"/>
          </w:tcPr>
          <w:p w14:paraId="47C63913">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1620</w:t>
            </w:r>
          </w:p>
        </w:tc>
        <w:tc>
          <w:tcPr>
            <w:tcW w:w="833" w:type="pct"/>
            <w:vMerge w:val="continue"/>
            <w:tcBorders>
              <w:tl2br w:val="nil"/>
              <w:tr2bl w:val="nil"/>
            </w:tcBorders>
            <w:vAlign w:val="center"/>
          </w:tcPr>
          <w:p w14:paraId="0713EF66">
            <w:pPr>
              <w:pStyle w:val="771"/>
              <w:widowControl w:val="0"/>
              <w:tabs>
                <w:tab w:val="left" w:pos="1119"/>
              </w:tabs>
              <w:adjustRightInd w:val="0"/>
              <w:snapToGrid w:val="0"/>
              <w:spacing w:line="240" w:lineRule="auto"/>
              <w:rPr>
                <w:rFonts w:hint="default" w:eastAsia="Times New Roman"/>
                <w:snapToGrid w:val="0"/>
                <w:color w:val="auto"/>
                <w:kern w:val="0"/>
                <w:highlight w:val="none"/>
              </w:rPr>
            </w:pPr>
          </w:p>
        </w:tc>
      </w:tr>
      <w:tr w14:paraId="2CE9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55C997AF">
            <w:pPr>
              <w:pStyle w:val="771"/>
              <w:widowControl w:val="0"/>
              <w:tabs>
                <w:tab w:val="left" w:pos="1119"/>
              </w:tabs>
              <w:adjustRightInd w:val="0"/>
              <w:snapToGrid w:val="0"/>
              <w:spacing w:line="240" w:lineRule="auto"/>
              <w:rPr>
                <w:rFonts w:hint="eastAsia" w:eastAsia="宋体"/>
                <w:snapToGrid w:val="0"/>
                <w:color w:val="auto"/>
                <w:kern w:val="0"/>
                <w:highlight w:val="none"/>
                <w:lang w:eastAsia="zh-CN"/>
              </w:rPr>
            </w:pPr>
            <w:r>
              <w:rPr>
                <w:rFonts w:hint="eastAsia" w:eastAsia="宋体"/>
                <w:snapToGrid w:val="0"/>
                <w:color w:val="auto"/>
                <w:kern w:val="0"/>
                <w:highlight w:val="none"/>
                <w:lang w:val="en-US" w:eastAsia="zh-CN"/>
              </w:rPr>
              <w:t>3</w:t>
            </w:r>
          </w:p>
        </w:tc>
        <w:tc>
          <w:tcPr>
            <w:tcW w:w="856" w:type="pct"/>
            <w:tcBorders>
              <w:tl2br w:val="nil"/>
              <w:tr2bl w:val="nil"/>
            </w:tcBorders>
            <w:vAlign w:val="center"/>
          </w:tcPr>
          <w:p w14:paraId="7A398478">
            <w:pPr>
              <w:pStyle w:val="771"/>
              <w:widowControl w:val="0"/>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烷烃罐区</w:t>
            </w:r>
          </w:p>
        </w:tc>
        <w:tc>
          <w:tcPr>
            <w:tcW w:w="924" w:type="pct"/>
            <w:tcBorders>
              <w:tl2br w:val="nil"/>
              <w:tr2bl w:val="nil"/>
            </w:tcBorders>
            <w:vAlign w:val="center"/>
          </w:tcPr>
          <w:p w14:paraId="736222BD">
            <w:pPr>
              <w:pStyle w:val="771"/>
              <w:widowControl w:val="0"/>
              <w:adjustRightInd w:val="0"/>
              <w:snapToGrid w:val="0"/>
              <w:spacing w:line="240" w:lineRule="auto"/>
              <w:rPr>
                <w:rFonts w:hint="eastAsia" w:eastAsia="宋体"/>
                <w:snapToGrid w:val="0"/>
                <w:color w:val="auto"/>
                <w:kern w:val="0"/>
                <w:highlight w:val="none"/>
                <w:lang w:val="en-US" w:eastAsia="zh-CN"/>
              </w:rPr>
            </w:pPr>
            <w:r>
              <w:rPr>
                <w:rFonts w:hint="default" w:eastAsia="Times New Roman"/>
                <w:snapToGrid w:val="0"/>
                <w:color w:val="auto"/>
                <w:kern w:val="0"/>
                <w:highlight w:val="none"/>
              </w:rPr>
              <w:t>正癸烷</w:t>
            </w:r>
            <w:r>
              <w:rPr>
                <w:rFonts w:hint="eastAsia" w:eastAsia="宋体"/>
                <w:snapToGrid w:val="0"/>
                <w:color w:val="auto"/>
                <w:kern w:val="0"/>
                <w:highlight w:val="none"/>
                <w:lang w:val="en-US" w:eastAsia="zh-CN"/>
              </w:rPr>
              <w:t>/正壬烷</w:t>
            </w:r>
          </w:p>
        </w:tc>
        <w:tc>
          <w:tcPr>
            <w:tcW w:w="1276" w:type="pct"/>
            <w:tcBorders>
              <w:tl2br w:val="nil"/>
              <w:tr2bl w:val="nil"/>
            </w:tcBorders>
            <w:vAlign w:val="center"/>
          </w:tcPr>
          <w:p w14:paraId="3F04C143">
            <w:pPr>
              <w:pStyle w:val="771"/>
              <w:widowControl w:val="0"/>
              <w:adjustRightInd w:val="0"/>
              <w:snapToGrid w:val="0"/>
              <w:spacing w:line="240" w:lineRule="auto"/>
              <w:rPr>
                <w:rFonts w:hint="default" w:eastAsia="Times New Roman"/>
                <w:snapToGrid w:val="0"/>
                <w:color w:val="auto"/>
                <w:kern w:val="0"/>
                <w:highlight w:val="none"/>
              </w:rPr>
            </w:pPr>
            <w:r>
              <w:rPr>
                <w:rFonts w:hint="eastAsia" w:eastAsia="宋体"/>
                <w:snapToGrid w:val="0"/>
                <w:color w:val="auto"/>
                <w:kern w:val="0"/>
                <w:highlight w:val="none"/>
                <w:lang w:val="en-US" w:eastAsia="zh-CN"/>
              </w:rPr>
              <w:t>6</w:t>
            </w:r>
            <w:r>
              <w:rPr>
                <w:rFonts w:eastAsia="Times New Roman"/>
                <w:snapToGrid w:val="0"/>
                <w:color w:val="auto"/>
                <w:kern w:val="0"/>
                <w:highlight w:val="none"/>
              </w:rPr>
              <w:t>个</w:t>
            </w:r>
            <w:r>
              <w:rPr>
                <w:rFonts w:hint="eastAsia" w:eastAsia="宋体"/>
                <w:snapToGrid w:val="0"/>
                <w:color w:val="auto"/>
                <w:kern w:val="0"/>
                <w:highlight w:val="none"/>
                <w:lang w:eastAsia="zh-CN"/>
              </w:rPr>
              <w:t>3596</w:t>
            </w:r>
            <w:r>
              <w:rPr>
                <w:rFonts w:eastAsia="Times New Roman"/>
                <w:snapToGrid w:val="0"/>
                <w:color w:val="auto"/>
                <w:kern w:val="0"/>
                <w:highlight w:val="none"/>
              </w:rPr>
              <w:t>m</w:t>
            </w:r>
            <w:r>
              <w:rPr>
                <w:rFonts w:eastAsia="Times New Roman"/>
                <w:snapToGrid w:val="0"/>
                <w:color w:val="auto"/>
                <w:kern w:val="0"/>
                <w:highlight w:val="none"/>
                <w:vertAlign w:val="superscript"/>
              </w:rPr>
              <w:t>3</w:t>
            </w:r>
            <w:r>
              <w:rPr>
                <w:rFonts w:eastAsia="Times New Roman"/>
                <w:snapToGrid w:val="0"/>
                <w:color w:val="auto"/>
                <w:kern w:val="0"/>
                <w:highlight w:val="none"/>
              </w:rPr>
              <w:t>内浮顶</w:t>
            </w:r>
            <w:r>
              <w:rPr>
                <w:rFonts w:hint="default" w:eastAsia="Times New Roman"/>
                <w:snapToGrid w:val="0"/>
                <w:color w:val="auto"/>
                <w:kern w:val="0"/>
                <w:highlight w:val="none"/>
              </w:rPr>
              <w:t>罐</w:t>
            </w:r>
          </w:p>
        </w:tc>
        <w:tc>
          <w:tcPr>
            <w:tcW w:w="833" w:type="pct"/>
            <w:tcBorders>
              <w:tl2br w:val="nil"/>
              <w:tr2bl w:val="nil"/>
            </w:tcBorders>
            <w:vAlign w:val="center"/>
          </w:tcPr>
          <w:p w14:paraId="20E32720">
            <w:pPr>
              <w:pStyle w:val="771"/>
              <w:widowControl w:val="0"/>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15858.36</w:t>
            </w:r>
          </w:p>
        </w:tc>
        <w:tc>
          <w:tcPr>
            <w:tcW w:w="833" w:type="pct"/>
            <w:vMerge w:val="continue"/>
            <w:tcBorders>
              <w:tl2br w:val="nil"/>
              <w:tr2bl w:val="nil"/>
            </w:tcBorders>
            <w:vAlign w:val="center"/>
          </w:tcPr>
          <w:p w14:paraId="0762BF32">
            <w:pPr>
              <w:pStyle w:val="771"/>
              <w:widowControl w:val="0"/>
              <w:tabs>
                <w:tab w:val="left" w:pos="1119"/>
              </w:tabs>
              <w:adjustRightInd w:val="0"/>
              <w:snapToGrid w:val="0"/>
              <w:spacing w:line="240" w:lineRule="auto"/>
              <w:rPr>
                <w:rFonts w:hint="default" w:eastAsia="Times New Roman"/>
                <w:snapToGrid w:val="0"/>
                <w:color w:val="auto"/>
                <w:kern w:val="0"/>
                <w:highlight w:val="none"/>
              </w:rPr>
            </w:pPr>
          </w:p>
        </w:tc>
      </w:tr>
      <w:tr w14:paraId="110B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6758FF2A">
            <w:pPr>
              <w:pStyle w:val="771"/>
              <w:widowControl w:val="0"/>
              <w:tabs>
                <w:tab w:val="left" w:pos="1119"/>
              </w:tabs>
              <w:adjustRightInd w:val="0"/>
              <w:snapToGrid w:val="0"/>
              <w:spacing w:line="240" w:lineRule="auto"/>
              <w:rPr>
                <w:rFonts w:hint="eastAsia" w:eastAsia="宋体"/>
                <w:snapToGrid w:val="0"/>
                <w:color w:val="auto"/>
                <w:kern w:val="0"/>
                <w:highlight w:val="none"/>
                <w:lang w:eastAsia="zh-CN"/>
              </w:rPr>
            </w:pPr>
            <w:r>
              <w:rPr>
                <w:rFonts w:hint="eastAsia" w:eastAsia="宋体"/>
                <w:snapToGrid w:val="0"/>
                <w:color w:val="auto"/>
                <w:kern w:val="0"/>
                <w:highlight w:val="none"/>
                <w:lang w:val="en-US" w:eastAsia="zh-CN"/>
              </w:rPr>
              <w:t>4</w:t>
            </w:r>
          </w:p>
        </w:tc>
        <w:tc>
          <w:tcPr>
            <w:tcW w:w="856" w:type="pct"/>
            <w:tcBorders>
              <w:tl2br w:val="nil"/>
              <w:tr2bl w:val="nil"/>
            </w:tcBorders>
            <w:vAlign w:val="center"/>
          </w:tcPr>
          <w:p w14:paraId="575B38B9">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危废贮存库</w:t>
            </w:r>
          </w:p>
        </w:tc>
        <w:tc>
          <w:tcPr>
            <w:tcW w:w="924" w:type="pct"/>
            <w:tcBorders>
              <w:tl2br w:val="nil"/>
              <w:tr2bl w:val="nil"/>
            </w:tcBorders>
            <w:vAlign w:val="center"/>
          </w:tcPr>
          <w:p w14:paraId="0EF96CC6">
            <w:pPr>
              <w:pStyle w:val="771"/>
              <w:widowControl w:val="0"/>
              <w:tabs>
                <w:tab w:val="left" w:pos="1119"/>
              </w:tabs>
              <w:adjustRightInd w:val="0"/>
              <w:snapToGrid w:val="0"/>
              <w:spacing w:line="240" w:lineRule="auto"/>
              <w:rPr>
                <w:rFonts w:hint="eastAsia" w:eastAsia="宋体"/>
                <w:snapToGrid w:val="0"/>
                <w:color w:val="auto"/>
                <w:kern w:val="0"/>
                <w:highlight w:val="none"/>
                <w:lang w:eastAsia="zh-CN"/>
              </w:rPr>
            </w:pPr>
            <w:r>
              <w:rPr>
                <w:rFonts w:hint="eastAsia" w:eastAsia="宋体"/>
                <w:snapToGrid w:val="0"/>
                <w:color w:val="auto"/>
                <w:kern w:val="0"/>
                <w:highlight w:val="none"/>
                <w:lang w:eastAsia="zh-CN"/>
              </w:rPr>
              <w:t>废矿物油</w:t>
            </w:r>
          </w:p>
        </w:tc>
        <w:tc>
          <w:tcPr>
            <w:tcW w:w="1276" w:type="pct"/>
            <w:tcBorders>
              <w:tl2br w:val="nil"/>
              <w:tr2bl w:val="nil"/>
            </w:tcBorders>
            <w:vAlign w:val="center"/>
          </w:tcPr>
          <w:p w14:paraId="1B2E5DF4">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hint="default" w:eastAsia="Times New Roman"/>
                <w:snapToGrid w:val="0"/>
                <w:color w:val="auto"/>
                <w:kern w:val="0"/>
                <w:highlight w:val="none"/>
              </w:rPr>
              <w:t>桶装</w:t>
            </w:r>
          </w:p>
        </w:tc>
        <w:tc>
          <w:tcPr>
            <w:tcW w:w="833" w:type="pct"/>
            <w:tcBorders>
              <w:tl2br w:val="nil"/>
              <w:tr2bl w:val="nil"/>
            </w:tcBorders>
            <w:vAlign w:val="center"/>
          </w:tcPr>
          <w:p w14:paraId="2CF6663E">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5</w:t>
            </w:r>
          </w:p>
        </w:tc>
        <w:tc>
          <w:tcPr>
            <w:tcW w:w="833" w:type="pct"/>
            <w:tcBorders>
              <w:tl2br w:val="nil"/>
              <w:tr2bl w:val="nil"/>
            </w:tcBorders>
            <w:vAlign w:val="center"/>
          </w:tcPr>
          <w:p w14:paraId="5C7E202B">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依托</w:t>
            </w:r>
          </w:p>
        </w:tc>
      </w:tr>
      <w:tr w14:paraId="5F93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2F3611D9">
            <w:pPr>
              <w:pStyle w:val="771"/>
              <w:widowControl w:val="0"/>
              <w:tabs>
                <w:tab w:val="left" w:pos="1119"/>
              </w:tabs>
              <w:adjustRightInd w:val="0"/>
              <w:snapToGrid w:val="0"/>
              <w:spacing w:line="240" w:lineRule="auto"/>
              <w:rPr>
                <w:rFonts w:hint="eastAsia" w:eastAsia="宋体"/>
                <w:snapToGrid w:val="0"/>
                <w:color w:val="auto"/>
                <w:kern w:val="0"/>
                <w:highlight w:val="none"/>
                <w:lang w:eastAsia="zh-CN"/>
              </w:rPr>
            </w:pPr>
            <w:r>
              <w:rPr>
                <w:rFonts w:hint="eastAsia" w:eastAsia="宋体"/>
                <w:snapToGrid w:val="0"/>
                <w:color w:val="auto"/>
                <w:kern w:val="0"/>
                <w:highlight w:val="none"/>
                <w:lang w:val="en-US" w:eastAsia="zh-CN"/>
              </w:rPr>
              <w:t>5</w:t>
            </w:r>
          </w:p>
        </w:tc>
        <w:tc>
          <w:tcPr>
            <w:tcW w:w="856" w:type="pct"/>
            <w:tcBorders>
              <w:tl2br w:val="nil"/>
              <w:tr2bl w:val="nil"/>
            </w:tcBorders>
            <w:vAlign w:val="center"/>
          </w:tcPr>
          <w:p w14:paraId="0BFCA43E">
            <w:pPr>
              <w:pStyle w:val="771"/>
              <w:widowControl w:val="0"/>
              <w:tabs>
                <w:tab w:val="left" w:pos="1119"/>
              </w:tabs>
              <w:adjustRightInd w:val="0"/>
              <w:snapToGrid w:val="0"/>
              <w:spacing w:line="240" w:lineRule="auto"/>
              <w:rPr>
                <w:rFonts w:hint="eastAsia" w:eastAsia="宋体"/>
                <w:snapToGrid w:val="0"/>
                <w:color w:val="auto"/>
                <w:kern w:val="0"/>
                <w:highlight w:val="none"/>
                <w:lang w:val="en-US" w:eastAsia="zh-CN"/>
              </w:rPr>
            </w:pPr>
            <w:r>
              <w:rPr>
                <w:rFonts w:eastAsia="Times New Roman"/>
                <w:snapToGrid w:val="0"/>
                <w:color w:val="auto"/>
                <w:kern w:val="0"/>
                <w:highlight w:val="none"/>
              </w:rPr>
              <w:t>生产废水</w:t>
            </w:r>
            <w:r>
              <w:rPr>
                <w:rFonts w:hint="eastAsia" w:eastAsia="宋体"/>
                <w:snapToGrid w:val="0"/>
                <w:color w:val="auto"/>
                <w:kern w:val="0"/>
                <w:highlight w:val="none"/>
                <w:lang w:val="en-US" w:eastAsia="zh-CN"/>
              </w:rPr>
              <w:t>管道</w:t>
            </w:r>
          </w:p>
        </w:tc>
        <w:tc>
          <w:tcPr>
            <w:tcW w:w="924" w:type="pct"/>
            <w:tcBorders>
              <w:tl2br w:val="nil"/>
              <w:tr2bl w:val="nil"/>
            </w:tcBorders>
            <w:vAlign w:val="center"/>
          </w:tcPr>
          <w:p w14:paraId="57A40F04">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COD</w:t>
            </w:r>
            <w:r>
              <w:rPr>
                <w:rFonts w:eastAsia="Times New Roman"/>
                <w:snapToGrid w:val="0"/>
                <w:color w:val="auto"/>
                <w:kern w:val="0"/>
                <w:highlight w:val="none"/>
                <w:vertAlign w:val="subscript"/>
              </w:rPr>
              <w:t>Cr</w:t>
            </w:r>
            <w:r>
              <w:rPr>
                <w:rFonts w:eastAsia="Times New Roman"/>
                <w:snapToGrid w:val="0"/>
                <w:color w:val="auto"/>
                <w:kern w:val="0"/>
                <w:highlight w:val="none"/>
              </w:rPr>
              <w:t>浓度≥10000mg/L</w:t>
            </w:r>
          </w:p>
        </w:tc>
        <w:tc>
          <w:tcPr>
            <w:tcW w:w="1276" w:type="pct"/>
            <w:tcBorders>
              <w:tl2br w:val="nil"/>
              <w:tr2bl w:val="nil"/>
            </w:tcBorders>
            <w:vAlign w:val="center"/>
          </w:tcPr>
          <w:p w14:paraId="658E29BD">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管道</w:t>
            </w:r>
          </w:p>
        </w:tc>
        <w:tc>
          <w:tcPr>
            <w:tcW w:w="833" w:type="pct"/>
            <w:tcBorders>
              <w:tl2br w:val="nil"/>
              <w:tr2bl w:val="nil"/>
            </w:tcBorders>
            <w:vAlign w:val="center"/>
          </w:tcPr>
          <w:p w14:paraId="79B67610">
            <w:pPr>
              <w:pStyle w:val="771"/>
              <w:widowControl w:val="0"/>
              <w:tabs>
                <w:tab w:val="left" w:pos="1119"/>
              </w:tabs>
              <w:adjustRightInd w:val="0"/>
              <w:snapToGrid w:val="0"/>
              <w:spacing w:line="240" w:lineRule="auto"/>
              <w:rPr>
                <w:rFonts w:hint="default" w:eastAsia="Times New Roman"/>
                <w:snapToGrid w:val="0"/>
                <w:color w:val="auto"/>
                <w:kern w:val="0"/>
                <w:highlight w:val="none"/>
                <w:lang w:val="en-US"/>
              </w:rPr>
            </w:pPr>
            <w:r>
              <w:rPr>
                <w:rFonts w:hint="eastAsia" w:eastAsia="宋体"/>
                <w:snapToGrid w:val="0"/>
                <w:color w:val="auto"/>
                <w:kern w:val="0"/>
                <w:highlight w:val="none"/>
                <w:lang w:val="en-US" w:eastAsia="zh-CN"/>
              </w:rPr>
              <w:t>180</w:t>
            </w:r>
          </w:p>
        </w:tc>
        <w:tc>
          <w:tcPr>
            <w:tcW w:w="833" w:type="pct"/>
            <w:tcBorders>
              <w:tl2br w:val="nil"/>
              <w:tr2bl w:val="nil"/>
            </w:tcBorders>
            <w:vAlign w:val="center"/>
          </w:tcPr>
          <w:p w14:paraId="3C56C49D">
            <w:pPr>
              <w:pStyle w:val="771"/>
              <w:widowControl w:val="0"/>
              <w:tabs>
                <w:tab w:val="left" w:pos="1119"/>
              </w:tabs>
              <w:adjustRightInd w:val="0"/>
              <w:snapToGrid w:val="0"/>
              <w:spacing w:line="240" w:lineRule="auto"/>
              <w:rPr>
                <w:rFonts w:hint="default" w:eastAsia="Times New Roman"/>
                <w:snapToGrid w:val="0"/>
                <w:color w:val="auto"/>
                <w:kern w:val="0"/>
                <w:highlight w:val="none"/>
              </w:rPr>
            </w:pPr>
            <w:r>
              <w:rPr>
                <w:rFonts w:eastAsia="Times New Roman"/>
                <w:snapToGrid w:val="0"/>
                <w:color w:val="auto"/>
                <w:kern w:val="0"/>
                <w:highlight w:val="none"/>
              </w:rPr>
              <w:t>送至西区污水处理厂</w:t>
            </w:r>
          </w:p>
        </w:tc>
      </w:tr>
      <w:tr w14:paraId="49FB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274" w:type="pct"/>
            <w:tcBorders>
              <w:tl2br w:val="nil"/>
              <w:tr2bl w:val="nil"/>
            </w:tcBorders>
            <w:vAlign w:val="center"/>
          </w:tcPr>
          <w:p w14:paraId="3DA50FF1">
            <w:pPr>
              <w:pStyle w:val="771"/>
              <w:widowControl w:val="0"/>
              <w:tabs>
                <w:tab w:val="left" w:pos="1119"/>
              </w:tabs>
              <w:adjustRightInd w:val="0"/>
              <w:snapToGrid w:val="0"/>
              <w:spacing w:line="240" w:lineRule="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6</w:t>
            </w:r>
          </w:p>
        </w:tc>
        <w:tc>
          <w:tcPr>
            <w:tcW w:w="856" w:type="pct"/>
            <w:tcBorders>
              <w:tl2br w:val="nil"/>
              <w:tr2bl w:val="nil"/>
            </w:tcBorders>
            <w:vAlign w:val="center"/>
          </w:tcPr>
          <w:p w14:paraId="3D926740">
            <w:pPr>
              <w:pStyle w:val="771"/>
              <w:widowControl w:val="0"/>
              <w:tabs>
                <w:tab w:val="left" w:pos="1119"/>
              </w:tabs>
              <w:adjustRightInd w:val="0"/>
              <w:snapToGrid w:val="0"/>
              <w:spacing w:line="240" w:lineRule="auto"/>
              <w:rPr>
                <w:rFonts w:hint="default" w:eastAsia="宋体"/>
                <w:snapToGrid w:val="0"/>
                <w:color w:val="auto"/>
                <w:kern w:val="0"/>
                <w:highlight w:val="none"/>
                <w:lang w:val="en-US" w:eastAsia="zh-CN"/>
              </w:rPr>
            </w:pPr>
            <w:r>
              <w:rPr>
                <w:rFonts w:hint="eastAsia" w:eastAsia="宋体"/>
                <w:snapToGrid w:val="0"/>
                <w:color w:val="auto"/>
                <w:kern w:val="0"/>
                <w:highlight w:val="none"/>
                <w:lang w:val="en-US" w:eastAsia="zh-CN"/>
              </w:rPr>
              <w:t>硫酸铵库房</w:t>
            </w:r>
          </w:p>
        </w:tc>
        <w:tc>
          <w:tcPr>
            <w:tcW w:w="924" w:type="pct"/>
            <w:tcBorders>
              <w:tl2br w:val="nil"/>
              <w:tr2bl w:val="nil"/>
            </w:tcBorders>
            <w:vAlign w:val="center"/>
          </w:tcPr>
          <w:p w14:paraId="0FED4885">
            <w:pPr>
              <w:pStyle w:val="771"/>
              <w:widowControl w:val="0"/>
              <w:tabs>
                <w:tab w:val="left" w:pos="1119"/>
              </w:tabs>
              <w:adjustRightInd w:val="0"/>
              <w:snapToGrid w:val="0"/>
              <w:spacing w:line="240" w:lineRule="auto"/>
              <w:rPr>
                <w:rFonts w:hint="default" w:eastAsia="宋体"/>
                <w:snapToGrid w:val="0"/>
                <w:color w:val="auto"/>
                <w:kern w:val="0"/>
                <w:highlight w:val="none"/>
                <w:lang w:val="en-US" w:eastAsia="zh-CN"/>
              </w:rPr>
            </w:pPr>
            <w:r>
              <w:rPr>
                <w:rFonts w:hint="eastAsia" w:eastAsia="宋体"/>
                <w:snapToGrid w:val="0"/>
                <w:color w:val="auto"/>
                <w:kern w:val="0"/>
                <w:highlight w:val="none"/>
                <w:lang w:val="en-US" w:eastAsia="zh-CN"/>
              </w:rPr>
              <w:t>硫酸铵</w:t>
            </w:r>
          </w:p>
        </w:tc>
        <w:tc>
          <w:tcPr>
            <w:tcW w:w="1276" w:type="pct"/>
            <w:tcBorders>
              <w:tl2br w:val="nil"/>
              <w:tr2bl w:val="nil"/>
            </w:tcBorders>
            <w:vAlign w:val="center"/>
          </w:tcPr>
          <w:p w14:paraId="761FC570">
            <w:pPr>
              <w:pStyle w:val="771"/>
              <w:widowControl w:val="0"/>
              <w:tabs>
                <w:tab w:val="left" w:pos="1119"/>
              </w:tabs>
              <w:adjustRightInd w:val="0"/>
              <w:snapToGrid w:val="0"/>
              <w:spacing w:line="240" w:lineRule="auto"/>
              <w:rPr>
                <w:rFonts w:hint="eastAsia" w:eastAsia="宋体"/>
                <w:snapToGrid w:val="0"/>
                <w:color w:val="auto"/>
                <w:kern w:val="0"/>
                <w:highlight w:val="none"/>
                <w:lang w:val="en-US" w:eastAsia="zh-CN"/>
              </w:rPr>
            </w:pPr>
            <w:r>
              <w:rPr>
                <w:rFonts w:hint="eastAsia" w:eastAsia="宋体"/>
                <w:snapToGrid w:val="0"/>
                <w:color w:val="auto"/>
                <w:kern w:val="0"/>
                <w:highlight w:val="none"/>
                <w:lang w:val="en-US" w:eastAsia="zh-CN"/>
              </w:rPr>
              <w:t>库房</w:t>
            </w:r>
          </w:p>
        </w:tc>
        <w:tc>
          <w:tcPr>
            <w:tcW w:w="833" w:type="pct"/>
            <w:tcBorders>
              <w:tl2br w:val="nil"/>
              <w:tr2bl w:val="nil"/>
            </w:tcBorders>
            <w:vAlign w:val="center"/>
          </w:tcPr>
          <w:p w14:paraId="1014C0E3">
            <w:pPr>
              <w:pStyle w:val="771"/>
              <w:widowControl w:val="0"/>
              <w:tabs>
                <w:tab w:val="left" w:pos="1119"/>
              </w:tabs>
              <w:adjustRightInd w:val="0"/>
              <w:snapToGrid w:val="0"/>
              <w:spacing w:line="240" w:lineRule="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2000</w:t>
            </w:r>
          </w:p>
        </w:tc>
        <w:tc>
          <w:tcPr>
            <w:tcW w:w="833" w:type="pct"/>
            <w:tcBorders>
              <w:tl2br w:val="nil"/>
              <w:tr2bl w:val="nil"/>
            </w:tcBorders>
            <w:vAlign w:val="center"/>
          </w:tcPr>
          <w:p w14:paraId="6685BA9F">
            <w:pPr>
              <w:pStyle w:val="771"/>
              <w:widowControl w:val="0"/>
              <w:tabs>
                <w:tab w:val="left" w:pos="1119"/>
              </w:tabs>
              <w:adjustRightInd w:val="0"/>
              <w:snapToGrid w:val="0"/>
              <w:spacing w:line="240" w:lineRule="auto"/>
              <w:rPr>
                <w:rFonts w:hint="default" w:eastAsia="宋体"/>
                <w:snapToGrid w:val="0"/>
                <w:color w:val="auto"/>
                <w:kern w:val="0"/>
                <w:highlight w:val="none"/>
                <w:lang w:val="en-US" w:eastAsia="zh-CN"/>
              </w:rPr>
            </w:pPr>
            <w:r>
              <w:rPr>
                <w:rFonts w:hint="eastAsia" w:eastAsia="宋体"/>
                <w:snapToGrid w:val="0"/>
                <w:color w:val="auto"/>
                <w:kern w:val="0"/>
                <w:highlight w:val="none"/>
                <w:lang w:val="en-US" w:eastAsia="zh-CN"/>
              </w:rPr>
              <w:t>依托</w:t>
            </w:r>
          </w:p>
        </w:tc>
      </w:tr>
    </w:tbl>
    <w:p w14:paraId="79943C3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6.3.2.2生产工艺特点调查</w:t>
      </w:r>
    </w:p>
    <w:p w14:paraId="2E0DBE4C">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生产工艺特点调查指本项目在生产过程中是否存在高温（工艺温度≥300℃）、高压（压力容器设计压力≥10.0MPa）、危险工艺及涉及危险物质的工艺过程。</w:t>
      </w:r>
    </w:p>
    <w:p w14:paraId="1828B52F">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根据《建设项目环境风险评价技术导则》（HJ169-2018）附录C.1，本项目生产过程涉及危险物质使用、贮存。</w:t>
      </w:r>
    </w:p>
    <w:p w14:paraId="103CBD0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6.3.2.3生态环境敏感目标调查</w:t>
      </w:r>
    </w:p>
    <w:p w14:paraId="28614C88">
      <w:pPr>
        <w:adjustRightInd w:val="0"/>
        <w:snapToGrid w:val="0"/>
        <w:spacing w:line="360" w:lineRule="auto"/>
        <w:ind w:firstLine="480" w:firstLineChars="200"/>
        <w:rPr>
          <w:rFonts w:eastAsiaTheme="minorEastAsia"/>
          <w:color w:val="auto"/>
          <w:kern w:val="0"/>
          <w:sz w:val="24"/>
          <w:highlight w:val="none"/>
        </w:rPr>
      </w:pPr>
      <w:r>
        <w:rPr>
          <w:rFonts w:hint="eastAsia" w:eastAsiaTheme="minorEastAsia"/>
          <w:color w:val="auto"/>
          <w:kern w:val="0"/>
          <w:sz w:val="24"/>
          <w:highlight w:val="none"/>
        </w:rPr>
        <w:t>本项目5km范围内的</w:t>
      </w:r>
      <w:r>
        <w:rPr>
          <w:rFonts w:hint="eastAsia" w:eastAsiaTheme="minorEastAsia"/>
          <w:snapToGrid w:val="0"/>
          <w:color w:val="auto"/>
          <w:kern w:val="0"/>
          <w:sz w:val="24"/>
          <w:highlight w:val="none"/>
          <w:lang w:val="en-US" w:eastAsia="zh-CN"/>
        </w:rPr>
        <w:t>生态</w:t>
      </w:r>
      <w:r>
        <w:rPr>
          <w:rFonts w:hint="eastAsia" w:eastAsiaTheme="minorEastAsia"/>
          <w:color w:val="auto"/>
          <w:kern w:val="0"/>
          <w:sz w:val="24"/>
          <w:highlight w:val="none"/>
        </w:rPr>
        <w:t>环境敏感点的情况统计详见表6.3-2。</w:t>
      </w:r>
    </w:p>
    <w:p w14:paraId="3A7AD82E">
      <w:pPr>
        <w:tabs>
          <w:tab w:val="left" w:pos="720"/>
        </w:tabs>
        <w:adjustRightInd w:val="0"/>
        <w:snapToGrid w:val="0"/>
        <w:jc w:val="center"/>
        <w:rPr>
          <w:b/>
          <w:snapToGrid w:val="0"/>
          <w:color w:val="auto"/>
          <w:kern w:val="0"/>
          <w:szCs w:val="21"/>
          <w:highlight w:val="none"/>
        </w:rPr>
      </w:pPr>
      <w:r>
        <w:rPr>
          <w:rFonts w:hint="eastAsia"/>
          <w:b/>
          <w:snapToGrid w:val="0"/>
          <w:color w:val="auto"/>
          <w:kern w:val="0"/>
          <w:szCs w:val="21"/>
          <w:highlight w:val="none"/>
        </w:rPr>
        <w:t xml:space="preserve">表6.3-2 </w:t>
      </w:r>
      <w:r>
        <w:rPr>
          <w:rFonts w:hint="eastAsia"/>
          <w:b/>
          <w:snapToGrid w:val="0"/>
          <w:color w:val="auto"/>
          <w:kern w:val="0"/>
          <w:szCs w:val="21"/>
          <w:highlight w:val="none"/>
          <w:lang w:val="en-US" w:eastAsia="zh-CN"/>
        </w:rPr>
        <w:t>生态</w:t>
      </w:r>
      <w:r>
        <w:rPr>
          <w:rFonts w:hint="eastAsia"/>
          <w:b/>
          <w:snapToGrid w:val="0"/>
          <w:color w:val="auto"/>
          <w:kern w:val="0"/>
          <w:szCs w:val="21"/>
          <w:highlight w:val="none"/>
        </w:rPr>
        <w:t>环境敏感目标统计表</w:t>
      </w:r>
    </w:p>
    <w:tbl>
      <w:tblPr>
        <w:tblStyle w:val="56"/>
        <w:tblW w:w="5046"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767"/>
        <w:gridCol w:w="576"/>
        <w:gridCol w:w="1758"/>
        <w:gridCol w:w="1337"/>
        <w:gridCol w:w="1103"/>
        <w:gridCol w:w="1860"/>
        <w:gridCol w:w="905"/>
      </w:tblGrid>
      <w:tr w14:paraId="598C04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Align w:val="center"/>
          </w:tcPr>
          <w:p w14:paraId="55F4CD8B">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类别</w:t>
            </w:r>
          </w:p>
        </w:tc>
        <w:tc>
          <w:tcPr>
            <w:tcW w:w="7530" w:type="dxa"/>
            <w:gridSpan w:val="6"/>
          </w:tcPr>
          <w:p w14:paraId="44DD595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环境敏感特征</w:t>
            </w:r>
          </w:p>
        </w:tc>
      </w:tr>
      <w:tr w14:paraId="3DEC23D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restart"/>
            <w:vAlign w:val="center"/>
          </w:tcPr>
          <w:p w14:paraId="72DA7705">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大气</w:t>
            </w:r>
          </w:p>
          <w:p w14:paraId="6BA182E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环境</w:t>
            </w:r>
          </w:p>
        </w:tc>
        <w:tc>
          <w:tcPr>
            <w:tcW w:w="7530" w:type="dxa"/>
            <w:gridSpan w:val="6"/>
          </w:tcPr>
          <w:p w14:paraId="4FA9BCF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厂址周边5km范围内</w:t>
            </w:r>
          </w:p>
        </w:tc>
      </w:tr>
      <w:tr w14:paraId="330DB28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3CCD3C1D">
            <w:pPr>
              <w:pStyle w:val="771"/>
              <w:tabs>
                <w:tab w:val="left" w:pos="1119"/>
              </w:tabs>
              <w:adjustRightInd w:val="0"/>
              <w:snapToGrid w:val="0"/>
              <w:spacing w:line="240" w:lineRule="auto"/>
              <w:rPr>
                <w:rFonts w:hint="default"/>
                <w:color w:val="auto"/>
                <w:kern w:val="0"/>
                <w:highlight w:val="none"/>
              </w:rPr>
            </w:pPr>
          </w:p>
        </w:tc>
        <w:tc>
          <w:tcPr>
            <w:tcW w:w="575" w:type="dxa"/>
          </w:tcPr>
          <w:p w14:paraId="07841515">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序号</w:t>
            </w:r>
          </w:p>
        </w:tc>
        <w:tc>
          <w:tcPr>
            <w:tcW w:w="1756" w:type="dxa"/>
          </w:tcPr>
          <w:p w14:paraId="3D8EA76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敏感目标名称</w:t>
            </w:r>
          </w:p>
        </w:tc>
        <w:tc>
          <w:tcPr>
            <w:tcW w:w="1335" w:type="dxa"/>
            <w:vAlign w:val="center"/>
          </w:tcPr>
          <w:p w14:paraId="663814FB">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相对方位</w:t>
            </w:r>
          </w:p>
        </w:tc>
        <w:tc>
          <w:tcPr>
            <w:tcW w:w="1102" w:type="dxa"/>
            <w:vAlign w:val="center"/>
          </w:tcPr>
          <w:p w14:paraId="501881DB">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距离/m</w:t>
            </w:r>
          </w:p>
        </w:tc>
        <w:tc>
          <w:tcPr>
            <w:tcW w:w="1858" w:type="dxa"/>
            <w:vAlign w:val="center"/>
          </w:tcPr>
          <w:p w14:paraId="4525C177">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属性</w:t>
            </w:r>
          </w:p>
        </w:tc>
        <w:tc>
          <w:tcPr>
            <w:tcW w:w="904" w:type="dxa"/>
            <w:vAlign w:val="center"/>
          </w:tcPr>
          <w:p w14:paraId="5FEF4969">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人口数</w:t>
            </w:r>
          </w:p>
        </w:tc>
      </w:tr>
      <w:tr w14:paraId="7DAA670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199F121F">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2B07051C">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1</w:t>
            </w:r>
          </w:p>
        </w:tc>
        <w:tc>
          <w:tcPr>
            <w:tcW w:w="1756" w:type="dxa"/>
            <w:vAlign w:val="center"/>
          </w:tcPr>
          <w:p w14:paraId="025B0391">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凯赛（乌苏）生物材料有限公司</w:t>
            </w:r>
          </w:p>
        </w:tc>
        <w:tc>
          <w:tcPr>
            <w:tcW w:w="1335" w:type="dxa"/>
            <w:vAlign w:val="center"/>
          </w:tcPr>
          <w:p w14:paraId="52901975">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厂区内</w:t>
            </w:r>
          </w:p>
        </w:tc>
        <w:tc>
          <w:tcPr>
            <w:tcW w:w="1102" w:type="dxa"/>
            <w:vAlign w:val="center"/>
          </w:tcPr>
          <w:p w14:paraId="1F955B92">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0</w:t>
            </w:r>
          </w:p>
        </w:tc>
        <w:tc>
          <w:tcPr>
            <w:tcW w:w="1858" w:type="dxa"/>
            <w:vAlign w:val="center"/>
          </w:tcPr>
          <w:p w14:paraId="06F04CA3">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企业</w:t>
            </w:r>
          </w:p>
        </w:tc>
        <w:tc>
          <w:tcPr>
            <w:tcW w:w="904" w:type="dxa"/>
            <w:vAlign w:val="center"/>
          </w:tcPr>
          <w:p w14:paraId="0EDF8E47">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330</w:t>
            </w:r>
          </w:p>
        </w:tc>
      </w:tr>
      <w:tr w14:paraId="29D6285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600B5821">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0F1EAAD8">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2</w:t>
            </w:r>
          </w:p>
        </w:tc>
        <w:tc>
          <w:tcPr>
            <w:tcW w:w="1756" w:type="dxa"/>
            <w:vAlign w:val="center"/>
          </w:tcPr>
          <w:p w14:paraId="794EAA57">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凯赛（乌苏）生物技术有限公司</w:t>
            </w:r>
          </w:p>
        </w:tc>
        <w:tc>
          <w:tcPr>
            <w:tcW w:w="1335" w:type="dxa"/>
            <w:vAlign w:val="center"/>
          </w:tcPr>
          <w:p w14:paraId="107838D6">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厂区内</w:t>
            </w:r>
          </w:p>
        </w:tc>
        <w:tc>
          <w:tcPr>
            <w:tcW w:w="1102" w:type="dxa"/>
            <w:vAlign w:val="center"/>
          </w:tcPr>
          <w:p w14:paraId="2B767140">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0</w:t>
            </w:r>
          </w:p>
        </w:tc>
        <w:tc>
          <w:tcPr>
            <w:tcW w:w="1858" w:type="dxa"/>
            <w:vAlign w:val="center"/>
          </w:tcPr>
          <w:p w14:paraId="15498D21">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企业</w:t>
            </w:r>
          </w:p>
        </w:tc>
        <w:tc>
          <w:tcPr>
            <w:tcW w:w="904" w:type="dxa"/>
            <w:vAlign w:val="center"/>
          </w:tcPr>
          <w:p w14:paraId="045D24C1">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120</w:t>
            </w:r>
          </w:p>
        </w:tc>
      </w:tr>
      <w:tr w14:paraId="262C93D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6BB91603">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5CB84EBE">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3</w:t>
            </w:r>
          </w:p>
        </w:tc>
        <w:tc>
          <w:tcPr>
            <w:tcW w:w="1756" w:type="dxa"/>
            <w:vAlign w:val="center"/>
          </w:tcPr>
          <w:p w14:paraId="7DC278D4">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哈尔扎木村</w:t>
            </w:r>
          </w:p>
        </w:tc>
        <w:tc>
          <w:tcPr>
            <w:tcW w:w="1335" w:type="dxa"/>
            <w:vAlign w:val="center"/>
          </w:tcPr>
          <w:p w14:paraId="37B7C6BB">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NW</w:t>
            </w:r>
          </w:p>
        </w:tc>
        <w:tc>
          <w:tcPr>
            <w:tcW w:w="1102" w:type="dxa"/>
            <w:vAlign w:val="center"/>
          </w:tcPr>
          <w:p w14:paraId="643E84D6">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2530</w:t>
            </w:r>
          </w:p>
        </w:tc>
        <w:tc>
          <w:tcPr>
            <w:tcW w:w="1858" w:type="dxa"/>
            <w:vAlign w:val="center"/>
          </w:tcPr>
          <w:p w14:paraId="7891BA38">
            <w:pPr>
              <w:pStyle w:val="42"/>
              <w:tabs>
                <w:tab w:val="left" w:pos="0"/>
              </w:tabs>
              <w:adjustRightInd w:val="0"/>
              <w:snapToGrid w:val="0"/>
              <w:ind w:left="0" w:leftChars="0" w:firstLine="0" w:firstLineChars="0"/>
              <w:jc w:val="center"/>
              <w:rPr>
                <w:color w:val="auto"/>
                <w:kern w:val="0"/>
                <w:szCs w:val="21"/>
                <w:highlight w:val="none"/>
              </w:rPr>
            </w:pPr>
            <w:r>
              <w:rPr>
                <w:snapToGrid w:val="0"/>
                <w:color w:val="auto"/>
                <w:kern w:val="0"/>
                <w:szCs w:val="21"/>
                <w:highlight w:val="none"/>
                <w:lang w:eastAsia="en-US"/>
              </w:rPr>
              <w:t>居民区</w:t>
            </w:r>
          </w:p>
        </w:tc>
        <w:tc>
          <w:tcPr>
            <w:tcW w:w="904" w:type="dxa"/>
            <w:vAlign w:val="center"/>
          </w:tcPr>
          <w:p w14:paraId="32636626">
            <w:pPr>
              <w:pStyle w:val="42"/>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rPr>
              <w:t>480</w:t>
            </w:r>
          </w:p>
        </w:tc>
      </w:tr>
      <w:tr w14:paraId="441E689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39334340">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6E09B460">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4</w:t>
            </w:r>
          </w:p>
        </w:tc>
        <w:tc>
          <w:tcPr>
            <w:tcW w:w="1756" w:type="dxa"/>
            <w:vAlign w:val="center"/>
          </w:tcPr>
          <w:p w14:paraId="3F35EDEE">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库鲁木村</w:t>
            </w:r>
          </w:p>
        </w:tc>
        <w:tc>
          <w:tcPr>
            <w:tcW w:w="1335" w:type="dxa"/>
            <w:vAlign w:val="center"/>
          </w:tcPr>
          <w:p w14:paraId="390881BA">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W</w:t>
            </w:r>
          </w:p>
        </w:tc>
        <w:tc>
          <w:tcPr>
            <w:tcW w:w="1102" w:type="dxa"/>
            <w:vAlign w:val="center"/>
          </w:tcPr>
          <w:p w14:paraId="4F44F4E7">
            <w:pPr>
              <w:pStyle w:val="768"/>
              <w:adjustRightInd w:val="0"/>
              <w:snapToGrid w:val="0"/>
              <w:rPr>
                <w:rFonts w:cs="Times New Roman"/>
                <w:color w:val="auto"/>
                <w:kern w:val="0"/>
                <w:szCs w:val="21"/>
                <w:highlight w:val="none"/>
              </w:rPr>
            </w:pPr>
            <w:r>
              <w:rPr>
                <w:rFonts w:hint="eastAsia" w:cs="Times New Roman"/>
                <w:color w:val="auto"/>
                <w:kern w:val="0"/>
                <w:szCs w:val="21"/>
                <w:highlight w:val="none"/>
                <w:lang w:val="en-US" w:eastAsia="zh-CN"/>
              </w:rPr>
              <w:t>39</w:t>
            </w:r>
            <w:r>
              <w:rPr>
                <w:rFonts w:hint="eastAsia" w:cs="Times New Roman"/>
                <w:color w:val="auto"/>
                <w:kern w:val="0"/>
                <w:szCs w:val="21"/>
                <w:highlight w:val="none"/>
              </w:rPr>
              <w:t>0</w:t>
            </w:r>
            <w:r>
              <w:rPr>
                <w:rFonts w:hint="eastAsia" w:cs="Times New Roman"/>
                <w:color w:val="auto"/>
                <w:kern w:val="0"/>
                <w:szCs w:val="21"/>
                <w:highlight w:val="none"/>
                <w:lang w:val="en-US" w:eastAsia="zh-CN"/>
              </w:rPr>
              <w:t>0</w:t>
            </w:r>
          </w:p>
        </w:tc>
        <w:tc>
          <w:tcPr>
            <w:tcW w:w="1858" w:type="dxa"/>
            <w:vAlign w:val="center"/>
          </w:tcPr>
          <w:p w14:paraId="661C807A">
            <w:pPr>
              <w:pStyle w:val="42"/>
              <w:tabs>
                <w:tab w:val="left" w:pos="0"/>
              </w:tabs>
              <w:adjustRightInd w:val="0"/>
              <w:snapToGrid w:val="0"/>
              <w:ind w:left="0" w:leftChars="0" w:firstLine="0" w:firstLineChars="0"/>
              <w:jc w:val="center"/>
              <w:rPr>
                <w:color w:val="auto"/>
                <w:kern w:val="0"/>
                <w:szCs w:val="21"/>
                <w:highlight w:val="none"/>
              </w:rPr>
            </w:pPr>
            <w:r>
              <w:rPr>
                <w:snapToGrid w:val="0"/>
                <w:color w:val="auto"/>
                <w:kern w:val="0"/>
                <w:szCs w:val="21"/>
                <w:highlight w:val="none"/>
                <w:lang w:eastAsia="en-US"/>
              </w:rPr>
              <w:t>居民区</w:t>
            </w:r>
          </w:p>
        </w:tc>
        <w:tc>
          <w:tcPr>
            <w:tcW w:w="904" w:type="dxa"/>
            <w:vAlign w:val="center"/>
          </w:tcPr>
          <w:p w14:paraId="65CC5762">
            <w:pPr>
              <w:pStyle w:val="42"/>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rPr>
              <w:t>300</w:t>
            </w:r>
          </w:p>
        </w:tc>
      </w:tr>
      <w:tr w14:paraId="11D5764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55FC9F83">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23D05454">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5</w:t>
            </w:r>
          </w:p>
        </w:tc>
        <w:tc>
          <w:tcPr>
            <w:tcW w:w="1756" w:type="dxa"/>
            <w:vAlign w:val="center"/>
          </w:tcPr>
          <w:p w14:paraId="18D5F78B">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喇嘛寺村</w:t>
            </w:r>
          </w:p>
        </w:tc>
        <w:tc>
          <w:tcPr>
            <w:tcW w:w="1335" w:type="dxa"/>
            <w:vAlign w:val="center"/>
          </w:tcPr>
          <w:p w14:paraId="0770BB2F">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NE</w:t>
            </w:r>
          </w:p>
        </w:tc>
        <w:tc>
          <w:tcPr>
            <w:tcW w:w="1102" w:type="dxa"/>
            <w:vAlign w:val="center"/>
          </w:tcPr>
          <w:p w14:paraId="7A0B4AEB">
            <w:pPr>
              <w:pStyle w:val="768"/>
              <w:adjustRightInd w:val="0"/>
              <w:snapToGrid w:val="0"/>
              <w:rPr>
                <w:rFonts w:hint="eastAsia" w:eastAsia="宋体" w:cs="Times New Roman"/>
                <w:color w:val="auto"/>
                <w:kern w:val="0"/>
                <w:szCs w:val="21"/>
                <w:highlight w:val="none"/>
                <w:lang w:eastAsia="zh-CN"/>
              </w:rPr>
            </w:pPr>
            <w:r>
              <w:rPr>
                <w:rFonts w:hint="eastAsia" w:cs="Times New Roman"/>
                <w:color w:val="auto"/>
                <w:kern w:val="0"/>
                <w:szCs w:val="21"/>
                <w:highlight w:val="none"/>
              </w:rPr>
              <w:t>4480</w:t>
            </w:r>
          </w:p>
        </w:tc>
        <w:tc>
          <w:tcPr>
            <w:tcW w:w="1858" w:type="dxa"/>
            <w:vAlign w:val="center"/>
          </w:tcPr>
          <w:p w14:paraId="3A9B5251">
            <w:pPr>
              <w:pStyle w:val="42"/>
              <w:tabs>
                <w:tab w:val="left" w:pos="0"/>
              </w:tabs>
              <w:adjustRightInd w:val="0"/>
              <w:snapToGrid w:val="0"/>
              <w:ind w:left="0" w:leftChars="0" w:firstLine="0" w:firstLineChars="0"/>
              <w:jc w:val="center"/>
              <w:rPr>
                <w:color w:val="auto"/>
                <w:kern w:val="0"/>
                <w:szCs w:val="21"/>
                <w:highlight w:val="none"/>
              </w:rPr>
            </w:pPr>
            <w:r>
              <w:rPr>
                <w:snapToGrid w:val="0"/>
                <w:color w:val="auto"/>
                <w:kern w:val="0"/>
                <w:szCs w:val="21"/>
                <w:highlight w:val="none"/>
                <w:lang w:eastAsia="en-US"/>
              </w:rPr>
              <w:t>居民区</w:t>
            </w:r>
          </w:p>
        </w:tc>
        <w:tc>
          <w:tcPr>
            <w:tcW w:w="904" w:type="dxa"/>
            <w:vAlign w:val="center"/>
          </w:tcPr>
          <w:p w14:paraId="52261DB8">
            <w:pPr>
              <w:pStyle w:val="42"/>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rPr>
              <w:t>120</w:t>
            </w:r>
          </w:p>
        </w:tc>
      </w:tr>
      <w:tr w14:paraId="184C999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23CEEDC4">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7EB22531">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6</w:t>
            </w:r>
          </w:p>
        </w:tc>
        <w:tc>
          <w:tcPr>
            <w:tcW w:w="1756" w:type="dxa"/>
            <w:vAlign w:val="center"/>
          </w:tcPr>
          <w:p w14:paraId="7C98D1F3">
            <w:pPr>
              <w:pStyle w:val="768"/>
              <w:adjustRightInd w:val="0"/>
              <w:snapToGrid w:val="0"/>
              <w:rPr>
                <w:rFonts w:cs="Times New Roman"/>
                <w:color w:val="auto"/>
                <w:kern w:val="0"/>
                <w:szCs w:val="21"/>
                <w:highlight w:val="none"/>
              </w:rPr>
            </w:pPr>
            <w:r>
              <w:rPr>
                <w:rFonts w:cs="Times New Roman"/>
                <w:color w:val="auto"/>
                <w:kern w:val="0"/>
                <w:szCs w:val="21"/>
                <w:highlight w:val="none"/>
              </w:rPr>
              <w:t>塞布库里村</w:t>
            </w:r>
          </w:p>
        </w:tc>
        <w:tc>
          <w:tcPr>
            <w:tcW w:w="1335" w:type="dxa"/>
            <w:vAlign w:val="center"/>
          </w:tcPr>
          <w:p w14:paraId="4D1086CB">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NW</w:t>
            </w:r>
          </w:p>
        </w:tc>
        <w:tc>
          <w:tcPr>
            <w:tcW w:w="1102" w:type="dxa"/>
            <w:vAlign w:val="center"/>
          </w:tcPr>
          <w:p w14:paraId="2987C397">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4756</w:t>
            </w:r>
          </w:p>
        </w:tc>
        <w:tc>
          <w:tcPr>
            <w:tcW w:w="1858" w:type="dxa"/>
            <w:vAlign w:val="center"/>
          </w:tcPr>
          <w:p w14:paraId="3A2BEA72">
            <w:pPr>
              <w:pStyle w:val="42"/>
              <w:tabs>
                <w:tab w:val="left" w:pos="0"/>
              </w:tabs>
              <w:adjustRightInd w:val="0"/>
              <w:snapToGrid w:val="0"/>
              <w:ind w:left="0" w:leftChars="0" w:firstLine="0" w:firstLineChars="0"/>
              <w:jc w:val="center"/>
              <w:rPr>
                <w:color w:val="auto"/>
                <w:kern w:val="0"/>
                <w:szCs w:val="21"/>
                <w:highlight w:val="none"/>
              </w:rPr>
            </w:pPr>
            <w:r>
              <w:rPr>
                <w:snapToGrid w:val="0"/>
                <w:color w:val="auto"/>
                <w:kern w:val="0"/>
                <w:szCs w:val="21"/>
                <w:highlight w:val="none"/>
                <w:lang w:eastAsia="en-US"/>
              </w:rPr>
              <w:t>居民区</w:t>
            </w:r>
          </w:p>
        </w:tc>
        <w:tc>
          <w:tcPr>
            <w:tcW w:w="904" w:type="dxa"/>
            <w:vAlign w:val="center"/>
          </w:tcPr>
          <w:p w14:paraId="08D8E35E">
            <w:pPr>
              <w:pStyle w:val="42"/>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rPr>
              <w:t>500</w:t>
            </w:r>
          </w:p>
        </w:tc>
      </w:tr>
      <w:tr w14:paraId="6DA3038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0F84905C">
            <w:pPr>
              <w:pStyle w:val="771"/>
              <w:tabs>
                <w:tab w:val="left" w:pos="1119"/>
              </w:tabs>
              <w:adjustRightInd w:val="0"/>
              <w:snapToGrid w:val="0"/>
              <w:spacing w:line="240" w:lineRule="auto"/>
              <w:rPr>
                <w:rFonts w:hint="default"/>
                <w:color w:val="auto"/>
                <w:kern w:val="0"/>
                <w:highlight w:val="none"/>
              </w:rPr>
            </w:pPr>
          </w:p>
        </w:tc>
        <w:tc>
          <w:tcPr>
            <w:tcW w:w="575" w:type="dxa"/>
            <w:vAlign w:val="center"/>
          </w:tcPr>
          <w:p w14:paraId="2422E574">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lang w:eastAsia="en-US"/>
              </w:rPr>
              <w:t>7</w:t>
            </w:r>
          </w:p>
        </w:tc>
        <w:tc>
          <w:tcPr>
            <w:tcW w:w="1756" w:type="dxa"/>
            <w:vAlign w:val="center"/>
          </w:tcPr>
          <w:p w14:paraId="727DA886">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牧民新村</w:t>
            </w:r>
          </w:p>
        </w:tc>
        <w:tc>
          <w:tcPr>
            <w:tcW w:w="1335" w:type="dxa"/>
            <w:vAlign w:val="center"/>
          </w:tcPr>
          <w:p w14:paraId="5DBC453E">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SE</w:t>
            </w:r>
          </w:p>
        </w:tc>
        <w:tc>
          <w:tcPr>
            <w:tcW w:w="1102" w:type="dxa"/>
            <w:vAlign w:val="center"/>
          </w:tcPr>
          <w:p w14:paraId="0F87558D">
            <w:pPr>
              <w:pStyle w:val="768"/>
              <w:adjustRightInd w:val="0"/>
              <w:snapToGrid w:val="0"/>
              <w:rPr>
                <w:rFonts w:cs="Times New Roman"/>
                <w:color w:val="auto"/>
                <w:kern w:val="0"/>
                <w:szCs w:val="21"/>
                <w:highlight w:val="none"/>
              </w:rPr>
            </w:pPr>
            <w:r>
              <w:rPr>
                <w:rFonts w:hint="eastAsia" w:cs="Times New Roman"/>
                <w:color w:val="auto"/>
                <w:kern w:val="0"/>
                <w:szCs w:val="21"/>
                <w:highlight w:val="none"/>
              </w:rPr>
              <w:t>2900</w:t>
            </w:r>
          </w:p>
        </w:tc>
        <w:tc>
          <w:tcPr>
            <w:tcW w:w="1858" w:type="dxa"/>
            <w:vAlign w:val="center"/>
          </w:tcPr>
          <w:p w14:paraId="0E711445">
            <w:pPr>
              <w:pStyle w:val="42"/>
              <w:tabs>
                <w:tab w:val="left" w:pos="0"/>
              </w:tabs>
              <w:adjustRightInd w:val="0"/>
              <w:snapToGrid w:val="0"/>
              <w:ind w:left="0" w:leftChars="0" w:firstLine="0" w:firstLineChars="0"/>
              <w:jc w:val="center"/>
              <w:rPr>
                <w:color w:val="auto"/>
                <w:kern w:val="0"/>
                <w:szCs w:val="21"/>
                <w:highlight w:val="none"/>
              </w:rPr>
            </w:pPr>
            <w:r>
              <w:rPr>
                <w:snapToGrid w:val="0"/>
                <w:color w:val="auto"/>
                <w:kern w:val="0"/>
                <w:szCs w:val="21"/>
                <w:highlight w:val="none"/>
                <w:lang w:eastAsia="en-US"/>
              </w:rPr>
              <w:t>居民区</w:t>
            </w:r>
          </w:p>
        </w:tc>
        <w:tc>
          <w:tcPr>
            <w:tcW w:w="904" w:type="dxa"/>
            <w:vAlign w:val="center"/>
          </w:tcPr>
          <w:p w14:paraId="480AF4B2">
            <w:pPr>
              <w:pStyle w:val="42"/>
              <w:tabs>
                <w:tab w:val="left" w:pos="0"/>
              </w:tabs>
              <w:adjustRightInd w:val="0"/>
              <w:snapToGrid w:val="0"/>
              <w:ind w:left="0" w:leftChars="0" w:firstLine="0" w:firstLineChars="0"/>
              <w:jc w:val="center"/>
              <w:rPr>
                <w:color w:val="auto"/>
                <w:kern w:val="0"/>
                <w:szCs w:val="21"/>
                <w:highlight w:val="none"/>
              </w:rPr>
            </w:pPr>
            <w:r>
              <w:rPr>
                <w:rFonts w:hint="eastAsia"/>
                <w:snapToGrid w:val="0"/>
                <w:color w:val="auto"/>
                <w:kern w:val="0"/>
                <w:szCs w:val="21"/>
                <w:highlight w:val="none"/>
              </w:rPr>
              <w:t>170</w:t>
            </w:r>
          </w:p>
        </w:tc>
      </w:tr>
      <w:tr w14:paraId="6E703B1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09546AAD">
            <w:pPr>
              <w:pStyle w:val="771"/>
              <w:tabs>
                <w:tab w:val="left" w:pos="1119"/>
              </w:tabs>
              <w:adjustRightInd w:val="0"/>
              <w:snapToGrid w:val="0"/>
              <w:spacing w:line="240" w:lineRule="auto"/>
              <w:rPr>
                <w:rFonts w:hint="default"/>
                <w:color w:val="auto"/>
                <w:kern w:val="0"/>
                <w:highlight w:val="none"/>
              </w:rPr>
            </w:pPr>
          </w:p>
        </w:tc>
        <w:tc>
          <w:tcPr>
            <w:tcW w:w="6626" w:type="dxa"/>
            <w:gridSpan w:val="5"/>
            <w:vAlign w:val="center"/>
          </w:tcPr>
          <w:p w14:paraId="68B2ED9A">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rPr>
              <w:t>厂址周边500m范围内人口数小计</w:t>
            </w:r>
          </w:p>
        </w:tc>
        <w:tc>
          <w:tcPr>
            <w:tcW w:w="904" w:type="dxa"/>
            <w:vAlign w:val="center"/>
          </w:tcPr>
          <w:p w14:paraId="551AD338">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45</w:t>
            </w:r>
            <w:r>
              <w:rPr>
                <w:rFonts w:hint="eastAsia"/>
                <w:snapToGrid w:val="0"/>
                <w:color w:val="auto"/>
                <w:kern w:val="0"/>
                <w:szCs w:val="21"/>
                <w:highlight w:val="none"/>
                <w:lang w:eastAsia="en-US"/>
              </w:rPr>
              <w:t>0</w:t>
            </w:r>
          </w:p>
        </w:tc>
      </w:tr>
      <w:tr w14:paraId="63B6086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74B8CC19">
            <w:pPr>
              <w:pStyle w:val="771"/>
              <w:tabs>
                <w:tab w:val="left" w:pos="1119"/>
              </w:tabs>
              <w:adjustRightInd w:val="0"/>
              <w:snapToGrid w:val="0"/>
              <w:spacing w:line="240" w:lineRule="auto"/>
              <w:rPr>
                <w:rFonts w:hint="default"/>
                <w:color w:val="auto"/>
                <w:kern w:val="0"/>
                <w:highlight w:val="none"/>
              </w:rPr>
            </w:pPr>
          </w:p>
        </w:tc>
        <w:tc>
          <w:tcPr>
            <w:tcW w:w="6626" w:type="dxa"/>
            <w:gridSpan w:val="5"/>
            <w:vAlign w:val="center"/>
          </w:tcPr>
          <w:p w14:paraId="0411F4BF">
            <w:pPr>
              <w:pStyle w:val="42"/>
              <w:tabs>
                <w:tab w:val="left" w:pos="0"/>
              </w:tabs>
              <w:adjustRightInd w:val="0"/>
              <w:snapToGrid w:val="0"/>
              <w:ind w:left="0" w:firstLine="0" w:firstLineChars="0"/>
              <w:jc w:val="center"/>
              <w:rPr>
                <w:color w:val="auto"/>
                <w:kern w:val="0"/>
                <w:szCs w:val="21"/>
                <w:highlight w:val="none"/>
              </w:rPr>
            </w:pPr>
            <w:r>
              <w:rPr>
                <w:snapToGrid w:val="0"/>
                <w:color w:val="auto"/>
                <w:kern w:val="0"/>
                <w:szCs w:val="21"/>
                <w:highlight w:val="none"/>
              </w:rPr>
              <w:t>厂址周边5km范围内人口数小计</w:t>
            </w:r>
          </w:p>
        </w:tc>
        <w:tc>
          <w:tcPr>
            <w:tcW w:w="904" w:type="dxa"/>
            <w:vAlign w:val="center"/>
          </w:tcPr>
          <w:p w14:paraId="667B8F35">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lang w:eastAsia="en-US"/>
              </w:rPr>
              <w:t>2</w:t>
            </w:r>
            <w:r>
              <w:rPr>
                <w:rFonts w:hint="eastAsia"/>
                <w:snapToGrid w:val="0"/>
                <w:color w:val="auto"/>
                <w:kern w:val="0"/>
                <w:szCs w:val="21"/>
                <w:highlight w:val="none"/>
              </w:rPr>
              <w:t>0</w:t>
            </w:r>
            <w:r>
              <w:rPr>
                <w:rFonts w:hint="eastAsia"/>
                <w:snapToGrid w:val="0"/>
                <w:color w:val="auto"/>
                <w:kern w:val="0"/>
                <w:szCs w:val="21"/>
                <w:highlight w:val="none"/>
                <w:lang w:val="en-US" w:eastAsia="zh-CN"/>
              </w:rPr>
              <w:t>2</w:t>
            </w:r>
            <w:r>
              <w:rPr>
                <w:rFonts w:hint="eastAsia"/>
                <w:snapToGrid w:val="0"/>
                <w:color w:val="auto"/>
                <w:kern w:val="0"/>
                <w:szCs w:val="21"/>
                <w:highlight w:val="none"/>
              </w:rPr>
              <w:t>0</w:t>
            </w:r>
          </w:p>
        </w:tc>
      </w:tr>
      <w:tr w14:paraId="3E9687B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39D7B4A7">
            <w:pPr>
              <w:pStyle w:val="771"/>
              <w:tabs>
                <w:tab w:val="left" w:pos="1119"/>
              </w:tabs>
              <w:adjustRightInd w:val="0"/>
              <w:snapToGrid w:val="0"/>
              <w:spacing w:line="240" w:lineRule="auto"/>
              <w:rPr>
                <w:rFonts w:hint="default"/>
                <w:color w:val="auto"/>
                <w:kern w:val="0"/>
                <w:highlight w:val="none"/>
              </w:rPr>
            </w:pPr>
          </w:p>
        </w:tc>
        <w:tc>
          <w:tcPr>
            <w:tcW w:w="6626" w:type="dxa"/>
            <w:gridSpan w:val="5"/>
          </w:tcPr>
          <w:p w14:paraId="7CB1B77E">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大气环境敏感程度E值</w:t>
            </w:r>
          </w:p>
        </w:tc>
        <w:tc>
          <w:tcPr>
            <w:tcW w:w="904" w:type="dxa"/>
            <w:vAlign w:val="center"/>
          </w:tcPr>
          <w:p w14:paraId="47176CC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E3</w:t>
            </w:r>
          </w:p>
        </w:tc>
      </w:tr>
      <w:tr w14:paraId="4F9771A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restart"/>
            <w:vAlign w:val="center"/>
          </w:tcPr>
          <w:p w14:paraId="55DCF7E2">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地表水</w:t>
            </w:r>
          </w:p>
        </w:tc>
        <w:tc>
          <w:tcPr>
            <w:tcW w:w="7530" w:type="dxa"/>
            <w:gridSpan w:val="6"/>
          </w:tcPr>
          <w:p w14:paraId="76F035D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受纳水体</w:t>
            </w:r>
          </w:p>
        </w:tc>
      </w:tr>
      <w:tr w14:paraId="5038C38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70535673">
            <w:pPr>
              <w:pStyle w:val="771"/>
              <w:tabs>
                <w:tab w:val="left" w:pos="1119"/>
              </w:tabs>
              <w:adjustRightInd w:val="0"/>
              <w:snapToGrid w:val="0"/>
              <w:spacing w:line="240" w:lineRule="auto"/>
              <w:rPr>
                <w:rFonts w:hint="default"/>
                <w:color w:val="auto"/>
                <w:kern w:val="0"/>
                <w:highlight w:val="none"/>
              </w:rPr>
            </w:pPr>
          </w:p>
        </w:tc>
        <w:tc>
          <w:tcPr>
            <w:tcW w:w="575" w:type="dxa"/>
          </w:tcPr>
          <w:p w14:paraId="3AA13C1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序号</w:t>
            </w:r>
          </w:p>
        </w:tc>
        <w:tc>
          <w:tcPr>
            <w:tcW w:w="1756" w:type="dxa"/>
          </w:tcPr>
          <w:p w14:paraId="7DFDFFAD">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受纳水体名称</w:t>
            </w:r>
          </w:p>
        </w:tc>
        <w:tc>
          <w:tcPr>
            <w:tcW w:w="2437" w:type="dxa"/>
            <w:gridSpan w:val="2"/>
            <w:vAlign w:val="center"/>
          </w:tcPr>
          <w:p w14:paraId="0FA8DAD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排放点水域环境功能</w:t>
            </w:r>
          </w:p>
        </w:tc>
        <w:tc>
          <w:tcPr>
            <w:tcW w:w="2762" w:type="dxa"/>
            <w:gridSpan w:val="2"/>
            <w:vAlign w:val="center"/>
          </w:tcPr>
          <w:p w14:paraId="4543BBAF">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24h内流经范围/km</w:t>
            </w:r>
          </w:p>
        </w:tc>
      </w:tr>
      <w:tr w14:paraId="3E7218B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639FA03F">
            <w:pPr>
              <w:pStyle w:val="771"/>
              <w:tabs>
                <w:tab w:val="left" w:pos="1119"/>
              </w:tabs>
              <w:adjustRightInd w:val="0"/>
              <w:snapToGrid w:val="0"/>
              <w:spacing w:line="240" w:lineRule="auto"/>
              <w:rPr>
                <w:rFonts w:hint="default"/>
                <w:color w:val="auto"/>
                <w:kern w:val="0"/>
                <w:highlight w:val="none"/>
              </w:rPr>
            </w:pPr>
          </w:p>
        </w:tc>
        <w:tc>
          <w:tcPr>
            <w:tcW w:w="575" w:type="dxa"/>
          </w:tcPr>
          <w:p w14:paraId="1C485711">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1</w:t>
            </w:r>
          </w:p>
        </w:tc>
        <w:tc>
          <w:tcPr>
            <w:tcW w:w="1756" w:type="dxa"/>
          </w:tcPr>
          <w:p w14:paraId="1D3832D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不涉及</w:t>
            </w:r>
          </w:p>
        </w:tc>
        <w:tc>
          <w:tcPr>
            <w:tcW w:w="2437" w:type="dxa"/>
            <w:gridSpan w:val="2"/>
            <w:vAlign w:val="center"/>
          </w:tcPr>
          <w:p w14:paraId="37145B98">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w:t>
            </w:r>
          </w:p>
        </w:tc>
        <w:tc>
          <w:tcPr>
            <w:tcW w:w="2762" w:type="dxa"/>
            <w:gridSpan w:val="2"/>
            <w:vAlign w:val="center"/>
          </w:tcPr>
          <w:p w14:paraId="09047707">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w:t>
            </w:r>
          </w:p>
        </w:tc>
      </w:tr>
      <w:tr w14:paraId="783036F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01FD3E55">
            <w:pPr>
              <w:pStyle w:val="771"/>
              <w:tabs>
                <w:tab w:val="left" w:pos="1119"/>
              </w:tabs>
              <w:adjustRightInd w:val="0"/>
              <w:snapToGrid w:val="0"/>
              <w:spacing w:line="240" w:lineRule="auto"/>
              <w:rPr>
                <w:rFonts w:hint="default"/>
                <w:color w:val="auto"/>
                <w:kern w:val="0"/>
                <w:highlight w:val="none"/>
              </w:rPr>
            </w:pPr>
          </w:p>
        </w:tc>
        <w:tc>
          <w:tcPr>
            <w:tcW w:w="7530" w:type="dxa"/>
            <w:gridSpan w:val="6"/>
          </w:tcPr>
          <w:p w14:paraId="57454267">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内陆水体排放点下游10km范围内敏感目标</w:t>
            </w:r>
          </w:p>
        </w:tc>
      </w:tr>
      <w:tr w14:paraId="78572C8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0366F43B">
            <w:pPr>
              <w:pStyle w:val="771"/>
              <w:tabs>
                <w:tab w:val="left" w:pos="1119"/>
              </w:tabs>
              <w:adjustRightInd w:val="0"/>
              <w:snapToGrid w:val="0"/>
              <w:spacing w:line="240" w:lineRule="auto"/>
              <w:rPr>
                <w:rFonts w:hint="default"/>
                <w:color w:val="auto"/>
                <w:kern w:val="0"/>
                <w:highlight w:val="none"/>
              </w:rPr>
            </w:pPr>
          </w:p>
        </w:tc>
        <w:tc>
          <w:tcPr>
            <w:tcW w:w="575" w:type="dxa"/>
          </w:tcPr>
          <w:p w14:paraId="26A7DE26">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序号</w:t>
            </w:r>
          </w:p>
        </w:tc>
        <w:tc>
          <w:tcPr>
            <w:tcW w:w="1756" w:type="dxa"/>
          </w:tcPr>
          <w:p w14:paraId="793E4DA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敏感目标名称</w:t>
            </w:r>
          </w:p>
        </w:tc>
        <w:tc>
          <w:tcPr>
            <w:tcW w:w="1335" w:type="dxa"/>
            <w:vAlign w:val="center"/>
          </w:tcPr>
          <w:p w14:paraId="374AE93C">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环境敏感特征</w:t>
            </w:r>
          </w:p>
        </w:tc>
        <w:tc>
          <w:tcPr>
            <w:tcW w:w="1102" w:type="dxa"/>
            <w:vAlign w:val="center"/>
          </w:tcPr>
          <w:p w14:paraId="6DC17C8B">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水质目标</w:t>
            </w:r>
          </w:p>
        </w:tc>
        <w:tc>
          <w:tcPr>
            <w:tcW w:w="2762" w:type="dxa"/>
            <w:gridSpan w:val="2"/>
            <w:vAlign w:val="center"/>
          </w:tcPr>
          <w:p w14:paraId="234BFE95">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与排放点的距离/m</w:t>
            </w:r>
          </w:p>
        </w:tc>
      </w:tr>
      <w:tr w14:paraId="126A2A0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56BAC534">
            <w:pPr>
              <w:pStyle w:val="771"/>
              <w:tabs>
                <w:tab w:val="left" w:pos="1119"/>
              </w:tabs>
              <w:adjustRightInd w:val="0"/>
              <w:snapToGrid w:val="0"/>
              <w:spacing w:line="240" w:lineRule="auto"/>
              <w:rPr>
                <w:rFonts w:hint="default"/>
                <w:color w:val="auto"/>
                <w:kern w:val="0"/>
                <w:highlight w:val="none"/>
              </w:rPr>
            </w:pPr>
          </w:p>
        </w:tc>
        <w:tc>
          <w:tcPr>
            <w:tcW w:w="575" w:type="dxa"/>
          </w:tcPr>
          <w:p w14:paraId="6CAD2101">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1</w:t>
            </w:r>
          </w:p>
        </w:tc>
        <w:tc>
          <w:tcPr>
            <w:tcW w:w="1756" w:type="dxa"/>
          </w:tcPr>
          <w:p w14:paraId="0D558F7A">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不涉及</w:t>
            </w:r>
          </w:p>
        </w:tc>
        <w:tc>
          <w:tcPr>
            <w:tcW w:w="1335" w:type="dxa"/>
            <w:vAlign w:val="center"/>
          </w:tcPr>
          <w:p w14:paraId="55174D59">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w:t>
            </w:r>
          </w:p>
        </w:tc>
        <w:tc>
          <w:tcPr>
            <w:tcW w:w="1102" w:type="dxa"/>
            <w:vAlign w:val="center"/>
          </w:tcPr>
          <w:p w14:paraId="001ACCC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w:t>
            </w:r>
          </w:p>
        </w:tc>
        <w:tc>
          <w:tcPr>
            <w:tcW w:w="2762" w:type="dxa"/>
            <w:gridSpan w:val="2"/>
            <w:vAlign w:val="center"/>
          </w:tcPr>
          <w:p w14:paraId="02E5AA70">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w:t>
            </w:r>
          </w:p>
        </w:tc>
      </w:tr>
      <w:tr w14:paraId="77A090F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3112BE3C">
            <w:pPr>
              <w:pStyle w:val="771"/>
              <w:tabs>
                <w:tab w:val="left" w:pos="1119"/>
              </w:tabs>
              <w:adjustRightInd w:val="0"/>
              <w:snapToGrid w:val="0"/>
              <w:spacing w:line="240" w:lineRule="auto"/>
              <w:rPr>
                <w:rFonts w:hint="default"/>
                <w:color w:val="auto"/>
                <w:kern w:val="0"/>
                <w:highlight w:val="none"/>
              </w:rPr>
            </w:pPr>
          </w:p>
        </w:tc>
        <w:tc>
          <w:tcPr>
            <w:tcW w:w="6626" w:type="dxa"/>
            <w:gridSpan w:val="5"/>
          </w:tcPr>
          <w:p w14:paraId="0A1B644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地表水环境敏感程度E值</w:t>
            </w:r>
          </w:p>
        </w:tc>
        <w:tc>
          <w:tcPr>
            <w:tcW w:w="904" w:type="dxa"/>
            <w:vAlign w:val="center"/>
          </w:tcPr>
          <w:p w14:paraId="2E9D7903">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E3</w:t>
            </w:r>
          </w:p>
        </w:tc>
      </w:tr>
      <w:tr w14:paraId="362D669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restart"/>
            <w:vAlign w:val="center"/>
          </w:tcPr>
          <w:p w14:paraId="08B318A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地下水</w:t>
            </w:r>
          </w:p>
        </w:tc>
        <w:tc>
          <w:tcPr>
            <w:tcW w:w="575" w:type="dxa"/>
            <w:vAlign w:val="center"/>
          </w:tcPr>
          <w:p w14:paraId="1FE5968D">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序号</w:t>
            </w:r>
          </w:p>
        </w:tc>
        <w:tc>
          <w:tcPr>
            <w:tcW w:w="1756" w:type="dxa"/>
            <w:vAlign w:val="center"/>
          </w:tcPr>
          <w:p w14:paraId="17A2495B">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环境敏感区名称</w:t>
            </w:r>
          </w:p>
        </w:tc>
        <w:tc>
          <w:tcPr>
            <w:tcW w:w="1335" w:type="dxa"/>
            <w:vAlign w:val="center"/>
          </w:tcPr>
          <w:p w14:paraId="75921E46">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环境敏感特征</w:t>
            </w:r>
          </w:p>
        </w:tc>
        <w:tc>
          <w:tcPr>
            <w:tcW w:w="1102" w:type="dxa"/>
            <w:vAlign w:val="center"/>
          </w:tcPr>
          <w:p w14:paraId="75AEF606">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水质目标</w:t>
            </w:r>
          </w:p>
        </w:tc>
        <w:tc>
          <w:tcPr>
            <w:tcW w:w="1858" w:type="dxa"/>
            <w:vAlign w:val="center"/>
          </w:tcPr>
          <w:p w14:paraId="5907CA78">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包气带防污性能</w:t>
            </w:r>
          </w:p>
        </w:tc>
        <w:tc>
          <w:tcPr>
            <w:tcW w:w="904" w:type="dxa"/>
            <w:vAlign w:val="center"/>
          </w:tcPr>
          <w:p w14:paraId="37BCA475">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与下游厂界距离/m</w:t>
            </w:r>
          </w:p>
        </w:tc>
      </w:tr>
      <w:tr w14:paraId="70E51AD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4AF2C8EA">
            <w:pPr>
              <w:pStyle w:val="771"/>
              <w:tabs>
                <w:tab w:val="left" w:pos="1119"/>
              </w:tabs>
              <w:adjustRightInd w:val="0"/>
              <w:snapToGrid w:val="0"/>
              <w:spacing w:line="240" w:lineRule="auto"/>
              <w:rPr>
                <w:rFonts w:hint="default"/>
                <w:color w:val="auto"/>
                <w:kern w:val="0"/>
                <w:highlight w:val="none"/>
              </w:rPr>
            </w:pPr>
          </w:p>
        </w:tc>
        <w:tc>
          <w:tcPr>
            <w:tcW w:w="575" w:type="dxa"/>
          </w:tcPr>
          <w:p w14:paraId="3736D410">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1</w:t>
            </w:r>
          </w:p>
        </w:tc>
        <w:tc>
          <w:tcPr>
            <w:tcW w:w="1756" w:type="dxa"/>
          </w:tcPr>
          <w:p w14:paraId="2FF9100C">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不涉及</w:t>
            </w:r>
          </w:p>
        </w:tc>
        <w:tc>
          <w:tcPr>
            <w:tcW w:w="1335" w:type="dxa"/>
            <w:vAlign w:val="center"/>
          </w:tcPr>
          <w:p w14:paraId="3EF690F5">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G3</w:t>
            </w:r>
          </w:p>
        </w:tc>
        <w:tc>
          <w:tcPr>
            <w:tcW w:w="1102" w:type="dxa"/>
            <w:vAlign w:val="center"/>
          </w:tcPr>
          <w:p w14:paraId="4D9A1E41">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三类</w:t>
            </w:r>
          </w:p>
        </w:tc>
        <w:tc>
          <w:tcPr>
            <w:tcW w:w="1858" w:type="dxa"/>
            <w:vAlign w:val="center"/>
          </w:tcPr>
          <w:p w14:paraId="0B7CA993">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D</w:t>
            </w:r>
            <w:r>
              <w:rPr>
                <w:color w:val="auto"/>
                <w:kern w:val="0"/>
                <w:highlight w:val="none"/>
              </w:rPr>
              <w:t>1</w:t>
            </w:r>
          </w:p>
        </w:tc>
        <w:tc>
          <w:tcPr>
            <w:tcW w:w="904" w:type="dxa"/>
            <w:vAlign w:val="center"/>
          </w:tcPr>
          <w:p w14:paraId="031EFEB8">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w:t>
            </w:r>
          </w:p>
        </w:tc>
      </w:tr>
      <w:tr w14:paraId="714319F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66" w:type="dxa"/>
            <w:vMerge w:val="continue"/>
            <w:vAlign w:val="center"/>
          </w:tcPr>
          <w:p w14:paraId="7F87E13D">
            <w:pPr>
              <w:pStyle w:val="771"/>
              <w:tabs>
                <w:tab w:val="left" w:pos="1119"/>
              </w:tabs>
              <w:adjustRightInd w:val="0"/>
              <w:snapToGrid w:val="0"/>
              <w:spacing w:line="240" w:lineRule="auto"/>
              <w:rPr>
                <w:rFonts w:hint="default"/>
                <w:color w:val="auto"/>
                <w:kern w:val="0"/>
                <w:highlight w:val="none"/>
              </w:rPr>
            </w:pPr>
          </w:p>
        </w:tc>
        <w:tc>
          <w:tcPr>
            <w:tcW w:w="6626" w:type="dxa"/>
            <w:gridSpan w:val="5"/>
          </w:tcPr>
          <w:p w14:paraId="76CB1A51">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地下水环境敏感程度E值</w:t>
            </w:r>
          </w:p>
        </w:tc>
        <w:tc>
          <w:tcPr>
            <w:tcW w:w="904" w:type="dxa"/>
            <w:vAlign w:val="center"/>
          </w:tcPr>
          <w:p w14:paraId="3AD55AC3">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E</w:t>
            </w:r>
            <w:r>
              <w:rPr>
                <w:color w:val="auto"/>
                <w:kern w:val="0"/>
                <w:highlight w:val="none"/>
              </w:rPr>
              <w:t>2</w:t>
            </w:r>
          </w:p>
        </w:tc>
      </w:tr>
    </w:tbl>
    <w:p w14:paraId="1B2BBDD2">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6.3.3生态环境风险潜势初判</w:t>
      </w:r>
    </w:p>
    <w:p w14:paraId="45A89C0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根据《建设项目环境风险评价技术导则》（HJ169-2018），建设项目</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环境风险潜势划分为Ⅰ、Ⅱ、Ⅲ、Ⅳ/Ⅳ</w:t>
      </w:r>
      <w:r>
        <w:rPr>
          <w:snapToGrid w:val="0"/>
          <w:color w:val="auto"/>
          <w:kern w:val="0"/>
          <w:sz w:val="24"/>
          <w:highlight w:val="none"/>
          <w:vertAlign w:val="superscript"/>
        </w:rPr>
        <w:t>+</w:t>
      </w:r>
      <w:r>
        <w:rPr>
          <w:snapToGrid w:val="0"/>
          <w:color w:val="auto"/>
          <w:kern w:val="0"/>
          <w:sz w:val="24"/>
          <w:highlight w:val="none"/>
        </w:rPr>
        <w:t>级。</w:t>
      </w:r>
    </w:p>
    <w:p w14:paraId="37DBE88F">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根据建设项目涉及的物质和工艺系统的危险性及其所在地的</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环境敏感程度，结合事故</w:t>
      </w:r>
      <w:r>
        <w:rPr>
          <w:rFonts w:hint="eastAsia"/>
          <w:snapToGrid w:val="0"/>
          <w:color w:val="auto"/>
          <w:kern w:val="0"/>
          <w:sz w:val="24"/>
          <w:highlight w:val="none"/>
        </w:rPr>
        <w:t>情况和</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环境影响途径，对建设项目潜在</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环境危害程度进行概化分析，进而确定</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环境风险潜势，确定依据见表</w:t>
      </w:r>
      <w:r>
        <w:rPr>
          <w:rFonts w:hint="eastAsia"/>
          <w:snapToGrid w:val="0"/>
          <w:color w:val="auto"/>
          <w:kern w:val="0"/>
          <w:sz w:val="24"/>
          <w:highlight w:val="none"/>
        </w:rPr>
        <w:t>6.3-3</w:t>
      </w:r>
      <w:r>
        <w:rPr>
          <w:snapToGrid w:val="0"/>
          <w:color w:val="auto"/>
          <w:kern w:val="0"/>
          <w:sz w:val="24"/>
          <w:highlight w:val="none"/>
        </w:rPr>
        <w:t>。</w:t>
      </w:r>
    </w:p>
    <w:p w14:paraId="4854657E">
      <w:pPr>
        <w:tabs>
          <w:tab w:val="left" w:pos="720"/>
        </w:tabs>
        <w:adjustRightInd w:val="0"/>
        <w:snapToGrid w:val="0"/>
        <w:jc w:val="center"/>
        <w:rPr>
          <w:b/>
          <w:snapToGrid w:val="0"/>
          <w:color w:val="auto"/>
          <w:kern w:val="0"/>
          <w:szCs w:val="21"/>
          <w:highlight w:val="none"/>
        </w:rPr>
      </w:pPr>
      <w:r>
        <w:rPr>
          <w:b/>
          <w:snapToGrid w:val="0"/>
          <w:color w:val="auto"/>
          <w:kern w:val="0"/>
          <w:szCs w:val="21"/>
          <w:highlight w:val="none"/>
        </w:rPr>
        <w:t>表</w:t>
      </w:r>
      <w:r>
        <w:rPr>
          <w:rFonts w:hint="eastAsia"/>
          <w:b/>
          <w:snapToGrid w:val="0"/>
          <w:color w:val="auto"/>
          <w:kern w:val="0"/>
          <w:szCs w:val="21"/>
          <w:highlight w:val="none"/>
        </w:rPr>
        <w:t xml:space="preserve">6.3-3 </w:t>
      </w:r>
      <w:r>
        <w:rPr>
          <w:b/>
          <w:snapToGrid w:val="0"/>
          <w:color w:val="auto"/>
          <w:kern w:val="0"/>
          <w:szCs w:val="21"/>
          <w:highlight w:val="none"/>
        </w:rPr>
        <w:t>项目</w:t>
      </w:r>
      <w:r>
        <w:rPr>
          <w:rFonts w:hint="eastAsia"/>
          <w:b/>
          <w:snapToGrid w:val="0"/>
          <w:color w:val="auto"/>
          <w:kern w:val="0"/>
          <w:szCs w:val="21"/>
          <w:highlight w:val="none"/>
          <w:lang w:val="en-US" w:eastAsia="zh-CN"/>
        </w:rPr>
        <w:t>生态</w:t>
      </w:r>
      <w:r>
        <w:rPr>
          <w:b/>
          <w:snapToGrid w:val="0"/>
          <w:color w:val="auto"/>
          <w:kern w:val="0"/>
          <w:szCs w:val="21"/>
          <w:highlight w:val="none"/>
        </w:rPr>
        <w:t>环境风险潜势划分依据一览表</w:t>
      </w:r>
    </w:p>
    <w:tbl>
      <w:tblPr>
        <w:tblStyle w:val="5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0"/>
        <w:gridCol w:w="1670"/>
        <w:gridCol w:w="1531"/>
        <w:gridCol w:w="1530"/>
        <w:gridCol w:w="1563"/>
      </w:tblGrid>
      <w:tr w14:paraId="5F83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5" w:type="dxa"/>
            <w:vMerge w:val="restart"/>
            <w:vAlign w:val="center"/>
          </w:tcPr>
          <w:p w14:paraId="187FB151">
            <w:pPr>
              <w:adjustRightInd w:val="0"/>
              <w:snapToGrid w:val="0"/>
              <w:jc w:val="center"/>
              <w:rPr>
                <w:snapToGrid w:val="0"/>
                <w:color w:val="auto"/>
                <w:kern w:val="0"/>
                <w:szCs w:val="21"/>
                <w:highlight w:val="none"/>
              </w:rPr>
            </w:pPr>
            <w:r>
              <w:rPr>
                <w:snapToGrid w:val="0"/>
                <w:color w:val="auto"/>
                <w:kern w:val="0"/>
                <w:szCs w:val="21"/>
                <w:highlight w:val="none"/>
              </w:rPr>
              <w:t>环境敏感程度</w:t>
            </w:r>
          </w:p>
        </w:tc>
        <w:tc>
          <w:tcPr>
            <w:tcW w:w="6306" w:type="dxa"/>
            <w:gridSpan w:val="4"/>
            <w:vAlign w:val="center"/>
          </w:tcPr>
          <w:p w14:paraId="78E3B9C5">
            <w:pPr>
              <w:adjustRightInd w:val="0"/>
              <w:snapToGrid w:val="0"/>
              <w:jc w:val="center"/>
              <w:rPr>
                <w:snapToGrid w:val="0"/>
                <w:color w:val="auto"/>
                <w:kern w:val="0"/>
                <w:szCs w:val="21"/>
                <w:highlight w:val="none"/>
              </w:rPr>
            </w:pPr>
            <w:r>
              <w:rPr>
                <w:snapToGrid w:val="0"/>
                <w:color w:val="auto"/>
                <w:kern w:val="0"/>
                <w:szCs w:val="21"/>
                <w:highlight w:val="none"/>
              </w:rPr>
              <w:t>危险物质及工艺系统危险性（P）</w:t>
            </w:r>
          </w:p>
        </w:tc>
      </w:tr>
      <w:tr w14:paraId="202E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5" w:type="dxa"/>
            <w:vMerge w:val="continue"/>
          </w:tcPr>
          <w:p w14:paraId="364500CC">
            <w:pPr>
              <w:adjustRightInd w:val="0"/>
              <w:snapToGrid w:val="0"/>
              <w:jc w:val="center"/>
              <w:rPr>
                <w:snapToGrid w:val="0"/>
                <w:color w:val="auto"/>
                <w:kern w:val="0"/>
                <w:szCs w:val="21"/>
                <w:highlight w:val="none"/>
              </w:rPr>
            </w:pPr>
          </w:p>
        </w:tc>
        <w:tc>
          <w:tcPr>
            <w:tcW w:w="1673" w:type="dxa"/>
          </w:tcPr>
          <w:p w14:paraId="7DD509C5">
            <w:pPr>
              <w:adjustRightInd w:val="0"/>
              <w:snapToGrid w:val="0"/>
              <w:jc w:val="center"/>
              <w:rPr>
                <w:snapToGrid w:val="0"/>
                <w:color w:val="auto"/>
                <w:kern w:val="0"/>
                <w:szCs w:val="21"/>
                <w:highlight w:val="none"/>
              </w:rPr>
            </w:pPr>
            <w:r>
              <w:rPr>
                <w:snapToGrid w:val="0"/>
                <w:color w:val="auto"/>
                <w:kern w:val="0"/>
                <w:szCs w:val="21"/>
                <w:highlight w:val="none"/>
              </w:rPr>
              <w:t>极高危害（P1）</w:t>
            </w:r>
          </w:p>
        </w:tc>
        <w:tc>
          <w:tcPr>
            <w:tcW w:w="1534" w:type="dxa"/>
          </w:tcPr>
          <w:p w14:paraId="2A60080E">
            <w:pPr>
              <w:adjustRightInd w:val="0"/>
              <w:snapToGrid w:val="0"/>
              <w:jc w:val="center"/>
              <w:rPr>
                <w:snapToGrid w:val="0"/>
                <w:color w:val="auto"/>
                <w:kern w:val="0"/>
                <w:szCs w:val="21"/>
                <w:highlight w:val="none"/>
              </w:rPr>
            </w:pPr>
            <w:r>
              <w:rPr>
                <w:snapToGrid w:val="0"/>
                <w:color w:val="auto"/>
                <w:kern w:val="0"/>
                <w:szCs w:val="21"/>
                <w:highlight w:val="none"/>
              </w:rPr>
              <w:t>高度危害（P2）</w:t>
            </w:r>
          </w:p>
        </w:tc>
        <w:tc>
          <w:tcPr>
            <w:tcW w:w="1533" w:type="dxa"/>
          </w:tcPr>
          <w:p w14:paraId="44D84582">
            <w:pPr>
              <w:adjustRightInd w:val="0"/>
              <w:snapToGrid w:val="0"/>
              <w:jc w:val="center"/>
              <w:rPr>
                <w:snapToGrid w:val="0"/>
                <w:color w:val="auto"/>
                <w:kern w:val="0"/>
                <w:szCs w:val="21"/>
                <w:highlight w:val="none"/>
              </w:rPr>
            </w:pPr>
            <w:r>
              <w:rPr>
                <w:snapToGrid w:val="0"/>
                <w:color w:val="auto"/>
                <w:kern w:val="0"/>
                <w:szCs w:val="21"/>
                <w:highlight w:val="none"/>
              </w:rPr>
              <w:t>中度危害（P3）</w:t>
            </w:r>
          </w:p>
        </w:tc>
        <w:tc>
          <w:tcPr>
            <w:tcW w:w="1566" w:type="dxa"/>
          </w:tcPr>
          <w:p w14:paraId="15AA05F2">
            <w:pPr>
              <w:adjustRightInd w:val="0"/>
              <w:snapToGrid w:val="0"/>
              <w:jc w:val="center"/>
              <w:rPr>
                <w:snapToGrid w:val="0"/>
                <w:color w:val="auto"/>
                <w:kern w:val="0"/>
                <w:szCs w:val="21"/>
                <w:highlight w:val="none"/>
              </w:rPr>
            </w:pPr>
            <w:r>
              <w:rPr>
                <w:snapToGrid w:val="0"/>
                <w:color w:val="auto"/>
                <w:kern w:val="0"/>
                <w:szCs w:val="21"/>
                <w:highlight w:val="none"/>
              </w:rPr>
              <w:t>轻度危害（P4）</w:t>
            </w:r>
          </w:p>
        </w:tc>
      </w:tr>
      <w:tr w14:paraId="4034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5" w:type="dxa"/>
          </w:tcPr>
          <w:p w14:paraId="0C0BADFF">
            <w:pPr>
              <w:adjustRightInd w:val="0"/>
              <w:snapToGrid w:val="0"/>
              <w:jc w:val="center"/>
              <w:rPr>
                <w:snapToGrid w:val="0"/>
                <w:color w:val="auto"/>
                <w:kern w:val="0"/>
                <w:szCs w:val="21"/>
                <w:highlight w:val="none"/>
              </w:rPr>
            </w:pPr>
            <w:r>
              <w:rPr>
                <w:snapToGrid w:val="0"/>
                <w:color w:val="auto"/>
                <w:kern w:val="0"/>
                <w:szCs w:val="21"/>
                <w:highlight w:val="none"/>
              </w:rPr>
              <w:t>环境高度敏感区（E1）</w:t>
            </w:r>
          </w:p>
        </w:tc>
        <w:tc>
          <w:tcPr>
            <w:tcW w:w="1673" w:type="dxa"/>
            <w:vAlign w:val="center"/>
          </w:tcPr>
          <w:p w14:paraId="5C6758EE">
            <w:pPr>
              <w:adjustRightInd w:val="0"/>
              <w:snapToGrid w:val="0"/>
              <w:jc w:val="center"/>
              <w:rPr>
                <w:snapToGrid w:val="0"/>
                <w:color w:val="auto"/>
                <w:kern w:val="0"/>
                <w:szCs w:val="21"/>
                <w:highlight w:val="none"/>
              </w:rPr>
            </w:pPr>
            <w:r>
              <w:rPr>
                <w:snapToGrid w:val="0"/>
                <w:color w:val="auto"/>
                <w:kern w:val="0"/>
                <w:szCs w:val="21"/>
                <w:highlight w:val="none"/>
              </w:rPr>
              <w:t>Ⅳ</w:t>
            </w:r>
            <w:r>
              <w:rPr>
                <w:snapToGrid w:val="0"/>
                <w:color w:val="auto"/>
                <w:kern w:val="0"/>
                <w:szCs w:val="21"/>
                <w:highlight w:val="none"/>
                <w:vertAlign w:val="superscript"/>
              </w:rPr>
              <w:t>+</w:t>
            </w:r>
          </w:p>
        </w:tc>
        <w:tc>
          <w:tcPr>
            <w:tcW w:w="1534" w:type="dxa"/>
            <w:vAlign w:val="center"/>
          </w:tcPr>
          <w:p w14:paraId="49753323">
            <w:pPr>
              <w:adjustRightInd w:val="0"/>
              <w:snapToGrid w:val="0"/>
              <w:jc w:val="center"/>
              <w:rPr>
                <w:snapToGrid w:val="0"/>
                <w:color w:val="auto"/>
                <w:kern w:val="0"/>
                <w:szCs w:val="21"/>
                <w:highlight w:val="none"/>
              </w:rPr>
            </w:pPr>
            <w:r>
              <w:rPr>
                <w:snapToGrid w:val="0"/>
                <w:color w:val="auto"/>
                <w:kern w:val="0"/>
                <w:szCs w:val="21"/>
                <w:highlight w:val="none"/>
              </w:rPr>
              <w:t>Ⅳ</w:t>
            </w:r>
          </w:p>
        </w:tc>
        <w:tc>
          <w:tcPr>
            <w:tcW w:w="1533" w:type="dxa"/>
            <w:vAlign w:val="center"/>
          </w:tcPr>
          <w:p w14:paraId="06CBE685">
            <w:pPr>
              <w:adjustRightInd w:val="0"/>
              <w:snapToGrid w:val="0"/>
              <w:jc w:val="center"/>
              <w:rPr>
                <w:snapToGrid w:val="0"/>
                <w:color w:val="auto"/>
                <w:kern w:val="0"/>
                <w:szCs w:val="21"/>
                <w:highlight w:val="none"/>
              </w:rPr>
            </w:pPr>
            <w:r>
              <w:rPr>
                <w:snapToGrid w:val="0"/>
                <w:color w:val="auto"/>
                <w:kern w:val="0"/>
                <w:szCs w:val="21"/>
                <w:highlight w:val="none"/>
              </w:rPr>
              <w:t>Ⅲ</w:t>
            </w:r>
          </w:p>
        </w:tc>
        <w:tc>
          <w:tcPr>
            <w:tcW w:w="1566" w:type="dxa"/>
            <w:vAlign w:val="center"/>
          </w:tcPr>
          <w:p w14:paraId="05D3A6B9">
            <w:pPr>
              <w:adjustRightInd w:val="0"/>
              <w:snapToGrid w:val="0"/>
              <w:jc w:val="center"/>
              <w:rPr>
                <w:snapToGrid w:val="0"/>
                <w:color w:val="auto"/>
                <w:kern w:val="0"/>
                <w:szCs w:val="21"/>
                <w:highlight w:val="none"/>
              </w:rPr>
            </w:pPr>
            <w:r>
              <w:rPr>
                <w:snapToGrid w:val="0"/>
                <w:color w:val="auto"/>
                <w:kern w:val="0"/>
                <w:szCs w:val="21"/>
                <w:highlight w:val="none"/>
              </w:rPr>
              <w:t>Ⅲ</w:t>
            </w:r>
          </w:p>
        </w:tc>
      </w:tr>
      <w:tr w14:paraId="0033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5" w:type="dxa"/>
          </w:tcPr>
          <w:p w14:paraId="0B13753E">
            <w:pPr>
              <w:adjustRightInd w:val="0"/>
              <w:snapToGrid w:val="0"/>
              <w:jc w:val="center"/>
              <w:rPr>
                <w:snapToGrid w:val="0"/>
                <w:color w:val="auto"/>
                <w:kern w:val="0"/>
                <w:szCs w:val="21"/>
                <w:highlight w:val="none"/>
              </w:rPr>
            </w:pPr>
            <w:r>
              <w:rPr>
                <w:snapToGrid w:val="0"/>
                <w:color w:val="auto"/>
                <w:kern w:val="0"/>
                <w:szCs w:val="21"/>
                <w:highlight w:val="none"/>
              </w:rPr>
              <w:t>环境中度敏感区（E2）</w:t>
            </w:r>
          </w:p>
        </w:tc>
        <w:tc>
          <w:tcPr>
            <w:tcW w:w="1673" w:type="dxa"/>
            <w:vAlign w:val="center"/>
          </w:tcPr>
          <w:p w14:paraId="1241FABF">
            <w:pPr>
              <w:adjustRightInd w:val="0"/>
              <w:snapToGrid w:val="0"/>
              <w:jc w:val="center"/>
              <w:rPr>
                <w:snapToGrid w:val="0"/>
                <w:color w:val="auto"/>
                <w:kern w:val="0"/>
                <w:szCs w:val="21"/>
                <w:highlight w:val="none"/>
              </w:rPr>
            </w:pPr>
            <w:r>
              <w:rPr>
                <w:snapToGrid w:val="0"/>
                <w:color w:val="auto"/>
                <w:kern w:val="0"/>
                <w:szCs w:val="21"/>
                <w:highlight w:val="none"/>
              </w:rPr>
              <w:t>Ⅳ</w:t>
            </w:r>
          </w:p>
        </w:tc>
        <w:tc>
          <w:tcPr>
            <w:tcW w:w="1534" w:type="dxa"/>
            <w:vAlign w:val="center"/>
          </w:tcPr>
          <w:p w14:paraId="4E0B39B7">
            <w:pPr>
              <w:adjustRightInd w:val="0"/>
              <w:snapToGrid w:val="0"/>
              <w:jc w:val="center"/>
              <w:rPr>
                <w:snapToGrid w:val="0"/>
                <w:color w:val="auto"/>
                <w:kern w:val="0"/>
                <w:szCs w:val="21"/>
                <w:highlight w:val="none"/>
              </w:rPr>
            </w:pPr>
            <w:r>
              <w:rPr>
                <w:snapToGrid w:val="0"/>
                <w:color w:val="auto"/>
                <w:kern w:val="0"/>
                <w:szCs w:val="21"/>
                <w:highlight w:val="none"/>
              </w:rPr>
              <w:t>Ⅲ</w:t>
            </w:r>
          </w:p>
        </w:tc>
        <w:tc>
          <w:tcPr>
            <w:tcW w:w="1533" w:type="dxa"/>
            <w:vAlign w:val="center"/>
          </w:tcPr>
          <w:p w14:paraId="5712F2DC">
            <w:pPr>
              <w:adjustRightInd w:val="0"/>
              <w:snapToGrid w:val="0"/>
              <w:jc w:val="center"/>
              <w:rPr>
                <w:snapToGrid w:val="0"/>
                <w:color w:val="auto"/>
                <w:kern w:val="0"/>
                <w:szCs w:val="21"/>
                <w:highlight w:val="none"/>
              </w:rPr>
            </w:pPr>
            <w:r>
              <w:rPr>
                <w:snapToGrid w:val="0"/>
                <w:color w:val="auto"/>
                <w:kern w:val="0"/>
                <w:szCs w:val="21"/>
                <w:highlight w:val="none"/>
              </w:rPr>
              <w:t>Ⅲ</w:t>
            </w:r>
          </w:p>
        </w:tc>
        <w:tc>
          <w:tcPr>
            <w:tcW w:w="1566" w:type="dxa"/>
            <w:vAlign w:val="center"/>
          </w:tcPr>
          <w:p w14:paraId="789DC202">
            <w:pPr>
              <w:adjustRightInd w:val="0"/>
              <w:snapToGrid w:val="0"/>
              <w:jc w:val="center"/>
              <w:rPr>
                <w:snapToGrid w:val="0"/>
                <w:color w:val="auto"/>
                <w:kern w:val="0"/>
                <w:szCs w:val="21"/>
                <w:highlight w:val="none"/>
              </w:rPr>
            </w:pPr>
            <w:r>
              <w:rPr>
                <w:snapToGrid w:val="0"/>
                <w:color w:val="auto"/>
                <w:kern w:val="0"/>
                <w:szCs w:val="21"/>
                <w:highlight w:val="none"/>
              </w:rPr>
              <w:t>Ⅱ</w:t>
            </w:r>
          </w:p>
        </w:tc>
      </w:tr>
      <w:tr w14:paraId="58BB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5" w:type="dxa"/>
          </w:tcPr>
          <w:p w14:paraId="69DDC8E5">
            <w:pPr>
              <w:adjustRightInd w:val="0"/>
              <w:snapToGrid w:val="0"/>
              <w:jc w:val="center"/>
              <w:rPr>
                <w:snapToGrid w:val="0"/>
                <w:color w:val="auto"/>
                <w:kern w:val="0"/>
                <w:szCs w:val="21"/>
                <w:highlight w:val="none"/>
              </w:rPr>
            </w:pPr>
            <w:r>
              <w:rPr>
                <w:snapToGrid w:val="0"/>
                <w:color w:val="auto"/>
                <w:kern w:val="0"/>
                <w:szCs w:val="21"/>
                <w:highlight w:val="none"/>
              </w:rPr>
              <w:t>环境低度敏感区（E3）</w:t>
            </w:r>
          </w:p>
        </w:tc>
        <w:tc>
          <w:tcPr>
            <w:tcW w:w="1673" w:type="dxa"/>
            <w:vAlign w:val="center"/>
          </w:tcPr>
          <w:p w14:paraId="71BE5BEF">
            <w:pPr>
              <w:adjustRightInd w:val="0"/>
              <w:snapToGrid w:val="0"/>
              <w:jc w:val="center"/>
              <w:rPr>
                <w:snapToGrid w:val="0"/>
                <w:color w:val="auto"/>
                <w:kern w:val="0"/>
                <w:szCs w:val="21"/>
                <w:highlight w:val="none"/>
              </w:rPr>
            </w:pPr>
            <w:r>
              <w:rPr>
                <w:snapToGrid w:val="0"/>
                <w:color w:val="auto"/>
                <w:kern w:val="0"/>
                <w:szCs w:val="21"/>
                <w:highlight w:val="none"/>
              </w:rPr>
              <w:t>Ⅲ</w:t>
            </w:r>
          </w:p>
        </w:tc>
        <w:tc>
          <w:tcPr>
            <w:tcW w:w="1534" w:type="dxa"/>
            <w:vAlign w:val="center"/>
          </w:tcPr>
          <w:p w14:paraId="434F66B5">
            <w:pPr>
              <w:adjustRightInd w:val="0"/>
              <w:snapToGrid w:val="0"/>
              <w:jc w:val="center"/>
              <w:rPr>
                <w:snapToGrid w:val="0"/>
                <w:color w:val="auto"/>
                <w:kern w:val="0"/>
                <w:szCs w:val="21"/>
                <w:highlight w:val="none"/>
              </w:rPr>
            </w:pPr>
            <w:r>
              <w:rPr>
                <w:snapToGrid w:val="0"/>
                <w:color w:val="auto"/>
                <w:kern w:val="0"/>
                <w:szCs w:val="21"/>
                <w:highlight w:val="none"/>
              </w:rPr>
              <w:t>Ⅲ</w:t>
            </w:r>
          </w:p>
        </w:tc>
        <w:tc>
          <w:tcPr>
            <w:tcW w:w="1533" w:type="dxa"/>
            <w:vAlign w:val="center"/>
          </w:tcPr>
          <w:p w14:paraId="2CD57CE7">
            <w:pPr>
              <w:adjustRightInd w:val="0"/>
              <w:snapToGrid w:val="0"/>
              <w:jc w:val="center"/>
              <w:rPr>
                <w:snapToGrid w:val="0"/>
                <w:color w:val="auto"/>
                <w:kern w:val="0"/>
                <w:szCs w:val="21"/>
                <w:highlight w:val="none"/>
              </w:rPr>
            </w:pPr>
            <w:r>
              <w:rPr>
                <w:snapToGrid w:val="0"/>
                <w:color w:val="auto"/>
                <w:kern w:val="0"/>
                <w:szCs w:val="21"/>
                <w:highlight w:val="none"/>
              </w:rPr>
              <w:t>Ⅱ</w:t>
            </w:r>
          </w:p>
        </w:tc>
        <w:tc>
          <w:tcPr>
            <w:tcW w:w="1566" w:type="dxa"/>
            <w:vAlign w:val="center"/>
          </w:tcPr>
          <w:p w14:paraId="658D50F6">
            <w:pPr>
              <w:adjustRightInd w:val="0"/>
              <w:snapToGrid w:val="0"/>
              <w:jc w:val="center"/>
              <w:rPr>
                <w:snapToGrid w:val="0"/>
                <w:color w:val="auto"/>
                <w:kern w:val="0"/>
                <w:szCs w:val="21"/>
                <w:highlight w:val="none"/>
              </w:rPr>
            </w:pPr>
            <w:r>
              <w:rPr>
                <w:snapToGrid w:val="0"/>
                <w:color w:val="auto"/>
                <w:kern w:val="0"/>
                <w:szCs w:val="21"/>
                <w:highlight w:val="none"/>
              </w:rPr>
              <w:t>Ⅰ</w:t>
            </w:r>
          </w:p>
        </w:tc>
      </w:tr>
      <w:tr w14:paraId="087A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1" w:type="dxa"/>
            <w:gridSpan w:val="5"/>
          </w:tcPr>
          <w:p w14:paraId="20909409">
            <w:pPr>
              <w:adjustRightInd w:val="0"/>
              <w:snapToGrid w:val="0"/>
              <w:jc w:val="center"/>
              <w:rPr>
                <w:snapToGrid w:val="0"/>
                <w:color w:val="auto"/>
                <w:kern w:val="0"/>
                <w:szCs w:val="21"/>
                <w:highlight w:val="none"/>
              </w:rPr>
            </w:pPr>
            <w:r>
              <w:rPr>
                <w:snapToGrid w:val="0"/>
                <w:color w:val="auto"/>
                <w:kern w:val="0"/>
                <w:szCs w:val="21"/>
                <w:highlight w:val="none"/>
              </w:rPr>
              <w:t>注：Ⅳ</w:t>
            </w:r>
            <w:r>
              <w:rPr>
                <w:snapToGrid w:val="0"/>
                <w:color w:val="auto"/>
                <w:kern w:val="0"/>
                <w:szCs w:val="21"/>
                <w:highlight w:val="none"/>
                <w:vertAlign w:val="superscript"/>
              </w:rPr>
              <w:t>+</w:t>
            </w:r>
            <w:r>
              <w:rPr>
                <w:snapToGrid w:val="0"/>
                <w:color w:val="auto"/>
                <w:kern w:val="0"/>
                <w:szCs w:val="21"/>
                <w:highlight w:val="none"/>
              </w:rPr>
              <w:t>极高环境风险</w:t>
            </w:r>
          </w:p>
        </w:tc>
      </w:tr>
    </w:tbl>
    <w:p w14:paraId="088C73B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6.3.3.1危险物质数量与临界量比值（Q）</w:t>
      </w:r>
    </w:p>
    <w:p w14:paraId="33829EF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根据《建设项目环境风险评价技术导则》（</w:t>
      </w:r>
      <w:r>
        <w:rPr>
          <w:snapToGrid w:val="0"/>
          <w:color w:val="auto"/>
          <w:kern w:val="0"/>
          <w:sz w:val="24"/>
          <w:highlight w:val="none"/>
        </w:rPr>
        <w:t>HJ169-2018</w:t>
      </w:r>
      <w:r>
        <w:rPr>
          <w:rFonts w:hint="eastAsia"/>
          <w:snapToGrid w:val="0"/>
          <w:color w:val="auto"/>
          <w:kern w:val="0"/>
          <w:sz w:val="24"/>
          <w:highlight w:val="none"/>
        </w:rPr>
        <w:t>），计算所涉及的每种危险物质在厂界内的最大存在总量与其在附录</w:t>
      </w:r>
      <w:r>
        <w:rPr>
          <w:snapToGrid w:val="0"/>
          <w:color w:val="auto"/>
          <w:kern w:val="0"/>
          <w:sz w:val="24"/>
          <w:highlight w:val="none"/>
        </w:rPr>
        <w:t>B</w:t>
      </w:r>
      <w:r>
        <w:rPr>
          <w:rFonts w:hint="eastAsia"/>
          <w:snapToGrid w:val="0"/>
          <w:color w:val="auto"/>
          <w:kern w:val="0"/>
          <w:sz w:val="24"/>
          <w:highlight w:val="none"/>
        </w:rPr>
        <w:t>中对应临界量的比值</w:t>
      </w:r>
      <w:r>
        <w:rPr>
          <w:snapToGrid w:val="0"/>
          <w:color w:val="auto"/>
          <w:kern w:val="0"/>
          <w:sz w:val="24"/>
          <w:highlight w:val="none"/>
        </w:rPr>
        <w:t>Q</w:t>
      </w:r>
      <w:r>
        <w:rPr>
          <w:rFonts w:hint="eastAsia"/>
          <w:snapToGrid w:val="0"/>
          <w:color w:val="auto"/>
          <w:kern w:val="0"/>
          <w:sz w:val="24"/>
          <w:highlight w:val="none"/>
        </w:rPr>
        <w:t>。在不同厂区的同一种物质，按其在厂界内的最大存在总量计算。对于长输管线项目，按照两个截断阀室之间管段危险物质最大存在总量计算。单元内存在的危险化学品的数量根据处理危险化学品的多少，区分为以下两种情况：</w:t>
      </w:r>
    </w:p>
    <w:p w14:paraId="495DE2E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A当只涉及一种危险物质时，计算该物质的总量与其临界量比值，即为</w:t>
      </w:r>
      <w:r>
        <w:rPr>
          <w:snapToGrid w:val="0"/>
          <w:color w:val="auto"/>
          <w:kern w:val="0"/>
          <w:sz w:val="24"/>
          <w:highlight w:val="none"/>
        </w:rPr>
        <w:t>Q</w:t>
      </w:r>
      <w:r>
        <w:rPr>
          <w:rFonts w:hint="eastAsia"/>
          <w:snapToGrid w:val="0"/>
          <w:color w:val="auto"/>
          <w:kern w:val="0"/>
          <w:sz w:val="24"/>
          <w:highlight w:val="none"/>
        </w:rPr>
        <w:t>；</w:t>
      </w:r>
    </w:p>
    <w:p w14:paraId="2316374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B当存在多种危险物质时，则按下式计算物质总量与其临界量比值（</w:t>
      </w:r>
      <w:r>
        <w:rPr>
          <w:snapToGrid w:val="0"/>
          <w:color w:val="auto"/>
          <w:kern w:val="0"/>
          <w:sz w:val="24"/>
          <w:highlight w:val="none"/>
        </w:rPr>
        <w:t>Q</w:t>
      </w:r>
      <w:r>
        <w:rPr>
          <w:rFonts w:hint="eastAsia"/>
          <w:snapToGrid w:val="0"/>
          <w:color w:val="auto"/>
          <w:kern w:val="0"/>
          <w:sz w:val="24"/>
          <w:highlight w:val="none"/>
        </w:rPr>
        <w:t>）：</w:t>
      </w:r>
    </w:p>
    <w:p w14:paraId="57BC348B">
      <w:pPr>
        <w:pStyle w:val="593"/>
        <w:adjustRightInd w:val="0"/>
        <w:snapToGrid w:val="0"/>
        <w:ind w:firstLine="0" w:firstLineChars="0"/>
        <w:jc w:val="both"/>
        <w:rPr>
          <w:rFonts w:ascii="Times New Roman"/>
          <w:snapToGrid w:val="0"/>
          <w:color w:val="auto"/>
          <w:kern w:val="0"/>
          <w:sz w:val="24"/>
          <w:szCs w:val="24"/>
          <w:highlight w:val="none"/>
        </w:rPr>
      </w:pPr>
      <m:oMathPara>
        <m:oMath>
          <m:r>
            <m:rPr>
              <m:sty m:val="p"/>
            </m:rPr>
            <w:rPr>
              <w:rFonts w:ascii="Times New Roman"/>
              <w:snapToGrid w:val="0"/>
              <w:color w:val="auto"/>
              <w:kern w:val="0"/>
              <w:sz w:val="24"/>
              <w:szCs w:val="24"/>
              <w:highlight w:val="none"/>
            </w:rPr>
            <m:t>Q=</m:t>
          </m:r>
          <m:f>
            <m:fPr>
              <m:ctrlPr>
                <w:rPr>
                  <w:rFonts w:ascii="Cambria Math" w:hAnsi="Cambria Math"/>
                  <w:snapToGrid w:val="0"/>
                  <w:color w:val="auto"/>
                  <w:kern w:val="0"/>
                  <w:sz w:val="24"/>
                  <w:szCs w:val="24"/>
                  <w:highlight w:val="none"/>
                </w:rPr>
              </m:ctrlPr>
            </m:fPr>
            <m:num>
              <m:sSub>
                <m:sSubPr>
                  <m:ctrlPr>
                    <w:rPr>
                      <w:rFonts w:ascii="Cambria Math" w:hAnsi="Cambria Math"/>
                      <w:snapToGrid w:val="0"/>
                      <w:color w:val="auto"/>
                      <w:kern w:val="0"/>
                      <w:sz w:val="24"/>
                      <w:szCs w:val="24"/>
                      <w:highlight w:val="none"/>
                    </w:rPr>
                  </m:ctrlPr>
                </m:sSubPr>
                <m:e>
                  <m:r>
                    <m:rPr>
                      <m:sty m:val="p"/>
                    </m:rPr>
                    <w:rPr>
                      <w:rFonts w:ascii="Times New Roman"/>
                      <w:snapToGrid w:val="0"/>
                      <w:color w:val="auto"/>
                      <w:kern w:val="0"/>
                      <w:sz w:val="24"/>
                      <w:szCs w:val="24"/>
                      <w:highlight w:val="none"/>
                    </w:rPr>
                    <m:t>q</m:t>
                  </m:r>
                  <m:ctrlPr>
                    <w:rPr>
                      <w:rFonts w:ascii="Cambria Math" w:hAnsi="Cambria Math"/>
                      <w:snapToGrid w:val="0"/>
                      <w:color w:val="auto"/>
                      <w:kern w:val="0"/>
                      <w:sz w:val="24"/>
                      <w:szCs w:val="24"/>
                      <w:highlight w:val="none"/>
                    </w:rPr>
                  </m:ctrlPr>
                </m:e>
                <m:sub>
                  <m:r>
                    <m:rPr>
                      <m:sty m:val="p"/>
                    </m:rPr>
                    <w:rPr>
                      <w:rFonts w:ascii="Times New Roman"/>
                      <w:snapToGrid w:val="0"/>
                      <w:color w:val="auto"/>
                      <w:kern w:val="0"/>
                      <w:sz w:val="24"/>
                      <w:szCs w:val="24"/>
                      <w:highlight w:val="none"/>
                    </w:rPr>
                    <m:t>1</m:t>
                  </m:r>
                  <m:ctrlPr>
                    <w:rPr>
                      <w:rFonts w:ascii="Cambria Math" w:hAnsi="Cambria Math"/>
                      <w:snapToGrid w:val="0"/>
                      <w:color w:val="auto"/>
                      <w:kern w:val="0"/>
                      <w:sz w:val="24"/>
                      <w:szCs w:val="24"/>
                      <w:highlight w:val="none"/>
                    </w:rPr>
                  </m:ctrlPr>
                </m:sub>
              </m:sSub>
              <m:ctrlPr>
                <w:rPr>
                  <w:rFonts w:ascii="Cambria Math" w:hAnsi="Cambria Math"/>
                  <w:snapToGrid w:val="0"/>
                  <w:color w:val="auto"/>
                  <w:kern w:val="0"/>
                  <w:sz w:val="24"/>
                  <w:szCs w:val="24"/>
                  <w:highlight w:val="none"/>
                </w:rPr>
              </m:ctrlPr>
            </m:num>
            <m:den>
              <m:sSub>
                <m:sSubPr>
                  <m:ctrlPr>
                    <w:rPr>
                      <w:rFonts w:ascii="Cambria Math" w:hAnsi="Cambria Math"/>
                      <w:snapToGrid w:val="0"/>
                      <w:color w:val="auto"/>
                      <w:kern w:val="0"/>
                      <w:sz w:val="24"/>
                      <w:szCs w:val="24"/>
                      <w:highlight w:val="none"/>
                    </w:rPr>
                  </m:ctrlPr>
                </m:sSubPr>
                <m:e>
                  <m:r>
                    <m:rPr>
                      <m:sty m:val="p"/>
                    </m:rPr>
                    <w:rPr>
                      <w:rFonts w:ascii="Times New Roman"/>
                      <w:snapToGrid w:val="0"/>
                      <w:color w:val="auto"/>
                      <w:kern w:val="0"/>
                      <w:sz w:val="24"/>
                      <w:szCs w:val="24"/>
                      <w:highlight w:val="none"/>
                    </w:rPr>
                    <m:t>Q</m:t>
                  </m:r>
                  <m:ctrlPr>
                    <w:rPr>
                      <w:rFonts w:ascii="Cambria Math" w:hAnsi="Cambria Math"/>
                      <w:snapToGrid w:val="0"/>
                      <w:color w:val="auto"/>
                      <w:kern w:val="0"/>
                      <w:sz w:val="24"/>
                      <w:szCs w:val="24"/>
                      <w:highlight w:val="none"/>
                    </w:rPr>
                  </m:ctrlPr>
                </m:e>
                <m:sub>
                  <m:r>
                    <m:rPr>
                      <m:sty m:val="p"/>
                    </m:rPr>
                    <w:rPr>
                      <w:rFonts w:ascii="Times New Roman"/>
                      <w:snapToGrid w:val="0"/>
                      <w:color w:val="auto"/>
                      <w:kern w:val="0"/>
                      <w:sz w:val="24"/>
                      <w:szCs w:val="24"/>
                      <w:highlight w:val="none"/>
                    </w:rPr>
                    <m:t>1</m:t>
                  </m:r>
                  <m:ctrlPr>
                    <w:rPr>
                      <w:rFonts w:ascii="Cambria Math" w:hAnsi="Cambria Math"/>
                      <w:snapToGrid w:val="0"/>
                      <w:color w:val="auto"/>
                      <w:kern w:val="0"/>
                      <w:sz w:val="24"/>
                      <w:szCs w:val="24"/>
                      <w:highlight w:val="none"/>
                    </w:rPr>
                  </m:ctrlPr>
                </m:sub>
              </m:sSub>
              <m:ctrlPr>
                <w:rPr>
                  <w:rFonts w:ascii="Cambria Math" w:hAnsi="Cambria Math"/>
                  <w:snapToGrid w:val="0"/>
                  <w:color w:val="auto"/>
                  <w:kern w:val="0"/>
                  <w:sz w:val="24"/>
                  <w:szCs w:val="24"/>
                  <w:highlight w:val="none"/>
                </w:rPr>
              </m:ctrlPr>
            </m:den>
          </m:f>
          <m:r>
            <m:rPr>
              <m:sty m:val="p"/>
            </m:rPr>
            <w:rPr>
              <w:rFonts w:ascii="Times New Roman"/>
              <w:snapToGrid w:val="0"/>
              <w:color w:val="auto"/>
              <w:kern w:val="0"/>
              <w:sz w:val="24"/>
              <w:szCs w:val="24"/>
              <w:highlight w:val="none"/>
            </w:rPr>
            <m:t>+</m:t>
          </m:r>
          <m:f>
            <m:fPr>
              <m:ctrlPr>
                <w:rPr>
                  <w:rFonts w:ascii="Cambria Math" w:hAnsi="Cambria Math"/>
                  <w:snapToGrid w:val="0"/>
                  <w:color w:val="auto"/>
                  <w:kern w:val="0"/>
                  <w:sz w:val="24"/>
                  <w:szCs w:val="24"/>
                  <w:highlight w:val="none"/>
                </w:rPr>
              </m:ctrlPr>
            </m:fPr>
            <m:num>
              <m:sSub>
                <m:sSubPr>
                  <m:ctrlPr>
                    <w:rPr>
                      <w:rFonts w:ascii="Cambria Math" w:hAnsi="Cambria Math"/>
                      <w:snapToGrid w:val="0"/>
                      <w:color w:val="auto"/>
                      <w:kern w:val="0"/>
                      <w:sz w:val="24"/>
                      <w:szCs w:val="24"/>
                      <w:highlight w:val="none"/>
                    </w:rPr>
                  </m:ctrlPr>
                </m:sSubPr>
                <m:e>
                  <m:r>
                    <m:rPr>
                      <m:sty m:val="p"/>
                    </m:rPr>
                    <w:rPr>
                      <w:rFonts w:ascii="Times New Roman"/>
                      <w:snapToGrid w:val="0"/>
                      <w:color w:val="auto"/>
                      <w:kern w:val="0"/>
                      <w:sz w:val="24"/>
                      <w:szCs w:val="24"/>
                      <w:highlight w:val="none"/>
                    </w:rPr>
                    <m:t>q</m:t>
                  </m:r>
                  <m:ctrlPr>
                    <w:rPr>
                      <w:rFonts w:ascii="Cambria Math" w:hAnsi="Cambria Math"/>
                      <w:snapToGrid w:val="0"/>
                      <w:color w:val="auto"/>
                      <w:kern w:val="0"/>
                      <w:sz w:val="24"/>
                      <w:szCs w:val="24"/>
                      <w:highlight w:val="none"/>
                    </w:rPr>
                  </m:ctrlPr>
                </m:e>
                <m:sub>
                  <m:r>
                    <m:rPr>
                      <m:sty m:val="p"/>
                    </m:rPr>
                    <w:rPr>
                      <w:rFonts w:ascii="Times New Roman"/>
                      <w:snapToGrid w:val="0"/>
                      <w:color w:val="auto"/>
                      <w:kern w:val="0"/>
                      <w:sz w:val="24"/>
                      <w:szCs w:val="24"/>
                      <w:highlight w:val="none"/>
                    </w:rPr>
                    <m:t>2</m:t>
                  </m:r>
                  <m:ctrlPr>
                    <w:rPr>
                      <w:rFonts w:ascii="Cambria Math" w:hAnsi="Cambria Math"/>
                      <w:snapToGrid w:val="0"/>
                      <w:color w:val="auto"/>
                      <w:kern w:val="0"/>
                      <w:sz w:val="24"/>
                      <w:szCs w:val="24"/>
                      <w:highlight w:val="none"/>
                    </w:rPr>
                  </m:ctrlPr>
                </m:sub>
              </m:sSub>
              <m:ctrlPr>
                <w:rPr>
                  <w:rFonts w:ascii="Cambria Math" w:hAnsi="Cambria Math"/>
                  <w:snapToGrid w:val="0"/>
                  <w:color w:val="auto"/>
                  <w:kern w:val="0"/>
                  <w:sz w:val="24"/>
                  <w:szCs w:val="24"/>
                  <w:highlight w:val="none"/>
                </w:rPr>
              </m:ctrlPr>
            </m:num>
            <m:den>
              <m:sSub>
                <m:sSubPr>
                  <m:ctrlPr>
                    <w:rPr>
                      <w:rFonts w:ascii="Cambria Math" w:hAnsi="Cambria Math"/>
                      <w:snapToGrid w:val="0"/>
                      <w:color w:val="auto"/>
                      <w:kern w:val="0"/>
                      <w:sz w:val="24"/>
                      <w:szCs w:val="24"/>
                      <w:highlight w:val="none"/>
                    </w:rPr>
                  </m:ctrlPr>
                </m:sSubPr>
                <m:e>
                  <m:r>
                    <m:rPr>
                      <m:sty m:val="p"/>
                    </m:rPr>
                    <w:rPr>
                      <w:rFonts w:ascii="Times New Roman"/>
                      <w:snapToGrid w:val="0"/>
                      <w:color w:val="auto"/>
                      <w:kern w:val="0"/>
                      <w:sz w:val="24"/>
                      <w:szCs w:val="24"/>
                      <w:highlight w:val="none"/>
                    </w:rPr>
                    <m:t>Q</m:t>
                  </m:r>
                  <m:ctrlPr>
                    <w:rPr>
                      <w:rFonts w:ascii="Cambria Math" w:hAnsi="Cambria Math"/>
                      <w:snapToGrid w:val="0"/>
                      <w:color w:val="auto"/>
                      <w:kern w:val="0"/>
                      <w:sz w:val="24"/>
                      <w:szCs w:val="24"/>
                      <w:highlight w:val="none"/>
                    </w:rPr>
                  </m:ctrlPr>
                </m:e>
                <m:sub>
                  <m:r>
                    <m:rPr>
                      <m:sty m:val="p"/>
                    </m:rPr>
                    <w:rPr>
                      <w:rFonts w:ascii="Times New Roman"/>
                      <w:snapToGrid w:val="0"/>
                      <w:color w:val="auto"/>
                      <w:kern w:val="0"/>
                      <w:sz w:val="24"/>
                      <w:szCs w:val="24"/>
                      <w:highlight w:val="none"/>
                    </w:rPr>
                    <m:t>2</m:t>
                  </m:r>
                  <m:ctrlPr>
                    <w:rPr>
                      <w:rFonts w:ascii="Cambria Math" w:hAnsi="Cambria Math"/>
                      <w:snapToGrid w:val="0"/>
                      <w:color w:val="auto"/>
                      <w:kern w:val="0"/>
                      <w:sz w:val="24"/>
                      <w:szCs w:val="24"/>
                      <w:highlight w:val="none"/>
                    </w:rPr>
                  </m:ctrlPr>
                </m:sub>
              </m:sSub>
              <m:ctrlPr>
                <w:rPr>
                  <w:rFonts w:ascii="Cambria Math" w:hAnsi="Cambria Math"/>
                  <w:snapToGrid w:val="0"/>
                  <w:color w:val="auto"/>
                  <w:kern w:val="0"/>
                  <w:sz w:val="24"/>
                  <w:szCs w:val="24"/>
                  <w:highlight w:val="none"/>
                </w:rPr>
              </m:ctrlPr>
            </m:den>
          </m:f>
          <m:r>
            <m:rPr>
              <m:sty m:val="p"/>
            </m:rPr>
            <w:rPr>
              <w:rFonts w:ascii="Times New Roman"/>
              <w:snapToGrid w:val="0"/>
              <w:color w:val="auto"/>
              <w:kern w:val="0"/>
              <w:sz w:val="24"/>
              <w:szCs w:val="24"/>
              <w:highlight w:val="none"/>
            </w:rPr>
            <m:t>+⋯+</m:t>
          </m:r>
          <m:f>
            <m:fPr>
              <m:ctrlPr>
                <w:rPr>
                  <w:rFonts w:ascii="Cambria Math" w:hAnsi="Cambria Math"/>
                  <w:snapToGrid w:val="0"/>
                  <w:color w:val="auto"/>
                  <w:kern w:val="0"/>
                  <w:sz w:val="24"/>
                  <w:szCs w:val="24"/>
                  <w:highlight w:val="none"/>
                </w:rPr>
              </m:ctrlPr>
            </m:fPr>
            <m:num>
              <m:sSub>
                <m:sSubPr>
                  <m:ctrlPr>
                    <w:rPr>
                      <w:rFonts w:ascii="Cambria Math" w:hAnsi="Cambria Math"/>
                      <w:snapToGrid w:val="0"/>
                      <w:color w:val="auto"/>
                      <w:kern w:val="0"/>
                      <w:sz w:val="24"/>
                      <w:szCs w:val="24"/>
                      <w:highlight w:val="none"/>
                    </w:rPr>
                  </m:ctrlPr>
                </m:sSubPr>
                <m:e>
                  <m:r>
                    <m:rPr>
                      <m:sty m:val="p"/>
                    </m:rPr>
                    <w:rPr>
                      <w:rFonts w:ascii="Times New Roman"/>
                      <w:snapToGrid w:val="0"/>
                      <w:color w:val="auto"/>
                      <w:kern w:val="0"/>
                      <w:sz w:val="24"/>
                      <w:szCs w:val="24"/>
                      <w:highlight w:val="none"/>
                    </w:rPr>
                    <m:t>q</m:t>
                  </m:r>
                  <m:ctrlPr>
                    <w:rPr>
                      <w:rFonts w:ascii="Cambria Math" w:hAnsi="Cambria Math"/>
                      <w:snapToGrid w:val="0"/>
                      <w:color w:val="auto"/>
                      <w:kern w:val="0"/>
                      <w:sz w:val="24"/>
                      <w:szCs w:val="24"/>
                      <w:highlight w:val="none"/>
                    </w:rPr>
                  </m:ctrlPr>
                </m:e>
                <m:sub>
                  <m:r>
                    <m:rPr>
                      <m:sty m:val="p"/>
                    </m:rPr>
                    <w:rPr>
                      <w:rFonts w:ascii="Times New Roman"/>
                      <w:snapToGrid w:val="0"/>
                      <w:color w:val="auto"/>
                      <w:kern w:val="0"/>
                      <w:sz w:val="24"/>
                      <w:szCs w:val="24"/>
                      <w:highlight w:val="none"/>
                    </w:rPr>
                    <m:t>n</m:t>
                  </m:r>
                  <m:ctrlPr>
                    <w:rPr>
                      <w:rFonts w:ascii="Cambria Math" w:hAnsi="Cambria Math"/>
                      <w:snapToGrid w:val="0"/>
                      <w:color w:val="auto"/>
                      <w:kern w:val="0"/>
                      <w:sz w:val="24"/>
                      <w:szCs w:val="24"/>
                      <w:highlight w:val="none"/>
                    </w:rPr>
                  </m:ctrlPr>
                </m:sub>
              </m:sSub>
              <m:ctrlPr>
                <w:rPr>
                  <w:rFonts w:ascii="Cambria Math" w:hAnsi="Cambria Math"/>
                  <w:snapToGrid w:val="0"/>
                  <w:color w:val="auto"/>
                  <w:kern w:val="0"/>
                  <w:sz w:val="24"/>
                  <w:szCs w:val="24"/>
                  <w:highlight w:val="none"/>
                </w:rPr>
              </m:ctrlPr>
            </m:num>
            <m:den>
              <m:sSub>
                <m:sSubPr>
                  <m:ctrlPr>
                    <w:rPr>
                      <w:rFonts w:ascii="Cambria Math" w:hAnsi="Cambria Math"/>
                      <w:snapToGrid w:val="0"/>
                      <w:color w:val="auto"/>
                      <w:kern w:val="0"/>
                      <w:sz w:val="24"/>
                      <w:szCs w:val="24"/>
                      <w:highlight w:val="none"/>
                    </w:rPr>
                  </m:ctrlPr>
                </m:sSubPr>
                <m:e>
                  <m:r>
                    <m:rPr>
                      <m:sty m:val="p"/>
                    </m:rPr>
                    <w:rPr>
                      <w:rFonts w:ascii="Times New Roman"/>
                      <w:snapToGrid w:val="0"/>
                      <w:color w:val="auto"/>
                      <w:kern w:val="0"/>
                      <w:sz w:val="24"/>
                      <w:szCs w:val="24"/>
                      <w:highlight w:val="none"/>
                    </w:rPr>
                    <m:t>Q</m:t>
                  </m:r>
                  <m:ctrlPr>
                    <w:rPr>
                      <w:rFonts w:ascii="Cambria Math" w:hAnsi="Cambria Math"/>
                      <w:snapToGrid w:val="0"/>
                      <w:color w:val="auto"/>
                      <w:kern w:val="0"/>
                      <w:sz w:val="24"/>
                      <w:szCs w:val="24"/>
                      <w:highlight w:val="none"/>
                    </w:rPr>
                  </m:ctrlPr>
                </m:e>
                <m:sub>
                  <m:r>
                    <m:rPr>
                      <m:sty m:val="p"/>
                    </m:rPr>
                    <w:rPr>
                      <w:rFonts w:ascii="Times New Roman"/>
                      <w:snapToGrid w:val="0"/>
                      <w:color w:val="auto"/>
                      <w:kern w:val="0"/>
                      <w:sz w:val="24"/>
                      <w:szCs w:val="24"/>
                      <w:highlight w:val="none"/>
                    </w:rPr>
                    <m:t>n</m:t>
                  </m:r>
                  <m:ctrlPr>
                    <w:rPr>
                      <w:rFonts w:ascii="Cambria Math" w:hAnsi="Cambria Math"/>
                      <w:snapToGrid w:val="0"/>
                      <w:color w:val="auto"/>
                      <w:kern w:val="0"/>
                      <w:sz w:val="24"/>
                      <w:szCs w:val="24"/>
                      <w:highlight w:val="none"/>
                    </w:rPr>
                  </m:ctrlPr>
                </m:sub>
              </m:sSub>
              <m:ctrlPr>
                <w:rPr>
                  <w:rFonts w:ascii="Cambria Math" w:hAnsi="Cambria Math"/>
                  <w:snapToGrid w:val="0"/>
                  <w:color w:val="auto"/>
                  <w:kern w:val="0"/>
                  <w:sz w:val="24"/>
                  <w:szCs w:val="24"/>
                  <w:highlight w:val="none"/>
                </w:rPr>
              </m:ctrlPr>
            </m:den>
          </m:f>
        </m:oMath>
      </m:oMathPara>
    </w:p>
    <w:p w14:paraId="4B649E3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式中：</w:t>
      </w:r>
      <w:r>
        <w:rPr>
          <w:snapToGrid w:val="0"/>
          <w:color w:val="auto"/>
          <w:kern w:val="0"/>
          <w:sz w:val="24"/>
          <w:highlight w:val="none"/>
        </w:rPr>
        <w:t>q</w:t>
      </w:r>
      <w:r>
        <w:rPr>
          <w:snapToGrid w:val="0"/>
          <w:color w:val="auto"/>
          <w:kern w:val="0"/>
          <w:sz w:val="24"/>
          <w:highlight w:val="none"/>
          <w:vertAlign w:val="subscript"/>
        </w:rPr>
        <w:t>1</w:t>
      </w:r>
      <w:r>
        <w:rPr>
          <w:rFonts w:hint="eastAsia"/>
          <w:snapToGrid w:val="0"/>
          <w:color w:val="auto"/>
          <w:kern w:val="0"/>
          <w:sz w:val="24"/>
          <w:highlight w:val="none"/>
        </w:rPr>
        <w:t>，</w:t>
      </w:r>
      <w:r>
        <w:rPr>
          <w:snapToGrid w:val="0"/>
          <w:color w:val="auto"/>
          <w:kern w:val="0"/>
          <w:sz w:val="24"/>
          <w:highlight w:val="none"/>
        </w:rPr>
        <w:t>q</w:t>
      </w:r>
      <w:r>
        <w:rPr>
          <w:snapToGrid w:val="0"/>
          <w:color w:val="auto"/>
          <w:kern w:val="0"/>
          <w:sz w:val="24"/>
          <w:highlight w:val="none"/>
          <w:vertAlign w:val="subscript"/>
        </w:rPr>
        <w:t>2</w:t>
      </w:r>
      <w:r>
        <w:rPr>
          <w:rFonts w:hint="eastAsia"/>
          <w:snapToGrid w:val="0"/>
          <w:color w:val="auto"/>
          <w:kern w:val="0"/>
          <w:sz w:val="24"/>
          <w:highlight w:val="none"/>
        </w:rPr>
        <w:t>，</w:t>
      </w:r>
      <w:r>
        <w:rPr>
          <w:snapToGrid w:val="0"/>
          <w:color w:val="auto"/>
          <w:kern w:val="0"/>
          <w:sz w:val="24"/>
          <w:highlight w:val="none"/>
        </w:rPr>
        <w:t>...</w:t>
      </w:r>
      <w:r>
        <w:rPr>
          <w:rFonts w:hint="eastAsia"/>
          <w:snapToGrid w:val="0"/>
          <w:color w:val="auto"/>
          <w:kern w:val="0"/>
          <w:sz w:val="24"/>
          <w:highlight w:val="none"/>
        </w:rPr>
        <w:t>，</w:t>
      </w:r>
      <w:r>
        <w:rPr>
          <w:snapToGrid w:val="0"/>
          <w:color w:val="auto"/>
          <w:kern w:val="0"/>
          <w:sz w:val="24"/>
          <w:highlight w:val="none"/>
        </w:rPr>
        <w:t>q</w:t>
      </w:r>
      <w:r>
        <w:rPr>
          <w:snapToGrid w:val="0"/>
          <w:color w:val="auto"/>
          <w:kern w:val="0"/>
          <w:sz w:val="24"/>
          <w:highlight w:val="none"/>
          <w:vertAlign w:val="subscript"/>
        </w:rPr>
        <w:t>n</w:t>
      </w:r>
      <w:r>
        <w:rPr>
          <w:rFonts w:hint="eastAsia"/>
          <w:snapToGrid w:val="0"/>
          <w:color w:val="auto"/>
          <w:kern w:val="0"/>
          <w:sz w:val="24"/>
          <w:highlight w:val="none"/>
        </w:rPr>
        <w:t>——每种危险物质的最大总存在量，</w:t>
      </w:r>
      <w:r>
        <w:rPr>
          <w:snapToGrid w:val="0"/>
          <w:color w:val="auto"/>
          <w:kern w:val="0"/>
          <w:sz w:val="24"/>
          <w:highlight w:val="none"/>
        </w:rPr>
        <w:t>t</w:t>
      </w:r>
      <w:r>
        <w:rPr>
          <w:rFonts w:hint="eastAsia"/>
          <w:snapToGrid w:val="0"/>
          <w:color w:val="auto"/>
          <w:kern w:val="0"/>
          <w:sz w:val="24"/>
          <w:highlight w:val="none"/>
        </w:rPr>
        <w:t>；</w:t>
      </w:r>
    </w:p>
    <w:p w14:paraId="0DBB1A5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 xml:space="preserve">      </w:t>
      </w:r>
      <w:r>
        <w:rPr>
          <w:snapToGrid w:val="0"/>
          <w:color w:val="auto"/>
          <w:kern w:val="0"/>
          <w:sz w:val="24"/>
          <w:highlight w:val="none"/>
        </w:rPr>
        <w:t>Q</w:t>
      </w:r>
      <w:r>
        <w:rPr>
          <w:snapToGrid w:val="0"/>
          <w:color w:val="auto"/>
          <w:kern w:val="0"/>
          <w:sz w:val="24"/>
          <w:highlight w:val="none"/>
          <w:vertAlign w:val="subscript"/>
        </w:rPr>
        <w:t>1</w:t>
      </w:r>
      <w:r>
        <w:rPr>
          <w:rFonts w:hint="eastAsia"/>
          <w:snapToGrid w:val="0"/>
          <w:color w:val="auto"/>
          <w:kern w:val="0"/>
          <w:sz w:val="24"/>
          <w:highlight w:val="none"/>
        </w:rPr>
        <w:t>，</w:t>
      </w:r>
      <w:r>
        <w:rPr>
          <w:snapToGrid w:val="0"/>
          <w:color w:val="auto"/>
          <w:kern w:val="0"/>
          <w:sz w:val="24"/>
          <w:highlight w:val="none"/>
        </w:rPr>
        <w:t>Q</w:t>
      </w:r>
      <w:r>
        <w:rPr>
          <w:snapToGrid w:val="0"/>
          <w:color w:val="auto"/>
          <w:kern w:val="0"/>
          <w:sz w:val="24"/>
          <w:highlight w:val="none"/>
          <w:vertAlign w:val="subscript"/>
        </w:rPr>
        <w:t>2</w:t>
      </w:r>
      <w:r>
        <w:rPr>
          <w:rFonts w:hint="eastAsia"/>
          <w:snapToGrid w:val="0"/>
          <w:color w:val="auto"/>
          <w:kern w:val="0"/>
          <w:sz w:val="24"/>
          <w:highlight w:val="none"/>
        </w:rPr>
        <w:t>，</w:t>
      </w:r>
      <w:r>
        <w:rPr>
          <w:snapToGrid w:val="0"/>
          <w:color w:val="auto"/>
          <w:kern w:val="0"/>
          <w:sz w:val="24"/>
          <w:highlight w:val="none"/>
        </w:rPr>
        <w:t>...</w:t>
      </w:r>
      <w:r>
        <w:rPr>
          <w:rFonts w:hint="eastAsia"/>
          <w:snapToGrid w:val="0"/>
          <w:color w:val="auto"/>
          <w:kern w:val="0"/>
          <w:sz w:val="24"/>
          <w:highlight w:val="none"/>
        </w:rPr>
        <w:t>，</w:t>
      </w:r>
      <w:r>
        <w:rPr>
          <w:snapToGrid w:val="0"/>
          <w:color w:val="auto"/>
          <w:kern w:val="0"/>
          <w:sz w:val="24"/>
          <w:highlight w:val="none"/>
        </w:rPr>
        <w:t>Q</w:t>
      </w:r>
      <w:r>
        <w:rPr>
          <w:snapToGrid w:val="0"/>
          <w:color w:val="auto"/>
          <w:kern w:val="0"/>
          <w:sz w:val="24"/>
          <w:highlight w:val="none"/>
          <w:vertAlign w:val="subscript"/>
        </w:rPr>
        <w:t>n</w:t>
      </w:r>
      <w:r>
        <w:rPr>
          <w:rFonts w:hint="eastAsia"/>
          <w:snapToGrid w:val="0"/>
          <w:color w:val="auto"/>
          <w:kern w:val="0"/>
          <w:sz w:val="24"/>
          <w:highlight w:val="none"/>
        </w:rPr>
        <w:t>——每种危险物质的临界量，</w:t>
      </w:r>
      <w:r>
        <w:rPr>
          <w:snapToGrid w:val="0"/>
          <w:color w:val="auto"/>
          <w:kern w:val="0"/>
          <w:sz w:val="24"/>
          <w:highlight w:val="none"/>
        </w:rPr>
        <w:t>t</w:t>
      </w:r>
      <w:r>
        <w:rPr>
          <w:rFonts w:hint="eastAsia"/>
          <w:snapToGrid w:val="0"/>
          <w:color w:val="auto"/>
          <w:kern w:val="0"/>
          <w:sz w:val="24"/>
          <w:highlight w:val="none"/>
        </w:rPr>
        <w:t>；</w:t>
      </w:r>
    </w:p>
    <w:p w14:paraId="344E387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 xml:space="preserve">     当</w:t>
      </w:r>
      <w:r>
        <w:rPr>
          <w:snapToGrid w:val="0"/>
          <w:color w:val="auto"/>
          <w:kern w:val="0"/>
          <w:sz w:val="24"/>
          <w:highlight w:val="none"/>
        </w:rPr>
        <w:t>Q</w:t>
      </w:r>
      <w:r>
        <w:rPr>
          <w:rFonts w:hint="eastAsia"/>
          <w:snapToGrid w:val="0"/>
          <w:color w:val="auto"/>
          <w:kern w:val="0"/>
          <w:sz w:val="24"/>
          <w:highlight w:val="none"/>
        </w:rPr>
        <w:t>＜</w:t>
      </w:r>
      <w:r>
        <w:rPr>
          <w:snapToGrid w:val="0"/>
          <w:color w:val="auto"/>
          <w:kern w:val="0"/>
          <w:sz w:val="24"/>
          <w:highlight w:val="none"/>
        </w:rPr>
        <w:t>1</w:t>
      </w:r>
      <w:r>
        <w:rPr>
          <w:rFonts w:hint="eastAsia"/>
          <w:snapToGrid w:val="0"/>
          <w:color w:val="auto"/>
          <w:kern w:val="0"/>
          <w:sz w:val="24"/>
          <w:highlight w:val="none"/>
        </w:rPr>
        <w:t>时，该项目环境风险潜势为Ⅰ；</w:t>
      </w:r>
    </w:p>
    <w:p w14:paraId="0BDEF2F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 xml:space="preserve">  </w:t>
      </w:r>
      <w:r>
        <w:rPr>
          <w:rFonts w:hint="eastAsia"/>
          <w:snapToGrid w:val="0"/>
          <w:color w:val="auto"/>
          <w:spacing w:val="-6"/>
          <w:kern w:val="0"/>
          <w:sz w:val="24"/>
          <w:highlight w:val="none"/>
        </w:rPr>
        <w:t xml:space="preserve">  </w:t>
      </w:r>
      <w:r>
        <w:rPr>
          <w:rFonts w:hint="eastAsia"/>
          <w:snapToGrid w:val="0"/>
          <w:color w:val="auto"/>
          <w:kern w:val="0"/>
          <w:sz w:val="24"/>
          <w:highlight w:val="none"/>
        </w:rPr>
        <w:t xml:space="preserve"> 当</w:t>
      </w:r>
      <w:r>
        <w:rPr>
          <w:snapToGrid w:val="0"/>
          <w:color w:val="auto"/>
          <w:kern w:val="0"/>
          <w:sz w:val="24"/>
          <w:highlight w:val="none"/>
        </w:rPr>
        <w:t>Q</w:t>
      </w:r>
      <w:r>
        <w:rPr>
          <w:rFonts w:hint="eastAsia"/>
          <w:snapToGrid w:val="0"/>
          <w:color w:val="auto"/>
          <w:kern w:val="0"/>
          <w:sz w:val="24"/>
          <w:highlight w:val="none"/>
        </w:rPr>
        <w:t>≥</w:t>
      </w:r>
      <w:r>
        <w:rPr>
          <w:snapToGrid w:val="0"/>
          <w:color w:val="auto"/>
          <w:kern w:val="0"/>
          <w:sz w:val="24"/>
          <w:highlight w:val="none"/>
        </w:rPr>
        <w:t>1</w:t>
      </w:r>
      <w:r>
        <w:rPr>
          <w:rFonts w:hint="eastAsia"/>
          <w:snapToGrid w:val="0"/>
          <w:color w:val="auto"/>
          <w:kern w:val="0"/>
          <w:sz w:val="24"/>
          <w:highlight w:val="none"/>
        </w:rPr>
        <w:t>时，将</w:t>
      </w:r>
      <w:r>
        <w:rPr>
          <w:snapToGrid w:val="0"/>
          <w:color w:val="auto"/>
          <w:kern w:val="0"/>
          <w:sz w:val="24"/>
          <w:highlight w:val="none"/>
        </w:rPr>
        <w:t xml:space="preserve">Q </w:t>
      </w:r>
      <w:r>
        <w:rPr>
          <w:rFonts w:hint="eastAsia"/>
          <w:snapToGrid w:val="0"/>
          <w:color w:val="auto"/>
          <w:kern w:val="0"/>
          <w:sz w:val="24"/>
          <w:highlight w:val="none"/>
        </w:rPr>
        <w:t>值划分为：（</w:t>
      </w:r>
      <w:r>
        <w:rPr>
          <w:snapToGrid w:val="0"/>
          <w:color w:val="auto"/>
          <w:kern w:val="0"/>
          <w:sz w:val="24"/>
          <w:highlight w:val="none"/>
        </w:rPr>
        <w:t>1</w:t>
      </w:r>
      <w:r>
        <w:rPr>
          <w:rFonts w:hint="eastAsia"/>
          <w:snapToGrid w:val="0"/>
          <w:color w:val="auto"/>
          <w:kern w:val="0"/>
          <w:sz w:val="24"/>
          <w:highlight w:val="none"/>
        </w:rPr>
        <w:t>）</w:t>
      </w:r>
      <w:r>
        <w:rPr>
          <w:snapToGrid w:val="0"/>
          <w:color w:val="auto"/>
          <w:kern w:val="0"/>
          <w:sz w:val="24"/>
          <w:highlight w:val="none"/>
        </w:rPr>
        <w:t>1</w:t>
      </w:r>
      <w:r>
        <w:rPr>
          <w:rFonts w:hint="eastAsia"/>
          <w:snapToGrid w:val="0"/>
          <w:color w:val="auto"/>
          <w:kern w:val="0"/>
          <w:sz w:val="24"/>
          <w:highlight w:val="none"/>
        </w:rPr>
        <w:t>≤</w:t>
      </w:r>
      <w:r>
        <w:rPr>
          <w:snapToGrid w:val="0"/>
          <w:color w:val="auto"/>
          <w:kern w:val="0"/>
          <w:sz w:val="24"/>
          <w:highlight w:val="none"/>
        </w:rPr>
        <w:t>Q</w:t>
      </w:r>
      <w:r>
        <w:rPr>
          <w:rFonts w:hint="eastAsia"/>
          <w:snapToGrid w:val="0"/>
          <w:color w:val="auto"/>
          <w:kern w:val="0"/>
          <w:sz w:val="24"/>
          <w:highlight w:val="none"/>
        </w:rPr>
        <w:t>＜</w:t>
      </w:r>
      <w:r>
        <w:rPr>
          <w:snapToGrid w:val="0"/>
          <w:color w:val="auto"/>
          <w:kern w:val="0"/>
          <w:sz w:val="24"/>
          <w:highlight w:val="none"/>
        </w:rPr>
        <w:t>10</w:t>
      </w:r>
      <w:r>
        <w:rPr>
          <w:rFonts w:hint="eastAsia"/>
          <w:snapToGrid w:val="0"/>
          <w:color w:val="auto"/>
          <w:kern w:val="0"/>
          <w:sz w:val="24"/>
          <w:highlight w:val="none"/>
        </w:rPr>
        <w:t>；（</w:t>
      </w:r>
      <w:r>
        <w:rPr>
          <w:snapToGrid w:val="0"/>
          <w:color w:val="auto"/>
          <w:kern w:val="0"/>
          <w:sz w:val="24"/>
          <w:highlight w:val="none"/>
        </w:rPr>
        <w:t>2</w:t>
      </w:r>
      <w:r>
        <w:rPr>
          <w:rFonts w:hint="eastAsia"/>
          <w:snapToGrid w:val="0"/>
          <w:color w:val="auto"/>
          <w:kern w:val="0"/>
          <w:sz w:val="24"/>
          <w:highlight w:val="none"/>
        </w:rPr>
        <w:t>）</w:t>
      </w:r>
      <w:r>
        <w:rPr>
          <w:snapToGrid w:val="0"/>
          <w:color w:val="auto"/>
          <w:kern w:val="0"/>
          <w:sz w:val="24"/>
          <w:highlight w:val="none"/>
        </w:rPr>
        <w:t>10</w:t>
      </w:r>
      <w:r>
        <w:rPr>
          <w:rFonts w:hint="eastAsia"/>
          <w:snapToGrid w:val="0"/>
          <w:color w:val="auto"/>
          <w:kern w:val="0"/>
          <w:sz w:val="24"/>
          <w:highlight w:val="none"/>
        </w:rPr>
        <w:t>≤</w:t>
      </w:r>
      <w:r>
        <w:rPr>
          <w:snapToGrid w:val="0"/>
          <w:color w:val="auto"/>
          <w:kern w:val="0"/>
          <w:sz w:val="24"/>
          <w:highlight w:val="none"/>
        </w:rPr>
        <w:t>Q</w:t>
      </w:r>
      <w:r>
        <w:rPr>
          <w:rFonts w:hint="eastAsia"/>
          <w:snapToGrid w:val="0"/>
          <w:color w:val="auto"/>
          <w:kern w:val="0"/>
          <w:sz w:val="24"/>
          <w:highlight w:val="none"/>
        </w:rPr>
        <w:t>＜</w:t>
      </w:r>
      <w:r>
        <w:rPr>
          <w:snapToGrid w:val="0"/>
          <w:color w:val="auto"/>
          <w:kern w:val="0"/>
          <w:sz w:val="24"/>
          <w:highlight w:val="none"/>
        </w:rPr>
        <w:t>100</w:t>
      </w:r>
      <w:r>
        <w:rPr>
          <w:rFonts w:hint="eastAsia"/>
          <w:snapToGrid w:val="0"/>
          <w:color w:val="auto"/>
          <w:kern w:val="0"/>
          <w:sz w:val="24"/>
          <w:highlight w:val="none"/>
        </w:rPr>
        <w:t>；（</w:t>
      </w:r>
      <w:r>
        <w:rPr>
          <w:snapToGrid w:val="0"/>
          <w:color w:val="auto"/>
          <w:kern w:val="0"/>
          <w:sz w:val="24"/>
          <w:highlight w:val="none"/>
        </w:rPr>
        <w:t>3</w:t>
      </w:r>
      <w:r>
        <w:rPr>
          <w:rFonts w:hint="eastAsia"/>
          <w:snapToGrid w:val="0"/>
          <w:color w:val="auto"/>
          <w:kern w:val="0"/>
          <w:sz w:val="24"/>
          <w:highlight w:val="none"/>
        </w:rPr>
        <w:t>）</w:t>
      </w:r>
      <w:r>
        <w:rPr>
          <w:snapToGrid w:val="0"/>
          <w:color w:val="auto"/>
          <w:kern w:val="0"/>
          <w:sz w:val="24"/>
          <w:highlight w:val="none"/>
        </w:rPr>
        <w:t>Q</w:t>
      </w:r>
      <w:r>
        <w:rPr>
          <w:rFonts w:hint="eastAsia"/>
          <w:snapToGrid w:val="0"/>
          <w:color w:val="auto"/>
          <w:kern w:val="0"/>
          <w:sz w:val="24"/>
          <w:highlight w:val="none"/>
        </w:rPr>
        <w:t>≥</w:t>
      </w:r>
      <w:r>
        <w:rPr>
          <w:snapToGrid w:val="0"/>
          <w:color w:val="auto"/>
          <w:kern w:val="0"/>
          <w:sz w:val="24"/>
          <w:highlight w:val="none"/>
        </w:rPr>
        <w:t>100</w:t>
      </w:r>
      <w:r>
        <w:rPr>
          <w:rFonts w:hint="eastAsia"/>
          <w:snapToGrid w:val="0"/>
          <w:color w:val="auto"/>
          <w:kern w:val="0"/>
          <w:sz w:val="24"/>
          <w:highlight w:val="none"/>
        </w:rPr>
        <w:t>。</w:t>
      </w:r>
    </w:p>
    <w:p w14:paraId="0628214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w:t>
      </w:r>
      <w:r>
        <w:rPr>
          <w:rFonts w:hint="eastAsia"/>
          <w:snapToGrid w:val="0"/>
          <w:color w:val="auto"/>
          <w:kern w:val="0"/>
          <w:sz w:val="24"/>
          <w:highlight w:val="none"/>
        </w:rPr>
        <w:t>《建设项目环境风险评价技术导则》（HJ169-2018），本项目涉及的风险物质主要包括硫酸</w:t>
      </w:r>
      <w:r>
        <w:rPr>
          <w:rFonts w:hint="eastAsia"/>
          <w:color w:val="auto"/>
          <w:kern w:val="0"/>
          <w:sz w:val="24"/>
          <w:highlight w:val="none"/>
        </w:rPr>
        <w:t>、生产废水、</w:t>
      </w:r>
      <w:r>
        <w:rPr>
          <w:rFonts w:hint="eastAsia"/>
          <w:color w:val="auto"/>
          <w:kern w:val="0"/>
          <w:sz w:val="24"/>
          <w:highlight w:val="none"/>
          <w:lang w:eastAsia="zh-CN"/>
        </w:rPr>
        <w:t>废矿物油</w:t>
      </w:r>
      <w:r>
        <w:rPr>
          <w:rFonts w:hint="eastAsia"/>
          <w:snapToGrid w:val="0"/>
          <w:color w:val="auto"/>
          <w:kern w:val="0"/>
          <w:sz w:val="24"/>
          <w:highlight w:val="none"/>
        </w:rPr>
        <w:t>等。本项目危险物质存在量与临界量比值见表6.3-4。</w:t>
      </w:r>
    </w:p>
    <w:p w14:paraId="13C73D53">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6.3-4 本项目危险物质存在量与临界量比值一览表</w:t>
      </w:r>
    </w:p>
    <w:tbl>
      <w:tblPr>
        <w:tblStyle w:val="56"/>
        <w:tblW w:w="50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01"/>
        <w:gridCol w:w="1136"/>
        <w:gridCol w:w="2140"/>
        <w:gridCol w:w="1489"/>
        <w:gridCol w:w="919"/>
        <w:gridCol w:w="788"/>
        <w:gridCol w:w="606"/>
      </w:tblGrid>
      <w:tr w14:paraId="0E6A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725" w:type="pct"/>
            <w:vAlign w:val="center"/>
          </w:tcPr>
          <w:p w14:paraId="22C45814">
            <w:pPr>
              <w:adjustRightInd w:val="0"/>
              <w:snapToGrid w:val="0"/>
              <w:jc w:val="center"/>
              <w:rPr>
                <w:snapToGrid w:val="0"/>
                <w:color w:val="auto"/>
                <w:kern w:val="0"/>
                <w:szCs w:val="21"/>
                <w:highlight w:val="none"/>
              </w:rPr>
            </w:pPr>
            <w:r>
              <w:rPr>
                <w:rFonts w:hint="eastAsia"/>
                <w:snapToGrid w:val="0"/>
                <w:color w:val="auto"/>
                <w:kern w:val="0"/>
                <w:szCs w:val="21"/>
                <w:highlight w:val="none"/>
              </w:rPr>
              <w:t>物质名称</w:t>
            </w:r>
          </w:p>
        </w:tc>
        <w:tc>
          <w:tcPr>
            <w:tcW w:w="686" w:type="pct"/>
            <w:vAlign w:val="center"/>
          </w:tcPr>
          <w:p w14:paraId="497FC852">
            <w:pPr>
              <w:adjustRightInd w:val="0"/>
              <w:snapToGrid w:val="0"/>
              <w:jc w:val="center"/>
              <w:rPr>
                <w:snapToGrid w:val="0"/>
                <w:color w:val="auto"/>
                <w:kern w:val="0"/>
                <w:szCs w:val="21"/>
                <w:highlight w:val="none"/>
              </w:rPr>
            </w:pPr>
            <w:r>
              <w:rPr>
                <w:snapToGrid w:val="0"/>
                <w:color w:val="auto"/>
                <w:kern w:val="0"/>
                <w:szCs w:val="21"/>
                <w:highlight w:val="none"/>
              </w:rPr>
              <w:t>CAS号</w:t>
            </w:r>
          </w:p>
        </w:tc>
        <w:tc>
          <w:tcPr>
            <w:tcW w:w="1292" w:type="pct"/>
            <w:vAlign w:val="center"/>
          </w:tcPr>
          <w:p w14:paraId="038B3B1A">
            <w:pPr>
              <w:adjustRightInd w:val="0"/>
              <w:snapToGrid w:val="0"/>
              <w:jc w:val="center"/>
              <w:rPr>
                <w:snapToGrid w:val="0"/>
                <w:color w:val="auto"/>
                <w:kern w:val="0"/>
                <w:szCs w:val="21"/>
                <w:highlight w:val="none"/>
              </w:rPr>
            </w:pPr>
            <w:r>
              <w:rPr>
                <w:rFonts w:hint="eastAsia"/>
                <w:snapToGrid w:val="0"/>
                <w:color w:val="auto"/>
                <w:kern w:val="0"/>
                <w:szCs w:val="21"/>
                <w:highlight w:val="none"/>
              </w:rPr>
              <w:t>最大存在量q</w:t>
            </w:r>
            <w:r>
              <w:rPr>
                <w:rFonts w:hint="eastAsia"/>
                <w:snapToGrid w:val="0"/>
                <w:color w:val="auto"/>
                <w:kern w:val="0"/>
                <w:szCs w:val="21"/>
                <w:highlight w:val="none"/>
                <w:vertAlign w:val="subscript"/>
              </w:rPr>
              <w:t>n</w:t>
            </w:r>
            <w:r>
              <w:rPr>
                <w:rFonts w:hint="eastAsia"/>
                <w:snapToGrid w:val="0"/>
                <w:color w:val="auto"/>
                <w:kern w:val="0"/>
                <w:szCs w:val="21"/>
                <w:highlight w:val="none"/>
              </w:rPr>
              <w:t>（</w:t>
            </w:r>
            <w:r>
              <w:rPr>
                <w:snapToGrid w:val="0"/>
                <w:color w:val="auto"/>
                <w:kern w:val="0"/>
                <w:szCs w:val="21"/>
                <w:highlight w:val="none"/>
              </w:rPr>
              <w:t>t</w:t>
            </w:r>
            <w:r>
              <w:rPr>
                <w:rFonts w:hint="eastAsia"/>
                <w:snapToGrid w:val="0"/>
                <w:color w:val="auto"/>
                <w:kern w:val="0"/>
                <w:szCs w:val="21"/>
                <w:highlight w:val="none"/>
              </w:rPr>
              <w:t>）</w:t>
            </w:r>
          </w:p>
        </w:tc>
        <w:tc>
          <w:tcPr>
            <w:tcW w:w="899" w:type="pct"/>
            <w:vAlign w:val="center"/>
          </w:tcPr>
          <w:p w14:paraId="1B1E0350">
            <w:pPr>
              <w:adjustRightInd w:val="0"/>
              <w:snapToGrid w:val="0"/>
              <w:jc w:val="center"/>
              <w:rPr>
                <w:snapToGrid w:val="0"/>
                <w:color w:val="auto"/>
                <w:kern w:val="0"/>
                <w:szCs w:val="21"/>
                <w:highlight w:val="none"/>
              </w:rPr>
            </w:pPr>
            <w:r>
              <w:rPr>
                <w:rFonts w:hint="eastAsia"/>
                <w:snapToGrid w:val="0"/>
                <w:color w:val="auto"/>
                <w:kern w:val="0"/>
                <w:szCs w:val="21"/>
                <w:highlight w:val="none"/>
              </w:rPr>
              <w:t>临界量Q</w:t>
            </w:r>
            <w:r>
              <w:rPr>
                <w:rFonts w:hint="eastAsia"/>
                <w:snapToGrid w:val="0"/>
                <w:color w:val="auto"/>
                <w:kern w:val="0"/>
                <w:szCs w:val="21"/>
                <w:highlight w:val="none"/>
                <w:vertAlign w:val="subscript"/>
              </w:rPr>
              <w:t>n</w:t>
            </w:r>
            <w:r>
              <w:rPr>
                <w:rFonts w:hint="eastAsia"/>
                <w:snapToGrid w:val="0"/>
                <w:color w:val="auto"/>
                <w:kern w:val="0"/>
                <w:szCs w:val="21"/>
                <w:highlight w:val="none"/>
              </w:rPr>
              <w:t>（</w:t>
            </w:r>
            <w:r>
              <w:rPr>
                <w:snapToGrid w:val="0"/>
                <w:color w:val="auto"/>
                <w:kern w:val="0"/>
                <w:szCs w:val="21"/>
                <w:highlight w:val="none"/>
              </w:rPr>
              <w:t>t</w:t>
            </w:r>
            <w:r>
              <w:rPr>
                <w:rFonts w:hint="eastAsia"/>
                <w:snapToGrid w:val="0"/>
                <w:color w:val="auto"/>
                <w:kern w:val="0"/>
                <w:szCs w:val="21"/>
                <w:highlight w:val="none"/>
              </w:rPr>
              <w:t>）</w:t>
            </w:r>
          </w:p>
        </w:tc>
        <w:tc>
          <w:tcPr>
            <w:tcW w:w="555" w:type="pct"/>
            <w:vAlign w:val="center"/>
          </w:tcPr>
          <w:p w14:paraId="6DA6D6FD">
            <w:pPr>
              <w:adjustRightInd w:val="0"/>
              <w:snapToGrid w:val="0"/>
              <w:jc w:val="center"/>
              <w:rPr>
                <w:snapToGrid w:val="0"/>
                <w:color w:val="auto"/>
                <w:kern w:val="0"/>
                <w:szCs w:val="21"/>
                <w:highlight w:val="none"/>
              </w:rPr>
            </w:pPr>
            <w:r>
              <w:rPr>
                <w:rFonts w:hint="eastAsia"/>
                <w:snapToGrid w:val="0"/>
                <w:color w:val="auto"/>
                <w:kern w:val="0"/>
                <w:szCs w:val="21"/>
                <w:highlight w:val="none"/>
              </w:rPr>
              <w:t>临界比</w:t>
            </w:r>
          </w:p>
        </w:tc>
        <w:tc>
          <w:tcPr>
            <w:tcW w:w="476" w:type="pct"/>
            <w:vAlign w:val="center"/>
          </w:tcPr>
          <w:p w14:paraId="29F0DB19">
            <w:pPr>
              <w:adjustRightInd w:val="0"/>
              <w:snapToGrid w:val="0"/>
              <w:jc w:val="center"/>
              <w:rPr>
                <w:snapToGrid w:val="0"/>
                <w:color w:val="auto"/>
                <w:kern w:val="0"/>
                <w:szCs w:val="21"/>
                <w:highlight w:val="none"/>
              </w:rPr>
            </w:pPr>
            <w:r>
              <w:rPr>
                <w:rFonts w:hint="eastAsia"/>
                <w:snapToGrid w:val="0"/>
                <w:color w:val="auto"/>
                <w:kern w:val="0"/>
                <w:szCs w:val="21"/>
                <w:highlight w:val="none"/>
              </w:rPr>
              <w:t>Q值</w:t>
            </w:r>
          </w:p>
        </w:tc>
        <w:tc>
          <w:tcPr>
            <w:tcW w:w="365" w:type="pct"/>
            <w:vAlign w:val="center"/>
          </w:tcPr>
          <w:p w14:paraId="69CD5AD5">
            <w:pPr>
              <w:adjustRightInd w:val="0"/>
              <w:snapToGrid w:val="0"/>
              <w:jc w:val="center"/>
              <w:rPr>
                <w:snapToGrid w:val="0"/>
                <w:color w:val="auto"/>
                <w:kern w:val="0"/>
                <w:szCs w:val="21"/>
                <w:highlight w:val="none"/>
              </w:rPr>
            </w:pPr>
            <w:r>
              <w:rPr>
                <w:rFonts w:hint="eastAsia"/>
                <w:snapToGrid w:val="0"/>
                <w:color w:val="auto"/>
                <w:kern w:val="0"/>
                <w:szCs w:val="21"/>
                <w:highlight w:val="none"/>
              </w:rPr>
              <w:t>类别</w:t>
            </w:r>
          </w:p>
        </w:tc>
      </w:tr>
      <w:tr w14:paraId="2EEA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725" w:type="pct"/>
            <w:vAlign w:val="center"/>
          </w:tcPr>
          <w:p w14:paraId="6E32AC60">
            <w:pPr>
              <w:adjustRightInd w:val="0"/>
              <w:snapToGrid w:val="0"/>
              <w:jc w:val="center"/>
              <w:rPr>
                <w:snapToGrid w:val="0"/>
                <w:color w:val="auto"/>
                <w:kern w:val="0"/>
                <w:szCs w:val="21"/>
                <w:highlight w:val="none"/>
              </w:rPr>
            </w:pPr>
            <w:r>
              <w:rPr>
                <w:rFonts w:hint="eastAsia"/>
                <w:snapToGrid w:val="0"/>
                <w:color w:val="auto"/>
                <w:kern w:val="0"/>
                <w:szCs w:val="21"/>
                <w:highlight w:val="none"/>
              </w:rPr>
              <w:t>硫酸</w:t>
            </w:r>
          </w:p>
        </w:tc>
        <w:tc>
          <w:tcPr>
            <w:tcW w:w="686" w:type="pct"/>
            <w:vAlign w:val="center"/>
          </w:tcPr>
          <w:p w14:paraId="5762FF95">
            <w:pPr>
              <w:adjustRightInd w:val="0"/>
              <w:snapToGrid w:val="0"/>
              <w:jc w:val="center"/>
              <w:rPr>
                <w:snapToGrid w:val="0"/>
                <w:color w:val="auto"/>
                <w:kern w:val="0"/>
                <w:szCs w:val="21"/>
                <w:highlight w:val="none"/>
              </w:rPr>
            </w:pPr>
            <w:r>
              <w:rPr>
                <w:rFonts w:hint="eastAsia"/>
                <w:snapToGrid w:val="0"/>
                <w:color w:val="auto"/>
                <w:kern w:val="0"/>
                <w:szCs w:val="21"/>
                <w:highlight w:val="none"/>
              </w:rPr>
              <w:t>7664-93-9</w:t>
            </w:r>
          </w:p>
        </w:tc>
        <w:tc>
          <w:tcPr>
            <w:tcW w:w="1292" w:type="pct"/>
            <w:vAlign w:val="center"/>
          </w:tcPr>
          <w:p w14:paraId="1BB3315B">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570.4</w:t>
            </w:r>
          </w:p>
        </w:tc>
        <w:tc>
          <w:tcPr>
            <w:tcW w:w="899" w:type="pct"/>
            <w:vAlign w:val="center"/>
          </w:tcPr>
          <w:p w14:paraId="5F337AE3">
            <w:pPr>
              <w:adjustRightInd w:val="0"/>
              <w:snapToGrid w:val="0"/>
              <w:jc w:val="center"/>
              <w:rPr>
                <w:snapToGrid w:val="0"/>
                <w:color w:val="auto"/>
                <w:kern w:val="0"/>
                <w:szCs w:val="21"/>
                <w:highlight w:val="none"/>
              </w:rPr>
            </w:pPr>
            <w:r>
              <w:rPr>
                <w:rFonts w:hint="eastAsia"/>
                <w:snapToGrid w:val="0"/>
                <w:color w:val="auto"/>
                <w:kern w:val="0"/>
                <w:szCs w:val="21"/>
                <w:highlight w:val="none"/>
              </w:rPr>
              <w:t>10</w:t>
            </w:r>
          </w:p>
        </w:tc>
        <w:tc>
          <w:tcPr>
            <w:tcW w:w="555" w:type="pct"/>
            <w:vAlign w:val="center"/>
          </w:tcPr>
          <w:p w14:paraId="286D56DC">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57.04</w:t>
            </w:r>
          </w:p>
        </w:tc>
        <w:tc>
          <w:tcPr>
            <w:tcW w:w="476" w:type="pct"/>
            <w:vMerge w:val="restart"/>
            <w:vAlign w:val="center"/>
          </w:tcPr>
          <w:p w14:paraId="69B2A1D8">
            <w:pPr>
              <w:adjustRightInd w:val="0"/>
              <w:snapToGrid w:val="0"/>
              <w:jc w:val="center"/>
              <w:rPr>
                <w:rFonts w:hint="default"/>
                <w:snapToGrid w:val="0"/>
                <w:color w:val="auto"/>
                <w:kern w:val="0"/>
                <w:szCs w:val="21"/>
                <w:highlight w:val="none"/>
                <w:lang w:val="en-US"/>
              </w:rPr>
            </w:pPr>
            <w:r>
              <w:rPr>
                <w:rFonts w:hint="eastAsia"/>
                <w:snapToGrid w:val="0"/>
                <w:color w:val="auto"/>
                <w:kern w:val="0"/>
                <w:szCs w:val="21"/>
                <w:highlight w:val="none"/>
                <w:lang w:val="en-US" w:eastAsia="zh-CN"/>
              </w:rPr>
              <w:t>281.385</w:t>
            </w:r>
          </w:p>
        </w:tc>
        <w:tc>
          <w:tcPr>
            <w:tcW w:w="365" w:type="pct"/>
            <w:vMerge w:val="restart"/>
            <w:vAlign w:val="center"/>
          </w:tcPr>
          <w:p w14:paraId="737B0E0D">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Q</w:t>
            </w:r>
            <w:r>
              <w:rPr>
                <w:rFonts w:hint="eastAsia"/>
                <w:snapToGrid w:val="0"/>
                <w:color w:val="auto"/>
                <w:kern w:val="0"/>
                <w:szCs w:val="21"/>
                <w:highlight w:val="none"/>
                <w:lang w:val="en-US" w:eastAsia="zh-CN"/>
              </w:rPr>
              <w:t>2</w:t>
            </w:r>
          </w:p>
        </w:tc>
      </w:tr>
      <w:tr w14:paraId="7A15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725" w:type="pct"/>
            <w:vAlign w:val="center"/>
          </w:tcPr>
          <w:p w14:paraId="55BB5D9E">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硫酸铵</w:t>
            </w:r>
          </w:p>
        </w:tc>
        <w:tc>
          <w:tcPr>
            <w:tcW w:w="686" w:type="pct"/>
            <w:vAlign w:val="center"/>
          </w:tcPr>
          <w:p w14:paraId="2F8E6889">
            <w:pPr>
              <w:adjustRightInd w:val="0"/>
              <w:snapToGrid w:val="0"/>
              <w:jc w:val="center"/>
              <w:rPr>
                <w:rFonts w:hint="eastAsia"/>
                <w:snapToGrid w:val="0"/>
                <w:color w:val="auto"/>
                <w:kern w:val="0"/>
                <w:szCs w:val="21"/>
                <w:highlight w:val="none"/>
              </w:rPr>
            </w:pPr>
            <w:r>
              <w:rPr>
                <w:rFonts w:hint="eastAsia"/>
                <w:snapToGrid w:val="0"/>
                <w:color w:val="auto"/>
                <w:kern w:val="0"/>
                <w:szCs w:val="21"/>
                <w:highlight w:val="none"/>
                <w:lang w:val="en-US" w:eastAsia="zh-CN"/>
              </w:rPr>
              <w:t>7783-20-2</w:t>
            </w:r>
          </w:p>
        </w:tc>
        <w:tc>
          <w:tcPr>
            <w:tcW w:w="1292" w:type="pct"/>
            <w:vAlign w:val="center"/>
          </w:tcPr>
          <w:p w14:paraId="083C1034">
            <w:pPr>
              <w:adjustRightInd w:val="0"/>
              <w:snapToGrid w:val="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2000</w:t>
            </w:r>
          </w:p>
        </w:tc>
        <w:tc>
          <w:tcPr>
            <w:tcW w:w="899" w:type="pct"/>
            <w:vAlign w:val="center"/>
          </w:tcPr>
          <w:p w14:paraId="05233AE0">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10</w:t>
            </w:r>
          </w:p>
        </w:tc>
        <w:tc>
          <w:tcPr>
            <w:tcW w:w="555" w:type="pct"/>
            <w:vAlign w:val="center"/>
          </w:tcPr>
          <w:p w14:paraId="3C4BF014">
            <w:pPr>
              <w:adjustRightInd w:val="0"/>
              <w:snapToGrid w:val="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200</w:t>
            </w:r>
          </w:p>
        </w:tc>
        <w:tc>
          <w:tcPr>
            <w:tcW w:w="476" w:type="pct"/>
            <w:vMerge w:val="continue"/>
            <w:vAlign w:val="center"/>
          </w:tcPr>
          <w:p w14:paraId="2A4CD8EE">
            <w:pPr>
              <w:adjustRightInd w:val="0"/>
              <w:snapToGrid w:val="0"/>
              <w:jc w:val="center"/>
              <w:rPr>
                <w:rFonts w:hint="eastAsia"/>
                <w:snapToGrid w:val="0"/>
                <w:color w:val="auto"/>
                <w:kern w:val="0"/>
                <w:szCs w:val="21"/>
                <w:highlight w:val="none"/>
                <w:lang w:val="en-US" w:eastAsia="zh-CN"/>
              </w:rPr>
            </w:pPr>
          </w:p>
        </w:tc>
        <w:tc>
          <w:tcPr>
            <w:tcW w:w="365" w:type="pct"/>
            <w:vMerge w:val="continue"/>
            <w:vAlign w:val="center"/>
          </w:tcPr>
          <w:p w14:paraId="603617B5">
            <w:pPr>
              <w:adjustRightInd w:val="0"/>
              <w:snapToGrid w:val="0"/>
              <w:jc w:val="center"/>
              <w:rPr>
                <w:rFonts w:hint="eastAsia"/>
                <w:snapToGrid w:val="0"/>
                <w:color w:val="auto"/>
                <w:kern w:val="0"/>
                <w:szCs w:val="21"/>
                <w:highlight w:val="none"/>
              </w:rPr>
            </w:pPr>
          </w:p>
        </w:tc>
      </w:tr>
      <w:tr w14:paraId="5317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725" w:type="pct"/>
            <w:vAlign w:val="center"/>
          </w:tcPr>
          <w:p w14:paraId="04AB9F81">
            <w:pPr>
              <w:adjustRightInd w:val="0"/>
              <w:snapToGrid w:val="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烷烃</w:t>
            </w:r>
          </w:p>
        </w:tc>
        <w:tc>
          <w:tcPr>
            <w:tcW w:w="686" w:type="pct"/>
            <w:vAlign w:val="center"/>
          </w:tcPr>
          <w:p w14:paraId="2E8E51B6">
            <w:pPr>
              <w:adjustRightInd w:val="0"/>
              <w:snapToGrid w:val="0"/>
              <w:jc w:val="center"/>
              <w:rPr>
                <w:rFonts w:hint="eastAsia"/>
                <w:snapToGrid w:val="0"/>
                <w:color w:val="auto"/>
                <w:kern w:val="0"/>
                <w:szCs w:val="21"/>
                <w:highlight w:val="none"/>
              </w:rPr>
            </w:pPr>
            <w:r>
              <w:rPr>
                <w:rFonts w:hint="eastAsia"/>
                <w:snapToGrid w:val="0"/>
                <w:color w:val="auto"/>
                <w:kern w:val="0"/>
                <w:szCs w:val="21"/>
                <w:highlight w:val="none"/>
              </w:rPr>
              <w:t>/</w:t>
            </w:r>
          </w:p>
        </w:tc>
        <w:tc>
          <w:tcPr>
            <w:tcW w:w="1292" w:type="pct"/>
            <w:vAlign w:val="center"/>
          </w:tcPr>
          <w:p w14:paraId="4D73E5FB">
            <w:pPr>
              <w:adjustRightInd w:val="0"/>
              <w:snapToGrid w:val="0"/>
              <w:jc w:val="center"/>
              <w:rPr>
                <w:rFonts w:hint="eastAsia"/>
                <w:snapToGrid w:val="0"/>
                <w:color w:val="auto"/>
                <w:kern w:val="0"/>
                <w:szCs w:val="21"/>
                <w:highlight w:val="none"/>
              </w:rPr>
            </w:pPr>
            <w:r>
              <w:rPr>
                <w:rFonts w:hint="default" w:eastAsia="Times New Roman"/>
                <w:snapToGrid w:val="0"/>
                <w:color w:val="auto"/>
                <w:kern w:val="0"/>
                <w:highlight w:val="none"/>
              </w:rPr>
              <w:t>15858.36</w:t>
            </w:r>
          </w:p>
        </w:tc>
        <w:tc>
          <w:tcPr>
            <w:tcW w:w="899" w:type="pct"/>
            <w:vAlign w:val="center"/>
          </w:tcPr>
          <w:p w14:paraId="77E65DE0">
            <w:pPr>
              <w:adjustRightInd w:val="0"/>
              <w:snapToGrid w:val="0"/>
              <w:jc w:val="center"/>
              <w:rPr>
                <w:rFonts w:hint="eastAsia"/>
                <w:snapToGrid w:val="0"/>
                <w:color w:val="auto"/>
                <w:kern w:val="0"/>
                <w:szCs w:val="21"/>
                <w:highlight w:val="none"/>
              </w:rPr>
            </w:pPr>
            <w:r>
              <w:rPr>
                <w:rFonts w:hint="eastAsia"/>
                <w:snapToGrid w:val="0"/>
                <w:color w:val="auto"/>
                <w:kern w:val="0"/>
                <w:szCs w:val="21"/>
                <w:highlight w:val="none"/>
              </w:rPr>
              <w:t>2500</w:t>
            </w:r>
          </w:p>
        </w:tc>
        <w:tc>
          <w:tcPr>
            <w:tcW w:w="555" w:type="pct"/>
            <w:vAlign w:val="center"/>
          </w:tcPr>
          <w:p w14:paraId="277ECA3D">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6.343</w:t>
            </w:r>
          </w:p>
        </w:tc>
        <w:tc>
          <w:tcPr>
            <w:tcW w:w="476" w:type="pct"/>
            <w:vMerge w:val="continue"/>
            <w:vAlign w:val="center"/>
          </w:tcPr>
          <w:p w14:paraId="1135E36F">
            <w:pPr>
              <w:adjustRightInd w:val="0"/>
              <w:snapToGrid w:val="0"/>
              <w:jc w:val="center"/>
              <w:rPr>
                <w:rFonts w:hint="eastAsia"/>
                <w:snapToGrid w:val="0"/>
                <w:color w:val="auto"/>
                <w:kern w:val="0"/>
                <w:szCs w:val="21"/>
                <w:highlight w:val="none"/>
                <w:lang w:val="en-US" w:eastAsia="zh-CN"/>
              </w:rPr>
            </w:pPr>
          </w:p>
        </w:tc>
        <w:tc>
          <w:tcPr>
            <w:tcW w:w="365" w:type="pct"/>
            <w:vMerge w:val="continue"/>
            <w:vAlign w:val="center"/>
          </w:tcPr>
          <w:p w14:paraId="5E5AC5DC">
            <w:pPr>
              <w:adjustRightInd w:val="0"/>
              <w:snapToGrid w:val="0"/>
              <w:jc w:val="center"/>
              <w:rPr>
                <w:rFonts w:hint="eastAsia"/>
                <w:snapToGrid w:val="0"/>
                <w:color w:val="auto"/>
                <w:kern w:val="0"/>
                <w:szCs w:val="21"/>
                <w:highlight w:val="none"/>
              </w:rPr>
            </w:pPr>
          </w:p>
        </w:tc>
      </w:tr>
      <w:tr w14:paraId="7726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725" w:type="pct"/>
            <w:vAlign w:val="center"/>
          </w:tcPr>
          <w:p w14:paraId="1C5A67B6">
            <w:pPr>
              <w:adjustRightInd w:val="0"/>
              <w:snapToGrid w:val="0"/>
              <w:jc w:val="center"/>
              <w:rPr>
                <w:snapToGrid w:val="0"/>
                <w:color w:val="auto"/>
                <w:kern w:val="0"/>
                <w:szCs w:val="21"/>
                <w:highlight w:val="none"/>
              </w:rPr>
            </w:pPr>
            <w:r>
              <w:rPr>
                <w:rFonts w:hint="eastAsia"/>
                <w:snapToGrid w:val="0"/>
                <w:color w:val="auto"/>
                <w:kern w:val="0"/>
                <w:szCs w:val="21"/>
                <w:highlight w:val="none"/>
              </w:rPr>
              <w:t>生产废水（COD</w:t>
            </w:r>
            <w:r>
              <w:rPr>
                <w:rFonts w:hint="eastAsia"/>
                <w:snapToGrid w:val="0"/>
                <w:color w:val="auto"/>
                <w:kern w:val="0"/>
                <w:szCs w:val="21"/>
                <w:highlight w:val="none"/>
                <w:vertAlign w:val="subscript"/>
                <w:lang w:val="en-US" w:eastAsia="zh-CN"/>
              </w:rPr>
              <w:t>cr</w:t>
            </w:r>
            <w:r>
              <w:rPr>
                <w:rFonts w:hint="eastAsia"/>
                <w:snapToGrid w:val="0"/>
                <w:color w:val="auto"/>
                <w:kern w:val="0"/>
                <w:szCs w:val="21"/>
                <w:highlight w:val="none"/>
              </w:rPr>
              <w:t>浓度≥10000mg/L）</w:t>
            </w:r>
          </w:p>
        </w:tc>
        <w:tc>
          <w:tcPr>
            <w:tcW w:w="686" w:type="pct"/>
            <w:vAlign w:val="center"/>
          </w:tcPr>
          <w:p w14:paraId="18D3C2E2">
            <w:pPr>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1292" w:type="pct"/>
            <w:vAlign w:val="center"/>
          </w:tcPr>
          <w:p w14:paraId="060B336B">
            <w:pPr>
              <w:adjustRightInd w:val="0"/>
              <w:snapToGrid w:val="0"/>
              <w:jc w:val="center"/>
              <w:rPr>
                <w:rFonts w:hint="default"/>
                <w:snapToGrid w:val="0"/>
                <w:color w:val="auto"/>
                <w:kern w:val="0"/>
                <w:szCs w:val="21"/>
                <w:highlight w:val="none"/>
                <w:lang w:val="en-US"/>
              </w:rPr>
            </w:pPr>
            <w:r>
              <w:rPr>
                <w:rFonts w:hint="eastAsia"/>
                <w:snapToGrid w:val="0"/>
                <w:color w:val="auto"/>
                <w:kern w:val="0"/>
                <w:szCs w:val="21"/>
                <w:highlight w:val="none"/>
                <w:lang w:val="en-US" w:eastAsia="zh-CN"/>
              </w:rPr>
              <w:t>180</w:t>
            </w:r>
          </w:p>
        </w:tc>
        <w:tc>
          <w:tcPr>
            <w:tcW w:w="899" w:type="pct"/>
            <w:vAlign w:val="center"/>
          </w:tcPr>
          <w:p w14:paraId="511E2F9B">
            <w:pPr>
              <w:adjustRightInd w:val="0"/>
              <w:snapToGrid w:val="0"/>
              <w:jc w:val="center"/>
              <w:rPr>
                <w:snapToGrid w:val="0"/>
                <w:color w:val="auto"/>
                <w:kern w:val="0"/>
                <w:szCs w:val="21"/>
                <w:highlight w:val="none"/>
              </w:rPr>
            </w:pPr>
            <w:r>
              <w:rPr>
                <w:rFonts w:hint="eastAsia"/>
                <w:snapToGrid w:val="0"/>
                <w:color w:val="auto"/>
                <w:kern w:val="0"/>
                <w:szCs w:val="21"/>
                <w:highlight w:val="none"/>
              </w:rPr>
              <w:t>10</w:t>
            </w:r>
          </w:p>
        </w:tc>
        <w:tc>
          <w:tcPr>
            <w:tcW w:w="555" w:type="pct"/>
            <w:vAlign w:val="center"/>
          </w:tcPr>
          <w:p w14:paraId="617DECDB">
            <w:pPr>
              <w:adjustRightInd w:val="0"/>
              <w:snapToGrid w:val="0"/>
              <w:jc w:val="center"/>
              <w:rPr>
                <w:rFonts w:hint="default"/>
                <w:snapToGrid w:val="0"/>
                <w:color w:val="auto"/>
                <w:kern w:val="0"/>
                <w:szCs w:val="21"/>
                <w:highlight w:val="none"/>
                <w:lang w:val="en-US"/>
              </w:rPr>
            </w:pPr>
            <w:r>
              <w:rPr>
                <w:rFonts w:hint="eastAsia"/>
                <w:snapToGrid w:val="0"/>
                <w:color w:val="auto"/>
                <w:kern w:val="0"/>
                <w:szCs w:val="21"/>
                <w:highlight w:val="none"/>
                <w:lang w:val="en-US" w:eastAsia="zh-CN"/>
              </w:rPr>
              <w:t>18</w:t>
            </w:r>
          </w:p>
        </w:tc>
        <w:tc>
          <w:tcPr>
            <w:tcW w:w="476" w:type="pct"/>
            <w:vMerge w:val="continue"/>
            <w:vAlign w:val="center"/>
          </w:tcPr>
          <w:p w14:paraId="0171B236">
            <w:pPr>
              <w:adjustRightInd w:val="0"/>
              <w:snapToGrid w:val="0"/>
              <w:jc w:val="center"/>
              <w:rPr>
                <w:snapToGrid w:val="0"/>
                <w:color w:val="auto"/>
                <w:kern w:val="0"/>
                <w:szCs w:val="21"/>
                <w:highlight w:val="none"/>
              </w:rPr>
            </w:pPr>
          </w:p>
        </w:tc>
        <w:tc>
          <w:tcPr>
            <w:tcW w:w="365" w:type="pct"/>
            <w:vMerge w:val="continue"/>
            <w:vAlign w:val="center"/>
          </w:tcPr>
          <w:p w14:paraId="2880E127">
            <w:pPr>
              <w:adjustRightInd w:val="0"/>
              <w:snapToGrid w:val="0"/>
              <w:jc w:val="center"/>
              <w:rPr>
                <w:snapToGrid w:val="0"/>
                <w:color w:val="auto"/>
                <w:kern w:val="0"/>
                <w:szCs w:val="21"/>
                <w:highlight w:val="none"/>
              </w:rPr>
            </w:pPr>
          </w:p>
        </w:tc>
      </w:tr>
      <w:tr w14:paraId="0DFB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725" w:type="pct"/>
            <w:vAlign w:val="center"/>
          </w:tcPr>
          <w:p w14:paraId="683A88C9">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lang w:eastAsia="zh-CN"/>
              </w:rPr>
              <w:t>废矿物油</w:t>
            </w:r>
          </w:p>
        </w:tc>
        <w:tc>
          <w:tcPr>
            <w:tcW w:w="686" w:type="pct"/>
            <w:vAlign w:val="center"/>
          </w:tcPr>
          <w:p w14:paraId="74CEFCAC">
            <w:pPr>
              <w:adjustRightInd w:val="0"/>
              <w:snapToGrid w:val="0"/>
              <w:jc w:val="center"/>
              <w:rPr>
                <w:snapToGrid w:val="0"/>
                <w:color w:val="auto"/>
                <w:kern w:val="0"/>
                <w:szCs w:val="21"/>
                <w:highlight w:val="none"/>
              </w:rPr>
            </w:pPr>
            <w:r>
              <w:rPr>
                <w:rFonts w:hint="eastAsia"/>
                <w:snapToGrid w:val="0"/>
                <w:color w:val="auto"/>
                <w:kern w:val="0"/>
                <w:szCs w:val="21"/>
                <w:highlight w:val="none"/>
              </w:rPr>
              <w:t>/</w:t>
            </w:r>
          </w:p>
        </w:tc>
        <w:tc>
          <w:tcPr>
            <w:tcW w:w="1292" w:type="pct"/>
            <w:vAlign w:val="center"/>
          </w:tcPr>
          <w:p w14:paraId="4282A163">
            <w:pPr>
              <w:adjustRightInd w:val="0"/>
              <w:snapToGrid w:val="0"/>
              <w:jc w:val="center"/>
              <w:rPr>
                <w:snapToGrid w:val="0"/>
                <w:color w:val="auto"/>
                <w:kern w:val="0"/>
                <w:szCs w:val="21"/>
                <w:highlight w:val="none"/>
              </w:rPr>
            </w:pPr>
            <w:r>
              <w:rPr>
                <w:rFonts w:hint="eastAsia"/>
                <w:snapToGrid w:val="0"/>
                <w:color w:val="auto"/>
                <w:kern w:val="0"/>
                <w:szCs w:val="21"/>
                <w:highlight w:val="none"/>
              </w:rPr>
              <w:t>5</w:t>
            </w:r>
          </w:p>
        </w:tc>
        <w:tc>
          <w:tcPr>
            <w:tcW w:w="899" w:type="pct"/>
            <w:vAlign w:val="center"/>
          </w:tcPr>
          <w:p w14:paraId="0F09CA92">
            <w:pPr>
              <w:adjustRightInd w:val="0"/>
              <w:snapToGrid w:val="0"/>
              <w:jc w:val="center"/>
              <w:rPr>
                <w:snapToGrid w:val="0"/>
                <w:color w:val="auto"/>
                <w:kern w:val="0"/>
                <w:szCs w:val="21"/>
                <w:highlight w:val="none"/>
              </w:rPr>
            </w:pPr>
            <w:r>
              <w:rPr>
                <w:rFonts w:hint="eastAsia"/>
                <w:snapToGrid w:val="0"/>
                <w:color w:val="auto"/>
                <w:kern w:val="0"/>
                <w:szCs w:val="21"/>
                <w:highlight w:val="none"/>
              </w:rPr>
              <w:t>2500</w:t>
            </w:r>
          </w:p>
        </w:tc>
        <w:tc>
          <w:tcPr>
            <w:tcW w:w="555" w:type="pct"/>
            <w:vAlign w:val="center"/>
          </w:tcPr>
          <w:p w14:paraId="0D9D90DF">
            <w:pPr>
              <w:adjustRightInd w:val="0"/>
              <w:snapToGrid w:val="0"/>
              <w:jc w:val="center"/>
              <w:rPr>
                <w:rFonts w:hint="eastAsia" w:eastAsia="宋体"/>
                <w:snapToGrid w:val="0"/>
                <w:color w:val="auto"/>
                <w:kern w:val="0"/>
                <w:szCs w:val="21"/>
                <w:highlight w:val="none"/>
                <w:lang w:eastAsia="zh-CN"/>
              </w:rPr>
            </w:pPr>
            <w:r>
              <w:rPr>
                <w:rFonts w:hint="eastAsia"/>
                <w:snapToGrid w:val="0"/>
                <w:color w:val="auto"/>
                <w:kern w:val="0"/>
                <w:szCs w:val="21"/>
                <w:highlight w:val="none"/>
              </w:rPr>
              <w:t>0.00</w:t>
            </w:r>
            <w:r>
              <w:rPr>
                <w:rFonts w:hint="eastAsia"/>
                <w:snapToGrid w:val="0"/>
                <w:color w:val="auto"/>
                <w:kern w:val="0"/>
                <w:szCs w:val="21"/>
                <w:highlight w:val="none"/>
                <w:lang w:val="en-US" w:eastAsia="zh-CN"/>
              </w:rPr>
              <w:t>2</w:t>
            </w:r>
          </w:p>
        </w:tc>
        <w:tc>
          <w:tcPr>
            <w:tcW w:w="476" w:type="pct"/>
            <w:vMerge w:val="continue"/>
            <w:vAlign w:val="center"/>
          </w:tcPr>
          <w:p w14:paraId="26E95976">
            <w:pPr>
              <w:adjustRightInd w:val="0"/>
              <w:snapToGrid w:val="0"/>
              <w:jc w:val="center"/>
              <w:rPr>
                <w:snapToGrid w:val="0"/>
                <w:color w:val="auto"/>
                <w:kern w:val="0"/>
                <w:szCs w:val="21"/>
                <w:highlight w:val="none"/>
              </w:rPr>
            </w:pPr>
          </w:p>
        </w:tc>
        <w:tc>
          <w:tcPr>
            <w:tcW w:w="365" w:type="pct"/>
            <w:vMerge w:val="continue"/>
            <w:vAlign w:val="center"/>
          </w:tcPr>
          <w:p w14:paraId="12A9B443">
            <w:pPr>
              <w:adjustRightInd w:val="0"/>
              <w:snapToGrid w:val="0"/>
              <w:jc w:val="center"/>
              <w:rPr>
                <w:snapToGrid w:val="0"/>
                <w:color w:val="auto"/>
                <w:kern w:val="0"/>
                <w:szCs w:val="21"/>
                <w:highlight w:val="none"/>
              </w:rPr>
            </w:pPr>
          </w:p>
        </w:tc>
      </w:tr>
    </w:tbl>
    <w:p w14:paraId="3E32F9DD">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color w:val="auto"/>
          <w:kern w:val="0"/>
          <w:sz w:val="24"/>
          <w:highlight w:val="none"/>
        </w:rPr>
      </w:pPr>
      <w:r>
        <w:rPr>
          <w:rFonts w:hint="eastAsia"/>
          <w:color w:val="auto"/>
          <w:kern w:val="0"/>
          <w:sz w:val="24"/>
          <w:highlight w:val="none"/>
        </w:rPr>
        <w:t>根据上表结果，本项目危险物质存在量与临界量比值</w:t>
      </w:r>
      <w:r>
        <w:rPr>
          <w:snapToGrid w:val="0"/>
          <w:color w:val="auto"/>
          <w:kern w:val="0"/>
          <w:sz w:val="24"/>
          <w:highlight w:val="none"/>
        </w:rPr>
        <w:t>Q</w:t>
      </w:r>
      <w:r>
        <w:rPr>
          <w:rFonts w:hint="eastAsia"/>
          <w:color w:val="auto"/>
          <w:kern w:val="0"/>
          <w:sz w:val="24"/>
          <w:highlight w:val="none"/>
        </w:rPr>
        <w:t>=</w:t>
      </w:r>
      <w:r>
        <w:rPr>
          <w:rFonts w:hint="eastAsia"/>
          <w:color w:val="auto"/>
          <w:kern w:val="0"/>
          <w:sz w:val="24"/>
          <w:highlight w:val="none"/>
          <w:lang w:val="en-US" w:eastAsia="zh-CN"/>
        </w:rPr>
        <w:t>2</w:t>
      </w:r>
      <w:r>
        <w:rPr>
          <w:rFonts w:hint="eastAsia"/>
          <w:color w:val="auto"/>
          <w:kern w:val="0"/>
          <w:sz w:val="24"/>
          <w:highlight w:val="none"/>
          <w:lang w:eastAsia="zh-CN"/>
        </w:rPr>
        <w:t>81.385</w:t>
      </w:r>
      <w:r>
        <w:rPr>
          <w:rFonts w:hint="eastAsia"/>
          <w:color w:val="auto"/>
          <w:kern w:val="0"/>
          <w:sz w:val="24"/>
          <w:highlight w:val="none"/>
        </w:rPr>
        <w:t>。</w:t>
      </w:r>
    </w:p>
    <w:p w14:paraId="72D497D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6.3.3.2行业及生产工艺（M值确定）</w:t>
      </w:r>
    </w:p>
    <w:p w14:paraId="21ED3B1C">
      <w:pPr>
        <w:adjustRightInd w:val="0"/>
        <w:snapToGrid w:val="0"/>
        <w:spacing w:line="360" w:lineRule="auto"/>
        <w:ind w:firstLine="480" w:firstLineChars="200"/>
        <w:rPr>
          <w:color w:val="auto"/>
          <w:kern w:val="0"/>
          <w:sz w:val="24"/>
          <w:highlight w:val="none"/>
        </w:rPr>
      </w:pPr>
      <w:r>
        <w:rPr>
          <w:color w:val="auto"/>
          <w:kern w:val="0"/>
          <w:sz w:val="24"/>
          <w:highlight w:val="none"/>
        </w:rPr>
        <w:t>分析项目所属行业及生产工艺特点，按照表</w:t>
      </w:r>
      <w:r>
        <w:rPr>
          <w:rFonts w:hint="eastAsia"/>
          <w:color w:val="auto"/>
          <w:kern w:val="0"/>
          <w:sz w:val="24"/>
          <w:highlight w:val="none"/>
        </w:rPr>
        <w:t>6.3-5</w:t>
      </w:r>
      <w:r>
        <w:rPr>
          <w:color w:val="auto"/>
          <w:kern w:val="0"/>
          <w:sz w:val="24"/>
          <w:highlight w:val="none"/>
        </w:rPr>
        <w:t>评估生产工艺情况。具有多套工艺单元的项目，对每套生产工艺分别评分并求和。将M划分为①M</w:t>
      </w:r>
      <w:r>
        <w:rPr>
          <w:rFonts w:hint="eastAsia"/>
          <w:color w:val="auto"/>
          <w:kern w:val="0"/>
          <w:sz w:val="24"/>
          <w:highlight w:val="none"/>
        </w:rPr>
        <w:t>＞20；②10＜M≤20；③5＜M≤10；④M=5，分别以M1、M2、M3和M4表示。</w:t>
      </w:r>
    </w:p>
    <w:p w14:paraId="3A94B79F">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6.3-5 行业及生产工艺评分表</w:t>
      </w:r>
    </w:p>
    <w:tbl>
      <w:tblPr>
        <w:tblStyle w:val="5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5115"/>
        <w:gridCol w:w="1307"/>
        <w:gridCol w:w="966"/>
      </w:tblGrid>
      <w:tr w14:paraId="3E3ED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8" w:type="dxa"/>
            <w:tcBorders>
              <w:top w:val="single" w:color="auto" w:sz="4" w:space="0"/>
              <w:left w:val="single" w:color="auto" w:sz="4" w:space="0"/>
              <w:tl2br w:val="nil"/>
              <w:tr2bl w:val="nil"/>
            </w:tcBorders>
            <w:shd w:val="clear" w:color="auto" w:fill="auto"/>
            <w:vAlign w:val="center"/>
          </w:tcPr>
          <w:p w14:paraId="5AEC1430">
            <w:pPr>
              <w:pStyle w:val="472"/>
              <w:snapToGrid w:val="0"/>
              <w:spacing w:line="240" w:lineRule="auto"/>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行业</w:t>
            </w:r>
          </w:p>
        </w:tc>
        <w:tc>
          <w:tcPr>
            <w:tcW w:w="5175" w:type="dxa"/>
            <w:tcBorders>
              <w:top w:val="single" w:color="auto" w:sz="4" w:space="0"/>
              <w:tl2br w:val="nil"/>
              <w:tr2bl w:val="nil"/>
            </w:tcBorders>
            <w:shd w:val="clear" w:color="auto" w:fill="auto"/>
            <w:vAlign w:val="center"/>
          </w:tcPr>
          <w:p w14:paraId="60ABF021">
            <w:pPr>
              <w:adjustRightInd w:val="0"/>
              <w:snapToGrid w:val="0"/>
              <w:jc w:val="center"/>
              <w:rPr>
                <w:snapToGrid w:val="0"/>
                <w:color w:val="auto"/>
                <w:kern w:val="0"/>
                <w:szCs w:val="21"/>
                <w:highlight w:val="none"/>
              </w:rPr>
            </w:pPr>
            <w:r>
              <w:rPr>
                <w:snapToGrid w:val="0"/>
                <w:color w:val="auto"/>
                <w:kern w:val="0"/>
                <w:szCs w:val="21"/>
                <w:highlight w:val="none"/>
              </w:rPr>
              <w:t>评估依据</w:t>
            </w:r>
          </w:p>
        </w:tc>
        <w:tc>
          <w:tcPr>
            <w:tcW w:w="1320" w:type="dxa"/>
            <w:tcBorders>
              <w:top w:val="single" w:color="auto" w:sz="4" w:space="0"/>
              <w:tl2br w:val="nil"/>
              <w:tr2bl w:val="nil"/>
            </w:tcBorders>
            <w:shd w:val="clear" w:color="auto" w:fill="auto"/>
            <w:vAlign w:val="center"/>
          </w:tcPr>
          <w:p w14:paraId="1EBBFA05">
            <w:pPr>
              <w:adjustRightInd w:val="0"/>
              <w:snapToGrid w:val="0"/>
              <w:jc w:val="center"/>
              <w:rPr>
                <w:snapToGrid w:val="0"/>
                <w:color w:val="auto"/>
                <w:kern w:val="0"/>
                <w:szCs w:val="21"/>
                <w:highlight w:val="none"/>
              </w:rPr>
            </w:pPr>
            <w:r>
              <w:rPr>
                <w:snapToGrid w:val="0"/>
                <w:color w:val="auto"/>
                <w:kern w:val="0"/>
                <w:szCs w:val="21"/>
                <w:highlight w:val="none"/>
              </w:rPr>
              <w:t>分值</w:t>
            </w:r>
          </w:p>
        </w:tc>
        <w:tc>
          <w:tcPr>
            <w:tcW w:w="975" w:type="dxa"/>
            <w:tcBorders>
              <w:top w:val="single" w:color="auto" w:sz="4" w:space="0"/>
              <w:right w:val="single" w:color="auto" w:sz="4" w:space="0"/>
              <w:tl2br w:val="nil"/>
              <w:tr2bl w:val="nil"/>
            </w:tcBorders>
            <w:shd w:val="clear" w:color="auto" w:fill="auto"/>
            <w:vAlign w:val="center"/>
          </w:tcPr>
          <w:p w14:paraId="2A878EED">
            <w:pPr>
              <w:adjustRightInd w:val="0"/>
              <w:snapToGrid w:val="0"/>
              <w:jc w:val="center"/>
              <w:rPr>
                <w:snapToGrid w:val="0"/>
                <w:color w:val="auto"/>
                <w:kern w:val="0"/>
                <w:szCs w:val="21"/>
                <w:highlight w:val="none"/>
              </w:rPr>
            </w:pPr>
            <w:r>
              <w:rPr>
                <w:rFonts w:hint="eastAsia"/>
                <w:snapToGrid w:val="0"/>
                <w:color w:val="auto"/>
                <w:kern w:val="0"/>
                <w:szCs w:val="21"/>
                <w:highlight w:val="none"/>
              </w:rPr>
              <w:t>本项目</w:t>
            </w:r>
          </w:p>
        </w:tc>
      </w:tr>
      <w:tr w14:paraId="38299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8" w:type="dxa"/>
            <w:vMerge w:val="restart"/>
            <w:tcBorders>
              <w:left w:val="single" w:color="auto" w:sz="4" w:space="0"/>
              <w:tl2br w:val="nil"/>
              <w:tr2bl w:val="nil"/>
            </w:tcBorders>
            <w:shd w:val="clear" w:color="auto" w:fill="auto"/>
            <w:vAlign w:val="center"/>
          </w:tcPr>
          <w:p w14:paraId="1AD4079B">
            <w:pPr>
              <w:adjustRightInd w:val="0"/>
              <w:snapToGrid w:val="0"/>
              <w:jc w:val="center"/>
              <w:rPr>
                <w:snapToGrid w:val="0"/>
                <w:color w:val="auto"/>
                <w:kern w:val="0"/>
                <w:szCs w:val="21"/>
                <w:highlight w:val="none"/>
              </w:rPr>
            </w:pPr>
            <w:r>
              <w:rPr>
                <w:snapToGrid w:val="0"/>
                <w:color w:val="auto"/>
                <w:kern w:val="0"/>
                <w:szCs w:val="21"/>
                <w:highlight w:val="none"/>
              </w:rPr>
              <w:t>石化、化工、医药、轻工、化纤、有色冶炼等</w:t>
            </w:r>
          </w:p>
        </w:tc>
        <w:tc>
          <w:tcPr>
            <w:tcW w:w="5175" w:type="dxa"/>
            <w:tcBorders>
              <w:tl2br w:val="nil"/>
              <w:tr2bl w:val="nil"/>
            </w:tcBorders>
            <w:shd w:val="clear" w:color="auto" w:fill="auto"/>
            <w:vAlign w:val="center"/>
          </w:tcPr>
          <w:p w14:paraId="1584EF93">
            <w:pPr>
              <w:adjustRightInd w:val="0"/>
              <w:snapToGrid w:val="0"/>
              <w:rPr>
                <w:snapToGrid w:val="0"/>
                <w:color w:val="auto"/>
                <w:kern w:val="0"/>
                <w:szCs w:val="21"/>
                <w:highlight w:val="none"/>
              </w:rPr>
            </w:pPr>
            <w:r>
              <w:rPr>
                <w:snapToGrid w:val="0"/>
                <w:color w:val="auto"/>
                <w:kern w:val="0"/>
                <w:szCs w:val="21"/>
                <w:highlight w:val="none"/>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1320" w:type="dxa"/>
            <w:tcBorders>
              <w:tl2br w:val="nil"/>
              <w:tr2bl w:val="nil"/>
            </w:tcBorders>
            <w:shd w:val="clear" w:color="auto" w:fill="auto"/>
            <w:vAlign w:val="center"/>
          </w:tcPr>
          <w:p w14:paraId="30D2C40B">
            <w:pPr>
              <w:adjustRightInd w:val="0"/>
              <w:snapToGrid w:val="0"/>
              <w:jc w:val="center"/>
              <w:rPr>
                <w:snapToGrid w:val="0"/>
                <w:color w:val="auto"/>
                <w:kern w:val="0"/>
                <w:szCs w:val="21"/>
                <w:highlight w:val="none"/>
              </w:rPr>
            </w:pPr>
            <w:r>
              <w:rPr>
                <w:snapToGrid w:val="0"/>
                <w:color w:val="auto"/>
                <w:kern w:val="0"/>
                <w:szCs w:val="21"/>
                <w:highlight w:val="none"/>
              </w:rPr>
              <w:t>10/套</w:t>
            </w:r>
          </w:p>
        </w:tc>
        <w:tc>
          <w:tcPr>
            <w:tcW w:w="975" w:type="dxa"/>
            <w:tcBorders>
              <w:right w:val="single" w:color="auto" w:sz="4" w:space="0"/>
              <w:tl2br w:val="nil"/>
              <w:tr2bl w:val="nil"/>
            </w:tcBorders>
            <w:shd w:val="clear" w:color="auto" w:fill="auto"/>
            <w:vAlign w:val="center"/>
          </w:tcPr>
          <w:p w14:paraId="27B8ED41">
            <w:pPr>
              <w:adjustRightInd w:val="0"/>
              <w:snapToGrid w:val="0"/>
              <w:jc w:val="center"/>
              <w:rPr>
                <w:snapToGrid w:val="0"/>
                <w:color w:val="auto"/>
                <w:kern w:val="0"/>
                <w:szCs w:val="21"/>
                <w:highlight w:val="none"/>
              </w:rPr>
            </w:pPr>
            <w:r>
              <w:rPr>
                <w:rFonts w:hint="eastAsia"/>
                <w:snapToGrid w:val="0"/>
                <w:color w:val="auto"/>
                <w:kern w:val="0"/>
                <w:szCs w:val="21"/>
                <w:highlight w:val="none"/>
              </w:rPr>
              <w:t>0</w:t>
            </w:r>
          </w:p>
        </w:tc>
      </w:tr>
      <w:tr w14:paraId="18BCC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8" w:type="dxa"/>
            <w:vMerge w:val="continue"/>
            <w:tcBorders>
              <w:left w:val="single" w:color="auto" w:sz="4" w:space="0"/>
              <w:tl2br w:val="nil"/>
              <w:tr2bl w:val="nil"/>
            </w:tcBorders>
            <w:shd w:val="clear" w:color="auto" w:fill="auto"/>
            <w:vAlign w:val="center"/>
          </w:tcPr>
          <w:p w14:paraId="5CCD2509">
            <w:pPr>
              <w:adjustRightInd w:val="0"/>
              <w:snapToGrid w:val="0"/>
              <w:rPr>
                <w:snapToGrid w:val="0"/>
                <w:color w:val="auto"/>
                <w:kern w:val="0"/>
                <w:szCs w:val="21"/>
                <w:highlight w:val="none"/>
              </w:rPr>
            </w:pPr>
          </w:p>
        </w:tc>
        <w:tc>
          <w:tcPr>
            <w:tcW w:w="5175" w:type="dxa"/>
            <w:tcBorders>
              <w:tl2br w:val="nil"/>
              <w:tr2bl w:val="nil"/>
            </w:tcBorders>
            <w:shd w:val="clear" w:color="auto" w:fill="auto"/>
            <w:vAlign w:val="center"/>
          </w:tcPr>
          <w:p w14:paraId="7BED756D">
            <w:pPr>
              <w:adjustRightInd w:val="0"/>
              <w:snapToGrid w:val="0"/>
              <w:rPr>
                <w:snapToGrid w:val="0"/>
                <w:color w:val="auto"/>
                <w:kern w:val="0"/>
                <w:szCs w:val="21"/>
                <w:highlight w:val="none"/>
              </w:rPr>
            </w:pPr>
            <w:r>
              <w:rPr>
                <w:snapToGrid w:val="0"/>
                <w:color w:val="auto"/>
                <w:kern w:val="0"/>
                <w:szCs w:val="21"/>
                <w:highlight w:val="none"/>
              </w:rPr>
              <w:t>无机酸制酸工艺、焦化工艺</w:t>
            </w:r>
          </w:p>
        </w:tc>
        <w:tc>
          <w:tcPr>
            <w:tcW w:w="1320" w:type="dxa"/>
            <w:tcBorders>
              <w:tl2br w:val="nil"/>
              <w:tr2bl w:val="nil"/>
            </w:tcBorders>
            <w:shd w:val="clear" w:color="auto" w:fill="auto"/>
            <w:vAlign w:val="center"/>
          </w:tcPr>
          <w:p w14:paraId="2E291A09">
            <w:pPr>
              <w:adjustRightInd w:val="0"/>
              <w:snapToGrid w:val="0"/>
              <w:jc w:val="center"/>
              <w:rPr>
                <w:snapToGrid w:val="0"/>
                <w:color w:val="auto"/>
                <w:kern w:val="0"/>
                <w:szCs w:val="21"/>
                <w:highlight w:val="none"/>
              </w:rPr>
            </w:pPr>
            <w:r>
              <w:rPr>
                <w:snapToGrid w:val="0"/>
                <w:color w:val="auto"/>
                <w:kern w:val="0"/>
                <w:szCs w:val="21"/>
                <w:highlight w:val="none"/>
              </w:rPr>
              <w:t>5/套</w:t>
            </w:r>
          </w:p>
        </w:tc>
        <w:tc>
          <w:tcPr>
            <w:tcW w:w="975" w:type="dxa"/>
            <w:tcBorders>
              <w:right w:val="single" w:color="auto" w:sz="4" w:space="0"/>
              <w:tl2br w:val="nil"/>
              <w:tr2bl w:val="nil"/>
            </w:tcBorders>
            <w:shd w:val="clear" w:color="auto" w:fill="auto"/>
            <w:vAlign w:val="center"/>
          </w:tcPr>
          <w:p w14:paraId="3898DB04">
            <w:pPr>
              <w:adjustRightInd w:val="0"/>
              <w:snapToGrid w:val="0"/>
              <w:jc w:val="center"/>
              <w:rPr>
                <w:snapToGrid w:val="0"/>
                <w:color w:val="auto"/>
                <w:kern w:val="0"/>
                <w:szCs w:val="21"/>
                <w:highlight w:val="none"/>
              </w:rPr>
            </w:pPr>
            <w:r>
              <w:rPr>
                <w:rFonts w:hint="eastAsia"/>
                <w:snapToGrid w:val="0"/>
                <w:color w:val="auto"/>
                <w:kern w:val="0"/>
                <w:szCs w:val="21"/>
                <w:highlight w:val="none"/>
              </w:rPr>
              <w:t>0</w:t>
            </w:r>
          </w:p>
        </w:tc>
      </w:tr>
      <w:tr w14:paraId="638DB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8" w:type="dxa"/>
            <w:vMerge w:val="continue"/>
            <w:tcBorders>
              <w:left w:val="single" w:color="auto" w:sz="4" w:space="0"/>
              <w:tl2br w:val="nil"/>
              <w:tr2bl w:val="nil"/>
            </w:tcBorders>
            <w:shd w:val="clear" w:color="auto" w:fill="auto"/>
            <w:vAlign w:val="center"/>
          </w:tcPr>
          <w:p w14:paraId="6AD0D5B7">
            <w:pPr>
              <w:adjustRightInd w:val="0"/>
              <w:snapToGrid w:val="0"/>
              <w:rPr>
                <w:snapToGrid w:val="0"/>
                <w:color w:val="auto"/>
                <w:kern w:val="0"/>
                <w:szCs w:val="21"/>
                <w:highlight w:val="none"/>
              </w:rPr>
            </w:pPr>
          </w:p>
        </w:tc>
        <w:tc>
          <w:tcPr>
            <w:tcW w:w="5175" w:type="dxa"/>
            <w:tcBorders>
              <w:tl2br w:val="nil"/>
              <w:tr2bl w:val="nil"/>
            </w:tcBorders>
            <w:shd w:val="clear" w:color="auto" w:fill="auto"/>
            <w:vAlign w:val="center"/>
          </w:tcPr>
          <w:p w14:paraId="55AC4E2F">
            <w:pPr>
              <w:adjustRightInd w:val="0"/>
              <w:snapToGrid w:val="0"/>
              <w:rPr>
                <w:snapToGrid w:val="0"/>
                <w:color w:val="auto"/>
                <w:kern w:val="0"/>
                <w:szCs w:val="21"/>
                <w:highlight w:val="none"/>
              </w:rPr>
            </w:pPr>
            <w:r>
              <w:rPr>
                <w:snapToGrid w:val="0"/>
                <w:color w:val="auto"/>
                <w:kern w:val="0"/>
                <w:szCs w:val="21"/>
                <w:highlight w:val="none"/>
              </w:rPr>
              <w:t>其他高温或高压，且涉及危险物质的工艺过程</w:t>
            </w:r>
            <w:r>
              <w:rPr>
                <w:snapToGrid w:val="0"/>
                <w:color w:val="auto"/>
                <w:kern w:val="0"/>
                <w:szCs w:val="21"/>
                <w:highlight w:val="none"/>
                <w:vertAlign w:val="superscript"/>
              </w:rPr>
              <w:t>a</w:t>
            </w:r>
            <w:r>
              <w:rPr>
                <w:snapToGrid w:val="0"/>
                <w:color w:val="auto"/>
                <w:kern w:val="0"/>
                <w:szCs w:val="21"/>
                <w:highlight w:val="none"/>
              </w:rPr>
              <w:t>、危险物质贮存罐区</w:t>
            </w:r>
          </w:p>
        </w:tc>
        <w:tc>
          <w:tcPr>
            <w:tcW w:w="1320" w:type="dxa"/>
            <w:tcBorders>
              <w:tl2br w:val="nil"/>
              <w:tr2bl w:val="nil"/>
            </w:tcBorders>
            <w:shd w:val="clear" w:color="auto" w:fill="auto"/>
            <w:vAlign w:val="center"/>
          </w:tcPr>
          <w:p w14:paraId="6FE35248">
            <w:pPr>
              <w:adjustRightInd w:val="0"/>
              <w:snapToGrid w:val="0"/>
              <w:jc w:val="center"/>
              <w:rPr>
                <w:snapToGrid w:val="0"/>
                <w:color w:val="auto"/>
                <w:kern w:val="0"/>
                <w:szCs w:val="21"/>
                <w:highlight w:val="none"/>
              </w:rPr>
            </w:pPr>
            <w:r>
              <w:rPr>
                <w:snapToGrid w:val="0"/>
                <w:color w:val="auto"/>
                <w:kern w:val="0"/>
                <w:szCs w:val="21"/>
                <w:highlight w:val="none"/>
              </w:rPr>
              <w:t>5/套（罐区）</w:t>
            </w:r>
          </w:p>
        </w:tc>
        <w:tc>
          <w:tcPr>
            <w:tcW w:w="975" w:type="dxa"/>
            <w:tcBorders>
              <w:right w:val="single" w:color="auto" w:sz="4" w:space="0"/>
              <w:tl2br w:val="nil"/>
              <w:tr2bl w:val="nil"/>
            </w:tcBorders>
            <w:shd w:val="clear" w:color="auto" w:fill="auto"/>
            <w:vAlign w:val="center"/>
          </w:tcPr>
          <w:p w14:paraId="0829FF9F">
            <w:pPr>
              <w:adjustRightInd w:val="0"/>
              <w:snapToGrid w:val="0"/>
              <w:jc w:val="center"/>
              <w:rPr>
                <w:snapToGrid w:val="0"/>
                <w:color w:val="auto"/>
                <w:kern w:val="0"/>
                <w:szCs w:val="21"/>
                <w:highlight w:val="none"/>
              </w:rPr>
            </w:pPr>
            <w:r>
              <w:rPr>
                <w:rFonts w:hint="eastAsia"/>
                <w:snapToGrid w:val="0"/>
                <w:color w:val="auto"/>
                <w:kern w:val="0"/>
                <w:szCs w:val="21"/>
                <w:highlight w:val="none"/>
              </w:rPr>
              <w:t>10</w:t>
            </w:r>
          </w:p>
        </w:tc>
      </w:tr>
      <w:tr w14:paraId="63C1A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53" w:type="dxa"/>
            <w:gridSpan w:val="3"/>
            <w:tcBorders>
              <w:left w:val="single" w:color="auto" w:sz="4" w:space="0"/>
              <w:tl2br w:val="nil"/>
              <w:tr2bl w:val="nil"/>
            </w:tcBorders>
            <w:shd w:val="clear" w:color="auto" w:fill="auto"/>
            <w:vAlign w:val="center"/>
          </w:tcPr>
          <w:p w14:paraId="06BEB0DF">
            <w:pPr>
              <w:adjustRightInd w:val="0"/>
              <w:snapToGrid w:val="0"/>
              <w:jc w:val="center"/>
              <w:rPr>
                <w:snapToGrid w:val="0"/>
                <w:color w:val="auto"/>
                <w:kern w:val="0"/>
                <w:szCs w:val="21"/>
                <w:highlight w:val="none"/>
              </w:rPr>
            </w:pPr>
            <w:r>
              <w:rPr>
                <w:rFonts w:hint="eastAsia"/>
                <w:snapToGrid w:val="0"/>
                <w:color w:val="auto"/>
                <w:kern w:val="0"/>
                <w:szCs w:val="21"/>
                <w:highlight w:val="none"/>
              </w:rPr>
              <w:t>合计</w:t>
            </w:r>
          </w:p>
        </w:tc>
        <w:tc>
          <w:tcPr>
            <w:tcW w:w="975" w:type="dxa"/>
            <w:tcBorders>
              <w:right w:val="single" w:color="auto" w:sz="4" w:space="0"/>
              <w:tl2br w:val="nil"/>
              <w:tr2bl w:val="nil"/>
            </w:tcBorders>
            <w:shd w:val="clear" w:color="auto" w:fill="auto"/>
            <w:vAlign w:val="center"/>
          </w:tcPr>
          <w:p w14:paraId="3B3C767C">
            <w:pPr>
              <w:adjustRightInd w:val="0"/>
              <w:snapToGrid w:val="0"/>
              <w:jc w:val="center"/>
              <w:rPr>
                <w:snapToGrid w:val="0"/>
                <w:color w:val="auto"/>
                <w:kern w:val="0"/>
                <w:szCs w:val="21"/>
                <w:highlight w:val="none"/>
              </w:rPr>
            </w:pPr>
            <w:r>
              <w:rPr>
                <w:rFonts w:hint="eastAsia"/>
                <w:snapToGrid w:val="0"/>
                <w:color w:val="auto"/>
                <w:kern w:val="0"/>
                <w:szCs w:val="21"/>
                <w:highlight w:val="none"/>
              </w:rPr>
              <w:t>10</w:t>
            </w:r>
          </w:p>
        </w:tc>
      </w:tr>
      <w:tr w14:paraId="7A046E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8" w:type="dxa"/>
            <w:gridSpan w:val="4"/>
            <w:tcBorders>
              <w:left w:val="single" w:color="auto" w:sz="4" w:space="0"/>
              <w:bottom w:val="single" w:color="auto" w:sz="4" w:space="0"/>
              <w:right w:val="single" w:color="auto" w:sz="4" w:space="0"/>
              <w:tl2br w:val="nil"/>
              <w:tr2bl w:val="nil"/>
            </w:tcBorders>
            <w:shd w:val="clear" w:color="auto" w:fill="auto"/>
            <w:vAlign w:val="center"/>
          </w:tcPr>
          <w:p w14:paraId="78AB62B6">
            <w:pPr>
              <w:adjustRightInd w:val="0"/>
              <w:snapToGrid w:val="0"/>
              <w:rPr>
                <w:snapToGrid w:val="0"/>
                <w:color w:val="auto"/>
                <w:kern w:val="0"/>
                <w:szCs w:val="21"/>
                <w:highlight w:val="none"/>
              </w:rPr>
            </w:pPr>
            <w:r>
              <w:rPr>
                <w:snapToGrid w:val="0"/>
                <w:color w:val="auto"/>
                <w:kern w:val="0"/>
                <w:szCs w:val="21"/>
                <w:highlight w:val="none"/>
              </w:rPr>
              <w:t>a 高温指工艺温度</w:t>
            </w:r>
            <w:r>
              <w:rPr>
                <w:rFonts w:hint="eastAsia"/>
                <w:snapToGrid w:val="0"/>
                <w:color w:val="auto"/>
                <w:kern w:val="0"/>
                <w:szCs w:val="21"/>
                <w:highlight w:val="none"/>
              </w:rPr>
              <w:t>≥</w:t>
            </w:r>
            <w:r>
              <w:rPr>
                <w:snapToGrid w:val="0"/>
                <w:color w:val="auto"/>
                <w:kern w:val="0"/>
                <w:szCs w:val="21"/>
                <w:highlight w:val="none"/>
              </w:rPr>
              <w:t>300℃，高压指压力容器的设计压力（P）</w:t>
            </w:r>
            <w:r>
              <w:rPr>
                <w:rFonts w:hint="eastAsia"/>
                <w:snapToGrid w:val="0"/>
                <w:color w:val="auto"/>
                <w:kern w:val="0"/>
                <w:szCs w:val="21"/>
                <w:highlight w:val="none"/>
              </w:rPr>
              <w:t>≥</w:t>
            </w:r>
            <w:r>
              <w:rPr>
                <w:snapToGrid w:val="0"/>
                <w:color w:val="auto"/>
                <w:kern w:val="0"/>
                <w:szCs w:val="21"/>
                <w:highlight w:val="none"/>
              </w:rPr>
              <w:t>10.0 MPa；</w:t>
            </w:r>
          </w:p>
          <w:p w14:paraId="49116A38">
            <w:pPr>
              <w:adjustRightInd w:val="0"/>
              <w:snapToGrid w:val="0"/>
              <w:rPr>
                <w:snapToGrid w:val="0"/>
                <w:color w:val="auto"/>
                <w:kern w:val="0"/>
                <w:szCs w:val="21"/>
                <w:highlight w:val="none"/>
              </w:rPr>
            </w:pPr>
            <w:r>
              <w:rPr>
                <w:snapToGrid w:val="0"/>
                <w:color w:val="auto"/>
                <w:kern w:val="0"/>
                <w:szCs w:val="21"/>
                <w:highlight w:val="none"/>
              </w:rPr>
              <w:t>b 长输管道运输项目应按站场、管线分段进行评价。</w:t>
            </w:r>
          </w:p>
        </w:tc>
      </w:tr>
    </w:tbl>
    <w:p w14:paraId="4918476B">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本项目涉及2处罐区，则行业及生产工艺过程得分为10分，行业及生产工艺类型为M3。</w:t>
      </w:r>
    </w:p>
    <w:p w14:paraId="5B448A8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6.3.3.3危险物质及工艺系统危险性（P）分级</w:t>
      </w:r>
    </w:p>
    <w:p w14:paraId="402F2108">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根据危险物质数量与临界量比值（Q）和行业及生产工艺（M），按照表6.3-6确定危险物质及工艺系统危险性等级（P），分别以P1、P2、P3、P4表示。</w:t>
      </w:r>
    </w:p>
    <w:p w14:paraId="3CCD7E0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6.3-6 项目危险物质及工艺系统危险性（P）等级判断表</w:t>
      </w:r>
    </w:p>
    <w:tbl>
      <w:tblPr>
        <w:tblStyle w:val="5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56"/>
        <w:gridCol w:w="1595"/>
        <w:gridCol w:w="1596"/>
        <w:gridCol w:w="1598"/>
        <w:gridCol w:w="1591"/>
      </w:tblGrid>
      <w:tr w14:paraId="76ACD5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56" w:type="dxa"/>
            <w:vMerge w:val="restart"/>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14:paraId="5752A523">
            <w:pPr>
              <w:adjustRightInd w:val="0"/>
              <w:snapToGrid w:val="0"/>
              <w:jc w:val="center"/>
              <w:rPr>
                <w:snapToGrid w:val="0"/>
                <w:color w:val="auto"/>
                <w:kern w:val="0"/>
                <w:szCs w:val="21"/>
                <w:highlight w:val="none"/>
              </w:rPr>
            </w:pPr>
            <w:r>
              <w:rPr>
                <w:rFonts w:hint="eastAsia"/>
                <w:snapToGrid w:val="0"/>
                <w:color w:val="auto"/>
                <w:kern w:val="0"/>
                <w:szCs w:val="21"/>
                <w:highlight w:val="none"/>
              </w:rPr>
              <w:t>危险物质数量与临界量比值（</w:t>
            </w:r>
            <w:r>
              <w:rPr>
                <w:snapToGrid w:val="0"/>
                <w:color w:val="auto"/>
                <w:kern w:val="0"/>
                <w:szCs w:val="21"/>
                <w:highlight w:val="none"/>
              </w:rPr>
              <w:t>Q</w:t>
            </w:r>
            <w:r>
              <w:rPr>
                <w:rFonts w:hint="eastAsia"/>
                <w:snapToGrid w:val="0"/>
                <w:color w:val="auto"/>
                <w:kern w:val="0"/>
                <w:szCs w:val="21"/>
                <w:highlight w:val="none"/>
              </w:rPr>
              <w:t>）</w:t>
            </w:r>
          </w:p>
        </w:tc>
        <w:tc>
          <w:tcPr>
            <w:tcW w:w="6380" w:type="dxa"/>
            <w:gridSpan w:val="4"/>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14:paraId="5598AA19">
            <w:pPr>
              <w:adjustRightInd w:val="0"/>
              <w:snapToGrid w:val="0"/>
              <w:jc w:val="center"/>
              <w:rPr>
                <w:snapToGrid w:val="0"/>
                <w:color w:val="auto"/>
                <w:kern w:val="0"/>
                <w:szCs w:val="21"/>
                <w:highlight w:val="none"/>
              </w:rPr>
            </w:pPr>
            <w:r>
              <w:rPr>
                <w:rFonts w:hint="eastAsia"/>
                <w:snapToGrid w:val="0"/>
                <w:color w:val="auto"/>
                <w:kern w:val="0"/>
                <w:szCs w:val="21"/>
                <w:highlight w:val="none"/>
              </w:rPr>
              <w:t>行业及生产工艺（</w:t>
            </w:r>
            <w:r>
              <w:rPr>
                <w:snapToGrid w:val="0"/>
                <w:color w:val="auto"/>
                <w:kern w:val="0"/>
                <w:szCs w:val="21"/>
                <w:highlight w:val="none"/>
              </w:rPr>
              <w:t>M</w:t>
            </w:r>
            <w:r>
              <w:rPr>
                <w:rFonts w:hint="eastAsia"/>
                <w:snapToGrid w:val="0"/>
                <w:color w:val="auto"/>
                <w:kern w:val="0"/>
                <w:szCs w:val="21"/>
                <w:highlight w:val="none"/>
              </w:rPr>
              <w:t>）</w:t>
            </w:r>
          </w:p>
        </w:tc>
      </w:tr>
      <w:tr w14:paraId="0F96F9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56" w:type="dxa"/>
            <w:vMerge w:val="continue"/>
            <w:tcBorders>
              <w:top w:val="single" w:color="000000" w:sz="6" w:space="0"/>
              <w:left w:val="single" w:color="auto" w:sz="4" w:space="0"/>
              <w:bottom w:val="single" w:color="000000" w:sz="4" w:space="0"/>
              <w:right w:val="single" w:color="000000" w:sz="4" w:space="0"/>
              <w:tl2br w:val="nil"/>
              <w:tr2bl w:val="nil"/>
            </w:tcBorders>
            <w:shd w:val="clear" w:color="auto" w:fill="auto"/>
            <w:vAlign w:val="center"/>
          </w:tcPr>
          <w:p w14:paraId="22CDA34A">
            <w:pPr>
              <w:adjustRightInd w:val="0"/>
              <w:snapToGrid w:val="0"/>
              <w:jc w:val="center"/>
              <w:rPr>
                <w:snapToGrid w:val="0"/>
                <w:color w:val="auto"/>
                <w:kern w:val="0"/>
                <w:szCs w:val="21"/>
                <w:highlight w:val="none"/>
              </w:rPr>
            </w:pPr>
          </w:p>
        </w:tc>
        <w:tc>
          <w:tcPr>
            <w:tcW w:w="1595"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0A582E50">
            <w:pPr>
              <w:adjustRightInd w:val="0"/>
              <w:snapToGrid w:val="0"/>
              <w:jc w:val="center"/>
              <w:rPr>
                <w:snapToGrid w:val="0"/>
                <w:color w:val="auto"/>
                <w:kern w:val="0"/>
                <w:szCs w:val="21"/>
                <w:highlight w:val="none"/>
              </w:rPr>
            </w:pPr>
            <w:r>
              <w:rPr>
                <w:snapToGrid w:val="0"/>
                <w:color w:val="auto"/>
                <w:kern w:val="0"/>
                <w:szCs w:val="21"/>
                <w:highlight w:val="none"/>
              </w:rPr>
              <w:t>M1</w:t>
            </w:r>
          </w:p>
        </w:tc>
        <w:tc>
          <w:tcPr>
            <w:tcW w:w="1596"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7F1EFA24">
            <w:pPr>
              <w:adjustRightInd w:val="0"/>
              <w:snapToGrid w:val="0"/>
              <w:jc w:val="center"/>
              <w:rPr>
                <w:snapToGrid w:val="0"/>
                <w:color w:val="auto"/>
                <w:kern w:val="0"/>
                <w:szCs w:val="21"/>
                <w:highlight w:val="none"/>
              </w:rPr>
            </w:pPr>
            <w:r>
              <w:rPr>
                <w:snapToGrid w:val="0"/>
                <w:color w:val="auto"/>
                <w:kern w:val="0"/>
                <w:szCs w:val="21"/>
                <w:highlight w:val="none"/>
              </w:rPr>
              <w:t>M2</w:t>
            </w:r>
          </w:p>
        </w:tc>
        <w:tc>
          <w:tcPr>
            <w:tcW w:w="1598"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640D0E4B">
            <w:pPr>
              <w:adjustRightInd w:val="0"/>
              <w:snapToGrid w:val="0"/>
              <w:jc w:val="center"/>
              <w:rPr>
                <w:snapToGrid w:val="0"/>
                <w:color w:val="auto"/>
                <w:kern w:val="0"/>
                <w:szCs w:val="21"/>
                <w:highlight w:val="none"/>
              </w:rPr>
            </w:pPr>
            <w:r>
              <w:rPr>
                <w:snapToGrid w:val="0"/>
                <w:color w:val="auto"/>
                <w:kern w:val="0"/>
                <w:szCs w:val="21"/>
                <w:highlight w:val="none"/>
              </w:rPr>
              <w:t>M3</w:t>
            </w:r>
          </w:p>
        </w:tc>
        <w:tc>
          <w:tcPr>
            <w:tcW w:w="1591" w:type="dxa"/>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14:paraId="72EB666F">
            <w:pPr>
              <w:adjustRightInd w:val="0"/>
              <w:snapToGrid w:val="0"/>
              <w:jc w:val="center"/>
              <w:rPr>
                <w:snapToGrid w:val="0"/>
                <w:color w:val="auto"/>
                <w:kern w:val="0"/>
                <w:szCs w:val="21"/>
                <w:highlight w:val="none"/>
              </w:rPr>
            </w:pPr>
            <w:r>
              <w:rPr>
                <w:snapToGrid w:val="0"/>
                <w:color w:val="auto"/>
                <w:kern w:val="0"/>
                <w:szCs w:val="21"/>
                <w:highlight w:val="none"/>
              </w:rPr>
              <w:t>M4</w:t>
            </w:r>
          </w:p>
        </w:tc>
      </w:tr>
      <w:tr w14:paraId="0E2EB5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56" w:type="dxa"/>
            <w:tcBorders>
              <w:top w:val="single" w:color="000000" w:sz="4" w:space="0"/>
              <w:left w:val="single" w:color="auto" w:sz="4" w:space="0"/>
              <w:bottom w:val="single" w:color="000000" w:sz="4" w:space="0"/>
              <w:right w:val="single" w:color="000000" w:sz="4" w:space="0"/>
              <w:tl2br w:val="nil"/>
              <w:tr2bl w:val="nil"/>
            </w:tcBorders>
            <w:shd w:val="clear" w:color="auto" w:fill="auto"/>
            <w:vAlign w:val="center"/>
          </w:tcPr>
          <w:p w14:paraId="6BA286F1">
            <w:pPr>
              <w:adjustRightInd w:val="0"/>
              <w:snapToGrid w:val="0"/>
              <w:jc w:val="center"/>
              <w:rPr>
                <w:snapToGrid w:val="0"/>
                <w:color w:val="auto"/>
                <w:kern w:val="0"/>
                <w:szCs w:val="21"/>
                <w:highlight w:val="none"/>
              </w:rPr>
            </w:pPr>
            <w:r>
              <w:rPr>
                <w:snapToGrid w:val="0"/>
                <w:color w:val="auto"/>
                <w:kern w:val="0"/>
                <w:szCs w:val="21"/>
                <w:highlight w:val="none"/>
              </w:rPr>
              <w:t>Q</w:t>
            </w:r>
            <w:r>
              <w:rPr>
                <w:rFonts w:hint="eastAsia"/>
                <w:snapToGrid w:val="0"/>
                <w:color w:val="auto"/>
                <w:kern w:val="0"/>
                <w:szCs w:val="21"/>
                <w:highlight w:val="none"/>
              </w:rPr>
              <w:t>≥</w:t>
            </w:r>
            <w:r>
              <w:rPr>
                <w:snapToGrid w:val="0"/>
                <w:color w:val="auto"/>
                <w:kern w:val="0"/>
                <w:szCs w:val="21"/>
                <w:highlight w:val="none"/>
              </w:rPr>
              <w:t>100</w:t>
            </w:r>
          </w:p>
        </w:tc>
        <w:tc>
          <w:tcPr>
            <w:tcW w:w="1595"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318C142F">
            <w:pPr>
              <w:adjustRightInd w:val="0"/>
              <w:snapToGrid w:val="0"/>
              <w:jc w:val="center"/>
              <w:rPr>
                <w:snapToGrid w:val="0"/>
                <w:color w:val="auto"/>
                <w:kern w:val="0"/>
                <w:szCs w:val="21"/>
                <w:highlight w:val="none"/>
              </w:rPr>
            </w:pPr>
            <w:r>
              <w:rPr>
                <w:snapToGrid w:val="0"/>
                <w:color w:val="auto"/>
                <w:kern w:val="0"/>
                <w:szCs w:val="21"/>
                <w:highlight w:val="none"/>
              </w:rPr>
              <w:t>P1</w:t>
            </w:r>
          </w:p>
        </w:tc>
        <w:tc>
          <w:tcPr>
            <w:tcW w:w="1596"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63D5FE7E">
            <w:pPr>
              <w:adjustRightInd w:val="0"/>
              <w:snapToGrid w:val="0"/>
              <w:jc w:val="center"/>
              <w:rPr>
                <w:snapToGrid w:val="0"/>
                <w:color w:val="auto"/>
                <w:kern w:val="0"/>
                <w:szCs w:val="21"/>
                <w:highlight w:val="none"/>
              </w:rPr>
            </w:pPr>
            <w:r>
              <w:rPr>
                <w:snapToGrid w:val="0"/>
                <w:color w:val="auto"/>
                <w:kern w:val="0"/>
                <w:szCs w:val="21"/>
                <w:highlight w:val="none"/>
              </w:rPr>
              <w:t>P1</w:t>
            </w:r>
          </w:p>
        </w:tc>
        <w:tc>
          <w:tcPr>
            <w:tcW w:w="1598"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1FEAFD12">
            <w:pPr>
              <w:adjustRightInd w:val="0"/>
              <w:snapToGrid w:val="0"/>
              <w:jc w:val="center"/>
              <w:rPr>
                <w:snapToGrid w:val="0"/>
                <w:color w:val="auto"/>
                <w:kern w:val="0"/>
                <w:szCs w:val="21"/>
                <w:highlight w:val="none"/>
              </w:rPr>
            </w:pPr>
            <w:r>
              <w:rPr>
                <w:snapToGrid w:val="0"/>
                <w:color w:val="auto"/>
                <w:kern w:val="0"/>
                <w:szCs w:val="21"/>
                <w:highlight w:val="none"/>
              </w:rPr>
              <w:t>P2</w:t>
            </w:r>
          </w:p>
        </w:tc>
        <w:tc>
          <w:tcPr>
            <w:tcW w:w="1591" w:type="dxa"/>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14:paraId="17C05FFD">
            <w:pPr>
              <w:adjustRightInd w:val="0"/>
              <w:snapToGrid w:val="0"/>
              <w:jc w:val="center"/>
              <w:rPr>
                <w:snapToGrid w:val="0"/>
                <w:color w:val="auto"/>
                <w:kern w:val="0"/>
                <w:szCs w:val="21"/>
                <w:highlight w:val="none"/>
              </w:rPr>
            </w:pPr>
            <w:r>
              <w:rPr>
                <w:snapToGrid w:val="0"/>
                <w:color w:val="auto"/>
                <w:kern w:val="0"/>
                <w:szCs w:val="21"/>
                <w:highlight w:val="none"/>
              </w:rPr>
              <w:t>P3</w:t>
            </w:r>
          </w:p>
        </w:tc>
      </w:tr>
      <w:tr w14:paraId="19CD95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56" w:type="dxa"/>
            <w:tcBorders>
              <w:top w:val="single" w:color="000000" w:sz="4" w:space="0"/>
              <w:left w:val="single" w:color="auto" w:sz="4" w:space="0"/>
              <w:bottom w:val="single" w:color="000000" w:sz="4" w:space="0"/>
              <w:right w:val="single" w:color="000000" w:sz="4" w:space="0"/>
              <w:tl2br w:val="nil"/>
              <w:tr2bl w:val="nil"/>
            </w:tcBorders>
            <w:shd w:val="clear" w:color="auto" w:fill="auto"/>
            <w:vAlign w:val="center"/>
          </w:tcPr>
          <w:p w14:paraId="7074675D">
            <w:pPr>
              <w:adjustRightInd w:val="0"/>
              <w:snapToGrid w:val="0"/>
              <w:jc w:val="center"/>
              <w:rPr>
                <w:snapToGrid w:val="0"/>
                <w:color w:val="auto"/>
                <w:kern w:val="0"/>
                <w:szCs w:val="21"/>
                <w:highlight w:val="none"/>
              </w:rPr>
            </w:pPr>
            <w:r>
              <w:rPr>
                <w:snapToGrid w:val="0"/>
                <w:color w:val="auto"/>
                <w:kern w:val="0"/>
                <w:szCs w:val="21"/>
                <w:highlight w:val="none"/>
              </w:rPr>
              <w:t>10</w:t>
            </w:r>
            <w:r>
              <w:rPr>
                <w:rFonts w:hint="eastAsia"/>
                <w:snapToGrid w:val="0"/>
                <w:color w:val="auto"/>
                <w:kern w:val="0"/>
                <w:szCs w:val="21"/>
                <w:highlight w:val="none"/>
              </w:rPr>
              <w:t>≤</w:t>
            </w:r>
            <w:r>
              <w:rPr>
                <w:snapToGrid w:val="0"/>
                <w:color w:val="auto"/>
                <w:kern w:val="0"/>
                <w:szCs w:val="21"/>
                <w:highlight w:val="none"/>
              </w:rPr>
              <w:t>Q</w:t>
            </w:r>
            <w:r>
              <w:rPr>
                <w:rFonts w:hint="eastAsia"/>
                <w:snapToGrid w:val="0"/>
                <w:color w:val="auto"/>
                <w:kern w:val="0"/>
                <w:szCs w:val="21"/>
                <w:highlight w:val="none"/>
              </w:rPr>
              <w:t>＜</w:t>
            </w:r>
            <w:r>
              <w:rPr>
                <w:snapToGrid w:val="0"/>
                <w:color w:val="auto"/>
                <w:kern w:val="0"/>
                <w:szCs w:val="21"/>
                <w:highlight w:val="none"/>
              </w:rPr>
              <w:t>100</w:t>
            </w:r>
          </w:p>
        </w:tc>
        <w:tc>
          <w:tcPr>
            <w:tcW w:w="1595"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39E9576C">
            <w:pPr>
              <w:adjustRightInd w:val="0"/>
              <w:snapToGrid w:val="0"/>
              <w:jc w:val="center"/>
              <w:rPr>
                <w:snapToGrid w:val="0"/>
                <w:color w:val="auto"/>
                <w:kern w:val="0"/>
                <w:szCs w:val="21"/>
                <w:highlight w:val="none"/>
              </w:rPr>
            </w:pPr>
            <w:r>
              <w:rPr>
                <w:snapToGrid w:val="0"/>
                <w:color w:val="auto"/>
                <w:kern w:val="0"/>
                <w:szCs w:val="21"/>
                <w:highlight w:val="none"/>
              </w:rPr>
              <w:t>P1</w:t>
            </w:r>
          </w:p>
        </w:tc>
        <w:tc>
          <w:tcPr>
            <w:tcW w:w="1596"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4F2A034A">
            <w:pPr>
              <w:adjustRightInd w:val="0"/>
              <w:snapToGrid w:val="0"/>
              <w:jc w:val="center"/>
              <w:rPr>
                <w:snapToGrid w:val="0"/>
                <w:color w:val="auto"/>
                <w:kern w:val="0"/>
                <w:szCs w:val="21"/>
                <w:highlight w:val="none"/>
              </w:rPr>
            </w:pPr>
            <w:r>
              <w:rPr>
                <w:snapToGrid w:val="0"/>
                <w:color w:val="auto"/>
                <w:kern w:val="0"/>
                <w:szCs w:val="21"/>
                <w:highlight w:val="none"/>
              </w:rPr>
              <w:t>P2</w:t>
            </w:r>
          </w:p>
        </w:tc>
        <w:tc>
          <w:tcPr>
            <w:tcW w:w="1598"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2621F2F7">
            <w:pPr>
              <w:adjustRightInd w:val="0"/>
              <w:snapToGrid w:val="0"/>
              <w:jc w:val="center"/>
              <w:rPr>
                <w:snapToGrid w:val="0"/>
                <w:color w:val="auto"/>
                <w:kern w:val="0"/>
                <w:szCs w:val="21"/>
                <w:highlight w:val="none"/>
              </w:rPr>
            </w:pPr>
            <w:r>
              <w:rPr>
                <w:snapToGrid w:val="0"/>
                <w:color w:val="auto"/>
                <w:kern w:val="0"/>
                <w:szCs w:val="21"/>
                <w:highlight w:val="none"/>
              </w:rPr>
              <w:t>P3</w:t>
            </w:r>
          </w:p>
        </w:tc>
        <w:tc>
          <w:tcPr>
            <w:tcW w:w="1591" w:type="dxa"/>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14:paraId="556DC058">
            <w:pPr>
              <w:adjustRightInd w:val="0"/>
              <w:snapToGrid w:val="0"/>
              <w:jc w:val="center"/>
              <w:rPr>
                <w:snapToGrid w:val="0"/>
                <w:color w:val="auto"/>
                <w:kern w:val="0"/>
                <w:szCs w:val="21"/>
                <w:highlight w:val="none"/>
              </w:rPr>
            </w:pPr>
            <w:r>
              <w:rPr>
                <w:snapToGrid w:val="0"/>
                <w:color w:val="auto"/>
                <w:kern w:val="0"/>
                <w:szCs w:val="21"/>
                <w:highlight w:val="none"/>
              </w:rPr>
              <w:t>P4</w:t>
            </w:r>
          </w:p>
        </w:tc>
      </w:tr>
      <w:tr w14:paraId="4AC719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56" w:type="dxa"/>
            <w:tcBorders>
              <w:top w:val="single" w:color="000000" w:sz="4" w:space="0"/>
              <w:left w:val="single" w:color="auto" w:sz="4" w:space="0"/>
              <w:bottom w:val="single" w:color="auto" w:sz="4" w:space="0"/>
              <w:right w:val="single" w:color="000000" w:sz="4" w:space="0"/>
              <w:tl2br w:val="nil"/>
              <w:tr2bl w:val="nil"/>
            </w:tcBorders>
            <w:shd w:val="clear" w:color="auto" w:fill="auto"/>
            <w:vAlign w:val="center"/>
          </w:tcPr>
          <w:p w14:paraId="7A8E9110">
            <w:pPr>
              <w:adjustRightInd w:val="0"/>
              <w:snapToGrid w:val="0"/>
              <w:jc w:val="center"/>
              <w:rPr>
                <w:snapToGrid w:val="0"/>
                <w:color w:val="auto"/>
                <w:kern w:val="0"/>
                <w:szCs w:val="21"/>
                <w:highlight w:val="none"/>
              </w:rPr>
            </w:pPr>
            <w:r>
              <w:rPr>
                <w:snapToGrid w:val="0"/>
                <w:color w:val="auto"/>
                <w:kern w:val="0"/>
                <w:szCs w:val="21"/>
                <w:highlight w:val="none"/>
              </w:rPr>
              <w:t>1</w:t>
            </w:r>
            <w:r>
              <w:rPr>
                <w:rFonts w:hint="eastAsia"/>
                <w:snapToGrid w:val="0"/>
                <w:color w:val="auto"/>
                <w:kern w:val="0"/>
                <w:szCs w:val="21"/>
                <w:highlight w:val="none"/>
              </w:rPr>
              <w:t>≤</w:t>
            </w:r>
            <w:r>
              <w:rPr>
                <w:snapToGrid w:val="0"/>
                <w:color w:val="auto"/>
                <w:kern w:val="0"/>
                <w:szCs w:val="21"/>
                <w:highlight w:val="none"/>
              </w:rPr>
              <w:t>Q</w:t>
            </w:r>
            <w:r>
              <w:rPr>
                <w:rFonts w:hint="eastAsia"/>
                <w:snapToGrid w:val="0"/>
                <w:color w:val="auto"/>
                <w:kern w:val="0"/>
                <w:szCs w:val="21"/>
                <w:highlight w:val="none"/>
              </w:rPr>
              <w:t>＜</w:t>
            </w:r>
            <w:r>
              <w:rPr>
                <w:snapToGrid w:val="0"/>
                <w:color w:val="auto"/>
                <w:kern w:val="0"/>
                <w:szCs w:val="21"/>
                <w:highlight w:val="none"/>
              </w:rPr>
              <w:t>10</w:t>
            </w:r>
          </w:p>
        </w:tc>
        <w:tc>
          <w:tcPr>
            <w:tcW w:w="1595"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14:paraId="62B88EB5">
            <w:pPr>
              <w:adjustRightInd w:val="0"/>
              <w:snapToGrid w:val="0"/>
              <w:jc w:val="center"/>
              <w:rPr>
                <w:snapToGrid w:val="0"/>
                <w:color w:val="auto"/>
                <w:kern w:val="0"/>
                <w:szCs w:val="21"/>
                <w:highlight w:val="none"/>
              </w:rPr>
            </w:pPr>
            <w:r>
              <w:rPr>
                <w:snapToGrid w:val="0"/>
                <w:color w:val="auto"/>
                <w:kern w:val="0"/>
                <w:szCs w:val="21"/>
                <w:highlight w:val="none"/>
              </w:rPr>
              <w:t>P2</w:t>
            </w:r>
          </w:p>
        </w:tc>
        <w:tc>
          <w:tcPr>
            <w:tcW w:w="1596"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14:paraId="51970184">
            <w:pPr>
              <w:adjustRightInd w:val="0"/>
              <w:snapToGrid w:val="0"/>
              <w:jc w:val="center"/>
              <w:rPr>
                <w:snapToGrid w:val="0"/>
                <w:color w:val="auto"/>
                <w:kern w:val="0"/>
                <w:szCs w:val="21"/>
                <w:highlight w:val="none"/>
              </w:rPr>
            </w:pPr>
            <w:r>
              <w:rPr>
                <w:snapToGrid w:val="0"/>
                <w:color w:val="auto"/>
                <w:kern w:val="0"/>
                <w:szCs w:val="21"/>
                <w:highlight w:val="none"/>
              </w:rPr>
              <w:t>P3</w:t>
            </w:r>
          </w:p>
        </w:tc>
        <w:tc>
          <w:tcPr>
            <w:tcW w:w="1598"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14:paraId="77985332">
            <w:pPr>
              <w:adjustRightInd w:val="0"/>
              <w:snapToGrid w:val="0"/>
              <w:jc w:val="center"/>
              <w:rPr>
                <w:snapToGrid w:val="0"/>
                <w:color w:val="auto"/>
                <w:kern w:val="0"/>
                <w:szCs w:val="21"/>
                <w:highlight w:val="none"/>
              </w:rPr>
            </w:pPr>
            <w:r>
              <w:rPr>
                <w:snapToGrid w:val="0"/>
                <w:color w:val="auto"/>
                <w:kern w:val="0"/>
                <w:szCs w:val="21"/>
                <w:highlight w:val="none"/>
              </w:rPr>
              <w:t>P4</w:t>
            </w:r>
          </w:p>
        </w:tc>
        <w:tc>
          <w:tcPr>
            <w:tcW w:w="1591" w:type="dxa"/>
            <w:tcBorders>
              <w:top w:val="single" w:color="000000" w:sz="4" w:space="0"/>
              <w:left w:val="single" w:color="000000" w:sz="4" w:space="0"/>
              <w:bottom w:val="single" w:color="auto" w:sz="4" w:space="0"/>
              <w:right w:val="single" w:color="auto" w:sz="4" w:space="0"/>
              <w:tl2br w:val="nil"/>
              <w:tr2bl w:val="nil"/>
            </w:tcBorders>
            <w:shd w:val="clear" w:color="auto" w:fill="auto"/>
            <w:vAlign w:val="center"/>
          </w:tcPr>
          <w:p w14:paraId="3DF5CBD0">
            <w:pPr>
              <w:adjustRightInd w:val="0"/>
              <w:snapToGrid w:val="0"/>
              <w:jc w:val="center"/>
              <w:rPr>
                <w:snapToGrid w:val="0"/>
                <w:color w:val="auto"/>
                <w:kern w:val="0"/>
                <w:szCs w:val="21"/>
                <w:highlight w:val="none"/>
              </w:rPr>
            </w:pPr>
            <w:r>
              <w:rPr>
                <w:snapToGrid w:val="0"/>
                <w:color w:val="auto"/>
                <w:kern w:val="0"/>
                <w:szCs w:val="21"/>
                <w:highlight w:val="none"/>
              </w:rPr>
              <w:t>P4</w:t>
            </w:r>
          </w:p>
        </w:tc>
      </w:tr>
    </w:tbl>
    <w:p w14:paraId="642FD191">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本项目危险物质数量与临界量比值Q</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rPr>
        <w:t>100，行业和生产工艺为M3，根据上表内容，本项目危险物质及工艺系统危险性为P</w:t>
      </w:r>
      <w:r>
        <w:rPr>
          <w:rFonts w:hint="eastAsia" w:cs="Times New Roman"/>
          <w:color w:val="auto"/>
          <w:kern w:val="0"/>
          <w:sz w:val="24"/>
          <w:highlight w:val="none"/>
          <w:lang w:val="en-US" w:eastAsia="zh-CN"/>
        </w:rPr>
        <w:t>2</w:t>
      </w:r>
      <w:r>
        <w:rPr>
          <w:rFonts w:hint="eastAsia" w:ascii="Times New Roman" w:hAnsi="Times New Roman" w:eastAsia="宋体" w:cs="Times New Roman"/>
          <w:color w:val="auto"/>
          <w:kern w:val="0"/>
          <w:sz w:val="24"/>
          <w:highlight w:val="none"/>
        </w:rPr>
        <w:t>。</w:t>
      </w:r>
    </w:p>
    <w:p w14:paraId="7D9C383F">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color w:val="auto"/>
          <w:kern w:val="0"/>
          <w:sz w:val="24"/>
          <w:highlight w:val="none"/>
        </w:rPr>
      </w:pPr>
    </w:p>
    <w:p w14:paraId="6BA5D1B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6.3.3.4生态环境敏感程度（E）的分级</w:t>
      </w:r>
    </w:p>
    <w:p w14:paraId="455EB475">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（1）大气环境</w:t>
      </w:r>
    </w:p>
    <w:p w14:paraId="63B9D937">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依据环境敏感目标环境敏感性及人口密度划分环境风险受体的敏感性，共分为三种类型，E1为环境高度敏感区，E2为环境中度敏感区，E3为环境低度敏感区，分级原则见表6.3-7。</w:t>
      </w:r>
    </w:p>
    <w:p w14:paraId="5D78CCE3">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6.3-7 大气环境敏感程度分级表</w:t>
      </w:r>
    </w:p>
    <w:tbl>
      <w:tblPr>
        <w:tblStyle w:val="56"/>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5"/>
        <w:gridCol w:w="7761"/>
      </w:tblGrid>
      <w:tr w14:paraId="3B6AAB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00" w:type="pct"/>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14:paraId="223F90CB">
            <w:pPr>
              <w:adjustRightInd w:val="0"/>
              <w:snapToGrid w:val="0"/>
              <w:jc w:val="center"/>
              <w:rPr>
                <w:snapToGrid w:val="0"/>
                <w:color w:val="auto"/>
                <w:kern w:val="0"/>
                <w:szCs w:val="21"/>
                <w:highlight w:val="none"/>
              </w:rPr>
            </w:pPr>
            <w:r>
              <w:rPr>
                <w:snapToGrid w:val="0"/>
                <w:color w:val="auto"/>
                <w:kern w:val="0"/>
                <w:szCs w:val="21"/>
                <w:highlight w:val="none"/>
              </w:rPr>
              <w:t>分级</w:t>
            </w:r>
          </w:p>
        </w:tc>
        <w:tc>
          <w:tcPr>
            <w:tcW w:w="4599" w:type="pct"/>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14:paraId="395E33B3">
            <w:pPr>
              <w:adjustRightInd w:val="0"/>
              <w:snapToGrid w:val="0"/>
              <w:jc w:val="center"/>
              <w:rPr>
                <w:snapToGrid w:val="0"/>
                <w:color w:val="auto"/>
                <w:kern w:val="0"/>
                <w:szCs w:val="21"/>
                <w:highlight w:val="none"/>
              </w:rPr>
            </w:pPr>
            <w:r>
              <w:rPr>
                <w:snapToGrid w:val="0"/>
                <w:color w:val="auto"/>
                <w:kern w:val="0"/>
                <w:szCs w:val="21"/>
                <w:highlight w:val="none"/>
              </w:rPr>
              <w:t>大气环境敏感性</w:t>
            </w:r>
          </w:p>
        </w:tc>
      </w:tr>
      <w:tr w14:paraId="3FA838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00" w:type="pct"/>
            <w:tcBorders>
              <w:top w:val="single" w:color="000000" w:sz="4" w:space="0"/>
              <w:left w:val="single" w:color="auto" w:sz="4" w:space="0"/>
              <w:bottom w:val="single" w:color="000000" w:sz="4" w:space="0"/>
              <w:right w:val="single" w:color="000000" w:sz="4" w:space="0"/>
              <w:tl2br w:val="nil"/>
              <w:tr2bl w:val="nil"/>
            </w:tcBorders>
            <w:shd w:val="clear" w:color="auto" w:fill="auto"/>
            <w:vAlign w:val="center"/>
          </w:tcPr>
          <w:p w14:paraId="78130655">
            <w:pPr>
              <w:adjustRightInd w:val="0"/>
              <w:snapToGrid w:val="0"/>
              <w:jc w:val="center"/>
              <w:rPr>
                <w:snapToGrid w:val="0"/>
                <w:color w:val="auto"/>
                <w:kern w:val="0"/>
                <w:szCs w:val="21"/>
                <w:highlight w:val="none"/>
              </w:rPr>
            </w:pPr>
            <w:r>
              <w:rPr>
                <w:snapToGrid w:val="0"/>
                <w:color w:val="auto"/>
                <w:kern w:val="0"/>
                <w:szCs w:val="21"/>
                <w:highlight w:val="none"/>
              </w:rPr>
              <w:t>E1</w:t>
            </w:r>
          </w:p>
        </w:tc>
        <w:tc>
          <w:tcPr>
            <w:tcW w:w="4599" w:type="pct"/>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14:paraId="307D260D">
            <w:pPr>
              <w:adjustRightInd w:val="0"/>
              <w:snapToGrid w:val="0"/>
              <w:jc w:val="left"/>
              <w:rPr>
                <w:snapToGrid w:val="0"/>
                <w:color w:val="auto"/>
                <w:kern w:val="0"/>
                <w:szCs w:val="21"/>
                <w:highlight w:val="none"/>
              </w:rPr>
            </w:pPr>
            <w:r>
              <w:rPr>
                <w:snapToGrid w:val="0"/>
                <w:color w:val="auto"/>
                <w:kern w:val="0"/>
                <w:szCs w:val="21"/>
                <w:highlight w:val="none"/>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p>
        </w:tc>
      </w:tr>
      <w:tr w14:paraId="0C8A33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00" w:type="pct"/>
            <w:tcBorders>
              <w:top w:val="single" w:color="000000" w:sz="4" w:space="0"/>
              <w:left w:val="single" w:color="auto" w:sz="4" w:space="0"/>
              <w:bottom w:val="single" w:color="000000" w:sz="4" w:space="0"/>
              <w:right w:val="single" w:color="000000" w:sz="4" w:space="0"/>
              <w:tl2br w:val="nil"/>
              <w:tr2bl w:val="nil"/>
            </w:tcBorders>
            <w:shd w:val="clear" w:color="auto" w:fill="auto"/>
            <w:vAlign w:val="center"/>
          </w:tcPr>
          <w:p w14:paraId="79AF6141">
            <w:pPr>
              <w:adjustRightInd w:val="0"/>
              <w:snapToGrid w:val="0"/>
              <w:jc w:val="center"/>
              <w:rPr>
                <w:snapToGrid w:val="0"/>
                <w:color w:val="auto"/>
                <w:kern w:val="0"/>
                <w:szCs w:val="21"/>
                <w:highlight w:val="none"/>
              </w:rPr>
            </w:pPr>
            <w:r>
              <w:rPr>
                <w:snapToGrid w:val="0"/>
                <w:color w:val="auto"/>
                <w:kern w:val="0"/>
                <w:szCs w:val="21"/>
                <w:highlight w:val="none"/>
              </w:rPr>
              <w:t>E2</w:t>
            </w:r>
          </w:p>
        </w:tc>
        <w:tc>
          <w:tcPr>
            <w:tcW w:w="4599" w:type="pct"/>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14:paraId="77448571">
            <w:pPr>
              <w:adjustRightInd w:val="0"/>
              <w:snapToGrid w:val="0"/>
              <w:jc w:val="left"/>
              <w:rPr>
                <w:snapToGrid w:val="0"/>
                <w:color w:val="auto"/>
                <w:kern w:val="0"/>
                <w:szCs w:val="21"/>
                <w:highlight w:val="none"/>
              </w:rPr>
            </w:pPr>
            <w:r>
              <w:rPr>
                <w:snapToGrid w:val="0"/>
                <w:color w:val="auto"/>
                <w:kern w:val="0"/>
                <w:szCs w:val="21"/>
                <w:highlight w:val="none"/>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14:paraId="208700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00" w:type="pct"/>
            <w:tcBorders>
              <w:top w:val="single" w:color="000000" w:sz="4" w:space="0"/>
              <w:left w:val="single" w:color="auto" w:sz="4" w:space="0"/>
              <w:bottom w:val="single" w:color="auto" w:sz="4" w:space="0"/>
              <w:right w:val="single" w:color="000000" w:sz="4" w:space="0"/>
              <w:tl2br w:val="nil"/>
              <w:tr2bl w:val="nil"/>
            </w:tcBorders>
            <w:shd w:val="clear" w:color="auto" w:fill="auto"/>
            <w:vAlign w:val="center"/>
          </w:tcPr>
          <w:p w14:paraId="6F98FD61">
            <w:pPr>
              <w:adjustRightInd w:val="0"/>
              <w:snapToGrid w:val="0"/>
              <w:jc w:val="center"/>
              <w:rPr>
                <w:snapToGrid w:val="0"/>
                <w:color w:val="auto"/>
                <w:kern w:val="0"/>
                <w:szCs w:val="21"/>
                <w:highlight w:val="none"/>
              </w:rPr>
            </w:pPr>
            <w:r>
              <w:rPr>
                <w:snapToGrid w:val="0"/>
                <w:color w:val="auto"/>
                <w:kern w:val="0"/>
                <w:szCs w:val="21"/>
                <w:highlight w:val="none"/>
              </w:rPr>
              <w:t>E3</w:t>
            </w:r>
          </w:p>
        </w:tc>
        <w:tc>
          <w:tcPr>
            <w:tcW w:w="4599" w:type="pct"/>
            <w:tcBorders>
              <w:top w:val="single" w:color="000000" w:sz="4" w:space="0"/>
              <w:left w:val="single" w:color="000000" w:sz="4" w:space="0"/>
              <w:bottom w:val="single" w:color="auto" w:sz="4" w:space="0"/>
              <w:right w:val="single" w:color="auto" w:sz="4" w:space="0"/>
              <w:tl2br w:val="nil"/>
              <w:tr2bl w:val="nil"/>
            </w:tcBorders>
            <w:shd w:val="clear" w:color="auto" w:fill="auto"/>
            <w:vAlign w:val="center"/>
          </w:tcPr>
          <w:p w14:paraId="5FEB826A">
            <w:pPr>
              <w:adjustRightInd w:val="0"/>
              <w:snapToGrid w:val="0"/>
              <w:jc w:val="left"/>
              <w:rPr>
                <w:snapToGrid w:val="0"/>
                <w:color w:val="auto"/>
                <w:kern w:val="0"/>
                <w:szCs w:val="21"/>
                <w:highlight w:val="none"/>
              </w:rPr>
            </w:pPr>
            <w:r>
              <w:rPr>
                <w:snapToGrid w:val="0"/>
                <w:color w:val="auto"/>
                <w:kern w:val="0"/>
                <w:szCs w:val="21"/>
                <w:highlight w:val="none"/>
              </w:rPr>
              <w:t>周边5km范围内居住区、医疗卫生、文化教育、科研、行政办公等机构人口总数小于1万人；或周边500m范围内人口总数小于500人；油气、化学品输送管线管段周边200m范围内，每千米管段人口数小于100人</w:t>
            </w:r>
          </w:p>
        </w:tc>
      </w:tr>
    </w:tbl>
    <w:p w14:paraId="68FB4FD4">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本项目位于</w:t>
      </w:r>
      <w:r>
        <w:rPr>
          <w:rFonts w:hint="eastAsia" w:ascii="Times New Roman" w:hAnsi="Times New Roman" w:eastAsia="宋体" w:cs="Times New Roman"/>
          <w:color w:val="auto"/>
          <w:kern w:val="0"/>
          <w:sz w:val="24"/>
          <w:highlight w:val="none"/>
          <w:lang w:val="fr-FR"/>
        </w:rPr>
        <w:t>乌苏市</w:t>
      </w:r>
      <w:r>
        <w:rPr>
          <w:rFonts w:hint="eastAsia" w:ascii="Times New Roman" w:hAnsi="Times New Roman" w:eastAsia="宋体" w:cs="Times New Roman"/>
          <w:color w:val="auto"/>
          <w:kern w:val="0"/>
          <w:sz w:val="24"/>
          <w:highlight w:val="none"/>
        </w:rPr>
        <w:t>化工产业集中区凯赛（乌苏）生物材料有限公司厂区内，根据现场调查，本项目500m内的人口总数约为450人，5km范围内的人口总数约为20</w:t>
      </w:r>
      <w:r>
        <w:rPr>
          <w:rFonts w:hint="eastAsia" w:cs="Times New Roman"/>
          <w:color w:val="auto"/>
          <w:kern w:val="0"/>
          <w:sz w:val="24"/>
          <w:highlight w:val="none"/>
          <w:lang w:val="en-US" w:eastAsia="zh-CN"/>
        </w:rPr>
        <w:t>2</w:t>
      </w:r>
      <w:r>
        <w:rPr>
          <w:rFonts w:hint="eastAsia" w:ascii="Times New Roman" w:hAnsi="Times New Roman" w:eastAsia="宋体" w:cs="Times New Roman"/>
          <w:color w:val="auto"/>
          <w:kern w:val="0"/>
          <w:sz w:val="24"/>
          <w:highlight w:val="none"/>
        </w:rPr>
        <w:t>0人，因此本项目大气环境风险受体敏感程度类型属于周边5km范围内居住区、医疗卫生、文化教育、科研、行政办公等机构人口总数小于1万人；或周边500m范围内人口总数小于500人，大气环境风险受体敏感程度类型为E3。</w:t>
      </w:r>
    </w:p>
    <w:p w14:paraId="56CECDF1">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（2）地表水环境</w:t>
      </w:r>
    </w:p>
    <w:p w14:paraId="7699C151">
      <w:pPr>
        <w:spacing w:line="360" w:lineRule="auto"/>
        <w:ind w:firstLine="480" w:firstLineChars="200"/>
        <w:rPr>
          <w:rFonts w:hint="eastAsia"/>
          <w:color w:val="auto"/>
          <w:sz w:val="24"/>
          <w:highlight w:val="none"/>
        </w:rPr>
      </w:pPr>
      <w:r>
        <w:rPr>
          <w:rFonts w:hint="eastAsia"/>
          <w:color w:val="auto"/>
          <w:sz w:val="24"/>
          <w:highlight w:val="none"/>
        </w:rPr>
        <w:t>依据事故情况下危险物质泄漏到水体的排放点受纳地表水体功能敏感性，与下游环境敏感目标情况对地表水敏感程度进行划分。</w:t>
      </w:r>
    </w:p>
    <w:p w14:paraId="115AA93F">
      <w:pPr>
        <w:adjustRightInd w:val="0"/>
        <w:snapToGrid w:val="0"/>
        <w:spacing w:line="360" w:lineRule="auto"/>
        <w:ind w:firstLine="480" w:firstLineChars="200"/>
        <w:rPr>
          <w:rFonts w:hint="eastAsia" w:eastAsiaTheme="minorEastAsia"/>
          <w:color w:val="auto"/>
          <w:sz w:val="24"/>
          <w:highlight w:val="none"/>
          <w:lang w:eastAsia="zh-CN"/>
        </w:rPr>
      </w:pPr>
      <w:r>
        <w:rPr>
          <w:rFonts w:hint="eastAsia"/>
          <w:snapToGrid w:val="0"/>
          <w:color w:val="auto"/>
          <w:kern w:val="0"/>
          <w:sz w:val="24"/>
          <w:highlight w:val="none"/>
        </w:rPr>
        <w:t>本项目废水均不排入地表水体</w:t>
      </w:r>
      <w:r>
        <w:rPr>
          <w:rFonts w:hint="eastAsia"/>
          <w:color w:val="auto"/>
          <w:kern w:val="0"/>
          <w:sz w:val="24"/>
          <w:highlight w:val="none"/>
        </w:rPr>
        <w:t>，</w:t>
      </w:r>
      <w:r>
        <w:rPr>
          <w:rFonts w:hint="eastAsia" w:eastAsiaTheme="minorEastAsia"/>
          <w:color w:val="auto"/>
          <w:sz w:val="24"/>
          <w:highlight w:val="none"/>
          <w:lang w:eastAsia="zh-CN"/>
        </w:rPr>
        <w:t>事故状态废水全部进入事故池储存后排至污水处理厂处置，均不排入地表水体，本项目不考虑风险事故泄漏危险物质对地表水体的影响。</w:t>
      </w:r>
      <w:r>
        <w:rPr>
          <w:rFonts w:hint="eastAsia" w:ascii="Times New Roman" w:hAnsi="Times New Roman" w:eastAsia="宋体" w:cs="Times New Roman"/>
          <w:color w:val="auto"/>
          <w:sz w:val="24"/>
          <w:highlight w:val="none"/>
        </w:rPr>
        <w:t>因此，本项目不涉及地表水环境风险评价。</w:t>
      </w:r>
    </w:p>
    <w:p w14:paraId="4744EFBE">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（3）地下水环境</w:t>
      </w:r>
    </w:p>
    <w:p w14:paraId="6DF643FF">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依据地下水功能敏感性与包气带防污性能，共分为三种类型，E1为环境高度敏感区，E2为环境中度敏感区，E3为环境低度敏感区，分级原则见表6.3-</w:t>
      </w:r>
      <w:r>
        <w:rPr>
          <w:rFonts w:hint="eastAsia" w:eastAsiaTheme="minorEastAsia"/>
          <w:snapToGrid w:val="0"/>
          <w:color w:val="auto"/>
          <w:kern w:val="0"/>
          <w:sz w:val="24"/>
          <w:highlight w:val="none"/>
          <w:lang w:val="en-US" w:eastAsia="zh-CN"/>
        </w:rPr>
        <w:t>8</w:t>
      </w:r>
      <w:r>
        <w:rPr>
          <w:rFonts w:hint="eastAsia" w:eastAsiaTheme="minorEastAsia"/>
          <w:snapToGrid w:val="0"/>
          <w:color w:val="auto"/>
          <w:kern w:val="0"/>
          <w:sz w:val="24"/>
          <w:highlight w:val="none"/>
        </w:rPr>
        <w:t>。其中地下水功能敏感性分区和包气带防污性能分级分别见表6.3-</w:t>
      </w:r>
      <w:r>
        <w:rPr>
          <w:rFonts w:hint="eastAsia" w:eastAsiaTheme="minorEastAsia"/>
          <w:snapToGrid w:val="0"/>
          <w:color w:val="auto"/>
          <w:kern w:val="0"/>
          <w:sz w:val="24"/>
          <w:highlight w:val="none"/>
          <w:lang w:val="en-US" w:eastAsia="zh-CN"/>
        </w:rPr>
        <w:t>9</w:t>
      </w:r>
      <w:r>
        <w:rPr>
          <w:rFonts w:hint="eastAsia" w:eastAsiaTheme="minorEastAsia"/>
          <w:snapToGrid w:val="0"/>
          <w:color w:val="auto"/>
          <w:kern w:val="0"/>
          <w:sz w:val="24"/>
          <w:highlight w:val="none"/>
        </w:rPr>
        <w:t>和表6.3-1</w:t>
      </w:r>
      <w:r>
        <w:rPr>
          <w:rFonts w:hint="eastAsia" w:eastAsiaTheme="minorEastAsia"/>
          <w:snapToGrid w:val="0"/>
          <w:color w:val="auto"/>
          <w:kern w:val="0"/>
          <w:sz w:val="24"/>
          <w:highlight w:val="none"/>
          <w:lang w:val="en-US" w:eastAsia="zh-CN"/>
        </w:rPr>
        <w:t>0</w:t>
      </w:r>
      <w:r>
        <w:rPr>
          <w:rFonts w:hint="eastAsia" w:eastAsiaTheme="minorEastAsia"/>
          <w:snapToGrid w:val="0"/>
          <w:color w:val="auto"/>
          <w:kern w:val="0"/>
          <w:sz w:val="24"/>
          <w:highlight w:val="none"/>
        </w:rPr>
        <w:t>。当同一建设项目涉及两个G分区或D分级及以上时，取相对高值。</w:t>
      </w:r>
    </w:p>
    <w:p w14:paraId="7DB6C63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w:t>
      </w:r>
      <w:r>
        <w:rPr>
          <w:rFonts w:hint="eastAsia" w:ascii="Times New Roman" w:hAnsi="Times New Roman" w:cs="Times New Roman"/>
          <w:snapToGrid w:val="0"/>
          <w:color w:val="auto"/>
          <w:kern w:val="0"/>
          <w:sz w:val="21"/>
          <w:szCs w:val="21"/>
          <w:highlight w:val="none"/>
          <w:lang w:val="en-US" w:eastAsia="zh-CN"/>
        </w:rPr>
        <w:t>8</w:t>
      </w:r>
      <w:r>
        <w:rPr>
          <w:rFonts w:hint="eastAsia" w:ascii="Times New Roman" w:hAnsi="Times New Roman" w:cs="Times New Roman"/>
          <w:snapToGrid w:val="0"/>
          <w:color w:val="auto"/>
          <w:kern w:val="0"/>
          <w:sz w:val="21"/>
          <w:szCs w:val="21"/>
          <w:highlight w:val="none"/>
        </w:rPr>
        <w:t xml:space="preserve"> 地下水环境敏感程度分级表</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2109"/>
        <w:gridCol w:w="2109"/>
        <w:gridCol w:w="2109"/>
      </w:tblGrid>
      <w:tr w14:paraId="3472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50" w:type="pct"/>
            <w:vMerge w:val="restart"/>
            <w:shd w:val="clear" w:color="auto" w:fill="auto"/>
            <w:vAlign w:val="center"/>
          </w:tcPr>
          <w:p w14:paraId="3E6C263A">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环境敏感目标</w:t>
            </w:r>
          </w:p>
        </w:tc>
        <w:tc>
          <w:tcPr>
            <w:tcW w:w="3750" w:type="pct"/>
            <w:gridSpan w:val="3"/>
            <w:shd w:val="clear" w:color="auto" w:fill="auto"/>
            <w:vAlign w:val="center"/>
          </w:tcPr>
          <w:p w14:paraId="67255B65">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地下水功能敏感性</w:t>
            </w:r>
          </w:p>
        </w:tc>
      </w:tr>
      <w:tr w14:paraId="7896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50" w:type="pct"/>
            <w:vMerge w:val="continue"/>
            <w:shd w:val="clear" w:color="auto" w:fill="auto"/>
            <w:vAlign w:val="center"/>
          </w:tcPr>
          <w:p w14:paraId="2AEE5F9A">
            <w:pPr>
              <w:pStyle w:val="304"/>
              <w:adjustRightInd w:val="0"/>
              <w:snapToGrid w:val="0"/>
              <w:spacing w:before="0" w:after="0" w:line="260" w:lineRule="exact"/>
              <w:ind w:left="0" w:right="0"/>
              <w:rPr>
                <w:rFonts w:eastAsia="Times New Roman"/>
                <w:snapToGrid w:val="0"/>
                <w:color w:val="auto"/>
                <w:kern w:val="0"/>
                <w:sz w:val="21"/>
                <w:szCs w:val="21"/>
                <w:highlight w:val="none"/>
              </w:rPr>
            </w:pPr>
          </w:p>
        </w:tc>
        <w:tc>
          <w:tcPr>
            <w:tcW w:w="1250" w:type="pct"/>
            <w:shd w:val="clear" w:color="auto" w:fill="auto"/>
            <w:vAlign w:val="center"/>
          </w:tcPr>
          <w:p w14:paraId="5084EEFB">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G1</w:t>
            </w:r>
          </w:p>
        </w:tc>
        <w:tc>
          <w:tcPr>
            <w:tcW w:w="1250" w:type="pct"/>
            <w:shd w:val="clear" w:color="auto" w:fill="auto"/>
            <w:vAlign w:val="center"/>
          </w:tcPr>
          <w:p w14:paraId="1257C04B">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G2</w:t>
            </w:r>
          </w:p>
        </w:tc>
        <w:tc>
          <w:tcPr>
            <w:tcW w:w="1250" w:type="pct"/>
            <w:shd w:val="clear" w:color="auto" w:fill="auto"/>
            <w:vAlign w:val="center"/>
          </w:tcPr>
          <w:p w14:paraId="268FCE2F">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G3</w:t>
            </w:r>
          </w:p>
        </w:tc>
      </w:tr>
      <w:tr w14:paraId="6C3D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50" w:type="pct"/>
            <w:shd w:val="clear" w:color="auto" w:fill="auto"/>
            <w:vAlign w:val="center"/>
          </w:tcPr>
          <w:p w14:paraId="16899962">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D1</w:t>
            </w:r>
          </w:p>
        </w:tc>
        <w:tc>
          <w:tcPr>
            <w:tcW w:w="1250" w:type="pct"/>
            <w:shd w:val="clear" w:color="auto" w:fill="auto"/>
            <w:vAlign w:val="center"/>
          </w:tcPr>
          <w:p w14:paraId="3C29F040">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E1</w:t>
            </w:r>
          </w:p>
        </w:tc>
        <w:tc>
          <w:tcPr>
            <w:tcW w:w="1250" w:type="pct"/>
            <w:shd w:val="clear" w:color="auto" w:fill="auto"/>
            <w:vAlign w:val="center"/>
          </w:tcPr>
          <w:p w14:paraId="4CAAF208">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E1</w:t>
            </w:r>
          </w:p>
        </w:tc>
        <w:tc>
          <w:tcPr>
            <w:tcW w:w="1250" w:type="pct"/>
            <w:shd w:val="clear" w:color="auto" w:fill="auto"/>
            <w:vAlign w:val="center"/>
          </w:tcPr>
          <w:p w14:paraId="3037D6C6">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E2</w:t>
            </w:r>
          </w:p>
        </w:tc>
      </w:tr>
      <w:tr w14:paraId="1DB3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50" w:type="pct"/>
            <w:shd w:val="clear" w:color="auto" w:fill="auto"/>
            <w:vAlign w:val="center"/>
          </w:tcPr>
          <w:p w14:paraId="5B433081">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D2</w:t>
            </w:r>
          </w:p>
        </w:tc>
        <w:tc>
          <w:tcPr>
            <w:tcW w:w="1250" w:type="pct"/>
            <w:shd w:val="clear" w:color="auto" w:fill="auto"/>
            <w:vAlign w:val="center"/>
          </w:tcPr>
          <w:p w14:paraId="3A062D48">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E1</w:t>
            </w:r>
          </w:p>
        </w:tc>
        <w:tc>
          <w:tcPr>
            <w:tcW w:w="1250" w:type="pct"/>
            <w:shd w:val="clear" w:color="auto" w:fill="auto"/>
            <w:vAlign w:val="center"/>
          </w:tcPr>
          <w:p w14:paraId="68838059">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E2</w:t>
            </w:r>
          </w:p>
        </w:tc>
        <w:tc>
          <w:tcPr>
            <w:tcW w:w="1250" w:type="pct"/>
            <w:shd w:val="clear" w:color="auto" w:fill="auto"/>
            <w:vAlign w:val="center"/>
          </w:tcPr>
          <w:p w14:paraId="63F400BE">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E3</w:t>
            </w:r>
          </w:p>
        </w:tc>
      </w:tr>
      <w:tr w14:paraId="3F81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50" w:type="pct"/>
            <w:shd w:val="clear" w:color="auto" w:fill="auto"/>
            <w:vAlign w:val="center"/>
          </w:tcPr>
          <w:p w14:paraId="24D3071F">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D3</w:t>
            </w:r>
          </w:p>
        </w:tc>
        <w:tc>
          <w:tcPr>
            <w:tcW w:w="1250" w:type="pct"/>
            <w:shd w:val="clear" w:color="auto" w:fill="auto"/>
            <w:vAlign w:val="center"/>
          </w:tcPr>
          <w:p w14:paraId="20E03630">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E2</w:t>
            </w:r>
          </w:p>
        </w:tc>
        <w:tc>
          <w:tcPr>
            <w:tcW w:w="1250" w:type="pct"/>
            <w:shd w:val="clear" w:color="auto" w:fill="auto"/>
            <w:vAlign w:val="center"/>
          </w:tcPr>
          <w:p w14:paraId="571E2A72">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E3</w:t>
            </w:r>
          </w:p>
        </w:tc>
        <w:tc>
          <w:tcPr>
            <w:tcW w:w="1250" w:type="pct"/>
            <w:shd w:val="clear" w:color="auto" w:fill="auto"/>
            <w:vAlign w:val="center"/>
          </w:tcPr>
          <w:p w14:paraId="457DF86D">
            <w:pPr>
              <w:pStyle w:val="304"/>
              <w:adjustRightInd w:val="0"/>
              <w:snapToGrid w:val="0"/>
              <w:spacing w:before="0" w:after="0" w:line="260" w:lineRule="exact"/>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E3</w:t>
            </w:r>
          </w:p>
        </w:tc>
      </w:tr>
    </w:tbl>
    <w:p w14:paraId="5ED36D29">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before="157"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w:t>
      </w:r>
      <w:r>
        <w:rPr>
          <w:rFonts w:hint="eastAsia" w:ascii="Times New Roman" w:hAnsi="Times New Roman" w:cs="Times New Roman"/>
          <w:snapToGrid w:val="0"/>
          <w:color w:val="auto"/>
          <w:kern w:val="0"/>
          <w:sz w:val="21"/>
          <w:szCs w:val="21"/>
          <w:highlight w:val="none"/>
          <w:lang w:val="en-US" w:eastAsia="zh-CN"/>
        </w:rPr>
        <w:t>9</w:t>
      </w:r>
      <w:r>
        <w:rPr>
          <w:rFonts w:hint="eastAsia" w:ascii="Times New Roman" w:hAnsi="Times New Roman" w:cs="Times New Roman"/>
          <w:snapToGrid w:val="0"/>
          <w:color w:val="auto"/>
          <w:kern w:val="0"/>
          <w:sz w:val="21"/>
          <w:szCs w:val="21"/>
          <w:highlight w:val="none"/>
        </w:rPr>
        <w:t xml:space="preserve"> 地下水功能敏感性分区表</w:t>
      </w:r>
    </w:p>
    <w:tbl>
      <w:tblPr>
        <w:tblStyle w:val="5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7315"/>
      </w:tblGrid>
      <w:tr w14:paraId="76144B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3" w:type="pct"/>
            <w:tcBorders>
              <w:top w:val="single" w:color="auto" w:sz="4" w:space="0"/>
              <w:left w:val="single" w:color="auto" w:sz="4" w:space="0"/>
            </w:tcBorders>
            <w:shd w:val="clear" w:color="auto" w:fill="auto"/>
            <w:vAlign w:val="center"/>
          </w:tcPr>
          <w:p w14:paraId="282400BA">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敏感性</w:t>
            </w:r>
          </w:p>
        </w:tc>
        <w:tc>
          <w:tcPr>
            <w:tcW w:w="4336" w:type="pct"/>
            <w:tcBorders>
              <w:top w:val="single" w:color="auto" w:sz="4" w:space="0"/>
              <w:right w:val="single" w:color="auto" w:sz="4" w:space="0"/>
            </w:tcBorders>
            <w:shd w:val="clear" w:color="auto" w:fill="auto"/>
            <w:vAlign w:val="center"/>
          </w:tcPr>
          <w:p w14:paraId="7463D2F8">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地下水环境敏感特征</w:t>
            </w:r>
          </w:p>
        </w:tc>
      </w:tr>
      <w:tr w14:paraId="4E892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3" w:type="pct"/>
            <w:tcBorders>
              <w:left w:val="single" w:color="auto" w:sz="4" w:space="0"/>
            </w:tcBorders>
            <w:shd w:val="clear" w:color="auto" w:fill="auto"/>
            <w:vAlign w:val="center"/>
          </w:tcPr>
          <w:p w14:paraId="50299743">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敏感G1</w:t>
            </w:r>
          </w:p>
        </w:tc>
        <w:tc>
          <w:tcPr>
            <w:tcW w:w="4336" w:type="pct"/>
            <w:tcBorders>
              <w:right w:val="single" w:color="auto" w:sz="4" w:space="0"/>
            </w:tcBorders>
            <w:shd w:val="clear" w:color="auto" w:fill="auto"/>
            <w:vAlign w:val="center"/>
          </w:tcPr>
          <w:p w14:paraId="11444F45">
            <w:pPr>
              <w:pStyle w:val="304"/>
              <w:adjustRightInd w:val="0"/>
              <w:snapToGrid w:val="0"/>
              <w:spacing w:before="0" w:after="0" w:line="240" w:lineRule="auto"/>
              <w:ind w:left="0" w:right="0"/>
              <w:jc w:val="both"/>
              <w:rPr>
                <w:rFonts w:eastAsia="Times New Roman"/>
                <w:snapToGrid w:val="0"/>
                <w:color w:val="auto"/>
                <w:kern w:val="0"/>
                <w:sz w:val="21"/>
                <w:szCs w:val="21"/>
                <w:highlight w:val="none"/>
              </w:rPr>
            </w:pPr>
            <w:r>
              <w:rPr>
                <w:rFonts w:eastAsia="Times New Roman"/>
                <w:snapToGrid w:val="0"/>
                <w:color w:val="auto"/>
                <w:kern w:val="0"/>
                <w:sz w:val="21"/>
                <w:szCs w:val="21"/>
                <w:highlight w:val="none"/>
              </w:rPr>
              <w:t>集中式饮用水水</w:t>
            </w:r>
            <w:r>
              <w:rPr>
                <w:rFonts w:hint="eastAsia" w:eastAsia="Times New Roman"/>
                <w:snapToGrid w:val="0"/>
                <w:color w:val="auto"/>
                <w:kern w:val="0"/>
                <w:sz w:val="21"/>
                <w:szCs w:val="21"/>
                <w:highlight w:val="none"/>
              </w:rPr>
              <w:t>源地</w:t>
            </w:r>
            <w:r>
              <w:rPr>
                <w:rFonts w:eastAsia="Times New Roman"/>
                <w:snapToGrid w:val="0"/>
                <w:color w:val="auto"/>
                <w:kern w:val="0"/>
                <w:sz w:val="21"/>
                <w:szCs w:val="21"/>
                <w:highlight w:val="none"/>
              </w:rPr>
              <w:t>（包括</w:t>
            </w:r>
            <w:r>
              <w:rPr>
                <w:rFonts w:hint="eastAsia" w:eastAsia="Times New Roman"/>
                <w:snapToGrid w:val="0"/>
                <w:color w:val="auto"/>
                <w:kern w:val="0"/>
                <w:sz w:val="21"/>
                <w:szCs w:val="21"/>
                <w:highlight w:val="none"/>
              </w:rPr>
              <w:t>已建成</w:t>
            </w:r>
            <w:r>
              <w:rPr>
                <w:rFonts w:eastAsia="Times New Roman"/>
                <w:snapToGrid w:val="0"/>
                <w:color w:val="auto"/>
                <w:kern w:val="0"/>
                <w:sz w:val="21"/>
                <w:szCs w:val="21"/>
                <w:highlight w:val="none"/>
              </w:rPr>
              <w:t>的在用、备用、应急水源地，在建和规划的水源地）准保护区；除集中式饮用水水源地以外的国家或地方政府设定的与地下水环境</w:t>
            </w:r>
            <w:r>
              <w:rPr>
                <w:rFonts w:hint="eastAsia" w:eastAsia="Times New Roman"/>
                <w:snapToGrid w:val="0"/>
                <w:color w:val="auto"/>
                <w:kern w:val="0"/>
                <w:sz w:val="21"/>
                <w:szCs w:val="21"/>
                <w:highlight w:val="none"/>
              </w:rPr>
              <w:t>相关的其他</w:t>
            </w:r>
            <w:r>
              <w:rPr>
                <w:rFonts w:eastAsia="Times New Roman"/>
                <w:snapToGrid w:val="0"/>
                <w:color w:val="auto"/>
                <w:kern w:val="0"/>
                <w:sz w:val="21"/>
                <w:szCs w:val="21"/>
                <w:highlight w:val="none"/>
              </w:rPr>
              <w:t>保护区，如热水、矿泉水、温泉等特殊地下水资源保护区。</w:t>
            </w:r>
          </w:p>
        </w:tc>
      </w:tr>
      <w:tr w14:paraId="0C13B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3" w:type="pct"/>
            <w:tcBorders>
              <w:left w:val="single" w:color="auto" w:sz="4" w:space="0"/>
            </w:tcBorders>
            <w:shd w:val="clear" w:color="auto" w:fill="auto"/>
            <w:vAlign w:val="center"/>
          </w:tcPr>
          <w:p w14:paraId="6A6F15CA">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较敏感G2</w:t>
            </w:r>
          </w:p>
        </w:tc>
        <w:tc>
          <w:tcPr>
            <w:tcW w:w="4336" w:type="pct"/>
            <w:tcBorders>
              <w:right w:val="single" w:color="auto" w:sz="4" w:space="0"/>
            </w:tcBorders>
            <w:shd w:val="clear" w:color="auto" w:fill="auto"/>
            <w:vAlign w:val="center"/>
          </w:tcPr>
          <w:p w14:paraId="3A279C38">
            <w:pPr>
              <w:pStyle w:val="304"/>
              <w:adjustRightInd w:val="0"/>
              <w:snapToGrid w:val="0"/>
              <w:spacing w:before="0" w:after="0" w:line="240" w:lineRule="auto"/>
              <w:ind w:left="0" w:right="0"/>
              <w:jc w:val="both"/>
              <w:rPr>
                <w:rFonts w:eastAsia="Times New Roman"/>
                <w:snapToGrid w:val="0"/>
                <w:color w:val="auto"/>
                <w:kern w:val="0"/>
                <w:sz w:val="21"/>
                <w:szCs w:val="21"/>
                <w:highlight w:val="none"/>
              </w:rPr>
            </w:pPr>
            <w:r>
              <w:rPr>
                <w:rFonts w:eastAsia="Times New Roman"/>
                <w:snapToGrid w:val="0"/>
                <w:color w:val="auto"/>
                <w:kern w:val="0"/>
                <w:sz w:val="21"/>
                <w:szCs w:val="21"/>
                <w:highlight w:val="none"/>
              </w:rPr>
              <w:t>集中式饮用水水源（包括</w:t>
            </w:r>
            <w:r>
              <w:rPr>
                <w:rFonts w:hint="eastAsia" w:eastAsia="Times New Roman"/>
                <w:snapToGrid w:val="0"/>
                <w:color w:val="auto"/>
                <w:kern w:val="0"/>
                <w:sz w:val="21"/>
                <w:szCs w:val="21"/>
                <w:highlight w:val="none"/>
              </w:rPr>
              <w:t>已建成</w:t>
            </w:r>
            <w:r>
              <w:rPr>
                <w:rFonts w:eastAsia="Times New Roman"/>
                <w:snapToGrid w:val="0"/>
                <w:color w:val="auto"/>
                <w:kern w:val="0"/>
                <w:sz w:val="21"/>
                <w:szCs w:val="21"/>
                <w:highlight w:val="none"/>
              </w:rPr>
              <w:t>的在用、备用、应急水源地，在建和规划的水源地）准保护区以外的补给径流区；未划定准保护区的集中式饮用水水源，其保护区以外的补给径流区；分散式饮用水水源地；特殊地下水资源（如矿泉水、温泉等）保护区以外的分布区等其他未列入上述敏感分级的环境敏感区</w:t>
            </w:r>
          </w:p>
        </w:tc>
      </w:tr>
      <w:tr w14:paraId="64BEF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3" w:type="pct"/>
            <w:tcBorders>
              <w:left w:val="single" w:color="auto" w:sz="4" w:space="0"/>
            </w:tcBorders>
            <w:shd w:val="clear" w:color="auto" w:fill="auto"/>
            <w:vAlign w:val="center"/>
          </w:tcPr>
          <w:p w14:paraId="0D67013F">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不敏感G3</w:t>
            </w:r>
          </w:p>
        </w:tc>
        <w:tc>
          <w:tcPr>
            <w:tcW w:w="4336" w:type="pct"/>
            <w:tcBorders>
              <w:right w:val="single" w:color="auto" w:sz="4" w:space="0"/>
            </w:tcBorders>
            <w:shd w:val="clear" w:color="auto" w:fill="auto"/>
            <w:vAlign w:val="center"/>
          </w:tcPr>
          <w:p w14:paraId="399F107E">
            <w:pPr>
              <w:pStyle w:val="304"/>
              <w:adjustRightInd w:val="0"/>
              <w:snapToGrid w:val="0"/>
              <w:spacing w:before="0" w:after="0" w:line="240" w:lineRule="auto"/>
              <w:ind w:left="0" w:right="0"/>
              <w:jc w:val="both"/>
              <w:rPr>
                <w:rFonts w:eastAsia="Times New Roman"/>
                <w:snapToGrid w:val="0"/>
                <w:color w:val="auto"/>
                <w:kern w:val="0"/>
                <w:sz w:val="21"/>
                <w:szCs w:val="21"/>
                <w:highlight w:val="none"/>
              </w:rPr>
            </w:pPr>
            <w:r>
              <w:rPr>
                <w:rFonts w:eastAsia="Times New Roman"/>
                <w:snapToGrid w:val="0"/>
                <w:color w:val="auto"/>
                <w:kern w:val="0"/>
                <w:sz w:val="21"/>
                <w:szCs w:val="21"/>
                <w:highlight w:val="none"/>
              </w:rPr>
              <w:t>上述地区之外的其他地区</w:t>
            </w:r>
          </w:p>
        </w:tc>
      </w:tr>
      <w:tr w14:paraId="626710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2"/>
            <w:tcBorders>
              <w:left w:val="single" w:color="auto" w:sz="4" w:space="0"/>
              <w:bottom w:val="single" w:color="auto" w:sz="4" w:space="0"/>
              <w:right w:val="single" w:color="auto" w:sz="4" w:space="0"/>
            </w:tcBorders>
            <w:shd w:val="clear" w:color="auto" w:fill="auto"/>
            <w:vAlign w:val="center"/>
          </w:tcPr>
          <w:p w14:paraId="35F6D8AC">
            <w:pPr>
              <w:pStyle w:val="304"/>
              <w:adjustRightInd w:val="0"/>
              <w:snapToGrid w:val="0"/>
              <w:spacing w:before="0" w:after="0" w:line="240" w:lineRule="auto"/>
              <w:ind w:left="0" w:right="0"/>
              <w:jc w:val="both"/>
              <w:rPr>
                <w:rFonts w:eastAsia="Times New Roman"/>
                <w:snapToGrid w:val="0"/>
                <w:color w:val="auto"/>
                <w:kern w:val="0"/>
                <w:sz w:val="21"/>
                <w:szCs w:val="21"/>
                <w:highlight w:val="none"/>
              </w:rPr>
            </w:pPr>
            <w:r>
              <w:rPr>
                <w:rFonts w:eastAsia="Times New Roman"/>
                <w:snapToGrid w:val="0"/>
                <w:color w:val="auto"/>
                <w:spacing w:val="-11"/>
                <w:kern w:val="0"/>
                <w:sz w:val="21"/>
                <w:szCs w:val="21"/>
                <w:highlight w:val="none"/>
              </w:rPr>
              <w:t>注：“环境敏感区”是指《建设项目环境影响评价分类管理名录》中所界定的涉及地下水的环境敏感区</w:t>
            </w:r>
            <w:r>
              <w:rPr>
                <w:rFonts w:eastAsia="Times New Roman"/>
                <w:snapToGrid w:val="0"/>
                <w:color w:val="auto"/>
                <w:kern w:val="0"/>
                <w:sz w:val="21"/>
                <w:szCs w:val="21"/>
                <w:highlight w:val="none"/>
              </w:rPr>
              <w:t>。</w:t>
            </w:r>
          </w:p>
        </w:tc>
      </w:tr>
    </w:tbl>
    <w:p w14:paraId="61223C13">
      <w:pPr>
        <w:pStyle w:val="412"/>
        <w:tabs>
          <w:tab w:val="left" w:pos="0"/>
          <w:tab w:val="clear" w:pos="6840"/>
        </w:tabs>
        <w:topLinePunct w:val="0"/>
        <w:adjustRightInd w:val="0"/>
        <w:spacing w:before="120" w:beforeLines="50"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6.3-1</w:t>
      </w:r>
      <w:r>
        <w:rPr>
          <w:rFonts w:hint="eastAsia" w:ascii="Times New Roman" w:hAnsi="Times New Roman" w:cs="Times New Roman"/>
          <w:snapToGrid w:val="0"/>
          <w:color w:val="auto"/>
          <w:kern w:val="0"/>
          <w:sz w:val="21"/>
          <w:szCs w:val="21"/>
          <w:highlight w:val="none"/>
          <w:lang w:val="en-US" w:eastAsia="zh-CN"/>
        </w:rPr>
        <w:t>0</w:t>
      </w:r>
      <w:r>
        <w:rPr>
          <w:rFonts w:hint="eastAsia" w:ascii="Times New Roman" w:hAnsi="Times New Roman" w:cs="Times New Roman"/>
          <w:snapToGrid w:val="0"/>
          <w:color w:val="auto"/>
          <w:kern w:val="0"/>
          <w:sz w:val="21"/>
          <w:szCs w:val="21"/>
          <w:highlight w:val="none"/>
        </w:rPr>
        <w:t xml:space="preserve"> 包气带防污性能分级表</w:t>
      </w:r>
    </w:p>
    <w:tbl>
      <w:tblPr>
        <w:tblStyle w:val="5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220"/>
      </w:tblGrid>
      <w:tr w14:paraId="768B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pct"/>
            <w:shd w:val="clear" w:color="auto" w:fill="auto"/>
            <w:vAlign w:val="center"/>
          </w:tcPr>
          <w:p w14:paraId="28E8F556">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分级</w:t>
            </w:r>
          </w:p>
        </w:tc>
        <w:tc>
          <w:tcPr>
            <w:tcW w:w="4279" w:type="pct"/>
            <w:shd w:val="clear" w:color="auto" w:fill="auto"/>
            <w:vAlign w:val="center"/>
          </w:tcPr>
          <w:p w14:paraId="3E4A4DD2">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包气带岩土的渗透性能</w:t>
            </w:r>
          </w:p>
        </w:tc>
      </w:tr>
      <w:tr w14:paraId="50D9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pct"/>
            <w:shd w:val="clear" w:color="auto" w:fill="auto"/>
            <w:vAlign w:val="center"/>
          </w:tcPr>
          <w:p w14:paraId="7E956C84">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D3</w:t>
            </w:r>
          </w:p>
        </w:tc>
        <w:tc>
          <w:tcPr>
            <w:tcW w:w="4279" w:type="pct"/>
            <w:shd w:val="clear" w:color="auto" w:fill="auto"/>
            <w:vAlign w:val="center"/>
          </w:tcPr>
          <w:p w14:paraId="6B0DEBB4">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Mb</w:t>
            </w:r>
            <w:r>
              <w:rPr>
                <w:rFonts w:hint="eastAsia" w:eastAsia="Times New Roman"/>
                <w:snapToGrid w:val="0"/>
                <w:color w:val="auto"/>
                <w:kern w:val="0"/>
                <w:sz w:val="21"/>
                <w:szCs w:val="21"/>
                <w:highlight w:val="none"/>
              </w:rPr>
              <w:t>≥</w:t>
            </w:r>
            <w:r>
              <w:rPr>
                <w:rFonts w:eastAsia="Times New Roman"/>
                <w:snapToGrid w:val="0"/>
                <w:color w:val="auto"/>
                <w:kern w:val="0"/>
                <w:sz w:val="21"/>
                <w:szCs w:val="21"/>
                <w:highlight w:val="none"/>
              </w:rPr>
              <w:t>1.0m，K≤1.0×10</w:t>
            </w:r>
            <w:r>
              <w:rPr>
                <w:rFonts w:eastAsia="Times New Roman"/>
                <w:snapToGrid w:val="0"/>
                <w:color w:val="auto"/>
                <w:kern w:val="0"/>
                <w:sz w:val="21"/>
                <w:szCs w:val="21"/>
                <w:highlight w:val="none"/>
                <w:vertAlign w:val="superscript"/>
              </w:rPr>
              <w:t>-6</w:t>
            </w:r>
            <w:r>
              <w:rPr>
                <w:rFonts w:eastAsia="Times New Roman"/>
                <w:snapToGrid w:val="0"/>
                <w:color w:val="auto"/>
                <w:kern w:val="0"/>
                <w:sz w:val="21"/>
                <w:szCs w:val="21"/>
                <w:highlight w:val="none"/>
              </w:rPr>
              <w:t>cm/s，且分布连续、稳定</w:t>
            </w:r>
          </w:p>
        </w:tc>
      </w:tr>
      <w:tr w14:paraId="0C01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pct"/>
            <w:shd w:val="clear" w:color="auto" w:fill="auto"/>
            <w:vAlign w:val="center"/>
          </w:tcPr>
          <w:p w14:paraId="6A6C1B84">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D2</w:t>
            </w:r>
          </w:p>
        </w:tc>
        <w:tc>
          <w:tcPr>
            <w:tcW w:w="4279" w:type="pct"/>
            <w:shd w:val="clear" w:color="auto" w:fill="auto"/>
            <w:vAlign w:val="center"/>
          </w:tcPr>
          <w:p w14:paraId="2695CA7F">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0.5m≤Mb＜1.0m，K≤1.0×10</w:t>
            </w:r>
            <w:r>
              <w:rPr>
                <w:rFonts w:eastAsia="Times New Roman"/>
                <w:snapToGrid w:val="0"/>
                <w:color w:val="auto"/>
                <w:kern w:val="0"/>
                <w:sz w:val="21"/>
                <w:szCs w:val="21"/>
                <w:highlight w:val="none"/>
                <w:vertAlign w:val="superscript"/>
              </w:rPr>
              <w:t>-6</w:t>
            </w:r>
            <w:r>
              <w:rPr>
                <w:rFonts w:eastAsia="Times New Roman"/>
                <w:snapToGrid w:val="0"/>
                <w:color w:val="auto"/>
                <w:kern w:val="0"/>
                <w:sz w:val="21"/>
                <w:szCs w:val="21"/>
                <w:highlight w:val="none"/>
              </w:rPr>
              <w:t>cm/s，且分布连续、稳定</w:t>
            </w:r>
          </w:p>
          <w:p w14:paraId="74676481">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Mb</w:t>
            </w:r>
            <w:r>
              <w:rPr>
                <w:rFonts w:hint="eastAsia" w:eastAsia="Times New Roman"/>
                <w:snapToGrid w:val="0"/>
                <w:color w:val="auto"/>
                <w:kern w:val="0"/>
                <w:sz w:val="21"/>
                <w:szCs w:val="21"/>
                <w:highlight w:val="none"/>
              </w:rPr>
              <w:t>≥</w:t>
            </w:r>
            <w:r>
              <w:rPr>
                <w:rFonts w:eastAsia="Times New Roman"/>
                <w:snapToGrid w:val="0"/>
                <w:color w:val="auto"/>
                <w:kern w:val="0"/>
                <w:sz w:val="21"/>
                <w:szCs w:val="21"/>
                <w:highlight w:val="none"/>
              </w:rPr>
              <w:t>1.0m，1.0×10</w:t>
            </w:r>
            <w:r>
              <w:rPr>
                <w:rFonts w:eastAsia="Times New Roman"/>
                <w:snapToGrid w:val="0"/>
                <w:color w:val="auto"/>
                <w:kern w:val="0"/>
                <w:sz w:val="21"/>
                <w:szCs w:val="21"/>
                <w:highlight w:val="none"/>
                <w:vertAlign w:val="superscript"/>
              </w:rPr>
              <w:t>-6</w:t>
            </w:r>
            <w:r>
              <w:rPr>
                <w:rFonts w:eastAsia="Times New Roman"/>
                <w:snapToGrid w:val="0"/>
                <w:color w:val="auto"/>
                <w:kern w:val="0"/>
                <w:sz w:val="21"/>
                <w:szCs w:val="21"/>
                <w:highlight w:val="none"/>
              </w:rPr>
              <w:t>cm/s≤K＜1.0×10</w:t>
            </w:r>
            <w:r>
              <w:rPr>
                <w:rFonts w:eastAsia="Times New Roman"/>
                <w:snapToGrid w:val="0"/>
                <w:color w:val="auto"/>
                <w:kern w:val="0"/>
                <w:sz w:val="21"/>
                <w:szCs w:val="21"/>
                <w:highlight w:val="none"/>
                <w:vertAlign w:val="superscript"/>
              </w:rPr>
              <w:t>-4</w:t>
            </w:r>
            <w:r>
              <w:rPr>
                <w:rFonts w:eastAsia="Times New Roman"/>
                <w:snapToGrid w:val="0"/>
                <w:color w:val="auto"/>
                <w:kern w:val="0"/>
                <w:sz w:val="21"/>
                <w:szCs w:val="21"/>
                <w:highlight w:val="none"/>
              </w:rPr>
              <w:t>cm/s，且分布连续、稳定</w:t>
            </w:r>
          </w:p>
        </w:tc>
      </w:tr>
      <w:tr w14:paraId="3A7B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pct"/>
            <w:shd w:val="clear" w:color="auto" w:fill="auto"/>
            <w:vAlign w:val="center"/>
          </w:tcPr>
          <w:p w14:paraId="5B0E8F09">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D1</w:t>
            </w:r>
          </w:p>
        </w:tc>
        <w:tc>
          <w:tcPr>
            <w:tcW w:w="4279" w:type="pct"/>
            <w:shd w:val="clear" w:color="auto" w:fill="auto"/>
            <w:vAlign w:val="center"/>
          </w:tcPr>
          <w:p w14:paraId="05E84087">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岩（土）层不满足上述“D2”和“D3”条件</w:t>
            </w:r>
          </w:p>
        </w:tc>
      </w:tr>
      <w:tr w14:paraId="2AEC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shd w:val="clear" w:color="auto" w:fill="auto"/>
            <w:vAlign w:val="center"/>
          </w:tcPr>
          <w:p w14:paraId="4DACAC81">
            <w:pPr>
              <w:pStyle w:val="304"/>
              <w:adjustRightInd w:val="0"/>
              <w:snapToGrid w:val="0"/>
              <w:spacing w:before="0" w:after="0" w:line="240" w:lineRule="auto"/>
              <w:ind w:left="0" w:right="0"/>
              <w:rPr>
                <w:rFonts w:eastAsia="Times New Roman"/>
                <w:snapToGrid w:val="0"/>
                <w:color w:val="auto"/>
                <w:kern w:val="0"/>
                <w:sz w:val="21"/>
                <w:szCs w:val="21"/>
                <w:highlight w:val="none"/>
              </w:rPr>
            </w:pPr>
            <w:r>
              <w:rPr>
                <w:rFonts w:eastAsia="Times New Roman"/>
                <w:snapToGrid w:val="0"/>
                <w:color w:val="auto"/>
                <w:kern w:val="0"/>
                <w:sz w:val="21"/>
                <w:szCs w:val="21"/>
                <w:highlight w:val="none"/>
              </w:rPr>
              <w:t>Mb：岩土层单层厚度；K：渗透系数。</w:t>
            </w:r>
          </w:p>
        </w:tc>
      </w:tr>
    </w:tbl>
    <w:p w14:paraId="1813169C">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snapToGrid w:val="0"/>
          <w:color w:val="auto"/>
          <w:kern w:val="0"/>
          <w:sz w:val="24"/>
          <w:highlight w:val="none"/>
        </w:rPr>
        <w:t>项目占地为园区规划的工业用地，所在区域既不属于集中式地下水饮用水水源准保护区和准保护区以外的补给径流区，也不属于除集中式饮用水水源以外的国家或地方政府设定的与地下水环境相关的其他保护区，如热水、矿泉水、温泉等特殊地下水资源保护区和其他保护区的补给径流区；同时也不属于未划定准保护区的集中式饮用水水源、分散式饮用水水源地</w:t>
      </w:r>
      <w:r>
        <w:rPr>
          <w:rFonts w:hint="eastAsia"/>
          <w:snapToGrid w:val="0"/>
          <w:color w:val="auto"/>
          <w:kern w:val="0"/>
          <w:sz w:val="24"/>
          <w:highlight w:val="none"/>
        </w:rPr>
        <w:t>。</w:t>
      </w:r>
      <w:r>
        <w:rPr>
          <w:snapToGrid w:val="0"/>
          <w:color w:val="auto"/>
          <w:kern w:val="0"/>
          <w:sz w:val="24"/>
          <w:highlight w:val="none"/>
        </w:rPr>
        <w:t>根据表</w:t>
      </w:r>
      <w:r>
        <w:rPr>
          <w:rFonts w:hint="eastAsia"/>
          <w:snapToGrid w:val="0"/>
          <w:color w:val="auto"/>
          <w:kern w:val="0"/>
          <w:sz w:val="24"/>
          <w:highlight w:val="none"/>
          <w:lang w:val="en-US" w:eastAsia="zh-CN"/>
        </w:rPr>
        <w:t>6</w:t>
      </w:r>
      <w:r>
        <w:rPr>
          <w:rFonts w:hint="eastAsia"/>
          <w:snapToGrid w:val="0"/>
          <w:color w:val="auto"/>
          <w:kern w:val="0"/>
          <w:sz w:val="24"/>
          <w:highlight w:val="none"/>
        </w:rPr>
        <w:t>.</w:t>
      </w:r>
      <w:r>
        <w:rPr>
          <w:snapToGrid w:val="0"/>
          <w:color w:val="auto"/>
          <w:kern w:val="0"/>
          <w:sz w:val="24"/>
          <w:highlight w:val="none"/>
        </w:rPr>
        <w:t>3-</w:t>
      </w:r>
      <w:r>
        <w:rPr>
          <w:rFonts w:hint="eastAsia"/>
          <w:snapToGrid w:val="0"/>
          <w:color w:val="auto"/>
          <w:kern w:val="0"/>
          <w:sz w:val="24"/>
          <w:highlight w:val="none"/>
          <w:lang w:val="en-US" w:eastAsia="zh-CN"/>
        </w:rPr>
        <w:t>9</w:t>
      </w:r>
      <w:r>
        <w:rPr>
          <w:snapToGrid w:val="0"/>
          <w:color w:val="auto"/>
          <w:kern w:val="0"/>
          <w:sz w:val="24"/>
          <w:highlight w:val="none"/>
        </w:rPr>
        <w:t>的判定依据，本项目所在区域地下水功能敏感性为G3。</w:t>
      </w:r>
    </w:p>
    <w:p w14:paraId="7BC3BA1D">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根据调查，项目所在区域包气带</w:t>
      </w:r>
      <w:r>
        <w:rPr>
          <w:rFonts w:hint="eastAsia"/>
          <w:snapToGrid w:val="0"/>
          <w:color w:val="auto"/>
          <w:kern w:val="0"/>
          <w:sz w:val="24"/>
          <w:highlight w:val="none"/>
        </w:rPr>
        <w:t>平均厚度为70m，</w:t>
      </w:r>
      <w:r>
        <w:rPr>
          <w:snapToGrid w:val="0"/>
          <w:color w:val="auto"/>
          <w:kern w:val="0"/>
          <w:sz w:val="24"/>
          <w:highlight w:val="none"/>
        </w:rPr>
        <w:t>包气带厚度大于1m，包气带渗透系数K</w:t>
      </w:r>
      <w:r>
        <w:rPr>
          <w:rFonts w:hint="eastAsia"/>
          <w:snapToGrid w:val="0"/>
          <w:color w:val="auto"/>
          <w:kern w:val="0"/>
          <w:sz w:val="24"/>
          <w:highlight w:val="none"/>
        </w:rPr>
        <w:t>=3.47×10</w:t>
      </w:r>
      <w:r>
        <w:rPr>
          <w:rFonts w:hint="eastAsia"/>
          <w:snapToGrid w:val="0"/>
          <w:color w:val="auto"/>
          <w:kern w:val="0"/>
          <w:sz w:val="24"/>
          <w:highlight w:val="none"/>
          <w:vertAlign w:val="superscript"/>
        </w:rPr>
        <w:t>-2</w:t>
      </w:r>
      <w:r>
        <w:rPr>
          <w:rFonts w:hint="eastAsia"/>
          <w:snapToGrid w:val="0"/>
          <w:color w:val="auto"/>
          <w:kern w:val="0"/>
          <w:sz w:val="24"/>
          <w:highlight w:val="none"/>
        </w:rPr>
        <w:t>cm/s</w:t>
      </w:r>
      <w:r>
        <w:rPr>
          <w:snapToGrid w:val="0"/>
          <w:color w:val="auto"/>
          <w:kern w:val="0"/>
          <w:sz w:val="24"/>
          <w:highlight w:val="none"/>
        </w:rPr>
        <w:t>＞1.0×10</w:t>
      </w:r>
      <w:r>
        <w:rPr>
          <w:rFonts w:hint="eastAsia"/>
          <w:snapToGrid w:val="0"/>
          <w:color w:val="auto"/>
          <w:kern w:val="0"/>
          <w:sz w:val="24"/>
          <w:highlight w:val="none"/>
          <w:vertAlign w:val="superscript"/>
        </w:rPr>
        <w:t>-</w:t>
      </w:r>
      <w:r>
        <w:rPr>
          <w:snapToGrid w:val="0"/>
          <w:color w:val="auto"/>
          <w:kern w:val="0"/>
          <w:sz w:val="24"/>
          <w:highlight w:val="none"/>
          <w:vertAlign w:val="superscript"/>
        </w:rPr>
        <w:t>4</w:t>
      </w:r>
      <w:r>
        <w:rPr>
          <w:snapToGrid w:val="0"/>
          <w:color w:val="auto"/>
          <w:kern w:val="0"/>
          <w:sz w:val="24"/>
          <w:highlight w:val="none"/>
        </w:rPr>
        <w:t>cm/s，根据表</w:t>
      </w:r>
      <w:r>
        <w:rPr>
          <w:rFonts w:hint="eastAsia"/>
          <w:snapToGrid w:val="0"/>
          <w:color w:val="auto"/>
          <w:kern w:val="0"/>
          <w:sz w:val="24"/>
          <w:highlight w:val="none"/>
          <w:lang w:val="en-US" w:eastAsia="zh-CN"/>
        </w:rPr>
        <w:t>6</w:t>
      </w:r>
      <w:r>
        <w:rPr>
          <w:rFonts w:hint="eastAsia"/>
          <w:snapToGrid w:val="0"/>
          <w:color w:val="auto"/>
          <w:kern w:val="0"/>
          <w:sz w:val="24"/>
          <w:highlight w:val="none"/>
        </w:rPr>
        <w:t>.</w:t>
      </w:r>
      <w:r>
        <w:rPr>
          <w:snapToGrid w:val="0"/>
          <w:color w:val="auto"/>
          <w:kern w:val="0"/>
          <w:sz w:val="24"/>
          <w:highlight w:val="none"/>
        </w:rPr>
        <w:t>3-</w:t>
      </w:r>
      <w:r>
        <w:rPr>
          <w:rFonts w:hint="eastAsia"/>
          <w:snapToGrid w:val="0"/>
          <w:color w:val="auto"/>
          <w:kern w:val="0"/>
          <w:sz w:val="24"/>
          <w:highlight w:val="none"/>
          <w:lang w:val="en-US" w:eastAsia="zh-CN"/>
        </w:rPr>
        <w:t>10</w:t>
      </w:r>
      <w:r>
        <w:rPr>
          <w:snapToGrid w:val="0"/>
          <w:color w:val="auto"/>
          <w:kern w:val="0"/>
          <w:sz w:val="24"/>
          <w:highlight w:val="none"/>
        </w:rPr>
        <w:t>的判定依据，本项目所在区域包气带防污性能分级为D</w:t>
      </w:r>
      <w:r>
        <w:rPr>
          <w:rFonts w:hint="eastAsia"/>
          <w:snapToGrid w:val="0"/>
          <w:color w:val="auto"/>
          <w:kern w:val="0"/>
          <w:sz w:val="24"/>
          <w:highlight w:val="none"/>
        </w:rPr>
        <w:t>1</w:t>
      </w:r>
      <w:r>
        <w:rPr>
          <w:snapToGrid w:val="0"/>
          <w:color w:val="auto"/>
          <w:kern w:val="0"/>
          <w:sz w:val="24"/>
          <w:highlight w:val="none"/>
        </w:rPr>
        <w:t>。根据表</w:t>
      </w:r>
      <w:r>
        <w:rPr>
          <w:rFonts w:hint="eastAsia"/>
          <w:snapToGrid w:val="0"/>
          <w:color w:val="auto"/>
          <w:kern w:val="0"/>
          <w:sz w:val="24"/>
          <w:highlight w:val="none"/>
          <w:lang w:val="en-US" w:eastAsia="zh-CN"/>
        </w:rPr>
        <w:t>6</w:t>
      </w:r>
      <w:r>
        <w:rPr>
          <w:rFonts w:hint="eastAsia"/>
          <w:snapToGrid w:val="0"/>
          <w:color w:val="auto"/>
          <w:kern w:val="0"/>
          <w:sz w:val="24"/>
          <w:highlight w:val="none"/>
        </w:rPr>
        <w:t>.</w:t>
      </w:r>
      <w:r>
        <w:rPr>
          <w:snapToGrid w:val="0"/>
          <w:color w:val="auto"/>
          <w:kern w:val="0"/>
          <w:sz w:val="24"/>
          <w:highlight w:val="none"/>
        </w:rPr>
        <w:t>3-</w:t>
      </w:r>
      <w:r>
        <w:rPr>
          <w:rFonts w:hint="eastAsia"/>
          <w:snapToGrid w:val="0"/>
          <w:color w:val="auto"/>
          <w:kern w:val="0"/>
          <w:sz w:val="24"/>
          <w:highlight w:val="none"/>
          <w:lang w:val="en-US" w:eastAsia="zh-CN"/>
        </w:rPr>
        <w:t>8</w:t>
      </w:r>
      <w:r>
        <w:rPr>
          <w:snapToGrid w:val="0"/>
          <w:color w:val="auto"/>
          <w:kern w:val="0"/>
          <w:sz w:val="24"/>
          <w:highlight w:val="none"/>
        </w:rPr>
        <w:t>的判定依据，项目所在区域的地下水环境敏感程度分级为E</w:t>
      </w:r>
      <w:r>
        <w:rPr>
          <w:rFonts w:hint="eastAsia"/>
          <w:snapToGrid w:val="0"/>
          <w:color w:val="auto"/>
          <w:kern w:val="0"/>
          <w:sz w:val="24"/>
          <w:highlight w:val="none"/>
        </w:rPr>
        <w:t>2</w:t>
      </w:r>
      <w:r>
        <w:rPr>
          <w:snapToGrid w:val="0"/>
          <w:color w:val="auto"/>
          <w:kern w:val="0"/>
          <w:sz w:val="24"/>
          <w:highlight w:val="none"/>
        </w:rPr>
        <w:t>。</w:t>
      </w:r>
    </w:p>
    <w:p w14:paraId="5C73829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6.3.3.5风险潜势划分</w:t>
      </w:r>
    </w:p>
    <w:p w14:paraId="3FA451AE">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经分析得知，建设项目物质和工艺系统的危险性为</w:t>
      </w:r>
      <w:r>
        <w:rPr>
          <w:rFonts w:hint="eastAsia"/>
          <w:snapToGrid w:val="0"/>
          <w:color w:val="auto"/>
          <w:kern w:val="0"/>
          <w:sz w:val="24"/>
          <w:highlight w:val="none"/>
          <w:lang w:val="en-US" w:eastAsia="zh-CN"/>
        </w:rPr>
        <w:t>高度</w:t>
      </w:r>
      <w:r>
        <w:rPr>
          <w:rFonts w:hint="eastAsia"/>
          <w:snapToGrid w:val="0"/>
          <w:color w:val="auto"/>
          <w:kern w:val="0"/>
          <w:sz w:val="24"/>
          <w:highlight w:val="none"/>
        </w:rPr>
        <w:t>危害</w:t>
      </w:r>
      <w:r>
        <w:rPr>
          <w:snapToGrid w:val="0"/>
          <w:color w:val="auto"/>
          <w:kern w:val="0"/>
          <w:sz w:val="24"/>
          <w:highlight w:val="none"/>
        </w:rPr>
        <w:t>P</w:t>
      </w:r>
      <w:r>
        <w:rPr>
          <w:rFonts w:hint="eastAsia"/>
          <w:snapToGrid w:val="0"/>
          <w:color w:val="auto"/>
          <w:kern w:val="0"/>
          <w:sz w:val="24"/>
          <w:highlight w:val="none"/>
          <w:lang w:val="en-US" w:eastAsia="zh-CN"/>
        </w:rPr>
        <w:t>2</w:t>
      </w:r>
      <w:r>
        <w:rPr>
          <w:snapToGrid w:val="0"/>
          <w:color w:val="auto"/>
          <w:kern w:val="0"/>
          <w:sz w:val="24"/>
          <w:highlight w:val="none"/>
        </w:rPr>
        <w:t>，所在区域大气环境敏感程度为环境低度敏感区E3，所在区域的地下水环境敏感程度为环境中度敏感区E</w:t>
      </w:r>
      <w:r>
        <w:rPr>
          <w:rFonts w:hint="eastAsia"/>
          <w:snapToGrid w:val="0"/>
          <w:color w:val="auto"/>
          <w:kern w:val="0"/>
          <w:sz w:val="24"/>
          <w:highlight w:val="none"/>
        </w:rPr>
        <w:t>2</w:t>
      </w:r>
      <w:r>
        <w:rPr>
          <w:snapToGrid w:val="0"/>
          <w:color w:val="auto"/>
          <w:kern w:val="0"/>
          <w:sz w:val="24"/>
          <w:highlight w:val="none"/>
        </w:rPr>
        <w:t>，其</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环境风险潜势判定结果具体见表</w:t>
      </w:r>
      <w:r>
        <w:rPr>
          <w:rFonts w:hint="eastAsia"/>
          <w:snapToGrid w:val="0"/>
          <w:color w:val="auto"/>
          <w:kern w:val="0"/>
          <w:sz w:val="24"/>
          <w:highlight w:val="none"/>
        </w:rPr>
        <w:t>6</w:t>
      </w:r>
      <w:r>
        <w:rPr>
          <w:snapToGrid w:val="0"/>
          <w:color w:val="auto"/>
          <w:kern w:val="0"/>
          <w:sz w:val="24"/>
          <w:highlight w:val="none"/>
        </w:rPr>
        <w:t>.</w:t>
      </w:r>
      <w:r>
        <w:rPr>
          <w:rFonts w:hint="eastAsia"/>
          <w:snapToGrid w:val="0"/>
          <w:color w:val="auto"/>
          <w:kern w:val="0"/>
          <w:sz w:val="24"/>
          <w:highlight w:val="none"/>
        </w:rPr>
        <w:t>3-1</w:t>
      </w:r>
      <w:r>
        <w:rPr>
          <w:rFonts w:hint="eastAsia"/>
          <w:snapToGrid w:val="0"/>
          <w:color w:val="auto"/>
          <w:kern w:val="0"/>
          <w:sz w:val="24"/>
          <w:highlight w:val="none"/>
          <w:lang w:val="en-US" w:eastAsia="zh-CN"/>
        </w:rPr>
        <w:t>1</w:t>
      </w:r>
      <w:r>
        <w:rPr>
          <w:snapToGrid w:val="0"/>
          <w:color w:val="auto"/>
          <w:kern w:val="0"/>
          <w:sz w:val="24"/>
          <w:highlight w:val="none"/>
        </w:rPr>
        <w:t>。</w:t>
      </w:r>
    </w:p>
    <w:p w14:paraId="585FD548">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w:t>
      </w:r>
      <w:r>
        <w:rPr>
          <w:rFonts w:ascii="Times New Roman" w:hAnsi="Times New Roman" w:cs="Times New Roman"/>
          <w:snapToGrid w:val="0"/>
          <w:color w:val="auto"/>
          <w:kern w:val="0"/>
          <w:sz w:val="21"/>
          <w:szCs w:val="21"/>
          <w:highlight w:val="none"/>
        </w:rPr>
        <w:t>.</w:t>
      </w:r>
      <w:r>
        <w:rPr>
          <w:rFonts w:hint="eastAsia" w:ascii="Times New Roman" w:hAnsi="Times New Roman" w:cs="Times New Roman"/>
          <w:snapToGrid w:val="0"/>
          <w:color w:val="auto"/>
          <w:kern w:val="0"/>
          <w:sz w:val="21"/>
          <w:szCs w:val="21"/>
          <w:highlight w:val="none"/>
        </w:rPr>
        <w:t>3-1</w:t>
      </w:r>
      <w:r>
        <w:rPr>
          <w:rFonts w:hint="eastAsia" w:ascii="Times New Roman" w:hAnsi="Times New Roman" w:cs="Times New Roman"/>
          <w:snapToGrid w:val="0"/>
          <w:color w:val="auto"/>
          <w:kern w:val="0"/>
          <w:sz w:val="21"/>
          <w:szCs w:val="21"/>
          <w:highlight w:val="none"/>
          <w:lang w:val="en-US" w:eastAsia="zh-CN"/>
        </w:rPr>
        <w:t>1</w:t>
      </w:r>
      <w:r>
        <w:rPr>
          <w:rFonts w:ascii="Times New Roman" w:hAnsi="Times New Roman" w:cs="Times New Roman"/>
          <w:snapToGrid w:val="0"/>
          <w:color w:val="auto"/>
          <w:kern w:val="0"/>
          <w:sz w:val="21"/>
          <w:szCs w:val="21"/>
          <w:highlight w:val="none"/>
        </w:rPr>
        <w:t xml:space="preserve"> 项目</w:t>
      </w:r>
      <w:r>
        <w:rPr>
          <w:rFonts w:hint="eastAsia" w:ascii="Times New Roman" w:hAnsi="Times New Roman" w:cs="Times New Roman"/>
          <w:snapToGrid w:val="0"/>
          <w:color w:val="auto"/>
          <w:kern w:val="0"/>
          <w:sz w:val="21"/>
          <w:szCs w:val="21"/>
          <w:highlight w:val="none"/>
          <w:lang w:val="en-US" w:eastAsia="zh-CN"/>
        </w:rPr>
        <w:t>生态</w:t>
      </w:r>
      <w:r>
        <w:rPr>
          <w:rFonts w:ascii="Times New Roman" w:hAnsi="Times New Roman" w:cs="Times New Roman"/>
          <w:snapToGrid w:val="0"/>
          <w:color w:val="auto"/>
          <w:kern w:val="0"/>
          <w:sz w:val="21"/>
          <w:szCs w:val="21"/>
          <w:highlight w:val="none"/>
        </w:rPr>
        <w:t>环境风险潜势判定结果一览表</w:t>
      </w:r>
    </w:p>
    <w:tbl>
      <w:tblPr>
        <w:tblStyle w:val="782"/>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71"/>
        <w:gridCol w:w="4989"/>
      </w:tblGrid>
      <w:tr w14:paraId="20E0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67" w:type="dxa"/>
            <w:vMerge w:val="restart"/>
            <w:vAlign w:val="center"/>
          </w:tcPr>
          <w:p w14:paraId="03E698FE">
            <w:pPr>
              <w:widowControl/>
              <w:tabs>
                <w:tab w:val="left" w:pos="1119"/>
              </w:tabs>
              <w:spacing w:line="360" w:lineRule="exact"/>
              <w:jc w:val="center"/>
              <w:rPr>
                <w:color w:val="auto"/>
                <w:szCs w:val="21"/>
                <w:highlight w:val="none"/>
              </w:rPr>
            </w:pPr>
            <w:r>
              <w:rPr>
                <w:color w:val="auto"/>
                <w:szCs w:val="21"/>
                <w:highlight w:val="none"/>
              </w:rPr>
              <w:t>项目环境敏感程度</w:t>
            </w:r>
          </w:p>
        </w:tc>
        <w:tc>
          <w:tcPr>
            <w:tcW w:w="4983" w:type="dxa"/>
            <w:vAlign w:val="center"/>
          </w:tcPr>
          <w:p w14:paraId="43241FC5">
            <w:pPr>
              <w:widowControl/>
              <w:tabs>
                <w:tab w:val="left" w:pos="1119"/>
              </w:tabs>
              <w:spacing w:line="360" w:lineRule="exact"/>
              <w:jc w:val="center"/>
              <w:rPr>
                <w:color w:val="auto"/>
                <w:szCs w:val="21"/>
                <w:highlight w:val="none"/>
              </w:rPr>
            </w:pPr>
            <w:r>
              <w:rPr>
                <w:color w:val="auto"/>
                <w:szCs w:val="21"/>
                <w:highlight w:val="none"/>
              </w:rPr>
              <w:t>项目危险物质及工艺系统危险性P</w:t>
            </w:r>
          </w:p>
        </w:tc>
      </w:tr>
      <w:tr w14:paraId="58FB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67" w:type="dxa"/>
            <w:vMerge w:val="continue"/>
            <w:vAlign w:val="center"/>
          </w:tcPr>
          <w:p w14:paraId="5B0D865F">
            <w:pPr>
              <w:widowControl/>
              <w:tabs>
                <w:tab w:val="left" w:pos="1119"/>
              </w:tabs>
              <w:spacing w:line="360" w:lineRule="exact"/>
              <w:jc w:val="center"/>
              <w:rPr>
                <w:color w:val="auto"/>
                <w:szCs w:val="21"/>
                <w:highlight w:val="none"/>
              </w:rPr>
            </w:pPr>
          </w:p>
        </w:tc>
        <w:tc>
          <w:tcPr>
            <w:tcW w:w="4983" w:type="dxa"/>
            <w:vAlign w:val="center"/>
          </w:tcPr>
          <w:p w14:paraId="56A1B181">
            <w:pPr>
              <w:widowControl/>
              <w:tabs>
                <w:tab w:val="left" w:pos="1119"/>
              </w:tabs>
              <w:spacing w:line="360" w:lineRule="exact"/>
              <w:jc w:val="center"/>
              <w:rPr>
                <w:color w:val="auto"/>
                <w:szCs w:val="21"/>
                <w:highlight w:val="none"/>
              </w:rPr>
            </w:pPr>
            <w:r>
              <w:rPr>
                <w:rFonts w:hint="eastAsia"/>
                <w:color w:val="auto"/>
                <w:szCs w:val="21"/>
                <w:highlight w:val="none"/>
                <w:lang w:val="en-US" w:eastAsia="zh-CN"/>
              </w:rPr>
              <w:t>高度</w:t>
            </w:r>
            <w:r>
              <w:rPr>
                <w:color w:val="auto"/>
                <w:szCs w:val="21"/>
                <w:highlight w:val="none"/>
              </w:rPr>
              <w:t>危害（P</w:t>
            </w:r>
            <w:r>
              <w:rPr>
                <w:rFonts w:hint="eastAsia"/>
                <w:color w:val="auto"/>
                <w:szCs w:val="21"/>
                <w:highlight w:val="none"/>
                <w:lang w:val="en-US" w:eastAsia="zh-CN"/>
              </w:rPr>
              <w:t>2</w:t>
            </w:r>
            <w:r>
              <w:rPr>
                <w:color w:val="auto"/>
                <w:szCs w:val="21"/>
                <w:highlight w:val="none"/>
              </w:rPr>
              <w:t>）</w:t>
            </w:r>
          </w:p>
        </w:tc>
      </w:tr>
      <w:tr w14:paraId="7B70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267" w:type="dxa"/>
            <w:vAlign w:val="center"/>
          </w:tcPr>
          <w:p w14:paraId="017DD02D">
            <w:pPr>
              <w:widowControl/>
              <w:tabs>
                <w:tab w:val="left" w:pos="1119"/>
              </w:tabs>
              <w:spacing w:line="360" w:lineRule="exact"/>
              <w:jc w:val="center"/>
              <w:rPr>
                <w:color w:val="auto"/>
                <w:szCs w:val="21"/>
                <w:highlight w:val="none"/>
              </w:rPr>
            </w:pPr>
            <w:r>
              <w:rPr>
                <w:color w:val="auto"/>
                <w:szCs w:val="21"/>
                <w:highlight w:val="none"/>
              </w:rPr>
              <w:t>大气环境低敏感度区（E</w:t>
            </w:r>
            <w:r>
              <w:rPr>
                <w:rFonts w:hint="eastAsia"/>
                <w:color w:val="auto"/>
                <w:szCs w:val="21"/>
                <w:highlight w:val="none"/>
              </w:rPr>
              <w:t>3</w:t>
            </w:r>
            <w:r>
              <w:rPr>
                <w:color w:val="auto"/>
                <w:szCs w:val="21"/>
                <w:highlight w:val="none"/>
              </w:rPr>
              <w:t>）</w:t>
            </w:r>
          </w:p>
        </w:tc>
        <w:tc>
          <w:tcPr>
            <w:tcW w:w="4983" w:type="dxa"/>
            <w:vAlign w:val="center"/>
          </w:tcPr>
          <w:p w14:paraId="6820FF4A">
            <w:pPr>
              <w:widowControl/>
              <w:tabs>
                <w:tab w:val="left" w:pos="1119"/>
              </w:tabs>
              <w:spacing w:line="360" w:lineRule="exact"/>
              <w:jc w:val="center"/>
              <w:rPr>
                <w:color w:val="auto"/>
                <w:szCs w:val="21"/>
                <w:highlight w:val="none"/>
              </w:rPr>
            </w:pPr>
            <w:r>
              <w:rPr>
                <w:snapToGrid w:val="0"/>
                <w:color w:val="auto"/>
                <w:kern w:val="0"/>
                <w:szCs w:val="21"/>
                <w:highlight w:val="none"/>
              </w:rPr>
              <w:t>Ⅲ</w:t>
            </w:r>
          </w:p>
        </w:tc>
      </w:tr>
      <w:tr w14:paraId="1FFB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67" w:type="dxa"/>
            <w:vAlign w:val="center"/>
          </w:tcPr>
          <w:p w14:paraId="07BF8050">
            <w:pPr>
              <w:widowControl/>
              <w:tabs>
                <w:tab w:val="left" w:pos="1119"/>
              </w:tabs>
              <w:spacing w:line="360" w:lineRule="exact"/>
              <w:jc w:val="center"/>
              <w:rPr>
                <w:color w:val="auto"/>
                <w:szCs w:val="21"/>
                <w:highlight w:val="none"/>
              </w:rPr>
            </w:pPr>
            <w:r>
              <w:rPr>
                <w:color w:val="auto"/>
                <w:szCs w:val="21"/>
                <w:highlight w:val="none"/>
              </w:rPr>
              <w:t>地下水环境</w:t>
            </w:r>
            <w:r>
              <w:rPr>
                <w:rFonts w:hint="eastAsia"/>
                <w:color w:val="auto"/>
                <w:szCs w:val="21"/>
                <w:highlight w:val="none"/>
              </w:rPr>
              <w:t>中度</w:t>
            </w:r>
            <w:r>
              <w:rPr>
                <w:color w:val="auto"/>
                <w:szCs w:val="21"/>
                <w:highlight w:val="none"/>
              </w:rPr>
              <w:t>敏感度区（E</w:t>
            </w:r>
            <w:r>
              <w:rPr>
                <w:rFonts w:hint="eastAsia"/>
                <w:color w:val="auto"/>
                <w:szCs w:val="21"/>
                <w:highlight w:val="none"/>
              </w:rPr>
              <w:t>2</w:t>
            </w:r>
            <w:r>
              <w:rPr>
                <w:color w:val="auto"/>
                <w:szCs w:val="21"/>
                <w:highlight w:val="none"/>
              </w:rPr>
              <w:t>）</w:t>
            </w:r>
          </w:p>
        </w:tc>
        <w:tc>
          <w:tcPr>
            <w:tcW w:w="4983" w:type="dxa"/>
            <w:vAlign w:val="center"/>
          </w:tcPr>
          <w:p w14:paraId="47291F34">
            <w:pPr>
              <w:widowControl/>
              <w:tabs>
                <w:tab w:val="left" w:pos="1119"/>
              </w:tabs>
              <w:spacing w:line="360" w:lineRule="exact"/>
              <w:jc w:val="center"/>
              <w:rPr>
                <w:color w:val="auto"/>
                <w:szCs w:val="21"/>
                <w:highlight w:val="none"/>
              </w:rPr>
            </w:pPr>
            <w:r>
              <w:rPr>
                <w:snapToGrid w:val="0"/>
                <w:color w:val="auto"/>
                <w:kern w:val="0"/>
                <w:szCs w:val="21"/>
                <w:highlight w:val="none"/>
              </w:rPr>
              <w:t>Ⅲ</w:t>
            </w:r>
          </w:p>
        </w:tc>
      </w:tr>
    </w:tbl>
    <w:p w14:paraId="1C3D7739">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color w:val="auto"/>
          <w:kern w:val="0"/>
          <w:sz w:val="24"/>
          <w:highlight w:val="none"/>
        </w:rPr>
      </w:pPr>
      <w:r>
        <w:rPr>
          <w:color w:val="auto"/>
          <w:kern w:val="0"/>
          <w:sz w:val="24"/>
          <w:highlight w:val="none"/>
        </w:rPr>
        <w:t>本项目的大气环境风险潜势为Ⅲ级，地下水环境风险潜势为Ⅲ级。</w:t>
      </w:r>
    </w:p>
    <w:p w14:paraId="59B7230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6.3.3.6生态环境风险评价等级及评价范围</w:t>
      </w:r>
    </w:p>
    <w:p w14:paraId="7500845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rFonts w:hint="eastAsia" w:eastAsiaTheme="minorEastAsia"/>
          <w:snapToGrid w:val="0"/>
          <w:color w:val="auto"/>
          <w:kern w:val="0"/>
          <w:sz w:val="24"/>
          <w:highlight w:val="none"/>
          <w:lang w:val="en-US" w:eastAsia="zh-CN"/>
        </w:rPr>
        <w:t>生态</w:t>
      </w:r>
      <w:r>
        <w:rPr>
          <w:rFonts w:hint="eastAsia"/>
          <w:snapToGrid w:val="0"/>
          <w:color w:val="auto"/>
          <w:kern w:val="0"/>
          <w:sz w:val="24"/>
          <w:highlight w:val="none"/>
        </w:rPr>
        <w:t>环境风险评价等级</w:t>
      </w:r>
    </w:p>
    <w:p w14:paraId="466AD92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根据《建设项目环境风险评价技术导则》（HJ169-2018），</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环境风险评价工作等级划分为一级、二级、三级、简单分析。根据建设项目涉及的风险物质及工艺系统潜在危险性和所在地的</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环境敏感性确定环境风险潜势，按照表</w:t>
      </w:r>
      <w:r>
        <w:rPr>
          <w:rFonts w:hint="eastAsia"/>
          <w:snapToGrid w:val="0"/>
          <w:color w:val="auto"/>
          <w:kern w:val="0"/>
          <w:sz w:val="24"/>
          <w:highlight w:val="none"/>
        </w:rPr>
        <w:t>6</w:t>
      </w:r>
      <w:r>
        <w:rPr>
          <w:snapToGrid w:val="0"/>
          <w:color w:val="auto"/>
          <w:kern w:val="0"/>
          <w:sz w:val="24"/>
          <w:highlight w:val="none"/>
        </w:rPr>
        <w:t>.3-1</w:t>
      </w:r>
      <w:r>
        <w:rPr>
          <w:rFonts w:hint="eastAsia"/>
          <w:snapToGrid w:val="0"/>
          <w:color w:val="auto"/>
          <w:kern w:val="0"/>
          <w:sz w:val="24"/>
          <w:highlight w:val="none"/>
          <w:lang w:val="en-US" w:eastAsia="zh-CN"/>
        </w:rPr>
        <w:t>2</w:t>
      </w:r>
      <w:r>
        <w:rPr>
          <w:snapToGrid w:val="0"/>
          <w:color w:val="auto"/>
          <w:kern w:val="0"/>
          <w:sz w:val="24"/>
          <w:highlight w:val="none"/>
        </w:rPr>
        <w:t>确定评价工作等级。风险潜势为Ⅳ及以上，进行一级评价；风险潜势为Ⅲ，进行二级评价；风险潜势为Ⅱ，进行三级评价；风险潜势为Ⅰ，可开展简单分析。</w:t>
      </w:r>
    </w:p>
    <w:p w14:paraId="0DD4BDA8">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6.3-1</w:t>
      </w:r>
      <w:r>
        <w:rPr>
          <w:rFonts w:hint="eastAsia" w:ascii="Times New Roman" w:hAnsi="Times New Roman" w:cs="Times New Roman"/>
          <w:snapToGrid w:val="0"/>
          <w:color w:val="auto"/>
          <w:kern w:val="0"/>
          <w:sz w:val="21"/>
          <w:szCs w:val="21"/>
          <w:highlight w:val="none"/>
          <w:lang w:val="en-US" w:eastAsia="zh-CN"/>
        </w:rPr>
        <w:t>2</w:t>
      </w:r>
      <w:r>
        <w:rPr>
          <w:rFonts w:hint="eastAsia" w:ascii="Times New Roman" w:hAnsi="Times New Roman" w:cs="Times New Roman"/>
          <w:snapToGrid w:val="0"/>
          <w:color w:val="auto"/>
          <w:kern w:val="0"/>
          <w:sz w:val="21"/>
          <w:szCs w:val="21"/>
          <w:highlight w:val="none"/>
        </w:rPr>
        <w:t xml:space="preserve"> 评价工作等级划分表</w:t>
      </w:r>
    </w:p>
    <w:tbl>
      <w:tblPr>
        <w:tblStyle w:val="5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1687"/>
        <w:gridCol w:w="1687"/>
        <w:gridCol w:w="1687"/>
        <w:gridCol w:w="1688"/>
      </w:tblGrid>
      <w:tr w14:paraId="63A3F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7" w:type="dxa"/>
            <w:tcBorders>
              <w:top w:val="single" w:color="auto" w:sz="4" w:space="0"/>
              <w:left w:val="single" w:color="auto" w:sz="4" w:space="0"/>
            </w:tcBorders>
            <w:shd w:val="clear" w:color="auto" w:fill="auto"/>
            <w:vAlign w:val="center"/>
          </w:tcPr>
          <w:p w14:paraId="23493A67">
            <w:pPr>
              <w:pStyle w:val="304"/>
              <w:adjustRightInd w:val="0"/>
              <w:snapToGrid w:val="0"/>
              <w:spacing w:before="0" w:after="0" w:line="240" w:lineRule="auto"/>
              <w:ind w:left="0" w:right="0"/>
              <w:rPr>
                <w:snapToGrid w:val="0"/>
                <w:color w:val="auto"/>
                <w:kern w:val="0"/>
                <w:sz w:val="21"/>
                <w:szCs w:val="21"/>
                <w:highlight w:val="none"/>
              </w:rPr>
            </w:pPr>
            <w:r>
              <w:rPr>
                <w:rFonts w:hint="eastAsia"/>
                <w:snapToGrid w:val="0"/>
                <w:color w:val="auto"/>
                <w:kern w:val="0"/>
                <w:sz w:val="21"/>
                <w:szCs w:val="21"/>
                <w:highlight w:val="none"/>
              </w:rPr>
              <w:t>环境风险潜势</w:t>
            </w:r>
          </w:p>
        </w:tc>
        <w:tc>
          <w:tcPr>
            <w:tcW w:w="1687" w:type="dxa"/>
            <w:tcBorders>
              <w:top w:val="single" w:color="auto" w:sz="4" w:space="0"/>
            </w:tcBorders>
            <w:shd w:val="clear" w:color="auto" w:fill="auto"/>
            <w:vAlign w:val="center"/>
          </w:tcPr>
          <w:p w14:paraId="12382AC1">
            <w:pPr>
              <w:pStyle w:val="304"/>
              <w:adjustRightInd w:val="0"/>
              <w:snapToGrid w:val="0"/>
              <w:spacing w:before="0" w:after="0" w:line="240" w:lineRule="auto"/>
              <w:ind w:left="0" w:right="0"/>
              <w:rPr>
                <w:snapToGrid w:val="0"/>
                <w:color w:val="auto"/>
                <w:kern w:val="0"/>
                <w:sz w:val="21"/>
                <w:szCs w:val="21"/>
                <w:highlight w:val="none"/>
              </w:rPr>
            </w:pPr>
            <w:r>
              <w:rPr>
                <w:snapToGrid w:val="0"/>
                <w:color w:val="auto"/>
                <w:kern w:val="0"/>
                <w:sz w:val="21"/>
                <w:szCs w:val="21"/>
                <w:highlight w:val="none"/>
              </w:rPr>
              <w:t>Ⅳ、Ⅳ</w:t>
            </w:r>
            <w:r>
              <w:rPr>
                <w:snapToGrid w:val="0"/>
                <w:color w:val="auto"/>
                <w:kern w:val="0"/>
                <w:sz w:val="21"/>
                <w:szCs w:val="21"/>
                <w:highlight w:val="none"/>
                <w:vertAlign w:val="superscript"/>
              </w:rPr>
              <w:t>+</w:t>
            </w:r>
          </w:p>
        </w:tc>
        <w:tc>
          <w:tcPr>
            <w:tcW w:w="1687" w:type="dxa"/>
            <w:tcBorders>
              <w:top w:val="single" w:color="auto" w:sz="4" w:space="0"/>
            </w:tcBorders>
            <w:shd w:val="clear" w:color="auto" w:fill="auto"/>
            <w:vAlign w:val="center"/>
          </w:tcPr>
          <w:p w14:paraId="71A1AFFA">
            <w:pPr>
              <w:pStyle w:val="304"/>
              <w:adjustRightInd w:val="0"/>
              <w:snapToGrid w:val="0"/>
              <w:spacing w:before="0" w:after="0" w:line="240" w:lineRule="auto"/>
              <w:ind w:left="0" w:right="0"/>
              <w:rPr>
                <w:snapToGrid w:val="0"/>
                <w:color w:val="auto"/>
                <w:kern w:val="0"/>
                <w:sz w:val="21"/>
                <w:szCs w:val="21"/>
                <w:highlight w:val="none"/>
              </w:rPr>
            </w:pPr>
            <w:r>
              <w:rPr>
                <w:snapToGrid w:val="0"/>
                <w:color w:val="auto"/>
                <w:kern w:val="0"/>
                <w:sz w:val="21"/>
                <w:szCs w:val="21"/>
                <w:highlight w:val="none"/>
              </w:rPr>
              <w:t>Ⅲ</w:t>
            </w:r>
          </w:p>
        </w:tc>
        <w:tc>
          <w:tcPr>
            <w:tcW w:w="1687" w:type="dxa"/>
            <w:tcBorders>
              <w:top w:val="single" w:color="auto" w:sz="4" w:space="0"/>
            </w:tcBorders>
            <w:shd w:val="clear" w:color="auto" w:fill="auto"/>
            <w:vAlign w:val="center"/>
          </w:tcPr>
          <w:p w14:paraId="38CC02BE">
            <w:pPr>
              <w:pStyle w:val="304"/>
              <w:adjustRightInd w:val="0"/>
              <w:snapToGrid w:val="0"/>
              <w:spacing w:before="0" w:after="0" w:line="240" w:lineRule="auto"/>
              <w:ind w:left="0" w:right="0"/>
              <w:rPr>
                <w:snapToGrid w:val="0"/>
                <w:color w:val="auto"/>
                <w:kern w:val="0"/>
                <w:sz w:val="21"/>
                <w:szCs w:val="21"/>
                <w:highlight w:val="none"/>
              </w:rPr>
            </w:pPr>
            <w:r>
              <w:rPr>
                <w:snapToGrid w:val="0"/>
                <w:color w:val="auto"/>
                <w:kern w:val="0"/>
                <w:sz w:val="21"/>
                <w:szCs w:val="21"/>
                <w:highlight w:val="none"/>
              </w:rPr>
              <w:t>Ⅱ</w:t>
            </w:r>
          </w:p>
        </w:tc>
        <w:tc>
          <w:tcPr>
            <w:tcW w:w="1688" w:type="dxa"/>
            <w:tcBorders>
              <w:top w:val="single" w:color="auto" w:sz="4" w:space="0"/>
              <w:right w:val="single" w:color="auto" w:sz="4" w:space="0"/>
            </w:tcBorders>
            <w:shd w:val="clear" w:color="auto" w:fill="auto"/>
            <w:vAlign w:val="center"/>
          </w:tcPr>
          <w:p w14:paraId="5725F437">
            <w:pPr>
              <w:pStyle w:val="304"/>
              <w:adjustRightInd w:val="0"/>
              <w:snapToGrid w:val="0"/>
              <w:spacing w:before="0" w:after="0" w:line="240" w:lineRule="auto"/>
              <w:ind w:left="0" w:right="0"/>
              <w:rPr>
                <w:snapToGrid w:val="0"/>
                <w:color w:val="auto"/>
                <w:kern w:val="0"/>
                <w:sz w:val="21"/>
                <w:szCs w:val="21"/>
                <w:highlight w:val="none"/>
              </w:rPr>
            </w:pPr>
            <w:r>
              <w:rPr>
                <w:snapToGrid w:val="0"/>
                <w:color w:val="auto"/>
                <w:kern w:val="0"/>
                <w:sz w:val="21"/>
                <w:szCs w:val="21"/>
                <w:highlight w:val="none"/>
              </w:rPr>
              <w:t>Ⅰ</w:t>
            </w:r>
          </w:p>
        </w:tc>
      </w:tr>
      <w:tr w14:paraId="7C7E14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7" w:type="dxa"/>
            <w:tcBorders>
              <w:left w:val="single" w:color="auto" w:sz="4" w:space="0"/>
            </w:tcBorders>
            <w:shd w:val="clear" w:color="auto" w:fill="auto"/>
            <w:vAlign w:val="center"/>
          </w:tcPr>
          <w:p w14:paraId="38B9E4ED">
            <w:pPr>
              <w:pStyle w:val="304"/>
              <w:adjustRightInd w:val="0"/>
              <w:snapToGrid w:val="0"/>
              <w:spacing w:before="0" w:after="0" w:line="240" w:lineRule="auto"/>
              <w:ind w:left="0" w:right="0"/>
              <w:rPr>
                <w:snapToGrid w:val="0"/>
                <w:color w:val="auto"/>
                <w:kern w:val="0"/>
                <w:sz w:val="21"/>
                <w:szCs w:val="21"/>
                <w:highlight w:val="none"/>
              </w:rPr>
            </w:pPr>
            <w:r>
              <w:rPr>
                <w:rFonts w:hint="eastAsia"/>
                <w:snapToGrid w:val="0"/>
                <w:color w:val="auto"/>
                <w:kern w:val="0"/>
                <w:sz w:val="21"/>
                <w:szCs w:val="21"/>
                <w:highlight w:val="none"/>
              </w:rPr>
              <w:t>评价工作等级</w:t>
            </w:r>
          </w:p>
        </w:tc>
        <w:tc>
          <w:tcPr>
            <w:tcW w:w="1687" w:type="dxa"/>
            <w:shd w:val="clear" w:color="auto" w:fill="auto"/>
            <w:vAlign w:val="center"/>
          </w:tcPr>
          <w:p w14:paraId="677EA108">
            <w:pPr>
              <w:pStyle w:val="304"/>
              <w:adjustRightInd w:val="0"/>
              <w:snapToGrid w:val="0"/>
              <w:spacing w:before="0" w:after="0" w:line="240" w:lineRule="auto"/>
              <w:ind w:left="0" w:right="0"/>
              <w:rPr>
                <w:snapToGrid w:val="0"/>
                <w:color w:val="auto"/>
                <w:kern w:val="0"/>
                <w:sz w:val="21"/>
                <w:szCs w:val="21"/>
                <w:highlight w:val="none"/>
              </w:rPr>
            </w:pPr>
            <w:r>
              <w:rPr>
                <w:rFonts w:hint="eastAsia"/>
                <w:snapToGrid w:val="0"/>
                <w:color w:val="auto"/>
                <w:kern w:val="0"/>
                <w:sz w:val="21"/>
                <w:szCs w:val="21"/>
                <w:highlight w:val="none"/>
              </w:rPr>
              <w:t>一</w:t>
            </w:r>
          </w:p>
        </w:tc>
        <w:tc>
          <w:tcPr>
            <w:tcW w:w="1687" w:type="dxa"/>
            <w:shd w:val="clear" w:color="auto" w:fill="auto"/>
            <w:vAlign w:val="center"/>
          </w:tcPr>
          <w:p w14:paraId="6A3D9944">
            <w:pPr>
              <w:pStyle w:val="304"/>
              <w:adjustRightInd w:val="0"/>
              <w:snapToGrid w:val="0"/>
              <w:spacing w:before="0" w:after="0" w:line="240" w:lineRule="auto"/>
              <w:ind w:left="0" w:right="0"/>
              <w:rPr>
                <w:snapToGrid w:val="0"/>
                <w:color w:val="auto"/>
                <w:kern w:val="0"/>
                <w:sz w:val="21"/>
                <w:szCs w:val="21"/>
                <w:highlight w:val="none"/>
              </w:rPr>
            </w:pPr>
            <w:r>
              <w:rPr>
                <w:rFonts w:hint="eastAsia"/>
                <w:snapToGrid w:val="0"/>
                <w:color w:val="auto"/>
                <w:kern w:val="0"/>
                <w:sz w:val="21"/>
                <w:szCs w:val="21"/>
                <w:highlight w:val="none"/>
              </w:rPr>
              <w:t>二</w:t>
            </w:r>
          </w:p>
        </w:tc>
        <w:tc>
          <w:tcPr>
            <w:tcW w:w="1687" w:type="dxa"/>
            <w:shd w:val="clear" w:color="auto" w:fill="auto"/>
            <w:vAlign w:val="center"/>
          </w:tcPr>
          <w:p w14:paraId="0F5D6C3F">
            <w:pPr>
              <w:pStyle w:val="304"/>
              <w:adjustRightInd w:val="0"/>
              <w:snapToGrid w:val="0"/>
              <w:spacing w:before="0" w:after="0" w:line="240" w:lineRule="auto"/>
              <w:ind w:left="0" w:right="0"/>
              <w:rPr>
                <w:snapToGrid w:val="0"/>
                <w:color w:val="auto"/>
                <w:kern w:val="0"/>
                <w:sz w:val="21"/>
                <w:szCs w:val="21"/>
                <w:highlight w:val="none"/>
              </w:rPr>
            </w:pPr>
            <w:r>
              <w:rPr>
                <w:rFonts w:hint="eastAsia"/>
                <w:snapToGrid w:val="0"/>
                <w:color w:val="auto"/>
                <w:kern w:val="0"/>
                <w:sz w:val="21"/>
                <w:szCs w:val="21"/>
                <w:highlight w:val="none"/>
              </w:rPr>
              <w:t>三</w:t>
            </w:r>
          </w:p>
        </w:tc>
        <w:tc>
          <w:tcPr>
            <w:tcW w:w="1688" w:type="dxa"/>
            <w:tcBorders>
              <w:right w:val="single" w:color="auto" w:sz="4" w:space="0"/>
            </w:tcBorders>
            <w:shd w:val="clear" w:color="auto" w:fill="auto"/>
            <w:vAlign w:val="center"/>
          </w:tcPr>
          <w:p w14:paraId="600A5059">
            <w:pPr>
              <w:pStyle w:val="304"/>
              <w:adjustRightInd w:val="0"/>
              <w:snapToGrid w:val="0"/>
              <w:spacing w:before="0" w:after="0" w:line="240" w:lineRule="auto"/>
              <w:ind w:left="0" w:right="0"/>
              <w:rPr>
                <w:snapToGrid w:val="0"/>
                <w:color w:val="auto"/>
                <w:kern w:val="0"/>
                <w:sz w:val="21"/>
                <w:szCs w:val="21"/>
                <w:highlight w:val="none"/>
                <w:vertAlign w:val="superscript"/>
              </w:rPr>
            </w:pPr>
            <w:r>
              <w:rPr>
                <w:rFonts w:hint="eastAsia"/>
                <w:snapToGrid w:val="0"/>
                <w:color w:val="auto"/>
                <w:kern w:val="0"/>
                <w:sz w:val="21"/>
                <w:szCs w:val="21"/>
                <w:highlight w:val="none"/>
              </w:rPr>
              <w:t>简单分析</w:t>
            </w:r>
            <w:r>
              <w:rPr>
                <w:rFonts w:hint="eastAsia"/>
                <w:snapToGrid w:val="0"/>
                <w:color w:val="auto"/>
                <w:kern w:val="0"/>
                <w:sz w:val="21"/>
                <w:szCs w:val="21"/>
                <w:highlight w:val="none"/>
                <w:vertAlign w:val="superscript"/>
              </w:rPr>
              <w:t>a</w:t>
            </w:r>
          </w:p>
        </w:tc>
      </w:tr>
      <w:tr w14:paraId="3314D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36" w:type="dxa"/>
            <w:gridSpan w:val="5"/>
            <w:tcBorders>
              <w:left w:val="single" w:color="auto" w:sz="4" w:space="0"/>
              <w:bottom w:val="single" w:color="auto" w:sz="4" w:space="0"/>
              <w:right w:val="single" w:color="auto" w:sz="4" w:space="0"/>
            </w:tcBorders>
            <w:shd w:val="clear" w:color="auto" w:fill="auto"/>
            <w:vAlign w:val="center"/>
          </w:tcPr>
          <w:p w14:paraId="20466E4D">
            <w:pPr>
              <w:pStyle w:val="304"/>
              <w:adjustRightInd w:val="0"/>
              <w:snapToGrid w:val="0"/>
              <w:spacing w:before="0" w:after="0" w:line="240" w:lineRule="auto"/>
              <w:ind w:left="0" w:right="0"/>
              <w:jc w:val="left"/>
              <w:rPr>
                <w:snapToGrid w:val="0"/>
                <w:color w:val="auto"/>
                <w:kern w:val="0"/>
                <w:sz w:val="21"/>
                <w:szCs w:val="21"/>
                <w:highlight w:val="none"/>
              </w:rPr>
            </w:pPr>
            <w:r>
              <w:rPr>
                <w:snapToGrid w:val="0"/>
                <w:color w:val="auto"/>
                <w:kern w:val="0"/>
                <w:sz w:val="21"/>
                <w:szCs w:val="21"/>
                <w:highlight w:val="none"/>
              </w:rPr>
              <w:t>a是相对于详细评价工作内容而言，在描述危险物质、环境影响途径、环境危害后果、风险防范措施等方面给出定性的说明。</w:t>
            </w:r>
          </w:p>
        </w:tc>
      </w:tr>
    </w:tbl>
    <w:p w14:paraId="391E1358">
      <w:pPr>
        <w:adjustRightInd w:val="0"/>
        <w:snapToGrid w:val="0"/>
        <w:spacing w:before="120" w:beforeLines="50" w:line="360" w:lineRule="auto"/>
        <w:ind w:firstLine="480" w:firstLineChars="200"/>
        <w:rPr>
          <w:color w:val="auto"/>
          <w:kern w:val="0"/>
          <w:sz w:val="24"/>
          <w:highlight w:val="none"/>
        </w:rPr>
      </w:pPr>
      <w:r>
        <w:rPr>
          <w:rFonts w:hint="eastAsia"/>
          <w:color w:val="auto"/>
          <w:kern w:val="0"/>
          <w:sz w:val="24"/>
          <w:highlight w:val="none"/>
        </w:rPr>
        <w:t>本项目各要素评价工作等级判定如下：</w:t>
      </w:r>
    </w:p>
    <w:p w14:paraId="1854F758">
      <w:pPr>
        <w:adjustRightInd w:val="0"/>
        <w:snapToGrid w:val="0"/>
        <w:spacing w:line="360" w:lineRule="auto"/>
        <w:ind w:firstLine="480" w:firstLineChars="200"/>
        <w:rPr>
          <w:rFonts w:hint="eastAsia" w:eastAsia="宋体"/>
          <w:color w:val="auto"/>
          <w:kern w:val="0"/>
          <w:sz w:val="24"/>
          <w:highlight w:val="none"/>
          <w:lang w:eastAsia="zh-CN"/>
        </w:rPr>
      </w:pPr>
      <w:r>
        <w:rPr>
          <w:color w:val="auto"/>
          <w:kern w:val="0"/>
          <w:sz w:val="24"/>
          <w:highlight w:val="none"/>
        </w:rPr>
        <w:t>本项目的大气环境风险潜势为Ⅲ级，大气环境</w:t>
      </w:r>
      <w:r>
        <w:rPr>
          <w:rFonts w:hint="eastAsia"/>
          <w:color w:val="auto"/>
          <w:kern w:val="0"/>
          <w:sz w:val="24"/>
          <w:highlight w:val="none"/>
          <w:lang w:val="en-US" w:eastAsia="zh-CN"/>
        </w:rPr>
        <w:t>风险</w:t>
      </w:r>
      <w:r>
        <w:rPr>
          <w:color w:val="auto"/>
          <w:kern w:val="0"/>
          <w:sz w:val="24"/>
          <w:highlight w:val="none"/>
        </w:rPr>
        <w:t>评价等级为</w:t>
      </w:r>
      <w:r>
        <w:rPr>
          <w:rFonts w:hint="eastAsia"/>
          <w:color w:val="auto"/>
          <w:kern w:val="0"/>
          <w:sz w:val="24"/>
          <w:highlight w:val="none"/>
          <w:lang w:val="en-US" w:eastAsia="zh-CN"/>
        </w:rPr>
        <w:t>二级</w:t>
      </w:r>
      <w:r>
        <w:rPr>
          <w:rFonts w:hint="eastAsia"/>
          <w:color w:val="auto"/>
          <w:kern w:val="0"/>
          <w:sz w:val="24"/>
          <w:highlight w:val="none"/>
          <w:lang w:eastAsia="zh-CN"/>
        </w:rPr>
        <w:t>，</w:t>
      </w:r>
      <w:r>
        <w:rPr>
          <w:color w:val="auto"/>
          <w:kern w:val="0"/>
          <w:sz w:val="24"/>
          <w:highlight w:val="none"/>
        </w:rPr>
        <w:t>地下水环境风险潜势为Ⅲ级，地下水环境风险评价等级为</w:t>
      </w:r>
      <w:r>
        <w:rPr>
          <w:rFonts w:hint="eastAsia"/>
          <w:color w:val="auto"/>
          <w:kern w:val="0"/>
          <w:sz w:val="24"/>
          <w:highlight w:val="none"/>
        </w:rPr>
        <w:t>二级</w:t>
      </w:r>
      <w:r>
        <w:rPr>
          <w:rFonts w:hint="eastAsia"/>
          <w:color w:val="auto"/>
          <w:highlight w:val="none"/>
          <w:lang w:eastAsia="zh-CN"/>
        </w:rPr>
        <w:t>，</w:t>
      </w:r>
      <w:r>
        <w:rPr>
          <w:rFonts w:hint="eastAsia" w:ascii="Times New Roman" w:hAnsi="Times New Roman" w:eastAsia="宋体" w:cs="Times New Roman"/>
          <w:color w:val="auto"/>
          <w:kern w:val="0"/>
          <w:sz w:val="24"/>
          <w:highlight w:val="none"/>
          <w:lang w:val="en-US" w:eastAsia="zh-CN"/>
        </w:rPr>
        <w:t>综合评价等级取最高等级，生态环境风险评价等级为二级。</w:t>
      </w:r>
    </w:p>
    <w:p w14:paraId="129B7CD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w:t>
      </w:r>
      <w:r>
        <w:rPr>
          <w:rFonts w:hint="eastAsia" w:eastAsiaTheme="minorEastAsia"/>
          <w:snapToGrid w:val="0"/>
          <w:color w:val="auto"/>
          <w:kern w:val="0"/>
          <w:sz w:val="24"/>
          <w:highlight w:val="none"/>
          <w:lang w:val="en-US" w:eastAsia="zh-CN"/>
        </w:rPr>
        <w:t>生态</w:t>
      </w:r>
      <w:r>
        <w:rPr>
          <w:snapToGrid w:val="0"/>
          <w:color w:val="auto"/>
          <w:kern w:val="0"/>
          <w:sz w:val="24"/>
          <w:highlight w:val="none"/>
        </w:rPr>
        <w:t>环境风险评价范围</w:t>
      </w:r>
    </w:p>
    <w:p w14:paraId="70A6A6BB">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根据上表，本项目大气环境风险评价等级为一级评价，根据导则要求，大气环境风险评价范围：一级、二级评价距建设项目边界一般不低于5km；三级评价距建设项目边界一般不低于3km。</w:t>
      </w:r>
    </w:p>
    <w:p w14:paraId="35A75544">
      <w:pPr>
        <w:adjustRightInd w:val="0"/>
        <w:snapToGrid w:val="0"/>
        <w:spacing w:line="360" w:lineRule="auto"/>
        <w:ind w:firstLine="480" w:firstLineChars="200"/>
        <w:rPr>
          <w:rFonts w:hint="eastAsia" w:eastAsia="宋体"/>
          <w:snapToGrid w:val="0"/>
          <w:color w:val="auto"/>
          <w:kern w:val="0"/>
          <w:sz w:val="24"/>
          <w:highlight w:val="none"/>
          <w:lang w:val="en-US" w:eastAsia="zh-CN"/>
        </w:rPr>
      </w:pPr>
      <w:r>
        <w:rPr>
          <w:snapToGrid w:val="0"/>
          <w:color w:val="auto"/>
          <w:kern w:val="0"/>
          <w:sz w:val="24"/>
          <w:highlight w:val="none"/>
        </w:rPr>
        <w:t>本项目</w:t>
      </w:r>
      <w:r>
        <w:rPr>
          <w:rFonts w:hint="eastAsia"/>
          <w:snapToGrid w:val="0"/>
          <w:color w:val="auto"/>
          <w:kern w:val="0"/>
          <w:sz w:val="24"/>
          <w:highlight w:val="none"/>
          <w:lang w:val="en-US" w:eastAsia="zh-CN"/>
        </w:rPr>
        <w:t>大气</w:t>
      </w:r>
      <w:r>
        <w:rPr>
          <w:snapToGrid w:val="0"/>
          <w:color w:val="auto"/>
          <w:kern w:val="0"/>
          <w:sz w:val="24"/>
          <w:highlight w:val="none"/>
        </w:rPr>
        <w:t>环境风险</w:t>
      </w:r>
      <w:r>
        <w:rPr>
          <w:color w:val="auto"/>
          <w:kern w:val="0"/>
          <w:sz w:val="24"/>
          <w:highlight w:val="none"/>
        </w:rPr>
        <w:t>评价等级为</w:t>
      </w:r>
      <w:r>
        <w:rPr>
          <w:rFonts w:hint="eastAsia"/>
          <w:color w:val="auto"/>
          <w:kern w:val="0"/>
          <w:sz w:val="24"/>
          <w:highlight w:val="none"/>
          <w:lang w:val="en-US" w:eastAsia="zh-CN"/>
        </w:rPr>
        <w:t>二</w:t>
      </w:r>
      <w:r>
        <w:rPr>
          <w:rFonts w:hint="eastAsia"/>
          <w:color w:val="auto"/>
          <w:kern w:val="0"/>
          <w:sz w:val="24"/>
          <w:highlight w:val="none"/>
        </w:rPr>
        <w:t>级</w:t>
      </w:r>
      <w:r>
        <w:rPr>
          <w:snapToGrid w:val="0"/>
          <w:color w:val="auto"/>
          <w:kern w:val="0"/>
          <w:sz w:val="24"/>
          <w:highlight w:val="none"/>
        </w:rPr>
        <w:t>，评价范围</w:t>
      </w:r>
      <w:r>
        <w:rPr>
          <w:rFonts w:hint="eastAsia"/>
          <w:snapToGrid w:val="0"/>
          <w:color w:val="auto"/>
          <w:kern w:val="0"/>
          <w:sz w:val="24"/>
          <w:highlight w:val="none"/>
        </w:rPr>
        <w:t>为项目边界</w:t>
      </w:r>
      <w:r>
        <w:rPr>
          <w:rFonts w:hint="eastAsia"/>
          <w:snapToGrid w:val="0"/>
          <w:color w:val="auto"/>
          <w:kern w:val="0"/>
          <w:sz w:val="24"/>
          <w:highlight w:val="none"/>
          <w:lang w:val="en-US" w:eastAsia="zh-CN"/>
        </w:rPr>
        <w:t>5</w:t>
      </w:r>
      <w:r>
        <w:rPr>
          <w:rFonts w:hint="eastAsia"/>
          <w:snapToGrid w:val="0"/>
          <w:color w:val="auto"/>
          <w:kern w:val="0"/>
          <w:sz w:val="24"/>
          <w:highlight w:val="none"/>
        </w:rPr>
        <w:t>km范围内</w:t>
      </w:r>
      <w:r>
        <w:rPr>
          <w:rFonts w:hint="eastAsia"/>
          <w:snapToGrid w:val="0"/>
          <w:color w:val="auto"/>
          <w:kern w:val="0"/>
          <w:sz w:val="24"/>
          <w:highlight w:val="none"/>
          <w:lang w:eastAsia="zh-CN"/>
        </w:rPr>
        <w:t>。</w:t>
      </w:r>
    </w:p>
    <w:p w14:paraId="297B2BC1">
      <w:pPr>
        <w:adjustRightInd w:val="0"/>
        <w:snapToGrid w:val="0"/>
        <w:spacing w:line="360" w:lineRule="auto"/>
        <w:ind w:firstLine="480" w:firstLineChars="200"/>
        <w:rPr>
          <w:rFonts w:hint="default"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地下水环境</w:t>
      </w:r>
      <w:r>
        <w:rPr>
          <w:rFonts w:ascii="Times New Roman" w:hAnsi="Times New Roman" w:eastAsia="宋体" w:cs="Times New Roman"/>
          <w:snapToGrid w:val="0"/>
          <w:color w:val="auto"/>
          <w:kern w:val="0"/>
          <w:sz w:val="24"/>
          <w:highlight w:val="none"/>
        </w:rPr>
        <w:t>风险评价等级为</w:t>
      </w:r>
      <w:r>
        <w:rPr>
          <w:rFonts w:hint="eastAsia" w:ascii="Times New Roman" w:hAnsi="Times New Roman" w:eastAsia="宋体" w:cs="Times New Roman"/>
          <w:snapToGrid w:val="0"/>
          <w:color w:val="auto"/>
          <w:kern w:val="0"/>
          <w:sz w:val="24"/>
          <w:highlight w:val="none"/>
          <w:lang w:val="en-US" w:eastAsia="zh-CN"/>
        </w:rPr>
        <w:t>二</w:t>
      </w:r>
      <w:r>
        <w:rPr>
          <w:rFonts w:hint="eastAsia" w:ascii="Times New Roman" w:hAnsi="Times New Roman" w:eastAsia="宋体" w:cs="Times New Roman"/>
          <w:snapToGrid w:val="0"/>
          <w:color w:val="auto"/>
          <w:kern w:val="0"/>
          <w:sz w:val="24"/>
          <w:highlight w:val="none"/>
        </w:rPr>
        <w:t>级</w:t>
      </w:r>
      <w:r>
        <w:rPr>
          <w:rFonts w:ascii="Times New Roman" w:hAnsi="Times New Roman" w:eastAsia="宋体" w:cs="Times New Roman"/>
          <w:snapToGrid w:val="0"/>
          <w:color w:val="auto"/>
          <w:kern w:val="0"/>
          <w:sz w:val="24"/>
          <w:highlight w:val="none"/>
        </w:rPr>
        <w:t>，评价范围</w:t>
      </w:r>
      <w:r>
        <w:rPr>
          <w:rFonts w:hint="eastAsia" w:ascii="Times New Roman" w:hAnsi="Times New Roman" w:eastAsia="宋体" w:cs="Times New Roman"/>
          <w:snapToGrid w:val="0"/>
          <w:color w:val="auto"/>
          <w:kern w:val="0"/>
          <w:sz w:val="24"/>
          <w:highlight w:val="none"/>
          <w:lang w:val="en-US" w:eastAsia="zh-CN"/>
        </w:rPr>
        <w:t>和地下水环境评价范围一致。</w:t>
      </w:r>
    </w:p>
    <w:p w14:paraId="2518BAA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6.3.4生态环境风险识别</w:t>
      </w:r>
    </w:p>
    <w:p w14:paraId="5682048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6.3.4.1物质危险性识别</w:t>
      </w:r>
    </w:p>
    <w:p w14:paraId="02BEA23A">
      <w:pPr>
        <w:adjustRightInd w:val="0"/>
        <w:snapToGrid w:val="0"/>
        <w:spacing w:line="360" w:lineRule="auto"/>
        <w:ind w:firstLine="480" w:firstLineChars="200"/>
        <w:rPr>
          <w:snapToGrid w:val="0"/>
          <w:color w:val="auto"/>
          <w:kern w:val="0"/>
          <w:szCs w:val="21"/>
          <w:highlight w:val="none"/>
        </w:rPr>
      </w:pPr>
      <w:r>
        <w:rPr>
          <w:rFonts w:hint="eastAsia"/>
          <w:snapToGrid w:val="0"/>
          <w:color w:val="auto"/>
          <w:kern w:val="0"/>
          <w:sz w:val="24"/>
          <w:highlight w:val="none"/>
        </w:rPr>
        <w:t>本项目涉及的风险物质主要包括</w:t>
      </w:r>
      <w:r>
        <w:rPr>
          <w:rFonts w:hint="eastAsia"/>
          <w:snapToGrid w:val="0"/>
          <w:color w:val="auto"/>
          <w:kern w:val="0"/>
          <w:sz w:val="24"/>
          <w:highlight w:val="none"/>
          <w:lang w:val="en-US" w:eastAsia="zh-CN"/>
        </w:rPr>
        <w:t>烷烃</w:t>
      </w:r>
      <w:r>
        <w:rPr>
          <w:rFonts w:hint="eastAsia"/>
          <w:color w:val="auto"/>
          <w:kern w:val="0"/>
          <w:sz w:val="24"/>
          <w:highlight w:val="none"/>
        </w:rPr>
        <w:t>、硫酸、32%液碱、</w:t>
      </w:r>
      <w:r>
        <w:rPr>
          <w:rFonts w:hint="eastAsia"/>
          <w:color w:val="auto"/>
          <w:kern w:val="0"/>
          <w:sz w:val="24"/>
          <w:highlight w:val="none"/>
          <w:lang w:eastAsia="zh-CN"/>
        </w:rPr>
        <w:t>废矿物油</w:t>
      </w:r>
      <w:r>
        <w:rPr>
          <w:rFonts w:hint="eastAsia"/>
          <w:snapToGrid w:val="0"/>
          <w:color w:val="auto"/>
          <w:kern w:val="0"/>
          <w:sz w:val="24"/>
          <w:highlight w:val="none"/>
        </w:rPr>
        <w:t>等。</w:t>
      </w:r>
      <w:r>
        <w:rPr>
          <w:rFonts w:hint="eastAsia"/>
          <w:color w:val="auto"/>
          <w:kern w:val="0"/>
          <w:sz w:val="24"/>
          <w:highlight w:val="none"/>
        </w:rPr>
        <w:t>本项目涉及的风险物质主要特性见表6.3-1</w:t>
      </w:r>
      <w:r>
        <w:rPr>
          <w:rFonts w:hint="eastAsia"/>
          <w:color w:val="auto"/>
          <w:kern w:val="0"/>
          <w:sz w:val="24"/>
          <w:highlight w:val="none"/>
          <w:lang w:val="en-US" w:eastAsia="zh-CN"/>
        </w:rPr>
        <w:t>3</w:t>
      </w:r>
      <w:r>
        <w:rPr>
          <w:rFonts w:hint="eastAsia"/>
          <w:color w:val="auto"/>
          <w:kern w:val="0"/>
          <w:sz w:val="24"/>
          <w:highlight w:val="none"/>
        </w:rPr>
        <w:t>。</w:t>
      </w:r>
    </w:p>
    <w:p w14:paraId="3A0E6D9E">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表6.3-1</w:t>
      </w:r>
      <w:r>
        <w:rPr>
          <w:rFonts w:hint="eastAsia" w:ascii="Times New Roman" w:hAnsi="Times New Roman" w:cs="Times New Roman"/>
          <w:snapToGrid w:val="0"/>
          <w:color w:val="auto"/>
          <w:kern w:val="0"/>
          <w:sz w:val="21"/>
          <w:szCs w:val="21"/>
          <w:highlight w:val="none"/>
          <w:lang w:val="en-US" w:eastAsia="zh-CN"/>
        </w:rPr>
        <w:t>3</w:t>
      </w:r>
      <w:r>
        <w:rPr>
          <w:rFonts w:hint="eastAsia" w:ascii="Times New Roman" w:hAnsi="Times New Roman" w:cs="Times New Roman"/>
          <w:snapToGrid w:val="0"/>
          <w:color w:val="auto"/>
          <w:kern w:val="0"/>
          <w:sz w:val="21"/>
          <w:szCs w:val="21"/>
          <w:highlight w:val="none"/>
        </w:rPr>
        <w:t xml:space="preserve"> 风险物质理化性质及危险特性</w:t>
      </w:r>
    </w:p>
    <w:tbl>
      <w:tblPr>
        <w:tblStyle w:val="782"/>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5"/>
        <w:gridCol w:w="672"/>
        <w:gridCol w:w="672"/>
        <w:gridCol w:w="2836"/>
        <w:gridCol w:w="3815"/>
      </w:tblGrid>
      <w:tr w14:paraId="33B4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01" w:type="pct"/>
            <w:vAlign w:val="center"/>
          </w:tcPr>
          <w:p w14:paraId="469C8B39">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序号</w:t>
            </w:r>
          </w:p>
        </w:tc>
        <w:tc>
          <w:tcPr>
            <w:tcW w:w="403" w:type="pct"/>
            <w:vAlign w:val="center"/>
          </w:tcPr>
          <w:p w14:paraId="51821B2D">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物质</w:t>
            </w:r>
          </w:p>
          <w:p w14:paraId="5D24BE0E">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类别</w:t>
            </w:r>
          </w:p>
        </w:tc>
        <w:tc>
          <w:tcPr>
            <w:tcW w:w="403" w:type="pct"/>
            <w:vAlign w:val="center"/>
          </w:tcPr>
          <w:p w14:paraId="11F6EE50">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物质</w:t>
            </w:r>
          </w:p>
          <w:p w14:paraId="0BC85336">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名称</w:t>
            </w:r>
          </w:p>
        </w:tc>
        <w:tc>
          <w:tcPr>
            <w:tcW w:w="1701" w:type="pct"/>
            <w:vAlign w:val="center"/>
          </w:tcPr>
          <w:p w14:paraId="14E8511C">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理化性质</w:t>
            </w:r>
          </w:p>
        </w:tc>
        <w:tc>
          <w:tcPr>
            <w:tcW w:w="2288" w:type="pct"/>
            <w:vAlign w:val="center"/>
          </w:tcPr>
          <w:p w14:paraId="4E7767C9">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危险特性</w:t>
            </w:r>
          </w:p>
        </w:tc>
      </w:tr>
      <w:tr w14:paraId="7CBC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1" w:type="pct"/>
            <w:vAlign w:val="center"/>
          </w:tcPr>
          <w:p w14:paraId="55203593">
            <w:pPr>
              <w:pStyle w:val="771"/>
              <w:tabs>
                <w:tab w:val="left" w:pos="1119"/>
              </w:tabs>
              <w:adjustRightInd w:val="0"/>
              <w:snapToGrid w:val="0"/>
              <w:spacing w:line="240" w:lineRule="auto"/>
              <w:rPr>
                <w:rFonts w:hint="default"/>
                <w:color w:val="auto"/>
                <w:kern w:val="0"/>
                <w:highlight w:val="none"/>
              </w:rPr>
            </w:pPr>
            <w:r>
              <w:rPr>
                <w:color w:val="auto"/>
                <w:kern w:val="0"/>
                <w:highlight w:val="none"/>
              </w:rPr>
              <w:t>1</w:t>
            </w:r>
          </w:p>
        </w:tc>
        <w:tc>
          <w:tcPr>
            <w:tcW w:w="403" w:type="pct"/>
            <w:vAlign w:val="center"/>
          </w:tcPr>
          <w:p w14:paraId="7B4A46BF">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原料</w:t>
            </w:r>
          </w:p>
        </w:tc>
        <w:tc>
          <w:tcPr>
            <w:tcW w:w="403" w:type="pct"/>
            <w:vAlign w:val="center"/>
          </w:tcPr>
          <w:p w14:paraId="4CB487FD">
            <w:pPr>
              <w:pStyle w:val="771"/>
              <w:tabs>
                <w:tab w:val="left" w:pos="1119"/>
              </w:tabs>
              <w:adjustRightInd w:val="0"/>
              <w:snapToGrid w:val="0"/>
              <w:spacing w:line="240" w:lineRule="auto"/>
              <w:rPr>
                <w:rFonts w:hint="eastAsia" w:eastAsia="宋体"/>
                <w:color w:val="auto"/>
                <w:kern w:val="0"/>
                <w:highlight w:val="none"/>
                <w:lang w:eastAsia="zh-CN"/>
              </w:rPr>
            </w:pPr>
            <w:r>
              <w:rPr>
                <w:rFonts w:hint="eastAsia"/>
                <w:color w:val="auto"/>
                <w:kern w:val="0"/>
                <w:highlight w:val="none"/>
                <w:lang w:val="en-US" w:eastAsia="zh-CN"/>
              </w:rPr>
              <w:t>烷烃</w:t>
            </w:r>
          </w:p>
        </w:tc>
        <w:tc>
          <w:tcPr>
            <w:tcW w:w="1701" w:type="pct"/>
            <w:vAlign w:val="center"/>
          </w:tcPr>
          <w:p w14:paraId="082171E0">
            <w:pPr>
              <w:pStyle w:val="771"/>
              <w:tabs>
                <w:tab w:val="left" w:pos="1119"/>
              </w:tabs>
              <w:adjustRightInd w:val="0"/>
              <w:snapToGrid w:val="0"/>
              <w:spacing w:line="240" w:lineRule="auto"/>
              <w:rPr>
                <w:rFonts w:hint="default"/>
                <w:color w:val="auto"/>
                <w:kern w:val="0"/>
                <w:highlight w:val="none"/>
              </w:rPr>
            </w:pPr>
            <w:r>
              <w:rPr>
                <w:rFonts w:hint="default"/>
                <w:color w:val="auto"/>
                <w:spacing w:val="-6"/>
                <w:kern w:val="0"/>
                <w:sz w:val="21"/>
                <w:highlight w:val="none"/>
              </w:rPr>
              <w:t>正癸烷，化学式C</w:t>
            </w:r>
            <w:r>
              <w:rPr>
                <w:rFonts w:hint="eastAsia"/>
                <w:color w:val="auto"/>
                <w:spacing w:val="-6"/>
                <w:kern w:val="0"/>
                <w:sz w:val="21"/>
                <w:highlight w:val="none"/>
                <w:vertAlign w:val="subscript"/>
                <w:lang w:val="en-US" w:eastAsia="zh-CN"/>
              </w:rPr>
              <w:t>10</w:t>
            </w:r>
            <w:r>
              <w:rPr>
                <w:rFonts w:hint="default"/>
                <w:color w:val="auto"/>
                <w:spacing w:val="-6"/>
                <w:kern w:val="0"/>
                <w:sz w:val="21"/>
                <w:highlight w:val="none"/>
              </w:rPr>
              <w:t>H</w:t>
            </w:r>
            <w:r>
              <w:rPr>
                <w:rFonts w:hint="eastAsia"/>
                <w:color w:val="auto"/>
                <w:spacing w:val="-6"/>
                <w:kern w:val="0"/>
                <w:sz w:val="21"/>
                <w:highlight w:val="none"/>
                <w:vertAlign w:val="subscript"/>
                <w:lang w:val="en-US" w:eastAsia="zh-CN"/>
              </w:rPr>
              <w:t>22</w:t>
            </w:r>
            <w:r>
              <w:rPr>
                <w:rFonts w:hint="default"/>
                <w:color w:val="auto"/>
                <w:spacing w:val="-6"/>
                <w:kern w:val="0"/>
                <w:sz w:val="21"/>
                <w:highlight w:val="none"/>
              </w:rPr>
              <w:t>，CAS号124-18-5，是一种饱和无环烃类有机化合物。其为无色透明液体，分子量142.282，密度0.735g/cm</w:t>
            </w:r>
            <w:r>
              <w:rPr>
                <w:rFonts w:hint="eastAsia"/>
                <w:color w:val="auto"/>
                <w:spacing w:val="-6"/>
                <w:kern w:val="0"/>
                <w:sz w:val="21"/>
                <w:highlight w:val="none"/>
                <w:vertAlign w:val="superscript"/>
                <w:lang w:val="en-US" w:eastAsia="zh-CN"/>
              </w:rPr>
              <w:t>3</w:t>
            </w:r>
            <w:r>
              <w:rPr>
                <w:rFonts w:hint="default"/>
                <w:color w:val="auto"/>
                <w:spacing w:val="-6"/>
                <w:kern w:val="0"/>
                <w:sz w:val="21"/>
                <w:highlight w:val="none"/>
              </w:rPr>
              <w:t>，熔点-30℃，沸点174.9℃（760mmHg），闪点46.1℃，蒸汽密度4.9（vs空气），常温常压下蒸汽压约0.17kpa，不溶于水，可与乙醇、乙醚混溶</w:t>
            </w:r>
          </w:p>
        </w:tc>
        <w:tc>
          <w:tcPr>
            <w:tcW w:w="2288" w:type="pct"/>
            <w:vAlign w:val="center"/>
          </w:tcPr>
          <w:p w14:paraId="1856F25C">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正癸烷具有易燃性（危险标记7）和毒性，吸入或皮肤接触可能刺激粘膜并引发肺水肿，小鼠吸入LC</w:t>
            </w:r>
            <w:r>
              <w:rPr>
                <w:rFonts w:hint="default"/>
                <w:color w:val="auto"/>
                <w:kern w:val="0"/>
                <w:highlight w:val="none"/>
                <w:vertAlign w:val="subscript"/>
              </w:rPr>
              <w:t>50</w:t>
            </w:r>
            <w:r>
              <w:rPr>
                <w:rFonts w:hint="default"/>
                <w:color w:val="auto"/>
                <w:kern w:val="0"/>
                <w:highlight w:val="none"/>
              </w:rPr>
              <w:t>为72300mg/m</w:t>
            </w:r>
            <w:r>
              <w:rPr>
                <w:rFonts w:hint="eastAsia"/>
                <w:color w:val="auto"/>
                <w:kern w:val="0"/>
                <w:highlight w:val="none"/>
                <w:vertAlign w:val="superscript"/>
                <w:lang w:val="en-US" w:eastAsia="zh-CN"/>
              </w:rPr>
              <w:t>3</w:t>
            </w:r>
            <w:r>
              <w:rPr>
                <w:rFonts w:hint="default"/>
                <w:color w:val="auto"/>
                <w:kern w:val="0"/>
                <w:highlight w:val="none"/>
              </w:rPr>
              <w:t>/2h，经皮最低中毒剂量25g/kg可致肿瘤阳性。储存需保持阴凉通风（库温≤37℃），远离氧化剂，操作时应佩戴防毒面具、防静电服等防护装备。</w:t>
            </w:r>
          </w:p>
        </w:tc>
      </w:tr>
      <w:tr w14:paraId="4F21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1" w:type="pct"/>
            <w:vAlign w:val="center"/>
          </w:tcPr>
          <w:p w14:paraId="3D95BB0E">
            <w:pPr>
              <w:pStyle w:val="771"/>
              <w:tabs>
                <w:tab w:val="left" w:pos="1119"/>
              </w:tabs>
              <w:adjustRightInd w:val="0"/>
              <w:snapToGrid w:val="0"/>
              <w:spacing w:line="240" w:lineRule="auto"/>
              <w:rPr>
                <w:rFonts w:hint="default"/>
                <w:color w:val="auto"/>
                <w:kern w:val="0"/>
                <w:highlight w:val="none"/>
              </w:rPr>
            </w:pPr>
            <w:r>
              <w:rPr>
                <w:color w:val="auto"/>
                <w:kern w:val="0"/>
                <w:highlight w:val="none"/>
              </w:rPr>
              <w:t>2</w:t>
            </w:r>
          </w:p>
        </w:tc>
        <w:tc>
          <w:tcPr>
            <w:tcW w:w="403" w:type="pct"/>
            <w:vAlign w:val="center"/>
          </w:tcPr>
          <w:p w14:paraId="37A009FB">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原料</w:t>
            </w:r>
          </w:p>
        </w:tc>
        <w:tc>
          <w:tcPr>
            <w:tcW w:w="403" w:type="pct"/>
            <w:vAlign w:val="center"/>
          </w:tcPr>
          <w:p w14:paraId="23B3476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硫酸</w:t>
            </w:r>
          </w:p>
        </w:tc>
        <w:tc>
          <w:tcPr>
            <w:tcW w:w="1701" w:type="pct"/>
            <w:vAlign w:val="center"/>
          </w:tcPr>
          <w:p w14:paraId="14A923E3">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硫酸为无色透明油状液体，无臭。与水混溶。熔点为10.5℃，沸点为330.0℃，相对密度（水＝1）为1.83，饱和蒸气压为0.13</w:t>
            </w:r>
            <w:r>
              <w:rPr>
                <w:rFonts w:hint="eastAsia"/>
                <w:color w:val="auto"/>
                <w:kern w:val="0"/>
                <w:highlight w:val="none"/>
                <w:lang w:val="en-US" w:eastAsia="zh-CN"/>
              </w:rPr>
              <w:t>k</w:t>
            </w:r>
            <w:r>
              <w:rPr>
                <w:rFonts w:hint="default"/>
                <w:color w:val="auto"/>
                <w:kern w:val="0"/>
                <w:highlight w:val="none"/>
              </w:rPr>
              <w:t>Pa（145.8℃）</w:t>
            </w:r>
          </w:p>
        </w:tc>
        <w:tc>
          <w:tcPr>
            <w:tcW w:w="2288" w:type="pct"/>
            <w:vAlign w:val="center"/>
          </w:tcPr>
          <w:p w14:paraId="52FC9A16">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遇水大量放热，可发生沸溅。与易燃物（如苯）和可燃物（如糖、纤维素等）接触会发生剧烈反应，甚至引起燃烧。遇电石、高氯酸盐、硝酸盐、苦味酸盐、金属粉末等猛烈反应，发生爆炸或燃烧。有强烈的腐蚀性和吸水性。</w:t>
            </w:r>
          </w:p>
        </w:tc>
      </w:tr>
      <w:tr w14:paraId="04F4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1" w:type="pct"/>
            <w:vAlign w:val="center"/>
          </w:tcPr>
          <w:p w14:paraId="4CB8F08F">
            <w:pPr>
              <w:pStyle w:val="771"/>
              <w:tabs>
                <w:tab w:val="left" w:pos="1119"/>
              </w:tabs>
              <w:adjustRightInd w:val="0"/>
              <w:snapToGrid w:val="0"/>
              <w:spacing w:line="240" w:lineRule="auto"/>
              <w:rPr>
                <w:rFonts w:hint="default"/>
                <w:color w:val="auto"/>
                <w:kern w:val="0"/>
                <w:highlight w:val="none"/>
              </w:rPr>
            </w:pPr>
            <w:r>
              <w:rPr>
                <w:color w:val="auto"/>
                <w:kern w:val="0"/>
                <w:highlight w:val="none"/>
              </w:rPr>
              <w:t>3</w:t>
            </w:r>
          </w:p>
        </w:tc>
        <w:tc>
          <w:tcPr>
            <w:tcW w:w="403" w:type="pct"/>
            <w:vAlign w:val="center"/>
          </w:tcPr>
          <w:p w14:paraId="1D8F4204">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原料</w:t>
            </w:r>
          </w:p>
        </w:tc>
        <w:tc>
          <w:tcPr>
            <w:tcW w:w="403" w:type="pct"/>
            <w:vAlign w:val="center"/>
          </w:tcPr>
          <w:p w14:paraId="0E398869">
            <w:pPr>
              <w:pStyle w:val="771"/>
              <w:tabs>
                <w:tab w:val="left" w:pos="1119"/>
              </w:tabs>
              <w:adjustRightInd w:val="0"/>
              <w:snapToGrid w:val="0"/>
              <w:spacing w:line="240" w:lineRule="auto"/>
              <w:rPr>
                <w:rFonts w:hint="eastAsia" w:eastAsia="宋体"/>
                <w:color w:val="auto"/>
                <w:kern w:val="0"/>
                <w:highlight w:val="none"/>
                <w:lang w:eastAsia="zh-CN"/>
              </w:rPr>
            </w:pPr>
            <w:r>
              <w:rPr>
                <w:rFonts w:hint="eastAsia"/>
                <w:color w:val="auto"/>
                <w:kern w:val="0"/>
                <w:highlight w:val="none"/>
                <w:lang w:eastAsia="zh-CN"/>
              </w:rPr>
              <w:t>液碱</w:t>
            </w:r>
          </w:p>
        </w:tc>
        <w:tc>
          <w:tcPr>
            <w:tcW w:w="1701" w:type="pct"/>
            <w:vAlign w:val="center"/>
          </w:tcPr>
          <w:p w14:paraId="020FA933">
            <w:pPr>
              <w:pStyle w:val="771"/>
              <w:tabs>
                <w:tab w:val="left" w:pos="1119"/>
              </w:tabs>
              <w:adjustRightInd w:val="0"/>
              <w:snapToGrid w:val="0"/>
              <w:spacing w:line="240" w:lineRule="auto"/>
              <w:rPr>
                <w:rFonts w:hint="default"/>
                <w:color w:val="auto"/>
                <w:kern w:val="0"/>
                <w:highlight w:val="none"/>
              </w:rPr>
            </w:pPr>
            <w:r>
              <w:rPr>
                <w:rFonts w:hint="eastAsia"/>
                <w:color w:val="auto"/>
                <w:kern w:val="0"/>
                <w:highlight w:val="none"/>
                <w:lang w:eastAsia="zh-CN"/>
              </w:rPr>
              <w:t>液碱</w:t>
            </w:r>
            <w:r>
              <w:rPr>
                <w:color w:val="auto"/>
                <w:kern w:val="0"/>
                <w:highlight w:val="none"/>
              </w:rPr>
              <w:t>为白色液体，易溶于水、乙醇、甘油，不溶于丙酮。</w:t>
            </w:r>
            <w:r>
              <w:rPr>
                <w:rFonts w:hint="default"/>
                <w:color w:val="auto"/>
                <w:kern w:val="0"/>
                <w:highlight w:val="none"/>
              </w:rPr>
              <w:t>相对密度（水＝1）为</w:t>
            </w:r>
            <w:r>
              <w:rPr>
                <w:color w:val="auto"/>
                <w:kern w:val="0"/>
                <w:highlight w:val="none"/>
              </w:rPr>
              <w:t>2.12</w:t>
            </w:r>
            <w:r>
              <w:rPr>
                <w:rFonts w:hint="eastAsia"/>
                <w:color w:val="auto"/>
                <w:kern w:val="0"/>
                <w:highlight w:val="none"/>
                <w:lang w:eastAsia="zh-CN"/>
              </w:rPr>
              <w:t>，</w:t>
            </w:r>
            <w:r>
              <w:rPr>
                <w:rFonts w:hint="default"/>
                <w:color w:val="auto"/>
                <w:kern w:val="0"/>
                <w:highlight w:val="none"/>
              </w:rPr>
              <w:t>熔点为</w:t>
            </w:r>
            <w:r>
              <w:rPr>
                <w:color w:val="auto"/>
                <w:kern w:val="0"/>
                <w:highlight w:val="none"/>
              </w:rPr>
              <w:t>318.4</w:t>
            </w:r>
            <w:r>
              <w:rPr>
                <w:rFonts w:hint="default"/>
                <w:color w:val="auto"/>
                <w:kern w:val="0"/>
                <w:highlight w:val="none"/>
              </w:rPr>
              <w:t>℃</w:t>
            </w:r>
            <w:r>
              <w:rPr>
                <w:color w:val="auto"/>
                <w:kern w:val="0"/>
                <w:highlight w:val="none"/>
              </w:rPr>
              <w:t>，</w:t>
            </w:r>
            <w:r>
              <w:rPr>
                <w:rFonts w:hint="default"/>
                <w:color w:val="auto"/>
                <w:kern w:val="0"/>
                <w:highlight w:val="none"/>
              </w:rPr>
              <w:t>沸点为</w:t>
            </w:r>
            <w:r>
              <w:rPr>
                <w:color w:val="auto"/>
                <w:kern w:val="0"/>
                <w:highlight w:val="none"/>
              </w:rPr>
              <w:t>1390</w:t>
            </w:r>
            <w:r>
              <w:rPr>
                <w:rFonts w:hint="default"/>
                <w:color w:val="auto"/>
                <w:kern w:val="0"/>
                <w:highlight w:val="none"/>
              </w:rPr>
              <w:t>℃。</w:t>
            </w:r>
          </w:p>
        </w:tc>
        <w:tc>
          <w:tcPr>
            <w:tcW w:w="2288" w:type="pct"/>
            <w:vAlign w:val="center"/>
          </w:tcPr>
          <w:p w14:paraId="649152B1">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有强烈刺激和腐蚀性。粉尘或烟雾刺激眼和呼吸道，腐蚀鼻中隔；皮肤和眼直接接触可引起灼伤；误服可造成消化道灼伤，粘膜糜烂、出血和休克。</w:t>
            </w:r>
          </w:p>
        </w:tc>
      </w:tr>
      <w:tr w14:paraId="4BBD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1" w:type="pct"/>
            <w:vAlign w:val="center"/>
          </w:tcPr>
          <w:p w14:paraId="424D2C5C">
            <w:pPr>
              <w:pStyle w:val="771"/>
              <w:tabs>
                <w:tab w:val="left" w:pos="1119"/>
              </w:tabs>
              <w:adjustRightInd w:val="0"/>
              <w:snapToGrid w:val="0"/>
              <w:spacing w:line="240" w:lineRule="auto"/>
              <w:rPr>
                <w:rFonts w:hint="eastAsia" w:eastAsia="宋体"/>
                <w:color w:val="auto"/>
                <w:kern w:val="0"/>
                <w:highlight w:val="none"/>
                <w:lang w:eastAsia="zh-CN"/>
              </w:rPr>
            </w:pPr>
            <w:r>
              <w:rPr>
                <w:rFonts w:hint="eastAsia"/>
                <w:color w:val="auto"/>
                <w:kern w:val="0"/>
                <w:highlight w:val="none"/>
                <w:lang w:val="en-US" w:eastAsia="zh-CN"/>
              </w:rPr>
              <w:t>4</w:t>
            </w:r>
          </w:p>
        </w:tc>
        <w:tc>
          <w:tcPr>
            <w:tcW w:w="403" w:type="pct"/>
            <w:vAlign w:val="center"/>
          </w:tcPr>
          <w:p w14:paraId="31D12867">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污染物</w:t>
            </w:r>
          </w:p>
        </w:tc>
        <w:tc>
          <w:tcPr>
            <w:tcW w:w="403" w:type="pct"/>
            <w:vAlign w:val="center"/>
          </w:tcPr>
          <w:p w14:paraId="0F015F69">
            <w:pPr>
              <w:pStyle w:val="771"/>
              <w:tabs>
                <w:tab w:val="left" w:pos="1119"/>
              </w:tabs>
              <w:adjustRightInd w:val="0"/>
              <w:snapToGrid w:val="0"/>
              <w:spacing w:line="240" w:lineRule="auto"/>
              <w:rPr>
                <w:rFonts w:hint="eastAsia"/>
                <w:color w:val="auto"/>
                <w:kern w:val="0"/>
                <w:highlight w:val="none"/>
                <w:lang w:eastAsia="zh-CN"/>
              </w:rPr>
            </w:pPr>
            <w:r>
              <w:rPr>
                <w:rFonts w:hint="eastAsia"/>
                <w:color w:val="auto"/>
                <w:kern w:val="0"/>
                <w:highlight w:val="none"/>
                <w:lang w:eastAsia="zh-CN"/>
              </w:rPr>
              <w:t>废矿</w:t>
            </w:r>
          </w:p>
          <w:p w14:paraId="2CCF805A">
            <w:pPr>
              <w:pStyle w:val="771"/>
              <w:tabs>
                <w:tab w:val="left" w:pos="1119"/>
              </w:tabs>
              <w:adjustRightInd w:val="0"/>
              <w:snapToGrid w:val="0"/>
              <w:spacing w:line="240" w:lineRule="auto"/>
              <w:rPr>
                <w:rFonts w:hint="eastAsia" w:eastAsia="宋体"/>
                <w:color w:val="auto"/>
                <w:kern w:val="0"/>
                <w:highlight w:val="none"/>
                <w:lang w:eastAsia="zh-CN"/>
              </w:rPr>
            </w:pPr>
            <w:r>
              <w:rPr>
                <w:rFonts w:hint="eastAsia"/>
                <w:color w:val="auto"/>
                <w:kern w:val="0"/>
                <w:highlight w:val="none"/>
                <w:lang w:eastAsia="zh-CN"/>
              </w:rPr>
              <w:t>物油</w:t>
            </w:r>
          </w:p>
        </w:tc>
        <w:tc>
          <w:tcPr>
            <w:tcW w:w="1701" w:type="pct"/>
            <w:vAlign w:val="center"/>
          </w:tcPr>
          <w:p w14:paraId="717447EC">
            <w:pPr>
              <w:pStyle w:val="771"/>
              <w:tabs>
                <w:tab w:val="left" w:pos="1119"/>
              </w:tabs>
              <w:adjustRightInd w:val="0"/>
              <w:snapToGrid w:val="0"/>
              <w:spacing w:line="240" w:lineRule="auto"/>
              <w:rPr>
                <w:rFonts w:hint="default"/>
                <w:color w:val="auto"/>
                <w:kern w:val="0"/>
                <w:highlight w:val="none"/>
              </w:rPr>
            </w:pPr>
            <w:r>
              <w:rPr>
                <w:snapToGrid w:val="0"/>
                <w:color w:val="auto"/>
                <w:kern w:val="0"/>
                <w:highlight w:val="none"/>
              </w:rPr>
              <w:t>油状液体，淡黄色或褐色，无气味或略带异味，易燃</w:t>
            </w:r>
            <w:r>
              <w:rPr>
                <w:rFonts w:hint="default"/>
                <w:color w:val="auto"/>
                <w:kern w:val="0"/>
                <w:highlight w:val="none"/>
              </w:rPr>
              <w:t>。</w:t>
            </w:r>
          </w:p>
        </w:tc>
        <w:tc>
          <w:tcPr>
            <w:tcW w:w="2288" w:type="pct"/>
            <w:vAlign w:val="center"/>
          </w:tcPr>
          <w:p w14:paraId="5E1EEC81">
            <w:pPr>
              <w:pStyle w:val="771"/>
              <w:tabs>
                <w:tab w:val="left" w:pos="1119"/>
              </w:tabs>
              <w:adjustRightInd w:val="0"/>
              <w:snapToGrid w:val="0"/>
              <w:spacing w:line="240" w:lineRule="auto"/>
              <w:rPr>
                <w:rFonts w:hint="default"/>
                <w:color w:val="auto"/>
                <w:kern w:val="0"/>
                <w:highlight w:val="none"/>
              </w:rPr>
            </w:pPr>
            <w:r>
              <w:rPr>
                <w:rFonts w:hint="default"/>
                <w:color w:val="auto"/>
                <w:kern w:val="0"/>
                <w:highlight w:val="none"/>
              </w:rPr>
              <w:t>健康危害：急性吸入，可出现乏力、头晕、头痛恶心，严重者可引起油脂性肺炎。慢接触者，暴露部位可发生油性痤疮和接触性皮炎。可引起神经衰弱综合征，呼吸道和眼刺激症状及慢性油脂性肺炎。</w:t>
            </w:r>
          </w:p>
        </w:tc>
      </w:tr>
      <w:tr w14:paraId="5A32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01" w:type="pct"/>
            <w:vAlign w:val="center"/>
          </w:tcPr>
          <w:p w14:paraId="7C4B2575">
            <w:pPr>
              <w:pStyle w:val="771"/>
              <w:tabs>
                <w:tab w:val="left" w:pos="1119"/>
              </w:tabs>
              <w:adjustRightInd w:val="0"/>
              <w:snapToGrid w:val="0"/>
              <w:spacing w:line="240" w:lineRule="auto"/>
              <w:rPr>
                <w:rFonts w:hint="default"/>
                <w:color w:val="auto"/>
                <w:kern w:val="0"/>
                <w:highlight w:val="none"/>
                <w:lang w:val="en-US" w:eastAsia="zh-CN"/>
              </w:rPr>
            </w:pPr>
            <w:r>
              <w:rPr>
                <w:rFonts w:hint="eastAsia"/>
                <w:color w:val="auto"/>
                <w:kern w:val="0"/>
                <w:highlight w:val="none"/>
                <w:lang w:val="en-US" w:eastAsia="zh-CN"/>
              </w:rPr>
              <w:t>5</w:t>
            </w:r>
          </w:p>
        </w:tc>
        <w:tc>
          <w:tcPr>
            <w:tcW w:w="403" w:type="pct"/>
            <w:vAlign w:val="center"/>
          </w:tcPr>
          <w:p w14:paraId="06272BE7">
            <w:pPr>
              <w:pStyle w:val="771"/>
              <w:tabs>
                <w:tab w:val="left" w:pos="1119"/>
              </w:tabs>
              <w:adjustRightInd w:val="0"/>
              <w:snapToGrid w:val="0"/>
              <w:spacing w:line="240" w:lineRule="auto"/>
              <w:rPr>
                <w:rFonts w:hint="eastAsia" w:eastAsia="宋体"/>
                <w:color w:val="auto"/>
                <w:kern w:val="0"/>
                <w:highlight w:val="none"/>
                <w:lang w:val="en-US" w:eastAsia="zh-CN"/>
              </w:rPr>
            </w:pPr>
            <w:r>
              <w:rPr>
                <w:rFonts w:hint="eastAsia"/>
                <w:color w:val="auto"/>
                <w:kern w:val="0"/>
                <w:highlight w:val="none"/>
                <w:lang w:val="en-US" w:eastAsia="zh-CN"/>
              </w:rPr>
              <w:t>原料</w:t>
            </w:r>
          </w:p>
        </w:tc>
        <w:tc>
          <w:tcPr>
            <w:tcW w:w="403" w:type="pct"/>
            <w:vAlign w:val="center"/>
          </w:tcPr>
          <w:p w14:paraId="4A19D5C1">
            <w:pPr>
              <w:pStyle w:val="771"/>
              <w:tabs>
                <w:tab w:val="left" w:pos="1119"/>
              </w:tabs>
              <w:adjustRightInd w:val="0"/>
              <w:snapToGrid w:val="0"/>
              <w:spacing w:line="240" w:lineRule="auto"/>
              <w:rPr>
                <w:rFonts w:hint="default"/>
                <w:color w:val="auto"/>
                <w:kern w:val="0"/>
                <w:highlight w:val="none"/>
                <w:lang w:val="en-US" w:eastAsia="zh-CN"/>
              </w:rPr>
            </w:pPr>
            <w:r>
              <w:rPr>
                <w:rFonts w:hint="eastAsia"/>
                <w:color w:val="auto"/>
                <w:kern w:val="0"/>
                <w:highlight w:val="none"/>
                <w:lang w:val="en-US" w:eastAsia="zh-CN"/>
              </w:rPr>
              <w:t>硫酸铵</w:t>
            </w:r>
          </w:p>
        </w:tc>
        <w:tc>
          <w:tcPr>
            <w:tcW w:w="1701" w:type="pct"/>
            <w:vAlign w:val="center"/>
          </w:tcPr>
          <w:p w14:paraId="5EBED16B">
            <w:pPr>
              <w:pStyle w:val="771"/>
              <w:tabs>
                <w:tab w:val="left" w:pos="1119"/>
              </w:tabs>
              <w:adjustRightInd w:val="0"/>
              <w:snapToGrid w:val="0"/>
              <w:spacing w:line="240" w:lineRule="auto"/>
              <w:rPr>
                <w:rFonts w:hint="eastAsia" w:eastAsia="宋体"/>
                <w:snapToGrid w:val="0"/>
                <w:color w:val="auto"/>
                <w:kern w:val="0"/>
                <w:highlight w:val="none"/>
                <w:lang w:eastAsia="zh-CN"/>
              </w:rPr>
            </w:pPr>
            <w:r>
              <w:rPr>
                <w:snapToGrid w:val="0"/>
                <w:color w:val="auto"/>
                <w:kern w:val="0"/>
                <w:highlight w:val="none"/>
              </w:rPr>
              <w:t>硫酸铵是一种</w:t>
            </w:r>
            <w:r>
              <w:rPr>
                <w:rFonts w:hint="default"/>
                <w:snapToGrid w:val="0"/>
                <w:color w:val="auto"/>
                <w:kern w:val="0"/>
                <w:highlight w:val="none"/>
              </w:rPr>
              <w:fldChar w:fldCharType="begin"/>
            </w:r>
            <w:r>
              <w:rPr>
                <w:rFonts w:hint="default"/>
                <w:snapToGrid w:val="0"/>
                <w:color w:val="auto"/>
                <w:kern w:val="0"/>
                <w:highlight w:val="none"/>
              </w:rPr>
              <w:instrText xml:space="preserve"> HYPERLINK "https://baike.baidu.com/item/%E6%97%A0%E6%9C%BA%E7%9B%90/2726998?fromModule=lemma_inlink" \t "https://baike.baidu.com/item/%E7%A1%AB%E9%85%B8%E9%93%B5/_blank" </w:instrText>
            </w:r>
            <w:r>
              <w:rPr>
                <w:rFonts w:hint="default"/>
                <w:snapToGrid w:val="0"/>
                <w:color w:val="auto"/>
                <w:kern w:val="0"/>
                <w:highlight w:val="none"/>
              </w:rPr>
              <w:fldChar w:fldCharType="separate"/>
            </w:r>
            <w:r>
              <w:rPr>
                <w:rFonts w:hint="default"/>
                <w:snapToGrid w:val="0"/>
                <w:color w:val="auto"/>
                <w:kern w:val="0"/>
                <w:highlight w:val="none"/>
              </w:rPr>
              <w:t>无机盐</w:t>
            </w:r>
            <w:r>
              <w:rPr>
                <w:rFonts w:hint="default"/>
                <w:snapToGrid w:val="0"/>
                <w:color w:val="auto"/>
                <w:kern w:val="0"/>
                <w:highlight w:val="none"/>
              </w:rPr>
              <w:fldChar w:fldCharType="end"/>
            </w:r>
            <w:r>
              <w:rPr>
                <w:rFonts w:hint="default"/>
                <w:snapToGrid w:val="0"/>
                <w:color w:val="auto"/>
                <w:kern w:val="0"/>
                <w:highlight w:val="none"/>
              </w:rPr>
              <w:t>化合物，化学式为(NH</w:t>
            </w:r>
            <w:r>
              <w:rPr>
                <w:rFonts w:hint="default"/>
                <w:snapToGrid w:val="0"/>
                <w:color w:val="auto"/>
                <w:kern w:val="0"/>
                <w:highlight w:val="none"/>
                <w:vertAlign w:val="subscript"/>
              </w:rPr>
              <w:t>4</w:t>
            </w:r>
            <w:r>
              <w:rPr>
                <w:rFonts w:hint="default"/>
                <w:snapToGrid w:val="0"/>
                <w:color w:val="auto"/>
                <w:kern w:val="0"/>
                <w:highlight w:val="none"/>
              </w:rPr>
              <w:t>)</w:t>
            </w:r>
            <w:r>
              <w:rPr>
                <w:rFonts w:hint="default"/>
                <w:snapToGrid w:val="0"/>
                <w:color w:val="auto"/>
                <w:kern w:val="0"/>
                <w:highlight w:val="none"/>
                <w:vertAlign w:val="subscript"/>
              </w:rPr>
              <w:t>2</w:t>
            </w:r>
            <w:r>
              <w:rPr>
                <w:rFonts w:hint="default"/>
                <w:snapToGrid w:val="0"/>
                <w:color w:val="auto"/>
                <w:kern w:val="0"/>
                <w:highlight w:val="none"/>
              </w:rPr>
              <w:t>SO</w:t>
            </w:r>
            <w:r>
              <w:rPr>
                <w:rFonts w:hint="default"/>
                <w:snapToGrid w:val="0"/>
                <w:color w:val="auto"/>
                <w:kern w:val="0"/>
                <w:highlight w:val="none"/>
                <w:vertAlign w:val="subscript"/>
              </w:rPr>
              <w:t>4</w:t>
            </w:r>
            <w:r>
              <w:rPr>
                <w:rFonts w:hint="default"/>
                <w:snapToGrid w:val="0"/>
                <w:color w:val="auto"/>
                <w:kern w:val="0"/>
                <w:highlight w:val="none"/>
              </w:rPr>
              <w:t>，分子量132.14。常温下呈无色斜方结晶，工业品一般为白色或微带黄色的小晶粒，但少数副产品带有微青、暗褐等颜色，相对密度1.77，熔点280℃（分解），易溶于水，不溶于</w:t>
            </w:r>
            <w:r>
              <w:rPr>
                <w:rFonts w:hint="default"/>
                <w:snapToGrid w:val="0"/>
                <w:color w:val="auto"/>
                <w:kern w:val="0"/>
                <w:highlight w:val="none"/>
              </w:rPr>
              <w:fldChar w:fldCharType="begin"/>
            </w:r>
            <w:r>
              <w:rPr>
                <w:rFonts w:hint="default"/>
                <w:snapToGrid w:val="0"/>
                <w:color w:val="auto"/>
                <w:kern w:val="0"/>
                <w:highlight w:val="none"/>
              </w:rPr>
              <w:instrText xml:space="preserve"> HYPERLINK "https://baike.baidu.com/item/%E4%B9%99%E9%86%87/135334?fromModule=lemma_inlink" \t "https://baike.baidu.com/item/%E7%A1%AB%E9%85%B8%E9%93%B5/_blank" </w:instrText>
            </w:r>
            <w:r>
              <w:rPr>
                <w:rFonts w:hint="default"/>
                <w:snapToGrid w:val="0"/>
                <w:color w:val="auto"/>
                <w:kern w:val="0"/>
                <w:highlight w:val="none"/>
              </w:rPr>
              <w:fldChar w:fldCharType="separate"/>
            </w:r>
            <w:r>
              <w:rPr>
                <w:rFonts w:hint="default"/>
                <w:snapToGrid w:val="0"/>
                <w:color w:val="auto"/>
                <w:kern w:val="0"/>
                <w:highlight w:val="none"/>
              </w:rPr>
              <w:t>乙醇</w:t>
            </w:r>
            <w:r>
              <w:rPr>
                <w:rFonts w:hint="default"/>
                <w:snapToGrid w:val="0"/>
                <w:color w:val="auto"/>
                <w:kern w:val="0"/>
                <w:highlight w:val="none"/>
              </w:rPr>
              <w:fldChar w:fldCharType="end"/>
            </w:r>
            <w:r>
              <w:rPr>
                <w:rFonts w:hint="default"/>
                <w:snapToGrid w:val="0"/>
                <w:color w:val="auto"/>
                <w:kern w:val="0"/>
                <w:highlight w:val="none"/>
              </w:rPr>
              <w:t>和</w:t>
            </w:r>
            <w:r>
              <w:rPr>
                <w:rFonts w:hint="default"/>
                <w:snapToGrid w:val="0"/>
                <w:color w:val="auto"/>
                <w:kern w:val="0"/>
                <w:highlight w:val="none"/>
              </w:rPr>
              <w:fldChar w:fldCharType="begin"/>
            </w:r>
            <w:r>
              <w:rPr>
                <w:rFonts w:hint="default"/>
                <w:snapToGrid w:val="0"/>
                <w:color w:val="auto"/>
                <w:kern w:val="0"/>
                <w:highlight w:val="none"/>
              </w:rPr>
              <w:instrText xml:space="preserve"> HYPERLINK "https://baike.baidu.com/item/%E4%B8%99%E9%85%AE/955883?fromModule=lemma_inlink" \t "https://baike.baidu.com/item/%E7%A1%AB%E9%85%B8%E9%93%B5/_blank" </w:instrText>
            </w:r>
            <w:r>
              <w:rPr>
                <w:rFonts w:hint="default"/>
                <w:snapToGrid w:val="0"/>
                <w:color w:val="auto"/>
                <w:kern w:val="0"/>
                <w:highlight w:val="none"/>
              </w:rPr>
              <w:fldChar w:fldCharType="separate"/>
            </w:r>
            <w:r>
              <w:rPr>
                <w:rFonts w:hint="default"/>
                <w:snapToGrid w:val="0"/>
                <w:color w:val="auto"/>
                <w:kern w:val="0"/>
                <w:highlight w:val="none"/>
              </w:rPr>
              <w:t>丙酮</w:t>
            </w:r>
            <w:r>
              <w:rPr>
                <w:rFonts w:hint="default"/>
                <w:snapToGrid w:val="0"/>
                <w:color w:val="auto"/>
                <w:kern w:val="0"/>
                <w:highlight w:val="none"/>
              </w:rPr>
              <w:fldChar w:fldCharType="end"/>
            </w:r>
            <w:r>
              <w:rPr>
                <w:rFonts w:hint="default"/>
                <w:snapToGrid w:val="0"/>
                <w:color w:val="auto"/>
                <w:kern w:val="0"/>
                <w:highlight w:val="none"/>
              </w:rPr>
              <w:t>，水中溶解度随氨含量升高而降低。硫酸铵易吸湿，吸湿后固结成块。</w:t>
            </w:r>
          </w:p>
        </w:tc>
        <w:tc>
          <w:tcPr>
            <w:tcW w:w="2288" w:type="pct"/>
            <w:vAlign w:val="center"/>
          </w:tcPr>
          <w:p w14:paraId="7E203C09">
            <w:pPr>
              <w:pStyle w:val="771"/>
              <w:tabs>
                <w:tab w:val="left" w:pos="1119"/>
              </w:tabs>
              <w:adjustRightInd w:val="0"/>
              <w:snapToGrid w:val="0"/>
              <w:spacing w:line="240" w:lineRule="auto"/>
              <w:rPr>
                <w:rFonts w:hint="eastAsia" w:eastAsia="宋体"/>
                <w:color w:val="auto"/>
                <w:kern w:val="0"/>
                <w:highlight w:val="none"/>
                <w:lang w:eastAsia="zh-CN"/>
              </w:rPr>
            </w:pPr>
            <w:r>
              <w:rPr>
                <w:rFonts w:hint="default"/>
                <w:color w:val="auto"/>
                <w:kern w:val="0"/>
                <w:highlight w:val="none"/>
              </w:rPr>
              <w:t>接触硫酸铵可导致皮肤、呼吸道和眼睛刺激，食入时口中有灼伤感，恶心、呕吐、腹泻。如果与硝酸钾、亚硝酸钾和氯酸钾等氧化剂混合，可能会爆炸</w:t>
            </w:r>
            <w:r>
              <w:rPr>
                <w:rFonts w:hint="eastAsia"/>
                <w:color w:val="auto"/>
                <w:kern w:val="0"/>
                <w:highlight w:val="none"/>
                <w:lang w:eastAsia="zh-CN"/>
              </w:rPr>
              <w:t>。</w:t>
            </w:r>
          </w:p>
        </w:tc>
      </w:tr>
    </w:tbl>
    <w:p w14:paraId="790C243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6.3.4.2生产系统危险性识别</w:t>
      </w:r>
    </w:p>
    <w:p w14:paraId="77B098B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生产系统识别包括主要生产装置、储运设施、公用工程和辅助生产设施以及环境保护设施等。</w:t>
      </w:r>
    </w:p>
    <w:p w14:paraId="5B9CAE0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（1）生产装置</w:t>
      </w:r>
    </w:p>
    <w:p w14:paraId="5FA4CDB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1）生产过程的高度连续性</w:t>
      </w:r>
    </w:p>
    <w:p w14:paraId="109EC3D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生产过程中物料有固态、液态和气态，大多为气态。由于生产工艺连续性，工艺气体不会大量储存，而是源源不断地输送至下一工序进行加工处理，这就决定了生产的连续性。如果其中一个工序或一台设备发生故障，都会造成局部或全部停车，甚至会发生重大恶性事故。因此，生产过程中每一台设备、每一个岗位或工序运行状况的好坏、操作控制合理与否，都会对全厂稳定、安全生产起到至关重要的作用。</w:t>
      </w:r>
    </w:p>
    <w:p w14:paraId="045B75D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2）生产系统复杂</w:t>
      </w:r>
    </w:p>
    <w:p w14:paraId="0DC312C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生产过程包括发酵、提取、干燥等工序。为了满足生产需要，还配备一系列辅助生产工序及设施，如供水、供电等系统，仪表及自控、信号联锁、生产调度等等，从而构成一个庞大、复杂的生产系统。这些系统虽然各自独立，但都密切相关，相互制约。</w:t>
      </w:r>
    </w:p>
    <w:p w14:paraId="3C839BE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3）工艺流程长、工艺过程复杂</w:t>
      </w:r>
    </w:p>
    <w:p w14:paraId="6A95071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由于生产的连续性特点，各类设备之间靠工艺管道相连通，组成系统生产线。各种工艺管道、上下水管道、动力电缆等贯穿全厂地下、地上、空中，相互交织，错综复杂，并形成网络。由原料到产品，需经过多道工序的处理，从而构成工序流程长、工艺过程复杂的特点。</w:t>
      </w:r>
    </w:p>
    <w:p w14:paraId="7EC86C1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4）工艺参数严格、操作控制技术要求高</w:t>
      </w:r>
    </w:p>
    <w:p w14:paraId="30F7FF6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装置生产中工艺参数有温度等要求，为确保生产过程的安全、连续和稳定，对温度、流速、气体成分和投料量等工艺指标的确定都非常严格。操作人员需根据生产变化情况，及时频繁地对工艺参数予以调节和进行岗位之间的联系，不允许工艺条件有大的波动，更不允许超温、超负荷运行。</w:t>
      </w:r>
    </w:p>
    <w:p w14:paraId="271CC97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5）生产过程中存在着多种化学危险物质</w:t>
      </w:r>
    </w:p>
    <w:p w14:paraId="2695E60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生产过程中所处理的物质有硫酸、32%液碱等，大多是有害、有腐蚀性的物质。生产过程中的某些介质具有较强的腐蚀性，能使设备、管道、阀门等壁厚减薄，导致设备管道机械强度降低。这些都对安全生产带来了隐患。</w:t>
      </w:r>
    </w:p>
    <w:p w14:paraId="1FEE4394">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（2）储运设施危险性识别</w:t>
      </w:r>
    </w:p>
    <w:p w14:paraId="0A58A31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液态物料大多采用地上立式储罐，储罐壁涂有保温层可以避免由于阳光直晒造成油罐表面温度升高，导致化学品物质以罐体呼吸方式的散逸量加大，同时可以降低液体泄漏后的扩散速度，为储存的化学品危险物增加了安全性。储罐顶部设置有阻火式呼吸阀，以防止罐内物质散逸出的非甲烷总烃气体压力过大造成爆炸事故。</w:t>
      </w:r>
    </w:p>
    <w:p w14:paraId="7B3522C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由于运输液态物料均采用汽车拉运，且使用泵、管道等设备输送，因此有可能在此过程中产生泄漏，如果不及时发现，到达一定的数量后，遇明火极易造成火灾或爆炸，从而产生严重的危害。即使没有发生火灾或爆炸，一定数量的化工品由于气化和散溢也会产生大量的有毒气体，对人身健康造成危害，同时致使一定范围内的土壤以及空气环境恶化，以至于造成不可估量的环境损失。</w:t>
      </w:r>
    </w:p>
    <w:p w14:paraId="3971113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储罐充装过满、装卸时流速控制不当、管道输送物料后不及时排空、无泄压装置或泄压装置失效、夏季高温时不能及时降温、装车时未进行静电接地、装车时发生泄漏或溢出、运输槽车排气管未装阻火器、在极端气候条件下贮罐或管线因热胀冷缩等，都可能造成物料泄漏或引发火灾、爆炸事故，从而产生伴生/次生污染物对大气环境、土壤环境及地下水环境等造成污染。</w:t>
      </w:r>
    </w:p>
    <w:p w14:paraId="58A2CB8C">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（3）公辅工程及环保工程环境风险识别</w:t>
      </w:r>
    </w:p>
    <w:p w14:paraId="3A0DF822">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项目厂内工艺及公用工程外管大多架空敷设，输送工艺物料的管线多为压力管道，且输送的介质具有毒性及腐蚀性。在耐压强度、密封性和耐腐蚀性等方面设计不合理可能造成管道穿孔、破裂，从而导致有毒有害物料泄漏。</w:t>
      </w:r>
    </w:p>
    <w:p w14:paraId="172B36CC">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项目污水管网一旦发生破裂、未采取防渗措施或防渗膜破损，可能导致含有毒有害物质的废水排放至外环境，渗入土壤、污染地下水。</w:t>
      </w:r>
    </w:p>
    <w:p w14:paraId="6708AD43">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项目产生的危险废物主要是</w:t>
      </w:r>
      <w:r>
        <w:rPr>
          <w:rFonts w:hint="eastAsia"/>
          <w:color w:val="auto"/>
          <w:kern w:val="0"/>
          <w:sz w:val="24"/>
          <w:highlight w:val="none"/>
          <w:lang w:eastAsia="zh-CN"/>
        </w:rPr>
        <w:t>废矿物油</w:t>
      </w:r>
      <w:r>
        <w:rPr>
          <w:rFonts w:hint="eastAsia"/>
          <w:color w:val="auto"/>
          <w:kern w:val="0"/>
          <w:sz w:val="24"/>
          <w:highlight w:val="none"/>
        </w:rPr>
        <w:t>、</w:t>
      </w:r>
      <w:r>
        <w:rPr>
          <w:rFonts w:hint="eastAsia"/>
          <w:color w:val="auto"/>
          <w:kern w:val="0"/>
          <w:sz w:val="24"/>
          <w:highlight w:val="none"/>
          <w:lang w:eastAsia="zh-CN"/>
        </w:rPr>
        <w:t>化验室废液</w:t>
      </w:r>
      <w:r>
        <w:rPr>
          <w:rFonts w:hint="eastAsia"/>
          <w:color w:val="auto"/>
          <w:kern w:val="0"/>
          <w:sz w:val="24"/>
          <w:highlight w:val="none"/>
        </w:rPr>
        <w:t>、</w:t>
      </w:r>
      <w:r>
        <w:rPr>
          <w:rFonts w:hint="eastAsia"/>
          <w:color w:val="auto"/>
          <w:kern w:val="0"/>
          <w:sz w:val="24"/>
          <w:highlight w:val="none"/>
          <w:lang w:bidi="ar"/>
        </w:rPr>
        <w:t>废铅蓄电池</w:t>
      </w:r>
      <w:r>
        <w:rPr>
          <w:rFonts w:hint="eastAsia"/>
          <w:color w:val="auto"/>
          <w:kern w:val="0"/>
          <w:sz w:val="24"/>
          <w:highlight w:val="none"/>
        </w:rPr>
        <w:t>等，产生后暂存于危险废物贮存库，这些危险废物在厂区内收集及内部转运过程如发生散落、泄漏，会对泄漏处的土壤及地下水造成污染；危险废物贮存库中危险废物储存容器可能因破损等原因造成危险废物泄漏，若防渗层破损，泄漏的危险废物可能对土壤和地下水产生污染影响。</w:t>
      </w:r>
    </w:p>
    <w:p w14:paraId="1DF97CDE">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（4）伴生/次生污染物</w:t>
      </w:r>
    </w:p>
    <w:p w14:paraId="4F39443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根据分析，本项目涉及的主要物料大部分具有潜在的危害，在贮存、运输和生产过程中可能发生泄漏及中毒事故，并存在引起伴生事故和次生灾害的可能性。</w:t>
      </w:r>
    </w:p>
    <w:p w14:paraId="3337B002">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在火灾事故的扑救中，会产生大量的消防废水，其中可能含有大量的有毒有害物质，如果该废水经雨水排放系统排放至外环境，将会造成环境污染。此外，拦截堵漏过程中可能使用的大量拦截、堵漏材料，掺杂一定的物料，若事故排放后随意丢弃、排放，也将对</w:t>
      </w:r>
      <w:r>
        <w:rPr>
          <w:rFonts w:hint="eastAsia" w:eastAsiaTheme="minorEastAsia"/>
          <w:snapToGrid w:val="0"/>
          <w:color w:val="auto"/>
          <w:kern w:val="0"/>
          <w:sz w:val="24"/>
          <w:highlight w:val="none"/>
          <w:lang w:val="en-US" w:eastAsia="zh-CN"/>
        </w:rPr>
        <w:t>生态</w:t>
      </w:r>
      <w:r>
        <w:rPr>
          <w:rFonts w:hint="eastAsia"/>
          <w:color w:val="auto"/>
          <w:kern w:val="0"/>
          <w:sz w:val="24"/>
          <w:highlight w:val="none"/>
        </w:rPr>
        <w:t>环境产生二次污染。</w:t>
      </w:r>
    </w:p>
    <w:p w14:paraId="5D23D3C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6.3.4.3危险物质向生态环境转移的途径识别</w:t>
      </w:r>
    </w:p>
    <w:p w14:paraId="659C4646">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（1）大气污染影响途径</w:t>
      </w:r>
    </w:p>
    <w:p w14:paraId="0F22DA57">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项目危险化学品储运过程发生风险事故时挥发的有毒物质，火灾、爆炸伴生的一氧化碳、二氧化硫等污染物通过大气影响周围环境，与区域气象条件密切相关，直接受风向、风速影响。小风和静风条件是事故下最不利天气，对大气污染物的扩散较为不利。</w:t>
      </w:r>
    </w:p>
    <w:p w14:paraId="6ECD8381">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（2）水污染影响途径</w:t>
      </w:r>
    </w:p>
    <w:p w14:paraId="078FB1C1">
      <w:pPr>
        <w:adjustRightInd w:val="0"/>
        <w:snapToGrid w:val="0"/>
        <w:spacing w:line="360" w:lineRule="auto"/>
        <w:ind w:firstLine="480" w:firstLineChars="200"/>
        <w:rPr>
          <w:color w:val="auto"/>
          <w:kern w:val="0"/>
          <w:sz w:val="24"/>
          <w:highlight w:val="none"/>
        </w:rPr>
      </w:pPr>
      <w:r>
        <w:rPr>
          <w:rFonts w:hint="eastAsia" w:eastAsiaTheme="minorEastAsia"/>
          <w:color w:val="auto"/>
          <w:sz w:val="24"/>
          <w:highlight w:val="none"/>
        </w:rPr>
        <w:t>危险化学品物质运输过程发生泄漏风险事故时可能对周边地表水体造成影响；污水事故性排放时污水中的COD等污染物将对周边地表水体造成影响。本项目设置了环境风险事故三级防控体系，且厂区周边无常年稳定地表水体分布，正常状况下可有效防范事故废水进入厂外水体。厂区发生火灾或爆炸事故时，在事故水防控系统失效的情况下，厂区内泄漏的有毒有害危险品及受污染消防水可能会流入厂外形成漫流，从而导致一系列继发水体污染事故。</w:t>
      </w:r>
    </w:p>
    <w:p w14:paraId="090193B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（3）土壤和地下水污染影响途径</w:t>
      </w:r>
    </w:p>
    <w:p w14:paraId="3DD14996">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危险化学品物质运输过程发生泄漏风险事故时可能对地下水和土壤环境造成影响；</w:t>
      </w:r>
      <w:r>
        <w:rPr>
          <w:rFonts w:hint="eastAsia"/>
          <w:snapToGrid w:val="0"/>
          <w:color w:val="auto"/>
          <w:kern w:val="0"/>
          <w:sz w:val="24"/>
          <w:highlight w:val="none"/>
        </w:rPr>
        <w:t>浓硫酸、</w:t>
      </w:r>
      <w:r>
        <w:rPr>
          <w:rFonts w:hint="eastAsia"/>
          <w:snapToGrid w:val="0"/>
          <w:color w:val="auto"/>
          <w:kern w:val="0"/>
          <w:sz w:val="24"/>
          <w:highlight w:val="none"/>
          <w:lang w:eastAsia="zh-CN"/>
        </w:rPr>
        <w:t>液碱、</w:t>
      </w:r>
      <w:r>
        <w:rPr>
          <w:rFonts w:hint="eastAsia"/>
          <w:snapToGrid w:val="0"/>
          <w:color w:val="auto"/>
          <w:kern w:val="0"/>
          <w:sz w:val="24"/>
          <w:highlight w:val="none"/>
          <w:lang w:val="en-US" w:eastAsia="zh-CN"/>
        </w:rPr>
        <w:t>烷烃</w:t>
      </w:r>
      <w:r>
        <w:rPr>
          <w:snapToGrid w:val="0"/>
          <w:color w:val="auto"/>
          <w:kern w:val="0"/>
          <w:sz w:val="24"/>
          <w:highlight w:val="none"/>
        </w:rPr>
        <w:t>等在储存过程中由于操作不当、防渗材料破裂等原因将导致有毒有害物质泄漏污染地下水和土壤环境；埋地污水管道破裂发生渗漏可能对地下水和土壤环境造成影响。</w:t>
      </w:r>
    </w:p>
    <w:p w14:paraId="1253C39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6.3.4.4风险识别结果</w:t>
      </w:r>
    </w:p>
    <w:p w14:paraId="5A05B0F8">
      <w:pPr>
        <w:adjustRightInd w:val="0"/>
        <w:snapToGrid w:val="0"/>
        <w:spacing w:line="360" w:lineRule="auto"/>
        <w:ind w:firstLine="480" w:firstLineChars="200"/>
        <w:rPr>
          <w:color w:val="auto"/>
          <w:kern w:val="0"/>
          <w:sz w:val="24"/>
          <w:highlight w:val="none"/>
        </w:rPr>
      </w:pPr>
      <w:r>
        <w:rPr>
          <w:color w:val="auto"/>
          <w:kern w:val="0"/>
          <w:sz w:val="24"/>
          <w:highlight w:val="none"/>
        </w:rPr>
        <w:t>根据项目的工程资料、类比国内外同行业和同类型事故，本项目的主要风险类型储罐泄漏事故、工艺设备及管道泄漏事故、工艺设备及储罐</w:t>
      </w:r>
      <w:r>
        <w:rPr>
          <w:rFonts w:hint="eastAsia"/>
          <w:color w:val="auto"/>
          <w:kern w:val="0"/>
          <w:sz w:val="24"/>
          <w:highlight w:val="none"/>
          <w:lang w:eastAsia="zh-CN"/>
        </w:rPr>
        <w:t>泄漏</w:t>
      </w:r>
      <w:r>
        <w:rPr>
          <w:color w:val="auto"/>
          <w:kern w:val="0"/>
          <w:sz w:val="24"/>
          <w:highlight w:val="none"/>
        </w:rPr>
        <w:t>而引发的火灾爆炸事故和废气排放事故。</w:t>
      </w:r>
    </w:p>
    <w:p w14:paraId="1AA21060">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本项目</w:t>
      </w:r>
      <w:r>
        <w:rPr>
          <w:rFonts w:hint="eastAsia" w:eastAsiaTheme="minorEastAsia"/>
          <w:snapToGrid w:val="0"/>
          <w:color w:val="auto"/>
          <w:kern w:val="0"/>
          <w:sz w:val="24"/>
          <w:highlight w:val="none"/>
          <w:lang w:val="en-US" w:eastAsia="zh-CN"/>
        </w:rPr>
        <w:t>生态</w:t>
      </w:r>
      <w:r>
        <w:rPr>
          <w:rFonts w:hint="eastAsia"/>
          <w:color w:val="auto"/>
          <w:kern w:val="0"/>
          <w:sz w:val="24"/>
          <w:highlight w:val="none"/>
        </w:rPr>
        <w:t>环境风险识别汇总见表6.3-1</w:t>
      </w:r>
      <w:r>
        <w:rPr>
          <w:rFonts w:hint="eastAsia"/>
          <w:color w:val="auto"/>
          <w:kern w:val="0"/>
          <w:sz w:val="24"/>
          <w:highlight w:val="none"/>
          <w:lang w:val="en-US" w:eastAsia="zh-CN"/>
        </w:rPr>
        <w:t>4</w:t>
      </w:r>
      <w:r>
        <w:rPr>
          <w:rFonts w:hint="eastAsia"/>
          <w:color w:val="auto"/>
          <w:kern w:val="0"/>
          <w:sz w:val="24"/>
          <w:highlight w:val="none"/>
        </w:rPr>
        <w:t>。</w:t>
      </w:r>
    </w:p>
    <w:p w14:paraId="0BE3133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rPr>
        <w:t>6.3-1</w:t>
      </w:r>
      <w:r>
        <w:rPr>
          <w:rFonts w:hint="eastAsia" w:ascii="Times New Roman" w:hAnsi="Times New Roman" w:cs="Times New Roman"/>
          <w:snapToGrid w:val="0"/>
          <w:color w:val="auto"/>
          <w:kern w:val="0"/>
          <w:sz w:val="21"/>
          <w:szCs w:val="21"/>
          <w:highlight w:val="none"/>
          <w:lang w:val="en-US" w:eastAsia="zh-CN"/>
        </w:rPr>
        <w:t>4</w:t>
      </w:r>
      <w:r>
        <w:rPr>
          <w:rFonts w:hint="eastAsia"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lang w:val="en-US" w:eastAsia="zh-CN"/>
        </w:rPr>
        <w:t>生态</w:t>
      </w:r>
      <w:r>
        <w:rPr>
          <w:rFonts w:hint="eastAsia" w:ascii="Times New Roman" w:hAnsi="Times New Roman" w:cs="Times New Roman"/>
          <w:snapToGrid w:val="0"/>
          <w:color w:val="auto"/>
          <w:kern w:val="0"/>
          <w:sz w:val="21"/>
          <w:szCs w:val="21"/>
          <w:highlight w:val="none"/>
        </w:rPr>
        <w:t>环境风险识别表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74"/>
        <w:gridCol w:w="363"/>
        <w:gridCol w:w="363"/>
        <w:gridCol w:w="617"/>
        <w:gridCol w:w="1073"/>
        <w:gridCol w:w="4710"/>
        <w:gridCol w:w="840"/>
      </w:tblGrid>
      <w:tr w14:paraId="3C55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blHeader/>
          <w:jc w:val="center"/>
        </w:trPr>
        <w:tc>
          <w:tcPr>
            <w:tcW w:w="0" w:type="auto"/>
            <w:shd w:val="clear" w:color="auto" w:fill="auto"/>
            <w:vAlign w:val="center"/>
          </w:tcPr>
          <w:p w14:paraId="5D421161">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序号</w:t>
            </w:r>
          </w:p>
        </w:tc>
        <w:tc>
          <w:tcPr>
            <w:tcW w:w="0" w:type="auto"/>
            <w:shd w:val="clear" w:color="auto" w:fill="auto"/>
            <w:vAlign w:val="center"/>
          </w:tcPr>
          <w:p w14:paraId="0420F82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危险单元</w:t>
            </w:r>
          </w:p>
        </w:tc>
        <w:tc>
          <w:tcPr>
            <w:tcW w:w="0" w:type="auto"/>
            <w:shd w:val="clear" w:color="auto" w:fill="auto"/>
            <w:vAlign w:val="center"/>
          </w:tcPr>
          <w:p w14:paraId="7CE58A8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风险源</w:t>
            </w:r>
          </w:p>
        </w:tc>
        <w:tc>
          <w:tcPr>
            <w:tcW w:w="0" w:type="auto"/>
            <w:shd w:val="clear" w:color="auto" w:fill="auto"/>
            <w:vAlign w:val="center"/>
          </w:tcPr>
          <w:p w14:paraId="5817A5C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主要危险物质</w:t>
            </w:r>
          </w:p>
        </w:tc>
        <w:tc>
          <w:tcPr>
            <w:tcW w:w="0" w:type="auto"/>
            <w:shd w:val="clear" w:color="auto" w:fill="auto"/>
            <w:vAlign w:val="center"/>
          </w:tcPr>
          <w:p w14:paraId="41B65CC1">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环境风险类型</w:t>
            </w:r>
          </w:p>
        </w:tc>
        <w:tc>
          <w:tcPr>
            <w:tcW w:w="0" w:type="auto"/>
            <w:shd w:val="clear" w:color="auto" w:fill="auto"/>
            <w:vAlign w:val="center"/>
          </w:tcPr>
          <w:p w14:paraId="567BAF5E">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环境影响途径</w:t>
            </w:r>
          </w:p>
        </w:tc>
        <w:tc>
          <w:tcPr>
            <w:tcW w:w="0" w:type="auto"/>
            <w:shd w:val="clear" w:color="auto" w:fill="auto"/>
            <w:vAlign w:val="center"/>
          </w:tcPr>
          <w:p w14:paraId="5200F91A">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可能受影响环境敏感目标</w:t>
            </w:r>
          </w:p>
        </w:tc>
      </w:tr>
      <w:tr w14:paraId="2F5E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blHeader/>
          <w:jc w:val="center"/>
        </w:trPr>
        <w:tc>
          <w:tcPr>
            <w:tcW w:w="0" w:type="auto"/>
            <w:shd w:val="clear" w:color="auto" w:fill="auto"/>
            <w:vAlign w:val="center"/>
          </w:tcPr>
          <w:p w14:paraId="46A55FF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1</w:t>
            </w:r>
          </w:p>
        </w:tc>
        <w:tc>
          <w:tcPr>
            <w:tcW w:w="0" w:type="auto"/>
            <w:shd w:val="clear" w:color="auto" w:fill="auto"/>
            <w:vAlign w:val="center"/>
          </w:tcPr>
          <w:p w14:paraId="63802734">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提取</w:t>
            </w:r>
            <w:r>
              <w:rPr>
                <w:rFonts w:hint="eastAsia"/>
                <w:snapToGrid w:val="0"/>
                <w:color w:val="auto"/>
                <w:kern w:val="0"/>
                <w:szCs w:val="21"/>
                <w:highlight w:val="none"/>
                <w:lang w:eastAsia="zh-CN"/>
              </w:rPr>
              <w:t>装置</w:t>
            </w:r>
          </w:p>
        </w:tc>
        <w:tc>
          <w:tcPr>
            <w:tcW w:w="0" w:type="auto"/>
            <w:shd w:val="clear" w:color="auto" w:fill="auto"/>
            <w:vAlign w:val="center"/>
          </w:tcPr>
          <w:p w14:paraId="5A638A58">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输送管道</w:t>
            </w:r>
          </w:p>
        </w:tc>
        <w:tc>
          <w:tcPr>
            <w:tcW w:w="0" w:type="auto"/>
            <w:shd w:val="clear" w:color="auto" w:fill="auto"/>
            <w:vAlign w:val="center"/>
          </w:tcPr>
          <w:p w14:paraId="7209F5DE">
            <w:pPr>
              <w:pStyle w:val="42"/>
              <w:tabs>
                <w:tab w:val="left" w:pos="0"/>
              </w:tabs>
              <w:adjustRightInd w:val="0"/>
              <w:snapToGrid w:val="0"/>
              <w:ind w:left="0" w:firstLine="0" w:firstLineChars="0"/>
              <w:jc w:val="center"/>
              <w:rPr>
                <w:snapToGrid w:val="0"/>
                <w:color w:val="auto"/>
                <w:kern w:val="0"/>
                <w:szCs w:val="21"/>
                <w:highlight w:val="none"/>
              </w:rPr>
            </w:pPr>
            <w:r>
              <w:rPr>
                <w:rFonts w:hint="eastAsia"/>
                <w:color w:val="auto"/>
                <w:kern w:val="0"/>
                <w:szCs w:val="21"/>
                <w:highlight w:val="none"/>
              </w:rPr>
              <w:t>浓硫酸、</w:t>
            </w:r>
            <w:r>
              <w:rPr>
                <w:rFonts w:hint="eastAsia"/>
                <w:color w:val="auto"/>
                <w:kern w:val="0"/>
                <w:szCs w:val="21"/>
                <w:highlight w:val="none"/>
                <w:lang w:eastAsia="zh-CN"/>
              </w:rPr>
              <w:t>液碱</w:t>
            </w:r>
          </w:p>
        </w:tc>
        <w:tc>
          <w:tcPr>
            <w:tcW w:w="0" w:type="auto"/>
            <w:shd w:val="clear" w:color="auto" w:fill="auto"/>
            <w:vAlign w:val="center"/>
          </w:tcPr>
          <w:p w14:paraId="2DA930AF">
            <w:pPr>
              <w:adjustRightInd w:val="0"/>
              <w:snapToGrid w:val="0"/>
              <w:jc w:val="center"/>
              <w:rPr>
                <w:snapToGrid w:val="0"/>
                <w:color w:val="auto"/>
                <w:kern w:val="0"/>
                <w:szCs w:val="21"/>
                <w:highlight w:val="none"/>
              </w:rPr>
            </w:pPr>
            <w:r>
              <w:rPr>
                <w:snapToGrid w:val="0"/>
                <w:color w:val="auto"/>
                <w:kern w:val="0"/>
                <w:szCs w:val="21"/>
                <w:highlight w:val="none"/>
              </w:rPr>
              <w:t>泄漏</w:t>
            </w:r>
          </w:p>
        </w:tc>
        <w:tc>
          <w:tcPr>
            <w:tcW w:w="0" w:type="auto"/>
            <w:shd w:val="clear" w:color="auto" w:fill="auto"/>
            <w:vAlign w:val="center"/>
          </w:tcPr>
          <w:p w14:paraId="35480215">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因腐蚀、容器管线破损、管理不规范等造成储罐、工艺设备及管道等有毒有害或易燃物质泄漏，并遇火发生火灾、爆炸事故并引发伴生/次生污染物排放对周边大气环境、地表水、地下水及土壤环境的影响，甚至造成人员伤害</w:t>
            </w:r>
          </w:p>
        </w:tc>
        <w:tc>
          <w:tcPr>
            <w:tcW w:w="0" w:type="auto"/>
            <w:shd w:val="clear" w:color="auto" w:fill="auto"/>
            <w:vAlign w:val="center"/>
          </w:tcPr>
          <w:p w14:paraId="56444147">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环境空气、地下水、土壤</w:t>
            </w:r>
          </w:p>
        </w:tc>
      </w:tr>
      <w:tr w14:paraId="2215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blHeader/>
          <w:jc w:val="center"/>
        </w:trPr>
        <w:tc>
          <w:tcPr>
            <w:tcW w:w="0" w:type="auto"/>
            <w:shd w:val="clear" w:color="auto" w:fill="auto"/>
            <w:vAlign w:val="center"/>
          </w:tcPr>
          <w:p w14:paraId="5B6F3C32">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2</w:t>
            </w:r>
          </w:p>
        </w:tc>
        <w:tc>
          <w:tcPr>
            <w:tcW w:w="0" w:type="auto"/>
            <w:shd w:val="clear" w:color="auto" w:fill="auto"/>
            <w:vAlign w:val="center"/>
          </w:tcPr>
          <w:p w14:paraId="47F1E3CF">
            <w:pPr>
              <w:pStyle w:val="42"/>
              <w:tabs>
                <w:tab w:val="left" w:pos="0"/>
              </w:tabs>
              <w:adjustRightInd w:val="0"/>
              <w:snapToGrid w:val="0"/>
              <w:ind w:left="0" w:firstLine="0" w:firstLineChars="0"/>
              <w:jc w:val="center"/>
              <w:rPr>
                <w:snapToGrid w:val="0"/>
                <w:color w:val="auto"/>
                <w:kern w:val="0"/>
                <w:szCs w:val="21"/>
                <w:highlight w:val="none"/>
              </w:rPr>
            </w:pPr>
            <w:r>
              <w:rPr>
                <w:rFonts w:hint="eastAsia"/>
                <w:color w:val="auto"/>
                <w:kern w:val="0"/>
                <w:szCs w:val="21"/>
                <w:highlight w:val="none"/>
              </w:rPr>
              <w:t>酸碱</w:t>
            </w:r>
            <w:r>
              <w:rPr>
                <w:rFonts w:hint="eastAsia"/>
                <w:snapToGrid w:val="0"/>
                <w:color w:val="auto"/>
                <w:kern w:val="0"/>
                <w:szCs w:val="21"/>
                <w:highlight w:val="none"/>
              </w:rPr>
              <w:t>罐区</w:t>
            </w:r>
          </w:p>
        </w:tc>
        <w:tc>
          <w:tcPr>
            <w:tcW w:w="0" w:type="auto"/>
            <w:shd w:val="clear" w:color="auto" w:fill="auto"/>
            <w:vAlign w:val="center"/>
          </w:tcPr>
          <w:p w14:paraId="1443B4FE">
            <w:pPr>
              <w:widowControl/>
              <w:tabs>
                <w:tab w:val="left" w:pos="1119"/>
              </w:tabs>
              <w:adjustRightInd w:val="0"/>
              <w:snapToGrid w:val="0"/>
              <w:jc w:val="center"/>
              <w:rPr>
                <w:snapToGrid w:val="0"/>
                <w:color w:val="auto"/>
                <w:kern w:val="0"/>
                <w:szCs w:val="21"/>
                <w:highlight w:val="none"/>
              </w:rPr>
            </w:pPr>
            <w:r>
              <w:rPr>
                <w:color w:val="auto"/>
                <w:kern w:val="0"/>
                <w:szCs w:val="21"/>
                <w:highlight w:val="none"/>
              </w:rPr>
              <w:t>储罐</w:t>
            </w:r>
          </w:p>
        </w:tc>
        <w:tc>
          <w:tcPr>
            <w:tcW w:w="0" w:type="auto"/>
            <w:shd w:val="clear" w:color="auto" w:fill="auto"/>
            <w:vAlign w:val="center"/>
          </w:tcPr>
          <w:p w14:paraId="7400F2A3">
            <w:pPr>
              <w:widowControl/>
              <w:tabs>
                <w:tab w:val="left" w:pos="1119"/>
              </w:tabs>
              <w:adjustRightInd w:val="0"/>
              <w:snapToGrid w:val="0"/>
              <w:jc w:val="center"/>
              <w:rPr>
                <w:rFonts w:hint="eastAsia" w:eastAsia="宋体"/>
                <w:color w:val="auto"/>
                <w:kern w:val="0"/>
                <w:szCs w:val="21"/>
                <w:highlight w:val="none"/>
                <w:lang w:eastAsia="zh-CN"/>
              </w:rPr>
            </w:pPr>
            <w:r>
              <w:rPr>
                <w:rFonts w:hint="eastAsia"/>
                <w:color w:val="auto"/>
                <w:kern w:val="0"/>
                <w:szCs w:val="21"/>
                <w:highlight w:val="none"/>
              </w:rPr>
              <w:t>浓硫酸、</w:t>
            </w:r>
            <w:r>
              <w:rPr>
                <w:rFonts w:hint="eastAsia"/>
                <w:color w:val="auto"/>
                <w:kern w:val="0"/>
                <w:szCs w:val="21"/>
                <w:highlight w:val="none"/>
                <w:lang w:eastAsia="zh-CN"/>
              </w:rPr>
              <w:t>液碱</w:t>
            </w:r>
          </w:p>
        </w:tc>
        <w:tc>
          <w:tcPr>
            <w:tcW w:w="0" w:type="auto"/>
            <w:shd w:val="clear" w:color="auto" w:fill="auto"/>
            <w:vAlign w:val="center"/>
          </w:tcPr>
          <w:p w14:paraId="10484EF1">
            <w:pPr>
              <w:adjustRightInd w:val="0"/>
              <w:snapToGrid w:val="0"/>
              <w:jc w:val="center"/>
              <w:rPr>
                <w:snapToGrid w:val="0"/>
                <w:color w:val="auto"/>
                <w:kern w:val="0"/>
                <w:szCs w:val="21"/>
                <w:highlight w:val="none"/>
              </w:rPr>
            </w:pPr>
            <w:r>
              <w:rPr>
                <w:snapToGrid w:val="0"/>
                <w:color w:val="auto"/>
                <w:kern w:val="0"/>
                <w:szCs w:val="21"/>
                <w:highlight w:val="none"/>
              </w:rPr>
              <w:t>泄漏</w:t>
            </w:r>
          </w:p>
        </w:tc>
        <w:tc>
          <w:tcPr>
            <w:tcW w:w="0" w:type="auto"/>
            <w:shd w:val="clear" w:color="auto" w:fill="auto"/>
            <w:vAlign w:val="center"/>
          </w:tcPr>
          <w:p w14:paraId="250C6A4B">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因腐蚀、容器管线破损、管理不规范等造成储罐、工艺设备及管道等有毒有害或易燃物质泄漏，并遇火发生火灾、爆炸事故并引发伴生/次生污染物排放对周边大气环境、地表水、地下水及土壤环境的影响，甚至造成人员伤害</w:t>
            </w:r>
          </w:p>
        </w:tc>
        <w:tc>
          <w:tcPr>
            <w:tcW w:w="0" w:type="auto"/>
            <w:shd w:val="clear" w:color="auto" w:fill="auto"/>
            <w:vAlign w:val="center"/>
          </w:tcPr>
          <w:p w14:paraId="175F3430">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环境空气、地下水、土壤</w:t>
            </w:r>
          </w:p>
        </w:tc>
      </w:tr>
      <w:tr w14:paraId="2526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blHeader/>
          <w:jc w:val="center"/>
        </w:trPr>
        <w:tc>
          <w:tcPr>
            <w:tcW w:w="0" w:type="auto"/>
            <w:shd w:val="clear" w:color="auto" w:fill="auto"/>
            <w:vAlign w:val="center"/>
          </w:tcPr>
          <w:p w14:paraId="56336977">
            <w:pPr>
              <w:pStyle w:val="42"/>
              <w:tabs>
                <w:tab w:val="left" w:pos="0"/>
              </w:tabs>
              <w:adjustRightInd w:val="0"/>
              <w:snapToGrid w:val="0"/>
              <w:ind w:left="0" w:firstLine="0" w:firstLineChars="0"/>
              <w:jc w:val="center"/>
              <w:rPr>
                <w:rFonts w:hint="eastAsia" w:eastAsia="宋体"/>
                <w:snapToGrid w:val="0"/>
                <w:color w:val="auto"/>
                <w:kern w:val="0"/>
                <w:szCs w:val="21"/>
                <w:highlight w:val="none"/>
                <w:lang w:eastAsia="zh-CN"/>
              </w:rPr>
            </w:pPr>
            <w:r>
              <w:rPr>
                <w:rFonts w:hint="eastAsia"/>
                <w:snapToGrid w:val="0"/>
                <w:color w:val="auto"/>
                <w:kern w:val="0"/>
                <w:szCs w:val="21"/>
                <w:highlight w:val="none"/>
                <w:lang w:val="en-US" w:eastAsia="zh-CN"/>
              </w:rPr>
              <w:t>3</w:t>
            </w:r>
          </w:p>
        </w:tc>
        <w:tc>
          <w:tcPr>
            <w:tcW w:w="0" w:type="auto"/>
            <w:shd w:val="clear" w:color="auto" w:fill="auto"/>
            <w:vAlign w:val="center"/>
          </w:tcPr>
          <w:p w14:paraId="7020D8F8">
            <w:pPr>
              <w:widowControl/>
              <w:tabs>
                <w:tab w:val="left" w:pos="1119"/>
              </w:tabs>
              <w:adjustRightInd w:val="0"/>
              <w:snapToGrid w:val="0"/>
              <w:jc w:val="center"/>
              <w:rPr>
                <w:color w:val="auto"/>
                <w:kern w:val="0"/>
                <w:szCs w:val="21"/>
                <w:highlight w:val="none"/>
              </w:rPr>
            </w:pPr>
            <w:r>
              <w:rPr>
                <w:rFonts w:hint="eastAsia"/>
                <w:color w:val="auto"/>
                <w:kern w:val="0"/>
                <w:szCs w:val="21"/>
                <w:highlight w:val="none"/>
              </w:rPr>
              <w:t>烷烃</w:t>
            </w:r>
            <w:r>
              <w:rPr>
                <w:color w:val="auto"/>
                <w:kern w:val="0"/>
                <w:szCs w:val="21"/>
                <w:highlight w:val="none"/>
              </w:rPr>
              <w:t>罐区</w:t>
            </w:r>
          </w:p>
        </w:tc>
        <w:tc>
          <w:tcPr>
            <w:tcW w:w="0" w:type="auto"/>
            <w:shd w:val="clear" w:color="auto" w:fill="auto"/>
            <w:vAlign w:val="center"/>
          </w:tcPr>
          <w:p w14:paraId="231D3EF6">
            <w:pPr>
              <w:widowControl/>
              <w:tabs>
                <w:tab w:val="left" w:pos="1119"/>
              </w:tabs>
              <w:adjustRightInd w:val="0"/>
              <w:snapToGrid w:val="0"/>
              <w:jc w:val="center"/>
              <w:rPr>
                <w:color w:val="auto"/>
                <w:kern w:val="0"/>
                <w:szCs w:val="21"/>
                <w:highlight w:val="none"/>
              </w:rPr>
            </w:pPr>
            <w:r>
              <w:rPr>
                <w:color w:val="auto"/>
                <w:kern w:val="0"/>
                <w:szCs w:val="21"/>
                <w:highlight w:val="none"/>
              </w:rPr>
              <w:t>储罐</w:t>
            </w:r>
          </w:p>
        </w:tc>
        <w:tc>
          <w:tcPr>
            <w:tcW w:w="0" w:type="auto"/>
            <w:shd w:val="clear" w:color="auto" w:fill="auto"/>
            <w:vAlign w:val="center"/>
          </w:tcPr>
          <w:p w14:paraId="7378912B">
            <w:pPr>
              <w:widowControl/>
              <w:tabs>
                <w:tab w:val="left" w:pos="1119"/>
              </w:tabs>
              <w:adjustRightInd w:val="0"/>
              <w:snapToGrid w:val="0"/>
              <w:jc w:val="center"/>
              <w:rPr>
                <w:color w:val="auto"/>
                <w:kern w:val="0"/>
                <w:szCs w:val="21"/>
                <w:highlight w:val="none"/>
              </w:rPr>
            </w:pPr>
            <w:r>
              <w:rPr>
                <w:rFonts w:hint="eastAsia"/>
                <w:color w:val="auto"/>
                <w:kern w:val="0"/>
                <w:szCs w:val="21"/>
                <w:highlight w:val="none"/>
              </w:rPr>
              <w:t>烷烃</w:t>
            </w:r>
          </w:p>
        </w:tc>
        <w:tc>
          <w:tcPr>
            <w:tcW w:w="0" w:type="auto"/>
            <w:shd w:val="clear" w:color="auto" w:fill="auto"/>
            <w:vAlign w:val="center"/>
          </w:tcPr>
          <w:p w14:paraId="533E58E8">
            <w:pPr>
              <w:widowControl/>
              <w:tabs>
                <w:tab w:val="left" w:pos="1119"/>
              </w:tabs>
              <w:adjustRightInd w:val="0"/>
              <w:snapToGrid w:val="0"/>
              <w:jc w:val="center"/>
              <w:rPr>
                <w:color w:val="auto"/>
                <w:kern w:val="0"/>
                <w:szCs w:val="21"/>
                <w:highlight w:val="none"/>
              </w:rPr>
            </w:pPr>
            <w:r>
              <w:rPr>
                <w:color w:val="auto"/>
                <w:kern w:val="0"/>
                <w:szCs w:val="21"/>
                <w:highlight w:val="none"/>
              </w:rPr>
              <w:t>火灾、爆炸引发伴生/次生污染物排放</w:t>
            </w:r>
          </w:p>
        </w:tc>
        <w:tc>
          <w:tcPr>
            <w:tcW w:w="0" w:type="auto"/>
            <w:shd w:val="clear" w:color="auto" w:fill="auto"/>
            <w:vAlign w:val="center"/>
          </w:tcPr>
          <w:p w14:paraId="1A14F5DE">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因腐蚀、容器管线破损、管理不规范等造成储罐、工艺设备及管道等有毒有害或易燃物质泄漏，并遇火发生火灾、爆炸事故并引发伴生/次生污染物排放对周边大气环境、地表水、地下水及土壤环境的影响，甚至造成人员伤害</w:t>
            </w:r>
          </w:p>
        </w:tc>
        <w:tc>
          <w:tcPr>
            <w:tcW w:w="0" w:type="auto"/>
            <w:shd w:val="clear" w:color="auto" w:fill="auto"/>
            <w:vAlign w:val="center"/>
          </w:tcPr>
          <w:p w14:paraId="3404FE63">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环境空气、地下水、土壤</w:t>
            </w:r>
          </w:p>
        </w:tc>
      </w:tr>
      <w:tr w14:paraId="6E45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blHeader/>
          <w:jc w:val="center"/>
        </w:trPr>
        <w:tc>
          <w:tcPr>
            <w:tcW w:w="0" w:type="auto"/>
            <w:shd w:val="clear" w:color="auto" w:fill="auto"/>
            <w:vAlign w:val="center"/>
          </w:tcPr>
          <w:p w14:paraId="3021351C">
            <w:pPr>
              <w:pStyle w:val="42"/>
              <w:tabs>
                <w:tab w:val="left" w:pos="0"/>
              </w:tabs>
              <w:adjustRightInd w:val="0"/>
              <w:snapToGrid w:val="0"/>
              <w:ind w:left="0" w:firstLine="0" w:firstLineChars="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4</w:t>
            </w:r>
          </w:p>
        </w:tc>
        <w:tc>
          <w:tcPr>
            <w:tcW w:w="0" w:type="auto"/>
            <w:shd w:val="clear" w:color="auto" w:fill="auto"/>
            <w:vAlign w:val="center"/>
          </w:tcPr>
          <w:p w14:paraId="017993D4">
            <w:pPr>
              <w:widowControl/>
              <w:tabs>
                <w:tab w:val="left" w:pos="1119"/>
              </w:tabs>
              <w:adjustRightInd w:val="0"/>
              <w:snapToGrid w:val="0"/>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库房</w:t>
            </w:r>
          </w:p>
        </w:tc>
        <w:tc>
          <w:tcPr>
            <w:tcW w:w="0" w:type="auto"/>
            <w:shd w:val="clear" w:color="auto" w:fill="auto"/>
            <w:vAlign w:val="center"/>
          </w:tcPr>
          <w:p w14:paraId="53F3E983">
            <w:pPr>
              <w:widowControl/>
              <w:tabs>
                <w:tab w:val="left" w:pos="1119"/>
              </w:tabs>
              <w:adjustRightInd w:val="0"/>
              <w:snapToGrid w:val="0"/>
              <w:jc w:val="center"/>
              <w:rPr>
                <w:color w:val="auto"/>
                <w:kern w:val="0"/>
                <w:szCs w:val="21"/>
                <w:highlight w:val="none"/>
              </w:rPr>
            </w:pPr>
            <w:r>
              <w:rPr>
                <w:rFonts w:hint="eastAsia"/>
                <w:color w:val="auto"/>
                <w:kern w:val="0"/>
                <w:szCs w:val="21"/>
                <w:highlight w:val="none"/>
                <w:lang w:val="en-US" w:eastAsia="zh-CN"/>
              </w:rPr>
              <w:t>库房</w:t>
            </w:r>
          </w:p>
        </w:tc>
        <w:tc>
          <w:tcPr>
            <w:tcW w:w="0" w:type="auto"/>
            <w:shd w:val="clear" w:color="auto" w:fill="auto"/>
            <w:vAlign w:val="center"/>
          </w:tcPr>
          <w:p w14:paraId="11056C20">
            <w:pPr>
              <w:widowControl/>
              <w:tabs>
                <w:tab w:val="left" w:pos="1119"/>
              </w:tabs>
              <w:adjustRightInd w:val="0"/>
              <w:snapToGrid w:val="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硫酸铵</w:t>
            </w:r>
          </w:p>
        </w:tc>
        <w:tc>
          <w:tcPr>
            <w:tcW w:w="0" w:type="auto"/>
            <w:shd w:val="clear" w:color="auto" w:fill="auto"/>
            <w:vAlign w:val="center"/>
          </w:tcPr>
          <w:p w14:paraId="04EFC9A8">
            <w:pPr>
              <w:widowControl/>
              <w:tabs>
                <w:tab w:val="left" w:pos="1119"/>
              </w:tabs>
              <w:adjustRightInd w:val="0"/>
              <w:snapToGrid w:val="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受热分解</w:t>
            </w:r>
          </w:p>
        </w:tc>
        <w:tc>
          <w:tcPr>
            <w:tcW w:w="0" w:type="auto"/>
            <w:shd w:val="clear" w:color="auto" w:fill="auto"/>
            <w:vAlign w:val="center"/>
          </w:tcPr>
          <w:p w14:paraId="6257F43D">
            <w:pPr>
              <w:pStyle w:val="42"/>
              <w:tabs>
                <w:tab w:val="left" w:pos="0"/>
              </w:tabs>
              <w:adjustRightInd w:val="0"/>
              <w:snapToGrid w:val="0"/>
              <w:ind w:left="0" w:firstLine="0" w:firstLineChars="0"/>
              <w:jc w:val="center"/>
              <w:rPr>
                <w:rFonts w:hint="default"/>
                <w:snapToGrid w:val="0"/>
                <w:color w:val="auto"/>
                <w:kern w:val="0"/>
                <w:szCs w:val="21"/>
                <w:highlight w:val="none"/>
                <w:lang w:val="en-US"/>
              </w:rPr>
            </w:pPr>
            <w:r>
              <w:rPr>
                <w:rFonts w:hint="eastAsia" w:ascii="Times New Roman" w:hAnsi="Times New Roman" w:eastAsia="宋体" w:cs="Times New Roman"/>
                <w:color w:val="auto"/>
                <w:kern w:val="24"/>
                <w:sz w:val="21"/>
                <w:szCs w:val="18"/>
                <w:highlight w:val="none"/>
                <w:lang w:eastAsia="zh-CN"/>
              </w:rPr>
              <w:t>库房火灾导致硫酸铵遇到明火、高热等情况，分解产生有毒的氨和二氧化硫气体，</w:t>
            </w:r>
            <w:r>
              <w:rPr>
                <w:rFonts w:hint="eastAsia" w:ascii="Times New Roman" w:hAnsi="Times New Roman" w:eastAsia="宋体" w:cs="Times New Roman"/>
                <w:color w:val="auto"/>
                <w:kern w:val="24"/>
                <w:sz w:val="21"/>
                <w:szCs w:val="18"/>
                <w:highlight w:val="none"/>
                <w:lang w:val="en-US" w:eastAsia="zh-CN"/>
              </w:rPr>
              <w:t>对周围大气环境的影响</w:t>
            </w:r>
          </w:p>
        </w:tc>
        <w:tc>
          <w:tcPr>
            <w:tcW w:w="0" w:type="auto"/>
            <w:shd w:val="clear" w:color="auto" w:fill="auto"/>
            <w:vAlign w:val="center"/>
          </w:tcPr>
          <w:p w14:paraId="57B36E5B">
            <w:pPr>
              <w:pStyle w:val="42"/>
              <w:tabs>
                <w:tab w:val="left" w:pos="0"/>
              </w:tabs>
              <w:adjustRightInd w:val="0"/>
              <w:snapToGrid w:val="0"/>
              <w:ind w:left="0" w:firstLine="0" w:firstLineChars="0"/>
              <w:jc w:val="center"/>
              <w:rPr>
                <w:snapToGrid w:val="0"/>
                <w:color w:val="auto"/>
                <w:kern w:val="0"/>
                <w:szCs w:val="21"/>
                <w:highlight w:val="none"/>
              </w:rPr>
            </w:pPr>
            <w:r>
              <w:rPr>
                <w:snapToGrid w:val="0"/>
                <w:color w:val="auto"/>
                <w:kern w:val="0"/>
                <w:szCs w:val="21"/>
                <w:highlight w:val="none"/>
              </w:rPr>
              <w:t>环境空气</w:t>
            </w:r>
          </w:p>
        </w:tc>
      </w:tr>
    </w:tbl>
    <w:p w14:paraId="48699047">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164" w:name="_Toc17459"/>
      <w:bookmarkStart w:id="165" w:name="_Toc13991"/>
      <w:r>
        <w:rPr>
          <w:rFonts w:hint="eastAsia" w:ascii="Times New Roman" w:hAnsi="Times New Roman" w:cs="Times New Roman"/>
          <w:snapToGrid w:val="0"/>
          <w:color w:val="auto"/>
          <w:spacing w:val="0"/>
          <w:kern w:val="0"/>
          <w:szCs w:val="24"/>
          <w:highlight w:val="none"/>
          <w:lang w:val="en-US" w:eastAsia="zh-CN"/>
        </w:rPr>
        <w:t>6.3.5事故情形分析</w:t>
      </w:r>
      <w:bookmarkEnd w:id="164"/>
      <w:bookmarkEnd w:id="165"/>
    </w:p>
    <w:p w14:paraId="485B2BE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6.3.5.1设定原则</w:t>
      </w:r>
    </w:p>
    <w:p w14:paraId="69C88D0D">
      <w:pPr>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根据《建设项目环境风险评价技术导则》（HJ169-2018）的要求，事故情形的设定应遵循以下原则：</w:t>
      </w:r>
    </w:p>
    <w:p w14:paraId="369E31E6">
      <w:pPr>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（1）同一种危险物质可能有多种环境风险类型。风险事故情形应包括危险物质泄漏，以及火灾、爆炸等引发的伴生/次生污染物排放情形。对不同环境要素产生影响的风险事故情形，应分别进行设定。</w:t>
      </w:r>
    </w:p>
    <w:p w14:paraId="08F9F5C7">
      <w:pPr>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（2）对于火灾、爆炸事故，需将事故中未完全燃烧的危险物质在高温下迅速挥发释放至大气，以及燃烧过程中产生的伴生/次生污染物对环境的影响作为风险事故情形设定的内容。</w:t>
      </w:r>
    </w:p>
    <w:p w14:paraId="1E36823A">
      <w:pPr>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（3）设定的风险事故情形发生可能性应处于合理的区间，并与经济技术发展水平相适应。一般而言，发生频率小于10-6/年的事件是极小概率事件，可作为代表性事故情形中最大可信事故设定的参考。</w:t>
      </w:r>
    </w:p>
    <w:p w14:paraId="7A85B3CB">
      <w:pPr>
        <w:adjustRightInd w:val="0"/>
        <w:snapToGrid w:val="0"/>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4）风险事故情形设定的不确定性与筛选。由于事故触发因素具有不确定性，因此事故情形的设定并不能包含全部可能的环境风险，但通过具有代表性的事故情形分析可为风险管理提供科学依据。事故情形的设定应在环境风险识别的基础上筛选，设定的事故情形应具有危险物质、环境危害、影响途径等方面的代表性。</w:t>
      </w:r>
    </w:p>
    <w:p w14:paraId="386190F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6.3.5.2风险事故情形设定</w:t>
      </w:r>
    </w:p>
    <w:p w14:paraId="1302E2AB">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根据《建设项目环境风险评价技术导则》（HJ169-2018）的要求，风险事故情形的设定是在风险识别的基础上，选择对环境影响较大并具有代表性的事故类型，设定风险事故情形。</w:t>
      </w:r>
    </w:p>
    <w:p w14:paraId="6FAAF8EE">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根据风险识别结果，本项目环境影响较大并具有代表性的事故类型有：</w:t>
      </w:r>
    </w:p>
    <w:p w14:paraId="3624D7D9">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1）项目生产装置、罐区储罐等设施及管道输送系统因腐蚀破裂、人为操作不当、设备缺陷等问题导致易燃易爆气态或液态危险化学品等大量泄漏并遇火引发火灾、爆炸事故进而燃烧过程中产生的伴生/次生污染物对周边大气环境的污染影响。</w:t>
      </w:r>
    </w:p>
    <w:p w14:paraId="4E5BA447">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（2）输送管道、罐区储罐等设施及管道输送系统因腐蚀破裂、人为操作不当、设备缺陷等问题导致有毒有害气体或液体大量泄漏对周边大气环境的污染影响，甚至造成厂区内及周边人员中毒或窒息伤亡。</w:t>
      </w:r>
    </w:p>
    <w:p w14:paraId="4D15C7E2">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（3）项目废水输送管道、罐区等危险物质因沉降、操作不当、设备缺陷、腐蚀等原因造成储罐泄漏对周边地表水、地下水和土壤环境的污染影响。</w:t>
      </w:r>
    </w:p>
    <w:p w14:paraId="794949EA">
      <w:pPr>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eastAsia="zh-CN"/>
        </w:rPr>
        <w:t>（</w:t>
      </w:r>
      <w:r>
        <w:rPr>
          <w:rFonts w:hint="eastAsia" w:ascii="Times New Roman" w:hAnsi="Times New Roman" w:eastAsia="宋体" w:cs="Times New Roman"/>
          <w:color w:val="auto"/>
          <w:kern w:val="0"/>
          <w:sz w:val="24"/>
          <w:highlight w:val="none"/>
          <w:lang w:val="en-US" w:eastAsia="zh-CN"/>
        </w:rPr>
        <w:t>4</w:t>
      </w:r>
      <w:r>
        <w:rPr>
          <w:rFonts w:hint="eastAsia" w:ascii="Times New Roman" w:hAnsi="Times New Roman" w:eastAsia="宋体" w:cs="Times New Roman"/>
          <w:color w:val="auto"/>
          <w:kern w:val="0"/>
          <w:sz w:val="24"/>
          <w:highlight w:val="none"/>
          <w:lang w:eastAsia="zh-CN"/>
        </w:rPr>
        <w:t>）</w:t>
      </w:r>
      <w:r>
        <w:rPr>
          <w:rFonts w:hint="eastAsia" w:ascii="Times New Roman" w:hAnsi="Times New Roman" w:eastAsia="宋体" w:cs="Times New Roman"/>
          <w:color w:val="auto"/>
          <w:kern w:val="0"/>
          <w:sz w:val="24"/>
          <w:highlight w:val="none"/>
          <w:lang w:val="en-US" w:eastAsia="zh-CN"/>
        </w:rPr>
        <w:t>项目原料硫酸铵遇明火或高热分解产生氨和二氧化硫气体，对周围大气环境的影响。</w:t>
      </w:r>
    </w:p>
    <w:p w14:paraId="59FBAAE2">
      <w:pPr>
        <w:adjustRightInd w:val="0"/>
        <w:snapToGrid w:val="0"/>
        <w:spacing w:line="360" w:lineRule="auto"/>
        <w:ind w:firstLine="480" w:firstLineChars="200"/>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事故指事故所造成的危害在所有预测的事故中最严重，并且发生该事故的概率不为“0”。类比国内外相关统计数据，按照事故树分析确定本次评价最大可信事故，具体见表6.</w:t>
      </w:r>
      <w:r>
        <w:rPr>
          <w:rFonts w:hint="eastAsia" w:ascii="Times New Roman" w:hAnsi="Times New Roman" w:eastAsia="宋体" w:cs="Times New Roman"/>
          <w:color w:val="auto"/>
          <w:kern w:val="0"/>
          <w:sz w:val="24"/>
          <w:highlight w:val="none"/>
          <w:lang w:val="en-US" w:eastAsia="zh-CN"/>
        </w:rPr>
        <w:t>3-15</w:t>
      </w:r>
      <w:r>
        <w:rPr>
          <w:rFonts w:hint="eastAsia" w:ascii="Times New Roman" w:hAnsi="Times New Roman" w:eastAsia="宋体" w:cs="Times New Roman"/>
          <w:color w:val="auto"/>
          <w:kern w:val="0"/>
          <w:sz w:val="24"/>
          <w:highlight w:val="none"/>
        </w:rPr>
        <w:t>。</w:t>
      </w:r>
    </w:p>
    <w:p w14:paraId="70D7AE1C">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w:t>
      </w:r>
      <w:r>
        <w:rPr>
          <w:rFonts w:hint="eastAsia" w:ascii="Times New Roman" w:hAnsi="Times New Roman" w:cs="Times New Roman"/>
          <w:snapToGrid w:val="0"/>
          <w:color w:val="auto"/>
          <w:kern w:val="0"/>
          <w:sz w:val="21"/>
          <w:szCs w:val="21"/>
          <w:highlight w:val="none"/>
          <w:lang w:val="en-US" w:eastAsia="zh-CN"/>
        </w:rPr>
        <w:t xml:space="preserve">3-15 </w:t>
      </w:r>
      <w:r>
        <w:rPr>
          <w:rFonts w:hint="eastAsia" w:ascii="Times New Roman" w:hAnsi="Times New Roman" w:cs="Times New Roman"/>
          <w:snapToGrid w:val="0"/>
          <w:color w:val="auto"/>
          <w:kern w:val="0"/>
          <w:sz w:val="21"/>
          <w:szCs w:val="21"/>
          <w:highlight w:val="none"/>
        </w:rPr>
        <w:t>最大可信事故设定一览表</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502"/>
        <w:gridCol w:w="1430"/>
        <w:gridCol w:w="1036"/>
        <w:gridCol w:w="5264"/>
      </w:tblGrid>
      <w:tr w14:paraId="1385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40" w:hRule="exact"/>
          <w:jc w:val="center"/>
        </w:trPr>
        <w:tc>
          <w:tcPr>
            <w:tcW w:w="305" w:type="pct"/>
            <w:tcBorders>
              <w:tl2br w:val="nil"/>
              <w:tr2bl w:val="nil"/>
            </w:tcBorders>
            <w:vAlign w:val="center"/>
          </w:tcPr>
          <w:p w14:paraId="7AC7BBC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序号</w:t>
            </w:r>
          </w:p>
        </w:tc>
        <w:tc>
          <w:tcPr>
            <w:tcW w:w="868" w:type="pct"/>
            <w:tcBorders>
              <w:tl2br w:val="nil"/>
              <w:tr2bl w:val="nil"/>
            </w:tcBorders>
            <w:vAlign w:val="center"/>
          </w:tcPr>
          <w:p w14:paraId="4622E70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装置或设备</w:t>
            </w:r>
          </w:p>
        </w:tc>
        <w:tc>
          <w:tcPr>
            <w:tcW w:w="629" w:type="pct"/>
            <w:tcBorders>
              <w:tl2br w:val="nil"/>
              <w:tr2bl w:val="nil"/>
            </w:tcBorders>
            <w:vAlign w:val="center"/>
          </w:tcPr>
          <w:p w14:paraId="4D0320DB">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危险因子</w:t>
            </w:r>
          </w:p>
        </w:tc>
        <w:tc>
          <w:tcPr>
            <w:tcW w:w="3196" w:type="pct"/>
            <w:tcBorders>
              <w:tl2br w:val="nil"/>
              <w:tr2bl w:val="nil"/>
            </w:tcBorders>
            <w:vAlign w:val="center"/>
          </w:tcPr>
          <w:p w14:paraId="0DBDF6A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最大可信事故</w:t>
            </w:r>
          </w:p>
        </w:tc>
      </w:tr>
      <w:tr w14:paraId="1CF5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40" w:hRule="exact"/>
          <w:jc w:val="center"/>
        </w:trPr>
        <w:tc>
          <w:tcPr>
            <w:tcW w:w="305" w:type="pct"/>
            <w:tcBorders>
              <w:tl2br w:val="nil"/>
              <w:tr2bl w:val="nil"/>
            </w:tcBorders>
            <w:vAlign w:val="center"/>
          </w:tcPr>
          <w:p w14:paraId="17BBB15A">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w:t>
            </w:r>
          </w:p>
        </w:tc>
        <w:tc>
          <w:tcPr>
            <w:tcW w:w="1430" w:type="dxa"/>
            <w:tcBorders>
              <w:tl2br w:val="nil"/>
              <w:tr2bl w:val="nil"/>
            </w:tcBorders>
            <w:vAlign w:val="center"/>
          </w:tcPr>
          <w:p w14:paraId="61D09CE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烷烃储罐</w:t>
            </w:r>
          </w:p>
        </w:tc>
        <w:tc>
          <w:tcPr>
            <w:tcW w:w="1036" w:type="dxa"/>
            <w:tcBorders>
              <w:tl2br w:val="nil"/>
              <w:tr2bl w:val="nil"/>
            </w:tcBorders>
            <w:vAlign w:val="center"/>
          </w:tcPr>
          <w:p w14:paraId="1CB5B2D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rPr>
              <w:t>CO</w:t>
            </w:r>
          </w:p>
        </w:tc>
        <w:tc>
          <w:tcPr>
            <w:tcW w:w="5264" w:type="dxa"/>
            <w:tcBorders>
              <w:tl2br w:val="nil"/>
              <w:tr2bl w:val="nil"/>
            </w:tcBorders>
            <w:vAlign w:val="center"/>
          </w:tcPr>
          <w:p w14:paraId="5475100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遇火发生火灾产生的次生污染</w:t>
            </w:r>
          </w:p>
        </w:tc>
      </w:tr>
      <w:tr w14:paraId="49E6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40" w:hRule="exact"/>
          <w:jc w:val="center"/>
        </w:trPr>
        <w:tc>
          <w:tcPr>
            <w:tcW w:w="305" w:type="pct"/>
            <w:tcBorders>
              <w:tl2br w:val="nil"/>
              <w:tr2bl w:val="nil"/>
            </w:tcBorders>
            <w:vAlign w:val="center"/>
          </w:tcPr>
          <w:p w14:paraId="0A15AF2A">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w:t>
            </w:r>
          </w:p>
        </w:tc>
        <w:tc>
          <w:tcPr>
            <w:tcW w:w="868" w:type="pct"/>
            <w:tcBorders>
              <w:tl2br w:val="nil"/>
              <w:tr2bl w:val="nil"/>
            </w:tcBorders>
            <w:vAlign w:val="center"/>
          </w:tcPr>
          <w:p w14:paraId="04D6CD8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库房</w:t>
            </w:r>
          </w:p>
        </w:tc>
        <w:tc>
          <w:tcPr>
            <w:tcW w:w="629" w:type="pct"/>
            <w:tcBorders>
              <w:tl2br w:val="nil"/>
              <w:tr2bl w:val="nil"/>
            </w:tcBorders>
            <w:vAlign w:val="center"/>
          </w:tcPr>
          <w:p w14:paraId="4C1FE96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NH</w:t>
            </w:r>
            <w:r>
              <w:rPr>
                <w:rFonts w:hint="eastAsia" w:ascii="Times New Roman" w:hAnsi="Times New Roman" w:eastAsia="宋体" w:cs="Times New Roman"/>
                <w:snapToGrid w:val="0"/>
                <w:color w:val="auto"/>
                <w:kern w:val="0"/>
                <w:sz w:val="21"/>
                <w:szCs w:val="21"/>
                <w:highlight w:val="none"/>
                <w:vertAlign w:val="subscript"/>
                <w:lang w:val="en-US" w:eastAsia="zh-CN"/>
              </w:rPr>
              <w:t>3</w:t>
            </w:r>
            <w:r>
              <w:rPr>
                <w:rFonts w:hint="eastAsia" w:ascii="Times New Roman" w:hAnsi="Times New Roman" w:eastAsia="宋体" w:cs="Times New Roman"/>
                <w:snapToGrid w:val="0"/>
                <w:color w:val="auto"/>
                <w:kern w:val="0"/>
                <w:sz w:val="21"/>
                <w:szCs w:val="21"/>
                <w:highlight w:val="none"/>
                <w:lang w:val="en-US" w:eastAsia="zh-CN"/>
              </w:rPr>
              <w:t>、SO</w:t>
            </w:r>
            <w:r>
              <w:rPr>
                <w:rFonts w:hint="eastAsia" w:ascii="Times New Roman" w:hAnsi="Times New Roman" w:eastAsia="宋体" w:cs="Times New Roman"/>
                <w:snapToGrid w:val="0"/>
                <w:color w:val="auto"/>
                <w:kern w:val="0"/>
                <w:sz w:val="21"/>
                <w:szCs w:val="21"/>
                <w:highlight w:val="none"/>
                <w:vertAlign w:val="subscript"/>
                <w:lang w:val="en-US" w:eastAsia="zh-CN"/>
              </w:rPr>
              <w:t>2</w:t>
            </w:r>
          </w:p>
        </w:tc>
        <w:tc>
          <w:tcPr>
            <w:tcW w:w="3196" w:type="pct"/>
            <w:tcBorders>
              <w:tl2br w:val="nil"/>
              <w:tr2bl w:val="nil"/>
            </w:tcBorders>
            <w:vAlign w:val="center"/>
          </w:tcPr>
          <w:p w14:paraId="6EDFDEAB">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en-US" w:eastAsia="zh-CN"/>
              </w:rPr>
              <w:t>原料硫酸铵遇明火或高热分解产生氨和二氧化硫气体</w:t>
            </w:r>
          </w:p>
        </w:tc>
      </w:tr>
    </w:tbl>
    <w:p w14:paraId="504A85D6">
      <w:pPr>
        <w:widowControl w:val="0"/>
        <w:jc w:val="both"/>
        <w:rPr>
          <w:rFonts w:hint="default" w:ascii="Times New Roman" w:hAnsi="Times New Roman" w:eastAsia="宋体" w:cs="Times New Roman"/>
          <w:color w:val="auto"/>
          <w:kern w:val="2"/>
          <w:sz w:val="21"/>
          <w:szCs w:val="21"/>
          <w:highlight w:val="none"/>
          <w:lang w:val="en-US" w:eastAsia="zh-CN" w:bidi="ar-SA"/>
        </w:rPr>
      </w:pPr>
    </w:p>
    <w:p w14:paraId="0FCC6BC3">
      <w:pPr>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rPr>
        <w:t>依据对国内外化工行业生产事故的统计，并参考《建设项目环境风险评价技术导则》（HJ169-2018）和《环境风险评价实用技术和方法》（胡二邦主编）中有关</w:t>
      </w:r>
      <w:r>
        <w:rPr>
          <w:rFonts w:hint="eastAsia" w:ascii="Times New Roman" w:hAnsi="Times New Roman" w:eastAsia="宋体" w:cs="Times New Roman"/>
          <w:color w:val="auto"/>
          <w:kern w:val="0"/>
          <w:sz w:val="24"/>
          <w:highlight w:val="none"/>
          <w:lang w:eastAsia="zh-CN"/>
        </w:rPr>
        <w:t>化工</w:t>
      </w:r>
      <w:r>
        <w:rPr>
          <w:rFonts w:hint="eastAsia" w:ascii="Times New Roman" w:hAnsi="Times New Roman" w:eastAsia="宋体" w:cs="Times New Roman"/>
          <w:color w:val="auto"/>
          <w:kern w:val="0"/>
          <w:sz w:val="24"/>
          <w:highlight w:val="none"/>
        </w:rPr>
        <w:t>行业风险事故概率统计分布情况，结合项目当前的经济技术水平，确定项目最大可信事故发生概率，具体见表</w:t>
      </w:r>
      <w:r>
        <w:rPr>
          <w:rFonts w:hint="eastAsia" w:ascii="Times New Roman" w:hAnsi="Times New Roman" w:eastAsia="宋体" w:cs="Times New Roman"/>
          <w:color w:val="auto"/>
          <w:kern w:val="0"/>
          <w:sz w:val="24"/>
          <w:highlight w:val="none"/>
          <w:lang w:val="en-US" w:eastAsia="zh-CN"/>
        </w:rPr>
        <w:t>6.3-16。</w:t>
      </w:r>
    </w:p>
    <w:p w14:paraId="71F4FD71">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w:t>
      </w:r>
      <w:r>
        <w:rPr>
          <w:rFonts w:hint="eastAsia" w:ascii="Times New Roman" w:hAnsi="Times New Roman" w:cs="Times New Roman"/>
          <w:snapToGrid w:val="0"/>
          <w:color w:val="auto"/>
          <w:kern w:val="0"/>
          <w:sz w:val="21"/>
          <w:szCs w:val="21"/>
          <w:highlight w:val="none"/>
          <w:lang w:val="en-US" w:eastAsia="zh-CN"/>
        </w:rPr>
        <w:t>3-16</w:t>
      </w:r>
      <w:r>
        <w:rPr>
          <w:rFonts w:hint="eastAsia" w:ascii="Times New Roman" w:hAnsi="Times New Roman" w:cs="Times New Roman"/>
          <w:snapToGrid w:val="0"/>
          <w:color w:val="auto"/>
          <w:kern w:val="0"/>
          <w:sz w:val="21"/>
          <w:szCs w:val="21"/>
          <w:highlight w:val="none"/>
        </w:rPr>
        <w:t xml:space="preserve"> 项目泄漏事故频率一览表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2167"/>
        <w:gridCol w:w="4438"/>
        <w:gridCol w:w="1627"/>
      </w:tblGrid>
      <w:tr w14:paraId="1565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40" w:hRule="exact"/>
          <w:jc w:val="center"/>
        </w:trPr>
        <w:tc>
          <w:tcPr>
            <w:tcW w:w="2167" w:type="dxa"/>
            <w:tcBorders>
              <w:tl2br w:val="nil"/>
              <w:tr2bl w:val="nil"/>
            </w:tcBorders>
            <w:noWrap/>
            <w:vAlign w:val="center"/>
          </w:tcPr>
          <w:p w14:paraId="40C195BB">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部件类型</w:t>
            </w:r>
          </w:p>
        </w:tc>
        <w:tc>
          <w:tcPr>
            <w:tcW w:w="4438" w:type="dxa"/>
            <w:tcBorders>
              <w:tl2br w:val="nil"/>
              <w:tr2bl w:val="nil"/>
            </w:tcBorders>
            <w:vAlign w:val="center"/>
          </w:tcPr>
          <w:p w14:paraId="4D6785CA">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泄漏模式</w:t>
            </w:r>
          </w:p>
        </w:tc>
        <w:tc>
          <w:tcPr>
            <w:tcW w:w="1627" w:type="dxa"/>
            <w:tcBorders>
              <w:tl2br w:val="nil"/>
              <w:tr2bl w:val="nil"/>
            </w:tcBorders>
            <w:noWrap/>
            <w:vAlign w:val="center"/>
          </w:tcPr>
          <w:p w14:paraId="74D63A0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泄漏频率</w:t>
            </w:r>
          </w:p>
        </w:tc>
      </w:tr>
      <w:tr w14:paraId="6013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920" w:hRule="exact"/>
          <w:jc w:val="center"/>
        </w:trPr>
        <w:tc>
          <w:tcPr>
            <w:tcW w:w="2167" w:type="dxa"/>
            <w:tcBorders>
              <w:tl2br w:val="nil"/>
              <w:tr2bl w:val="nil"/>
            </w:tcBorders>
            <w:noWrap/>
            <w:vAlign w:val="center"/>
          </w:tcPr>
          <w:p w14:paraId="3507EEF0">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反应器/工艺储罐/气体储罐/塔器</w:t>
            </w:r>
          </w:p>
        </w:tc>
        <w:tc>
          <w:tcPr>
            <w:tcW w:w="4438" w:type="dxa"/>
            <w:tcBorders>
              <w:tl2br w:val="nil"/>
              <w:tr2bl w:val="nil"/>
            </w:tcBorders>
            <w:vAlign w:val="center"/>
          </w:tcPr>
          <w:p w14:paraId="1A538C9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泄漏孔径为10mm孔径</w:t>
            </w:r>
          </w:p>
          <w:p w14:paraId="3C94FE7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10min内储罐泄漏完</w:t>
            </w:r>
          </w:p>
          <w:p w14:paraId="303D813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储罐全破裂</w:t>
            </w:r>
          </w:p>
        </w:tc>
        <w:tc>
          <w:tcPr>
            <w:tcW w:w="1627" w:type="dxa"/>
            <w:tcBorders>
              <w:tl2br w:val="nil"/>
              <w:tr2bl w:val="nil"/>
            </w:tcBorders>
            <w:noWrap/>
            <w:vAlign w:val="center"/>
          </w:tcPr>
          <w:p w14:paraId="585C8879">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-4</w:t>
            </w:r>
            <w:r>
              <w:rPr>
                <w:rFonts w:ascii="Times New Roman" w:hAnsi="Times New Roman" w:eastAsia="宋体" w:cs="Times New Roman"/>
                <w:snapToGrid w:val="0"/>
                <w:color w:val="auto"/>
                <w:kern w:val="0"/>
                <w:sz w:val="21"/>
                <w:szCs w:val="21"/>
                <w:highlight w:val="none"/>
              </w:rPr>
              <w:t>/a</w:t>
            </w:r>
          </w:p>
          <w:p w14:paraId="33357C4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/a</w:t>
            </w:r>
          </w:p>
          <w:p w14:paraId="0ECB3D67">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/a</w:t>
            </w:r>
          </w:p>
        </w:tc>
      </w:tr>
      <w:tr w14:paraId="2420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815" w:hRule="exact"/>
          <w:jc w:val="center"/>
        </w:trPr>
        <w:tc>
          <w:tcPr>
            <w:tcW w:w="2167" w:type="dxa"/>
            <w:tcBorders>
              <w:tl2br w:val="nil"/>
              <w:tr2bl w:val="nil"/>
            </w:tcBorders>
            <w:noWrap/>
            <w:vAlign w:val="center"/>
          </w:tcPr>
          <w:p w14:paraId="4A525FD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常压单包容储罐</w:t>
            </w:r>
          </w:p>
        </w:tc>
        <w:tc>
          <w:tcPr>
            <w:tcW w:w="4438" w:type="dxa"/>
            <w:tcBorders>
              <w:tl2br w:val="nil"/>
              <w:tr2bl w:val="nil"/>
            </w:tcBorders>
            <w:vAlign w:val="center"/>
          </w:tcPr>
          <w:p w14:paraId="67A88B0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泄漏孔径为10mm孔径</w:t>
            </w:r>
          </w:p>
          <w:p w14:paraId="6F86FF0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10min内储罐泄漏完</w:t>
            </w:r>
          </w:p>
          <w:p w14:paraId="2661DA9B">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储罐全破裂</w:t>
            </w:r>
          </w:p>
        </w:tc>
        <w:tc>
          <w:tcPr>
            <w:tcW w:w="1627" w:type="dxa"/>
            <w:tcBorders>
              <w:tl2br w:val="nil"/>
              <w:tr2bl w:val="nil"/>
            </w:tcBorders>
            <w:noWrap/>
            <w:vAlign w:val="center"/>
          </w:tcPr>
          <w:p w14:paraId="1D2CDA3C">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-4</w:t>
            </w:r>
            <w:r>
              <w:rPr>
                <w:rFonts w:ascii="Times New Roman" w:hAnsi="Times New Roman" w:eastAsia="宋体" w:cs="Times New Roman"/>
                <w:snapToGrid w:val="0"/>
                <w:color w:val="auto"/>
                <w:kern w:val="0"/>
                <w:sz w:val="21"/>
                <w:szCs w:val="21"/>
                <w:highlight w:val="none"/>
              </w:rPr>
              <w:t>/a</w:t>
            </w:r>
          </w:p>
          <w:p w14:paraId="0976DB73">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/a</w:t>
            </w:r>
          </w:p>
          <w:p w14:paraId="4D624B1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/a</w:t>
            </w:r>
          </w:p>
        </w:tc>
      </w:tr>
      <w:tr w14:paraId="4958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855" w:hRule="exact"/>
          <w:jc w:val="center"/>
        </w:trPr>
        <w:tc>
          <w:tcPr>
            <w:tcW w:w="2167" w:type="dxa"/>
            <w:tcBorders>
              <w:tl2br w:val="nil"/>
              <w:tr2bl w:val="nil"/>
            </w:tcBorders>
            <w:noWrap/>
            <w:vAlign w:val="center"/>
          </w:tcPr>
          <w:p w14:paraId="62CEF91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常压双包容储罐</w:t>
            </w:r>
          </w:p>
        </w:tc>
        <w:tc>
          <w:tcPr>
            <w:tcW w:w="4438" w:type="dxa"/>
            <w:tcBorders>
              <w:tl2br w:val="nil"/>
              <w:tr2bl w:val="nil"/>
            </w:tcBorders>
            <w:vAlign w:val="center"/>
          </w:tcPr>
          <w:p w14:paraId="4E939D5D">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泄漏孔径为10mm孔径</w:t>
            </w:r>
          </w:p>
          <w:p w14:paraId="3AB6463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10min内储罐泄漏完</w:t>
            </w:r>
          </w:p>
          <w:p w14:paraId="79809871">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储罐全破裂</w:t>
            </w:r>
          </w:p>
        </w:tc>
        <w:tc>
          <w:tcPr>
            <w:tcW w:w="1627" w:type="dxa"/>
            <w:tcBorders>
              <w:tl2br w:val="nil"/>
              <w:tr2bl w:val="nil"/>
            </w:tcBorders>
            <w:noWrap/>
            <w:vAlign w:val="center"/>
          </w:tcPr>
          <w:p w14:paraId="77E2DAE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-4</w:t>
            </w:r>
            <w:r>
              <w:rPr>
                <w:rFonts w:ascii="Times New Roman" w:hAnsi="Times New Roman" w:eastAsia="宋体" w:cs="Times New Roman"/>
                <w:snapToGrid w:val="0"/>
                <w:color w:val="auto"/>
                <w:kern w:val="0"/>
                <w:sz w:val="21"/>
                <w:szCs w:val="21"/>
                <w:highlight w:val="none"/>
              </w:rPr>
              <w:t>/a</w:t>
            </w:r>
          </w:p>
          <w:p w14:paraId="54778BFB">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2.5×10</w:t>
            </w:r>
            <w:r>
              <w:rPr>
                <w:rFonts w:ascii="Times New Roman" w:hAnsi="Times New Roman" w:eastAsia="宋体" w:cs="Times New Roman"/>
                <w:snapToGrid w:val="0"/>
                <w:color w:val="auto"/>
                <w:kern w:val="0"/>
                <w:sz w:val="21"/>
                <w:szCs w:val="21"/>
                <w:highlight w:val="none"/>
                <w:vertAlign w:val="superscript"/>
              </w:rPr>
              <w:t>-8</w:t>
            </w:r>
            <w:r>
              <w:rPr>
                <w:rFonts w:ascii="Times New Roman" w:hAnsi="Times New Roman" w:eastAsia="宋体" w:cs="Times New Roman"/>
                <w:snapToGrid w:val="0"/>
                <w:color w:val="auto"/>
                <w:kern w:val="0"/>
                <w:sz w:val="21"/>
                <w:szCs w:val="21"/>
                <w:highlight w:val="none"/>
              </w:rPr>
              <w:t>/a</w:t>
            </w:r>
          </w:p>
          <w:p w14:paraId="3317809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2.5×10</w:t>
            </w:r>
            <w:r>
              <w:rPr>
                <w:rFonts w:ascii="Times New Roman" w:hAnsi="Times New Roman" w:eastAsia="宋体" w:cs="Times New Roman"/>
                <w:snapToGrid w:val="0"/>
                <w:color w:val="auto"/>
                <w:kern w:val="0"/>
                <w:sz w:val="21"/>
                <w:szCs w:val="21"/>
                <w:highlight w:val="none"/>
                <w:vertAlign w:val="superscript"/>
              </w:rPr>
              <w:t>-8</w:t>
            </w:r>
            <w:r>
              <w:rPr>
                <w:rFonts w:ascii="Times New Roman" w:hAnsi="Times New Roman" w:eastAsia="宋体" w:cs="Times New Roman"/>
                <w:snapToGrid w:val="0"/>
                <w:color w:val="auto"/>
                <w:kern w:val="0"/>
                <w:sz w:val="21"/>
                <w:szCs w:val="21"/>
                <w:highlight w:val="none"/>
              </w:rPr>
              <w:t>/a</w:t>
            </w:r>
          </w:p>
        </w:tc>
      </w:tr>
      <w:tr w14:paraId="0FEF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40" w:hRule="exact"/>
          <w:jc w:val="center"/>
        </w:trPr>
        <w:tc>
          <w:tcPr>
            <w:tcW w:w="2167" w:type="dxa"/>
            <w:tcBorders>
              <w:tl2br w:val="nil"/>
              <w:tr2bl w:val="nil"/>
            </w:tcBorders>
            <w:noWrap/>
            <w:vAlign w:val="center"/>
          </w:tcPr>
          <w:p w14:paraId="230538C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常压全包容储罐</w:t>
            </w:r>
          </w:p>
        </w:tc>
        <w:tc>
          <w:tcPr>
            <w:tcW w:w="4438" w:type="dxa"/>
            <w:tcBorders>
              <w:tl2br w:val="nil"/>
              <w:tr2bl w:val="nil"/>
            </w:tcBorders>
            <w:vAlign w:val="center"/>
          </w:tcPr>
          <w:p w14:paraId="4422655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储罐全破裂</w:t>
            </w:r>
          </w:p>
        </w:tc>
        <w:tc>
          <w:tcPr>
            <w:tcW w:w="1627" w:type="dxa"/>
            <w:tcBorders>
              <w:tl2br w:val="nil"/>
              <w:tr2bl w:val="nil"/>
            </w:tcBorders>
            <w:noWrap/>
            <w:vAlign w:val="center"/>
          </w:tcPr>
          <w:p w14:paraId="7A44E56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-8</w:t>
            </w:r>
            <w:r>
              <w:rPr>
                <w:rFonts w:ascii="Times New Roman" w:hAnsi="Times New Roman" w:eastAsia="宋体" w:cs="Times New Roman"/>
                <w:snapToGrid w:val="0"/>
                <w:color w:val="auto"/>
                <w:kern w:val="0"/>
                <w:sz w:val="21"/>
                <w:szCs w:val="21"/>
                <w:highlight w:val="none"/>
              </w:rPr>
              <w:t>/a</w:t>
            </w:r>
          </w:p>
        </w:tc>
      </w:tr>
      <w:tr w14:paraId="4006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740" w:hRule="exact"/>
          <w:jc w:val="center"/>
        </w:trPr>
        <w:tc>
          <w:tcPr>
            <w:tcW w:w="2167" w:type="dxa"/>
            <w:tcBorders>
              <w:tl2br w:val="nil"/>
              <w:tr2bl w:val="nil"/>
            </w:tcBorders>
            <w:noWrap/>
            <w:vAlign w:val="center"/>
          </w:tcPr>
          <w:p w14:paraId="7DBA370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内径≤75mm的管道</w:t>
            </w:r>
          </w:p>
        </w:tc>
        <w:tc>
          <w:tcPr>
            <w:tcW w:w="4438" w:type="dxa"/>
            <w:tcBorders>
              <w:tl2br w:val="nil"/>
              <w:tr2bl w:val="nil"/>
            </w:tcBorders>
            <w:vAlign w:val="center"/>
          </w:tcPr>
          <w:p w14:paraId="2466C3C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泄漏孔径为10%孔径</w:t>
            </w:r>
          </w:p>
          <w:p w14:paraId="2D8DA2D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全管径泄漏</w:t>
            </w:r>
          </w:p>
        </w:tc>
        <w:tc>
          <w:tcPr>
            <w:tcW w:w="1627" w:type="dxa"/>
            <w:tcBorders>
              <w:tl2br w:val="nil"/>
              <w:tr2bl w:val="nil"/>
            </w:tcBorders>
            <w:noWrap/>
            <w:vAlign w:val="center"/>
          </w:tcPr>
          <w:p w14:paraId="43E511FD">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/（m·a）</w:t>
            </w:r>
          </w:p>
          <w:p w14:paraId="763735B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/（m·a）</w:t>
            </w:r>
          </w:p>
        </w:tc>
      </w:tr>
      <w:tr w14:paraId="2A65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605" w:hRule="exact"/>
          <w:jc w:val="center"/>
        </w:trPr>
        <w:tc>
          <w:tcPr>
            <w:tcW w:w="2167" w:type="dxa"/>
            <w:tcBorders>
              <w:tl2br w:val="nil"/>
              <w:tr2bl w:val="nil"/>
            </w:tcBorders>
            <w:noWrap/>
            <w:vAlign w:val="center"/>
          </w:tcPr>
          <w:p w14:paraId="175A5A8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75mm＜内径≤150mm的管道</w:t>
            </w:r>
          </w:p>
        </w:tc>
        <w:tc>
          <w:tcPr>
            <w:tcW w:w="4438" w:type="dxa"/>
            <w:tcBorders>
              <w:tl2br w:val="nil"/>
              <w:tr2bl w:val="nil"/>
            </w:tcBorders>
            <w:vAlign w:val="center"/>
          </w:tcPr>
          <w:p w14:paraId="38227091">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泄漏孔径为10%孔径</w:t>
            </w:r>
          </w:p>
          <w:p w14:paraId="1D9E1142">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全管径泄漏</w:t>
            </w:r>
          </w:p>
        </w:tc>
        <w:tc>
          <w:tcPr>
            <w:tcW w:w="1627" w:type="dxa"/>
            <w:tcBorders>
              <w:tl2br w:val="nil"/>
              <w:tr2bl w:val="nil"/>
            </w:tcBorders>
            <w:noWrap/>
            <w:vAlign w:val="center"/>
          </w:tcPr>
          <w:p w14:paraId="5E439A7D">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/（m·a）</w:t>
            </w:r>
          </w:p>
          <w:p w14:paraId="747A87A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3.0×10</w:t>
            </w:r>
            <w:r>
              <w:rPr>
                <w:rFonts w:ascii="Times New Roman" w:hAnsi="Times New Roman" w:eastAsia="宋体" w:cs="Times New Roman"/>
                <w:snapToGrid w:val="0"/>
                <w:color w:val="auto"/>
                <w:kern w:val="0"/>
                <w:sz w:val="21"/>
                <w:szCs w:val="21"/>
                <w:highlight w:val="none"/>
                <w:vertAlign w:val="superscript"/>
              </w:rPr>
              <w:t>-7</w:t>
            </w:r>
            <w:r>
              <w:rPr>
                <w:rFonts w:ascii="Times New Roman" w:hAnsi="Times New Roman" w:eastAsia="宋体" w:cs="Times New Roman"/>
                <w:snapToGrid w:val="0"/>
                <w:color w:val="auto"/>
                <w:kern w:val="0"/>
                <w:sz w:val="21"/>
                <w:szCs w:val="21"/>
                <w:highlight w:val="none"/>
              </w:rPr>
              <w:t>/（m·a）</w:t>
            </w:r>
          </w:p>
        </w:tc>
      </w:tr>
      <w:tr w14:paraId="1ED1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75" w:hRule="exact"/>
          <w:jc w:val="center"/>
        </w:trPr>
        <w:tc>
          <w:tcPr>
            <w:tcW w:w="2167" w:type="dxa"/>
            <w:tcBorders>
              <w:tl2br w:val="nil"/>
              <w:tr2bl w:val="nil"/>
            </w:tcBorders>
            <w:noWrap/>
            <w:vAlign w:val="center"/>
          </w:tcPr>
          <w:p w14:paraId="347469D1">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内径＞150mm的管道</w:t>
            </w:r>
          </w:p>
        </w:tc>
        <w:tc>
          <w:tcPr>
            <w:tcW w:w="4438" w:type="dxa"/>
            <w:tcBorders>
              <w:tl2br w:val="nil"/>
              <w:tr2bl w:val="nil"/>
            </w:tcBorders>
            <w:vAlign w:val="center"/>
          </w:tcPr>
          <w:p w14:paraId="35AC39F9">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泄漏孔径为10%孔径（最大50mm）</w:t>
            </w:r>
          </w:p>
          <w:p w14:paraId="0C36464C">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全管径泄漏</w:t>
            </w:r>
          </w:p>
        </w:tc>
        <w:tc>
          <w:tcPr>
            <w:tcW w:w="1627" w:type="dxa"/>
            <w:tcBorders>
              <w:tl2br w:val="nil"/>
              <w:tr2bl w:val="nil"/>
            </w:tcBorders>
            <w:noWrap/>
            <w:vAlign w:val="center"/>
          </w:tcPr>
          <w:p w14:paraId="0919ED02">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2.40×10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/（m·a）</w:t>
            </w:r>
          </w:p>
          <w:p w14:paraId="74B559C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-7</w:t>
            </w:r>
            <w:r>
              <w:rPr>
                <w:rFonts w:ascii="Times New Roman" w:hAnsi="Times New Roman" w:eastAsia="宋体" w:cs="Times New Roman"/>
                <w:snapToGrid w:val="0"/>
                <w:color w:val="auto"/>
                <w:kern w:val="0"/>
                <w:sz w:val="21"/>
                <w:szCs w:val="21"/>
                <w:highlight w:val="none"/>
              </w:rPr>
              <w:t>/（m·a）</w:t>
            </w:r>
          </w:p>
        </w:tc>
      </w:tr>
      <w:tr w14:paraId="5C01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945" w:hRule="exact"/>
          <w:jc w:val="center"/>
        </w:trPr>
        <w:tc>
          <w:tcPr>
            <w:tcW w:w="2167" w:type="dxa"/>
            <w:tcBorders>
              <w:tl2br w:val="nil"/>
              <w:tr2bl w:val="nil"/>
            </w:tcBorders>
            <w:noWrap/>
            <w:vAlign w:val="center"/>
          </w:tcPr>
          <w:p w14:paraId="676D4D1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泵体和压缩机</w:t>
            </w:r>
          </w:p>
        </w:tc>
        <w:tc>
          <w:tcPr>
            <w:tcW w:w="4438" w:type="dxa"/>
            <w:tcBorders>
              <w:tl2br w:val="nil"/>
              <w:tr2bl w:val="nil"/>
            </w:tcBorders>
            <w:vAlign w:val="center"/>
          </w:tcPr>
          <w:p w14:paraId="7656B00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泵体和压缩机最大连接管泄漏孔径为10%孔径（最大50mm）</w:t>
            </w:r>
          </w:p>
          <w:p w14:paraId="70F44439">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泵体和压缩机最大连接管全管径泄漏</w:t>
            </w:r>
          </w:p>
        </w:tc>
        <w:tc>
          <w:tcPr>
            <w:tcW w:w="1627" w:type="dxa"/>
            <w:tcBorders>
              <w:tl2br w:val="nil"/>
              <w:tr2bl w:val="nil"/>
            </w:tcBorders>
            <w:noWrap/>
            <w:vAlign w:val="center"/>
          </w:tcPr>
          <w:p w14:paraId="4DA4C9CF">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-4</w:t>
            </w:r>
            <w:r>
              <w:rPr>
                <w:rFonts w:ascii="Times New Roman" w:hAnsi="Times New Roman" w:eastAsia="宋体" w:cs="Times New Roman"/>
                <w:snapToGrid w:val="0"/>
                <w:color w:val="auto"/>
                <w:kern w:val="0"/>
                <w:sz w:val="21"/>
                <w:szCs w:val="21"/>
                <w:highlight w:val="none"/>
              </w:rPr>
              <w:t>/a</w:t>
            </w:r>
          </w:p>
          <w:p w14:paraId="6892AE77">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1.00×10</w:t>
            </w:r>
            <w:r>
              <w:rPr>
                <w:rFonts w:ascii="Times New Roman" w:hAnsi="Times New Roman" w:eastAsia="宋体" w:cs="Times New Roman"/>
                <w:snapToGrid w:val="0"/>
                <w:color w:val="auto"/>
                <w:kern w:val="0"/>
                <w:sz w:val="21"/>
                <w:szCs w:val="21"/>
                <w:highlight w:val="none"/>
                <w:vertAlign w:val="superscript"/>
              </w:rPr>
              <w:t>-4</w:t>
            </w:r>
            <w:r>
              <w:rPr>
                <w:rFonts w:ascii="Times New Roman" w:hAnsi="Times New Roman" w:eastAsia="宋体" w:cs="Times New Roman"/>
                <w:snapToGrid w:val="0"/>
                <w:color w:val="auto"/>
                <w:kern w:val="0"/>
                <w:sz w:val="21"/>
                <w:szCs w:val="21"/>
                <w:highlight w:val="none"/>
              </w:rPr>
              <w:t>/a</w:t>
            </w:r>
          </w:p>
        </w:tc>
      </w:tr>
      <w:tr w14:paraId="1C59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700" w:hRule="exact"/>
          <w:jc w:val="center"/>
        </w:trPr>
        <w:tc>
          <w:tcPr>
            <w:tcW w:w="2167" w:type="dxa"/>
            <w:tcBorders>
              <w:tl2br w:val="nil"/>
              <w:tr2bl w:val="nil"/>
            </w:tcBorders>
            <w:noWrap/>
            <w:vAlign w:val="center"/>
          </w:tcPr>
          <w:p w14:paraId="65512EA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装卸臂</w:t>
            </w:r>
          </w:p>
        </w:tc>
        <w:tc>
          <w:tcPr>
            <w:tcW w:w="4438" w:type="dxa"/>
            <w:tcBorders>
              <w:tl2br w:val="nil"/>
              <w:tr2bl w:val="nil"/>
            </w:tcBorders>
            <w:vAlign w:val="center"/>
          </w:tcPr>
          <w:p w14:paraId="4899DEA0">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装卸臂连接管泄漏孔径为10%孔径（最大50mm）</w:t>
            </w:r>
          </w:p>
          <w:p w14:paraId="7A12EB9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装卸臂全管径泄漏</w:t>
            </w:r>
          </w:p>
        </w:tc>
        <w:tc>
          <w:tcPr>
            <w:tcW w:w="1627" w:type="dxa"/>
            <w:tcBorders>
              <w:tl2br w:val="nil"/>
              <w:tr2bl w:val="nil"/>
            </w:tcBorders>
            <w:noWrap/>
            <w:vAlign w:val="center"/>
          </w:tcPr>
          <w:p w14:paraId="05AA0CE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3.00×10</w:t>
            </w:r>
            <w:r>
              <w:rPr>
                <w:rFonts w:ascii="Times New Roman" w:hAnsi="Times New Roman" w:eastAsia="宋体" w:cs="Times New Roman"/>
                <w:snapToGrid w:val="0"/>
                <w:color w:val="auto"/>
                <w:kern w:val="0"/>
                <w:sz w:val="21"/>
                <w:szCs w:val="21"/>
                <w:highlight w:val="none"/>
                <w:vertAlign w:val="superscript"/>
              </w:rPr>
              <w:t>-7</w:t>
            </w:r>
            <w:r>
              <w:rPr>
                <w:rFonts w:ascii="Times New Roman" w:hAnsi="Times New Roman" w:eastAsia="宋体" w:cs="Times New Roman"/>
                <w:snapToGrid w:val="0"/>
                <w:color w:val="auto"/>
                <w:kern w:val="0"/>
                <w:sz w:val="21"/>
                <w:szCs w:val="21"/>
                <w:highlight w:val="none"/>
              </w:rPr>
              <w:t>/a</w:t>
            </w:r>
          </w:p>
          <w:p w14:paraId="41FE51BB">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3.00×10</w:t>
            </w:r>
            <w:r>
              <w:rPr>
                <w:rFonts w:ascii="Times New Roman" w:hAnsi="Times New Roman" w:eastAsia="宋体" w:cs="Times New Roman"/>
                <w:snapToGrid w:val="0"/>
                <w:color w:val="auto"/>
                <w:kern w:val="0"/>
                <w:sz w:val="21"/>
                <w:szCs w:val="21"/>
                <w:highlight w:val="none"/>
                <w:vertAlign w:val="superscript"/>
              </w:rPr>
              <w:t>-8</w:t>
            </w:r>
            <w:r>
              <w:rPr>
                <w:rFonts w:ascii="Times New Roman" w:hAnsi="Times New Roman" w:eastAsia="宋体" w:cs="Times New Roman"/>
                <w:snapToGrid w:val="0"/>
                <w:color w:val="auto"/>
                <w:kern w:val="0"/>
                <w:sz w:val="21"/>
                <w:szCs w:val="21"/>
                <w:highlight w:val="none"/>
              </w:rPr>
              <w:t>/a</w:t>
            </w:r>
          </w:p>
        </w:tc>
      </w:tr>
      <w:tr w14:paraId="4682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850" w:hRule="exact"/>
          <w:jc w:val="center"/>
        </w:trPr>
        <w:tc>
          <w:tcPr>
            <w:tcW w:w="2167" w:type="dxa"/>
            <w:tcBorders>
              <w:tl2br w:val="nil"/>
              <w:tr2bl w:val="nil"/>
            </w:tcBorders>
            <w:noWrap/>
            <w:vAlign w:val="center"/>
          </w:tcPr>
          <w:p w14:paraId="370AB7C1">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装卸软管</w:t>
            </w:r>
          </w:p>
        </w:tc>
        <w:tc>
          <w:tcPr>
            <w:tcW w:w="4438" w:type="dxa"/>
            <w:tcBorders>
              <w:tl2br w:val="nil"/>
              <w:tr2bl w:val="nil"/>
            </w:tcBorders>
            <w:vAlign w:val="center"/>
          </w:tcPr>
          <w:p w14:paraId="0306257E">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装卸软管连接管泄漏孔径为10%孔径（最大50mm）</w:t>
            </w:r>
          </w:p>
          <w:p w14:paraId="391B46B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装卸软管全管径泄漏</w:t>
            </w:r>
          </w:p>
        </w:tc>
        <w:tc>
          <w:tcPr>
            <w:tcW w:w="1627" w:type="dxa"/>
            <w:tcBorders>
              <w:tl2br w:val="nil"/>
              <w:tr2bl w:val="nil"/>
            </w:tcBorders>
            <w:noWrap/>
            <w:vAlign w:val="center"/>
          </w:tcPr>
          <w:p w14:paraId="0800FC70">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4.00×10</w:t>
            </w:r>
            <w:r>
              <w:rPr>
                <w:rFonts w:ascii="Times New Roman" w:hAnsi="Times New Roman" w:eastAsia="宋体" w:cs="Times New Roman"/>
                <w:snapToGrid w:val="0"/>
                <w:color w:val="auto"/>
                <w:kern w:val="0"/>
                <w:sz w:val="21"/>
                <w:szCs w:val="21"/>
                <w:highlight w:val="none"/>
                <w:vertAlign w:val="superscript"/>
              </w:rPr>
              <w:t>-5</w:t>
            </w:r>
            <w:r>
              <w:rPr>
                <w:rFonts w:ascii="Times New Roman" w:hAnsi="Times New Roman" w:eastAsia="宋体" w:cs="Times New Roman"/>
                <w:snapToGrid w:val="0"/>
                <w:color w:val="auto"/>
                <w:kern w:val="0"/>
                <w:sz w:val="21"/>
                <w:szCs w:val="21"/>
                <w:highlight w:val="none"/>
              </w:rPr>
              <w:t>/a</w:t>
            </w:r>
          </w:p>
          <w:p w14:paraId="29838066">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5.00×10</w:t>
            </w:r>
            <w:r>
              <w:rPr>
                <w:rFonts w:ascii="Times New Roman" w:hAnsi="Times New Roman" w:eastAsia="宋体" w:cs="Times New Roman"/>
                <w:snapToGrid w:val="0"/>
                <w:color w:val="auto"/>
                <w:kern w:val="0"/>
                <w:sz w:val="21"/>
                <w:szCs w:val="21"/>
                <w:highlight w:val="none"/>
                <w:vertAlign w:val="superscript"/>
              </w:rPr>
              <w:t>-6</w:t>
            </w:r>
            <w:r>
              <w:rPr>
                <w:rFonts w:ascii="Times New Roman" w:hAnsi="Times New Roman" w:eastAsia="宋体" w:cs="Times New Roman"/>
                <w:snapToGrid w:val="0"/>
                <w:color w:val="auto"/>
                <w:kern w:val="0"/>
                <w:sz w:val="21"/>
                <w:szCs w:val="21"/>
                <w:highlight w:val="none"/>
              </w:rPr>
              <w:t>/a</w:t>
            </w:r>
          </w:p>
        </w:tc>
      </w:tr>
    </w:tbl>
    <w:p w14:paraId="2A3B79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napToGrid w:val="0"/>
          <w:color w:val="auto"/>
          <w:kern w:val="0"/>
          <w:sz w:val="24"/>
          <w:szCs w:val="24"/>
          <w:highlight w:val="none"/>
        </w:rPr>
      </w:pPr>
      <w:r>
        <w:rPr>
          <w:rFonts w:ascii="Times New Roman" w:hAnsi="Times New Roman" w:cs="Times New Roman"/>
          <w:snapToGrid w:val="0"/>
          <w:color w:val="auto"/>
          <w:kern w:val="0"/>
          <w:sz w:val="24"/>
          <w:szCs w:val="24"/>
          <w:highlight w:val="none"/>
        </w:rPr>
        <w:t>一般情况下，发生频率小于10</w:t>
      </w:r>
      <w:r>
        <w:rPr>
          <w:rFonts w:ascii="Times New Roman" w:hAnsi="Times New Roman" w:cs="Times New Roman"/>
          <w:snapToGrid w:val="0"/>
          <w:color w:val="auto"/>
          <w:kern w:val="0"/>
          <w:sz w:val="24"/>
          <w:szCs w:val="24"/>
          <w:highlight w:val="none"/>
          <w:vertAlign w:val="superscript"/>
        </w:rPr>
        <w:t>-6</w:t>
      </w:r>
      <w:r>
        <w:rPr>
          <w:rFonts w:ascii="Times New Roman" w:hAnsi="Times New Roman" w:cs="Times New Roman"/>
          <w:snapToGrid w:val="0"/>
          <w:color w:val="auto"/>
          <w:kern w:val="0"/>
          <w:sz w:val="24"/>
          <w:szCs w:val="24"/>
          <w:highlight w:val="none"/>
        </w:rPr>
        <w:t>/年的事件是极小概率事件，可作为代表性事故中的最大可信事故设定的参考。根据上表可知，本项目最大可信事故情形设定原则如下：</w:t>
      </w:r>
    </w:p>
    <w:p w14:paraId="7B6B3B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napToGrid w:val="0"/>
          <w:color w:val="auto"/>
          <w:kern w:val="0"/>
          <w:sz w:val="24"/>
          <w:szCs w:val="24"/>
          <w:highlight w:val="none"/>
        </w:rPr>
      </w:pPr>
      <w:r>
        <w:rPr>
          <w:rFonts w:ascii="Times New Roman" w:hAnsi="Times New Roman" w:cs="Times New Roman"/>
          <w:snapToGrid w:val="0"/>
          <w:color w:val="auto"/>
          <w:kern w:val="0"/>
          <w:sz w:val="24"/>
          <w:szCs w:val="24"/>
          <w:highlight w:val="none"/>
        </w:rPr>
        <w:t>（</w:t>
      </w:r>
      <w:r>
        <w:rPr>
          <w:rFonts w:hint="eastAsia" w:ascii="Times New Roman" w:hAnsi="Times New Roman" w:cs="Times New Roman"/>
          <w:snapToGrid w:val="0"/>
          <w:color w:val="auto"/>
          <w:kern w:val="0"/>
          <w:sz w:val="24"/>
          <w:szCs w:val="24"/>
          <w:highlight w:val="none"/>
        </w:rPr>
        <w:t>1</w:t>
      </w:r>
      <w:r>
        <w:rPr>
          <w:rFonts w:ascii="Times New Roman" w:hAnsi="Times New Roman" w:cs="Times New Roman"/>
          <w:snapToGrid w:val="0"/>
          <w:color w:val="auto"/>
          <w:kern w:val="0"/>
          <w:sz w:val="24"/>
          <w:szCs w:val="24"/>
          <w:highlight w:val="none"/>
        </w:rPr>
        <w:t>）内径≤75mm的管道发生全管径泄漏</w:t>
      </w:r>
      <w:r>
        <w:rPr>
          <w:rFonts w:hint="eastAsia" w:ascii="Times New Roman" w:hAnsi="Times New Roman" w:cs="Times New Roman"/>
          <w:snapToGrid w:val="0"/>
          <w:color w:val="auto"/>
          <w:kern w:val="0"/>
          <w:sz w:val="24"/>
          <w:szCs w:val="24"/>
          <w:highlight w:val="none"/>
        </w:rPr>
        <w:t>频率为</w:t>
      </w:r>
      <w:r>
        <w:rPr>
          <w:rFonts w:ascii="Times New Roman" w:hAnsi="Times New Roman" w:cs="Times New Roman"/>
          <w:snapToGrid w:val="0"/>
          <w:color w:val="auto"/>
          <w:kern w:val="0"/>
          <w:sz w:val="24"/>
          <w:szCs w:val="24"/>
          <w:highlight w:val="none"/>
        </w:rPr>
        <w:t>1.00×10</w:t>
      </w:r>
      <w:r>
        <w:rPr>
          <w:rFonts w:ascii="Times New Roman" w:hAnsi="Times New Roman" w:cs="Times New Roman"/>
          <w:snapToGrid w:val="0"/>
          <w:color w:val="auto"/>
          <w:kern w:val="0"/>
          <w:sz w:val="24"/>
          <w:szCs w:val="24"/>
          <w:highlight w:val="none"/>
          <w:vertAlign w:val="superscript"/>
        </w:rPr>
        <w:t>-6</w:t>
      </w:r>
      <w:r>
        <w:rPr>
          <w:rFonts w:ascii="Times New Roman" w:hAnsi="Times New Roman" w:cs="Times New Roman"/>
          <w:snapToGrid w:val="0"/>
          <w:color w:val="auto"/>
          <w:kern w:val="0"/>
          <w:sz w:val="24"/>
          <w:szCs w:val="24"/>
          <w:highlight w:val="none"/>
        </w:rPr>
        <w:t>/（m·a），可作为最大可信事故情形。</w:t>
      </w:r>
    </w:p>
    <w:p w14:paraId="4D963B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napToGrid w:val="0"/>
          <w:color w:val="auto"/>
          <w:kern w:val="0"/>
          <w:sz w:val="24"/>
          <w:szCs w:val="24"/>
          <w:highlight w:val="none"/>
        </w:rPr>
      </w:pPr>
      <w:r>
        <w:rPr>
          <w:rFonts w:hint="eastAsia" w:ascii="Times New Roman" w:hAnsi="Times New Roman" w:cs="Times New Roman"/>
          <w:snapToGrid w:val="0"/>
          <w:color w:val="auto"/>
          <w:kern w:val="0"/>
          <w:sz w:val="24"/>
          <w:szCs w:val="24"/>
          <w:highlight w:val="none"/>
        </w:rPr>
        <w:t>（2）</w:t>
      </w:r>
      <w:r>
        <w:rPr>
          <w:rFonts w:ascii="Times New Roman" w:hAnsi="Times New Roman" w:cs="Times New Roman"/>
          <w:snapToGrid w:val="0"/>
          <w:color w:val="auto"/>
          <w:kern w:val="0"/>
          <w:sz w:val="24"/>
          <w:szCs w:val="24"/>
          <w:highlight w:val="none"/>
        </w:rPr>
        <w:t>内径＞150mm的管道</w:t>
      </w:r>
      <w:r>
        <w:rPr>
          <w:rFonts w:hint="eastAsia" w:ascii="Times New Roman" w:hAnsi="Times New Roman" w:cs="Times New Roman"/>
          <w:snapToGrid w:val="0"/>
          <w:color w:val="auto"/>
          <w:kern w:val="0"/>
          <w:sz w:val="24"/>
          <w:szCs w:val="24"/>
          <w:highlight w:val="none"/>
        </w:rPr>
        <w:t>，</w:t>
      </w:r>
      <w:r>
        <w:rPr>
          <w:rFonts w:ascii="Times New Roman" w:hAnsi="Times New Roman" w:cs="Times New Roman"/>
          <w:snapToGrid w:val="0"/>
          <w:color w:val="auto"/>
          <w:kern w:val="0"/>
          <w:sz w:val="24"/>
          <w:szCs w:val="24"/>
          <w:highlight w:val="none"/>
        </w:rPr>
        <w:t>泄漏孔径为10%孔径（最大50mm）</w:t>
      </w:r>
      <w:r>
        <w:rPr>
          <w:rFonts w:hint="eastAsia" w:ascii="Times New Roman" w:hAnsi="Times New Roman" w:cs="Times New Roman"/>
          <w:snapToGrid w:val="0"/>
          <w:color w:val="auto"/>
          <w:kern w:val="0"/>
          <w:sz w:val="24"/>
          <w:szCs w:val="24"/>
          <w:highlight w:val="none"/>
        </w:rPr>
        <w:t>的频率为</w:t>
      </w:r>
      <w:r>
        <w:rPr>
          <w:rFonts w:ascii="Times New Roman" w:hAnsi="Times New Roman" w:cs="Times New Roman"/>
          <w:snapToGrid w:val="0"/>
          <w:color w:val="auto"/>
          <w:kern w:val="0"/>
          <w:sz w:val="24"/>
          <w:szCs w:val="24"/>
          <w:highlight w:val="none"/>
        </w:rPr>
        <w:t>2.40×10</w:t>
      </w:r>
      <w:r>
        <w:rPr>
          <w:rFonts w:ascii="Times New Roman" w:hAnsi="Times New Roman" w:cs="Times New Roman"/>
          <w:snapToGrid w:val="0"/>
          <w:color w:val="auto"/>
          <w:kern w:val="0"/>
          <w:sz w:val="24"/>
          <w:szCs w:val="24"/>
          <w:highlight w:val="none"/>
          <w:vertAlign w:val="superscript"/>
        </w:rPr>
        <w:t>-6</w:t>
      </w:r>
      <w:r>
        <w:rPr>
          <w:rFonts w:ascii="Times New Roman" w:hAnsi="Times New Roman" w:cs="Times New Roman"/>
          <w:snapToGrid w:val="0"/>
          <w:color w:val="auto"/>
          <w:kern w:val="0"/>
          <w:sz w:val="24"/>
          <w:szCs w:val="24"/>
          <w:highlight w:val="none"/>
        </w:rPr>
        <w:t>/（m·a）</w:t>
      </w:r>
      <w:r>
        <w:rPr>
          <w:rFonts w:hint="eastAsia" w:ascii="Times New Roman" w:hAnsi="Times New Roman" w:cs="Times New Roman"/>
          <w:snapToGrid w:val="0"/>
          <w:color w:val="auto"/>
          <w:kern w:val="0"/>
          <w:sz w:val="24"/>
          <w:szCs w:val="24"/>
          <w:highlight w:val="none"/>
        </w:rPr>
        <w:t>，</w:t>
      </w:r>
      <w:r>
        <w:rPr>
          <w:rFonts w:ascii="Times New Roman" w:hAnsi="Times New Roman" w:cs="Times New Roman"/>
          <w:snapToGrid w:val="0"/>
          <w:color w:val="auto"/>
          <w:kern w:val="0"/>
          <w:sz w:val="24"/>
          <w:szCs w:val="24"/>
          <w:highlight w:val="none"/>
        </w:rPr>
        <w:t>可作为最大可信事故情形</w:t>
      </w:r>
      <w:r>
        <w:rPr>
          <w:rFonts w:hint="eastAsia" w:ascii="Times New Roman" w:hAnsi="Times New Roman" w:cs="Times New Roman"/>
          <w:snapToGrid w:val="0"/>
          <w:color w:val="auto"/>
          <w:kern w:val="0"/>
          <w:sz w:val="24"/>
          <w:szCs w:val="24"/>
          <w:highlight w:val="none"/>
        </w:rPr>
        <w:t>。</w:t>
      </w:r>
    </w:p>
    <w:p w14:paraId="51A7355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6.3.5.3源项分析</w:t>
      </w:r>
    </w:p>
    <w:p w14:paraId="02DA913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ascii="Times New Roman" w:hAnsi="Times New Roman" w:eastAsia="宋体" w:cs="Times New Roman"/>
          <w:color w:val="auto"/>
          <w:kern w:val="0"/>
          <w:sz w:val="24"/>
          <w:szCs w:val="24"/>
          <w:highlight w:val="none"/>
          <w:lang w:val="en-US" w:eastAsia="zh-CN" w:bidi="ar-SA"/>
        </w:rPr>
        <w:t>（1）</w:t>
      </w:r>
      <w:r>
        <w:rPr>
          <w:rFonts w:cs="Times New Roman"/>
          <w:color w:val="auto"/>
          <w:kern w:val="0"/>
          <w:sz w:val="24"/>
          <w:highlight w:val="none"/>
        </w:rPr>
        <w:t>火灾伴生/次生污染物产生量估算</w:t>
      </w:r>
    </w:p>
    <w:p w14:paraId="6C4156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hint="eastAsia" w:cs="Times New Roman"/>
          <w:bCs w:val="0"/>
          <w:snapToGrid w:val="0"/>
          <w:color w:val="auto"/>
          <w:kern w:val="0"/>
          <w:sz w:val="24"/>
          <w:highlight w:val="none"/>
          <w:lang w:val="en-US" w:eastAsia="zh-CN"/>
        </w:rPr>
        <w:t>本</w:t>
      </w:r>
      <w:r>
        <w:rPr>
          <w:rFonts w:cs="Times New Roman"/>
          <w:bCs w:val="0"/>
          <w:snapToGrid w:val="0"/>
          <w:color w:val="auto"/>
          <w:kern w:val="0"/>
          <w:sz w:val="24"/>
          <w:highlight w:val="none"/>
        </w:rPr>
        <w:t>项目</w:t>
      </w:r>
      <w:r>
        <w:rPr>
          <w:rFonts w:hint="eastAsia" w:cs="Times New Roman"/>
          <w:bCs w:val="0"/>
          <w:snapToGrid w:val="0"/>
          <w:color w:val="auto"/>
          <w:kern w:val="0"/>
          <w:sz w:val="24"/>
          <w:highlight w:val="none"/>
        </w:rPr>
        <w:t>烷烃</w:t>
      </w:r>
      <w:r>
        <w:rPr>
          <w:rFonts w:cs="Times New Roman"/>
          <w:bCs w:val="0"/>
          <w:snapToGrid w:val="0"/>
          <w:color w:val="auto"/>
          <w:kern w:val="0"/>
          <w:sz w:val="24"/>
          <w:highlight w:val="none"/>
        </w:rPr>
        <w:t>储罐储存压力为常压、储存温度为常温。拟采用风险导则附录E推荐方法确定事故源强。考虑</w:t>
      </w:r>
      <w:r>
        <w:rPr>
          <w:rFonts w:hint="eastAsia" w:cs="Times New Roman"/>
          <w:bCs w:val="0"/>
          <w:snapToGrid w:val="0"/>
          <w:color w:val="auto"/>
          <w:kern w:val="0"/>
          <w:sz w:val="24"/>
          <w:highlight w:val="none"/>
        </w:rPr>
        <w:t>烷烃</w:t>
      </w:r>
      <w:r>
        <w:rPr>
          <w:rFonts w:cs="Times New Roman"/>
          <w:bCs w:val="0"/>
          <w:snapToGrid w:val="0"/>
          <w:color w:val="auto"/>
          <w:kern w:val="0"/>
          <w:sz w:val="24"/>
          <w:highlight w:val="none"/>
        </w:rPr>
        <w:t>储罐罐底出口接合管泄漏，泄漏孔径为</w:t>
      </w:r>
      <w:r>
        <w:rPr>
          <w:rFonts w:hint="eastAsia" w:cs="Times New Roman"/>
          <w:bCs w:val="0"/>
          <w:snapToGrid w:val="0"/>
          <w:color w:val="auto"/>
          <w:kern w:val="0"/>
          <w:sz w:val="24"/>
          <w:highlight w:val="none"/>
        </w:rPr>
        <w:t>150</w:t>
      </w:r>
      <w:r>
        <w:rPr>
          <w:rFonts w:cs="Times New Roman"/>
          <w:bCs w:val="0"/>
          <w:snapToGrid w:val="0"/>
          <w:color w:val="auto"/>
          <w:kern w:val="0"/>
          <w:sz w:val="24"/>
          <w:highlight w:val="none"/>
        </w:rPr>
        <w:t>mm，泄漏时间为10min。</w:t>
      </w:r>
    </w:p>
    <w:p w14:paraId="5D3C2A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液体泄漏速度Q</w:t>
      </w:r>
      <w:r>
        <w:rPr>
          <w:rFonts w:cs="Times New Roman"/>
          <w:bCs w:val="0"/>
          <w:snapToGrid w:val="0"/>
          <w:color w:val="auto"/>
          <w:kern w:val="0"/>
          <w:sz w:val="24"/>
          <w:highlight w:val="none"/>
          <w:vertAlign w:val="subscript"/>
        </w:rPr>
        <w:t>L</w:t>
      </w:r>
      <w:r>
        <w:rPr>
          <w:rFonts w:hint="eastAsia" w:cs="Times New Roman"/>
          <w:bCs w:val="0"/>
          <w:snapToGrid w:val="0"/>
          <w:color w:val="auto"/>
          <w:kern w:val="0"/>
          <w:sz w:val="24"/>
          <w:highlight w:val="none"/>
          <w:vertAlign w:val="subscript"/>
          <w:lang w:eastAsia="zh-CN"/>
        </w:rPr>
        <w:t>用伯努利</w:t>
      </w:r>
      <w:r>
        <w:rPr>
          <w:rFonts w:cs="Times New Roman"/>
          <w:bCs w:val="0"/>
          <w:snapToGrid w:val="0"/>
          <w:color w:val="auto"/>
          <w:kern w:val="0"/>
          <w:sz w:val="24"/>
          <w:highlight w:val="none"/>
        </w:rPr>
        <w:t>方程计算</w:t>
      </w:r>
    </w:p>
    <w:p w14:paraId="67AF4E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object>
          <v:shape id="_x0000_i1026" o:spt="75" type="#_x0000_t75" style="height:36pt;width:172.8pt;" o:ole="t" filled="f" o:preferrelative="t" stroked="f" coordsize="21600,21600">
            <v:path/>
            <v:fill on="f" focussize="0,0"/>
            <v:stroke on="f" joinstyle="miter"/>
            <v:imagedata r:id="rId75" o:title=""/>
            <o:lock v:ext="edit" aspectratio="t"/>
            <w10:wrap type="none"/>
            <w10:anchorlock/>
          </v:shape>
          <o:OLEObject Type="Embed" ProgID="Equation.3" ShapeID="_x0000_i1026" DrawAspect="Content" ObjectID="_1468075729" r:id="rId74">
            <o:LockedField>false</o:LockedField>
          </o:OLEObject>
        </w:object>
      </w:r>
    </w:p>
    <w:p w14:paraId="592048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式中：Q</w:t>
      </w:r>
      <w:r>
        <w:rPr>
          <w:rFonts w:cs="Times New Roman"/>
          <w:bCs w:val="0"/>
          <w:snapToGrid w:val="0"/>
          <w:color w:val="auto"/>
          <w:kern w:val="0"/>
          <w:sz w:val="24"/>
          <w:highlight w:val="none"/>
          <w:vertAlign w:val="subscript"/>
        </w:rPr>
        <w:t>L</w:t>
      </w:r>
      <w:r>
        <w:rPr>
          <w:rFonts w:cs="Times New Roman"/>
          <w:bCs w:val="0"/>
          <w:snapToGrid w:val="0"/>
          <w:color w:val="auto"/>
          <w:kern w:val="0"/>
          <w:sz w:val="24"/>
          <w:highlight w:val="none"/>
        </w:rPr>
        <w:t>——液体泄漏速度，kg/s；</w:t>
      </w:r>
    </w:p>
    <w:p w14:paraId="5CC445F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C</w:t>
      </w:r>
      <w:r>
        <w:rPr>
          <w:rFonts w:cs="Times New Roman"/>
          <w:bCs w:val="0"/>
          <w:snapToGrid w:val="0"/>
          <w:color w:val="auto"/>
          <w:kern w:val="0"/>
          <w:sz w:val="24"/>
          <w:highlight w:val="none"/>
          <w:vertAlign w:val="subscript"/>
        </w:rPr>
        <w:t>d</w:t>
      </w:r>
      <w:r>
        <w:rPr>
          <w:rFonts w:cs="Times New Roman"/>
          <w:bCs w:val="0"/>
          <w:snapToGrid w:val="0"/>
          <w:color w:val="auto"/>
          <w:kern w:val="0"/>
          <w:sz w:val="24"/>
          <w:highlight w:val="none"/>
        </w:rPr>
        <w:t>——液体泄漏系数，本次计算取0.50；</w:t>
      </w:r>
    </w:p>
    <w:p w14:paraId="0F2461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vertAlign w:val="superscript"/>
        </w:rPr>
      </w:pPr>
      <w:r>
        <w:rPr>
          <w:rFonts w:cs="Times New Roman"/>
          <w:bCs w:val="0"/>
          <w:snapToGrid w:val="0"/>
          <w:color w:val="auto"/>
          <w:kern w:val="0"/>
          <w:sz w:val="24"/>
          <w:highlight w:val="none"/>
        </w:rPr>
        <w:t>A——裂口面积，m</w:t>
      </w:r>
      <w:r>
        <w:rPr>
          <w:rFonts w:cs="Times New Roman"/>
          <w:bCs w:val="0"/>
          <w:snapToGrid w:val="0"/>
          <w:color w:val="auto"/>
          <w:kern w:val="0"/>
          <w:sz w:val="24"/>
          <w:highlight w:val="none"/>
          <w:vertAlign w:val="superscript"/>
        </w:rPr>
        <w:t>2</w:t>
      </w:r>
      <w:r>
        <w:rPr>
          <w:rFonts w:cs="Times New Roman"/>
          <w:bCs w:val="0"/>
          <w:snapToGrid w:val="0"/>
          <w:color w:val="auto"/>
          <w:kern w:val="0"/>
          <w:sz w:val="24"/>
          <w:highlight w:val="none"/>
        </w:rPr>
        <w:t>，本次泄漏孔径取</w:t>
      </w:r>
      <w:r>
        <w:rPr>
          <w:rFonts w:hint="eastAsia" w:cs="Times New Roman"/>
          <w:bCs w:val="0"/>
          <w:snapToGrid w:val="0"/>
          <w:color w:val="auto"/>
          <w:kern w:val="0"/>
          <w:sz w:val="24"/>
          <w:highlight w:val="none"/>
        </w:rPr>
        <w:t>50</w:t>
      </w:r>
      <w:r>
        <w:rPr>
          <w:rFonts w:cs="Times New Roman"/>
          <w:bCs w:val="0"/>
          <w:snapToGrid w:val="0"/>
          <w:color w:val="auto"/>
          <w:kern w:val="0"/>
          <w:sz w:val="24"/>
          <w:highlight w:val="none"/>
        </w:rPr>
        <w:t>mm，即裂口面积</w:t>
      </w:r>
      <w:r>
        <w:rPr>
          <w:rFonts w:hint="eastAsia" w:cs="Times New Roman"/>
          <w:bCs w:val="0"/>
          <w:snapToGrid w:val="0"/>
          <w:color w:val="auto"/>
          <w:kern w:val="0"/>
          <w:sz w:val="24"/>
          <w:highlight w:val="none"/>
        </w:rPr>
        <w:t>0.00196</w:t>
      </w:r>
      <w:r>
        <w:rPr>
          <w:rFonts w:cs="Times New Roman"/>
          <w:bCs w:val="0"/>
          <w:snapToGrid w:val="0"/>
          <w:color w:val="auto"/>
          <w:kern w:val="0"/>
          <w:sz w:val="24"/>
          <w:highlight w:val="none"/>
        </w:rPr>
        <w:t>m</w:t>
      </w:r>
      <w:r>
        <w:rPr>
          <w:rFonts w:cs="Times New Roman"/>
          <w:bCs w:val="0"/>
          <w:snapToGrid w:val="0"/>
          <w:color w:val="auto"/>
          <w:kern w:val="0"/>
          <w:sz w:val="24"/>
          <w:highlight w:val="none"/>
          <w:vertAlign w:val="superscript"/>
        </w:rPr>
        <w:t>2</w:t>
      </w:r>
      <w:r>
        <w:rPr>
          <w:rFonts w:cs="Times New Roman"/>
          <w:bCs w:val="0"/>
          <w:snapToGrid w:val="0"/>
          <w:color w:val="auto"/>
          <w:kern w:val="0"/>
          <w:sz w:val="24"/>
          <w:highlight w:val="none"/>
        </w:rPr>
        <w:t>；</w:t>
      </w:r>
    </w:p>
    <w:p w14:paraId="0BB14C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P——容器内介质压力，Pa，常压，即0.</w:t>
      </w:r>
      <w:r>
        <w:rPr>
          <w:rFonts w:hint="eastAsia" w:cs="Times New Roman"/>
          <w:bCs w:val="0"/>
          <w:snapToGrid w:val="0"/>
          <w:color w:val="auto"/>
          <w:kern w:val="0"/>
          <w:sz w:val="24"/>
          <w:highlight w:val="none"/>
        </w:rPr>
        <w:t>073</w:t>
      </w:r>
      <w:r>
        <w:rPr>
          <w:rFonts w:cs="Times New Roman"/>
          <w:bCs w:val="0"/>
          <w:snapToGrid w:val="0"/>
          <w:color w:val="auto"/>
          <w:kern w:val="0"/>
          <w:sz w:val="24"/>
          <w:highlight w:val="none"/>
        </w:rPr>
        <w:t>MPa；</w:t>
      </w:r>
    </w:p>
    <w:p w14:paraId="5F1567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P</w:t>
      </w:r>
      <w:r>
        <w:rPr>
          <w:rFonts w:cs="Times New Roman"/>
          <w:bCs w:val="0"/>
          <w:snapToGrid w:val="0"/>
          <w:color w:val="auto"/>
          <w:kern w:val="0"/>
          <w:sz w:val="24"/>
          <w:highlight w:val="none"/>
          <w:vertAlign w:val="subscript"/>
        </w:rPr>
        <w:t>0</w:t>
      </w:r>
      <w:r>
        <w:rPr>
          <w:rFonts w:cs="Times New Roman"/>
          <w:bCs w:val="0"/>
          <w:snapToGrid w:val="0"/>
          <w:color w:val="auto"/>
          <w:kern w:val="0"/>
          <w:sz w:val="24"/>
          <w:highlight w:val="none"/>
        </w:rPr>
        <w:t>——环境压力，Pa（当地年均气压为0.1MPa）；</w:t>
      </w:r>
    </w:p>
    <w:p w14:paraId="5B1A21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g——重力加速度，9.81m/s</w:t>
      </w:r>
      <w:r>
        <w:rPr>
          <w:rFonts w:cs="Times New Roman"/>
          <w:bCs w:val="0"/>
          <w:snapToGrid w:val="0"/>
          <w:color w:val="auto"/>
          <w:kern w:val="0"/>
          <w:sz w:val="24"/>
          <w:highlight w:val="none"/>
          <w:vertAlign w:val="superscript"/>
        </w:rPr>
        <w:t>2</w:t>
      </w:r>
    </w:p>
    <w:p w14:paraId="13D95C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h——裂口之上液位高度，m，</w:t>
      </w:r>
      <w:r>
        <w:rPr>
          <w:rFonts w:hint="eastAsia" w:cs="Times New Roman"/>
          <w:bCs w:val="0"/>
          <w:snapToGrid w:val="0"/>
          <w:color w:val="auto"/>
          <w:kern w:val="0"/>
          <w:sz w:val="24"/>
          <w:highlight w:val="none"/>
        </w:rPr>
        <w:t>10</w:t>
      </w:r>
      <w:r>
        <w:rPr>
          <w:rFonts w:cs="Times New Roman"/>
          <w:bCs w:val="0"/>
          <w:snapToGrid w:val="0"/>
          <w:color w:val="auto"/>
          <w:kern w:val="0"/>
          <w:sz w:val="24"/>
          <w:highlight w:val="none"/>
        </w:rPr>
        <w:t>m；</w:t>
      </w:r>
    </w:p>
    <w:p w14:paraId="6E704A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cs="Times New Roman"/>
          <w:bCs w:val="0"/>
          <w:snapToGrid w:val="0"/>
          <w:color w:val="auto"/>
          <w:kern w:val="0"/>
          <w:sz w:val="24"/>
          <w:highlight w:val="none"/>
        </w:rPr>
        <w:t>ρ——液体密度，kg/m</w:t>
      </w:r>
      <w:r>
        <w:rPr>
          <w:rFonts w:cs="Times New Roman"/>
          <w:bCs w:val="0"/>
          <w:snapToGrid w:val="0"/>
          <w:color w:val="auto"/>
          <w:kern w:val="0"/>
          <w:sz w:val="24"/>
          <w:highlight w:val="none"/>
          <w:vertAlign w:val="superscript"/>
        </w:rPr>
        <w:t>3</w:t>
      </w:r>
      <w:r>
        <w:rPr>
          <w:rFonts w:cs="Times New Roman"/>
          <w:bCs w:val="0"/>
          <w:snapToGrid w:val="0"/>
          <w:color w:val="auto"/>
          <w:kern w:val="0"/>
          <w:sz w:val="24"/>
          <w:highlight w:val="none"/>
        </w:rPr>
        <w:t>，本次取</w:t>
      </w:r>
      <w:r>
        <w:rPr>
          <w:rFonts w:hint="eastAsia" w:cs="Times New Roman"/>
          <w:bCs w:val="0"/>
          <w:snapToGrid w:val="0"/>
          <w:color w:val="auto"/>
          <w:kern w:val="0"/>
          <w:sz w:val="24"/>
          <w:highlight w:val="none"/>
        </w:rPr>
        <w:t>7</w:t>
      </w:r>
      <w:r>
        <w:rPr>
          <w:rFonts w:hint="eastAsia" w:cs="Times New Roman"/>
          <w:bCs w:val="0"/>
          <w:snapToGrid w:val="0"/>
          <w:color w:val="auto"/>
          <w:kern w:val="0"/>
          <w:sz w:val="24"/>
          <w:highlight w:val="none"/>
          <w:lang w:val="en-US" w:eastAsia="zh-CN"/>
        </w:rPr>
        <w:t>35</w:t>
      </w:r>
      <w:r>
        <w:rPr>
          <w:rFonts w:cs="Times New Roman"/>
          <w:bCs w:val="0"/>
          <w:snapToGrid w:val="0"/>
          <w:color w:val="auto"/>
          <w:kern w:val="0"/>
          <w:sz w:val="24"/>
          <w:highlight w:val="none"/>
        </w:rPr>
        <w:t>kg/m</w:t>
      </w:r>
      <w:r>
        <w:rPr>
          <w:rFonts w:cs="Times New Roman"/>
          <w:bCs w:val="0"/>
          <w:snapToGrid w:val="0"/>
          <w:color w:val="auto"/>
          <w:kern w:val="0"/>
          <w:sz w:val="24"/>
          <w:highlight w:val="none"/>
          <w:vertAlign w:val="superscript"/>
        </w:rPr>
        <w:t>3</w:t>
      </w:r>
    </w:p>
    <w:p w14:paraId="7DF91A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cs="Times New Roman"/>
          <w:bCs w:val="0"/>
          <w:snapToGrid w:val="0"/>
          <w:color w:val="auto"/>
          <w:kern w:val="0"/>
          <w:sz w:val="24"/>
          <w:highlight w:val="none"/>
        </w:rPr>
      </w:pPr>
      <w:r>
        <w:rPr>
          <w:rFonts w:hint="eastAsia" w:cs="Times New Roman"/>
          <w:bCs w:val="0"/>
          <w:snapToGrid w:val="0"/>
          <w:color w:val="auto"/>
          <w:kern w:val="0"/>
          <w:sz w:val="24"/>
          <w:highlight w:val="none"/>
        </w:rPr>
        <w:t>烷烃储罐</w:t>
      </w:r>
      <w:r>
        <w:rPr>
          <w:rFonts w:cs="Times New Roman"/>
          <w:bCs w:val="0"/>
          <w:snapToGrid w:val="0"/>
          <w:color w:val="auto"/>
          <w:kern w:val="0"/>
          <w:sz w:val="24"/>
          <w:highlight w:val="none"/>
        </w:rPr>
        <w:t>泄漏参数具体见表</w:t>
      </w:r>
      <w:r>
        <w:rPr>
          <w:rFonts w:hint="eastAsia" w:cs="Times New Roman"/>
          <w:bCs w:val="0"/>
          <w:snapToGrid w:val="0"/>
          <w:color w:val="auto"/>
          <w:kern w:val="0"/>
          <w:sz w:val="24"/>
          <w:highlight w:val="none"/>
        </w:rPr>
        <w:t>6</w:t>
      </w:r>
      <w:r>
        <w:rPr>
          <w:rFonts w:cs="Times New Roman"/>
          <w:bCs w:val="0"/>
          <w:snapToGrid w:val="0"/>
          <w:color w:val="auto"/>
          <w:kern w:val="0"/>
          <w:sz w:val="24"/>
          <w:highlight w:val="none"/>
        </w:rPr>
        <w:t>.</w:t>
      </w:r>
      <w:r>
        <w:rPr>
          <w:rFonts w:hint="eastAsia" w:cs="Times New Roman"/>
          <w:bCs w:val="0"/>
          <w:snapToGrid w:val="0"/>
          <w:color w:val="auto"/>
          <w:kern w:val="0"/>
          <w:sz w:val="24"/>
          <w:highlight w:val="none"/>
          <w:lang w:val="en-US" w:eastAsia="zh-CN"/>
        </w:rPr>
        <w:t>3-17</w:t>
      </w:r>
      <w:r>
        <w:rPr>
          <w:rFonts w:cs="Times New Roman"/>
          <w:bCs w:val="0"/>
          <w:snapToGrid w:val="0"/>
          <w:color w:val="auto"/>
          <w:kern w:val="0"/>
          <w:sz w:val="24"/>
          <w:highlight w:val="none"/>
        </w:rPr>
        <w:t>。</w:t>
      </w:r>
    </w:p>
    <w:p w14:paraId="75AB69B1">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w:t>
      </w:r>
      <w:r>
        <w:rPr>
          <w:rFonts w:hint="eastAsia" w:ascii="Times New Roman" w:hAnsi="Times New Roman" w:cs="Times New Roman"/>
          <w:snapToGrid w:val="0"/>
          <w:color w:val="auto"/>
          <w:kern w:val="0"/>
          <w:sz w:val="21"/>
          <w:szCs w:val="21"/>
          <w:highlight w:val="none"/>
          <w:lang w:val="en-US" w:eastAsia="zh-CN"/>
        </w:rPr>
        <w:t>3-17</w:t>
      </w:r>
      <w:r>
        <w:rPr>
          <w:rFonts w:hint="eastAsia" w:ascii="Times New Roman" w:hAnsi="Times New Roman" w:cs="Times New Roman"/>
          <w:snapToGrid w:val="0"/>
          <w:color w:val="auto"/>
          <w:kern w:val="0"/>
          <w:sz w:val="21"/>
          <w:szCs w:val="21"/>
          <w:highlight w:val="none"/>
        </w:rPr>
        <w:t xml:space="preserve"> 烷烃储罐泄漏参数选取一览表</w:t>
      </w:r>
    </w:p>
    <w:tbl>
      <w:tblPr>
        <w:tblStyle w:val="56"/>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0"/>
        <w:gridCol w:w="2174"/>
        <w:gridCol w:w="2589"/>
        <w:gridCol w:w="1437"/>
      </w:tblGrid>
      <w:tr w14:paraId="4B8C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30" w:type="dxa"/>
            <w:tcBorders>
              <w:tl2br w:val="nil"/>
              <w:tr2bl w:val="nil"/>
            </w:tcBorders>
            <w:tcMar>
              <w:left w:w="0" w:type="dxa"/>
              <w:right w:w="0" w:type="dxa"/>
            </w:tcMar>
            <w:vAlign w:val="center"/>
          </w:tcPr>
          <w:p w14:paraId="60AFD107">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参数名称</w:t>
            </w:r>
          </w:p>
        </w:tc>
        <w:tc>
          <w:tcPr>
            <w:tcW w:w="2231" w:type="dxa"/>
            <w:tcBorders>
              <w:tl2br w:val="nil"/>
              <w:tr2bl w:val="nil"/>
            </w:tcBorders>
            <w:tcMar>
              <w:left w:w="0" w:type="dxa"/>
              <w:right w:w="0" w:type="dxa"/>
            </w:tcMar>
            <w:vAlign w:val="center"/>
          </w:tcPr>
          <w:p w14:paraId="757C83AC">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参数取值</w:t>
            </w:r>
          </w:p>
        </w:tc>
        <w:tc>
          <w:tcPr>
            <w:tcW w:w="2693" w:type="dxa"/>
            <w:tcBorders>
              <w:tl2br w:val="nil"/>
              <w:tr2bl w:val="nil"/>
            </w:tcBorders>
            <w:tcMar>
              <w:left w:w="0" w:type="dxa"/>
              <w:right w:w="0" w:type="dxa"/>
            </w:tcMar>
            <w:vAlign w:val="center"/>
          </w:tcPr>
          <w:p w14:paraId="30C404B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参数名称</w:t>
            </w:r>
          </w:p>
        </w:tc>
        <w:tc>
          <w:tcPr>
            <w:tcW w:w="1468" w:type="dxa"/>
            <w:tcBorders>
              <w:tl2br w:val="nil"/>
              <w:tr2bl w:val="nil"/>
            </w:tcBorders>
            <w:tcMar>
              <w:left w:w="0" w:type="dxa"/>
              <w:right w:w="0" w:type="dxa"/>
            </w:tcMar>
            <w:vAlign w:val="center"/>
          </w:tcPr>
          <w:p w14:paraId="2D4EC781">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参数取值</w:t>
            </w:r>
          </w:p>
        </w:tc>
      </w:tr>
      <w:tr w14:paraId="266B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30" w:type="dxa"/>
            <w:tcBorders>
              <w:tl2br w:val="nil"/>
              <w:tr2bl w:val="nil"/>
            </w:tcBorders>
            <w:tcMar>
              <w:left w:w="0" w:type="dxa"/>
              <w:right w:w="0" w:type="dxa"/>
            </w:tcMar>
            <w:vAlign w:val="center"/>
          </w:tcPr>
          <w:p w14:paraId="1E965FC1">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容器内部温度</w:t>
            </w:r>
          </w:p>
        </w:tc>
        <w:tc>
          <w:tcPr>
            <w:tcW w:w="2231" w:type="dxa"/>
            <w:tcBorders>
              <w:tl2br w:val="nil"/>
              <w:tr2bl w:val="nil"/>
            </w:tcBorders>
            <w:tcMar>
              <w:left w:w="0" w:type="dxa"/>
              <w:right w:w="0" w:type="dxa"/>
            </w:tcMar>
            <w:vAlign w:val="center"/>
          </w:tcPr>
          <w:p w14:paraId="60CC2EC5">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25℃</w:t>
            </w:r>
          </w:p>
        </w:tc>
        <w:tc>
          <w:tcPr>
            <w:tcW w:w="2693" w:type="dxa"/>
            <w:tcBorders>
              <w:tl2br w:val="nil"/>
              <w:tr2bl w:val="nil"/>
            </w:tcBorders>
            <w:tcMar>
              <w:left w:w="0" w:type="dxa"/>
              <w:right w:w="0" w:type="dxa"/>
            </w:tcMar>
            <w:vAlign w:val="center"/>
          </w:tcPr>
          <w:p w14:paraId="5FAD2AE8">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物质存在形态</w:t>
            </w:r>
          </w:p>
        </w:tc>
        <w:tc>
          <w:tcPr>
            <w:tcW w:w="1468" w:type="dxa"/>
            <w:tcBorders>
              <w:tl2br w:val="nil"/>
              <w:tr2bl w:val="nil"/>
            </w:tcBorders>
            <w:tcMar>
              <w:left w:w="0" w:type="dxa"/>
              <w:right w:w="0" w:type="dxa"/>
            </w:tcMar>
            <w:vAlign w:val="center"/>
          </w:tcPr>
          <w:p w14:paraId="075729E0">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液体</w:t>
            </w:r>
          </w:p>
        </w:tc>
      </w:tr>
      <w:tr w14:paraId="6891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30" w:type="dxa"/>
            <w:tcBorders>
              <w:tl2br w:val="nil"/>
              <w:tr2bl w:val="nil"/>
            </w:tcBorders>
            <w:tcMar>
              <w:left w:w="0" w:type="dxa"/>
              <w:right w:w="0" w:type="dxa"/>
            </w:tcMar>
            <w:vAlign w:val="center"/>
          </w:tcPr>
          <w:p w14:paraId="2CC64442">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容器内部压力</w:t>
            </w:r>
          </w:p>
        </w:tc>
        <w:tc>
          <w:tcPr>
            <w:tcW w:w="2231" w:type="dxa"/>
            <w:tcBorders>
              <w:tl2br w:val="nil"/>
              <w:tr2bl w:val="nil"/>
            </w:tcBorders>
            <w:tcMar>
              <w:left w:w="0" w:type="dxa"/>
              <w:right w:w="0" w:type="dxa"/>
            </w:tcMar>
            <w:vAlign w:val="center"/>
          </w:tcPr>
          <w:p w14:paraId="7A73C799">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0.073</w:t>
            </w:r>
            <w:r>
              <w:rPr>
                <w:rFonts w:ascii="Times New Roman" w:hAnsi="Times New Roman" w:eastAsia="宋体" w:cs="Times New Roman"/>
                <w:snapToGrid w:val="0"/>
                <w:color w:val="auto"/>
                <w:kern w:val="0"/>
                <w:sz w:val="21"/>
                <w:szCs w:val="21"/>
                <w:highlight w:val="none"/>
              </w:rPr>
              <w:t>MPa</w:t>
            </w:r>
          </w:p>
        </w:tc>
        <w:tc>
          <w:tcPr>
            <w:tcW w:w="2693" w:type="dxa"/>
            <w:tcBorders>
              <w:tl2br w:val="nil"/>
              <w:tr2bl w:val="nil"/>
            </w:tcBorders>
            <w:tcMar>
              <w:left w:w="0" w:type="dxa"/>
              <w:right w:w="0" w:type="dxa"/>
            </w:tcMar>
            <w:vAlign w:val="center"/>
          </w:tcPr>
          <w:p w14:paraId="05D41CC4">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裂口面积及形态</w:t>
            </w:r>
          </w:p>
        </w:tc>
        <w:tc>
          <w:tcPr>
            <w:tcW w:w="1468" w:type="dxa"/>
            <w:tcBorders>
              <w:tl2br w:val="nil"/>
              <w:tr2bl w:val="nil"/>
            </w:tcBorders>
            <w:tcMar>
              <w:left w:w="0" w:type="dxa"/>
              <w:right w:w="0" w:type="dxa"/>
            </w:tcMar>
            <w:vAlign w:val="center"/>
          </w:tcPr>
          <w:p w14:paraId="4D99AF57">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圆形，</w:t>
            </w:r>
            <w:r>
              <w:rPr>
                <w:rFonts w:hint="eastAsia" w:ascii="Times New Roman" w:hAnsi="Times New Roman" w:eastAsia="宋体" w:cs="Times New Roman"/>
                <w:snapToGrid w:val="0"/>
                <w:color w:val="auto"/>
                <w:kern w:val="0"/>
                <w:sz w:val="21"/>
                <w:szCs w:val="21"/>
                <w:highlight w:val="none"/>
              </w:rPr>
              <w:t>19.6</w:t>
            </w:r>
            <w:r>
              <w:rPr>
                <w:rFonts w:ascii="Times New Roman" w:hAnsi="Times New Roman" w:eastAsia="宋体" w:cs="Times New Roman"/>
                <w:snapToGrid w:val="0"/>
                <w:color w:val="auto"/>
                <w:kern w:val="0"/>
                <w:sz w:val="21"/>
                <w:szCs w:val="21"/>
                <w:highlight w:val="none"/>
              </w:rPr>
              <w:t>cm</w:t>
            </w:r>
            <w:r>
              <w:rPr>
                <w:rFonts w:ascii="Times New Roman" w:hAnsi="Times New Roman" w:eastAsia="宋体" w:cs="Times New Roman"/>
                <w:snapToGrid w:val="0"/>
                <w:color w:val="auto"/>
                <w:kern w:val="0"/>
                <w:sz w:val="21"/>
                <w:szCs w:val="21"/>
                <w:highlight w:val="none"/>
                <w:vertAlign w:val="superscript"/>
              </w:rPr>
              <w:t>2</w:t>
            </w:r>
          </w:p>
        </w:tc>
      </w:tr>
    </w:tbl>
    <w:p w14:paraId="525F25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bCs w:val="0"/>
          <w:snapToGrid w:val="0"/>
          <w:color w:val="auto"/>
          <w:kern w:val="0"/>
          <w:sz w:val="24"/>
          <w:highlight w:val="none"/>
        </w:rPr>
      </w:pPr>
      <w:r>
        <w:rPr>
          <w:rFonts w:ascii="Times New Roman" w:hAnsi="Times New Roman" w:eastAsia="宋体" w:cs="Times New Roman"/>
          <w:bCs w:val="0"/>
          <w:snapToGrid w:val="0"/>
          <w:color w:val="auto"/>
          <w:kern w:val="0"/>
          <w:sz w:val="24"/>
          <w:highlight w:val="none"/>
        </w:rPr>
        <w:t>经风险估算计算，经风险估算计算，</w:t>
      </w:r>
      <w:r>
        <w:rPr>
          <w:rFonts w:hint="eastAsia" w:ascii="Times New Roman" w:hAnsi="Times New Roman" w:eastAsia="宋体" w:cs="Times New Roman"/>
          <w:bCs w:val="0"/>
          <w:snapToGrid w:val="0"/>
          <w:color w:val="auto"/>
          <w:kern w:val="0"/>
          <w:sz w:val="24"/>
          <w:highlight w:val="none"/>
        </w:rPr>
        <w:t>烷烃</w:t>
      </w:r>
      <w:r>
        <w:rPr>
          <w:rFonts w:ascii="Times New Roman" w:hAnsi="Times New Roman" w:eastAsia="宋体" w:cs="Times New Roman"/>
          <w:bCs w:val="0"/>
          <w:snapToGrid w:val="0"/>
          <w:color w:val="auto"/>
          <w:kern w:val="0"/>
          <w:sz w:val="24"/>
          <w:highlight w:val="none"/>
        </w:rPr>
        <w:t>液体泄漏速率为</w:t>
      </w:r>
      <w:r>
        <w:rPr>
          <w:rFonts w:hint="eastAsia" w:ascii="Times New Roman" w:hAnsi="Times New Roman" w:eastAsia="宋体" w:cs="Times New Roman"/>
          <w:bCs w:val="0"/>
          <w:snapToGrid w:val="0"/>
          <w:color w:val="auto"/>
          <w:kern w:val="0"/>
          <w:sz w:val="24"/>
          <w:highlight w:val="none"/>
          <w:lang w:val="en-US" w:eastAsia="zh-CN"/>
        </w:rPr>
        <w:t>10.089</w:t>
      </w:r>
      <w:r>
        <w:rPr>
          <w:rFonts w:ascii="Times New Roman" w:hAnsi="Times New Roman" w:eastAsia="宋体" w:cs="Times New Roman"/>
          <w:bCs w:val="0"/>
          <w:snapToGrid w:val="0"/>
          <w:color w:val="auto"/>
          <w:kern w:val="0"/>
          <w:sz w:val="24"/>
          <w:highlight w:val="none"/>
        </w:rPr>
        <w:t>kg/s，则</w:t>
      </w:r>
      <w:r>
        <w:rPr>
          <w:rFonts w:hint="eastAsia" w:ascii="Times New Roman" w:hAnsi="Times New Roman" w:eastAsia="宋体" w:cs="Times New Roman"/>
          <w:bCs w:val="0"/>
          <w:snapToGrid w:val="0"/>
          <w:color w:val="auto"/>
          <w:kern w:val="0"/>
          <w:sz w:val="24"/>
          <w:highlight w:val="none"/>
          <w:lang w:eastAsia="zh-CN"/>
        </w:rPr>
        <w:t>溶剂</w:t>
      </w:r>
      <w:r>
        <w:rPr>
          <w:rFonts w:ascii="Times New Roman" w:hAnsi="Times New Roman" w:eastAsia="宋体" w:cs="Times New Roman"/>
          <w:bCs w:val="0"/>
          <w:snapToGrid w:val="0"/>
          <w:color w:val="auto"/>
          <w:kern w:val="0"/>
          <w:sz w:val="24"/>
          <w:highlight w:val="none"/>
        </w:rPr>
        <w:t>泄漏事故期间的泄漏总量为</w:t>
      </w:r>
      <w:r>
        <w:rPr>
          <w:rFonts w:hint="eastAsia" w:ascii="Times New Roman" w:hAnsi="Times New Roman" w:eastAsia="宋体" w:cs="Times New Roman"/>
          <w:bCs w:val="0"/>
          <w:snapToGrid w:val="0"/>
          <w:color w:val="auto"/>
          <w:kern w:val="0"/>
          <w:sz w:val="24"/>
          <w:highlight w:val="none"/>
        </w:rPr>
        <w:t>4833</w:t>
      </w:r>
      <w:r>
        <w:rPr>
          <w:rFonts w:ascii="Times New Roman" w:hAnsi="Times New Roman" w:eastAsia="宋体" w:cs="Times New Roman"/>
          <w:bCs w:val="0"/>
          <w:snapToGrid w:val="0"/>
          <w:color w:val="auto"/>
          <w:kern w:val="0"/>
          <w:sz w:val="24"/>
          <w:highlight w:val="none"/>
        </w:rPr>
        <w:t>kg。</w:t>
      </w:r>
    </w:p>
    <w:p w14:paraId="36180F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本次火灾事故源强主要考虑1座</w:t>
      </w:r>
      <w:r>
        <w:rPr>
          <w:rFonts w:hint="eastAsia" w:cs="Times New Roman"/>
          <w:color w:val="auto"/>
          <w:kern w:val="0"/>
          <w:sz w:val="24"/>
          <w:highlight w:val="none"/>
        </w:rPr>
        <w:t>烷烃</w:t>
      </w:r>
      <w:r>
        <w:rPr>
          <w:rFonts w:cs="Times New Roman"/>
          <w:color w:val="auto"/>
          <w:kern w:val="0"/>
          <w:sz w:val="24"/>
          <w:highlight w:val="none"/>
        </w:rPr>
        <w:t>储罐贮存泄漏到罐区地面形成液池，遇到火源燃烧而形成池火。火灾产生次生污染物中毒性较大的为物料不完全燃料产生的CO产生量按下式计算：</w:t>
      </w:r>
    </w:p>
    <w:p w14:paraId="3ACCF6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Gco=2330×q×C×Q</w:t>
      </w:r>
    </w:p>
    <w:p w14:paraId="7B0BFE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式中：</w:t>
      </w:r>
    </w:p>
    <w:p w14:paraId="2B6267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Gco——燃烧产生的CO量，kg/s；</w:t>
      </w:r>
    </w:p>
    <w:p w14:paraId="5E6E161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C——燃烧物中碳的质量百分比含量。根据</w:t>
      </w:r>
      <w:r>
        <w:rPr>
          <w:rFonts w:hint="eastAsia" w:cs="Times New Roman"/>
          <w:color w:val="auto"/>
          <w:kern w:val="0"/>
          <w:sz w:val="24"/>
          <w:highlight w:val="none"/>
        </w:rPr>
        <w:t>烷烃</w:t>
      </w:r>
      <w:r>
        <w:rPr>
          <w:rFonts w:cs="Times New Roman"/>
          <w:color w:val="auto"/>
          <w:kern w:val="0"/>
          <w:sz w:val="24"/>
          <w:highlight w:val="none"/>
        </w:rPr>
        <w:t>组成，本次评价以</w:t>
      </w:r>
      <w:r>
        <w:rPr>
          <w:rFonts w:hint="eastAsia" w:cs="Times New Roman"/>
          <w:color w:val="auto"/>
          <w:kern w:val="0"/>
          <w:sz w:val="24"/>
          <w:highlight w:val="none"/>
        </w:rPr>
        <w:t>84.6</w:t>
      </w:r>
      <w:r>
        <w:rPr>
          <w:rFonts w:cs="Times New Roman"/>
          <w:color w:val="auto"/>
          <w:kern w:val="0"/>
          <w:sz w:val="24"/>
          <w:highlight w:val="none"/>
        </w:rPr>
        <w:t>%计算；</w:t>
      </w:r>
    </w:p>
    <w:p w14:paraId="3E4401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q——碳不完全燃烧率。1.5</w:t>
      </w:r>
      <w:r>
        <w:rPr>
          <w:rFonts w:hint="eastAsia" w:cs="Times New Roman"/>
          <w:color w:val="auto"/>
          <w:kern w:val="0"/>
          <w:sz w:val="24"/>
          <w:highlight w:val="none"/>
        </w:rPr>
        <w:t>%</w:t>
      </w:r>
      <w:r>
        <w:rPr>
          <w:rFonts w:cs="Times New Roman"/>
          <w:color w:val="auto"/>
          <w:kern w:val="0"/>
          <w:sz w:val="24"/>
          <w:highlight w:val="none"/>
        </w:rPr>
        <w:t>~6%，本次评价按照5%计算；</w:t>
      </w:r>
    </w:p>
    <w:p w14:paraId="563B3A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color w:val="auto"/>
          <w:kern w:val="0"/>
          <w:sz w:val="24"/>
          <w:highlight w:val="none"/>
        </w:rPr>
        <w:t>Q——参与燃烧的物质量，t/s，</w:t>
      </w:r>
      <w:r>
        <w:rPr>
          <w:rFonts w:cs="Times New Roman"/>
          <w:snapToGrid w:val="0"/>
          <w:color w:val="auto"/>
          <w:kern w:val="0"/>
          <w:sz w:val="24"/>
          <w:highlight w:val="none"/>
        </w:rPr>
        <w:t>本次预测取参与燃烧的</w:t>
      </w:r>
      <w:r>
        <w:rPr>
          <w:rFonts w:hint="eastAsia" w:cs="Times New Roman"/>
          <w:snapToGrid w:val="0"/>
          <w:color w:val="auto"/>
          <w:kern w:val="0"/>
          <w:sz w:val="24"/>
          <w:highlight w:val="none"/>
        </w:rPr>
        <w:t>烷烃</w:t>
      </w:r>
      <w:r>
        <w:rPr>
          <w:rFonts w:cs="Times New Roman"/>
          <w:snapToGrid w:val="0"/>
          <w:color w:val="auto"/>
          <w:kern w:val="0"/>
          <w:sz w:val="24"/>
          <w:highlight w:val="none"/>
        </w:rPr>
        <w:t>量</w:t>
      </w:r>
      <w:r>
        <w:rPr>
          <w:rFonts w:hint="eastAsia" w:cs="Times New Roman"/>
          <w:snapToGrid w:val="0"/>
          <w:color w:val="auto"/>
          <w:kern w:val="0"/>
          <w:sz w:val="24"/>
          <w:highlight w:val="none"/>
          <w:lang w:val="en-US" w:eastAsia="zh-CN"/>
        </w:rPr>
        <w:t>4833kg，假定火灾持续时间10min，</w:t>
      </w:r>
      <w:r>
        <w:rPr>
          <w:rFonts w:cs="Times New Roman"/>
          <w:snapToGrid w:val="0"/>
          <w:color w:val="auto"/>
          <w:kern w:val="0"/>
          <w:sz w:val="24"/>
          <w:highlight w:val="none"/>
        </w:rPr>
        <w:t>即</w:t>
      </w:r>
      <w:r>
        <w:rPr>
          <w:rFonts w:hint="eastAsia" w:cs="Times New Roman"/>
          <w:snapToGrid w:val="0"/>
          <w:color w:val="auto"/>
          <w:kern w:val="0"/>
          <w:sz w:val="24"/>
          <w:highlight w:val="none"/>
          <w:lang w:val="en-US" w:eastAsia="zh-CN"/>
        </w:rPr>
        <w:t>0.01</w:t>
      </w:r>
      <w:r>
        <w:rPr>
          <w:rFonts w:cs="Times New Roman"/>
          <w:snapToGrid w:val="0"/>
          <w:color w:val="auto"/>
          <w:kern w:val="0"/>
          <w:sz w:val="24"/>
          <w:highlight w:val="none"/>
        </w:rPr>
        <w:t>t/s。</w:t>
      </w:r>
    </w:p>
    <w:p w14:paraId="4A7B7B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color w:val="auto"/>
          <w:kern w:val="0"/>
          <w:sz w:val="24"/>
          <w:highlight w:val="none"/>
        </w:rPr>
      </w:pPr>
      <w:r>
        <w:rPr>
          <w:rFonts w:cs="Times New Roman"/>
          <w:color w:val="auto"/>
          <w:kern w:val="0"/>
          <w:sz w:val="24"/>
          <w:highlight w:val="none"/>
        </w:rPr>
        <w:t>经计算，最不利气象条件下</w:t>
      </w:r>
      <w:r>
        <w:rPr>
          <w:rFonts w:hint="eastAsia" w:cs="Times New Roman"/>
          <w:color w:val="auto"/>
          <w:kern w:val="0"/>
          <w:sz w:val="24"/>
          <w:highlight w:val="none"/>
        </w:rPr>
        <w:t>烷烃</w:t>
      </w:r>
      <w:r>
        <w:rPr>
          <w:rFonts w:cs="Times New Roman"/>
          <w:color w:val="auto"/>
          <w:kern w:val="0"/>
          <w:sz w:val="24"/>
          <w:highlight w:val="none"/>
        </w:rPr>
        <w:t>燃烧事故次生的CO污染产生速率</w:t>
      </w:r>
      <w:r>
        <w:rPr>
          <w:rFonts w:hint="eastAsia" w:cs="Times New Roman"/>
          <w:color w:val="auto"/>
          <w:kern w:val="0"/>
          <w:sz w:val="24"/>
          <w:highlight w:val="none"/>
        </w:rPr>
        <w:t>均为</w:t>
      </w:r>
      <w:r>
        <w:rPr>
          <w:rFonts w:hint="eastAsia" w:cs="Times New Roman"/>
          <w:color w:val="auto"/>
          <w:kern w:val="0"/>
          <w:sz w:val="24"/>
          <w:highlight w:val="none"/>
          <w:lang w:val="en-US" w:eastAsia="zh-CN"/>
        </w:rPr>
        <w:t>0.99</w:t>
      </w:r>
      <w:r>
        <w:rPr>
          <w:rFonts w:cs="Times New Roman"/>
          <w:color w:val="auto"/>
          <w:kern w:val="0"/>
          <w:sz w:val="24"/>
          <w:highlight w:val="none"/>
        </w:rPr>
        <w:t>kg/s，假定火灾持续时间</w:t>
      </w:r>
      <w:r>
        <w:rPr>
          <w:rFonts w:hint="eastAsia" w:cs="Times New Roman"/>
          <w:color w:val="auto"/>
          <w:kern w:val="0"/>
          <w:sz w:val="24"/>
          <w:highlight w:val="none"/>
          <w:lang w:val="en-US" w:eastAsia="zh-CN"/>
        </w:rPr>
        <w:t>1</w:t>
      </w:r>
      <w:r>
        <w:rPr>
          <w:rFonts w:cs="Times New Roman"/>
          <w:color w:val="auto"/>
          <w:kern w:val="0"/>
          <w:sz w:val="24"/>
          <w:highlight w:val="none"/>
        </w:rPr>
        <w:t>0min，产生CO约为</w:t>
      </w:r>
      <w:r>
        <w:rPr>
          <w:rFonts w:hint="eastAsia" w:cs="Times New Roman"/>
          <w:color w:val="auto"/>
          <w:kern w:val="0"/>
          <w:sz w:val="24"/>
          <w:highlight w:val="none"/>
          <w:lang w:val="en-US" w:eastAsia="zh-CN"/>
        </w:rPr>
        <w:t>594kg</w:t>
      </w:r>
      <w:r>
        <w:rPr>
          <w:rFonts w:cs="Times New Roman"/>
          <w:color w:val="auto"/>
          <w:kern w:val="0"/>
          <w:sz w:val="24"/>
          <w:highlight w:val="none"/>
        </w:rPr>
        <w:t>。</w:t>
      </w:r>
    </w:p>
    <w:p w14:paraId="146B0BB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cs="Times New Roman"/>
          <w:color w:val="auto"/>
          <w:kern w:val="0"/>
          <w:sz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（2）</w:t>
      </w:r>
      <w:r>
        <w:rPr>
          <w:rFonts w:hint="eastAsia" w:cs="Times New Roman"/>
          <w:color w:val="auto"/>
          <w:kern w:val="0"/>
          <w:sz w:val="24"/>
          <w:highlight w:val="none"/>
          <w:lang w:val="en-US" w:eastAsia="zh-CN"/>
        </w:rPr>
        <w:t>原料硫酸铵遇明火或高热分解产生氨和二氧化硫</w:t>
      </w:r>
    </w:p>
    <w:p w14:paraId="1AA797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硫酸铵包装为50kg/袋，堆放在托盘上储存在库房，硫酸铵遇明火或高热分解后在10分钟内可以发现，分解量按200kg计算。硫酸铵分解反应方程式为：</w:t>
      </w:r>
    </w:p>
    <w:p w14:paraId="5DBDD7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drawing>
          <wp:inline distT="0" distB="0" distL="114300" distR="114300">
            <wp:extent cx="4020185" cy="290195"/>
            <wp:effectExtent l="0" t="0" r="18415" b="14605"/>
            <wp:docPr id="367" name="图片 367" descr="56cafb5e-6ca3-47b1-a2ea-8cccc474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67" descr="56cafb5e-6ca3-47b1-a2ea-8cccc4741150"/>
                    <pic:cNvPicPr>
                      <a:picLocks noChangeAspect="1"/>
                    </pic:cNvPicPr>
                  </pic:nvPicPr>
                  <pic:blipFill>
                    <a:blip r:embed="rId76"/>
                    <a:stretch>
                      <a:fillRect/>
                    </a:stretch>
                  </pic:blipFill>
                  <pic:spPr>
                    <a:xfrm>
                      <a:off x="0" y="0"/>
                      <a:ext cx="4020185" cy="290195"/>
                    </a:xfrm>
                    <a:prstGeom prst="rect">
                      <a:avLst/>
                    </a:prstGeom>
                  </pic:spPr>
                </pic:pic>
              </a:graphicData>
            </a:graphic>
          </wp:inline>
        </w:drawing>
      </w:r>
    </w:p>
    <w:p w14:paraId="70496C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氨的产生量为34.34kg，二氧化硫产生量为96.97kg。</w:t>
      </w:r>
    </w:p>
    <w:p w14:paraId="227D77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（3）小结</w:t>
      </w:r>
    </w:p>
    <w:p w14:paraId="0B031A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综上所述，本项目的最大可信事故源项见表6.3-18。</w:t>
      </w:r>
    </w:p>
    <w:p w14:paraId="53417F38">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w:t>
      </w:r>
      <w:r>
        <w:rPr>
          <w:rFonts w:hint="eastAsia" w:ascii="Times New Roman" w:hAnsi="Times New Roman" w:cs="Times New Roman"/>
          <w:snapToGrid w:val="0"/>
          <w:color w:val="auto"/>
          <w:kern w:val="0"/>
          <w:sz w:val="21"/>
          <w:szCs w:val="21"/>
          <w:highlight w:val="none"/>
          <w:lang w:val="en-US" w:eastAsia="zh-CN"/>
        </w:rPr>
        <w:t>3-18</w:t>
      </w:r>
      <w:r>
        <w:rPr>
          <w:rFonts w:hint="eastAsia" w:ascii="Times New Roman" w:hAnsi="Times New Roman" w:cs="Times New Roman"/>
          <w:snapToGrid w:val="0"/>
          <w:color w:val="auto"/>
          <w:kern w:val="0"/>
          <w:sz w:val="21"/>
          <w:szCs w:val="21"/>
          <w:highlight w:val="none"/>
        </w:rPr>
        <w:t xml:space="preserve"> 建设项目源强一览表</w:t>
      </w:r>
    </w:p>
    <w:tbl>
      <w:tblPr>
        <w:tblStyle w:val="56"/>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6" w:type="dxa"/>
          <w:bottom w:w="0" w:type="dxa"/>
          <w:right w:w="6" w:type="dxa"/>
        </w:tblCellMar>
      </w:tblPr>
      <w:tblGrid>
        <w:gridCol w:w="616"/>
        <w:gridCol w:w="1503"/>
        <w:gridCol w:w="815"/>
        <w:gridCol w:w="815"/>
        <w:gridCol w:w="1034"/>
        <w:gridCol w:w="1156"/>
        <w:gridCol w:w="1024"/>
        <w:gridCol w:w="1262"/>
      </w:tblGrid>
      <w:tr w14:paraId="423732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6" w:type="dxa"/>
            <w:bottom w:w="0" w:type="dxa"/>
            <w:right w:w="6" w:type="dxa"/>
          </w:tblCellMar>
        </w:tblPrEx>
        <w:trPr>
          <w:jc w:val="center"/>
        </w:trPr>
        <w:tc>
          <w:tcPr>
            <w:tcW w:w="374" w:type="pct"/>
            <w:vAlign w:val="center"/>
          </w:tcPr>
          <w:p w14:paraId="5FE7BDA6">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序号</w:t>
            </w:r>
          </w:p>
        </w:tc>
        <w:tc>
          <w:tcPr>
            <w:tcW w:w="913" w:type="pct"/>
            <w:vAlign w:val="center"/>
          </w:tcPr>
          <w:p w14:paraId="0F425C2A">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事故情形描述</w:t>
            </w:r>
          </w:p>
        </w:tc>
        <w:tc>
          <w:tcPr>
            <w:tcW w:w="495" w:type="pct"/>
            <w:vAlign w:val="center"/>
          </w:tcPr>
          <w:p w14:paraId="02162E34">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气象条件</w:t>
            </w:r>
          </w:p>
        </w:tc>
        <w:tc>
          <w:tcPr>
            <w:tcW w:w="495" w:type="pct"/>
            <w:vAlign w:val="center"/>
          </w:tcPr>
          <w:p w14:paraId="7961D951">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危险单元</w:t>
            </w:r>
          </w:p>
        </w:tc>
        <w:tc>
          <w:tcPr>
            <w:tcW w:w="628" w:type="pct"/>
            <w:vAlign w:val="center"/>
          </w:tcPr>
          <w:p w14:paraId="6CD82C08">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危险物质</w:t>
            </w:r>
          </w:p>
        </w:tc>
        <w:tc>
          <w:tcPr>
            <w:tcW w:w="702" w:type="pct"/>
            <w:vAlign w:val="center"/>
          </w:tcPr>
          <w:p w14:paraId="4131F7CA">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释放/泄漏速率kg/s</w:t>
            </w:r>
          </w:p>
        </w:tc>
        <w:tc>
          <w:tcPr>
            <w:tcW w:w="622" w:type="pct"/>
            <w:vAlign w:val="center"/>
          </w:tcPr>
          <w:p w14:paraId="0B1DBB90">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释放/泄漏时间min</w:t>
            </w:r>
          </w:p>
        </w:tc>
        <w:tc>
          <w:tcPr>
            <w:tcW w:w="766" w:type="pct"/>
            <w:vAlign w:val="center"/>
          </w:tcPr>
          <w:p w14:paraId="10637BC7">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最大释放/泄漏量kg</w:t>
            </w:r>
          </w:p>
        </w:tc>
      </w:tr>
      <w:tr w14:paraId="77C196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6" w:type="dxa"/>
            <w:bottom w:w="0" w:type="dxa"/>
            <w:right w:w="6" w:type="dxa"/>
          </w:tblCellMar>
        </w:tblPrEx>
        <w:trPr>
          <w:trHeight w:val="426" w:hRule="atLeast"/>
          <w:jc w:val="center"/>
        </w:trPr>
        <w:tc>
          <w:tcPr>
            <w:tcW w:w="374" w:type="pct"/>
            <w:vAlign w:val="center"/>
          </w:tcPr>
          <w:p w14:paraId="7E61F6A5">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1</w:t>
            </w:r>
          </w:p>
        </w:tc>
        <w:tc>
          <w:tcPr>
            <w:tcW w:w="913" w:type="pct"/>
            <w:vAlign w:val="center"/>
          </w:tcPr>
          <w:p w14:paraId="35A7B323">
            <w:pPr>
              <w:widowControl/>
              <w:tabs>
                <w:tab w:val="left" w:pos="1119"/>
              </w:tabs>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烷烃</w:t>
            </w:r>
            <w:r>
              <w:rPr>
                <w:rFonts w:cs="Times New Roman"/>
                <w:color w:val="auto"/>
                <w:sz w:val="21"/>
                <w:szCs w:val="21"/>
                <w:highlight w:val="none"/>
              </w:rPr>
              <w:t>储罐泄漏事故</w:t>
            </w:r>
          </w:p>
        </w:tc>
        <w:tc>
          <w:tcPr>
            <w:tcW w:w="495" w:type="pct"/>
            <w:vAlign w:val="center"/>
          </w:tcPr>
          <w:p w14:paraId="3B9A134B">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最不利</w:t>
            </w:r>
          </w:p>
        </w:tc>
        <w:tc>
          <w:tcPr>
            <w:tcW w:w="495" w:type="pct"/>
            <w:vAlign w:val="center"/>
          </w:tcPr>
          <w:p w14:paraId="555038BC">
            <w:pPr>
              <w:widowControl/>
              <w:tabs>
                <w:tab w:val="left" w:pos="1119"/>
              </w:tabs>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烷烃</w:t>
            </w:r>
            <w:r>
              <w:rPr>
                <w:rFonts w:cs="Times New Roman"/>
                <w:color w:val="auto"/>
                <w:sz w:val="21"/>
                <w:szCs w:val="21"/>
                <w:highlight w:val="none"/>
              </w:rPr>
              <w:t>储罐</w:t>
            </w:r>
          </w:p>
        </w:tc>
        <w:tc>
          <w:tcPr>
            <w:tcW w:w="628" w:type="pct"/>
            <w:vAlign w:val="center"/>
          </w:tcPr>
          <w:p w14:paraId="7C22983E">
            <w:pPr>
              <w:widowControl/>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hint="eastAsia" w:cs="Times New Roman"/>
                <w:color w:val="auto"/>
                <w:sz w:val="21"/>
                <w:szCs w:val="21"/>
                <w:highlight w:val="none"/>
              </w:rPr>
              <w:t>次生污染物CO</w:t>
            </w:r>
          </w:p>
        </w:tc>
        <w:tc>
          <w:tcPr>
            <w:tcW w:w="702" w:type="pct"/>
            <w:vAlign w:val="center"/>
          </w:tcPr>
          <w:p w14:paraId="4A27DAE8">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0.99</w:t>
            </w:r>
          </w:p>
        </w:tc>
        <w:tc>
          <w:tcPr>
            <w:tcW w:w="622" w:type="pct"/>
            <w:vAlign w:val="center"/>
          </w:tcPr>
          <w:p w14:paraId="3A56B2E8">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766" w:type="pct"/>
            <w:vAlign w:val="center"/>
          </w:tcPr>
          <w:p w14:paraId="41D39C2D">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594</w:t>
            </w:r>
          </w:p>
        </w:tc>
      </w:tr>
      <w:tr w14:paraId="0636EF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6" w:type="dxa"/>
            <w:bottom w:w="0" w:type="dxa"/>
            <w:right w:w="6" w:type="dxa"/>
          </w:tblCellMar>
        </w:tblPrEx>
        <w:trPr>
          <w:trHeight w:val="426" w:hRule="atLeast"/>
          <w:jc w:val="center"/>
        </w:trPr>
        <w:tc>
          <w:tcPr>
            <w:tcW w:w="374" w:type="pct"/>
            <w:vMerge w:val="restart"/>
            <w:vAlign w:val="center"/>
          </w:tcPr>
          <w:p w14:paraId="6D23B28C">
            <w:pPr>
              <w:widowControl/>
              <w:tabs>
                <w:tab w:val="left" w:pos="1119"/>
              </w:tabs>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2</w:t>
            </w:r>
          </w:p>
        </w:tc>
        <w:tc>
          <w:tcPr>
            <w:tcW w:w="913" w:type="pct"/>
            <w:vMerge w:val="restart"/>
            <w:vAlign w:val="center"/>
          </w:tcPr>
          <w:p w14:paraId="7E9A2415">
            <w:pPr>
              <w:widowControl/>
              <w:tabs>
                <w:tab w:val="left" w:pos="1119"/>
              </w:tabs>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lang w:val="en-US" w:eastAsia="zh-CN"/>
              </w:rPr>
              <w:t>硫酸铵明火或高热分解</w:t>
            </w:r>
            <w:r>
              <w:rPr>
                <w:rFonts w:cs="Times New Roman"/>
                <w:color w:val="auto"/>
                <w:sz w:val="21"/>
                <w:szCs w:val="21"/>
                <w:highlight w:val="none"/>
              </w:rPr>
              <w:t>事故</w:t>
            </w:r>
          </w:p>
        </w:tc>
        <w:tc>
          <w:tcPr>
            <w:tcW w:w="495" w:type="pct"/>
            <w:vMerge w:val="restart"/>
            <w:vAlign w:val="center"/>
          </w:tcPr>
          <w:p w14:paraId="4B4FD092">
            <w:pPr>
              <w:widowControl/>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最不利</w:t>
            </w:r>
          </w:p>
        </w:tc>
        <w:tc>
          <w:tcPr>
            <w:tcW w:w="495" w:type="pct"/>
            <w:vMerge w:val="restart"/>
            <w:vAlign w:val="center"/>
          </w:tcPr>
          <w:p w14:paraId="0D279E2B">
            <w:pPr>
              <w:widowControl/>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hint="eastAsia" w:cs="Times New Roman"/>
                <w:color w:val="auto"/>
                <w:sz w:val="21"/>
                <w:szCs w:val="21"/>
                <w:highlight w:val="none"/>
                <w:lang w:val="en-US" w:eastAsia="zh-CN"/>
              </w:rPr>
              <w:t>库房</w:t>
            </w:r>
          </w:p>
        </w:tc>
        <w:tc>
          <w:tcPr>
            <w:tcW w:w="628" w:type="pct"/>
            <w:vAlign w:val="center"/>
          </w:tcPr>
          <w:p w14:paraId="0ADBD0D6">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氨</w:t>
            </w:r>
          </w:p>
        </w:tc>
        <w:tc>
          <w:tcPr>
            <w:tcW w:w="702" w:type="pct"/>
            <w:vAlign w:val="center"/>
          </w:tcPr>
          <w:p w14:paraId="0E5E9F8B">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0.06</w:t>
            </w:r>
          </w:p>
        </w:tc>
        <w:tc>
          <w:tcPr>
            <w:tcW w:w="622" w:type="pct"/>
            <w:vAlign w:val="center"/>
          </w:tcPr>
          <w:p w14:paraId="31652595">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1262" w:type="dxa"/>
            <w:vAlign w:val="center"/>
          </w:tcPr>
          <w:p w14:paraId="6265F6C8">
            <w:pPr>
              <w:widowControl/>
              <w:tabs>
                <w:tab w:val="left" w:pos="1119"/>
              </w:tabs>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lang w:val="en-US" w:eastAsia="zh-CN"/>
              </w:rPr>
              <w:t>34.34</w:t>
            </w:r>
          </w:p>
        </w:tc>
      </w:tr>
      <w:tr w14:paraId="2C16E8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6" w:type="dxa"/>
            <w:bottom w:w="0" w:type="dxa"/>
            <w:right w:w="6" w:type="dxa"/>
          </w:tblCellMar>
        </w:tblPrEx>
        <w:trPr>
          <w:trHeight w:val="426" w:hRule="atLeast"/>
          <w:jc w:val="center"/>
        </w:trPr>
        <w:tc>
          <w:tcPr>
            <w:tcW w:w="374" w:type="pct"/>
            <w:vMerge w:val="continue"/>
            <w:vAlign w:val="center"/>
          </w:tcPr>
          <w:p w14:paraId="283FCB3B">
            <w:pPr>
              <w:widowControl/>
              <w:tabs>
                <w:tab w:val="left" w:pos="1119"/>
              </w:tabs>
              <w:spacing w:line="360" w:lineRule="exact"/>
              <w:ind w:firstLine="0" w:firstLineChars="0"/>
              <w:jc w:val="center"/>
              <w:rPr>
                <w:rFonts w:hint="eastAsia" w:cs="Times New Roman"/>
                <w:color w:val="auto"/>
                <w:sz w:val="21"/>
                <w:szCs w:val="21"/>
                <w:highlight w:val="none"/>
              </w:rPr>
            </w:pPr>
          </w:p>
        </w:tc>
        <w:tc>
          <w:tcPr>
            <w:tcW w:w="913" w:type="pct"/>
            <w:vMerge w:val="continue"/>
            <w:vAlign w:val="center"/>
          </w:tcPr>
          <w:p w14:paraId="7544F696">
            <w:pPr>
              <w:widowControl/>
              <w:tabs>
                <w:tab w:val="left" w:pos="1119"/>
              </w:tabs>
              <w:spacing w:line="360" w:lineRule="exact"/>
              <w:ind w:firstLine="0" w:firstLineChars="0"/>
              <w:jc w:val="center"/>
              <w:rPr>
                <w:rFonts w:hint="eastAsia" w:cs="Times New Roman"/>
                <w:color w:val="auto"/>
                <w:sz w:val="21"/>
                <w:szCs w:val="21"/>
                <w:highlight w:val="none"/>
                <w:lang w:val="en-US" w:eastAsia="zh-CN"/>
              </w:rPr>
            </w:pPr>
          </w:p>
        </w:tc>
        <w:tc>
          <w:tcPr>
            <w:tcW w:w="495" w:type="pct"/>
            <w:vMerge w:val="continue"/>
            <w:vAlign w:val="center"/>
          </w:tcPr>
          <w:p w14:paraId="308FFA58">
            <w:pPr>
              <w:widowControl/>
              <w:tabs>
                <w:tab w:val="left" w:pos="1119"/>
              </w:tabs>
              <w:spacing w:line="360" w:lineRule="exact"/>
              <w:ind w:firstLine="0" w:firstLineChars="0"/>
              <w:jc w:val="center"/>
              <w:rPr>
                <w:rFonts w:cs="Times New Roman"/>
                <w:color w:val="auto"/>
                <w:sz w:val="21"/>
                <w:szCs w:val="21"/>
                <w:highlight w:val="none"/>
              </w:rPr>
            </w:pPr>
          </w:p>
        </w:tc>
        <w:tc>
          <w:tcPr>
            <w:tcW w:w="495" w:type="pct"/>
            <w:vMerge w:val="continue"/>
            <w:vAlign w:val="center"/>
          </w:tcPr>
          <w:p w14:paraId="19FAA04F">
            <w:pPr>
              <w:widowControl/>
              <w:tabs>
                <w:tab w:val="left" w:pos="1119"/>
              </w:tabs>
              <w:spacing w:line="360" w:lineRule="exact"/>
              <w:ind w:firstLine="0" w:firstLineChars="0"/>
              <w:jc w:val="center"/>
              <w:rPr>
                <w:rFonts w:hint="eastAsia" w:cs="Times New Roman"/>
                <w:color w:val="auto"/>
                <w:sz w:val="21"/>
                <w:szCs w:val="21"/>
                <w:highlight w:val="none"/>
              </w:rPr>
            </w:pPr>
          </w:p>
        </w:tc>
        <w:tc>
          <w:tcPr>
            <w:tcW w:w="628" w:type="pct"/>
            <w:vAlign w:val="center"/>
          </w:tcPr>
          <w:p w14:paraId="3927FC63">
            <w:pPr>
              <w:widowControl/>
              <w:tabs>
                <w:tab w:val="left" w:pos="1119"/>
              </w:tabs>
              <w:spacing w:line="360" w:lineRule="exact"/>
              <w:ind w:firstLine="0" w:firstLineChars="0"/>
              <w:jc w:val="center"/>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二氧化硫</w:t>
            </w:r>
          </w:p>
        </w:tc>
        <w:tc>
          <w:tcPr>
            <w:tcW w:w="702" w:type="pct"/>
            <w:vAlign w:val="center"/>
          </w:tcPr>
          <w:p w14:paraId="2FC2ED25">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0.16</w:t>
            </w:r>
          </w:p>
        </w:tc>
        <w:tc>
          <w:tcPr>
            <w:tcW w:w="622" w:type="pct"/>
            <w:vAlign w:val="center"/>
          </w:tcPr>
          <w:p w14:paraId="3C79C2B0">
            <w:pPr>
              <w:widowControl/>
              <w:tabs>
                <w:tab w:val="left" w:pos="1119"/>
              </w:tabs>
              <w:spacing w:line="360" w:lineRule="exac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1262" w:type="dxa"/>
            <w:vAlign w:val="center"/>
          </w:tcPr>
          <w:p w14:paraId="426D4839">
            <w:pPr>
              <w:widowControl/>
              <w:tabs>
                <w:tab w:val="left" w:pos="1119"/>
              </w:tabs>
              <w:spacing w:line="360" w:lineRule="exact"/>
              <w:ind w:firstLine="0" w:firstLineChars="0"/>
              <w:jc w:val="center"/>
              <w:rPr>
                <w:rFonts w:hint="eastAsia" w:cs="Times New Roman"/>
                <w:color w:val="auto"/>
                <w:sz w:val="21"/>
                <w:szCs w:val="21"/>
                <w:highlight w:val="none"/>
              </w:rPr>
            </w:pPr>
            <w:r>
              <w:rPr>
                <w:rFonts w:hint="eastAsia" w:cs="Times New Roman"/>
                <w:color w:val="auto"/>
                <w:sz w:val="21"/>
                <w:szCs w:val="21"/>
                <w:highlight w:val="none"/>
                <w:lang w:val="en-US" w:eastAsia="zh-CN"/>
              </w:rPr>
              <w:t>96.97</w:t>
            </w:r>
          </w:p>
        </w:tc>
      </w:tr>
    </w:tbl>
    <w:p w14:paraId="5A166A53">
      <w:pPr>
        <w:rPr>
          <w:rFonts w:hint="eastAsia"/>
          <w:color w:val="auto"/>
          <w:highlight w:val="none"/>
          <w:lang w:val="en-US" w:eastAsia="zh-CN"/>
        </w:rPr>
      </w:pPr>
    </w:p>
    <w:p w14:paraId="5E5BD4A7">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166" w:name="_Toc5880"/>
      <w:bookmarkStart w:id="167" w:name="_Toc31443"/>
      <w:bookmarkStart w:id="168" w:name="_Toc96787303"/>
      <w:r>
        <w:rPr>
          <w:rFonts w:hint="eastAsia" w:ascii="Times New Roman" w:hAnsi="Times New Roman" w:cs="Times New Roman"/>
          <w:snapToGrid w:val="0"/>
          <w:color w:val="auto"/>
          <w:spacing w:val="0"/>
          <w:kern w:val="0"/>
          <w:szCs w:val="24"/>
          <w:highlight w:val="none"/>
          <w:lang w:val="en-US" w:eastAsia="zh-CN"/>
        </w:rPr>
        <w:t>6.3.6风险预测与评价</w:t>
      </w:r>
      <w:bookmarkEnd w:id="166"/>
      <w:bookmarkEnd w:id="167"/>
      <w:bookmarkEnd w:id="168"/>
    </w:p>
    <w:p w14:paraId="0095BF0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default"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6.3.6.1大气环境风险预测与评价</w:t>
      </w:r>
    </w:p>
    <w:p w14:paraId="0E87219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（1）预测模式</w:t>
      </w:r>
    </w:p>
    <w:p w14:paraId="23403D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根据《建设项目环境风险评价技术导则》（HJ169-2018）附录G，根据排放类型的不同选择相应的理查德森数计算公式，然后确定预测模式。</w:t>
      </w:r>
    </w:p>
    <w:p w14:paraId="6A30D5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1）排放类型的判定</w:t>
      </w:r>
    </w:p>
    <w:p w14:paraId="154EF4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判断连续排放还是瞬时排放，通过对比排放时间T</w:t>
      </w:r>
      <w:r>
        <w:rPr>
          <w:rFonts w:hint="eastAsia" w:ascii="Times New Roman" w:hAnsi="Times New Roman" w:eastAsia="宋体" w:cs="Times New Roman"/>
          <w:b w:val="0"/>
          <w:bCs w:val="0"/>
          <w:snapToGrid w:val="0"/>
          <w:color w:val="auto"/>
          <w:spacing w:val="0"/>
          <w:kern w:val="0"/>
          <w:position w:val="0"/>
          <w:sz w:val="24"/>
          <w:szCs w:val="24"/>
          <w:highlight w:val="none"/>
          <w:vertAlign w:val="subscript"/>
        </w:rPr>
        <w:t>d</w:t>
      </w:r>
      <w:r>
        <w:rPr>
          <w:rFonts w:hint="eastAsia" w:ascii="Times New Roman" w:hAnsi="Times New Roman" w:eastAsia="宋体" w:cs="Times New Roman"/>
          <w:b w:val="0"/>
          <w:bCs w:val="0"/>
          <w:snapToGrid w:val="0"/>
          <w:color w:val="auto"/>
          <w:spacing w:val="0"/>
          <w:kern w:val="0"/>
          <w:position w:val="0"/>
          <w:sz w:val="24"/>
          <w:szCs w:val="24"/>
          <w:highlight w:val="none"/>
        </w:rPr>
        <w:t>和污染物达到最近受体（敏感目标）的时间T确定。</w:t>
      </w:r>
    </w:p>
    <w:p w14:paraId="22B9D7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T=2X/Ur</w:t>
      </w:r>
    </w:p>
    <w:p w14:paraId="0C1D6F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式中：X——事故发生地与计算点的距离，m；</w:t>
      </w:r>
    </w:p>
    <w:p w14:paraId="5AB0D5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 xml:space="preserve">      Ur——10m高处风速，m/s。假设风速和风向在计算时间T内保持不变。</w:t>
      </w:r>
    </w:p>
    <w:p w14:paraId="1F6068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当Td＞T时，为连续排放；当Td≤T时，为瞬间排放。</w:t>
      </w:r>
    </w:p>
    <w:p w14:paraId="3117A9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2）模式选择</w:t>
      </w:r>
    </w:p>
    <w:p w14:paraId="608AEE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以理查德森数Ri选取模式。</w:t>
      </w:r>
    </w:p>
    <w:p w14:paraId="31FC11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连续排放：</w:t>
      </w:r>
    </w:p>
    <w:p w14:paraId="491B86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p>
    <w:p w14:paraId="490104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ascii="Times New Roman" w:hAnsi="Times New Roman" w:eastAsia="宋体" w:cs="Times New Roman"/>
          <w:b w:val="0"/>
          <w:bCs w:val="0"/>
          <w:snapToGrid w:val="0"/>
          <w:color w:val="auto"/>
          <w:spacing w:val="0"/>
          <w:kern w:val="0"/>
          <w:position w:val="0"/>
          <w:sz w:val="24"/>
          <w:szCs w:val="24"/>
          <w:highlight w:val="none"/>
        </w:rPr>
        <w:drawing>
          <wp:inline distT="0" distB="0" distL="114300" distR="114300">
            <wp:extent cx="1684020" cy="537210"/>
            <wp:effectExtent l="0" t="0" r="11430" b="15240"/>
            <wp:docPr id="5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4"/>
                    <pic:cNvPicPr>
                      <a:picLocks noChangeAspect="1"/>
                    </pic:cNvPicPr>
                  </pic:nvPicPr>
                  <pic:blipFill>
                    <a:blip r:embed="rId77"/>
                    <a:stretch>
                      <a:fillRect/>
                    </a:stretch>
                  </pic:blipFill>
                  <pic:spPr>
                    <a:xfrm>
                      <a:off x="0" y="0"/>
                      <a:ext cx="1684020" cy="537210"/>
                    </a:xfrm>
                    <a:prstGeom prst="rect">
                      <a:avLst/>
                    </a:prstGeom>
                    <a:noFill/>
                    <a:ln>
                      <a:noFill/>
                    </a:ln>
                  </pic:spPr>
                </pic:pic>
              </a:graphicData>
            </a:graphic>
          </wp:inline>
        </w:drawing>
      </w:r>
    </w:p>
    <w:p w14:paraId="03B402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瞬时排放：</w:t>
      </w:r>
    </w:p>
    <w:p w14:paraId="7C7B60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p>
    <w:p w14:paraId="4B5636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ascii="Times New Roman" w:hAnsi="Times New Roman" w:eastAsia="宋体" w:cs="Times New Roman"/>
          <w:b w:val="0"/>
          <w:bCs w:val="0"/>
          <w:snapToGrid w:val="0"/>
          <w:color w:val="auto"/>
          <w:spacing w:val="0"/>
          <w:kern w:val="0"/>
          <w:position w:val="0"/>
          <w:sz w:val="24"/>
          <w:szCs w:val="24"/>
          <w:highlight w:val="none"/>
        </w:rPr>
        <w:drawing>
          <wp:inline distT="0" distB="0" distL="114300" distR="114300">
            <wp:extent cx="1823085" cy="492125"/>
            <wp:effectExtent l="0" t="0" r="5715" b="3175"/>
            <wp:docPr id="5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5"/>
                    <pic:cNvPicPr>
                      <a:picLocks noChangeAspect="1"/>
                    </pic:cNvPicPr>
                  </pic:nvPicPr>
                  <pic:blipFill>
                    <a:blip r:embed="rId78"/>
                    <a:stretch>
                      <a:fillRect/>
                    </a:stretch>
                  </pic:blipFill>
                  <pic:spPr>
                    <a:xfrm>
                      <a:off x="0" y="0"/>
                      <a:ext cx="1823085" cy="492125"/>
                    </a:xfrm>
                    <a:prstGeom prst="rect">
                      <a:avLst/>
                    </a:prstGeom>
                    <a:noFill/>
                    <a:ln>
                      <a:noFill/>
                    </a:ln>
                  </pic:spPr>
                </pic:pic>
              </a:graphicData>
            </a:graphic>
          </wp:inline>
        </w:drawing>
      </w:r>
    </w:p>
    <w:p w14:paraId="53E96E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式中：</w:t>
      </w:r>
      <w:r>
        <w:rPr>
          <w:rFonts w:ascii="Times New Roman" w:hAnsi="Times New Roman" w:eastAsia="宋体" w:cs="Times New Roman"/>
          <w:b w:val="0"/>
          <w:bCs w:val="0"/>
          <w:snapToGrid w:val="0"/>
          <w:color w:val="auto"/>
          <w:spacing w:val="0"/>
          <w:kern w:val="0"/>
          <w:position w:val="0"/>
          <w:sz w:val="24"/>
          <w:szCs w:val="24"/>
          <w:highlight w:val="none"/>
          <w:shd w:val="clear" w:color="auto" w:fill="FFFFFF"/>
        </w:rPr>
        <w:t>ρ</w:t>
      </w:r>
      <w:r>
        <w:rPr>
          <w:rFonts w:hint="eastAsia" w:ascii="Times New Roman" w:hAnsi="Times New Roman" w:eastAsia="宋体" w:cs="Times New Roman"/>
          <w:b w:val="0"/>
          <w:bCs w:val="0"/>
          <w:snapToGrid w:val="0"/>
          <w:color w:val="auto"/>
          <w:spacing w:val="0"/>
          <w:kern w:val="0"/>
          <w:position w:val="0"/>
          <w:sz w:val="24"/>
          <w:szCs w:val="24"/>
          <w:highlight w:val="none"/>
          <w:vertAlign w:val="subscript"/>
        </w:rPr>
        <w:t>rel</w:t>
      </w:r>
      <w:r>
        <w:rPr>
          <w:rFonts w:hint="eastAsia" w:ascii="Times New Roman" w:hAnsi="Times New Roman" w:eastAsia="宋体" w:cs="Times New Roman"/>
          <w:b w:val="0"/>
          <w:bCs w:val="0"/>
          <w:snapToGrid w:val="0"/>
          <w:color w:val="auto"/>
          <w:spacing w:val="0"/>
          <w:kern w:val="0"/>
          <w:position w:val="0"/>
          <w:sz w:val="24"/>
          <w:szCs w:val="24"/>
          <w:highlight w:val="none"/>
        </w:rPr>
        <w:t>——排放物质进入大气的密度，kg/m</w:t>
      </w:r>
      <w:r>
        <w:rPr>
          <w:rFonts w:hint="eastAsia" w:ascii="Times New Roman" w:hAnsi="Times New Roman" w:eastAsia="宋体" w:cs="Times New Roman"/>
          <w:b w:val="0"/>
          <w:bCs w:val="0"/>
          <w:snapToGrid w:val="0"/>
          <w:color w:val="auto"/>
          <w:spacing w:val="0"/>
          <w:kern w:val="0"/>
          <w:position w:val="0"/>
          <w:sz w:val="24"/>
          <w:szCs w:val="24"/>
          <w:highlight w:val="none"/>
          <w:vertAlign w:val="superscript"/>
        </w:rPr>
        <w:t>3</w:t>
      </w:r>
      <w:r>
        <w:rPr>
          <w:rFonts w:hint="eastAsia" w:ascii="Times New Roman" w:hAnsi="Times New Roman" w:eastAsia="宋体" w:cs="Times New Roman"/>
          <w:b w:val="0"/>
          <w:bCs w:val="0"/>
          <w:snapToGrid w:val="0"/>
          <w:color w:val="auto"/>
          <w:spacing w:val="0"/>
          <w:kern w:val="0"/>
          <w:position w:val="0"/>
          <w:sz w:val="24"/>
          <w:szCs w:val="24"/>
          <w:highlight w:val="none"/>
        </w:rPr>
        <w:t>；</w:t>
      </w:r>
    </w:p>
    <w:p w14:paraId="5D33ED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 xml:space="preserve">      </w:t>
      </w:r>
      <w:r>
        <w:rPr>
          <w:rFonts w:ascii="Times New Roman" w:hAnsi="Times New Roman" w:eastAsia="宋体" w:cs="Times New Roman"/>
          <w:b w:val="0"/>
          <w:bCs w:val="0"/>
          <w:snapToGrid w:val="0"/>
          <w:color w:val="auto"/>
          <w:spacing w:val="0"/>
          <w:kern w:val="0"/>
          <w:position w:val="0"/>
          <w:sz w:val="24"/>
          <w:szCs w:val="24"/>
          <w:highlight w:val="none"/>
          <w:shd w:val="clear" w:color="auto" w:fill="FFFFFF"/>
        </w:rPr>
        <w:t>ρ</w:t>
      </w:r>
      <w:r>
        <w:rPr>
          <w:rFonts w:hint="eastAsia" w:ascii="Times New Roman" w:hAnsi="Times New Roman" w:eastAsia="宋体" w:cs="Times New Roman"/>
          <w:b w:val="0"/>
          <w:bCs w:val="0"/>
          <w:snapToGrid w:val="0"/>
          <w:color w:val="auto"/>
          <w:spacing w:val="0"/>
          <w:kern w:val="0"/>
          <w:position w:val="0"/>
          <w:sz w:val="24"/>
          <w:szCs w:val="24"/>
          <w:highlight w:val="none"/>
          <w:shd w:val="clear" w:color="auto" w:fill="FFFFFF"/>
          <w:vertAlign w:val="subscript"/>
        </w:rPr>
        <w:t>a</w:t>
      </w:r>
      <w:r>
        <w:rPr>
          <w:rFonts w:hint="eastAsia" w:ascii="Times New Roman" w:hAnsi="Times New Roman" w:eastAsia="宋体" w:cs="Times New Roman"/>
          <w:b w:val="0"/>
          <w:bCs w:val="0"/>
          <w:snapToGrid w:val="0"/>
          <w:color w:val="auto"/>
          <w:spacing w:val="0"/>
          <w:kern w:val="0"/>
          <w:position w:val="0"/>
          <w:sz w:val="24"/>
          <w:szCs w:val="24"/>
          <w:highlight w:val="none"/>
          <w:shd w:val="clear" w:color="auto" w:fill="FFFFFF"/>
        </w:rPr>
        <w:t>——</w:t>
      </w:r>
      <w:r>
        <w:rPr>
          <w:rFonts w:hint="eastAsia" w:ascii="Times New Roman" w:hAnsi="Times New Roman" w:eastAsia="宋体" w:cs="Times New Roman"/>
          <w:b w:val="0"/>
          <w:bCs w:val="0"/>
          <w:snapToGrid w:val="0"/>
          <w:color w:val="auto"/>
          <w:spacing w:val="0"/>
          <w:kern w:val="0"/>
          <w:position w:val="0"/>
          <w:sz w:val="24"/>
          <w:szCs w:val="24"/>
          <w:highlight w:val="none"/>
        </w:rPr>
        <w:t>环境空气密度，kg/m</w:t>
      </w:r>
      <w:r>
        <w:rPr>
          <w:rFonts w:hint="eastAsia" w:ascii="Times New Roman" w:hAnsi="Times New Roman" w:eastAsia="宋体" w:cs="Times New Roman"/>
          <w:b w:val="0"/>
          <w:bCs w:val="0"/>
          <w:snapToGrid w:val="0"/>
          <w:color w:val="auto"/>
          <w:spacing w:val="0"/>
          <w:kern w:val="0"/>
          <w:position w:val="0"/>
          <w:sz w:val="24"/>
          <w:szCs w:val="24"/>
          <w:highlight w:val="none"/>
          <w:vertAlign w:val="superscript"/>
        </w:rPr>
        <w:t>3</w:t>
      </w:r>
      <w:r>
        <w:rPr>
          <w:rFonts w:hint="eastAsia" w:ascii="Times New Roman" w:hAnsi="Times New Roman" w:eastAsia="宋体" w:cs="Times New Roman"/>
          <w:b w:val="0"/>
          <w:bCs w:val="0"/>
          <w:snapToGrid w:val="0"/>
          <w:color w:val="auto"/>
          <w:spacing w:val="0"/>
          <w:kern w:val="0"/>
          <w:position w:val="0"/>
          <w:sz w:val="24"/>
          <w:szCs w:val="24"/>
          <w:highlight w:val="none"/>
        </w:rPr>
        <w:t>；</w:t>
      </w:r>
    </w:p>
    <w:p w14:paraId="7449D1E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 xml:space="preserve">      Q——连续排放的烟羽排放速率，kg/s；</w:t>
      </w:r>
    </w:p>
    <w:p w14:paraId="5829B1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 xml:space="preserve">      Q</w:t>
      </w:r>
      <w:r>
        <w:rPr>
          <w:rFonts w:hint="eastAsia" w:ascii="Times New Roman" w:hAnsi="Times New Roman" w:eastAsia="宋体" w:cs="Times New Roman"/>
          <w:b w:val="0"/>
          <w:bCs w:val="0"/>
          <w:snapToGrid w:val="0"/>
          <w:color w:val="auto"/>
          <w:spacing w:val="0"/>
          <w:kern w:val="0"/>
          <w:position w:val="0"/>
          <w:sz w:val="24"/>
          <w:szCs w:val="24"/>
          <w:highlight w:val="none"/>
          <w:vertAlign w:val="subscript"/>
        </w:rPr>
        <w:t>t</w:t>
      </w:r>
      <w:r>
        <w:rPr>
          <w:rFonts w:hint="eastAsia" w:ascii="Times New Roman" w:hAnsi="Times New Roman" w:eastAsia="宋体" w:cs="Times New Roman"/>
          <w:b w:val="0"/>
          <w:bCs w:val="0"/>
          <w:snapToGrid w:val="0"/>
          <w:color w:val="auto"/>
          <w:spacing w:val="0"/>
          <w:kern w:val="0"/>
          <w:position w:val="0"/>
          <w:sz w:val="24"/>
          <w:szCs w:val="24"/>
          <w:highlight w:val="none"/>
        </w:rPr>
        <w:t>——瞬时排放的物质质量，kg；</w:t>
      </w:r>
    </w:p>
    <w:p w14:paraId="53C71F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 xml:space="preserve">      D</w:t>
      </w:r>
      <w:r>
        <w:rPr>
          <w:rFonts w:hint="eastAsia" w:ascii="Times New Roman" w:hAnsi="Times New Roman" w:eastAsia="宋体" w:cs="Times New Roman"/>
          <w:b w:val="0"/>
          <w:bCs w:val="0"/>
          <w:snapToGrid w:val="0"/>
          <w:color w:val="auto"/>
          <w:spacing w:val="0"/>
          <w:kern w:val="0"/>
          <w:position w:val="0"/>
          <w:sz w:val="24"/>
          <w:szCs w:val="24"/>
          <w:highlight w:val="none"/>
          <w:vertAlign w:val="subscript"/>
        </w:rPr>
        <w:t>rel</w:t>
      </w:r>
      <w:r>
        <w:rPr>
          <w:rFonts w:hint="eastAsia" w:ascii="Times New Roman" w:hAnsi="Times New Roman" w:eastAsia="宋体" w:cs="Times New Roman"/>
          <w:b w:val="0"/>
          <w:bCs w:val="0"/>
          <w:snapToGrid w:val="0"/>
          <w:color w:val="auto"/>
          <w:spacing w:val="0"/>
          <w:kern w:val="0"/>
          <w:position w:val="0"/>
          <w:sz w:val="24"/>
          <w:szCs w:val="24"/>
          <w:highlight w:val="none"/>
        </w:rPr>
        <w:t>——初始烟团宽度，即源直径，m；</w:t>
      </w:r>
    </w:p>
    <w:p w14:paraId="31A85D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 xml:space="preserve">      U</w:t>
      </w:r>
      <w:r>
        <w:rPr>
          <w:rFonts w:hint="eastAsia" w:ascii="Times New Roman" w:hAnsi="Times New Roman" w:eastAsia="宋体" w:cs="Times New Roman"/>
          <w:b w:val="0"/>
          <w:bCs w:val="0"/>
          <w:snapToGrid w:val="0"/>
          <w:color w:val="auto"/>
          <w:spacing w:val="0"/>
          <w:kern w:val="0"/>
          <w:position w:val="0"/>
          <w:sz w:val="24"/>
          <w:szCs w:val="24"/>
          <w:highlight w:val="none"/>
          <w:vertAlign w:val="subscript"/>
        </w:rPr>
        <w:t>r</w:t>
      </w:r>
      <w:r>
        <w:rPr>
          <w:rFonts w:hint="eastAsia" w:ascii="Times New Roman" w:hAnsi="Times New Roman" w:eastAsia="宋体" w:cs="Times New Roman"/>
          <w:b w:val="0"/>
          <w:bCs w:val="0"/>
          <w:snapToGrid w:val="0"/>
          <w:color w:val="auto"/>
          <w:spacing w:val="0"/>
          <w:kern w:val="0"/>
          <w:position w:val="0"/>
          <w:sz w:val="24"/>
          <w:szCs w:val="24"/>
          <w:highlight w:val="none"/>
        </w:rPr>
        <w:t>——10m高处风速。</w:t>
      </w:r>
    </w:p>
    <w:p w14:paraId="062317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rPr>
      </w:pPr>
      <w:r>
        <w:rPr>
          <w:rFonts w:hint="eastAsia" w:ascii="Times New Roman" w:hAnsi="Times New Roman" w:eastAsia="宋体" w:cs="Times New Roman"/>
          <w:b w:val="0"/>
          <w:bCs w:val="0"/>
          <w:snapToGrid w:val="0"/>
          <w:color w:val="auto"/>
          <w:spacing w:val="0"/>
          <w:kern w:val="0"/>
          <w:position w:val="0"/>
          <w:sz w:val="24"/>
          <w:szCs w:val="24"/>
          <w:highlight w:val="none"/>
        </w:rPr>
        <w:t>对于连续排放，Ri≥1/6时为重质气体，Ri＜1/6时为轻质气体；对于瞬时排放，Ri＞0.04时为重质气体，Ri≤0.04为轻质气体。重质气体的扩散预测选择SLAB模式，轻质气体的扩散预测选择AFTOX模式。</w:t>
      </w:r>
    </w:p>
    <w:p w14:paraId="7586F5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b w:val="0"/>
          <w:bCs w:val="0"/>
          <w:snapToGrid w:val="0"/>
          <w:color w:val="auto"/>
          <w:spacing w:val="0"/>
          <w:kern w:val="0"/>
          <w:position w:val="0"/>
          <w:sz w:val="24"/>
          <w:szCs w:val="24"/>
          <w:highlight w:val="none"/>
        </w:rPr>
      </w:pPr>
      <w:r>
        <w:rPr>
          <w:rFonts w:ascii="Times New Roman" w:hAnsi="Times New Roman" w:eastAsia="宋体" w:cs="Times New Roman"/>
          <w:b w:val="0"/>
          <w:bCs w:val="0"/>
          <w:snapToGrid w:val="0"/>
          <w:color w:val="auto"/>
          <w:spacing w:val="0"/>
          <w:kern w:val="0"/>
          <w:position w:val="0"/>
          <w:sz w:val="24"/>
          <w:szCs w:val="24"/>
          <w:highlight w:val="none"/>
        </w:rPr>
        <w:t>经过模型计算，本项目CO</w:t>
      </w:r>
      <w:r>
        <w:rPr>
          <w:rFonts w:hint="eastAsia" w:ascii="Times New Roman" w:hAnsi="Times New Roman" w:eastAsia="宋体" w:cs="Times New Roman"/>
          <w:b w:val="0"/>
          <w:bCs w:val="0"/>
          <w:snapToGrid w:val="0"/>
          <w:color w:val="auto"/>
          <w:spacing w:val="0"/>
          <w:kern w:val="0"/>
          <w:position w:val="0"/>
          <w:sz w:val="24"/>
          <w:szCs w:val="24"/>
          <w:highlight w:val="none"/>
          <w:lang w:eastAsia="zh-CN"/>
        </w:rPr>
        <w:t>、</w:t>
      </w: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NH</w:t>
      </w:r>
      <w:r>
        <w:rPr>
          <w:rFonts w:hint="eastAsia" w:ascii="Times New Roman" w:hAnsi="Times New Roman" w:eastAsia="宋体" w:cs="Times New Roman"/>
          <w:b w:val="0"/>
          <w:bCs w:val="0"/>
          <w:snapToGrid w:val="0"/>
          <w:color w:val="auto"/>
          <w:spacing w:val="0"/>
          <w:kern w:val="0"/>
          <w:position w:val="0"/>
          <w:sz w:val="24"/>
          <w:szCs w:val="24"/>
          <w:highlight w:val="none"/>
          <w:vertAlign w:val="subscript"/>
          <w:lang w:val="en-US" w:eastAsia="zh-CN"/>
        </w:rPr>
        <w:t>3</w:t>
      </w:r>
      <w:r>
        <w:rPr>
          <w:rFonts w:ascii="Times New Roman" w:hAnsi="Times New Roman" w:eastAsia="宋体" w:cs="Times New Roman"/>
          <w:b w:val="0"/>
          <w:bCs w:val="0"/>
          <w:snapToGrid w:val="0"/>
          <w:color w:val="auto"/>
          <w:spacing w:val="0"/>
          <w:kern w:val="0"/>
          <w:position w:val="0"/>
          <w:sz w:val="24"/>
          <w:szCs w:val="24"/>
          <w:highlight w:val="none"/>
        </w:rPr>
        <w:t>采用SLAB模型，SO</w:t>
      </w:r>
      <w:r>
        <w:rPr>
          <w:rFonts w:ascii="Times New Roman" w:hAnsi="Times New Roman" w:eastAsia="宋体" w:cs="Times New Roman"/>
          <w:b w:val="0"/>
          <w:bCs w:val="0"/>
          <w:snapToGrid w:val="0"/>
          <w:color w:val="auto"/>
          <w:spacing w:val="0"/>
          <w:kern w:val="0"/>
          <w:position w:val="0"/>
          <w:sz w:val="24"/>
          <w:szCs w:val="24"/>
          <w:highlight w:val="none"/>
          <w:vertAlign w:val="subscript"/>
        </w:rPr>
        <w:t>2</w:t>
      </w:r>
      <w:r>
        <w:rPr>
          <w:rFonts w:ascii="Times New Roman" w:hAnsi="Times New Roman" w:eastAsia="宋体" w:cs="Times New Roman"/>
          <w:b w:val="0"/>
          <w:bCs w:val="0"/>
          <w:snapToGrid w:val="0"/>
          <w:color w:val="auto"/>
          <w:spacing w:val="0"/>
          <w:kern w:val="0"/>
          <w:position w:val="0"/>
          <w:sz w:val="24"/>
          <w:szCs w:val="24"/>
          <w:highlight w:val="none"/>
        </w:rPr>
        <w:t>扩散建议采用AFTOX模型。</w:t>
      </w:r>
    </w:p>
    <w:p w14:paraId="142ACADA">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6.3-19</w:t>
      </w:r>
      <w:r>
        <w:rPr>
          <w:rFonts w:hint="eastAsia" w:ascii="Times New Roman" w:hAnsi="Times New Roman" w:cs="Times New Roman"/>
          <w:snapToGrid w:val="0"/>
          <w:color w:val="auto"/>
          <w:kern w:val="0"/>
          <w:sz w:val="21"/>
          <w:szCs w:val="21"/>
          <w:highlight w:val="none"/>
        </w:rPr>
        <w:t xml:space="preserve"> 预测模式选择结果</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370"/>
        <w:gridCol w:w="819"/>
        <w:gridCol w:w="1393"/>
        <w:gridCol w:w="1163"/>
        <w:gridCol w:w="1011"/>
        <w:gridCol w:w="1522"/>
      </w:tblGrid>
      <w:tr w14:paraId="07CA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5" w:hRule="exact"/>
          <w:jc w:val="center"/>
        </w:trPr>
        <w:tc>
          <w:tcPr>
            <w:tcW w:w="2370" w:type="dxa"/>
            <w:shd w:val="clear" w:color="auto" w:fill="auto"/>
            <w:noWrap w:val="0"/>
            <w:vAlign w:val="center"/>
          </w:tcPr>
          <w:p w14:paraId="46A88F4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事故情形</w:t>
            </w:r>
          </w:p>
        </w:tc>
        <w:tc>
          <w:tcPr>
            <w:tcW w:w="819" w:type="dxa"/>
            <w:shd w:val="clear" w:color="auto" w:fill="auto"/>
            <w:noWrap w:val="0"/>
            <w:vAlign w:val="center"/>
          </w:tcPr>
          <w:p w14:paraId="1B1E2A2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污染因子</w:t>
            </w:r>
          </w:p>
        </w:tc>
        <w:tc>
          <w:tcPr>
            <w:tcW w:w="1393" w:type="dxa"/>
            <w:shd w:val="clear" w:color="auto" w:fill="auto"/>
            <w:noWrap w:val="0"/>
            <w:vAlign w:val="center"/>
          </w:tcPr>
          <w:p w14:paraId="1321A55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排放时长Td</w:t>
            </w:r>
          </w:p>
          <w:p w14:paraId="792AF70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（min）</w:t>
            </w:r>
          </w:p>
        </w:tc>
        <w:tc>
          <w:tcPr>
            <w:tcW w:w="1163" w:type="dxa"/>
            <w:shd w:val="clear" w:color="auto" w:fill="auto"/>
            <w:noWrap w:val="0"/>
            <w:vAlign w:val="center"/>
          </w:tcPr>
          <w:p w14:paraId="198E7EA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排放类型</w:t>
            </w:r>
          </w:p>
        </w:tc>
        <w:tc>
          <w:tcPr>
            <w:tcW w:w="1011" w:type="dxa"/>
            <w:shd w:val="clear" w:color="auto" w:fill="auto"/>
            <w:noWrap w:val="0"/>
            <w:vAlign w:val="center"/>
          </w:tcPr>
          <w:p w14:paraId="0D56B28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Ri</w:t>
            </w:r>
          </w:p>
        </w:tc>
        <w:tc>
          <w:tcPr>
            <w:tcW w:w="1522" w:type="dxa"/>
            <w:shd w:val="clear" w:color="auto" w:fill="auto"/>
            <w:noWrap w:val="0"/>
            <w:vAlign w:val="center"/>
          </w:tcPr>
          <w:p w14:paraId="33690F4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预测模式</w:t>
            </w:r>
          </w:p>
        </w:tc>
      </w:tr>
      <w:tr w14:paraId="0C0A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exact"/>
          <w:jc w:val="center"/>
        </w:trPr>
        <w:tc>
          <w:tcPr>
            <w:tcW w:w="2370" w:type="dxa"/>
            <w:shd w:val="clear" w:color="auto" w:fill="auto"/>
            <w:noWrap w:val="0"/>
            <w:vAlign w:val="center"/>
          </w:tcPr>
          <w:p w14:paraId="7C9DDA8D">
            <w:pPr>
              <w:keepNext w:val="0"/>
              <w:keepLines w:val="0"/>
              <w:pageBreakBefore w:val="0"/>
              <w:widowControl w:val="0"/>
              <w:tabs>
                <w:tab w:val="left" w:pos="1119"/>
              </w:tabs>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烷烃</w:t>
            </w:r>
            <w:r>
              <w:rPr>
                <w:rFonts w:ascii="Times New Roman" w:hAnsi="Times New Roman" w:eastAsia="宋体" w:cs="Times New Roman"/>
                <w:b w:val="0"/>
                <w:bCs w:val="0"/>
                <w:snapToGrid w:val="0"/>
                <w:color w:val="auto"/>
                <w:kern w:val="0"/>
                <w:sz w:val="21"/>
                <w:szCs w:val="21"/>
                <w:highlight w:val="none"/>
              </w:rPr>
              <w:t>储罐泄漏</w:t>
            </w:r>
            <w:r>
              <w:rPr>
                <w:rFonts w:hint="eastAsia" w:ascii="Times New Roman" w:hAnsi="Times New Roman" w:eastAsia="宋体" w:cs="Times New Roman"/>
                <w:b w:val="0"/>
                <w:bCs w:val="0"/>
                <w:snapToGrid w:val="0"/>
                <w:color w:val="auto"/>
                <w:kern w:val="0"/>
                <w:sz w:val="21"/>
                <w:szCs w:val="21"/>
                <w:highlight w:val="none"/>
                <w:lang w:val="en-US" w:eastAsia="zh-CN"/>
              </w:rPr>
              <w:t>燃烧</w:t>
            </w:r>
            <w:r>
              <w:rPr>
                <w:rFonts w:ascii="Times New Roman" w:hAnsi="Times New Roman" w:eastAsia="宋体" w:cs="Times New Roman"/>
                <w:b w:val="0"/>
                <w:bCs w:val="0"/>
                <w:snapToGrid w:val="0"/>
                <w:color w:val="auto"/>
                <w:kern w:val="0"/>
                <w:sz w:val="21"/>
                <w:szCs w:val="21"/>
                <w:highlight w:val="none"/>
              </w:rPr>
              <w:t>事故</w:t>
            </w:r>
          </w:p>
        </w:tc>
        <w:tc>
          <w:tcPr>
            <w:tcW w:w="819" w:type="dxa"/>
            <w:shd w:val="clear" w:color="auto" w:fill="auto"/>
            <w:noWrap w:val="0"/>
            <w:vAlign w:val="center"/>
          </w:tcPr>
          <w:p w14:paraId="6EAAFE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CO</w:t>
            </w:r>
          </w:p>
        </w:tc>
        <w:tc>
          <w:tcPr>
            <w:tcW w:w="1393" w:type="dxa"/>
            <w:shd w:val="clear" w:color="auto" w:fill="auto"/>
            <w:noWrap w:val="0"/>
            <w:vAlign w:val="center"/>
          </w:tcPr>
          <w:p w14:paraId="623666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30</w:t>
            </w:r>
          </w:p>
        </w:tc>
        <w:tc>
          <w:tcPr>
            <w:tcW w:w="1163" w:type="dxa"/>
            <w:shd w:val="clear" w:color="auto" w:fill="auto"/>
            <w:noWrap w:val="0"/>
            <w:vAlign w:val="center"/>
          </w:tcPr>
          <w:p w14:paraId="71A6757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连续</w:t>
            </w:r>
          </w:p>
        </w:tc>
        <w:tc>
          <w:tcPr>
            <w:tcW w:w="1011" w:type="dxa"/>
            <w:shd w:val="clear" w:color="auto" w:fill="auto"/>
            <w:noWrap w:val="0"/>
            <w:vAlign w:val="center"/>
          </w:tcPr>
          <w:p w14:paraId="6C9DCCF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Ri≤0.04</w:t>
            </w:r>
          </w:p>
        </w:tc>
        <w:tc>
          <w:tcPr>
            <w:tcW w:w="1522" w:type="dxa"/>
            <w:shd w:val="clear" w:color="auto" w:fill="auto"/>
            <w:noWrap w:val="0"/>
            <w:vAlign w:val="center"/>
          </w:tcPr>
          <w:p w14:paraId="1BEA5D4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SLAB</w:t>
            </w:r>
          </w:p>
        </w:tc>
      </w:tr>
      <w:tr w14:paraId="36A5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exact"/>
          <w:jc w:val="center"/>
        </w:trPr>
        <w:tc>
          <w:tcPr>
            <w:tcW w:w="2370" w:type="dxa"/>
            <w:vMerge w:val="restart"/>
            <w:shd w:val="clear" w:color="auto" w:fill="auto"/>
            <w:noWrap w:val="0"/>
            <w:vAlign w:val="center"/>
          </w:tcPr>
          <w:p w14:paraId="10ED498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硫酸铵明火或高热分解</w:t>
            </w:r>
            <w:r>
              <w:rPr>
                <w:rFonts w:ascii="Times New Roman" w:hAnsi="Times New Roman" w:eastAsia="宋体" w:cs="Times New Roman"/>
                <w:b w:val="0"/>
                <w:bCs w:val="0"/>
                <w:snapToGrid w:val="0"/>
                <w:color w:val="auto"/>
                <w:kern w:val="0"/>
                <w:sz w:val="21"/>
                <w:szCs w:val="21"/>
                <w:highlight w:val="none"/>
              </w:rPr>
              <w:t>事故</w:t>
            </w:r>
          </w:p>
        </w:tc>
        <w:tc>
          <w:tcPr>
            <w:tcW w:w="819" w:type="dxa"/>
            <w:shd w:val="clear" w:color="auto" w:fill="auto"/>
            <w:noWrap w:val="0"/>
            <w:vAlign w:val="center"/>
          </w:tcPr>
          <w:p w14:paraId="4EFA3C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NH</w:t>
            </w:r>
            <w:r>
              <w:rPr>
                <w:rFonts w:hint="eastAsia" w:ascii="Times New Roman" w:hAnsi="Times New Roman" w:eastAsia="宋体" w:cs="Times New Roman"/>
                <w:b w:val="0"/>
                <w:bCs w:val="0"/>
                <w:snapToGrid w:val="0"/>
                <w:color w:val="auto"/>
                <w:kern w:val="0"/>
                <w:sz w:val="21"/>
                <w:szCs w:val="21"/>
                <w:highlight w:val="none"/>
                <w:vertAlign w:val="subscript"/>
                <w:lang w:val="en-US" w:eastAsia="zh-CN"/>
              </w:rPr>
              <w:t>3</w:t>
            </w:r>
          </w:p>
        </w:tc>
        <w:tc>
          <w:tcPr>
            <w:tcW w:w="1393" w:type="dxa"/>
            <w:shd w:val="clear" w:color="auto" w:fill="auto"/>
            <w:noWrap w:val="0"/>
            <w:vAlign w:val="center"/>
          </w:tcPr>
          <w:p w14:paraId="590106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w:t>
            </w:r>
          </w:p>
        </w:tc>
        <w:tc>
          <w:tcPr>
            <w:tcW w:w="1163" w:type="dxa"/>
            <w:shd w:val="clear" w:color="auto" w:fill="auto"/>
            <w:noWrap w:val="0"/>
            <w:vAlign w:val="center"/>
          </w:tcPr>
          <w:p w14:paraId="6E5552D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连续</w:t>
            </w:r>
          </w:p>
        </w:tc>
        <w:tc>
          <w:tcPr>
            <w:tcW w:w="1011" w:type="dxa"/>
            <w:shd w:val="clear" w:color="auto" w:fill="auto"/>
            <w:noWrap w:val="0"/>
            <w:vAlign w:val="center"/>
          </w:tcPr>
          <w:p w14:paraId="384EF42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Ri≤0.04</w:t>
            </w:r>
          </w:p>
        </w:tc>
        <w:tc>
          <w:tcPr>
            <w:tcW w:w="1522" w:type="dxa"/>
            <w:shd w:val="clear" w:color="auto" w:fill="auto"/>
            <w:noWrap w:val="0"/>
            <w:vAlign w:val="center"/>
          </w:tcPr>
          <w:p w14:paraId="625C26D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ascii="Times New Roman" w:hAnsi="Times New Roman" w:eastAsia="宋体" w:cs="Times New Roman"/>
                <w:b w:val="0"/>
                <w:bCs w:val="0"/>
                <w:snapToGrid w:val="0"/>
                <w:color w:val="auto"/>
                <w:kern w:val="0"/>
                <w:sz w:val="21"/>
                <w:szCs w:val="21"/>
                <w:highlight w:val="none"/>
              </w:rPr>
            </w:pPr>
            <w:r>
              <w:rPr>
                <w:rFonts w:ascii="Times New Roman" w:hAnsi="Times New Roman" w:eastAsia="宋体" w:cs="Times New Roman"/>
                <w:b w:val="0"/>
                <w:bCs w:val="0"/>
                <w:snapToGrid w:val="0"/>
                <w:color w:val="auto"/>
                <w:kern w:val="0"/>
                <w:sz w:val="21"/>
                <w:szCs w:val="21"/>
                <w:highlight w:val="none"/>
              </w:rPr>
              <w:t>SLAB</w:t>
            </w:r>
          </w:p>
        </w:tc>
      </w:tr>
      <w:tr w14:paraId="3301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exact"/>
          <w:jc w:val="center"/>
        </w:trPr>
        <w:tc>
          <w:tcPr>
            <w:tcW w:w="2370" w:type="dxa"/>
            <w:vMerge w:val="continue"/>
            <w:shd w:val="clear" w:color="auto" w:fill="auto"/>
            <w:noWrap w:val="0"/>
            <w:vAlign w:val="center"/>
          </w:tcPr>
          <w:p w14:paraId="0D9B726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819" w:type="dxa"/>
            <w:shd w:val="clear" w:color="auto" w:fill="auto"/>
            <w:noWrap w:val="0"/>
            <w:vAlign w:val="center"/>
          </w:tcPr>
          <w:p w14:paraId="00E505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SO</w:t>
            </w:r>
            <w:r>
              <w:rPr>
                <w:rFonts w:hint="eastAsia" w:ascii="Times New Roman" w:hAnsi="Times New Roman" w:eastAsia="宋体" w:cs="Times New Roman"/>
                <w:b w:val="0"/>
                <w:bCs w:val="0"/>
                <w:snapToGrid w:val="0"/>
                <w:color w:val="auto"/>
                <w:kern w:val="0"/>
                <w:sz w:val="21"/>
                <w:szCs w:val="21"/>
                <w:highlight w:val="none"/>
                <w:vertAlign w:val="subscript"/>
                <w:lang w:val="en-US" w:eastAsia="zh-CN"/>
              </w:rPr>
              <w:t>2</w:t>
            </w:r>
          </w:p>
        </w:tc>
        <w:tc>
          <w:tcPr>
            <w:tcW w:w="1393" w:type="dxa"/>
            <w:shd w:val="clear" w:color="auto" w:fill="auto"/>
            <w:noWrap w:val="0"/>
            <w:vAlign w:val="center"/>
          </w:tcPr>
          <w:p w14:paraId="62CB7F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w:t>
            </w:r>
          </w:p>
        </w:tc>
        <w:tc>
          <w:tcPr>
            <w:tcW w:w="1163" w:type="dxa"/>
            <w:shd w:val="clear" w:color="auto" w:fill="auto"/>
            <w:noWrap w:val="0"/>
            <w:vAlign w:val="center"/>
          </w:tcPr>
          <w:p w14:paraId="6A76D69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连续</w:t>
            </w:r>
          </w:p>
        </w:tc>
        <w:tc>
          <w:tcPr>
            <w:tcW w:w="1011" w:type="dxa"/>
            <w:shd w:val="clear" w:color="auto" w:fill="auto"/>
            <w:noWrap w:val="0"/>
            <w:vAlign w:val="center"/>
          </w:tcPr>
          <w:p w14:paraId="74C3146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Ri＞0.04</w:t>
            </w:r>
          </w:p>
        </w:tc>
        <w:tc>
          <w:tcPr>
            <w:tcW w:w="1522" w:type="dxa"/>
            <w:shd w:val="clear" w:color="auto" w:fill="auto"/>
            <w:noWrap w:val="0"/>
            <w:vAlign w:val="center"/>
          </w:tcPr>
          <w:p w14:paraId="431D1AE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AFTOX</w:t>
            </w:r>
          </w:p>
        </w:tc>
      </w:tr>
    </w:tbl>
    <w:p w14:paraId="348ABB6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（2）计算点设定</w:t>
      </w:r>
    </w:p>
    <w:p w14:paraId="0377444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1）预测范围即预测物质浓度达到评价标准时的最大影响范围，由预测模型计算获取。</w:t>
      </w:r>
    </w:p>
    <w:p w14:paraId="4149E4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2）一般计算点：指下风向不同距离点，距离风险源500m范围内设置50m间距，大于500m范围内设置100m间距。</w:t>
      </w:r>
    </w:p>
    <w:p w14:paraId="37FCB33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3）特殊计算点：特殊计算点指大气环境敏感目标等关心点。</w:t>
      </w:r>
    </w:p>
    <w:p w14:paraId="3898CD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（3）参数选取</w:t>
      </w:r>
    </w:p>
    <w:p w14:paraId="2919F78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1）事故源参数</w:t>
      </w:r>
    </w:p>
    <w:p w14:paraId="76DFC7C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最大可信事故状态下的事故源强见前“</w:t>
      </w:r>
      <w:r>
        <w:rPr>
          <w:rFonts w:hint="eastAsia" w:ascii="Times New Roman" w:hAnsi="Times New Roman" w:eastAsia="宋体" w:cs="Times New Roman"/>
          <w:color w:val="auto"/>
          <w:kern w:val="0"/>
          <w:sz w:val="24"/>
          <w:szCs w:val="24"/>
          <w:highlight w:val="none"/>
          <w:lang w:val="en-US" w:eastAsia="zh-CN" w:bidi="ar-SA"/>
        </w:rPr>
        <w:t>表6.3-17</w:t>
      </w: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w:t>
      </w:r>
    </w:p>
    <w:p w14:paraId="679CB27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2）地表粗糙度</w:t>
      </w:r>
    </w:p>
    <w:p w14:paraId="328D4EE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地表粗糙度一般由事故发生地周围1km范围内占地面积最大的土地利用类型来确定，不同土地类型地表粗糙度见表6.3-20。</w:t>
      </w:r>
    </w:p>
    <w:p w14:paraId="156A818C">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6.3-20</w:t>
      </w:r>
      <w:r>
        <w:rPr>
          <w:rFonts w:hint="eastAsia" w:ascii="Times New Roman" w:hAnsi="Times New Roman" w:cs="Times New Roman"/>
          <w:snapToGrid w:val="0"/>
          <w:color w:val="auto"/>
          <w:kern w:val="0"/>
          <w:sz w:val="21"/>
          <w:szCs w:val="21"/>
          <w:highlight w:val="none"/>
        </w:rPr>
        <w:t xml:space="preserve"> 不同土地利用类型对应地表粗糙度取值</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2"/>
        <w:gridCol w:w="1556"/>
        <w:gridCol w:w="1681"/>
        <w:gridCol w:w="1681"/>
        <w:gridCol w:w="1838"/>
      </w:tblGrid>
      <w:tr w14:paraId="6D12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32D67AA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地表类型</w:t>
            </w:r>
          </w:p>
        </w:tc>
        <w:tc>
          <w:tcPr>
            <w:tcW w:w="1556" w:type="dxa"/>
            <w:shd w:val="clear" w:color="auto" w:fill="auto"/>
            <w:noWrap w:val="0"/>
            <w:vAlign w:val="center"/>
          </w:tcPr>
          <w:p w14:paraId="18241BC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春季</w:t>
            </w:r>
          </w:p>
        </w:tc>
        <w:tc>
          <w:tcPr>
            <w:tcW w:w="1681" w:type="dxa"/>
            <w:shd w:val="clear" w:color="auto" w:fill="auto"/>
            <w:noWrap w:val="0"/>
            <w:vAlign w:val="center"/>
          </w:tcPr>
          <w:p w14:paraId="5DCEDD7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夏季</w:t>
            </w:r>
          </w:p>
        </w:tc>
        <w:tc>
          <w:tcPr>
            <w:tcW w:w="1681" w:type="dxa"/>
            <w:shd w:val="clear" w:color="auto" w:fill="auto"/>
            <w:noWrap w:val="0"/>
            <w:vAlign w:val="center"/>
          </w:tcPr>
          <w:p w14:paraId="6522F3B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秋季</w:t>
            </w:r>
          </w:p>
        </w:tc>
        <w:tc>
          <w:tcPr>
            <w:tcW w:w="1838" w:type="dxa"/>
            <w:shd w:val="clear" w:color="auto" w:fill="auto"/>
            <w:noWrap w:val="0"/>
            <w:vAlign w:val="center"/>
          </w:tcPr>
          <w:p w14:paraId="1FE97C0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冬季</w:t>
            </w:r>
          </w:p>
        </w:tc>
      </w:tr>
      <w:tr w14:paraId="5969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08E0118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水面</w:t>
            </w:r>
          </w:p>
        </w:tc>
        <w:tc>
          <w:tcPr>
            <w:tcW w:w="1556" w:type="dxa"/>
            <w:shd w:val="clear" w:color="auto" w:fill="auto"/>
            <w:noWrap w:val="0"/>
            <w:vAlign w:val="center"/>
          </w:tcPr>
          <w:p w14:paraId="762F54C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0.0001m</w:t>
            </w:r>
          </w:p>
        </w:tc>
        <w:tc>
          <w:tcPr>
            <w:tcW w:w="1681" w:type="dxa"/>
            <w:shd w:val="clear" w:color="auto" w:fill="auto"/>
            <w:noWrap w:val="0"/>
            <w:vAlign w:val="center"/>
          </w:tcPr>
          <w:p w14:paraId="20DB9E4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0.0001m</w:t>
            </w:r>
          </w:p>
        </w:tc>
        <w:tc>
          <w:tcPr>
            <w:tcW w:w="1681" w:type="dxa"/>
            <w:shd w:val="clear" w:color="auto" w:fill="auto"/>
            <w:noWrap w:val="0"/>
            <w:vAlign w:val="center"/>
          </w:tcPr>
          <w:p w14:paraId="69A8265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0.0001m</w:t>
            </w:r>
          </w:p>
        </w:tc>
        <w:tc>
          <w:tcPr>
            <w:tcW w:w="1838" w:type="dxa"/>
            <w:shd w:val="clear" w:color="auto" w:fill="auto"/>
            <w:noWrap w:val="0"/>
            <w:vAlign w:val="center"/>
          </w:tcPr>
          <w:p w14:paraId="4688C11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0.0001m</w:t>
            </w:r>
          </w:p>
        </w:tc>
      </w:tr>
      <w:tr w14:paraId="59E9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1B95C84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落叶林</w:t>
            </w:r>
          </w:p>
        </w:tc>
        <w:tc>
          <w:tcPr>
            <w:tcW w:w="1556" w:type="dxa"/>
            <w:shd w:val="clear" w:color="auto" w:fill="auto"/>
            <w:noWrap w:val="0"/>
            <w:vAlign w:val="center"/>
          </w:tcPr>
          <w:p w14:paraId="37D80EC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1.0000m</w:t>
            </w:r>
          </w:p>
        </w:tc>
        <w:tc>
          <w:tcPr>
            <w:tcW w:w="1681" w:type="dxa"/>
            <w:shd w:val="clear" w:color="auto" w:fill="auto"/>
            <w:noWrap w:val="0"/>
            <w:vAlign w:val="center"/>
          </w:tcPr>
          <w:p w14:paraId="684006B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1.3000m</w:t>
            </w:r>
          </w:p>
        </w:tc>
        <w:tc>
          <w:tcPr>
            <w:tcW w:w="1681" w:type="dxa"/>
            <w:shd w:val="clear" w:color="auto" w:fill="auto"/>
            <w:noWrap w:val="0"/>
            <w:vAlign w:val="center"/>
          </w:tcPr>
          <w:p w14:paraId="5CC7F56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0.8000m</w:t>
            </w:r>
          </w:p>
        </w:tc>
        <w:tc>
          <w:tcPr>
            <w:tcW w:w="1838" w:type="dxa"/>
            <w:shd w:val="clear" w:color="auto" w:fill="auto"/>
            <w:noWrap w:val="0"/>
            <w:vAlign w:val="center"/>
          </w:tcPr>
          <w:p w14:paraId="3E1747F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0.5000m</w:t>
            </w:r>
          </w:p>
        </w:tc>
      </w:tr>
      <w:tr w14:paraId="2364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3474586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针叶林</w:t>
            </w:r>
          </w:p>
        </w:tc>
        <w:tc>
          <w:tcPr>
            <w:tcW w:w="1556" w:type="dxa"/>
            <w:shd w:val="clear" w:color="auto" w:fill="auto"/>
            <w:noWrap w:val="0"/>
            <w:vAlign w:val="center"/>
          </w:tcPr>
          <w:p w14:paraId="06F2A54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1.3000m</w:t>
            </w:r>
          </w:p>
        </w:tc>
        <w:tc>
          <w:tcPr>
            <w:tcW w:w="1681" w:type="dxa"/>
            <w:shd w:val="clear" w:color="auto" w:fill="auto"/>
            <w:noWrap w:val="0"/>
            <w:vAlign w:val="center"/>
          </w:tcPr>
          <w:p w14:paraId="6AA0C72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1.3000m</w:t>
            </w:r>
          </w:p>
        </w:tc>
        <w:tc>
          <w:tcPr>
            <w:tcW w:w="1681" w:type="dxa"/>
            <w:shd w:val="clear" w:color="auto" w:fill="auto"/>
            <w:noWrap w:val="0"/>
            <w:vAlign w:val="center"/>
          </w:tcPr>
          <w:p w14:paraId="485F957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1.3000m</w:t>
            </w:r>
          </w:p>
        </w:tc>
        <w:tc>
          <w:tcPr>
            <w:tcW w:w="1838" w:type="dxa"/>
            <w:shd w:val="clear" w:color="auto" w:fill="auto"/>
            <w:noWrap w:val="0"/>
            <w:vAlign w:val="center"/>
          </w:tcPr>
          <w:p w14:paraId="79C6F9B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1.3000m</w:t>
            </w:r>
          </w:p>
        </w:tc>
      </w:tr>
      <w:tr w14:paraId="2AD5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11ABAC8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湿地或沼泽地</w:t>
            </w:r>
          </w:p>
        </w:tc>
        <w:tc>
          <w:tcPr>
            <w:tcW w:w="1556" w:type="dxa"/>
            <w:shd w:val="clear" w:color="auto" w:fill="auto"/>
            <w:noWrap w:val="0"/>
            <w:vAlign w:val="center"/>
          </w:tcPr>
          <w:p w14:paraId="6C69DC4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0.2000m</w:t>
            </w:r>
          </w:p>
        </w:tc>
        <w:tc>
          <w:tcPr>
            <w:tcW w:w="1681" w:type="dxa"/>
            <w:shd w:val="clear" w:color="auto" w:fill="auto"/>
            <w:noWrap w:val="0"/>
            <w:vAlign w:val="center"/>
          </w:tcPr>
          <w:p w14:paraId="57F090B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0.2000m</w:t>
            </w:r>
          </w:p>
        </w:tc>
        <w:tc>
          <w:tcPr>
            <w:tcW w:w="1681" w:type="dxa"/>
            <w:shd w:val="clear" w:color="auto" w:fill="auto"/>
            <w:noWrap w:val="0"/>
            <w:vAlign w:val="center"/>
          </w:tcPr>
          <w:p w14:paraId="1C3F8EA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0.2000m</w:t>
            </w:r>
          </w:p>
        </w:tc>
        <w:tc>
          <w:tcPr>
            <w:tcW w:w="1838" w:type="dxa"/>
            <w:shd w:val="clear" w:color="auto" w:fill="auto"/>
            <w:noWrap w:val="0"/>
            <w:vAlign w:val="center"/>
          </w:tcPr>
          <w:p w14:paraId="4373EA8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0.0500m</w:t>
            </w:r>
          </w:p>
        </w:tc>
      </w:tr>
      <w:tr w14:paraId="233B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0BCD83F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农作地</w:t>
            </w:r>
          </w:p>
        </w:tc>
        <w:tc>
          <w:tcPr>
            <w:tcW w:w="1556" w:type="dxa"/>
            <w:shd w:val="clear" w:color="auto" w:fill="auto"/>
            <w:noWrap w:val="0"/>
            <w:vAlign w:val="center"/>
          </w:tcPr>
          <w:p w14:paraId="0F165F3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0.0300m</w:t>
            </w:r>
          </w:p>
        </w:tc>
        <w:tc>
          <w:tcPr>
            <w:tcW w:w="1681" w:type="dxa"/>
            <w:shd w:val="clear" w:color="auto" w:fill="auto"/>
            <w:noWrap w:val="0"/>
            <w:vAlign w:val="center"/>
          </w:tcPr>
          <w:p w14:paraId="593CE3A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0.2000m</w:t>
            </w:r>
          </w:p>
        </w:tc>
        <w:tc>
          <w:tcPr>
            <w:tcW w:w="1681" w:type="dxa"/>
            <w:shd w:val="clear" w:color="auto" w:fill="auto"/>
            <w:noWrap w:val="0"/>
            <w:vAlign w:val="center"/>
          </w:tcPr>
          <w:p w14:paraId="60D4A1D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0.0500m</w:t>
            </w:r>
          </w:p>
        </w:tc>
        <w:tc>
          <w:tcPr>
            <w:tcW w:w="1838" w:type="dxa"/>
            <w:shd w:val="clear" w:color="auto" w:fill="auto"/>
            <w:noWrap w:val="0"/>
            <w:vAlign w:val="center"/>
          </w:tcPr>
          <w:p w14:paraId="028CCFE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0.0100m</w:t>
            </w:r>
          </w:p>
        </w:tc>
      </w:tr>
      <w:tr w14:paraId="6452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478F046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草地</w:t>
            </w:r>
          </w:p>
        </w:tc>
        <w:tc>
          <w:tcPr>
            <w:tcW w:w="1556" w:type="dxa"/>
            <w:shd w:val="clear" w:color="auto" w:fill="auto"/>
            <w:noWrap w:val="0"/>
            <w:vAlign w:val="center"/>
          </w:tcPr>
          <w:p w14:paraId="2DC42F5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0.0500m</w:t>
            </w:r>
          </w:p>
        </w:tc>
        <w:tc>
          <w:tcPr>
            <w:tcW w:w="1681" w:type="dxa"/>
            <w:shd w:val="clear" w:color="auto" w:fill="auto"/>
            <w:noWrap w:val="0"/>
            <w:vAlign w:val="center"/>
          </w:tcPr>
          <w:p w14:paraId="139A41C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0.1000m</w:t>
            </w:r>
          </w:p>
        </w:tc>
        <w:tc>
          <w:tcPr>
            <w:tcW w:w="1681" w:type="dxa"/>
            <w:shd w:val="clear" w:color="auto" w:fill="auto"/>
            <w:noWrap w:val="0"/>
            <w:vAlign w:val="center"/>
          </w:tcPr>
          <w:p w14:paraId="2DBD0DC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0.0100m</w:t>
            </w:r>
          </w:p>
        </w:tc>
        <w:tc>
          <w:tcPr>
            <w:tcW w:w="1838" w:type="dxa"/>
            <w:shd w:val="clear" w:color="auto" w:fill="auto"/>
            <w:noWrap w:val="0"/>
            <w:vAlign w:val="center"/>
          </w:tcPr>
          <w:p w14:paraId="0C2FA76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0.0010m</w:t>
            </w:r>
          </w:p>
        </w:tc>
      </w:tr>
      <w:tr w14:paraId="557E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0B3949E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城市</w:t>
            </w:r>
          </w:p>
        </w:tc>
        <w:tc>
          <w:tcPr>
            <w:tcW w:w="1556" w:type="dxa"/>
            <w:shd w:val="clear" w:color="auto" w:fill="auto"/>
            <w:noWrap w:val="0"/>
            <w:vAlign w:val="center"/>
          </w:tcPr>
          <w:p w14:paraId="4750B05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1.0000m</w:t>
            </w:r>
          </w:p>
        </w:tc>
        <w:tc>
          <w:tcPr>
            <w:tcW w:w="1681" w:type="dxa"/>
            <w:shd w:val="clear" w:color="auto" w:fill="auto"/>
            <w:noWrap w:val="0"/>
            <w:vAlign w:val="center"/>
          </w:tcPr>
          <w:p w14:paraId="75EE6B7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1.0000m</w:t>
            </w:r>
          </w:p>
        </w:tc>
        <w:tc>
          <w:tcPr>
            <w:tcW w:w="1681" w:type="dxa"/>
            <w:shd w:val="clear" w:color="auto" w:fill="auto"/>
            <w:noWrap w:val="0"/>
            <w:vAlign w:val="center"/>
          </w:tcPr>
          <w:p w14:paraId="33E75E92">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1.0000m</w:t>
            </w:r>
          </w:p>
        </w:tc>
        <w:tc>
          <w:tcPr>
            <w:tcW w:w="1838" w:type="dxa"/>
            <w:shd w:val="clear" w:color="auto" w:fill="auto"/>
            <w:noWrap w:val="0"/>
            <w:vAlign w:val="center"/>
          </w:tcPr>
          <w:p w14:paraId="73C8E57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1.0000m</w:t>
            </w:r>
          </w:p>
        </w:tc>
      </w:tr>
      <w:tr w14:paraId="6175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2" w:type="dxa"/>
            <w:shd w:val="clear" w:color="auto" w:fill="auto"/>
            <w:noWrap w:val="0"/>
            <w:vAlign w:val="center"/>
          </w:tcPr>
          <w:p w14:paraId="76526C4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沙漠化荒地</w:t>
            </w:r>
          </w:p>
        </w:tc>
        <w:tc>
          <w:tcPr>
            <w:tcW w:w="1556" w:type="dxa"/>
            <w:shd w:val="clear" w:color="auto" w:fill="auto"/>
            <w:noWrap w:val="0"/>
            <w:vAlign w:val="center"/>
          </w:tcPr>
          <w:p w14:paraId="08091B0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0.3000m</w:t>
            </w:r>
          </w:p>
        </w:tc>
        <w:tc>
          <w:tcPr>
            <w:tcW w:w="1681" w:type="dxa"/>
            <w:shd w:val="clear" w:color="auto" w:fill="auto"/>
            <w:noWrap w:val="0"/>
            <w:vAlign w:val="center"/>
          </w:tcPr>
          <w:p w14:paraId="3AA51F1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0.3000m</w:t>
            </w:r>
          </w:p>
        </w:tc>
        <w:tc>
          <w:tcPr>
            <w:tcW w:w="1681" w:type="dxa"/>
            <w:shd w:val="clear" w:color="auto" w:fill="auto"/>
            <w:noWrap w:val="0"/>
            <w:vAlign w:val="center"/>
          </w:tcPr>
          <w:p w14:paraId="6A15264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0.3000m</w:t>
            </w:r>
          </w:p>
        </w:tc>
        <w:tc>
          <w:tcPr>
            <w:tcW w:w="1838" w:type="dxa"/>
            <w:shd w:val="clear" w:color="auto" w:fill="auto"/>
            <w:noWrap w:val="0"/>
            <w:vAlign w:val="center"/>
          </w:tcPr>
          <w:p w14:paraId="58B4124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0.1500m</w:t>
            </w:r>
          </w:p>
        </w:tc>
      </w:tr>
    </w:tbl>
    <w:p w14:paraId="35D20D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本项目位于工业园区内，1km范围内占地面积最大的土地利用类型为工业用地，按城市取粗糙度。</w:t>
      </w:r>
    </w:p>
    <w:p w14:paraId="61D1CA8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3）气象参数</w:t>
      </w:r>
    </w:p>
    <w:p w14:paraId="548243A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本次风险评价等级为二级，根据《建设项目环境风险评价技术导则》（HJ169-2018），选取最不利气象条件进行后果预测，最不利气象条件取F类稳定度，风速1.5m/s，温度25℃，相对湿度50%。</w:t>
      </w:r>
    </w:p>
    <w:p w14:paraId="03B3998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4）评价标准</w:t>
      </w:r>
    </w:p>
    <w:p w14:paraId="510F0E1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选取大气毒性终点浓度作为预测评价标准。大气毒性终点浓度值分为1、2级。其中1级为当大气中危险物质浓度低于该限值时，绝大多数人员暴露1h不会对生命造成威胁，当超过该限值时，有可能对人群造成生命威胁；2级为当大气中危险物质浓度低于该限值时，暴露1h一般不会对人体造成不可逆的伤害，或出现的症状一般不会损伤该个体采取有效防护措施的能力。本次风险评价标准见表6.3-21。</w:t>
      </w:r>
    </w:p>
    <w:p w14:paraId="0B8C2846">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6.3-21</w:t>
      </w:r>
      <w:r>
        <w:rPr>
          <w:rFonts w:hint="eastAsia" w:ascii="Times New Roman" w:hAnsi="Times New Roman" w:cs="Times New Roman"/>
          <w:snapToGrid w:val="0"/>
          <w:color w:val="auto"/>
          <w:kern w:val="0"/>
          <w:sz w:val="21"/>
          <w:szCs w:val="21"/>
          <w:highlight w:val="none"/>
        </w:rPr>
        <w:t xml:space="preserve"> 危险物质大气毒性终点浓度值选取</w:t>
      </w:r>
    </w:p>
    <w:tbl>
      <w:tblPr>
        <w:tblStyle w:val="56"/>
        <w:tblW w:w="8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57" w:type="dxa"/>
          <w:bottom w:w="0" w:type="dxa"/>
          <w:right w:w="57" w:type="dxa"/>
        </w:tblCellMar>
      </w:tblPr>
      <w:tblGrid>
        <w:gridCol w:w="640"/>
        <w:gridCol w:w="1344"/>
        <w:gridCol w:w="1181"/>
        <w:gridCol w:w="2693"/>
        <w:gridCol w:w="2440"/>
      </w:tblGrid>
      <w:tr w14:paraId="04AD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97" w:hRule="atLeast"/>
          <w:jc w:val="center"/>
        </w:trPr>
        <w:tc>
          <w:tcPr>
            <w:tcW w:w="640" w:type="dxa"/>
            <w:shd w:val="clear" w:color="auto" w:fill="auto"/>
            <w:noWrap w:val="0"/>
            <w:vAlign w:val="center"/>
          </w:tcPr>
          <w:p w14:paraId="5889F3A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序号</w:t>
            </w:r>
          </w:p>
        </w:tc>
        <w:tc>
          <w:tcPr>
            <w:tcW w:w="1344" w:type="dxa"/>
            <w:shd w:val="clear" w:color="auto" w:fill="auto"/>
            <w:noWrap w:val="0"/>
            <w:vAlign w:val="center"/>
          </w:tcPr>
          <w:p w14:paraId="221F106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物质名称</w:t>
            </w:r>
          </w:p>
        </w:tc>
        <w:tc>
          <w:tcPr>
            <w:tcW w:w="1181" w:type="dxa"/>
            <w:shd w:val="clear" w:color="auto" w:fill="auto"/>
            <w:noWrap w:val="0"/>
            <w:vAlign w:val="center"/>
          </w:tcPr>
          <w:p w14:paraId="341B525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CAS号</w:t>
            </w:r>
          </w:p>
        </w:tc>
        <w:tc>
          <w:tcPr>
            <w:tcW w:w="2693" w:type="dxa"/>
            <w:shd w:val="clear" w:color="auto" w:fill="auto"/>
            <w:noWrap w:val="0"/>
            <w:vAlign w:val="center"/>
          </w:tcPr>
          <w:p w14:paraId="0613822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毒性终点浓度-1/（mg/ 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c>
          <w:tcPr>
            <w:tcW w:w="2440" w:type="dxa"/>
            <w:shd w:val="clear" w:color="auto" w:fill="auto"/>
            <w:noWrap w:val="0"/>
            <w:vAlign w:val="center"/>
          </w:tcPr>
          <w:p w14:paraId="6842CCF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毒性终点浓度-2/（mg/ 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r>
      <w:tr w14:paraId="1481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cantSplit/>
          <w:trHeight w:val="397" w:hRule="atLeast"/>
          <w:jc w:val="center"/>
        </w:trPr>
        <w:tc>
          <w:tcPr>
            <w:tcW w:w="640" w:type="dxa"/>
            <w:shd w:val="clear" w:color="auto" w:fill="auto"/>
            <w:noWrap w:val="0"/>
            <w:vAlign w:val="center"/>
          </w:tcPr>
          <w:p w14:paraId="2841296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w:t>
            </w:r>
          </w:p>
        </w:tc>
        <w:tc>
          <w:tcPr>
            <w:tcW w:w="1344" w:type="dxa"/>
            <w:shd w:val="clear" w:color="auto" w:fill="auto"/>
            <w:noWrap w:val="0"/>
            <w:vAlign w:val="center"/>
          </w:tcPr>
          <w:p w14:paraId="713A1DD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CO</w:t>
            </w:r>
          </w:p>
        </w:tc>
        <w:tc>
          <w:tcPr>
            <w:tcW w:w="1181" w:type="dxa"/>
            <w:shd w:val="clear" w:color="auto" w:fill="auto"/>
            <w:noWrap w:val="0"/>
            <w:vAlign w:val="center"/>
          </w:tcPr>
          <w:p w14:paraId="0206B5C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630-08-0</w:t>
            </w:r>
          </w:p>
        </w:tc>
        <w:tc>
          <w:tcPr>
            <w:tcW w:w="2693" w:type="dxa"/>
            <w:shd w:val="clear" w:color="auto" w:fill="auto"/>
            <w:noWrap w:val="0"/>
            <w:vAlign w:val="center"/>
          </w:tcPr>
          <w:p w14:paraId="6CF7F01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380</w:t>
            </w:r>
          </w:p>
        </w:tc>
        <w:tc>
          <w:tcPr>
            <w:tcW w:w="2440" w:type="dxa"/>
            <w:shd w:val="clear" w:color="auto" w:fill="auto"/>
            <w:noWrap w:val="0"/>
            <w:vAlign w:val="center"/>
          </w:tcPr>
          <w:p w14:paraId="321D743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95</w:t>
            </w:r>
          </w:p>
        </w:tc>
      </w:tr>
      <w:tr w14:paraId="1700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cantSplit/>
          <w:trHeight w:val="397" w:hRule="atLeast"/>
          <w:jc w:val="center"/>
        </w:trPr>
        <w:tc>
          <w:tcPr>
            <w:tcW w:w="640" w:type="dxa"/>
            <w:shd w:val="clear" w:color="auto" w:fill="auto"/>
            <w:noWrap w:val="0"/>
            <w:vAlign w:val="center"/>
          </w:tcPr>
          <w:p w14:paraId="0C3B1D1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w:t>
            </w:r>
          </w:p>
        </w:tc>
        <w:tc>
          <w:tcPr>
            <w:tcW w:w="1344" w:type="dxa"/>
            <w:shd w:val="clear" w:color="auto" w:fill="auto"/>
            <w:noWrap w:val="0"/>
            <w:vAlign w:val="center"/>
          </w:tcPr>
          <w:p w14:paraId="33E98DD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NH</w:t>
            </w:r>
            <w:r>
              <w:rPr>
                <w:rFonts w:hint="eastAsia" w:ascii="Times New Roman" w:hAnsi="Times New Roman" w:eastAsia="宋体" w:cs="Times New Roman"/>
                <w:b w:val="0"/>
                <w:bCs w:val="0"/>
                <w:snapToGrid w:val="0"/>
                <w:color w:val="auto"/>
                <w:kern w:val="0"/>
                <w:sz w:val="21"/>
                <w:szCs w:val="21"/>
                <w:highlight w:val="none"/>
                <w:vertAlign w:val="subscript"/>
                <w:lang w:val="en-US" w:eastAsia="zh-CN"/>
              </w:rPr>
              <w:t>3</w:t>
            </w:r>
          </w:p>
        </w:tc>
        <w:tc>
          <w:tcPr>
            <w:tcW w:w="1181" w:type="dxa"/>
            <w:shd w:val="clear" w:color="auto" w:fill="auto"/>
            <w:noWrap w:val="0"/>
            <w:vAlign w:val="center"/>
          </w:tcPr>
          <w:p w14:paraId="72CBBD2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7664-41-7</w:t>
            </w:r>
          </w:p>
        </w:tc>
        <w:tc>
          <w:tcPr>
            <w:tcW w:w="2693" w:type="dxa"/>
            <w:shd w:val="clear" w:color="auto" w:fill="auto"/>
            <w:noWrap w:val="0"/>
            <w:vAlign w:val="center"/>
          </w:tcPr>
          <w:p w14:paraId="7232A64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770</w:t>
            </w:r>
          </w:p>
        </w:tc>
        <w:tc>
          <w:tcPr>
            <w:tcW w:w="2440" w:type="dxa"/>
            <w:shd w:val="clear" w:color="auto" w:fill="auto"/>
            <w:noWrap w:val="0"/>
            <w:vAlign w:val="center"/>
          </w:tcPr>
          <w:p w14:paraId="301D26F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110</w:t>
            </w:r>
          </w:p>
        </w:tc>
      </w:tr>
      <w:tr w14:paraId="3B15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cantSplit/>
          <w:trHeight w:val="397" w:hRule="atLeast"/>
          <w:jc w:val="center"/>
        </w:trPr>
        <w:tc>
          <w:tcPr>
            <w:tcW w:w="640" w:type="dxa"/>
            <w:shd w:val="clear" w:color="auto" w:fill="auto"/>
            <w:noWrap w:val="0"/>
            <w:vAlign w:val="center"/>
          </w:tcPr>
          <w:p w14:paraId="634B8AB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w:t>
            </w:r>
          </w:p>
        </w:tc>
        <w:tc>
          <w:tcPr>
            <w:tcW w:w="1344" w:type="dxa"/>
            <w:shd w:val="clear" w:color="auto" w:fill="auto"/>
            <w:noWrap w:val="0"/>
            <w:vAlign w:val="center"/>
          </w:tcPr>
          <w:p w14:paraId="6A1210C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SO</w:t>
            </w:r>
            <w:r>
              <w:rPr>
                <w:rFonts w:hint="eastAsia" w:ascii="Times New Roman" w:hAnsi="Times New Roman" w:eastAsia="宋体" w:cs="Times New Roman"/>
                <w:b w:val="0"/>
                <w:bCs w:val="0"/>
                <w:snapToGrid w:val="0"/>
                <w:color w:val="auto"/>
                <w:kern w:val="0"/>
                <w:sz w:val="21"/>
                <w:szCs w:val="21"/>
                <w:highlight w:val="none"/>
                <w:vertAlign w:val="subscript"/>
                <w:lang w:val="en-US" w:eastAsia="zh-CN"/>
              </w:rPr>
              <w:t>2</w:t>
            </w:r>
          </w:p>
        </w:tc>
        <w:tc>
          <w:tcPr>
            <w:tcW w:w="1181" w:type="dxa"/>
            <w:shd w:val="clear" w:color="auto" w:fill="auto"/>
            <w:noWrap w:val="0"/>
            <w:vAlign w:val="center"/>
          </w:tcPr>
          <w:p w14:paraId="550D1F8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7446-09-5</w:t>
            </w:r>
          </w:p>
        </w:tc>
        <w:tc>
          <w:tcPr>
            <w:tcW w:w="2693" w:type="dxa"/>
            <w:shd w:val="clear" w:color="auto" w:fill="auto"/>
            <w:noWrap w:val="0"/>
            <w:vAlign w:val="center"/>
          </w:tcPr>
          <w:p w14:paraId="753CF2E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79</w:t>
            </w:r>
          </w:p>
        </w:tc>
        <w:tc>
          <w:tcPr>
            <w:tcW w:w="2440" w:type="dxa"/>
            <w:shd w:val="clear" w:color="auto" w:fill="auto"/>
            <w:noWrap w:val="0"/>
            <w:vAlign w:val="center"/>
          </w:tcPr>
          <w:p w14:paraId="3015744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w:t>
            </w:r>
          </w:p>
        </w:tc>
      </w:tr>
    </w:tbl>
    <w:p w14:paraId="60B3A65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（4）预测内容</w:t>
      </w:r>
    </w:p>
    <w:p w14:paraId="06A43BB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本项目风险评价等级为二级，根据《建设项目环境风险评价技术导则》（HJ169-2018），预测内容有以下两个方面：</w:t>
      </w:r>
    </w:p>
    <w:p w14:paraId="2153F35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1）给出下风向不同距离处有毒有害物质的最大浓度，以及预测浓度达到不同毒性终点浓度的最大影响范围。</w:t>
      </w:r>
    </w:p>
    <w:p w14:paraId="565E8CD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2）给出各关心点的有毒有害物质浓度随时间变化情况，以及关心点的预测浓度超过评价标准时对应的时刻和持续时间。</w:t>
      </w:r>
    </w:p>
    <w:p w14:paraId="4517223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（5）预测结果与分析</w:t>
      </w:r>
    </w:p>
    <w:p w14:paraId="1C97BFB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1）烷烃储罐泄漏燃烧事故不利气象条件下预测结果</w:t>
      </w:r>
    </w:p>
    <w:p w14:paraId="700EE29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pPr>
      <w:r>
        <w:rPr>
          <w:rFonts w:hint="eastAsia" w:ascii="Times New Roman" w:hAnsi="Times New Roman" w:eastAsia="宋体" w:cs="Times New Roman"/>
          <w:b w:val="0"/>
          <w:bCs w:val="0"/>
          <w:snapToGrid w:val="0"/>
          <w:color w:val="auto"/>
          <w:spacing w:val="0"/>
          <w:kern w:val="0"/>
          <w:position w:val="0"/>
          <w:sz w:val="24"/>
          <w:szCs w:val="24"/>
          <w:highlight w:val="none"/>
          <w:lang w:val="en-US" w:eastAsia="zh-CN"/>
        </w:rPr>
        <w:t>烷烃储罐泄漏燃烧事故状态下，污染物排放的影响预测结果见表6.3-22。</w:t>
      </w:r>
    </w:p>
    <w:p w14:paraId="2BE2DAE6">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6.3-22</w:t>
      </w:r>
      <w:r>
        <w:rPr>
          <w:rFonts w:hint="eastAsia"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lang w:val="en-US" w:eastAsia="zh-CN"/>
        </w:rPr>
        <w:t>烷烃储罐泄漏燃烧事故</w:t>
      </w:r>
      <w:r>
        <w:rPr>
          <w:rFonts w:hint="eastAsia" w:ascii="Times New Roman" w:hAnsi="Times New Roman" w:cs="Times New Roman"/>
          <w:snapToGrid w:val="0"/>
          <w:color w:val="auto"/>
          <w:kern w:val="0"/>
          <w:sz w:val="21"/>
          <w:szCs w:val="21"/>
          <w:highlight w:val="none"/>
        </w:rPr>
        <w:t>大气环境风险预测结果</w:t>
      </w:r>
    </w:p>
    <w:tbl>
      <w:tblPr>
        <w:tblStyle w:val="56"/>
        <w:tblW w:w="8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040"/>
        <w:gridCol w:w="903"/>
        <w:gridCol w:w="1842"/>
        <w:gridCol w:w="1418"/>
        <w:gridCol w:w="1507"/>
        <w:gridCol w:w="1559"/>
      </w:tblGrid>
      <w:tr w14:paraId="3577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shd w:val="clear" w:color="auto" w:fill="auto"/>
            <w:noWrap w:val="0"/>
            <w:vAlign w:val="center"/>
          </w:tcPr>
          <w:p w14:paraId="54F1C12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事故情形</w:t>
            </w:r>
          </w:p>
        </w:tc>
        <w:tc>
          <w:tcPr>
            <w:tcW w:w="903" w:type="dxa"/>
            <w:shd w:val="clear" w:color="auto" w:fill="auto"/>
            <w:noWrap w:val="0"/>
            <w:vAlign w:val="center"/>
          </w:tcPr>
          <w:p w14:paraId="5445AAC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危险物质</w:t>
            </w:r>
          </w:p>
        </w:tc>
        <w:tc>
          <w:tcPr>
            <w:tcW w:w="6326" w:type="dxa"/>
            <w:gridSpan w:val="4"/>
            <w:shd w:val="clear" w:color="auto" w:fill="auto"/>
            <w:noWrap w:val="0"/>
            <w:vAlign w:val="center"/>
          </w:tcPr>
          <w:p w14:paraId="2091482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大气环境影响</w:t>
            </w:r>
          </w:p>
        </w:tc>
      </w:tr>
      <w:tr w14:paraId="76F9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restart"/>
            <w:shd w:val="clear" w:color="auto" w:fill="auto"/>
            <w:noWrap w:val="0"/>
            <w:vAlign w:val="center"/>
          </w:tcPr>
          <w:p w14:paraId="0572D86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烷烃储罐泄漏燃烧事故</w:t>
            </w:r>
          </w:p>
        </w:tc>
        <w:tc>
          <w:tcPr>
            <w:tcW w:w="903" w:type="dxa"/>
            <w:vMerge w:val="restart"/>
            <w:shd w:val="clear" w:color="auto" w:fill="auto"/>
            <w:noWrap w:val="0"/>
            <w:vAlign w:val="center"/>
          </w:tcPr>
          <w:p w14:paraId="4237C5F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CO</w:t>
            </w:r>
          </w:p>
        </w:tc>
        <w:tc>
          <w:tcPr>
            <w:tcW w:w="1842" w:type="dxa"/>
            <w:shd w:val="clear" w:color="auto" w:fill="auto"/>
            <w:noWrap w:val="0"/>
            <w:vAlign w:val="center"/>
          </w:tcPr>
          <w:p w14:paraId="34F0BA1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指标</w:t>
            </w:r>
          </w:p>
        </w:tc>
        <w:tc>
          <w:tcPr>
            <w:tcW w:w="1418" w:type="dxa"/>
            <w:shd w:val="clear" w:color="auto" w:fill="auto"/>
            <w:noWrap w:val="0"/>
            <w:vAlign w:val="center"/>
          </w:tcPr>
          <w:p w14:paraId="4395242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浓度值/（mg/m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c>
          <w:tcPr>
            <w:tcW w:w="1507" w:type="dxa"/>
            <w:shd w:val="clear" w:color="auto" w:fill="auto"/>
            <w:noWrap w:val="0"/>
            <w:vAlign w:val="center"/>
          </w:tcPr>
          <w:p w14:paraId="594B2F7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最远影响距离/m</w:t>
            </w:r>
          </w:p>
        </w:tc>
        <w:tc>
          <w:tcPr>
            <w:tcW w:w="1559" w:type="dxa"/>
            <w:shd w:val="clear" w:color="auto" w:fill="auto"/>
            <w:noWrap w:val="0"/>
            <w:vAlign w:val="center"/>
          </w:tcPr>
          <w:p w14:paraId="4181E0C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到达时间/min</w:t>
            </w:r>
          </w:p>
        </w:tc>
      </w:tr>
      <w:tr w14:paraId="400D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3010C90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4E238E4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4CA194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大气毒性终点浓度-1</w:t>
            </w:r>
          </w:p>
        </w:tc>
        <w:tc>
          <w:tcPr>
            <w:tcW w:w="1418" w:type="dxa"/>
            <w:shd w:val="clear" w:color="auto" w:fill="auto"/>
            <w:noWrap w:val="0"/>
            <w:vAlign w:val="center"/>
          </w:tcPr>
          <w:p w14:paraId="13E20A3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380</w:t>
            </w:r>
          </w:p>
        </w:tc>
        <w:tc>
          <w:tcPr>
            <w:tcW w:w="1507" w:type="dxa"/>
            <w:shd w:val="clear" w:color="auto" w:fill="auto"/>
            <w:noWrap w:val="0"/>
            <w:vAlign w:val="center"/>
          </w:tcPr>
          <w:p w14:paraId="0455EEF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1490</w:t>
            </w:r>
          </w:p>
        </w:tc>
        <w:tc>
          <w:tcPr>
            <w:tcW w:w="1559" w:type="dxa"/>
            <w:shd w:val="clear" w:color="auto" w:fill="auto"/>
            <w:noWrap w:val="0"/>
            <w:vAlign w:val="center"/>
          </w:tcPr>
          <w:p w14:paraId="686690A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0.333</w:t>
            </w:r>
          </w:p>
        </w:tc>
      </w:tr>
      <w:tr w14:paraId="29AD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3D7CC5A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0F92F91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DA2313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大气毒性终点浓度-2</w:t>
            </w:r>
          </w:p>
        </w:tc>
        <w:tc>
          <w:tcPr>
            <w:tcW w:w="1418" w:type="dxa"/>
            <w:shd w:val="clear" w:color="auto" w:fill="auto"/>
            <w:noWrap w:val="0"/>
            <w:vAlign w:val="center"/>
          </w:tcPr>
          <w:p w14:paraId="553FB5E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95</w:t>
            </w:r>
          </w:p>
        </w:tc>
        <w:tc>
          <w:tcPr>
            <w:tcW w:w="1507" w:type="dxa"/>
            <w:shd w:val="clear" w:color="auto" w:fill="auto"/>
            <w:noWrap w:val="0"/>
            <w:vAlign w:val="center"/>
          </w:tcPr>
          <w:p w14:paraId="5F1C9DF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4280</w:t>
            </w:r>
          </w:p>
        </w:tc>
        <w:tc>
          <w:tcPr>
            <w:tcW w:w="1559" w:type="dxa"/>
            <w:shd w:val="clear" w:color="auto" w:fill="auto"/>
            <w:noWrap w:val="0"/>
            <w:vAlign w:val="center"/>
          </w:tcPr>
          <w:p w14:paraId="08915AC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0.222</w:t>
            </w:r>
          </w:p>
        </w:tc>
      </w:tr>
      <w:tr w14:paraId="586A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4825325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57FEAEF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85FEC8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敏感目标</w:t>
            </w:r>
          </w:p>
        </w:tc>
        <w:tc>
          <w:tcPr>
            <w:tcW w:w="1418" w:type="dxa"/>
            <w:shd w:val="clear" w:color="auto" w:fill="auto"/>
            <w:noWrap w:val="0"/>
            <w:vAlign w:val="center"/>
          </w:tcPr>
          <w:p w14:paraId="12B826C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超标时间/min</w:t>
            </w:r>
          </w:p>
        </w:tc>
        <w:tc>
          <w:tcPr>
            <w:tcW w:w="1507" w:type="dxa"/>
            <w:shd w:val="clear" w:color="auto" w:fill="auto"/>
            <w:noWrap w:val="0"/>
            <w:vAlign w:val="center"/>
          </w:tcPr>
          <w:p w14:paraId="673111E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超标持续时间/min</w:t>
            </w:r>
          </w:p>
        </w:tc>
        <w:tc>
          <w:tcPr>
            <w:tcW w:w="1559" w:type="dxa"/>
            <w:shd w:val="clear" w:color="auto" w:fill="auto"/>
            <w:noWrap w:val="0"/>
            <w:vAlign w:val="center"/>
          </w:tcPr>
          <w:p w14:paraId="58FC866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最大浓度/(mg/m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r>
      <w:tr w14:paraId="633A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6B963CC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3C9DB45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66AB29A">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color w:val="auto"/>
                <w:highlight w:val="none"/>
              </w:rPr>
              <w:t>哈尔扎木村</w:t>
            </w:r>
          </w:p>
        </w:tc>
        <w:tc>
          <w:tcPr>
            <w:tcW w:w="1418" w:type="dxa"/>
            <w:shd w:val="clear" w:color="auto" w:fill="auto"/>
            <w:noWrap w:val="0"/>
            <w:vAlign w:val="center"/>
          </w:tcPr>
          <w:p w14:paraId="243FBEF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29</w:t>
            </w:r>
          </w:p>
        </w:tc>
        <w:tc>
          <w:tcPr>
            <w:tcW w:w="1507" w:type="dxa"/>
            <w:shd w:val="clear" w:color="auto" w:fill="auto"/>
            <w:noWrap w:val="0"/>
            <w:vAlign w:val="center"/>
          </w:tcPr>
          <w:p w14:paraId="133D0CB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9</w:t>
            </w:r>
          </w:p>
        </w:tc>
        <w:tc>
          <w:tcPr>
            <w:tcW w:w="1559" w:type="dxa"/>
            <w:shd w:val="clear" w:color="auto" w:fill="auto"/>
            <w:noWrap w:val="0"/>
            <w:vAlign w:val="center"/>
          </w:tcPr>
          <w:p w14:paraId="4FB45E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191</w:t>
            </w:r>
          </w:p>
        </w:tc>
      </w:tr>
      <w:tr w14:paraId="7750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7149A61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16B2035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0D1047A2">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color w:val="auto"/>
                <w:highlight w:val="none"/>
              </w:rPr>
              <w:t>牧民新村</w:t>
            </w:r>
          </w:p>
        </w:tc>
        <w:tc>
          <w:tcPr>
            <w:tcW w:w="1418" w:type="dxa"/>
            <w:shd w:val="clear" w:color="auto" w:fill="auto"/>
            <w:noWrap w:val="0"/>
            <w:vAlign w:val="center"/>
          </w:tcPr>
          <w:p w14:paraId="5FA34D5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33</w:t>
            </w:r>
          </w:p>
        </w:tc>
        <w:tc>
          <w:tcPr>
            <w:tcW w:w="1507" w:type="dxa"/>
            <w:shd w:val="clear" w:color="auto" w:fill="auto"/>
            <w:noWrap w:val="0"/>
            <w:vAlign w:val="center"/>
          </w:tcPr>
          <w:p w14:paraId="185CBF0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9</w:t>
            </w:r>
          </w:p>
        </w:tc>
        <w:tc>
          <w:tcPr>
            <w:tcW w:w="1559" w:type="dxa"/>
            <w:shd w:val="clear" w:color="auto" w:fill="auto"/>
            <w:noWrap w:val="0"/>
            <w:vAlign w:val="center"/>
          </w:tcPr>
          <w:p w14:paraId="689E40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160</w:t>
            </w:r>
          </w:p>
        </w:tc>
      </w:tr>
      <w:tr w14:paraId="7CFF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168BB58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5B8CB48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5C3AD74A">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olor w:val="auto"/>
                <w:highlight w:val="none"/>
              </w:rPr>
              <w:t>库鲁木村</w:t>
            </w:r>
          </w:p>
        </w:tc>
        <w:tc>
          <w:tcPr>
            <w:tcW w:w="1418" w:type="dxa"/>
            <w:shd w:val="clear" w:color="auto" w:fill="auto"/>
            <w:noWrap w:val="0"/>
            <w:vAlign w:val="center"/>
          </w:tcPr>
          <w:p w14:paraId="1CE7C28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45</w:t>
            </w:r>
          </w:p>
        </w:tc>
        <w:tc>
          <w:tcPr>
            <w:tcW w:w="1507" w:type="dxa"/>
            <w:shd w:val="clear" w:color="auto" w:fill="auto"/>
            <w:noWrap w:val="0"/>
            <w:vAlign w:val="center"/>
          </w:tcPr>
          <w:p w14:paraId="4A87537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w:t>
            </w:r>
          </w:p>
        </w:tc>
        <w:tc>
          <w:tcPr>
            <w:tcW w:w="1559" w:type="dxa"/>
            <w:shd w:val="clear" w:color="auto" w:fill="auto"/>
            <w:noWrap w:val="0"/>
            <w:vAlign w:val="center"/>
          </w:tcPr>
          <w:p w14:paraId="10BB96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108</w:t>
            </w:r>
          </w:p>
        </w:tc>
      </w:tr>
      <w:tr w14:paraId="0C4E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4D8D5BF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617B8E1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3EC4466">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olor w:val="auto"/>
                <w:highlight w:val="none"/>
              </w:rPr>
              <w:t>喇嘛寺村</w:t>
            </w:r>
          </w:p>
        </w:tc>
        <w:tc>
          <w:tcPr>
            <w:tcW w:w="1418" w:type="dxa"/>
            <w:shd w:val="clear" w:color="auto" w:fill="auto"/>
            <w:noWrap w:val="0"/>
            <w:vAlign w:val="center"/>
          </w:tcPr>
          <w:p w14:paraId="74ACBFA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41CCEA6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05851CD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r w14:paraId="7F70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6C4F18A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136D953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2BA94D82">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olor w:val="auto"/>
                <w:highlight w:val="none"/>
              </w:rPr>
              <w:t>塞布库里村</w:t>
            </w:r>
          </w:p>
        </w:tc>
        <w:tc>
          <w:tcPr>
            <w:tcW w:w="1418" w:type="dxa"/>
            <w:shd w:val="clear" w:color="auto" w:fill="auto"/>
            <w:noWrap w:val="0"/>
            <w:vAlign w:val="center"/>
          </w:tcPr>
          <w:p w14:paraId="1E5EC9A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784A99D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0789350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bl>
    <w:p w14:paraId="20AC1160">
      <w:pPr>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jc w:val="both"/>
        <w:textAlignment w:val="auto"/>
        <w:rPr>
          <w:rFonts w:ascii="Times New Roman" w:hAnsi="Times New Roman" w:eastAsia="宋体" w:cs="Times New Roman"/>
          <w:snapToGrid w:val="0"/>
          <w:color w:val="auto"/>
          <w:spacing w:val="0"/>
          <w:kern w:val="0"/>
          <w:sz w:val="24"/>
          <w:szCs w:val="24"/>
          <w:highlight w:val="none"/>
        </w:rPr>
      </w:pPr>
    </w:p>
    <w:p w14:paraId="22F59D04">
      <w:pPr>
        <w:keepNext w:val="0"/>
        <w:keepLines w:val="0"/>
        <w:pageBreakBefore w:val="0"/>
        <w:widowControl w:val="0"/>
        <w:kinsoku/>
        <w:wordWrap/>
        <w:overflowPunct/>
        <w:topLinePunct w:val="0"/>
        <w:autoSpaceDE/>
        <w:autoSpaceDN/>
        <w:bidi w:val="0"/>
        <w:adjustRightInd w:val="0"/>
        <w:snapToGrid w:val="0"/>
        <w:spacing w:before="0" w:line="360" w:lineRule="auto"/>
        <w:jc w:val="both"/>
        <w:textAlignment w:val="auto"/>
        <w:rPr>
          <w:rFonts w:ascii="Times New Roman" w:hAnsi="Times New Roman" w:eastAsia="宋体" w:cs="Times New Roman"/>
          <w:snapToGrid w:val="0"/>
          <w:color w:val="auto"/>
          <w:spacing w:val="0"/>
          <w:kern w:val="0"/>
          <w:sz w:val="24"/>
          <w:szCs w:val="24"/>
          <w:highlight w:val="none"/>
        </w:rPr>
      </w:pPr>
      <w:r>
        <w:rPr>
          <w:rFonts w:ascii="Times New Roman" w:hAnsi="Times New Roman" w:eastAsia="宋体" w:cs="Times New Roman"/>
          <w:snapToGrid w:val="0"/>
          <w:color w:val="auto"/>
          <w:spacing w:val="0"/>
          <w:kern w:val="0"/>
          <w:sz w:val="24"/>
          <w:szCs w:val="24"/>
          <w:highlight w:val="none"/>
        </w:rPr>
        <w:drawing>
          <wp:inline distT="0" distB="0" distL="114300" distR="114300">
            <wp:extent cx="5217160" cy="2691765"/>
            <wp:effectExtent l="0" t="0" r="2540" b="13335"/>
            <wp:docPr id="668" name="图片 668" descr="4fd7b3d9-d447-4eb8-bbda-661eb216c5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图片 668" descr="4fd7b3d9-d447-4eb8-bbda-661eb216c54f"/>
                    <pic:cNvPicPr>
                      <a:picLocks noChangeAspect="1"/>
                    </pic:cNvPicPr>
                  </pic:nvPicPr>
                  <pic:blipFill>
                    <a:blip r:embed="rId79"/>
                    <a:stretch>
                      <a:fillRect/>
                    </a:stretch>
                  </pic:blipFill>
                  <pic:spPr>
                    <a:xfrm>
                      <a:off x="0" y="0"/>
                      <a:ext cx="5217160" cy="2691765"/>
                    </a:xfrm>
                    <a:prstGeom prst="rect">
                      <a:avLst/>
                    </a:prstGeom>
                  </pic:spPr>
                </pic:pic>
              </a:graphicData>
            </a:graphic>
          </wp:inline>
        </w:drawing>
      </w:r>
    </w:p>
    <w:p w14:paraId="6C79FDCD">
      <w:pPr>
        <w:keepNext w:val="0"/>
        <w:keepLines w:val="0"/>
        <w:pageBreakBefore w:val="0"/>
        <w:widowControl w:val="0"/>
        <w:kinsoku/>
        <w:wordWrap/>
        <w:overflowPunct/>
        <w:topLinePunct w:val="0"/>
        <w:autoSpaceDE/>
        <w:autoSpaceDN/>
        <w:bidi w:val="0"/>
        <w:adjustRightInd w:val="0"/>
        <w:snapToGrid w:val="0"/>
        <w:spacing w:before="0" w:line="360" w:lineRule="auto"/>
        <w:jc w:val="center"/>
        <w:textAlignment w:val="auto"/>
        <w:rPr>
          <w:rFonts w:hint="eastAsia" w:ascii="Times New Roman" w:hAnsi="Times New Roman" w:eastAsia="黑体" w:cs="Times New Roman"/>
          <w:snapToGrid w:val="0"/>
          <w:color w:val="auto"/>
          <w:kern w:val="0"/>
          <w:szCs w:val="21"/>
          <w:highlight w:val="none"/>
        </w:rPr>
      </w:pPr>
      <w:r>
        <w:rPr>
          <w:rFonts w:hint="eastAsia" w:ascii="Times New Roman" w:hAnsi="Times New Roman" w:eastAsia="黑体" w:cs="Times New Roman"/>
          <w:snapToGrid w:val="0"/>
          <w:color w:val="auto"/>
          <w:kern w:val="0"/>
          <w:szCs w:val="21"/>
          <w:highlight w:val="none"/>
          <w:lang w:val="en-US" w:eastAsia="zh-CN"/>
        </w:rPr>
        <w:t>图6.3-2 点关心CO浓度随时间变化图（最不利气象条件）</w:t>
      </w:r>
    </w:p>
    <w:p w14:paraId="230FDD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pacing w:val="0"/>
          <w:kern w:val="0"/>
          <w:sz w:val="24"/>
          <w:szCs w:val="24"/>
          <w:highlight w:val="none"/>
          <w:lang w:val="en-US" w:eastAsia="zh-CN"/>
        </w:rPr>
      </w:pPr>
      <w:r>
        <w:rPr>
          <w:rFonts w:hint="eastAsia" w:ascii="Times New Roman" w:hAnsi="Times New Roman" w:eastAsia="宋体" w:cs="Times New Roman"/>
          <w:snapToGrid w:val="0"/>
          <w:color w:val="auto"/>
          <w:spacing w:val="0"/>
          <w:kern w:val="0"/>
          <w:sz w:val="24"/>
          <w:szCs w:val="24"/>
          <w:highlight w:val="none"/>
          <w:lang w:val="en-US" w:eastAsia="zh-CN"/>
        </w:rPr>
        <w:t>2）硫酸铵明火或高热分解事故不利气象条件下预测结果</w:t>
      </w:r>
    </w:p>
    <w:p w14:paraId="02BA9F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pacing w:val="0"/>
          <w:kern w:val="0"/>
          <w:sz w:val="24"/>
          <w:szCs w:val="24"/>
          <w:highlight w:val="none"/>
        </w:rPr>
      </w:pPr>
      <w:r>
        <w:rPr>
          <w:rFonts w:hint="eastAsia" w:ascii="Times New Roman" w:hAnsi="Times New Roman" w:eastAsia="宋体" w:cs="Times New Roman"/>
          <w:snapToGrid w:val="0"/>
          <w:color w:val="auto"/>
          <w:spacing w:val="0"/>
          <w:kern w:val="0"/>
          <w:sz w:val="24"/>
          <w:szCs w:val="24"/>
          <w:highlight w:val="none"/>
          <w:lang w:val="en-US" w:eastAsia="zh-CN"/>
        </w:rPr>
        <w:t>硫酸铵明火或高热分解</w:t>
      </w:r>
      <w:r>
        <w:rPr>
          <w:rFonts w:ascii="Times New Roman" w:hAnsi="Times New Roman" w:eastAsia="宋体" w:cs="Times New Roman"/>
          <w:snapToGrid w:val="0"/>
          <w:color w:val="auto"/>
          <w:spacing w:val="0"/>
          <w:kern w:val="0"/>
          <w:sz w:val="24"/>
          <w:szCs w:val="24"/>
          <w:highlight w:val="none"/>
        </w:rPr>
        <w:t>事故</w:t>
      </w:r>
      <w:r>
        <w:rPr>
          <w:rFonts w:hint="eastAsia" w:ascii="Times New Roman" w:hAnsi="Times New Roman" w:eastAsia="宋体" w:cs="Times New Roman"/>
          <w:snapToGrid w:val="0"/>
          <w:color w:val="auto"/>
          <w:spacing w:val="0"/>
          <w:kern w:val="0"/>
          <w:sz w:val="24"/>
          <w:szCs w:val="24"/>
          <w:highlight w:val="none"/>
        </w:rPr>
        <w:t>状态下，</w:t>
      </w:r>
      <w:r>
        <w:rPr>
          <w:rFonts w:hint="eastAsia" w:ascii="Times New Roman" w:hAnsi="Times New Roman" w:eastAsia="宋体" w:cs="Times New Roman"/>
          <w:snapToGrid w:val="0"/>
          <w:color w:val="auto"/>
          <w:spacing w:val="0"/>
          <w:kern w:val="0"/>
          <w:sz w:val="24"/>
          <w:szCs w:val="24"/>
          <w:highlight w:val="none"/>
          <w:lang w:val="en-US" w:eastAsia="zh-CN"/>
        </w:rPr>
        <w:t>氨和二氧化硫</w:t>
      </w:r>
      <w:r>
        <w:rPr>
          <w:rFonts w:hint="eastAsia" w:ascii="Times New Roman" w:hAnsi="Times New Roman" w:eastAsia="宋体" w:cs="Times New Roman"/>
          <w:snapToGrid w:val="0"/>
          <w:color w:val="auto"/>
          <w:spacing w:val="0"/>
          <w:kern w:val="0"/>
          <w:sz w:val="24"/>
          <w:szCs w:val="24"/>
          <w:highlight w:val="none"/>
        </w:rPr>
        <w:t>排放的影响预测结果</w:t>
      </w:r>
      <w:r>
        <w:rPr>
          <w:rFonts w:ascii="Times New Roman" w:hAnsi="Times New Roman" w:eastAsia="宋体" w:cs="Times New Roman"/>
          <w:snapToGrid w:val="0"/>
          <w:color w:val="auto"/>
          <w:spacing w:val="0"/>
          <w:kern w:val="0"/>
          <w:sz w:val="24"/>
          <w:szCs w:val="24"/>
          <w:highlight w:val="none"/>
        </w:rPr>
        <w:t>见表</w:t>
      </w:r>
      <w:r>
        <w:rPr>
          <w:rFonts w:hint="eastAsia" w:ascii="Times New Roman" w:hAnsi="Times New Roman" w:eastAsia="宋体" w:cs="Times New Roman"/>
          <w:snapToGrid w:val="0"/>
          <w:color w:val="auto"/>
          <w:spacing w:val="0"/>
          <w:kern w:val="0"/>
          <w:sz w:val="24"/>
          <w:szCs w:val="24"/>
          <w:highlight w:val="none"/>
          <w:lang w:val="en-US" w:eastAsia="zh-CN"/>
        </w:rPr>
        <w:t>6.3-23</w:t>
      </w:r>
      <w:r>
        <w:rPr>
          <w:rFonts w:hint="eastAsia" w:ascii="Times New Roman" w:hAnsi="Times New Roman" w:eastAsia="宋体" w:cs="Times New Roman"/>
          <w:snapToGrid w:val="0"/>
          <w:color w:val="auto"/>
          <w:spacing w:val="0"/>
          <w:kern w:val="0"/>
          <w:sz w:val="24"/>
          <w:szCs w:val="24"/>
          <w:highlight w:val="none"/>
        </w:rPr>
        <w:t>。</w:t>
      </w:r>
    </w:p>
    <w:p w14:paraId="2C732A8B">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6.3-23</w:t>
      </w:r>
      <w:r>
        <w:rPr>
          <w:rFonts w:hint="eastAsia" w:ascii="Times New Roman" w:hAnsi="Times New Roman" w:cs="Times New Roman"/>
          <w:snapToGrid w:val="0"/>
          <w:color w:val="auto"/>
          <w:kern w:val="0"/>
          <w:sz w:val="21"/>
          <w:szCs w:val="21"/>
          <w:highlight w:val="none"/>
        </w:rPr>
        <w:t xml:space="preserve"> </w:t>
      </w:r>
      <w:r>
        <w:rPr>
          <w:rFonts w:hint="eastAsia" w:ascii="Times New Roman" w:hAnsi="Times New Roman" w:cs="Times New Roman"/>
          <w:snapToGrid w:val="0"/>
          <w:color w:val="auto"/>
          <w:kern w:val="0"/>
          <w:sz w:val="21"/>
          <w:szCs w:val="21"/>
          <w:highlight w:val="none"/>
          <w:lang w:val="en-US" w:eastAsia="zh-CN"/>
        </w:rPr>
        <w:t>硫酸铵明火或高热分解</w:t>
      </w:r>
      <w:r>
        <w:rPr>
          <w:rFonts w:hint="eastAsia" w:ascii="Times New Roman" w:hAnsi="Times New Roman" w:cs="Times New Roman"/>
          <w:snapToGrid w:val="0"/>
          <w:color w:val="auto"/>
          <w:kern w:val="0"/>
          <w:sz w:val="21"/>
          <w:szCs w:val="21"/>
          <w:highlight w:val="none"/>
        </w:rPr>
        <w:t>事故大气环境风险预测结果</w:t>
      </w:r>
    </w:p>
    <w:tbl>
      <w:tblPr>
        <w:tblStyle w:val="56"/>
        <w:tblW w:w="8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040"/>
        <w:gridCol w:w="903"/>
        <w:gridCol w:w="1842"/>
        <w:gridCol w:w="1418"/>
        <w:gridCol w:w="1507"/>
        <w:gridCol w:w="1559"/>
      </w:tblGrid>
      <w:tr w14:paraId="2681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97" w:hRule="atLeast"/>
          <w:jc w:val="center"/>
        </w:trPr>
        <w:tc>
          <w:tcPr>
            <w:tcW w:w="1040" w:type="dxa"/>
            <w:shd w:val="clear" w:color="auto" w:fill="auto"/>
            <w:noWrap w:val="0"/>
            <w:vAlign w:val="center"/>
          </w:tcPr>
          <w:p w14:paraId="5DFFD02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事故情形</w:t>
            </w:r>
          </w:p>
        </w:tc>
        <w:tc>
          <w:tcPr>
            <w:tcW w:w="903" w:type="dxa"/>
            <w:shd w:val="clear" w:color="auto" w:fill="auto"/>
            <w:noWrap w:val="0"/>
            <w:vAlign w:val="center"/>
          </w:tcPr>
          <w:p w14:paraId="1C6574C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危险物质</w:t>
            </w:r>
          </w:p>
        </w:tc>
        <w:tc>
          <w:tcPr>
            <w:tcW w:w="6326" w:type="dxa"/>
            <w:gridSpan w:val="4"/>
            <w:shd w:val="clear" w:color="auto" w:fill="auto"/>
            <w:noWrap w:val="0"/>
            <w:vAlign w:val="center"/>
          </w:tcPr>
          <w:p w14:paraId="7DD4F45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大气环境影响</w:t>
            </w:r>
          </w:p>
        </w:tc>
      </w:tr>
      <w:tr w14:paraId="1667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restart"/>
            <w:shd w:val="clear" w:color="auto" w:fill="auto"/>
            <w:noWrap w:val="0"/>
            <w:vAlign w:val="center"/>
          </w:tcPr>
          <w:p w14:paraId="48254FC2">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烷烃储罐泄漏燃烧事故</w:t>
            </w:r>
          </w:p>
        </w:tc>
        <w:tc>
          <w:tcPr>
            <w:tcW w:w="903" w:type="dxa"/>
            <w:vMerge w:val="restart"/>
            <w:shd w:val="clear" w:color="auto" w:fill="auto"/>
            <w:noWrap w:val="0"/>
            <w:vAlign w:val="center"/>
          </w:tcPr>
          <w:p w14:paraId="415C78D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NH</w:t>
            </w:r>
            <w:r>
              <w:rPr>
                <w:rFonts w:hint="eastAsia" w:ascii="Times New Roman" w:hAnsi="Times New Roman" w:eastAsia="宋体" w:cs="Times New Roman"/>
                <w:b w:val="0"/>
                <w:bCs w:val="0"/>
                <w:snapToGrid w:val="0"/>
                <w:color w:val="auto"/>
                <w:kern w:val="0"/>
                <w:sz w:val="21"/>
                <w:szCs w:val="21"/>
                <w:highlight w:val="none"/>
                <w:vertAlign w:val="subscript"/>
                <w:lang w:val="en-US" w:eastAsia="zh-CN"/>
              </w:rPr>
              <w:t>3</w:t>
            </w:r>
          </w:p>
        </w:tc>
        <w:tc>
          <w:tcPr>
            <w:tcW w:w="1842" w:type="dxa"/>
            <w:shd w:val="clear" w:color="auto" w:fill="auto"/>
            <w:noWrap w:val="0"/>
            <w:vAlign w:val="center"/>
          </w:tcPr>
          <w:p w14:paraId="043715A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指标</w:t>
            </w:r>
          </w:p>
        </w:tc>
        <w:tc>
          <w:tcPr>
            <w:tcW w:w="1418" w:type="dxa"/>
            <w:shd w:val="clear" w:color="auto" w:fill="auto"/>
            <w:noWrap w:val="0"/>
            <w:vAlign w:val="center"/>
          </w:tcPr>
          <w:p w14:paraId="033B73D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浓度值/（mg/m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c>
          <w:tcPr>
            <w:tcW w:w="1507" w:type="dxa"/>
            <w:shd w:val="clear" w:color="auto" w:fill="auto"/>
            <w:noWrap w:val="0"/>
            <w:vAlign w:val="center"/>
          </w:tcPr>
          <w:p w14:paraId="1BE71B5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最远影响距离/m</w:t>
            </w:r>
          </w:p>
        </w:tc>
        <w:tc>
          <w:tcPr>
            <w:tcW w:w="1559" w:type="dxa"/>
            <w:shd w:val="clear" w:color="auto" w:fill="auto"/>
            <w:noWrap w:val="0"/>
            <w:vAlign w:val="center"/>
          </w:tcPr>
          <w:p w14:paraId="3BD1E67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到达时间/min</w:t>
            </w:r>
          </w:p>
        </w:tc>
      </w:tr>
      <w:tr w14:paraId="5670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2B68C1A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2FE2E24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63AA9A6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大气毒性终点浓度-1</w:t>
            </w:r>
          </w:p>
        </w:tc>
        <w:tc>
          <w:tcPr>
            <w:tcW w:w="1418" w:type="dxa"/>
            <w:shd w:val="clear" w:color="auto" w:fill="auto"/>
            <w:noWrap w:val="0"/>
            <w:vAlign w:val="center"/>
          </w:tcPr>
          <w:p w14:paraId="50F2B3B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770</w:t>
            </w:r>
          </w:p>
        </w:tc>
        <w:tc>
          <w:tcPr>
            <w:tcW w:w="1507" w:type="dxa"/>
            <w:shd w:val="clear" w:color="auto" w:fill="auto"/>
            <w:noWrap w:val="0"/>
            <w:vAlign w:val="center"/>
          </w:tcPr>
          <w:p w14:paraId="617D5BE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100</w:t>
            </w:r>
          </w:p>
        </w:tc>
        <w:tc>
          <w:tcPr>
            <w:tcW w:w="1559" w:type="dxa"/>
            <w:shd w:val="clear" w:color="auto" w:fill="auto"/>
            <w:noWrap w:val="0"/>
            <w:vAlign w:val="center"/>
          </w:tcPr>
          <w:p w14:paraId="089ACEC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0.083</w:t>
            </w:r>
          </w:p>
        </w:tc>
      </w:tr>
      <w:tr w14:paraId="4F89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6BE20A8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1B6B868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43EC704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大气毒性终点浓度-2</w:t>
            </w:r>
          </w:p>
        </w:tc>
        <w:tc>
          <w:tcPr>
            <w:tcW w:w="1418" w:type="dxa"/>
            <w:shd w:val="clear" w:color="auto" w:fill="auto"/>
            <w:noWrap w:val="0"/>
            <w:vAlign w:val="center"/>
          </w:tcPr>
          <w:p w14:paraId="7992512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110</w:t>
            </w:r>
          </w:p>
        </w:tc>
        <w:tc>
          <w:tcPr>
            <w:tcW w:w="1507" w:type="dxa"/>
            <w:shd w:val="clear" w:color="auto" w:fill="auto"/>
            <w:noWrap w:val="0"/>
            <w:vAlign w:val="center"/>
          </w:tcPr>
          <w:p w14:paraId="4A474C9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410</w:t>
            </w:r>
          </w:p>
        </w:tc>
        <w:tc>
          <w:tcPr>
            <w:tcW w:w="1559" w:type="dxa"/>
            <w:shd w:val="clear" w:color="auto" w:fill="auto"/>
            <w:noWrap w:val="0"/>
            <w:vAlign w:val="center"/>
          </w:tcPr>
          <w:p w14:paraId="5FAB490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0.083</w:t>
            </w:r>
          </w:p>
        </w:tc>
      </w:tr>
      <w:tr w14:paraId="3C1B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086AE39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4AD5DD7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81A8E2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敏感目标</w:t>
            </w:r>
          </w:p>
        </w:tc>
        <w:tc>
          <w:tcPr>
            <w:tcW w:w="1418" w:type="dxa"/>
            <w:shd w:val="clear" w:color="auto" w:fill="auto"/>
            <w:noWrap w:val="0"/>
            <w:vAlign w:val="center"/>
          </w:tcPr>
          <w:p w14:paraId="0056235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超标时间/min</w:t>
            </w:r>
          </w:p>
        </w:tc>
        <w:tc>
          <w:tcPr>
            <w:tcW w:w="1507" w:type="dxa"/>
            <w:shd w:val="clear" w:color="auto" w:fill="auto"/>
            <w:noWrap w:val="0"/>
            <w:vAlign w:val="center"/>
          </w:tcPr>
          <w:p w14:paraId="28C57F6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超标持续时间/min</w:t>
            </w:r>
          </w:p>
        </w:tc>
        <w:tc>
          <w:tcPr>
            <w:tcW w:w="1559" w:type="dxa"/>
            <w:shd w:val="clear" w:color="auto" w:fill="auto"/>
            <w:noWrap w:val="0"/>
            <w:vAlign w:val="center"/>
          </w:tcPr>
          <w:p w14:paraId="4C67304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最大浓度/(mg/m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r>
      <w:tr w14:paraId="6C21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2163E3B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2B15DE2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437FBF2A">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color w:val="auto"/>
                <w:highlight w:val="none"/>
              </w:rPr>
              <w:t>哈尔扎木村</w:t>
            </w:r>
          </w:p>
        </w:tc>
        <w:tc>
          <w:tcPr>
            <w:tcW w:w="1418" w:type="dxa"/>
            <w:shd w:val="clear" w:color="auto" w:fill="auto"/>
            <w:noWrap w:val="0"/>
            <w:vAlign w:val="center"/>
          </w:tcPr>
          <w:p w14:paraId="268F595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69264F1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19778FA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r w14:paraId="153E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7BE1550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0A07FC4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3A603278">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color w:val="auto"/>
                <w:highlight w:val="none"/>
              </w:rPr>
              <w:t>牧民新村</w:t>
            </w:r>
          </w:p>
        </w:tc>
        <w:tc>
          <w:tcPr>
            <w:tcW w:w="1418" w:type="dxa"/>
            <w:shd w:val="clear" w:color="auto" w:fill="auto"/>
            <w:noWrap w:val="0"/>
            <w:vAlign w:val="center"/>
          </w:tcPr>
          <w:p w14:paraId="2EC91DE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5BEB017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75FF639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r w14:paraId="0435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6CE5F519">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6F2F665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63D5F020">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olor w:val="auto"/>
                <w:highlight w:val="none"/>
              </w:rPr>
              <w:t>库鲁木村</w:t>
            </w:r>
          </w:p>
        </w:tc>
        <w:tc>
          <w:tcPr>
            <w:tcW w:w="1418" w:type="dxa"/>
            <w:shd w:val="clear" w:color="auto" w:fill="auto"/>
            <w:noWrap w:val="0"/>
            <w:vAlign w:val="center"/>
          </w:tcPr>
          <w:p w14:paraId="2243A44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31C89DF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3E96571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r w14:paraId="1A7B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34EE87A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037015E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7FCC5B09">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olor w:val="auto"/>
                <w:highlight w:val="none"/>
              </w:rPr>
              <w:t>喇嘛寺村</w:t>
            </w:r>
          </w:p>
        </w:tc>
        <w:tc>
          <w:tcPr>
            <w:tcW w:w="1418" w:type="dxa"/>
            <w:shd w:val="clear" w:color="auto" w:fill="auto"/>
            <w:noWrap w:val="0"/>
            <w:vAlign w:val="center"/>
          </w:tcPr>
          <w:p w14:paraId="5F4F8FE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16F74AA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1DB9A19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r w14:paraId="6064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7B741A2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p w14:paraId="6852E5E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7CDFF47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407747CA">
            <w:pPr>
              <w:pStyle w:val="768"/>
              <w:spacing w:before="74"/>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olor w:val="auto"/>
                <w:highlight w:val="none"/>
              </w:rPr>
              <w:t>塞布库里村</w:t>
            </w:r>
          </w:p>
        </w:tc>
        <w:tc>
          <w:tcPr>
            <w:tcW w:w="1418" w:type="dxa"/>
            <w:shd w:val="clear" w:color="auto" w:fill="auto"/>
            <w:noWrap w:val="0"/>
            <w:vAlign w:val="center"/>
          </w:tcPr>
          <w:p w14:paraId="4B061AE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07" w:type="dxa"/>
            <w:shd w:val="clear" w:color="auto" w:fill="auto"/>
            <w:noWrap w:val="0"/>
            <w:vAlign w:val="center"/>
          </w:tcPr>
          <w:p w14:paraId="1D07F41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c>
          <w:tcPr>
            <w:tcW w:w="1559" w:type="dxa"/>
            <w:shd w:val="clear" w:color="auto" w:fill="auto"/>
            <w:noWrap w:val="0"/>
            <w:vAlign w:val="center"/>
          </w:tcPr>
          <w:p w14:paraId="0A98677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w:t>
            </w:r>
          </w:p>
        </w:tc>
      </w:tr>
      <w:tr w14:paraId="7068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shd w:val="clear" w:color="auto" w:fill="auto"/>
            <w:noWrap w:val="0"/>
            <w:vAlign w:val="center"/>
          </w:tcPr>
          <w:p w14:paraId="04998AD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事故情形</w:t>
            </w:r>
          </w:p>
        </w:tc>
        <w:tc>
          <w:tcPr>
            <w:tcW w:w="903" w:type="dxa"/>
            <w:shd w:val="clear" w:color="auto" w:fill="auto"/>
            <w:noWrap w:val="0"/>
            <w:vAlign w:val="center"/>
          </w:tcPr>
          <w:p w14:paraId="4B8E421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危险物质</w:t>
            </w:r>
          </w:p>
        </w:tc>
        <w:tc>
          <w:tcPr>
            <w:tcW w:w="6326" w:type="dxa"/>
            <w:gridSpan w:val="4"/>
            <w:shd w:val="clear" w:color="auto" w:fill="auto"/>
            <w:noWrap w:val="0"/>
            <w:vAlign w:val="center"/>
          </w:tcPr>
          <w:p w14:paraId="2A0A5A8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大气环境影响</w:t>
            </w:r>
          </w:p>
        </w:tc>
      </w:tr>
      <w:tr w14:paraId="110D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restart"/>
            <w:shd w:val="clear" w:color="auto" w:fill="auto"/>
            <w:noWrap w:val="0"/>
            <w:vAlign w:val="center"/>
          </w:tcPr>
          <w:p w14:paraId="603D3AF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烷烃储罐泄漏燃烧事故</w:t>
            </w:r>
          </w:p>
        </w:tc>
        <w:tc>
          <w:tcPr>
            <w:tcW w:w="903" w:type="dxa"/>
            <w:vMerge w:val="restart"/>
            <w:shd w:val="clear" w:color="auto" w:fill="auto"/>
            <w:noWrap w:val="0"/>
            <w:vAlign w:val="center"/>
          </w:tcPr>
          <w:p w14:paraId="33CDBB3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SO</w:t>
            </w:r>
            <w:r>
              <w:rPr>
                <w:rFonts w:hint="eastAsia" w:ascii="Times New Roman" w:hAnsi="Times New Roman" w:eastAsia="宋体" w:cs="Times New Roman"/>
                <w:b w:val="0"/>
                <w:bCs w:val="0"/>
                <w:snapToGrid w:val="0"/>
                <w:color w:val="auto"/>
                <w:kern w:val="0"/>
                <w:sz w:val="21"/>
                <w:szCs w:val="21"/>
                <w:highlight w:val="none"/>
                <w:vertAlign w:val="subscript"/>
                <w:lang w:val="en-US" w:eastAsia="zh-CN"/>
              </w:rPr>
              <w:t>2</w:t>
            </w:r>
          </w:p>
        </w:tc>
        <w:tc>
          <w:tcPr>
            <w:tcW w:w="1842" w:type="dxa"/>
            <w:shd w:val="clear" w:color="auto" w:fill="auto"/>
            <w:noWrap w:val="0"/>
            <w:vAlign w:val="center"/>
          </w:tcPr>
          <w:p w14:paraId="1B9208E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olor w:val="auto"/>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指标</w:t>
            </w:r>
          </w:p>
        </w:tc>
        <w:tc>
          <w:tcPr>
            <w:tcW w:w="1418" w:type="dxa"/>
            <w:shd w:val="clear" w:color="auto" w:fill="auto"/>
            <w:noWrap w:val="0"/>
            <w:vAlign w:val="center"/>
          </w:tcPr>
          <w:p w14:paraId="07BB1C12">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浓度值/（mg/m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c>
          <w:tcPr>
            <w:tcW w:w="1507" w:type="dxa"/>
            <w:shd w:val="clear" w:color="auto" w:fill="auto"/>
            <w:noWrap w:val="0"/>
            <w:vAlign w:val="center"/>
          </w:tcPr>
          <w:p w14:paraId="2308274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最远影响距离/m</w:t>
            </w:r>
          </w:p>
        </w:tc>
        <w:tc>
          <w:tcPr>
            <w:tcW w:w="1559" w:type="dxa"/>
            <w:shd w:val="clear" w:color="auto" w:fill="auto"/>
            <w:noWrap w:val="0"/>
            <w:vAlign w:val="center"/>
          </w:tcPr>
          <w:p w14:paraId="61F10BE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到达时间/min</w:t>
            </w:r>
          </w:p>
        </w:tc>
      </w:tr>
      <w:tr w14:paraId="3DFA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3AF1992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7A64127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51E52CB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olor w:val="auto"/>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大气毒性终点浓度-1</w:t>
            </w:r>
          </w:p>
        </w:tc>
        <w:tc>
          <w:tcPr>
            <w:tcW w:w="1418" w:type="dxa"/>
            <w:shd w:val="clear" w:color="auto" w:fill="auto"/>
            <w:noWrap w:val="0"/>
            <w:vAlign w:val="center"/>
          </w:tcPr>
          <w:p w14:paraId="1A027123">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79</w:t>
            </w:r>
          </w:p>
        </w:tc>
        <w:tc>
          <w:tcPr>
            <w:tcW w:w="1507" w:type="dxa"/>
            <w:shd w:val="clear" w:color="auto" w:fill="auto"/>
            <w:noWrap w:val="0"/>
            <w:vAlign w:val="center"/>
          </w:tcPr>
          <w:p w14:paraId="4445527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1440</w:t>
            </w:r>
          </w:p>
        </w:tc>
        <w:tc>
          <w:tcPr>
            <w:tcW w:w="1559" w:type="dxa"/>
            <w:shd w:val="clear" w:color="auto" w:fill="auto"/>
            <w:noWrap w:val="0"/>
            <w:vAlign w:val="center"/>
          </w:tcPr>
          <w:p w14:paraId="0F5BA0B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0.444</w:t>
            </w:r>
          </w:p>
        </w:tc>
      </w:tr>
      <w:tr w14:paraId="5D95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5AB1B05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4A19EC5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27A8063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olor w:val="auto"/>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大气毒性终点浓度-2</w:t>
            </w:r>
          </w:p>
        </w:tc>
        <w:tc>
          <w:tcPr>
            <w:tcW w:w="1418" w:type="dxa"/>
            <w:shd w:val="clear" w:color="auto" w:fill="auto"/>
            <w:noWrap w:val="0"/>
            <w:vAlign w:val="center"/>
          </w:tcPr>
          <w:p w14:paraId="122FBDE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w:t>
            </w:r>
          </w:p>
        </w:tc>
        <w:tc>
          <w:tcPr>
            <w:tcW w:w="1507" w:type="dxa"/>
            <w:shd w:val="clear" w:color="auto" w:fill="auto"/>
            <w:noWrap w:val="0"/>
            <w:vAlign w:val="center"/>
          </w:tcPr>
          <w:p w14:paraId="32013DA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4920</w:t>
            </w:r>
          </w:p>
        </w:tc>
        <w:tc>
          <w:tcPr>
            <w:tcW w:w="1559" w:type="dxa"/>
            <w:shd w:val="clear" w:color="auto" w:fill="auto"/>
            <w:noWrap w:val="0"/>
            <w:vAlign w:val="center"/>
          </w:tcPr>
          <w:p w14:paraId="70C97C9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0.333</w:t>
            </w:r>
          </w:p>
        </w:tc>
      </w:tr>
      <w:tr w14:paraId="0156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78CC6CA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2BC45ED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1BAA0E9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olor w:val="auto"/>
                <w:highlight w:val="none"/>
              </w:rPr>
            </w:pPr>
            <w:r>
              <w:rPr>
                <w:rFonts w:hint="eastAsia" w:ascii="Times New Roman" w:hAnsi="Times New Roman" w:eastAsia="宋体" w:cs="Times New Roman"/>
                <w:b w:val="0"/>
                <w:bCs w:val="0"/>
                <w:snapToGrid w:val="0"/>
                <w:color w:val="auto"/>
                <w:kern w:val="0"/>
                <w:sz w:val="21"/>
                <w:szCs w:val="21"/>
                <w:highlight w:val="none"/>
                <w:lang w:val="en-US" w:eastAsia="zh-CN"/>
              </w:rPr>
              <w:t>敏感目标</w:t>
            </w:r>
          </w:p>
        </w:tc>
        <w:tc>
          <w:tcPr>
            <w:tcW w:w="1418" w:type="dxa"/>
            <w:shd w:val="clear" w:color="auto" w:fill="auto"/>
            <w:noWrap w:val="0"/>
            <w:vAlign w:val="center"/>
          </w:tcPr>
          <w:p w14:paraId="3EFD255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default" w:ascii="Times New Roman" w:hAnsi="Times New Roman" w:eastAsia="宋体" w:cs="Times New Roman"/>
                <w:b w:val="0"/>
                <w:bCs w:val="0"/>
                <w:snapToGrid w:val="0"/>
                <w:color w:val="auto"/>
                <w:kern w:val="0"/>
                <w:sz w:val="21"/>
                <w:szCs w:val="21"/>
                <w:highlight w:val="none"/>
                <w:lang w:val="en-US" w:eastAsia="zh-CN"/>
              </w:rPr>
              <w:t>超标时间/min</w:t>
            </w:r>
          </w:p>
        </w:tc>
        <w:tc>
          <w:tcPr>
            <w:tcW w:w="1507" w:type="dxa"/>
            <w:shd w:val="clear" w:color="auto" w:fill="auto"/>
            <w:noWrap w:val="0"/>
            <w:vAlign w:val="center"/>
          </w:tcPr>
          <w:p w14:paraId="44D6785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超标持续时间/min</w:t>
            </w:r>
          </w:p>
        </w:tc>
        <w:tc>
          <w:tcPr>
            <w:tcW w:w="1559" w:type="dxa"/>
            <w:shd w:val="clear" w:color="auto" w:fill="auto"/>
            <w:noWrap w:val="0"/>
            <w:vAlign w:val="center"/>
          </w:tcPr>
          <w:p w14:paraId="0EE6BA6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最大浓度/(mg/m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3</w:t>
            </w:r>
            <w:r>
              <w:rPr>
                <w:rFonts w:hint="eastAsia" w:ascii="Times New Roman" w:hAnsi="Times New Roman" w:eastAsia="宋体" w:cs="Times New Roman"/>
                <w:b w:val="0"/>
                <w:bCs w:val="0"/>
                <w:snapToGrid w:val="0"/>
                <w:color w:val="auto"/>
                <w:kern w:val="0"/>
                <w:sz w:val="21"/>
                <w:szCs w:val="21"/>
                <w:highlight w:val="none"/>
                <w:lang w:val="en-US" w:eastAsia="zh-CN"/>
              </w:rPr>
              <w:t>)</w:t>
            </w:r>
          </w:p>
        </w:tc>
      </w:tr>
      <w:tr w14:paraId="15C9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31027DB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6CE770B2">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28EFDC03">
            <w:pPr>
              <w:pStyle w:val="768"/>
              <w:spacing w:before="74"/>
              <w:rPr>
                <w:rFonts w:hint="eastAsia" w:ascii="Times New Roman" w:hAnsi="Times New Roman" w:eastAsia="宋体"/>
                <w:color w:val="auto"/>
                <w:highlight w:val="none"/>
              </w:rPr>
            </w:pPr>
            <w:r>
              <w:rPr>
                <w:rFonts w:hint="eastAsia"/>
                <w:color w:val="auto"/>
                <w:highlight w:val="none"/>
              </w:rPr>
              <w:t>哈尔扎木村</w:t>
            </w:r>
          </w:p>
        </w:tc>
        <w:tc>
          <w:tcPr>
            <w:tcW w:w="1418" w:type="dxa"/>
            <w:shd w:val="clear" w:color="auto" w:fill="auto"/>
            <w:noWrap w:val="0"/>
            <w:vAlign w:val="center"/>
          </w:tcPr>
          <w:p w14:paraId="6C91AAC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27</w:t>
            </w:r>
          </w:p>
        </w:tc>
        <w:tc>
          <w:tcPr>
            <w:tcW w:w="1507" w:type="dxa"/>
            <w:shd w:val="clear" w:color="auto" w:fill="auto"/>
            <w:noWrap w:val="0"/>
            <w:vAlign w:val="center"/>
          </w:tcPr>
          <w:p w14:paraId="122771C1">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27</w:t>
            </w:r>
          </w:p>
        </w:tc>
        <w:tc>
          <w:tcPr>
            <w:tcW w:w="1559" w:type="dxa"/>
            <w:shd w:val="clear" w:color="auto" w:fill="auto"/>
            <w:noWrap w:val="0"/>
            <w:vAlign w:val="center"/>
          </w:tcPr>
          <w:p w14:paraId="5A677CB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26.8</w:t>
            </w:r>
          </w:p>
        </w:tc>
      </w:tr>
      <w:tr w14:paraId="27A3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08BB7855">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55F70BE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5C49A739">
            <w:pPr>
              <w:pStyle w:val="768"/>
              <w:spacing w:before="74"/>
              <w:rPr>
                <w:rFonts w:hint="eastAsia" w:ascii="Times New Roman" w:hAnsi="Times New Roman" w:eastAsia="宋体"/>
                <w:color w:val="auto"/>
                <w:highlight w:val="none"/>
              </w:rPr>
            </w:pPr>
            <w:r>
              <w:rPr>
                <w:rFonts w:hint="eastAsia"/>
                <w:color w:val="auto"/>
                <w:highlight w:val="none"/>
              </w:rPr>
              <w:t>牧民新村</w:t>
            </w:r>
          </w:p>
        </w:tc>
        <w:tc>
          <w:tcPr>
            <w:tcW w:w="1418" w:type="dxa"/>
            <w:shd w:val="clear" w:color="auto" w:fill="auto"/>
            <w:noWrap w:val="0"/>
            <w:vAlign w:val="center"/>
          </w:tcPr>
          <w:p w14:paraId="568DDF7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31</w:t>
            </w:r>
          </w:p>
        </w:tc>
        <w:tc>
          <w:tcPr>
            <w:tcW w:w="1507" w:type="dxa"/>
            <w:shd w:val="clear" w:color="auto" w:fill="auto"/>
            <w:noWrap w:val="0"/>
            <w:vAlign w:val="center"/>
          </w:tcPr>
          <w:p w14:paraId="18EF6C7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27</w:t>
            </w:r>
          </w:p>
        </w:tc>
        <w:tc>
          <w:tcPr>
            <w:tcW w:w="1559" w:type="dxa"/>
            <w:shd w:val="clear" w:color="auto" w:fill="auto"/>
            <w:noWrap w:val="0"/>
            <w:vAlign w:val="center"/>
          </w:tcPr>
          <w:p w14:paraId="6EBED53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20.2</w:t>
            </w:r>
          </w:p>
        </w:tc>
      </w:tr>
      <w:tr w14:paraId="15C4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2FF42F2B">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1CA5988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76E882D3">
            <w:pPr>
              <w:pStyle w:val="768"/>
              <w:spacing w:before="74"/>
              <w:rPr>
                <w:rFonts w:hint="eastAsia" w:ascii="Times New Roman" w:hAnsi="Times New Roman" w:eastAsia="宋体"/>
                <w:color w:val="auto"/>
                <w:highlight w:val="none"/>
              </w:rPr>
            </w:pPr>
            <w:r>
              <w:rPr>
                <w:rFonts w:hint="eastAsia" w:ascii="Times New Roman" w:hAnsi="Times New Roman" w:eastAsia="宋体"/>
                <w:color w:val="auto"/>
                <w:highlight w:val="none"/>
              </w:rPr>
              <w:t>库鲁木村</w:t>
            </w:r>
          </w:p>
        </w:tc>
        <w:tc>
          <w:tcPr>
            <w:tcW w:w="1418" w:type="dxa"/>
            <w:shd w:val="clear" w:color="auto" w:fill="auto"/>
            <w:noWrap w:val="0"/>
            <w:vAlign w:val="center"/>
          </w:tcPr>
          <w:p w14:paraId="20137F9E">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39</w:t>
            </w:r>
          </w:p>
        </w:tc>
        <w:tc>
          <w:tcPr>
            <w:tcW w:w="1507" w:type="dxa"/>
            <w:shd w:val="clear" w:color="auto" w:fill="auto"/>
            <w:noWrap w:val="0"/>
            <w:vAlign w:val="center"/>
          </w:tcPr>
          <w:p w14:paraId="65E7155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28</w:t>
            </w:r>
          </w:p>
        </w:tc>
        <w:tc>
          <w:tcPr>
            <w:tcW w:w="1559" w:type="dxa"/>
            <w:shd w:val="clear" w:color="auto" w:fill="auto"/>
            <w:noWrap w:val="0"/>
            <w:vAlign w:val="center"/>
          </w:tcPr>
          <w:p w14:paraId="17D48D9A">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11.0</w:t>
            </w:r>
          </w:p>
        </w:tc>
      </w:tr>
      <w:tr w14:paraId="5E14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2E4263DD">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26E27EE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71AA2DE7">
            <w:pPr>
              <w:pStyle w:val="768"/>
              <w:spacing w:before="74"/>
              <w:rPr>
                <w:rFonts w:hint="eastAsia" w:ascii="Times New Roman" w:hAnsi="Times New Roman" w:eastAsia="宋体"/>
                <w:color w:val="auto"/>
                <w:highlight w:val="none"/>
              </w:rPr>
            </w:pPr>
            <w:r>
              <w:rPr>
                <w:rFonts w:hint="eastAsia" w:ascii="Times New Roman" w:hAnsi="Times New Roman" w:eastAsia="宋体"/>
                <w:color w:val="auto"/>
                <w:highlight w:val="none"/>
              </w:rPr>
              <w:t>喇嘛寺村</w:t>
            </w:r>
          </w:p>
        </w:tc>
        <w:tc>
          <w:tcPr>
            <w:tcW w:w="1418" w:type="dxa"/>
            <w:shd w:val="clear" w:color="auto" w:fill="auto"/>
            <w:noWrap w:val="0"/>
            <w:vAlign w:val="center"/>
          </w:tcPr>
          <w:p w14:paraId="035C2D87">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44</w:t>
            </w:r>
          </w:p>
        </w:tc>
        <w:tc>
          <w:tcPr>
            <w:tcW w:w="1507" w:type="dxa"/>
            <w:shd w:val="clear" w:color="auto" w:fill="auto"/>
            <w:noWrap w:val="0"/>
            <w:vAlign w:val="center"/>
          </w:tcPr>
          <w:p w14:paraId="6E289228">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28</w:t>
            </w:r>
          </w:p>
        </w:tc>
        <w:tc>
          <w:tcPr>
            <w:tcW w:w="1559" w:type="dxa"/>
            <w:shd w:val="clear" w:color="auto" w:fill="auto"/>
            <w:noWrap w:val="0"/>
            <w:vAlign w:val="center"/>
          </w:tcPr>
          <w:p w14:paraId="1E35CF3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8.3</w:t>
            </w:r>
          </w:p>
        </w:tc>
      </w:tr>
      <w:tr w14:paraId="4420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40" w:type="dxa"/>
            <w:vMerge w:val="continue"/>
            <w:shd w:val="clear" w:color="auto" w:fill="auto"/>
            <w:noWrap w:val="0"/>
            <w:vAlign w:val="center"/>
          </w:tcPr>
          <w:p w14:paraId="4F27680F">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903" w:type="dxa"/>
            <w:vMerge w:val="continue"/>
            <w:shd w:val="clear" w:color="auto" w:fill="auto"/>
            <w:noWrap w:val="0"/>
            <w:vAlign w:val="center"/>
          </w:tcPr>
          <w:p w14:paraId="229129A4">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highlight w:val="none"/>
                <w:lang w:val="en-US" w:eastAsia="zh-CN"/>
              </w:rPr>
            </w:pPr>
          </w:p>
        </w:tc>
        <w:tc>
          <w:tcPr>
            <w:tcW w:w="1842" w:type="dxa"/>
            <w:shd w:val="clear" w:color="auto" w:fill="auto"/>
            <w:noWrap w:val="0"/>
            <w:vAlign w:val="center"/>
          </w:tcPr>
          <w:p w14:paraId="6DE46FBB">
            <w:pPr>
              <w:pStyle w:val="768"/>
              <w:spacing w:before="74"/>
              <w:rPr>
                <w:rFonts w:hint="eastAsia" w:ascii="Times New Roman" w:hAnsi="Times New Roman" w:eastAsia="宋体"/>
                <w:color w:val="auto"/>
                <w:highlight w:val="none"/>
              </w:rPr>
            </w:pPr>
            <w:r>
              <w:rPr>
                <w:rFonts w:hint="eastAsia" w:ascii="Times New Roman" w:hAnsi="Times New Roman" w:eastAsia="宋体"/>
                <w:color w:val="auto"/>
                <w:highlight w:val="none"/>
              </w:rPr>
              <w:t>塞布库里村</w:t>
            </w:r>
          </w:p>
        </w:tc>
        <w:tc>
          <w:tcPr>
            <w:tcW w:w="1418" w:type="dxa"/>
            <w:shd w:val="clear" w:color="auto" w:fill="auto"/>
            <w:noWrap w:val="0"/>
            <w:vAlign w:val="center"/>
          </w:tcPr>
          <w:p w14:paraId="31873196">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46</w:t>
            </w:r>
          </w:p>
        </w:tc>
        <w:tc>
          <w:tcPr>
            <w:tcW w:w="1507" w:type="dxa"/>
            <w:shd w:val="clear" w:color="auto" w:fill="auto"/>
            <w:noWrap w:val="0"/>
            <w:vAlign w:val="center"/>
          </w:tcPr>
          <w:p w14:paraId="278D3CAC">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29</w:t>
            </w:r>
          </w:p>
        </w:tc>
        <w:tc>
          <w:tcPr>
            <w:tcW w:w="1559" w:type="dxa"/>
            <w:shd w:val="clear" w:color="auto" w:fill="auto"/>
            <w:noWrap w:val="0"/>
            <w:vAlign w:val="center"/>
          </w:tcPr>
          <w:p w14:paraId="6D7F13C0">
            <w:pPr>
              <w:pStyle w:val="795"/>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7.3</w:t>
            </w:r>
          </w:p>
        </w:tc>
      </w:tr>
    </w:tbl>
    <w:p w14:paraId="7D9F2C96">
      <w:pPr>
        <w:bidi w:val="0"/>
        <w:rPr>
          <w:rFonts w:hint="eastAsia"/>
          <w:color w:val="auto"/>
          <w:highlight w:val="none"/>
          <w:lang w:val="en-US" w:eastAsia="zh-CN"/>
        </w:rPr>
      </w:pPr>
    </w:p>
    <w:p w14:paraId="6A502E36">
      <w:pPr>
        <w:bidi w:val="0"/>
        <w:rPr>
          <w:rFonts w:hint="eastAsia"/>
          <w:color w:val="auto"/>
          <w:highlight w:val="none"/>
          <w:lang w:val="en-US" w:eastAsia="zh-CN"/>
        </w:rPr>
      </w:pPr>
      <w:r>
        <w:rPr>
          <w:rFonts w:hint="eastAsia"/>
          <w:color w:val="auto"/>
          <w:highlight w:val="none"/>
          <w:lang w:val="en-US" w:eastAsia="zh-CN"/>
        </w:rPr>
        <w:drawing>
          <wp:inline distT="0" distB="0" distL="114300" distR="114300">
            <wp:extent cx="5213350" cy="2681605"/>
            <wp:effectExtent l="0" t="0" r="6350" b="4445"/>
            <wp:docPr id="669" name="图片 669" descr="c562980a-dabb-42e2-9608-783a14cdef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图片 669" descr="c562980a-dabb-42e2-9608-783a14cdefa8"/>
                    <pic:cNvPicPr>
                      <a:picLocks noChangeAspect="1"/>
                    </pic:cNvPicPr>
                  </pic:nvPicPr>
                  <pic:blipFill>
                    <a:blip r:embed="rId80"/>
                    <a:stretch>
                      <a:fillRect/>
                    </a:stretch>
                  </pic:blipFill>
                  <pic:spPr>
                    <a:xfrm>
                      <a:off x="0" y="0"/>
                      <a:ext cx="5213350" cy="2681605"/>
                    </a:xfrm>
                    <a:prstGeom prst="rect">
                      <a:avLst/>
                    </a:prstGeom>
                  </pic:spPr>
                </pic:pic>
              </a:graphicData>
            </a:graphic>
          </wp:inline>
        </w:drawing>
      </w:r>
    </w:p>
    <w:p w14:paraId="7A8E2A06">
      <w:pPr>
        <w:keepNext w:val="0"/>
        <w:keepLines w:val="0"/>
        <w:pageBreakBefore w:val="0"/>
        <w:widowControl w:val="0"/>
        <w:kinsoku/>
        <w:wordWrap/>
        <w:overflowPunct/>
        <w:topLinePunct w:val="0"/>
        <w:autoSpaceDE/>
        <w:autoSpaceDN/>
        <w:bidi w:val="0"/>
        <w:adjustRightInd w:val="0"/>
        <w:snapToGrid w:val="0"/>
        <w:spacing w:before="0" w:line="360" w:lineRule="auto"/>
        <w:jc w:val="center"/>
        <w:textAlignment w:val="auto"/>
        <w:rPr>
          <w:rFonts w:hint="eastAsia" w:ascii="Times New Roman" w:hAnsi="Times New Roman" w:eastAsia="黑体" w:cs="Times New Roman"/>
          <w:snapToGrid w:val="0"/>
          <w:color w:val="auto"/>
          <w:kern w:val="0"/>
          <w:szCs w:val="21"/>
          <w:highlight w:val="none"/>
          <w:lang w:val="en-US" w:eastAsia="zh-CN"/>
        </w:rPr>
      </w:pPr>
      <w:r>
        <w:rPr>
          <w:rFonts w:hint="eastAsia" w:ascii="Times New Roman" w:hAnsi="Times New Roman" w:eastAsia="黑体" w:cs="Times New Roman"/>
          <w:snapToGrid w:val="0"/>
          <w:color w:val="auto"/>
          <w:kern w:val="0"/>
          <w:szCs w:val="21"/>
          <w:highlight w:val="none"/>
          <w:lang w:val="en-US" w:eastAsia="zh-CN"/>
        </w:rPr>
        <w:t>图6.3-3 关心点NH</w:t>
      </w:r>
      <w:r>
        <w:rPr>
          <w:rFonts w:hint="eastAsia" w:ascii="Times New Roman" w:hAnsi="Times New Roman" w:eastAsia="黑体" w:cs="Times New Roman"/>
          <w:snapToGrid w:val="0"/>
          <w:color w:val="auto"/>
          <w:kern w:val="0"/>
          <w:szCs w:val="21"/>
          <w:highlight w:val="none"/>
          <w:vertAlign w:val="subscript"/>
          <w:lang w:val="en-US" w:eastAsia="zh-CN"/>
        </w:rPr>
        <w:t>3</w:t>
      </w:r>
      <w:r>
        <w:rPr>
          <w:rFonts w:hint="eastAsia" w:ascii="Times New Roman" w:hAnsi="Times New Roman" w:eastAsia="黑体" w:cs="Times New Roman"/>
          <w:snapToGrid w:val="0"/>
          <w:color w:val="auto"/>
          <w:kern w:val="0"/>
          <w:szCs w:val="21"/>
          <w:highlight w:val="none"/>
          <w:lang w:val="en-US" w:eastAsia="zh-CN"/>
        </w:rPr>
        <w:t>浓度随时间变化图（最不利气象条件）</w:t>
      </w:r>
    </w:p>
    <w:p w14:paraId="5C99ECCA">
      <w:pPr>
        <w:keepNext w:val="0"/>
        <w:keepLines w:val="0"/>
        <w:pageBreakBefore w:val="0"/>
        <w:widowControl w:val="0"/>
        <w:kinsoku/>
        <w:wordWrap/>
        <w:overflowPunct/>
        <w:topLinePunct w:val="0"/>
        <w:autoSpaceDE/>
        <w:autoSpaceDN/>
        <w:bidi w:val="0"/>
        <w:adjustRightInd w:val="0"/>
        <w:snapToGrid w:val="0"/>
        <w:spacing w:before="0" w:line="360" w:lineRule="auto"/>
        <w:jc w:val="center"/>
        <w:textAlignment w:val="auto"/>
        <w:rPr>
          <w:rFonts w:hint="eastAsia" w:ascii="Times New Roman" w:hAnsi="Times New Roman" w:eastAsia="黑体" w:cs="Times New Roman"/>
          <w:snapToGrid w:val="0"/>
          <w:color w:val="auto"/>
          <w:kern w:val="0"/>
          <w:szCs w:val="21"/>
          <w:highlight w:val="none"/>
          <w:lang w:val="en-US" w:eastAsia="zh-CN"/>
        </w:rPr>
      </w:pPr>
      <w:r>
        <w:rPr>
          <w:rFonts w:hint="eastAsia" w:ascii="Times New Roman" w:hAnsi="Times New Roman" w:eastAsia="黑体" w:cs="Times New Roman"/>
          <w:snapToGrid w:val="0"/>
          <w:color w:val="auto"/>
          <w:kern w:val="0"/>
          <w:szCs w:val="21"/>
          <w:highlight w:val="none"/>
          <w:lang w:val="en-US" w:eastAsia="zh-CN"/>
        </w:rPr>
        <w:drawing>
          <wp:inline distT="0" distB="0" distL="114300" distR="114300">
            <wp:extent cx="5217160" cy="2711450"/>
            <wp:effectExtent l="0" t="0" r="2540" b="12700"/>
            <wp:docPr id="670" name="图片 670" descr="939f323c-8d50-4b86-ad67-edca64d94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图片 670" descr="939f323c-8d50-4b86-ad67-edca64d942a2"/>
                    <pic:cNvPicPr>
                      <a:picLocks noChangeAspect="1"/>
                    </pic:cNvPicPr>
                  </pic:nvPicPr>
                  <pic:blipFill>
                    <a:blip r:embed="rId81"/>
                    <a:stretch>
                      <a:fillRect/>
                    </a:stretch>
                  </pic:blipFill>
                  <pic:spPr>
                    <a:xfrm>
                      <a:off x="0" y="0"/>
                      <a:ext cx="5217160" cy="2711450"/>
                    </a:xfrm>
                    <a:prstGeom prst="rect">
                      <a:avLst/>
                    </a:prstGeom>
                  </pic:spPr>
                </pic:pic>
              </a:graphicData>
            </a:graphic>
          </wp:inline>
        </w:drawing>
      </w:r>
    </w:p>
    <w:p w14:paraId="290CE23E">
      <w:pPr>
        <w:keepNext w:val="0"/>
        <w:keepLines w:val="0"/>
        <w:pageBreakBefore w:val="0"/>
        <w:widowControl w:val="0"/>
        <w:kinsoku/>
        <w:wordWrap/>
        <w:overflowPunct/>
        <w:topLinePunct w:val="0"/>
        <w:autoSpaceDE/>
        <w:autoSpaceDN/>
        <w:bidi w:val="0"/>
        <w:adjustRightInd w:val="0"/>
        <w:snapToGrid w:val="0"/>
        <w:spacing w:before="0" w:line="360" w:lineRule="auto"/>
        <w:jc w:val="center"/>
        <w:textAlignment w:val="auto"/>
        <w:rPr>
          <w:rFonts w:hint="eastAsia" w:ascii="Times New Roman" w:hAnsi="Times New Roman" w:eastAsia="黑体" w:cs="Times New Roman"/>
          <w:snapToGrid w:val="0"/>
          <w:color w:val="auto"/>
          <w:kern w:val="0"/>
          <w:szCs w:val="21"/>
          <w:highlight w:val="none"/>
          <w:lang w:val="en-US" w:eastAsia="zh-CN"/>
        </w:rPr>
      </w:pPr>
      <w:r>
        <w:rPr>
          <w:rFonts w:hint="eastAsia" w:ascii="Times New Roman" w:hAnsi="Times New Roman" w:eastAsia="黑体" w:cs="Times New Roman"/>
          <w:snapToGrid w:val="0"/>
          <w:color w:val="auto"/>
          <w:kern w:val="0"/>
          <w:szCs w:val="21"/>
          <w:highlight w:val="none"/>
          <w:lang w:val="en-US" w:eastAsia="zh-CN"/>
        </w:rPr>
        <w:t>图6.3-3 关心点SO</w:t>
      </w:r>
      <w:r>
        <w:rPr>
          <w:rFonts w:hint="eastAsia" w:ascii="Times New Roman" w:hAnsi="Times New Roman" w:eastAsia="黑体" w:cs="Times New Roman"/>
          <w:snapToGrid w:val="0"/>
          <w:color w:val="auto"/>
          <w:kern w:val="0"/>
          <w:szCs w:val="21"/>
          <w:highlight w:val="none"/>
          <w:vertAlign w:val="subscript"/>
          <w:lang w:val="en-US" w:eastAsia="zh-CN"/>
        </w:rPr>
        <w:t>2</w:t>
      </w:r>
      <w:r>
        <w:rPr>
          <w:rFonts w:hint="eastAsia" w:ascii="Times New Roman" w:hAnsi="Times New Roman" w:eastAsia="黑体" w:cs="Times New Roman"/>
          <w:snapToGrid w:val="0"/>
          <w:color w:val="auto"/>
          <w:kern w:val="0"/>
          <w:szCs w:val="21"/>
          <w:highlight w:val="none"/>
          <w:lang w:val="en-US" w:eastAsia="zh-CN"/>
        </w:rPr>
        <w:t>浓度随时间变化图（最不利气象条件）</w:t>
      </w:r>
    </w:p>
    <w:p w14:paraId="5AF5DB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pacing w:val="0"/>
          <w:kern w:val="0"/>
          <w:sz w:val="24"/>
          <w:szCs w:val="24"/>
          <w:highlight w:val="none"/>
          <w:lang w:val="en-US" w:eastAsia="zh-CN"/>
        </w:rPr>
      </w:pPr>
      <w:r>
        <w:rPr>
          <w:rFonts w:hint="eastAsia" w:ascii="Times New Roman" w:hAnsi="Times New Roman" w:eastAsia="宋体" w:cs="Times New Roman"/>
          <w:snapToGrid w:val="0"/>
          <w:color w:val="auto"/>
          <w:spacing w:val="0"/>
          <w:kern w:val="0"/>
          <w:sz w:val="24"/>
          <w:szCs w:val="24"/>
          <w:highlight w:val="none"/>
          <w:lang w:val="en-US" w:eastAsia="zh-CN"/>
        </w:rPr>
        <w:t>根据大气环境风险预测结果，本项目烷烃储罐泄漏燃烧事故最大影响距离为4280m，环境敏感目标存在超过毒性终点浓度2情况；硫酸铵明火或高热分解事故最大影响距离为4920m，环境敏感目标存在超过毒性终点浓度2情况。因此，项目运营过程中应严格监测储罐的生产状态，严禁储罐超压、超液位运行，对厂区风险源定期巡检，排查安全隐患，落实各项风险防范措施后，环境风险可接受。</w:t>
      </w:r>
    </w:p>
    <w:p w14:paraId="06880CE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6.3.6.2风险事故水环境影响分析</w:t>
      </w:r>
    </w:p>
    <w:p w14:paraId="6EE49EBB">
      <w:pPr>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jc w:val="both"/>
        <w:textAlignment w:val="auto"/>
        <w:rPr>
          <w:rFonts w:ascii="Times New Roman" w:hAnsi="Times New Roman" w:eastAsia="宋体" w:cs="Times New Roman"/>
          <w:snapToGrid w:val="0"/>
          <w:color w:val="auto"/>
          <w:spacing w:val="0"/>
          <w:kern w:val="0"/>
          <w:sz w:val="24"/>
          <w:szCs w:val="24"/>
          <w:highlight w:val="none"/>
        </w:rPr>
      </w:pPr>
      <w:r>
        <w:rPr>
          <w:rFonts w:hint="eastAsia" w:ascii="Times New Roman" w:hAnsi="Times New Roman" w:eastAsia="宋体" w:cs="Times New Roman"/>
          <w:snapToGrid w:val="0"/>
          <w:color w:val="auto"/>
          <w:spacing w:val="0"/>
          <w:kern w:val="0"/>
          <w:sz w:val="24"/>
          <w:szCs w:val="24"/>
          <w:highlight w:val="none"/>
        </w:rPr>
        <w:t>本项目位于</w:t>
      </w:r>
      <w:r>
        <w:rPr>
          <w:rFonts w:hint="eastAsia" w:ascii="Times New Roman" w:hAnsi="Times New Roman" w:eastAsia="宋体" w:cs="Times New Roman"/>
          <w:snapToGrid w:val="0"/>
          <w:color w:val="auto"/>
          <w:spacing w:val="0"/>
          <w:kern w:val="0"/>
          <w:sz w:val="24"/>
          <w:szCs w:val="24"/>
          <w:highlight w:val="none"/>
          <w:lang w:val="en-US" w:eastAsia="zh-CN"/>
        </w:rPr>
        <w:t>乌苏市化工产业集中区</w:t>
      </w:r>
      <w:r>
        <w:rPr>
          <w:rFonts w:hint="eastAsia" w:ascii="Times New Roman" w:hAnsi="Times New Roman" w:eastAsia="宋体" w:cs="Times New Roman"/>
          <w:snapToGrid w:val="0"/>
          <w:color w:val="auto"/>
          <w:spacing w:val="0"/>
          <w:kern w:val="0"/>
          <w:sz w:val="24"/>
          <w:szCs w:val="24"/>
          <w:highlight w:val="none"/>
        </w:rPr>
        <w:t>，项目发酵清洗废水、分离废水经调节池调节</w:t>
      </w:r>
      <w:r>
        <w:rPr>
          <w:rFonts w:hint="eastAsia" w:ascii="Times New Roman" w:hAnsi="Times New Roman" w:eastAsia="宋体" w:cs="Times New Roman"/>
          <w:snapToGrid w:val="0"/>
          <w:color w:val="auto"/>
          <w:spacing w:val="0"/>
          <w:kern w:val="0"/>
          <w:sz w:val="24"/>
          <w:szCs w:val="24"/>
          <w:highlight w:val="none"/>
          <w:lang w:val="en-US" w:eastAsia="zh-CN"/>
        </w:rPr>
        <w:t>后排入</w:t>
      </w:r>
      <w:r>
        <w:rPr>
          <w:rFonts w:hint="eastAsia" w:ascii="Times New Roman" w:hAnsi="Times New Roman" w:eastAsia="宋体" w:cs="Times New Roman"/>
          <w:snapToGrid w:val="0"/>
          <w:color w:val="auto"/>
          <w:spacing w:val="0"/>
          <w:kern w:val="0"/>
          <w:sz w:val="24"/>
          <w:szCs w:val="24"/>
          <w:highlight w:val="none"/>
        </w:rPr>
        <w:t>西区污水处理厂</w:t>
      </w:r>
      <w:r>
        <w:rPr>
          <w:rFonts w:hint="eastAsia" w:ascii="Times New Roman" w:hAnsi="Times New Roman" w:eastAsia="宋体" w:cs="Times New Roman"/>
          <w:snapToGrid w:val="0"/>
          <w:color w:val="auto"/>
          <w:spacing w:val="0"/>
          <w:kern w:val="0"/>
          <w:sz w:val="24"/>
          <w:szCs w:val="24"/>
          <w:highlight w:val="none"/>
          <w:lang w:val="en-US" w:eastAsia="zh-CN"/>
        </w:rPr>
        <w:t>二</w:t>
      </w:r>
      <w:r>
        <w:rPr>
          <w:rFonts w:hint="eastAsia" w:ascii="Times New Roman" w:hAnsi="Times New Roman" w:eastAsia="宋体" w:cs="Times New Roman"/>
          <w:snapToGrid w:val="0"/>
          <w:color w:val="auto"/>
          <w:spacing w:val="0"/>
          <w:kern w:val="0"/>
          <w:sz w:val="24"/>
          <w:szCs w:val="24"/>
          <w:highlight w:val="none"/>
        </w:rPr>
        <w:t>期工程</w:t>
      </w:r>
      <w:r>
        <w:rPr>
          <w:rFonts w:hint="eastAsia" w:ascii="Times New Roman" w:hAnsi="Times New Roman" w:eastAsia="宋体" w:cs="Times New Roman"/>
          <w:snapToGrid w:val="0"/>
          <w:color w:val="auto"/>
          <w:spacing w:val="0"/>
          <w:kern w:val="0"/>
          <w:sz w:val="24"/>
          <w:szCs w:val="24"/>
          <w:highlight w:val="none"/>
          <w:lang w:val="en-US" w:eastAsia="zh-CN"/>
        </w:rPr>
        <w:t>处理</w:t>
      </w:r>
      <w:r>
        <w:rPr>
          <w:rFonts w:hint="eastAsia" w:ascii="Times New Roman" w:hAnsi="Times New Roman" w:eastAsia="宋体" w:cs="Times New Roman"/>
          <w:snapToGrid w:val="0"/>
          <w:color w:val="auto"/>
          <w:spacing w:val="0"/>
          <w:kern w:val="0"/>
          <w:sz w:val="24"/>
          <w:szCs w:val="24"/>
          <w:highlight w:val="none"/>
          <w:lang w:eastAsia="zh-CN"/>
        </w:rPr>
        <w:t>；</w:t>
      </w:r>
      <w:r>
        <w:rPr>
          <w:rFonts w:hint="eastAsia" w:ascii="Times New Roman" w:hAnsi="Times New Roman" w:eastAsia="宋体" w:cs="Times New Roman"/>
          <w:snapToGrid w:val="0"/>
          <w:color w:val="auto"/>
          <w:spacing w:val="0"/>
          <w:kern w:val="0"/>
          <w:sz w:val="24"/>
          <w:szCs w:val="24"/>
          <w:highlight w:val="none"/>
        </w:rPr>
        <w:t>循环水排污依托现有污水处理站中水段</w:t>
      </w:r>
      <w:r>
        <w:rPr>
          <w:rFonts w:hint="eastAsia" w:ascii="Times New Roman" w:hAnsi="Times New Roman" w:eastAsia="宋体" w:cs="Times New Roman"/>
          <w:snapToGrid w:val="0"/>
          <w:color w:val="auto"/>
          <w:spacing w:val="0"/>
          <w:kern w:val="0"/>
          <w:sz w:val="24"/>
          <w:szCs w:val="24"/>
          <w:highlight w:val="none"/>
          <w:lang w:val="en-US" w:eastAsia="zh-CN"/>
        </w:rPr>
        <w:t>处理；</w:t>
      </w:r>
      <w:r>
        <w:rPr>
          <w:rFonts w:hint="eastAsia" w:ascii="Times New Roman" w:hAnsi="Times New Roman" w:eastAsia="宋体" w:cs="Times New Roman"/>
          <w:snapToGrid w:val="0"/>
          <w:color w:val="auto"/>
          <w:spacing w:val="0"/>
          <w:kern w:val="0"/>
          <w:sz w:val="24"/>
          <w:szCs w:val="24"/>
          <w:highlight w:val="none"/>
        </w:rPr>
        <w:t>生活污水</w:t>
      </w:r>
      <w:r>
        <w:rPr>
          <w:rFonts w:hint="eastAsia" w:ascii="Times New Roman" w:hAnsi="Times New Roman" w:eastAsia="宋体" w:cs="Times New Roman"/>
          <w:snapToGrid w:val="0"/>
          <w:color w:val="auto"/>
          <w:spacing w:val="0"/>
          <w:kern w:val="0"/>
          <w:sz w:val="24"/>
          <w:szCs w:val="24"/>
          <w:highlight w:val="none"/>
          <w:lang w:eastAsia="zh-CN"/>
        </w:rPr>
        <w:t>、</w:t>
      </w:r>
      <w:r>
        <w:rPr>
          <w:rFonts w:hint="eastAsia" w:ascii="Times New Roman" w:hAnsi="Times New Roman" w:eastAsia="宋体" w:cs="Times New Roman"/>
          <w:snapToGrid w:val="0"/>
          <w:color w:val="auto"/>
          <w:spacing w:val="0"/>
          <w:kern w:val="0"/>
          <w:sz w:val="24"/>
          <w:szCs w:val="24"/>
          <w:highlight w:val="none"/>
        </w:rPr>
        <w:t>水洗塔定排和碱洗塔定排</w:t>
      </w:r>
      <w:r>
        <w:rPr>
          <w:rFonts w:hint="eastAsia" w:ascii="Times New Roman" w:hAnsi="Times New Roman" w:eastAsia="宋体" w:cs="Times New Roman"/>
          <w:snapToGrid w:val="0"/>
          <w:color w:val="auto"/>
          <w:spacing w:val="0"/>
          <w:kern w:val="0"/>
          <w:sz w:val="24"/>
          <w:szCs w:val="24"/>
          <w:highlight w:val="none"/>
          <w:lang w:val="en-US" w:eastAsia="zh-CN"/>
        </w:rPr>
        <w:t>依托现有污水处理站生化段处理后</w:t>
      </w:r>
      <w:r>
        <w:rPr>
          <w:rFonts w:hint="eastAsia" w:ascii="Times New Roman" w:hAnsi="Times New Roman" w:eastAsia="宋体" w:cs="Times New Roman"/>
          <w:snapToGrid w:val="0"/>
          <w:color w:val="auto"/>
          <w:spacing w:val="0"/>
          <w:kern w:val="0"/>
          <w:sz w:val="24"/>
          <w:szCs w:val="24"/>
          <w:highlight w:val="none"/>
        </w:rPr>
        <w:t>排入西区污水处理厂</w:t>
      </w:r>
      <w:r>
        <w:rPr>
          <w:rFonts w:hint="eastAsia" w:ascii="Times New Roman" w:hAnsi="Times New Roman" w:eastAsia="宋体" w:cs="Times New Roman"/>
          <w:snapToGrid w:val="0"/>
          <w:color w:val="auto"/>
          <w:spacing w:val="0"/>
          <w:kern w:val="0"/>
          <w:sz w:val="24"/>
          <w:szCs w:val="24"/>
          <w:highlight w:val="none"/>
          <w:lang w:val="en-US" w:eastAsia="zh-CN"/>
        </w:rPr>
        <w:t>一</w:t>
      </w:r>
      <w:r>
        <w:rPr>
          <w:rFonts w:hint="eastAsia" w:ascii="Times New Roman" w:hAnsi="Times New Roman" w:eastAsia="宋体" w:cs="Times New Roman"/>
          <w:snapToGrid w:val="0"/>
          <w:color w:val="auto"/>
          <w:spacing w:val="0"/>
          <w:kern w:val="0"/>
          <w:sz w:val="24"/>
          <w:szCs w:val="24"/>
          <w:highlight w:val="none"/>
        </w:rPr>
        <w:t>期</w:t>
      </w:r>
      <w:r>
        <w:rPr>
          <w:rFonts w:hint="eastAsia" w:ascii="Times New Roman" w:hAnsi="Times New Roman" w:eastAsia="宋体" w:cs="Times New Roman"/>
          <w:snapToGrid w:val="0"/>
          <w:color w:val="auto"/>
          <w:spacing w:val="0"/>
          <w:kern w:val="0"/>
          <w:sz w:val="24"/>
          <w:szCs w:val="24"/>
          <w:highlight w:val="none"/>
          <w:lang w:val="en-US" w:eastAsia="zh-CN"/>
        </w:rPr>
        <w:t>工程处理</w:t>
      </w:r>
      <w:r>
        <w:rPr>
          <w:rFonts w:hint="eastAsia" w:ascii="Times New Roman" w:hAnsi="Times New Roman" w:eastAsia="宋体" w:cs="Times New Roman"/>
          <w:snapToGrid w:val="0"/>
          <w:color w:val="auto"/>
          <w:spacing w:val="0"/>
          <w:kern w:val="0"/>
          <w:sz w:val="24"/>
          <w:szCs w:val="24"/>
          <w:highlight w:val="none"/>
        </w:rPr>
        <w:t>，与地表水体不发生水力联系</w:t>
      </w:r>
      <w:r>
        <w:rPr>
          <w:rFonts w:hint="eastAsia" w:ascii="Times New Roman" w:hAnsi="Times New Roman" w:eastAsia="宋体" w:cs="Times New Roman"/>
          <w:snapToGrid w:val="0"/>
          <w:color w:val="auto"/>
          <w:spacing w:val="0"/>
          <w:kern w:val="0"/>
          <w:sz w:val="24"/>
          <w:szCs w:val="24"/>
          <w:highlight w:val="none"/>
          <w:lang w:eastAsia="zh-CN"/>
        </w:rPr>
        <w:t>。</w:t>
      </w:r>
      <w:r>
        <w:rPr>
          <w:rFonts w:ascii="Times New Roman" w:hAnsi="Times New Roman" w:eastAsia="宋体" w:cs="Times New Roman"/>
          <w:snapToGrid w:val="0"/>
          <w:color w:val="auto"/>
          <w:spacing w:val="0"/>
          <w:kern w:val="0"/>
          <w:sz w:val="24"/>
          <w:szCs w:val="24"/>
          <w:highlight w:val="none"/>
        </w:rPr>
        <w:t>本项目事故情况下，泄漏的液体物料泄漏于具有防渗功能的围堰内，火灾爆炸产生的消防水送事故水池。项目废水不与周边地表水体发生水力联系。</w:t>
      </w:r>
    </w:p>
    <w:p w14:paraId="5EE93103">
      <w:pPr>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jc w:val="both"/>
        <w:textAlignment w:val="auto"/>
        <w:rPr>
          <w:rFonts w:ascii="Times New Roman" w:hAnsi="Times New Roman" w:eastAsia="宋体" w:cs="Times New Roman"/>
          <w:snapToGrid w:val="0"/>
          <w:color w:val="auto"/>
          <w:spacing w:val="0"/>
          <w:kern w:val="0"/>
          <w:sz w:val="24"/>
          <w:szCs w:val="24"/>
          <w:highlight w:val="none"/>
        </w:rPr>
      </w:pPr>
      <w:r>
        <w:rPr>
          <w:rFonts w:ascii="Times New Roman" w:hAnsi="Times New Roman" w:eastAsia="宋体" w:cs="Times New Roman"/>
          <w:snapToGrid w:val="0"/>
          <w:color w:val="auto"/>
          <w:spacing w:val="0"/>
          <w:kern w:val="0"/>
          <w:sz w:val="24"/>
          <w:szCs w:val="24"/>
          <w:highlight w:val="none"/>
        </w:rPr>
        <w:t>因此，事故情况下，泄漏的物料对地表水环境影响较小。</w:t>
      </w:r>
    </w:p>
    <w:p w14:paraId="030A20B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6.3.6.3地下水环境风险预测与评价</w:t>
      </w:r>
    </w:p>
    <w:p w14:paraId="5E6AC266">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本次评价预测模型</w:t>
      </w:r>
      <w:r>
        <w:rPr>
          <w:rFonts w:hint="eastAsia" w:cs="Times New Roman"/>
          <w:color w:val="auto"/>
          <w:sz w:val="24"/>
          <w:szCs w:val="24"/>
          <w:highlight w:val="none"/>
          <w:lang w:eastAsia="zh-CN"/>
        </w:rPr>
        <w:t>、</w:t>
      </w:r>
      <w:r>
        <w:rPr>
          <w:rFonts w:ascii="Times New Roman" w:hAnsi="Times New Roman" w:eastAsia="宋体" w:cs="Times New Roman"/>
          <w:color w:val="auto"/>
          <w:sz w:val="24"/>
          <w:szCs w:val="24"/>
          <w:highlight w:val="none"/>
        </w:rPr>
        <w:t>参数</w:t>
      </w:r>
      <w:r>
        <w:rPr>
          <w:rFonts w:hint="eastAsia" w:cs="Times New Roman"/>
          <w:color w:val="auto"/>
          <w:sz w:val="24"/>
          <w:szCs w:val="24"/>
          <w:highlight w:val="none"/>
          <w:lang w:val="en-US" w:eastAsia="zh-CN"/>
        </w:rPr>
        <w:t>及预测情况详</w:t>
      </w:r>
      <w:r>
        <w:rPr>
          <w:rFonts w:ascii="Times New Roman" w:hAnsi="Times New Roman" w:eastAsia="宋体" w:cs="Times New Roman"/>
          <w:color w:val="auto"/>
          <w:sz w:val="24"/>
          <w:szCs w:val="24"/>
          <w:highlight w:val="none"/>
        </w:rPr>
        <w:t>见章节</w:t>
      </w:r>
      <w:r>
        <w:rPr>
          <w:rFonts w:hint="eastAsia" w:ascii="Times New Roman" w:hAnsi="Times New Roman" w:eastAsia="宋体" w:cs="Times New Roman"/>
          <w:color w:val="auto"/>
          <w:sz w:val="24"/>
          <w:szCs w:val="24"/>
          <w:highlight w:val="none"/>
          <w:lang w:val="en-US" w:eastAsia="zh-CN"/>
        </w:rPr>
        <w:t>6</w:t>
      </w:r>
      <w:r>
        <w:rPr>
          <w:rFonts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2.2.2</w:t>
      </w:r>
      <w:r>
        <w:rPr>
          <w:rFonts w:ascii="Times New Roman" w:hAnsi="Times New Roman" w:eastAsia="宋体" w:cs="Times New Roman"/>
          <w:color w:val="auto"/>
          <w:sz w:val="24"/>
          <w:szCs w:val="24"/>
          <w:highlight w:val="none"/>
        </w:rPr>
        <w:t>。</w:t>
      </w:r>
    </w:p>
    <w:p w14:paraId="4CEECA5F">
      <w:pPr>
        <w:widowControl/>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本项目地下水环境风险评价等级为</w:t>
      </w:r>
      <w:r>
        <w:rPr>
          <w:rFonts w:hint="eastAsia" w:cs="Times New Roman"/>
          <w:color w:val="auto"/>
          <w:sz w:val="24"/>
          <w:szCs w:val="24"/>
          <w:highlight w:val="none"/>
          <w:lang w:val="en-US" w:eastAsia="zh-CN"/>
        </w:rPr>
        <w:t>二</w:t>
      </w:r>
      <w:r>
        <w:rPr>
          <w:rFonts w:ascii="Times New Roman" w:hAnsi="Times New Roman" w:eastAsia="宋体" w:cs="Times New Roman"/>
          <w:color w:val="auto"/>
          <w:sz w:val="24"/>
          <w:szCs w:val="24"/>
          <w:highlight w:val="none"/>
        </w:rPr>
        <w:t>级，根据地下水环境影响评价可知，地下水环境影响预测针对非正常状况下地下水污染情景进行了模拟预测，预测情景设定</w:t>
      </w:r>
      <w:r>
        <w:rPr>
          <w:rFonts w:hint="eastAsia"/>
          <w:color w:val="auto"/>
          <w:kern w:val="0"/>
          <w:sz w:val="24"/>
          <w:szCs w:val="28"/>
          <w:highlight w:val="none"/>
          <w:lang w:val="en-US" w:eastAsia="zh-CN"/>
        </w:rPr>
        <w:t>高浓废水</w:t>
      </w:r>
      <w:r>
        <w:rPr>
          <w:rFonts w:hint="eastAsia"/>
          <w:color w:val="auto"/>
          <w:kern w:val="0"/>
          <w:sz w:val="24"/>
          <w:szCs w:val="28"/>
          <w:highlight w:val="none"/>
        </w:rPr>
        <w:t>管道破裂造成渗漏</w:t>
      </w:r>
      <w:r>
        <w:rPr>
          <w:rFonts w:hint="eastAsia"/>
          <w:color w:val="auto"/>
          <w:kern w:val="0"/>
          <w:sz w:val="24"/>
          <w:szCs w:val="28"/>
          <w:highlight w:val="none"/>
          <w:lang w:val="en-US" w:eastAsia="zh-CN"/>
        </w:rPr>
        <w:t>和</w:t>
      </w:r>
      <w:r>
        <w:rPr>
          <w:rFonts w:hint="eastAsia" w:hAnsi="宋体" w:eastAsia="宋体" w:cs="宋体"/>
          <w:color w:val="auto"/>
          <w:spacing w:val="0"/>
          <w:sz w:val="24"/>
          <w:szCs w:val="24"/>
          <w:highlight w:val="none"/>
          <w:lang w:val="en-US" w:eastAsia="zh-CN"/>
        </w:rPr>
        <w:t>烷烃罐区发生渗漏</w:t>
      </w:r>
      <w:r>
        <w:rPr>
          <w:rFonts w:ascii="Times New Roman" w:hAnsi="Times New Roman" w:eastAsia="宋体" w:cs="Times New Roman"/>
          <w:color w:val="auto"/>
          <w:sz w:val="24"/>
          <w:szCs w:val="24"/>
          <w:highlight w:val="none"/>
        </w:rPr>
        <w:t>。</w:t>
      </w:r>
    </w:p>
    <w:p w14:paraId="53230FD1">
      <w:pPr>
        <w:adjustRightInd w:val="0"/>
        <w:snapToGrid w:val="0"/>
        <w:spacing w:line="360" w:lineRule="auto"/>
        <w:ind w:firstLine="480" w:firstLineChars="200"/>
        <w:rPr>
          <w:rFonts w:hint="eastAsia"/>
          <w:color w:val="auto"/>
          <w:kern w:val="0"/>
          <w:sz w:val="24"/>
          <w:szCs w:val="28"/>
          <w:highlight w:val="none"/>
        </w:rPr>
      </w:pPr>
      <w:r>
        <w:rPr>
          <w:rFonts w:ascii="Times New Roman" w:hAnsi="Times New Roman" w:eastAsia="宋体" w:cs="Times New Roman"/>
          <w:color w:val="auto"/>
          <w:sz w:val="24"/>
          <w:szCs w:val="20"/>
          <w:highlight w:val="none"/>
        </w:rPr>
        <w:t>由地下水预测结果可以看出：</w:t>
      </w:r>
      <w:r>
        <w:rPr>
          <w:rFonts w:hint="eastAsia"/>
          <w:color w:val="auto"/>
          <w:kern w:val="0"/>
          <w:sz w:val="24"/>
          <w:szCs w:val="28"/>
          <w:highlight w:val="none"/>
          <w:lang w:val="en-US" w:eastAsia="zh-CN"/>
        </w:rPr>
        <w:t>高浓废水管道</w:t>
      </w:r>
      <w:r>
        <w:rPr>
          <w:rFonts w:hint="eastAsia"/>
          <w:color w:val="auto"/>
          <w:kern w:val="0"/>
          <w:sz w:val="24"/>
          <w:szCs w:val="28"/>
          <w:highlight w:val="none"/>
        </w:rPr>
        <w:t>发生渗漏后</w:t>
      </w:r>
      <w:r>
        <w:rPr>
          <w:rFonts w:hint="eastAsia"/>
          <w:color w:val="auto"/>
          <w:kern w:val="0"/>
          <w:sz w:val="24"/>
          <w:szCs w:val="28"/>
          <w:highlight w:val="none"/>
          <w:lang w:val="en-US" w:eastAsia="zh-CN"/>
        </w:rPr>
        <w:t>氨氮</w:t>
      </w:r>
      <w:r>
        <w:rPr>
          <w:rFonts w:hint="eastAsia"/>
          <w:color w:val="auto"/>
          <w:kern w:val="0"/>
          <w:sz w:val="24"/>
          <w:szCs w:val="28"/>
          <w:highlight w:val="none"/>
        </w:rPr>
        <w:t>随泄漏时间延续其污染羽不断向下游方向扩散，污染羽中心点浓度也随着扩散不断降低，在泄漏100d、1000d、3650d时，其污染羽中心点分别距离渗漏点</w:t>
      </w:r>
      <w:r>
        <w:rPr>
          <w:rFonts w:hint="eastAsia"/>
          <w:color w:val="auto"/>
          <w:kern w:val="0"/>
          <w:sz w:val="24"/>
          <w:szCs w:val="28"/>
          <w:highlight w:val="none"/>
          <w:lang w:val="en-US" w:eastAsia="zh-CN"/>
        </w:rPr>
        <w:t>36</w:t>
      </w:r>
      <w:r>
        <w:rPr>
          <w:rFonts w:hint="eastAsia"/>
          <w:color w:val="auto"/>
          <w:kern w:val="0"/>
          <w:sz w:val="24"/>
          <w:szCs w:val="28"/>
          <w:highlight w:val="none"/>
        </w:rPr>
        <w:t>m、</w:t>
      </w:r>
      <w:r>
        <w:rPr>
          <w:rFonts w:hint="eastAsia"/>
          <w:color w:val="auto"/>
          <w:kern w:val="0"/>
          <w:sz w:val="24"/>
          <w:szCs w:val="28"/>
          <w:highlight w:val="none"/>
          <w:lang w:val="en-US" w:eastAsia="zh-CN"/>
        </w:rPr>
        <w:t>335</w:t>
      </w:r>
      <w:r>
        <w:rPr>
          <w:rFonts w:hint="eastAsia"/>
          <w:color w:val="auto"/>
          <w:kern w:val="0"/>
          <w:sz w:val="24"/>
          <w:szCs w:val="28"/>
          <w:highlight w:val="none"/>
        </w:rPr>
        <w:t>m、</w:t>
      </w:r>
      <w:r>
        <w:rPr>
          <w:rFonts w:hint="eastAsia"/>
          <w:color w:val="auto"/>
          <w:kern w:val="0"/>
          <w:sz w:val="24"/>
          <w:szCs w:val="28"/>
          <w:highlight w:val="none"/>
          <w:lang w:val="en-US" w:eastAsia="zh-CN"/>
        </w:rPr>
        <w:t>1209</w:t>
      </w:r>
      <w:r>
        <w:rPr>
          <w:rFonts w:hint="eastAsia"/>
          <w:color w:val="auto"/>
          <w:kern w:val="0"/>
          <w:sz w:val="24"/>
          <w:szCs w:val="28"/>
          <w:highlight w:val="none"/>
        </w:rPr>
        <w:t>m处，对应的浓度值分别为52.00mg/L、14.30mg/L、7.4</w:t>
      </w:r>
      <w:r>
        <w:rPr>
          <w:rFonts w:hint="eastAsia"/>
          <w:color w:val="auto"/>
          <w:kern w:val="0"/>
          <w:sz w:val="24"/>
          <w:szCs w:val="28"/>
          <w:highlight w:val="none"/>
          <w:lang w:val="en-US" w:eastAsia="zh-CN"/>
        </w:rPr>
        <w:t>1</w:t>
      </w:r>
      <w:r>
        <w:rPr>
          <w:rFonts w:hint="eastAsia"/>
          <w:color w:val="auto"/>
          <w:kern w:val="0"/>
          <w:sz w:val="24"/>
          <w:szCs w:val="28"/>
          <w:highlight w:val="none"/>
        </w:rPr>
        <w:t>mg/L；对应的超标范围分别在</w:t>
      </w:r>
      <w:r>
        <w:rPr>
          <w:rFonts w:hint="eastAsia"/>
          <w:color w:val="auto"/>
          <w:kern w:val="0"/>
          <w:sz w:val="24"/>
          <w:szCs w:val="28"/>
          <w:highlight w:val="none"/>
          <w:lang w:val="en-US" w:eastAsia="zh-CN"/>
        </w:rPr>
        <w:t>0</w:t>
      </w:r>
      <w:r>
        <w:rPr>
          <w:rFonts w:hint="eastAsia"/>
          <w:color w:val="auto"/>
          <w:kern w:val="0"/>
          <w:sz w:val="24"/>
          <w:szCs w:val="28"/>
          <w:highlight w:val="none"/>
        </w:rPr>
        <w:t>~</w:t>
      </w:r>
      <w:r>
        <w:rPr>
          <w:rFonts w:hint="eastAsia"/>
          <w:color w:val="auto"/>
          <w:kern w:val="0"/>
          <w:sz w:val="24"/>
          <w:szCs w:val="28"/>
          <w:highlight w:val="none"/>
          <w:lang w:val="en-US" w:eastAsia="zh-CN"/>
        </w:rPr>
        <w:t>107</w:t>
      </w:r>
      <w:r>
        <w:rPr>
          <w:rFonts w:hint="eastAsia"/>
          <w:color w:val="auto"/>
          <w:kern w:val="0"/>
          <w:sz w:val="24"/>
          <w:szCs w:val="28"/>
          <w:highlight w:val="none"/>
        </w:rPr>
        <w:t>m、</w:t>
      </w:r>
      <w:r>
        <w:rPr>
          <w:rFonts w:hint="eastAsia"/>
          <w:color w:val="auto"/>
          <w:kern w:val="0"/>
          <w:sz w:val="24"/>
          <w:szCs w:val="28"/>
          <w:highlight w:val="none"/>
          <w:lang w:val="en-US" w:eastAsia="zh-CN"/>
        </w:rPr>
        <w:t>128</w:t>
      </w:r>
      <w:r>
        <w:rPr>
          <w:rFonts w:hint="eastAsia"/>
          <w:color w:val="auto"/>
          <w:kern w:val="0"/>
          <w:sz w:val="24"/>
          <w:szCs w:val="28"/>
          <w:highlight w:val="none"/>
        </w:rPr>
        <w:t>~</w:t>
      </w:r>
      <w:r>
        <w:rPr>
          <w:rFonts w:hint="eastAsia"/>
          <w:color w:val="auto"/>
          <w:kern w:val="0"/>
          <w:sz w:val="24"/>
          <w:szCs w:val="28"/>
          <w:highlight w:val="none"/>
          <w:lang w:val="en-US" w:eastAsia="zh-CN"/>
        </w:rPr>
        <w:t>542</w:t>
      </w:r>
      <w:r>
        <w:rPr>
          <w:rFonts w:hint="eastAsia"/>
          <w:color w:val="auto"/>
          <w:kern w:val="0"/>
          <w:sz w:val="24"/>
          <w:szCs w:val="28"/>
          <w:highlight w:val="none"/>
        </w:rPr>
        <w:t>m、</w:t>
      </w:r>
      <w:r>
        <w:rPr>
          <w:rFonts w:hint="eastAsia"/>
          <w:color w:val="auto"/>
          <w:kern w:val="0"/>
          <w:sz w:val="24"/>
          <w:szCs w:val="28"/>
          <w:highlight w:val="none"/>
          <w:lang w:val="en-US" w:eastAsia="zh-CN"/>
        </w:rPr>
        <w:t>851</w:t>
      </w:r>
      <w:r>
        <w:rPr>
          <w:rFonts w:hint="eastAsia"/>
          <w:color w:val="auto"/>
          <w:kern w:val="0"/>
          <w:sz w:val="24"/>
          <w:szCs w:val="28"/>
          <w:highlight w:val="none"/>
        </w:rPr>
        <w:t>~</w:t>
      </w:r>
      <w:r>
        <w:rPr>
          <w:rFonts w:hint="eastAsia"/>
          <w:color w:val="auto"/>
          <w:kern w:val="0"/>
          <w:sz w:val="24"/>
          <w:szCs w:val="28"/>
          <w:highlight w:val="none"/>
          <w:lang w:val="en-US" w:eastAsia="zh-CN"/>
        </w:rPr>
        <w:t>1568</w:t>
      </w:r>
      <w:r>
        <w:rPr>
          <w:rFonts w:hint="eastAsia"/>
          <w:color w:val="auto"/>
          <w:kern w:val="0"/>
          <w:sz w:val="24"/>
          <w:szCs w:val="28"/>
          <w:highlight w:val="none"/>
        </w:rPr>
        <w:t>m。</w:t>
      </w:r>
    </w:p>
    <w:p w14:paraId="063B42D5">
      <w:pPr>
        <w:adjustRightInd w:val="0"/>
        <w:snapToGrid w:val="0"/>
        <w:spacing w:line="360" w:lineRule="auto"/>
        <w:ind w:firstLine="480" w:firstLineChars="200"/>
        <w:rPr>
          <w:rFonts w:hint="eastAsia" w:ascii="Times New Roman" w:hAnsi="Times New Roman"/>
          <w:color w:val="auto"/>
          <w:kern w:val="0"/>
          <w:sz w:val="24"/>
          <w:szCs w:val="28"/>
          <w:highlight w:val="none"/>
        </w:rPr>
      </w:pPr>
      <w:r>
        <w:rPr>
          <w:rFonts w:hint="eastAsia"/>
          <w:color w:val="auto"/>
          <w:kern w:val="0"/>
          <w:sz w:val="24"/>
          <w:szCs w:val="28"/>
          <w:highlight w:val="none"/>
          <w:lang w:val="en-US" w:eastAsia="zh-CN"/>
        </w:rPr>
        <w:t>烷烃储罐破损围堰</w:t>
      </w:r>
      <w:r>
        <w:rPr>
          <w:rFonts w:hint="eastAsia"/>
          <w:color w:val="auto"/>
          <w:kern w:val="0"/>
          <w:sz w:val="24"/>
          <w:szCs w:val="28"/>
          <w:highlight w:val="none"/>
        </w:rPr>
        <w:t>发生渗漏后</w:t>
      </w:r>
      <w:r>
        <w:rPr>
          <w:rFonts w:hint="eastAsia"/>
          <w:color w:val="auto"/>
          <w:kern w:val="0"/>
          <w:sz w:val="24"/>
          <w:szCs w:val="28"/>
          <w:highlight w:val="none"/>
          <w:lang w:val="en-US" w:eastAsia="zh-CN"/>
        </w:rPr>
        <w:t>石油类</w:t>
      </w:r>
      <w:r>
        <w:rPr>
          <w:rFonts w:hint="eastAsia"/>
          <w:color w:val="auto"/>
          <w:kern w:val="0"/>
          <w:sz w:val="24"/>
          <w:szCs w:val="28"/>
          <w:highlight w:val="none"/>
        </w:rPr>
        <w:t>随泄漏时间延续其污染羽不断向下游方向扩散，污染羽中心点浓度也随着扩散不断降低，在泄漏100d、1000d、3650d时，其污染羽中心点分别距离渗漏点</w:t>
      </w:r>
      <w:r>
        <w:rPr>
          <w:rFonts w:hint="eastAsia"/>
          <w:color w:val="auto"/>
          <w:kern w:val="0"/>
          <w:sz w:val="24"/>
          <w:szCs w:val="28"/>
          <w:highlight w:val="none"/>
          <w:lang w:val="en-US" w:eastAsia="zh-CN"/>
        </w:rPr>
        <w:t>42</w:t>
      </w:r>
      <w:r>
        <w:rPr>
          <w:rFonts w:hint="eastAsia"/>
          <w:color w:val="auto"/>
          <w:kern w:val="0"/>
          <w:sz w:val="24"/>
          <w:szCs w:val="28"/>
          <w:highlight w:val="none"/>
        </w:rPr>
        <w:t>m、</w:t>
      </w:r>
      <w:r>
        <w:rPr>
          <w:rFonts w:hint="eastAsia"/>
          <w:color w:val="auto"/>
          <w:kern w:val="0"/>
          <w:sz w:val="24"/>
          <w:szCs w:val="28"/>
          <w:highlight w:val="none"/>
          <w:lang w:val="en-US" w:eastAsia="zh-CN"/>
        </w:rPr>
        <w:t>340</w:t>
      </w:r>
      <w:r>
        <w:rPr>
          <w:rFonts w:hint="eastAsia"/>
          <w:color w:val="auto"/>
          <w:kern w:val="0"/>
          <w:sz w:val="24"/>
          <w:szCs w:val="28"/>
          <w:highlight w:val="none"/>
        </w:rPr>
        <w:t>m、</w:t>
      </w:r>
      <w:r>
        <w:rPr>
          <w:rFonts w:hint="eastAsia"/>
          <w:color w:val="auto"/>
          <w:kern w:val="0"/>
          <w:sz w:val="24"/>
          <w:szCs w:val="28"/>
          <w:highlight w:val="none"/>
          <w:lang w:val="en-US" w:eastAsia="zh-CN"/>
        </w:rPr>
        <w:t>1214</w:t>
      </w:r>
      <w:r>
        <w:rPr>
          <w:rFonts w:hint="eastAsia"/>
          <w:color w:val="auto"/>
          <w:kern w:val="0"/>
          <w:sz w:val="24"/>
          <w:szCs w:val="28"/>
          <w:highlight w:val="none"/>
        </w:rPr>
        <w:t>m处，对应的浓度值分别为</w:t>
      </w:r>
      <w:r>
        <w:rPr>
          <w:rFonts w:hint="eastAsia"/>
          <w:color w:val="auto"/>
          <w:kern w:val="0"/>
          <w:sz w:val="24"/>
          <w:szCs w:val="28"/>
          <w:highlight w:val="none"/>
          <w:lang w:val="en-US" w:eastAsia="zh-CN"/>
        </w:rPr>
        <w:t>161.03</w:t>
      </w:r>
      <w:r>
        <w:rPr>
          <w:rFonts w:hint="eastAsia"/>
          <w:color w:val="auto"/>
          <w:kern w:val="0"/>
          <w:sz w:val="24"/>
          <w:szCs w:val="28"/>
          <w:highlight w:val="none"/>
        </w:rPr>
        <w:t>mg/L、</w:t>
      </w:r>
      <w:r>
        <w:rPr>
          <w:rFonts w:hint="eastAsia"/>
          <w:color w:val="auto"/>
          <w:kern w:val="0"/>
          <w:sz w:val="24"/>
          <w:szCs w:val="28"/>
          <w:highlight w:val="none"/>
          <w:lang w:val="en-US" w:eastAsia="zh-CN"/>
        </w:rPr>
        <w:t>48.00</w:t>
      </w:r>
      <w:r>
        <w:rPr>
          <w:rFonts w:hint="eastAsia"/>
          <w:color w:val="auto"/>
          <w:kern w:val="0"/>
          <w:sz w:val="24"/>
          <w:szCs w:val="28"/>
          <w:highlight w:val="none"/>
        </w:rPr>
        <w:t>mg/L、</w:t>
      </w:r>
      <w:r>
        <w:rPr>
          <w:rFonts w:hint="eastAsia"/>
          <w:color w:val="auto"/>
          <w:kern w:val="0"/>
          <w:sz w:val="24"/>
          <w:szCs w:val="28"/>
          <w:highlight w:val="none"/>
          <w:lang w:val="en-US" w:eastAsia="zh-CN"/>
        </w:rPr>
        <w:t>24.99</w:t>
      </w:r>
      <w:r>
        <w:rPr>
          <w:rFonts w:hint="eastAsia"/>
          <w:color w:val="auto"/>
          <w:kern w:val="0"/>
          <w:sz w:val="24"/>
          <w:szCs w:val="28"/>
          <w:highlight w:val="none"/>
        </w:rPr>
        <w:t>mg/L；对应的超标范围分别在</w:t>
      </w:r>
      <w:r>
        <w:rPr>
          <w:rFonts w:hint="eastAsia"/>
          <w:color w:val="auto"/>
          <w:kern w:val="0"/>
          <w:sz w:val="24"/>
          <w:szCs w:val="28"/>
          <w:highlight w:val="none"/>
          <w:lang w:val="en-US" w:eastAsia="zh-CN"/>
        </w:rPr>
        <w:t>0</w:t>
      </w:r>
      <w:r>
        <w:rPr>
          <w:rFonts w:hint="eastAsia"/>
          <w:color w:val="auto"/>
          <w:kern w:val="0"/>
          <w:sz w:val="24"/>
          <w:szCs w:val="28"/>
          <w:highlight w:val="none"/>
        </w:rPr>
        <w:t>~</w:t>
      </w:r>
      <w:r>
        <w:rPr>
          <w:rFonts w:hint="eastAsia"/>
          <w:color w:val="auto"/>
          <w:kern w:val="0"/>
          <w:sz w:val="24"/>
          <w:szCs w:val="28"/>
          <w:highlight w:val="none"/>
          <w:lang w:val="en-US" w:eastAsia="zh-CN"/>
        </w:rPr>
        <w:t>141</w:t>
      </w:r>
      <w:r>
        <w:rPr>
          <w:rFonts w:hint="eastAsia"/>
          <w:color w:val="auto"/>
          <w:kern w:val="0"/>
          <w:sz w:val="24"/>
          <w:szCs w:val="28"/>
          <w:highlight w:val="none"/>
        </w:rPr>
        <w:t>m、</w:t>
      </w:r>
      <w:r>
        <w:rPr>
          <w:rFonts w:hint="eastAsia"/>
          <w:color w:val="auto"/>
          <w:kern w:val="0"/>
          <w:sz w:val="24"/>
          <w:szCs w:val="28"/>
          <w:highlight w:val="none"/>
          <w:lang w:val="en-US" w:eastAsia="zh-CN"/>
        </w:rPr>
        <w:t>42</w:t>
      </w:r>
      <w:r>
        <w:rPr>
          <w:rFonts w:hint="eastAsia"/>
          <w:color w:val="auto"/>
          <w:kern w:val="0"/>
          <w:sz w:val="24"/>
          <w:szCs w:val="28"/>
          <w:highlight w:val="none"/>
        </w:rPr>
        <w:t>~</w:t>
      </w:r>
      <w:r>
        <w:rPr>
          <w:rFonts w:hint="eastAsia"/>
          <w:color w:val="auto"/>
          <w:kern w:val="0"/>
          <w:sz w:val="24"/>
          <w:szCs w:val="28"/>
          <w:highlight w:val="none"/>
          <w:lang w:val="en-US" w:eastAsia="zh-CN"/>
        </w:rPr>
        <w:t>583</w:t>
      </w:r>
      <w:r>
        <w:rPr>
          <w:rFonts w:hint="eastAsia"/>
          <w:color w:val="auto"/>
          <w:kern w:val="0"/>
          <w:sz w:val="24"/>
          <w:szCs w:val="28"/>
          <w:highlight w:val="none"/>
        </w:rPr>
        <w:t>m、</w:t>
      </w:r>
      <w:r>
        <w:rPr>
          <w:rFonts w:hint="eastAsia"/>
          <w:color w:val="auto"/>
          <w:kern w:val="0"/>
          <w:sz w:val="24"/>
          <w:szCs w:val="28"/>
          <w:highlight w:val="none"/>
          <w:lang w:val="en-US" w:eastAsia="zh-CN"/>
        </w:rPr>
        <w:t>669</w:t>
      </w:r>
      <w:r>
        <w:rPr>
          <w:rFonts w:hint="eastAsia"/>
          <w:color w:val="auto"/>
          <w:kern w:val="0"/>
          <w:sz w:val="24"/>
          <w:szCs w:val="28"/>
          <w:highlight w:val="none"/>
        </w:rPr>
        <w:t>~</w:t>
      </w:r>
      <w:r>
        <w:rPr>
          <w:rFonts w:hint="eastAsia"/>
          <w:color w:val="auto"/>
          <w:kern w:val="0"/>
          <w:sz w:val="24"/>
          <w:szCs w:val="28"/>
          <w:highlight w:val="none"/>
          <w:lang w:val="en-US" w:eastAsia="zh-CN"/>
        </w:rPr>
        <w:t>1760</w:t>
      </w:r>
      <w:r>
        <w:rPr>
          <w:rFonts w:hint="eastAsia"/>
          <w:color w:val="auto"/>
          <w:kern w:val="0"/>
          <w:sz w:val="24"/>
          <w:szCs w:val="28"/>
          <w:highlight w:val="none"/>
        </w:rPr>
        <w:t>m。</w:t>
      </w:r>
    </w:p>
    <w:p w14:paraId="1A961028">
      <w:pPr>
        <w:adjustRightInd w:val="0"/>
        <w:snapToGrid w:val="0"/>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高浓废水管道渗漏和烷烃储罐泄漏对厂区内的地下水造成较明显的影响，对厂区外下游的地下水影响较大。因此，在采取防渗等地下水治理措施后，可对地下水含水层的超标范围及污染程度进行有效控制，减少对地下水水质的影响。本项目监控井合理布设、设置适当的监控周期、管道定期检查是控制非正常状况影响范围的重要手段，要通过各种措施避免跑冒滴漏、非正常工况时的泄漏等事故工况的发生，从源头入手保护地下水。</w:t>
      </w:r>
    </w:p>
    <w:p w14:paraId="5906C337">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w:t>
      </w:r>
      <w:r>
        <w:rPr>
          <w:rFonts w:hint="eastAsia" w:ascii="Times New Roman" w:cs="Times New Roman"/>
          <w:snapToGrid w:val="0"/>
          <w:color w:val="auto"/>
          <w:spacing w:val="0"/>
          <w:kern w:val="0"/>
          <w:szCs w:val="24"/>
          <w:highlight w:val="none"/>
          <w:lang w:val="en-US" w:eastAsia="zh-CN"/>
        </w:rPr>
        <w:t>7</w:t>
      </w:r>
      <w:r>
        <w:rPr>
          <w:rFonts w:hint="eastAsia" w:ascii="Times New Roman" w:hAnsi="Times New Roman" w:cs="Times New Roman"/>
          <w:snapToGrid w:val="0"/>
          <w:color w:val="auto"/>
          <w:spacing w:val="0"/>
          <w:kern w:val="0"/>
          <w:szCs w:val="24"/>
          <w:highlight w:val="none"/>
          <w:lang w:val="en-US" w:eastAsia="zh-CN"/>
        </w:rPr>
        <w:t>风险防范措施</w:t>
      </w:r>
    </w:p>
    <w:p w14:paraId="5DDCB5C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6.3.7.1强化风险意识、加强安全管理</w:t>
      </w:r>
    </w:p>
    <w:p w14:paraId="0DE14421">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本项目环境风险主要是化学品使用过程中的潜在风险事故、环保设施异常导致的潜在风险事故及化学品贮运过程中潜在的事故风险。安全事故发生后，不仅对人员、财产造成损失，而且对周围环境有着难以弥补的损害。为避免风险事故发生，避免风险事故发生后对环境</w:t>
      </w:r>
      <w:r>
        <w:rPr>
          <w:rFonts w:hint="eastAsia"/>
          <w:iCs/>
          <w:snapToGrid w:val="0"/>
          <w:color w:val="auto"/>
          <w:kern w:val="0"/>
          <w:sz w:val="24"/>
          <w:highlight w:val="none"/>
          <w:lang w:eastAsia="zh-CN"/>
        </w:rPr>
        <w:t>造成</w:t>
      </w:r>
      <w:r>
        <w:rPr>
          <w:rFonts w:hint="eastAsia"/>
          <w:iCs/>
          <w:snapToGrid w:val="0"/>
          <w:color w:val="auto"/>
          <w:kern w:val="0"/>
          <w:sz w:val="24"/>
          <w:highlight w:val="none"/>
        </w:rPr>
        <w:t>严重污染，建设单位首先应树立环境风险意识，并在管理过程当中强化环境风险意识。在实际工作与管理过程当中应落实环境风险防患措施。</w:t>
      </w:r>
    </w:p>
    <w:p w14:paraId="6505828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（1）树立并强化环境风险意识</w:t>
      </w:r>
    </w:p>
    <w:p w14:paraId="6A60FA16">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贯彻“安全第一，预防为主”方针，树立环境风险意识，强化环境风险责任，体现环境保护的内容。</w:t>
      </w:r>
    </w:p>
    <w:p w14:paraId="19B21BDD">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（2）实行安全环保管理制度</w:t>
      </w:r>
    </w:p>
    <w:p w14:paraId="5A087226">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由风险分析可知，在运输、生产等过程中均有可能发生各种事故，事故发生后会对环境造成不同程度的污染，因此应有针对性地开展全面、全员、全过程的系统安全管理，把安全工作的重点放在系统的安全隐患上，并从整体和全局上促进建设项目各个环节的安全操作，并建立监察、检测、管理，实行安全检查目标管理。</w:t>
      </w:r>
    </w:p>
    <w:p w14:paraId="78138969">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 xml:space="preserve">（3）规范并强化风险预防措施 </w:t>
      </w:r>
    </w:p>
    <w:p w14:paraId="3123E03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为预防安全事故的发生，建设单位应制定安全管理规章制度，并采取相应的预防和处理措施。对防止安全事故的发生起到制度上、技术上的保证作用。</w:t>
      </w:r>
    </w:p>
    <w:p w14:paraId="215D8166">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 xml:space="preserve">（4）提高生产及管理人员的技术水平 </w:t>
      </w:r>
    </w:p>
    <w:p w14:paraId="3D04B87E">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人员的失误也是导致事故发生的重要因素之一。失误的原因主要是，由于技术水平低下、身体状况、工作疏忽。操作事故是生产过程中发生概率较大的风险事故，而操作及管理人员的技术水平则直接影响到此类事故的发生。建设单位应严格要求操作和管理人员的技术水平，职工上岗前必须参加培训，落实三级安全教育制度。</w:t>
      </w:r>
    </w:p>
    <w:p w14:paraId="3B377CB0">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（5）建立事故的监测报警系统</w:t>
      </w:r>
    </w:p>
    <w:p w14:paraId="5DE7ED20">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对厂内所有容易发生化学品</w:t>
      </w:r>
      <w:r>
        <w:rPr>
          <w:rFonts w:hint="eastAsia"/>
          <w:iCs/>
          <w:snapToGrid w:val="0"/>
          <w:color w:val="auto"/>
          <w:kern w:val="0"/>
          <w:sz w:val="24"/>
          <w:highlight w:val="none"/>
          <w:lang w:eastAsia="zh-CN"/>
        </w:rPr>
        <w:t>泄漏</w:t>
      </w:r>
      <w:r>
        <w:rPr>
          <w:rFonts w:hint="eastAsia"/>
          <w:iCs/>
          <w:snapToGrid w:val="0"/>
          <w:color w:val="auto"/>
          <w:kern w:val="0"/>
          <w:sz w:val="24"/>
          <w:highlight w:val="none"/>
        </w:rPr>
        <w:t>、燃烧的点设置实时监控系统，并与厂内预警系统进行连接</w:t>
      </w:r>
      <w:r>
        <w:rPr>
          <w:rFonts w:hint="eastAsia"/>
          <w:iCs/>
          <w:snapToGrid w:val="0"/>
          <w:color w:val="auto"/>
          <w:kern w:val="0"/>
          <w:sz w:val="24"/>
          <w:highlight w:val="none"/>
          <w:lang w:eastAsia="zh-CN"/>
        </w:rPr>
        <w:t>；对</w:t>
      </w:r>
      <w:r>
        <w:rPr>
          <w:rFonts w:hint="eastAsia"/>
          <w:iCs/>
          <w:snapToGrid w:val="0"/>
          <w:color w:val="auto"/>
          <w:kern w:val="0"/>
          <w:sz w:val="24"/>
          <w:highlight w:val="none"/>
        </w:rPr>
        <w:t>所有的外露生产装置与运输设施中的重大危险源设置应急设施。</w:t>
      </w:r>
    </w:p>
    <w:p w14:paraId="08759D95">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（6）加强检修现场的安全保卫工作</w:t>
      </w:r>
    </w:p>
    <w:p w14:paraId="45425B80">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检修期间，应预先准备好必要的安全保障设施。清理设备或拆卸管理时，应有安全人员在场，负责实施各项安全措施。</w:t>
      </w:r>
    </w:p>
    <w:p w14:paraId="5ECD616E">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 xml:space="preserve">（7）加强数据的日常记录与管理 </w:t>
      </w:r>
    </w:p>
    <w:p w14:paraId="1662392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加强对废水、废气处理系统的各项操作参数等数据的日常记录与管理，以及外排废水、废气的监测，以便及时发现问题并能够及时采取减缓危害的措施。</w:t>
      </w:r>
    </w:p>
    <w:p w14:paraId="1BFAF3FF">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（8）从法律法规上加强管理</w:t>
      </w:r>
    </w:p>
    <w:p w14:paraId="72482EE7">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为确保危险品运输安全，应严格遵守国家及有关部门制定的相关法规，主要有：《危险化学品安全管理条例</w:t>
      </w:r>
      <w:r>
        <w:rPr>
          <w:rFonts w:hint="eastAsia"/>
          <w:iCs/>
          <w:snapToGrid w:val="0"/>
          <w:color w:val="auto"/>
          <w:kern w:val="0"/>
          <w:sz w:val="24"/>
          <w:highlight w:val="none"/>
          <w:lang w:eastAsia="zh-CN"/>
        </w:rPr>
        <w:t>》《道路危险货物运输管理规定</w:t>
      </w:r>
      <w:r>
        <w:rPr>
          <w:rFonts w:hint="eastAsia"/>
          <w:iCs/>
          <w:snapToGrid w:val="0"/>
          <w:color w:val="auto"/>
          <w:kern w:val="0"/>
          <w:sz w:val="24"/>
          <w:highlight w:val="none"/>
        </w:rPr>
        <w:t>》。</w:t>
      </w:r>
    </w:p>
    <w:p w14:paraId="65F4917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6.3.7.2运输过程风险防范措施</w:t>
      </w:r>
    </w:p>
    <w:p w14:paraId="2E6EEF6E">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运输过程风险防范包括交通事故预防、运输过程设备故障性泄漏防范以及事故发生后的应急处理等，本项目运输以汽车为主。</w:t>
      </w:r>
    </w:p>
    <w:p w14:paraId="642C692D">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运输过程风险防范应从包装着手，有关包装的具体要求可以参照《危险货物分类和品名编号》（GB6944-</w:t>
      </w:r>
      <w:r>
        <w:rPr>
          <w:rFonts w:hint="eastAsia"/>
          <w:iCs/>
          <w:snapToGrid w:val="0"/>
          <w:color w:val="auto"/>
          <w:kern w:val="0"/>
          <w:sz w:val="24"/>
          <w:highlight w:val="none"/>
          <w:lang w:val="en-US" w:eastAsia="zh-CN"/>
        </w:rPr>
        <w:t>2025</w:t>
      </w:r>
      <w:r>
        <w:rPr>
          <w:rFonts w:hint="eastAsia"/>
          <w:iCs/>
          <w:snapToGrid w:val="0"/>
          <w:color w:val="auto"/>
          <w:kern w:val="0"/>
          <w:sz w:val="24"/>
          <w:highlight w:val="none"/>
          <w:lang w:eastAsia="zh-CN"/>
        </w:rPr>
        <w:t>）</w:t>
      </w:r>
      <w:r>
        <w:rPr>
          <w:rFonts w:hint="eastAsia"/>
          <w:iCs/>
          <w:snapToGrid w:val="0"/>
          <w:color w:val="auto"/>
          <w:kern w:val="0"/>
          <w:sz w:val="24"/>
          <w:highlight w:val="none"/>
        </w:rPr>
        <w:t>、《危险货物包装标志》（GB190-</w:t>
      </w:r>
      <w:r>
        <w:rPr>
          <w:rFonts w:hint="eastAsia"/>
          <w:iCs/>
          <w:snapToGrid w:val="0"/>
          <w:color w:val="auto"/>
          <w:kern w:val="0"/>
          <w:sz w:val="24"/>
          <w:highlight w:val="none"/>
          <w:lang w:val="en-US" w:eastAsia="zh-CN"/>
        </w:rPr>
        <w:t>2009</w:t>
      </w:r>
      <w:r>
        <w:rPr>
          <w:rFonts w:hint="eastAsia"/>
          <w:iCs/>
          <w:snapToGrid w:val="0"/>
          <w:color w:val="auto"/>
          <w:kern w:val="0"/>
          <w:sz w:val="24"/>
          <w:highlight w:val="none"/>
          <w:lang w:eastAsia="zh-CN"/>
        </w:rPr>
        <w:t>）</w:t>
      </w:r>
      <w:r>
        <w:rPr>
          <w:rFonts w:hint="eastAsia"/>
          <w:iCs/>
          <w:snapToGrid w:val="0"/>
          <w:color w:val="auto"/>
          <w:kern w:val="0"/>
          <w:sz w:val="24"/>
          <w:highlight w:val="none"/>
        </w:rPr>
        <w:t>、《危险货物运输包装通用技术条件》（GB12463-</w:t>
      </w:r>
      <w:r>
        <w:rPr>
          <w:rFonts w:hint="eastAsia"/>
          <w:iCs/>
          <w:snapToGrid w:val="0"/>
          <w:color w:val="auto"/>
          <w:kern w:val="0"/>
          <w:sz w:val="24"/>
          <w:highlight w:val="none"/>
          <w:lang w:val="en-US" w:eastAsia="zh-CN"/>
        </w:rPr>
        <w:t>2009</w:t>
      </w:r>
      <w:r>
        <w:rPr>
          <w:rFonts w:hint="eastAsia"/>
          <w:iCs/>
          <w:snapToGrid w:val="0"/>
          <w:color w:val="auto"/>
          <w:kern w:val="0"/>
          <w:sz w:val="24"/>
          <w:highlight w:val="none"/>
          <w:lang w:eastAsia="zh-CN"/>
        </w:rPr>
        <w:t>）</w:t>
      </w:r>
      <w:r>
        <w:rPr>
          <w:rFonts w:hint="eastAsia"/>
          <w:iCs/>
          <w:snapToGrid w:val="0"/>
          <w:color w:val="auto"/>
          <w:kern w:val="0"/>
          <w:sz w:val="24"/>
          <w:highlight w:val="none"/>
        </w:rPr>
        <w:t>等一系列规章制度进行，包装应严格按照有关危险品特性及相关强度等级进行，并采用堆码试验、跌落试验、气密试验和气压试验等检验标准进行定期检验，运输包装件严格按规定印制提醒符号，标明危险品类别、名称及尺寸、颜色。</w:t>
      </w:r>
    </w:p>
    <w:p w14:paraId="3F6D27F3">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运输装卸过程也要严格按照国家有关规定执行，包括</w:t>
      </w:r>
      <w:r>
        <w:rPr>
          <w:rFonts w:hint="eastAsia"/>
          <w:iCs/>
          <w:snapToGrid w:val="0"/>
          <w:color w:val="auto"/>
          <w:kern w:val="0"/>
          <w:sz w:val="24"/>
          <w:highlight w:val="none"/>
          <w:lang w:eastAsia="zh-CN"/>
        </w:rPr>
        <w:t>《道路危险货物运输管理规定</w:t>
      </w:r>
      <w:r>
        <w:rPr>
          <w:rFonts w:hint="eastAsia"/>
          <w:iCs/>
          <w:snapToGrid w:val="0"/>
          <w:color w:val="auto"/>
          <w:kern w:val="0"/>
          <w:sz w:val="24"/>
          <w:highlight w:val="none"/>
        </w:rPr>
        <w:t>》</w:t>
      </w:r>
      <w:bookmarkStart w:id="169" w:name="OLE_LINK12"/>
      <w:r>
        <w:rPr>
          <w:rFonts w:hint="eastAsia"/>
          <w:iCs/>
          <w:snapToGrid w:val="0"/>
          <w:color w:val="auto"/>
          <w:kern w:val="0"/>
          <w:sz w:val="24"/>
          <w:highlight w:val="none"/>
        </w:rPr>
        <w:t>《机动车运行安全技术条件》（GB7258</w:t>
      </w:r>
      <w:bookmarkEnd w:id="169"/>
      <w:r>
        <w:rPr>
          <w:rFonts w:hint="eastAsia"/>
          <w:iCs/>
          <w:snapToGrid w:val="0"/>
          <w:color w:val="auto"/>
          <w:kern w:val="0"/>
          <w:sz w:val="24"/>
          <w:highlight w:val="none"/>
        </w:rPr>
        <w:t>-</w:t>
      </w:r>
      <w:r>
        <w:rPr>
          <w:rFonts w:hint="eastAsia"/>
          <w:iCs/>
          <w:snapToGrid w:val="0"/>
          <w:color w:val="auto"/>
          <w:kern w:val="0"/>
          <w:sz w:val="24"/>
          <w:highlight w:val="none"/>
          <w:lang w:val="en-US" w:eastAsia="zh-CN"/>
        </w:rPr>
        <w:t>2026</w:t>
      </w:r>
      <w:r>
        <w:rPr>
          <w:rFonts w:hint="eastAsia"/>
          <w:iCs/>
          <w:snapToGrid w:val="0"/>
          <w:color w:val="auto"/>
          <w:kern w:val="0"/>
          <w:sz w:val="24"/>
          <w:highlight w:val="none"/>
        </w:rPr>
        <w:t>）等，本项目运输的易燃易爆危险化学品的车辆必须办理“易燃易爆危险化学品三证”，必须配备相应的消防器材，有经过消防安全培训合格的驾驶员、押运员，并提倡今后开展第三方现代物流运输方式。危险化学品装卸前后，必须对车辆和仓库进行必要的通风、清扫干净，装卸作业使用的工具</w:t>
      </w:r>
      <w:r>
        <w:rPr>
          <w:rFonts w:hint="eastAsia"/>
          <w:iCs/>
          <w:snapToGrid w:val="0"/>
          <w:color w:val="auto"/>
          <w:kern w:val="0"/>
          <w:sz w:val="24"/>
          <w:highlight w:val="none"/>
          <w:lang w:eastAsia="zh-CN"/>
        </w:rPr>
        <w:t>必须</w:t>
      </w:r>
      <w:r>
        <w:rPr>
          <w:rFonts w:hint="eastAsia"/>
          <w:iCs/>
          <w:snapToGrid w:val="0"/>
          <w:color w:val="auto"/>
          <w:kern w:val="0"/>
          <w:sz w:val="24"/>
          <w:highlight w:val="none"/>
        </w:rPr>
        <w:t>防止产生火花，必须有各种防护装置。</w:t>
      </w:r>
    </w:p>
    <w:p w14:paraId="3857F00D">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每次运输前应准确告诉司机和押运人员有关运输物质的性质和事故应急处理方法，确保在事故发生情况下仍能事故应急，减缓影响。</w:t>
      </w:r>
    </w:p>
    <w:p w14:paraId="7E02F07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6.3.7.3工艺过程风险防范措施</w:t>
      </w:r>
    </w:p>
    <w:p w14:paraId="4D6FF7E6">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（1）防泄漏措施</w:t>
      </w:r>
    </w:p>
    <w:p w14:paraId="1FB20BEA">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①在生产过程中，</w:t>
      </w:r>
      <w:r>
        <w:rPr>
          <w:rFonts w:hint="eastAsia"/>
          <w:iCs/>
          <w:snapToGrid w:val="0"/>
          <w:color w:val="auto"/>
          <w:kern w:val="0"/>
          <w:sz w:val="24"/>
          <w:highlight w:val="none"/>
          <w:lang w:val="en-US" w:eastAsia="zh-CN"/>
        </w:rPr>
        <w:t>液态物质</w:t>
      </w:r>
      <w:r>
        <w:rPr>
          <w:rFonts w:hint="eastAsia"/>
          <w:iCs/>
          <w:snapToGrid w:val="0"/>
          <w:color w:val="auto"/>
          <w:kern w:val="0"/>
          <w:sz w:val="24"/>
          <w:highlight w:val="none"/>
        </w:rPr>
        <w:t>全部置于密闭的设备和管道中。</w:t>
      </w:r>
    </w:p>
    <w:p w14:paraId="0B41F7F9">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②正确选择材料和材料保护措施，材质要与使用的温度、压力、腐蚀性等条件相适应，能满足工艺要求。工艺设备、管件、阀门等要达到防止泄漏等工业卫生要求。所有设备、管线外壁均涂防腐漆，防止腐蚀、泄漏。所有设备、管线试车前打压、试漏。</w:t>
      </w:r>
    </w:p>
    <w:p w14:paraId="40F6479D">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③在装置区设置有毒气体检测报警系统，在可能泄漏的部位（液体泵、液体采样口、放空口、法兰、阀门组）设置有毒气体检测器，一旦有毒气体发生泄漏，可及时检测到，同时发出报警信号，通知操作人员及时发现、处理，避免有毒气体扩散到装置外围空气中。</w:t>
      </w:r>
    </w:p>
    <w:p w14:paraId="6DA85F52">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④装置区的管道采用管架敷设，管廊上管道及电气仪表桥架分多层布置，其中有毒、有腐蚀性的管道浓硫酸等主要布置在管廊最下层；蒸汽、热水、仪表空气、压缩空气、放空气体等公用工程管道主要布置在管廊中层或上层；电气、仪表桥架分别布置在上层的两侧。</w:t>
      </w:r>
    </w:p>
    <w:p w14:paraId="4B44157E">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⑤隐蔽工程</w:t>
      </w:r>
      <w:r>
        <w:rPr>
          <w:rFonts w:hint="eastAsia"/>
          <w:iCs/>
          <w:snapToGrid w:val="0"/>
          <w:color w:val="auto"/>
          <w:kern w:val="0"/>
          <w:sz w:val="24"/>
          <w:highlight w:val="none"/>
          <w:lang w:eastAsia="zh-CN"/>
        </w:rPr>
        <w:t>做好</w:t>
      </w:r>
      <w:r>
        <w:rPr>
          <w:rFonts w:hint="eastAsia"/>
          <w:iCs/>
          <w:snapToGrid w:val="0"/>
          <w:color w:val="auto"/>
          <w:kern w:val="0"/>
          <w:sz w:val="24"/>
          <w:highlight w:val="none"/>
        </w:rPr>
        <w:t>记录，直埋暗管隐蔽后，在墙面或地面标明暗管的位置和走向。同时加强厂区管理，杜绝外来无关人员进入厂区。</w:t>
      </w:r>
    </w:p>
    <w:p w14:paraId="492E7276">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⑥在倒流可能造成事故的输送泵的出口管道设置止回阀，防止液体倒流发生事故。</w:t>
      </w:r>
    </w:p>
    <w:p w14:paraId="5EB49787">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7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⑦</w:t>
      </w:r>
      <w:r>
        <w:rPr>
          <w:rFonts w:hint="eastAsia"/>
          <w:iCs/>
          <w:snapToGrid w:val="0"/>
          <w:color w:val="auto"/>
          <w:kern w:val="0"/>
          <w:sz w:val="24"/>
          <w:highlight w:val="none"/>
        </w:rPr>
        <w:fldChar w:fldCharType="end"/>
      </w:r>
      <w:r>
        <w:rPr>
          <w:rFonts w:hint="eastAsia"/>
          <w:iCs/>
          <w:snapToGrid w:val="0"/>
          <w:color w:val="auto"/>
          <w:kern w:val="0"/>
          <w:sz w:val="24"/>
          <w:highlight w:val="none"/>
        </w:rPr>
        <w:t>防自然灾害造成的管线泄漏。本项目循环水、污水管道等均为埋地敷设，埋地管道的埋深均在冻土层以下，可防止冬季冻伤管道。本项目管线除埋地外，均为架空或沿地面敷设。</w:t>
      </w:r>
    </w:p>
    <w:p w14:paraId="607E5437">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8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⑧</w:t>
      </w:r>
      <w:r>
        <w:rPr>
          <w:rFonts w:hint="eastAsia"/>
          <w:iCs/>
          <w:snapToGrid w:val="0"/>
          <w:color w:val="auto"/>
          <w:kern w:val="0"/>
          <w:sz w:val="24"/>
          <w:highlight w:val="none"/>
        </w:rPr>
        <w:fldChar w:fldCharType="end"/>
      </w:r>
      <w:r>
        <w:rPr>
          <w:rFonts w:hint="eastAsia"/>
          <w:iCs/>
          <w:snapToGrid w:val="0"/>
          <w:color w:val="auto"/>
          <w:kern w:val="0"/>
          <w:sz w:val="24"/>
          <w:highlight w:val="none"/>
        </w:rPr>
        <w:t>装置中的关键部位设置必要的报警联锁设施。对本装置中的罐区的储罐等设备的液位进行在线监测，防止液位过高或过低，并设联锁设施，能根据液位自动调节进料，在生产关键部位设置自动安全联锁系统并进入SIS系统。上述安全联锁系统可确保在生产过程中一旦出现不正常状态时，可使装置局部或全部自动停车，以防事故发生，保证人员和设备安全。</w:t>
      </w:r>
    </w:p>
    <w:p w14:paraId="1FE62047">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9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⑨</w:t>
      </w:r>
      <w:r>
        <w:rPr>
          <w:rFonts w:hint="eastAsia"/>
          <w:iCs/>
          <w:snapToGrid w:val="0"/>
          <w:color w:val="auto"/>
          <w:kern w:val="0"/>
          <w:sz w:val="24"/>
          <w:highlight w:val="none"/>
        </w:rPr>
        <w:fldChar w:fldCharType="end"/>
      </w:r>
      <w:r>
        <w:rPr>
          <w:rFonts w:hint="eastAsia"/>
          <w:iCs/>
          <w:snapToGrid w:val="0"/>
          <w:color w:val="auto"/>
          <w:kern w:val="0"/>
          <w:sz w:val="24"/>
          <w:highlight w:val="none"/>
        </w:rPr>
        <w:t>罐区设置围堰，防止物料泄漏、扩散；在罐区进出料口设置紧急切断阀。</w:t>
      </w:r>
    </w:p>
    <w:p w14:paraId="21AC6DAB">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10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⑩</w:t>
      </w:r>
      <w:r>
        <w:rPr>
          <w:rFonts w:hint="eastAsia"/>
          <w:iCs/>
          <w:snapToGrid w:val="0"/>
          <w:color w:val="auto"/>
          <w:kern w:val="0"/>
          <w:sz w:val="24"/>
          <w:highlight w:val="none"/>
        </w:rPr>
        <w:fldChar w:fldCharType="end"/>
      </w:r>
      <w:r>
        <w:rPr>
          <w:rFonts w:hint="eastAsia"/>
          <w:iCs/>
          <w:snapToGrid w:val="0"/>
          <w:color w:val="auto"/>
          <w:kern w:val="0"/>
          <w:sz w:val="24"/>
          <w:highlight w:val="none"/>
        </w:rPr>
        <w:t>储罐的进出口设置双阀门。</w:t>
      </w:r>
    </w:p>
    <w:p w14:paraId="29E24108">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上述危险物料及其余物料管道除阀门、设备管口等处用法兰连接外，其余均采用焊接。各单元安装完毕后，均严格按照规范进行水压或者气压以及防泄漏试验，一旦发现泄漏问题，立即检修，杜绝输送介质的设备、管路发生跑、冒、滴、漏现象。设备及其基础，管道及其支、吊架和基础，采用非燃烧材料。设备和管道的保温层，采用岩棉等非燃烧材料。</w:t>
      </w:r>
    </w:p>
    <w:p w14:paraId="1E1FD2FD">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另外，在施工安装时，建设单位选用有相应施工资质的施工单位对本项目的压力管道、特种设备进行施工。</w:t>
      </w:r>
    </w:p>
    <w:p w14:paraId="5CEE7380">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（2）防火、防爆措施</w:t>
      </w:r>
    </w:p>
    <w:p w14:paraId="69DFD95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根据《建筑防火通用规范》（GB55037-2022），火灾风险防范措施如下：</w:t>
      </w:r>
    </w:p>
    <w:p w14:paraId="436914AA">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1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①</w:t>
      </w:r>
      <w:r>
        <w:rPr>
          <w:rFonts w:hint="eastAsia"/>
          <w:iCs/>
          <w:snapToGrid w:val="0"/>
          <w:color w:val="auto"/>
          <w:kern w:val="0"/>
          <w:sz w:val="24"/>
          <w:highlight w:val="none"/>
        </w:rPr>
        <w:fldChar w:fldCharType="end"/>
      </w:r>
      <w:r>
        <w:rPr>
          <w:rFonts w:hint="eastAsia"/>
          <w:iCs/>
          <w:snapToGrid w:val="0"/>
          <w:color w:val="auto"/>
          <w:kern w:val="0"/>
          <w:sz w:val="24"/>
          <w:highlight w:val="none"/>
        </w:rPr>
        <w:t>建筑的承重结构应保证其在受到火或高温作用后，在设计耐火时间内仍能正常发挥承载功能；</w:t>
      </w:r>
    </w:p>
    <w:p w14:paraId="762353DB">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2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②</w:t>
      </w:r>
      <w:r>
        <w:rPr>
          <w:rFonts w:hint="eastAsia"/>
          <w:iCs/>
          <w:snapToGrid w:val="0"/>
          <w:color w:val="auto"/>
          <w:kern w:val="0"/>
          <w:sz w:val="24"/>
          <w:highlight w:val="none"/>
        </w:rPr>
        <w:fldChar w:fldCharType="end"/>
      </w:r>
      <w:r>
        <w:rPr>
          <w:rFonts w:hint="eastAsia"/>
          <w:iCs/>
          <w:snapToGrid w:val="0"/>
          <w:color w:val="auto"/>
          <w:kern w:val="0"/>
          <w:sz w:val="24"/>
          <w:highlight w:val="none"/>
        </w:rPr>
        <w:t>建筑应设置满足在建筑发生火灾时人员安全疏散或避难需要的设施；</w:t>
      </w:r>
    </w:p>
    <w:p w14:paraId="201D724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3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③</w:t>
      </w:r>
      <w:r>
        <w:rPr>
          <w:rFonts w:hint="eastAsia"/>
          <w:iCs/>
          <w:snapToGrid w:val="0"/>
          <w:color w:val="auto"/>
          <w:kern w:val="0"/>
          <w:sz w:val="24"/>
          <w:highlight w:val="none"/>
        </w:rPr>
        <w:fldChar w:fldCharType="end"/>
      </w:r>
      <w:r>
        <w:rPr>
          <w:rFonts w:hint="eastAsia"/>
          <w:iCs/>
          <w:snapToGrid w:val="0"/>
          <w:color w:val="auto"/>
          <w:kern w:val="0"/>
          <w:sz w:val="24"/>
          <w:highlight w:val="none"/>
        </w:rPr>
        <w:t>建筑内部和外部的防火分隔应能在设定时间内阻止火灾蔓延至相邻建筑或建筑内的其他防火分隔区域；</w:t>
      </w:r>
    </w:p>
    <w:p w14:paraId="2273805A">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4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④</w:t>
      </w:r>
      <w:r>
        <w:rPr>
          <w:rFonts w:hint="eastAsia"/>
          <w:iCs/>
          <w:snapToGrid w:val="0"/>
          <w:color w:val="auto"/>
          <w:kern w:val="0"/>
          <w:sz w:val="24"/>
          <w:highlight w:val="none"/>
        </w:rPr>
        <w:fldChar w:fldCharType="end"/>
      </w:r>
      <w:r>
        <w:rPr>
          <w:rFonts w:hint="eastAsia"/>
          <w:iCs/>
          <w:snapToGrid w:val="0"/>
          <w:color w:val="auto"/>
          <w:kern w:val="0"/>
          <w:sz w:val="24"/>
          <w:highlight w:val="none"/>
        </w:rPr>
        <w:t>建筑的总平面布局及与相邻建筑的间距应满足消防救援的要求。</w:t>
      </w:r>
    </w:p>
    <w:p w14:paraId="0707EEC4">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火灾、爆炸应急减缓措施：</w:t>
      </w:r>
    </w:p>
    <w:p w14:paraId="7FF83533">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1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①</w:t>
      </w:r>
      <w:r>
        <w:rPr>
          <w:rFonts w:hint="eastAsia"/>
          <w:iCs/>
          <w:snapToGrid w:val="0"/>
          <w:color w:val="auto"/>
          <w:kern w:val="0"/>
          <w:sz w:val="24"/>
          <w:highlight w:val="none"/>
        </w:rPr>
        <w:fldChar w:fldCharType="end"/>
      </w:r>
      <w:r>
        <w:rPr>
          <w:rFonts w:hint="eastAsia"/>
          <w:iCs/>
          <w:snapToGrid w:val="0"/>
          <w:color w:val="auto"/>
          <w:kern w:val="0"/>
          <w:sz w:val="24"/>
          <w:highlight w:val="none"/>
        </w:rPr>
        <w:t>当装置发生火灾或爆炸时，应根据事故级别启动应急预案；并根据需要疏散厂内人员；</w:t>
      </w:r>
    </w:p>
    <w:p w14:paraId="6B833D06">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2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②</w:t>
      </w:r>
      <w:r>
        <w:rPr>
          <w:rFonts w:hint="eastAsia"/>
          <w:iCs/>
          <w:snapToGrid w:val="0"/>
          <w:color w:val="auto"/>
          <w:kern w:val="0"/>
          <w:sz w:val="24"/>
          <w:highlight w:val="none"/>
        </w:rPr>
        <w:fldChar w:fldCharType="end"/>
      </w:r>
      <w:r>
        <w:rPr>
          <w:rFonts w:hint="eastAsia"/>
          <w:iCs/>
          <w:snapToGrid w:val="0"/>
          <w:color w:val="auto"/>
          <w:kern w:val="0"/>
          <w:sz w:val="24"/>
          <w:highlight w:val="none"/>
        </w:rPr>
        <w:t>根据需要，切断着火设施上、下游物料，尽可能倒空着火设施附近装置或贮罐物料，防止发生</w:t>
      </w:r>
      <w:r>
        <w:rPr>
          <w:rFonts w:hint="eastAsia"/>
          <w:iCs/>
          <w:snapToGrid w:val="0"/>
          <w:color w:val="auto"/>
          <w:kern w:val="0"/>
          <w:sz w:val="24"/>
          <w:highlight w:val="none"/>
          <w:lang w:eastAsia="zh-CN"/>
        </w:rPr>
        <w:t>连锁反应</w:t>
      </w:r>
      <w:r>
        <w:rPr>
          <w:rFonts w:hint="eastAsia"/>
          <w:iCs/>
          <w:snapToGrid w:val="0"/>
          <w:color w:val="auto"/>
          <w:kern w:val="0"/>
          <w:sz w:val="24"/>
          <w:highlight w:val="none"/>
        </w:rPr>
        <w:t>；</w:t>
      </w:r>
    </w:p>
    <w:p w14:paraId="26DB6961">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3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③</w:t>
      </w:r>
      <w:r>
        <w:rPr>
          <w:rFonts w:hint="eastAsia"/>
          <w:iCs/>
          <w:snapToGrid w:val="0"/>
          <w:color w:val="auto"/>
          <w:kern w:val="0"/>
          <w:sz w:val="24"/>
          <w:highlight w:val="none"/>
        </w:rPr>
        <w:fldChar w:fldCharType="end"/>
      </w:r>
      <w:r>
        <w:rPr>
          <w:rFonts w:hint="eastAsia"/>
          <w:iCs/>
          <w:snapToGrid w:val="0"/>
          <w:color w:val="auto"/>
          <w:kern w:val="0"/>
          <w:sz w:val="24"/>
          <w:highlight w:val="none"/>
        </w:rPr>
        <w:t>在救火的同时，采用水幕或喷淋的方法，降低着火设施温度，防止引发继发事故；</w:t>
      </w:r>
    </w:p>
    <w:p w14:paraId="6F178081">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4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④</w:t>
      </w:r>
      <w:r>
        <w:rPr>
          <w:rFonts w:hint="eastAsia"/>
          <w:iCs/>
          <w:snapToGrid w:val="0"/>
          <w:color w:val="auto"/>
          <w:kern w:val="0"/>
          <w:sz w:val="24"/>
          <w:highlight w:val="none"/>
        </w:rPr>
        <w:fldChar w:fldCharType="end"/>
      </w:r>
      <w:r>
        <w:rPr>
          <w:rFonts w:hint="eastAsia"/>
          <w:iCs/>
          <w:snapToGrid w:val="0"/>
          <w:color w:val="auto"/>
          <w:kern w:val="0"/>
          <w:sz w:val="24"/>
          <w:highlight w:val="none"/>
        </w:rPr>
        <w:t>根据事故级别疏散周围居住区人群，特别关注医院、学校等场所的疏散。</w:t>
      </w:r>
    </w:p>
    <w:p w14:paraId="39B1299D">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（3）防中毒措施</w:t>
      </w:r>
    </w:p>
    <w:p w14:paraId="1F457522">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本项目在生产过程中</w:t>
      </w:r>
      <w:r>
        <w:rPr>
          <w:rFonts w:hint="eastAsia"/>
          <w:iCs/>
          <w:snapToGrid w:val="0"/>
          <w:color w:val="auto"/>
          <w:kern w:val="0"/>
          <w:sz w:val="24"/>
          <w:highlight w:val="none"/>
          <w:lang w:eastAsia="zh-CN"/>
        </w:rPr>
        <w:t>涉及</w:t>
      </w:r>
      <w:r>
        <w:rPr>
          <w:rFonts w:hint="eastAsia"/>
          <w:iCs/>
          <w:snapToGrid w:val="0"/>
          <w:color w:val="auto"/>
          <w:kern w:val="0"/>
          <w:sz w:val="24"/>
          <w:highlight w:val="none"/>
        </w:rPr>
        <w:t>浓硫酸等有毒物料，事故状态有可能造成中毒，应重点防范。</w:t>
      </w:r>
    </w:p>
    <w:p w14:paraId="40ACCF48">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①物料输送设计为密闭系统，使有毒物料在操作条件下置于密闭的设备和管道中，各个连接处采用可靠的密封措施，不与人员接触，保证职工的健康不受损害。</w:t>
      </w:r>
    </w:p>
    <w:p w14:paraId="44B6A573">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2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②</w:t>
      </w:r>
      <w:r>
        <w:rPr>
          <w:rFonts w:hint="eastAsia"/>
          <w:iCs/>
          <w:snapToGrid w:val="0"/>
          <w:color w:val="auto"/>
          <w:kern w:val="0"/>
          <w:sz w:val="24"/>
          <w:highlight w:val="none"/>
        </w:rPr>
        <w:fldChar w:fldCharType="end"/>
      </w:r>
      <w:r>
        <w:rPr>
          <w:rFonts w:hint="eastAsia"/>
          <w:iCs/>
          <w:snapToGrid w:val="0"/>
          <w:color w:val="auto"/>
          <w:kern w:val="0"/>
          <w:sz w:val="24"/>
          <w:highlight w:val="none"/>
        </w:rPr>
        <w:t>进入生产装置时，配齐个人防护装备，</w:t>
      </w:r>
      <w:r>
        <w:rPr>
          <w:rFonts w:hint="eastAsia"/>
          <w:iCs/>
          <w:snapToGrid w:val="0"/>
          <w:color w:val="auto"/>
          <w:kern w:val="0"/>
          <w:sz w:val="24"/>
          <w:highlight w:val="none"/>
          <w:lang w:eastAsia="zh-CN"/>
        </w:rPr>
        <w:t>一旦</w:t>
      </w:r>
      <w:r>
        <w:rPr>
          <w:rFonts w:hint="eastAsia"/>
          <w:iCs/>
          <w:snapToGrid w:val="0"/>
          <w:color w:val="auto"/>
          <w:kern w:val="0"/>
          <w:sz w:val="24"/>
          <w:highlight w:val="none"/>
        </w:rPr>
        <w:t>发生泄漏，达到报警范围，立刻停止反应，系统</w:t>
      </w:r>
      <w:r>
        <w:rPr>
          <w:rFonts w:hint="eastAsia"/>
          <w:iCs/>
          <w:snapToGrid w:val="0"/>
          <w:color w:val="auto"/>
          <w:kern w:val="0"/>
          <w:sz w:val="24"/>
          <w:highlight w:val="none"/>
          <w:lang w:eastAsia="zh-CN"/>
        </w:rPr>
        <w:t>联锁</w:t>
      </w:r>
      <w:r>
        <w:rPr>
          <w:rFonts w:hint="eastAsia"/>
          <w:iCs/>
          <w:snapToGrid w:val="0"/>
          <w:color w:val="auto"/>
          <w:kern w:val="0"/>
          <w:sz w:val="24"/>
          <w:highlight w:val="none"/>
        </w:rPr>
        <w:t>切断紧急停车。</w:t>
      </w:r>
    </w:p>
    <w:p w14:paraId="29C22B3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3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③</w:t>
      </w:r>
      <w:r>
        <w:rPr>
          <w:rFonts w:hint="eastAsia"/>
          <w:iCs/>
          <w:snapToGrid w:val="0"/>
          <w:color w:val="auto"/>
          <w:kern w:val="0"/>
          <w:sz w:val="24"/>
          <w:highlight w:val="none"/>
        </w:rPr>
        <w:fldChar w:fldCharType="end"/>
      </w:r>
      <w:r>
        <w:rPr>
          <w:rFonts w:hint="eastAsia"/>
          <w:iCs/>
          <w:snapToGrid w:val="0"/>
          <w:color w:val="auto"/>
          <w:kern w:val="0"/>
          <w:sz w:val="24"/>
          <w:highlight w:val="none"/>
        </w:rPr>
        <w:t>在装置区、罐区设置危险化学品职业病危害告知卡。</w:t>
      </w:r>
    </w:p>
    <w:p w14:paraId="203273B0">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4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④</w:t>
      </w:r>
      <w:r>
        <w:rPr>
          <w:rFonts w:hint="eastAsia"/>
          <w:iCs/>
          <w:snapToGrid w:val="0"/>
          <w:color w:val="auto"/>
          <w:kern w:val="0"/>
          <w:sz w:val="24"/>
          <w:highlight w:val="none"/>
        </w:rPr>
        <w:fldChar w:fldCharType="end"/>
      </w:r>
      <w:r>
        <w:rPr>
          <w:rFonts w:hint="eastAsia"/>
          <w:iCs/>
          <w:snapToGrid w:val="0"/>
          <w:color w:val="auto"/>
          <w:kern w:val="0"/>
          <w:sz w:val="24"/>
          <w:highlight w:val="none"/>
        </w:rPr>
        <w:t>至各生产装置外管采用架空布置，外管跨越主干道净标高为5米，距道路边间距大于1.0米，有毒介质物料不设埋地管。</w:t>
      </w:r>
    </w:p>
    <w:p w14:paraId="0C090352">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（4）防腐蚀措施</w:t>
      </w:r>
    </w:p>
    <w:p w14:paraId="5235DBE5">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本项目涉及浓硫酸等腐蚀性介质，在生产和储存过程中，采用了抗腐蚀材质设备和管道。</w:t>
      </w:r>
    </w:p>
    <w:p w14:paraId="624D5AB7">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①保温管道防腐：手工或动力工具除锈达到St2级，表面涂环氧类铁红底漆2道，并耐相应高温。</w:t>
      </w:r>
    </w:p>
    <w:p w14:paraId="6DD09D7B">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②不保温管道防腐：手工或动力工具除锈达到St2级，表面涂环氧煤焦油底漆2道面漆2道。</w:t>
      </w:r>
    </w:p>
    <w:p w14:paraId="14886BA2">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③埋地管道防腐：施工前应先对钢管进行除锈并达到st3级，埋地管道采用环氧煤沥青加强级防腐（底漆-面漆-玻璃丝布-面漆-玻璃丝布-面漆-玻璃丝布-面漆-面漆）涂层厚度≥0.6mm。</w:t>
      </w:r>
    </w:p>
    <w:p w14:paraId="2C04B033">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4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④</w:t>
      </w:r>
      <w:r>
        <w:rPr>
          <w:rFonts w:hint="eastAsia"/>
          <w:iCs/>
          <w:snapToGrid w:val="0"/>
          <w:color w:val="auto"/>
          <w:kern w:val="0"/>
          <w:sz w:val="24"/>
          <w:highlight w:val="none"/>
        </w:rPr>
        <w:fldChar w:fldCharType="end"/>
      </w:r>
      <w:r>
        <w:rPr>
          <w:rFonts w:hint="eastAsia"/>
          <w:iCs/>
          <w:snapToGrid w:val="0"/>
          <w:color w:val="auto"/>
          <w:kern w:val="0"/>
          <w:sz w:val="24"/>
          <w:highlight w:val="none"/>
        </w:rPr>
        <w:t>有腐蚀介质的区域内所有电气设备均选用防腐型，防腐等级WF2（室外）或F2（室内）。电缆在电缆沟内敷设时，避开可能遭受化学液体腐蚀的场所，采用电缆桥架敷设时，电缆桥架选用玻璃钢材质并远离有腐蚀性释放源的管线。</w:t>
      </w:r>
    </w:p>
    <w:p w14:paraId="453E21A4">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5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⑤</w:t>
      </w:r>
      <w:r>
        <w:rPr>
          <w:rFonts w:hint="eastAsia"/>
          <w:iCs/>
          <w:snapToGrid w:val="0"/>
          <w:color w:val="auto"/>
          <w:kern w:val="0"/>
          <w:sz w:val="24"/>
          <w:highlight w:val="none"/>
        </w:rPr>
        <w:fldChar w:fldCharType="end"/>
      </w:r>
      <w:r>
        <w:rPr>
          <w:rFonts w:hint="eastAsia"/>
          <w:iCs/>
          <w:snapToGrid w:val="0"/>
          <w:color w:val="auto"/>
          <w:kern w:val="0"/>
          <w:sz w:val="24"/>
          <w:highlight w:val="none"/>
        </w:rPr>
        <w:t>腐蚀性介质管道在人行通道上方未设置法兰、螺纹连接，以避免影响操作人员安全。</w:t>
      </w:r>
    </w:p>
    <w:p w14:paraId="0CF5B22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6.3.7.4末端处置过程风险防范措施</w:t>
      </w:r>
    </w:p>
    <w:p w14:paraId="1515249B">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（1）大气环境影响事故防范措施</w:t>
      </w:r>
    </w:p>
    <w:p w14:paraId="4579A499">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1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①</w:t>
      </w:r>
      <w:r>
        <w:rPr>
          <w:rFonts w:hint="eastAsia"/>
          <w:iCs/>
          <w:snapToGrid w:val="0"/>
          <w:color w:val="auto"/>
          <w:kern w:val="0"/>
          <w:sz w:val="24"/>
          <w:highlight w:val="none"/>
        </w:rPr>
        <w:fldChar w:fldCharType="end"/>
      </w:r>
      <w:r>
        <w:rPr>
          <w:rFonts w:hint="eastAsia"/>
          <w:iCs/>
          <w:snapToGrid w:val="0"/>
          <w:color w:val="auto"/>
          <w:kern w:val="0"/>
          <w:sz w:val="24"/>
          <w:highlight w:val="none"/>
        </w:rPr>
        <w:t>企业领导应</w:t>
      </w:r>
      <w:r>
        <w:rPr>
          <w:rFonts w:hint="eastAsia"/>
          <w:iCs/>
          <w:snapToGrid w:val="0"/>
          <w:color w:val="auto"/>
          <w:kern w:val="0"/>
          <w:sz w:val="24"/>
          <w:highlight w:val="none"/>
          <w:lang w:eastAsia="zh-CN"/>
        </w:rPr>
        <w:t>增强</w:t>
      </w:r>
      <w:r>
        <w:rPr>
          <w:rFonts w:hint="eastAsia"/>
          <w:iCs/>
          <w:snapToGrid w:val="0"/>
          <w:color w:val="auto"/>
          <w:kern w:val="0"/>
          <w:sz w:val="24"/>
          <w:highlight w:val="none"/>
        </w:rPr>
        <w:t>环保意识，要求配置的各项环保措施必须与主体工程“三同时”，杜绝先生产、后治理。加强对设施的维护及检修，坚持日巡查制度，发现事故隐患及时处理。</w:t>
      </w:r>
    </w:p>
    <w:p w14:paraId="2719BAF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2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②</w:t>
      </w:r>
      <w:r>
        <w:rPr>
          <w:rFonts w:hint="eastAsia"/>
          <w:iCs/>
          <w:snapToGrid w:val="0"/>
          <w:color w:val="auto"/>
          <w:kern w:val="0"/>
          <w:sz w:val="24"/>
          <w:highlight w:val="none"/>
        </w:rPr>
        <w:fldChar w:fldCharType="end"/>
      </w:r>
      <w:r>
        <w:rPr>
          <w:rFonts w:hint="eastAsia"/>
          <w:iCs/>
          <w:snapToGrid w:val="0"/>
          <w:color w:val="auto"/>
          <w:kern w:val="0"/>
          <w:sz w:val="24"/>
          <w:highlight w:val="none"/>
        </w:rPr>
        <w:t>设置柴油发电机备用电源，一旦发生罐区</w:t>
      </w:r>
      <w:r>
        <w:rPr>
          <w:rFonts w:hint="eastAsia"/>
          <w:iCs/>
          <w:snapToGrid w:val="0"/>
          <w:color w:val="auto"/>
          <w:kern w:val="0"/>
          <w:sz w:val="24"/>
          <w:highlight w:val="none"/>
          <w:lang w:eastAsia="zh-CN"/>
        </w:rPr>
        <w:t>泄漏</w:t>
      </w:r>
      <w:r>
        <w:rPr>
          <w:rFonts w:hint="eastAsia"/>
          <w:iCs/>
          <w:snapToGrid w:val="0"/>
          <w:color w:val="auto"/>
          <w:kern w:val="0"/>
          <w:sz w:val="24"/>
          <w:highlight w:val="none"/>
        </w:rPr>
        <w:t>出现故障停运，应立即停止生产，待修复好后恢复生产。</w:t>
      </w:r>
    </w:p>
    <w:p w14:paraId="39A220FE">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3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③</w:t>
      </w:r>
      <w:r>
        <w:rPr>
          <w:rFonts w:hint="eastAsia"/>
          <w:iCs/>
          <w:snapToGrid w:val="0"/>
          <w:color w:val="auto"/>
          <w:kern w:val="0"/>
          <w:sz w:val="24"/>
          <w:highlight w:val="none"/>
        </w:rPr>
        <w:fldChar w:fldCharType="end"/>
      </w:r>
      <w:r>
        <w:rPr>
          <w:rFonts w:hint="eastAsia"/>
          <w:iCs/>
          <w:snapToGrid w:val="0"/>
          <w:color w:val="auto"/>
          <w:kern w:val="0"/>
          <w:sz w:val="24"/>
          <w:highlight w:val="none"/>
        </w:rPr>
        <w:t>企业应加强设备管理，确保设备完好。应制订严格的操作、管理制度，工作人员应培训上岗，并经常检查，防止跑冒滴漏发生。</w:t>
      </w:r>
    </w:p>
    <w:p w14:paraId="5D6AB5CF">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④对贮罐区采取定时巡查和定期检修制度，一旦发现隐患及时处理，避免扩大事故。</w:t>
      </w:r>
    </w:p>
    <w:p w14:paraId="732D9DCA">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fldChar w:fldCharType="begin"/>
      </w:r>
      <w:r>
        <w:rPr>
          <w:rFonts w:hint="eastAsia"/>
          <w:iCs/>
          <w:snapToGrid w:val="0"/>
          <w:color w:val="auto"/>
          <w:kern w:val="0"/>
          <w:sz w:val="24"/>
          <w:highlight w:val="none"/>
        </w:rPr>
        <w:instrText xml:space="preserve"> = 5 \* GB3 \* MERGEFORMAT </w:instrText>
      </w:r>
      <w:r>
        <w:rPr>
          <w:rFonts w:hint="eastAsia"/>
          <w:iCs/>
          <w:snapToGrid w:val="0"/>
          <w:color w:val="auto"/>
          <w:kern w:val="0"/>
          <w:sz w:val="24"/>
          <w:highlight w:val="none"/>
        </w:rPr>
        <w:fldChar w:fldCharType="separate"/>
      </w:r>
      <w:r>
        <w:rPr>
          <w:rFonts w:hint="eastAsia"/>
          <w:iCs/>
          <w:snapToGrid w:val="0"/>
          <w:color w:val="auto"/>
          <w:kern w:val="0"/>
          <w:sz w:val="24"/>
          <w:highlight w:val="none"/>
        </w:rPr>
        <w:t>⑤</w:t>
      </w:r>
      <w:r>
        <w:rPr>
          <w:rFonts w:hint="eastAsia"/>
          <w:iCs/>
          <w:snapToGrid w:val="0"/>
          <w:color w:val="auto"/>
          <w:kern w:val="0"/>
          <w:sz w:val="24"/>
          <w:highlight w:val="none"/>
        </w:rPr>
        <w:fldChar w:fldCharType="end"/>
      </w:r>
      <w:r>
        <w:rPr>
          <w:rFonts w:hint="eastAsia"/>
          <w:iCs/>
          <w:snapToGrid w:val="0"/>
          <w:color w:val="auto"/>
          <w:kern w:val="0"/>
          <w:sz w:val="24"/>
          <w:highlight w:val="none"/>
        </w:rPr>
        <w:t>根据储罐泄漏情况，设置警戒线，撤离警戒线内与事故处理无关的人员。</w:t>
      </w:r>
    </w:p>
    <w:p w14:paraId="5987D703">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（2）废水事故风险防范措施</w:t>
      </w:r>
    </w:p>
    <w:p w14:paraId="44ABC02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为了保证污水处理工程的稳定运行，本次依托现有工程7000m</w:t>
      </w:r>
      <w:r>
        <w:rPr>
          <w:rFonts w:hint="eastAsia"/>
          <w:iCs/>
          <w:snapToGrid w:val="0"/>
          <w:color w:val="auto"/>
          <w:kern w:val="0"/>
          <w:sz w:val="24"/>
          <w:highlight w:val="none"/>
          <w:vertAlign w:val="superscript"/>
        </w:rPr>
        <w:t>3</w:t>
      </w:r>
      <w:r>
        <w:rPr>
          <w:rFonts w:hint="eastAsia"/>
          <w:iCs/>
          <w:snapToGrid w:val="0"/>
          <w:color w:val="auto"/>
          <w:kern w:val="0"/>
          <w:sz w:val="24"/>
          <w:highlight w:val="none"/>
        </w:rPr>
        <w:t>事故池。</w:t>
      </w:r>
    </w:p>
    <w:p w14:paraId="1A978E4A">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厂区内采取三级防控体系，防控体系由：一级措施（设置防火堤、围堰）；二级措施（</w:t>
      </w:r>
      <w:r>
        <w:rPr>
          <w:rFonts w:hint="eastAsia"/>
          <w:iCs/>
          <w:snapToGrid w:val="0"/>
          <w:color w:val="auto"/>
          <w:kern w:val="0"/>
          <w:sz w:val="24"/>
          <w:highlight w:val="none"/>
          <w:lang w:val="en-US" w:eastAsia="zh-CN"/>
        </w:rPr>
        <w:t>厂区事故</w:t>
      </w:r>
      <w:r>
        <w:rPr>
          <w:rFonts w:hint="eastAsia"/>
          <w:iCs/>
          <w:snapToGrid w:val="0"/>
          <w:color w:val="auto"/>
          <w:kern w:val="0"/>
          <w:sz w:val="24"/>
          <w:highlight w:val="none"/>
        </w:rPr>
        <w:t>水池）；三级措施（</w:t>
      </w:r>
      <w:r>
        <w:rPr>
          <w:rFonts w:hint="eastAsia"/>
          <w:iCs/>
          <w:snapToGrid w:val="0"/>
          <w:color w:val="auto"/>
          <w:kern w:val="0"/>
          <w:sz w:val="24"/>
          <w:highlight w:val="none"/>
          <w:lang w:val="en-US" w:eastAsia="zh-CN"/>
        </w:rPr>
        <w:t>园区污水处理厂</w:t>
      </w:r>
      <w:r>
        <w:rPr>
          <w:rFonts w:hint="eastAsia"/>
          <w:iCs/>
          <w:snapToGrid w:val="0"/>
          <w:color w:val="auto"/>
          <w:kern w:val="0"/>
          <w:sz w:val="24"/>
          <w:highlight w:val="none"/>
        </w:rPr>
        <w:t>）组成。</w:t>
      </w:r>
    </w:p>
    <w:p w14:paraId="4D55E005">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①一级防控措施：设置罐区防火堤、围堰。</w:t>
      </w:r>
    </w:p>
    <w:p w14:paraId="1B583E9A">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参照《</w:t>
      </w:r>
      <w:r>
        <w:rPr>
          <w:rFonts w:hint="eastAsia"/>
          <w:iCs/>
          <w:snapToGrid w:val="0"/>
          <w:color w:val="auto"/>
          <w:kern w:val="0"/>
          <w:sz w:val="24"/>
          <w:highlight w:val="none"/>
          <w:lang w:val="en-US" w:eastAsia="zh-CN"/>
        </w:rPr>
        <w:t>石油化工企业设计防火标准</w:t>
      </w:r>
      <w:r>
        <w:rPr>
          <w:rFonts w:hint="eastAsia"/>
          <w:iCs/>
          <w:snapToGrid w:val="0"/>
          <w:color w:val="auto"/>
          <w:kern w:val="0"/>
          <w:sz w:val="24"/>
          <w:highlight w:val="none"/>
        </w:rPr>
        <w:t>》（GB50160-2008）局部修订</w:t>
      </w:r>
      <w:r>
        <w:rPr>
          <w:rFonts w:hint="eastAsia"/>
          <w:iCs/>
          <w:snapToGrid w:val="0"/>
          <w:color w:val="auto"/>
          <w:kern w:val="0"/>
          <w:sz w:val="24"/>
          <w:highlight w:val="none"/>
          <w:lang w:val="en-US" w:eastAsia="zh-CN"/>
        </w:rPr>
        <w:t>条文</w:t>
      </w:r>
      <w:r>
        <w:rPr>
          <w:rFonts w:hint="eastAsia"/>
          <w:iCs/>
          <w:snapToGrid w:val="0"/>
          <w:color w:val="auto"/>
          <w:kern w:val="0"/>
          <w:sz w:val="24"/>
          <w:highlight w:val="none"/>
        </w:rPr>
        <w:t>第6.2.11 条和第6.2.12条“罐组应设防火堤。防火堤及隔堤内的有效容积应符合下列规定：1、防火堤内的有效容积不应小于罐组内1个最大储罐的容积，当浮顶罐组不能满足此要求时，应设置事故存液池储存剩余部分，但罐组防火堤内的有效容积不应小于罐组内1个最大储罐容积的一半；2、隔堤内有效容积不应小于隔堤内1个最大储罐容积的10%。”</w:t>
      </w:r>
    </w:p>
    <w:p w14:paraId="5A07C09C">
      <w:pPr>
        <w:adjustRightInd w:val="0"/>
        <w:snapToGrid w:val="0"/>
        <w:spacing w:line="360" w:lineRule="auto"/>
        <w:ind w:firstLine="480" w:firstLineChars="200"/>
        <w:rPr>
          <w:iCs/>
          <w:snapToGrid w:val="0"/>
          <w:color w:val="auto"/>
          <w:kern w:val="0"/>
          <w:sz w:val="24"/>
          <w:highlight w:val="none"/>
        </w:rPr>
      </w:pPr>
      <w:r>
        <w:rPr>
          <w:rFonts w:hint="eastAsia"/>
          <w:iCs/>
          <w:snapToGrid w:val="0"/>
          <w:color w:val="auto"/>
          <w:kern w:val="0"/>
          <w:sz w:val="24"/>
          <w:highlight w:val="none"/>
        </w:rPr>
        <w:t>②二级防控措施：事故池</w:t>
      </w:r>
    </w:p>
    <w:p w14:paraId="36F4EA0F">
      <w:pPr>
        <w:adjustRightInd w:val="0"/>
        <w:snapToGrid w:val="0"/>
        <w:spacing w:line="360" w:lineRule="auto"/>
        <w:ind w:firstLine="480" w:firstLineChars="200"/>
        <w:rPr>
          <w:rFonts w:hint="eastAsia" w:ascii="Times New Roman" w:hAnsi="Times New Roman" w:eastAsia="宋体" w:cs="Times New Roman"/>
          <w:b w:val="0"/>
          <w:iCs w:val="0"/>
          <w:snapToGrid w:val="0"/>
          <w:color w:val="auto"/>
          <w:spacing w:val="0"/>
          <w:kern w:val="0"/>
          <w:sz w:val="24"/>
          <w:szCs w:val="24"/>
          <w:highlight w:val="none"/>
        </w:rPr>
      </w:pPr>
      <w:r>
        <w:rPr>
          <w:rFonts w:hint="eastAsia" w:ascii="Times New Roman" w:hAnsi="Times New Roman" w:eastAsia="宋体" w:cs="Times New Roman"/>
          <w:b w:val="0"/>
          <w:iCs w:val="0"/>
          <w:snapToGrid w:val="0"/>
          <w:color w:val="auto"/>
          <w:spacing w:val="0"/>
          <w:kern w:val="0"/>
          <w:sz w:val="24"/>
          <w:szCs w:val="24"/>
          <w:highlight w:val="none"/>
        </w:rPr>
        <w:t>当发生较大事故，无法利用装置围堰、罐区围堤控制物料和污染消防水时，将事故污水排入现有工程事故池。</w:t>
      </w:r>
    </w:p>
    <w:p w14:paraId="35A3C362">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Times New Roman" w:hAnsi="Times New Roman" w:eastAsia="宋体" w:cs="Times New Roman"/>
          <w:b w:val="0"/>
          <w:iCs w:val="0"/>
          <w:color w:val="auto"/>
          <w:spacing w:val="0"/>
          <w:kern w:val="0"/>
          <w:sz w:val="24"/>
          <w:szCs w:val="24"/>
          <w:highlight w:val="none"/>
          <w:lang w:eastAsia="zh-CN"/>
        </w:rPr>
      </w:pPr>
      <w:r>
        <w:rPr>
          <w:rFonts w:hint="eastAsia" w:ascii="Times New Roman" w:hAnsi="Times New Roman" w:eastAsia="宋体" w:cs="Times New Roman"/>
          <w:b w:val="0"/>
          <w:iCs w:val="0"/>
          <w:color w:val="auto"/>
          <w:spacing w:val="0"/>
          <w:kern w:val="0"/>
          <w:sz w:val="24"/>
          <w:szCs w:val="24"/>
          <w:highlight w:val="none"/>
          <w:lang w:val="en-US" w:eastAsia="zh-CN"/>
        </w:rPr>
        <w:t>根据</w:t>
      </w:r>
      <w:r>
        <w:rPr>
          <w:rFonts w:hint="eastAsia" w:ascii="Times New Roman" w:hAnsi="Times New Roman" w:eastAsia="宋体" w:cs="Times New Roman"/>
          <w:b w:val="0"/>
          <w:iCs w:val="0"/>
          <w:color w:val="auto"/>
          <w:spacing w:val="0"/>
          <w:kern w:val="0"/>
          <w:sz w:val="24"/>
          <w:szCs w:val="24"/>
          <w:highlight w:val="none"/>
        </w:rPr>
        <w:t>《化工建设项目环境保护设计规范》（GB50483-2019）</w:t>
      </w:r>
      <w:r>
        <w:rPr>
          <w:rFonts w:hint="eastAsia" w:ascii="Times New Roman" w:hAnsi="Times New Roman" w:eastAsia="宋体" w:cs="Times New Roman"/>
          <w:b w:val="0"/>
          <w:iCs w:val="0"/>
          <w:color w:val="auto"/>
          <w:spacing w:val="0"/>
          <w:kern w:val="0"/>
          <w:sz w:val="24"/>
          <w:szCs w:val="24"/>
          <w:highlight w:val="none"/>
          <w:lang w:eastAsia="zh-CN"/>
        </w:rPr>
        <w:t>：关于应急事故水池的有效容积，应根据下列各种因素</w:t>
      </w:r>
    </w:p>
    <w:p w14:paraId="49F98CAF">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Times New Roman" w:hAnsi="Times New Roman" w:eastAsia="宋体" w:cs="Times New Roman"/>
          <w:b w:val="0"/>
          <w:iCs w:val="0"/>
          <w:color w:val="auto"/>
          <w:spacing w:val="0"/>
          <w:kern w:val="0"/>
          <w:sz w:val="24"/>
          <w:szCs w:val="24"/>
          <w:highlight w:val="none"/>
          <w:lang w:eastAsia="zh-CN"/>
        </w:rPr>
      </w:pPr>
      <w:r>
        <w:rPr>
          <w:rFonts w:hint="eastAsia" w:ascii="Times New Roman" w:hAnsi="Times New Roman" w:eastAsia="宋体" w:cs="Times New Roman"/>
          <w:b w:val="0"/>
          <w:iCs w:val="0"/>
          <w:color w:val="auto"/>
          <w:spacing w:val="0"/>
          <w:kern w:val="0"/>
          <w:sz w:val="24"/>
          <w:szCs w:val="24"/>
          <w:highlight w:val="none"/>
          <w:lang w:val="en-US" w:eastAsia="zh-CN"/>
        </w:rPr>
        <w:t>a</w:t>
      </w:r>
      <w:r>
        <w:rPr>
          <w:rFonts w:hint="eastAsia" w:ascii="Times New Roman" w:hAnsi="Times New Roman" w:eastAsia="宋体" w:cs="Times New Roman"/>
          <w:b w:val="0"/>
          <w:iCs w:val="0"/>
          <w:color w:val="auto"/>
          <w:spacing w:val="0"/>
          <w:kern w:val="0"/>
          <w:sz w:val="24"/>
          <w:szCs w:val="24"/>
          <w:highlight w:val="none"/>
          <w:lang w:eastAsia="zh-CN"/>
        </w:rPr>
        <w:t>最大容积的一台设备或贮罐的物料贮量；</w:t>
      </w:r>
    </w:p>
    <w:p w14:paraId="4E5D4E61">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Times New Roman" w:hAnsi="Times New Roman" w:eastAsia="宋体" w:cs="Times New Roman"/>
          <w:b w:val="0"/>
          <w:iCs w:val="0"/>
          <w:color w:val="auto"/>
          <w:spacing w:val="0"/>
          <w:kern w:val="0"/>
          <w:sz w:val="24"/>
          <w:szCs w:val="24"/>
          <w:highlight w:val="none"/>
          <w:lang w:eastAsia="zh-CN"/>
        </w:rPr>
      </w:pPr>
      <w:r>
        <w:rPr>
          <w:rFonts w:hint="eastAsia" w:ascii="Times New Roman" w:hAnsi="Times New Roman" w:eastAsia="宋体" w:cs="Times New Roman"/>
          <w:b w:val="0"/>
          <w:iCs w:val="0"/>
          <w:color w:val="auto"/>
          <w:spacing w:val="0"/>
          <w:kern w:val="0"/>
          <w:sz w:val="24"/>
          <w:szCs w:val="24"/>
          <w:highlight w:val="none"/>
          <w:lang w:val="en-US" w:eastAsia="zh-CN"/>
        </w:rPr>
        <w:t>b</w:t>
      </w:r>
      <w:r>
        <w:rPr>
          <w:rFonts w:hint="eastAsia" w:ascii="Times New Roman" w:hAnsi="Times New Roman" w:eastAsia="宋体" w:cs="Times New Roman"/>
          <w:b w:val="0"/>
          <w:iCs w:val="0"/>
          <w:color w:val="auto"/>
          <w:spacing w:val="0"/>
          <w:kern w:val="0"/>
          <w:sz w:val="24"/>
          <w:szCs w:val="24"/>
          <w:highlight w:val="none"/>
          <w:lang w:eastAsia="zh-CN"/>
        </w:rPr>
        <w:t>在装置区或贮罐区发生火灾时的消防水量，包括扑灭火灾所需用水量或泡沫液量和保护邻近设备或贮罐的喷淋冷却水量；</w:t>
      </w:r>
    </w:p>
    <w:p w14:paraId="66796464">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Times New Roman" w:hAnsi="Times New Roman" w:eastAsia="宋体" w:cs="Times New Roman"/>
          <w:b w:val="0"/>
          <w:iCs w:val="0"/>
          <w:color w:val="auto"/>
          <w:spacing w:val="0"/>
          <w:kern w:val="0"/>
          <w:sz w:val="24"/>
          <w:szCs w:val="24"/>
          <w:highlight w:val="none"/>
          <w:lang w:eastAsia="zh-CN"/>
        </w:rPr>
      </w:pPr>
      <w:r>
        <w:rPr>
          <w:rFonts w:hint="eastAsia" w:ascii="Times New Roman" w:hAnsi="Times New Roman" w:eastAsia="宋体" w:cs="Times New Roman"/>
          <w:b w:val="0"/>
          <w:iCs w:val="0"/>
          <w:color w:val="auto"/>
          <w:spacing w:val="0"/>
          <w:kern w:val="0"/>
          <w:sz w:val="24"/>
          <w:szCs w:val="24"/>
          <w:highlight w:val="none"/>
          <w:lang w:val="en-US" w:eastAsia="zh-CN"/>
        </w:rPr>
        <w:t>c</w:t>
      </w:r>
      <w:r>
        <w:rPr>
          <w:rFonts w:hint="eastAsia" w:ascii="Times New Roman" w:hAnsi="Times New Roman" w:eastAsia="宋体" w:cs="Times New Roman"/>
          <w:b w:val="0"/>
          <w:iCs w:val="0"/>
          <w:color w:val="auto"/>
          <w:spacing w:val="0"/>
          <w:kern w:val="0"/>
          <w:sz w:val="24"/>
          <w:szCs w:val="24"/>
          <w:highlight w:val="none"/>
          <w:lang w:eastAsia="zh-CN"/>
        </w:rPr>
        <w:t>事故期间混入事故废水收集系统的降雨量。</w:t>
      </w:r>
    </w:p>
    <w:p w14:paraId="36C0A6B0">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Times New Roman" w:hAnsi="Times New Roman" w:eastAsia="宋体" w:cs="Times New Roman"/>
          <w:b w:val="0"/>
          <w:iCs w:val="0"/>
          <w:color w:val="auto"/>
          <w:spacing w:val="0"/>
          <w:kern w:val="0"/>
          <w:sz w:val="24"/>
          <w:szCs w:val="24"/>
          <w:highlight w:val="none"/>
          <w:lang w:eastAsia="zh-CN"/>
        </w:rPr>
      </w:pPr>
      <w:r>
        <w:rPr>
          <w:rFonts w:hint="eastAsia" w:ascii="Times New Roman" w:hAnsi="Times New Roman" w:eastAsia="宋体" w:cs="Times New Roman"/>
          <w:b w:val="0"/>
          <w:iCs w:val="0"/>
          <w:color w:val="auto"/>
          <w:spacing w:val="0"/>
          <w:kern w:val="0"/>
          <w:sz w:val="24"/>
          <w:szCs w:val="24"/>
          <w:highlight w:val="none"/>
          <w:lang w:eastAsia="zh-CN"/>
        </w:rPr>
        <w:t>以上三项之和减去相关围堰、环沟、管道等可以暂存事故废水的设施的有效容积，即可作为应急事故水池的有效容积。</w:t>
      </w:r>
    </w:p>
    <w:p w14:paraId="5160F213">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ascii="Times New Roman" w:hAnsi="Times New Roman" w:eastAsia="宋体" w:cs="Times New Roman"/>
          <w:b w:val="0"/>
          <w:iCs w:val="0"/>
          <w:color w:val="auto"/>
          <w:spacing w:val="0"/>
          <w:kern w:val="0"/>
          <w:sz w:val="24"/>
          <w:szCs w:val="24"/>
          <w:highlight w:val="none"/>
        </w:rPr>
      </w:pPr>
      <w:r>
        <w:rPr>
          <w:rFonts w:hint="eastAsia" w:ascii="Times New Roman" w:hAnsi="Times New Roman" w:eastAsia="宋体" w:cs="Times New Roman"/>
          <w:b w:val="0"/>
          <w:iCs w:val="0"/>
          <w:color w:val="auto"/>
          <w:spacing w:val="0"/>
          <w:kern w:val="0"/>
          <w:sz w:val="24"/>
          <w:szCs w:val="24"/>
          <w:highlight w:val="none"/>
          <w:lang w:val="en-US" w:eastAsia="zh-CN"/>
        </w:rPr>
        <w:t>本</w:t>
      </w:r>
      <w:r>
        <w:rPr>
          <w:rFonts w:hint="eastAsia" w:ascii="Times New Roman" w:hAnsi="Times New Roman" w:eastAsia="宋体" w:cs="Times New Roman"/>
          <w:b w:val="0"/>
          <w:iCs w:val="0"/>
          <w:color w:val="auto"/>
          <w:spacing w:val="0"/>
          <w:kern w:val="0"/>
          <w:sz w:val="24"/>
          <w:szCs w:val="24"/>
          <w:highlight w:val="none"/>
        </w:rPr>
        <w:t>项目</w:t>
      </w:r>
      <w:r>
        <w:rPr>
          <w:rFonts w:hint="eastAsia" w:ascii="Times New Roman" w:hAnsi="Times New Roman" w:eastAsia="宋体" w:cs="Times New Roman"/>
          <w:b w:val="0"/>
          <w:iCs w:val="0"/>
          <w:color w:val="auto"/>
          <w:spacing w:val="0"/>
          <w:kern w:val="0"/>
          <w:sz w:val="24"/>
          <w:szCs w:val="24"/>
          <w:highlight w:val="none"/>
          <w:lang w:val="en-US" w:eastAsia="zh-CN"/>
        </w:rPr>
        <w:t>设计</w:t>
      </w:r>
      <w:r>
        <w:rPr>
          <w:rFonts w:hint="eastAsia" w:ascii="Times New Roman" w:hAnsi="Times New Roman" w:eastAsia="宋体" w:cs="Times New Roman"/>
          <w:b w:val="0"/>
          <w:iCs w:val="0"/>
          <w:color w:val="auto"/>
          <w:spacing w:val="0"/>
          <w:kern w:val="0"/>
          <w:sz w:val="24"/>
          <w:szCs w:val="24"/>
          <w:highlight w:val="none"/>
        </w:rPr>
        <w:t>消防水量为</w:t>
      </w:r>
      <w:r>
        <w:rPr>
          <w:rFonts w:hint="eastAsia" w:ascii="Times New Roman" w:hAnsi="Times New Roman" w:eastAsia="宋体" w:cs="Times New Roman"/>
          <w:b w:val="0"/>
          <w:iCs w:val="0"/>
          <w:color w:val="auto"/>
          <w:spacing w:val="0"/>
          <w:kern w:val="0"/>
          <w:sz w:val="24"/>
          <w:szCs w:val="24"/>
          <w:highlight w:val="none"/>
          <w:lang w:val="en-US" w:eastAsia="zh-CN"/>
        </w:rPr>
        <w:t>2000</w:t>
      </w:r>
      <w:r>
        <w:rPr>
          <w:rFonts w:hint="eastAsia" w:ascii="Times New Roman" w:hAnsi="Times New Roman" w:eastAsia="宋体" w:cs="Times New Roman"/>
          <w:b w:val="0"/>
          <w:iCs w:val="0"/>
          <w:color w:val="auto"/>
          <w:spacing w:val="0"/>
          <w:kern w:val="0"/>
          <w:sz w:val="24"/>
          <w:szCs w:val="24"/>
          <w:highlight w:val="none"/>
        </w:rPr>
        <w:t>m³。</w:t>
      </w:r>
    </w:p>
    <w:p w14:paraId="485500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事故储存设施总有效容积计算公式为：</w:t>
      </w:r>
    </w:p>
    <w:p w14:paraId="7168A94E">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Times New Roman" w:hAnsi="Times New Roman" w:eastAsia="宋体" w:cs="Times New Roman"/>
          <w:b w:val="0"/>
          <w:iCs w:val="0"/>
          <w:color w:val="auto"/>
          <w:spacing w:val="0"/>
          <w:kern w:val="0"/>
          <w:sz w:val="24"/>
          <w:szCs w:val="24"/>
          <w:highlight w:val="none"/>
          <w:vertAlign w:val="subscript"/>
          <w:lang w:val="en-US" w:eastAsia="zh-CN"/>
        </w:rPr>
      </w:pPr>
      <w:r>
        <w:rPr>
          <w:rFonts w:ascii="Times New Roman" w:hAnsi="Times New Roman" w:eastAsia="宋体" w:cs="Times New Roman"/>
          <w:b w:val="0"/>
          <w:iCs w:val="0"/>
          <w:color w:val="auto"/>
          <w:spacing w:val="0"/>
          <w:kern w:val="0"/>
          <w:sz w:val="24"/>
          <w:szCs w:val="24"/>
          <w:highlight w:val="none"/>
        </w:rPr>
        <w:t>V</w:t>
      </w:r>
      <w:r>
        <w:rPr>
          <w:rFonts w:ascii="Times New Roman" w:hAnsi="Times New Roman" w:eastAsia="宋体" w:cs="Times New Roman"/>
          <w:b w:val="0"/>
          <w:iCs w:val="0"/>
          <w:color w:val="auto"/>
          <w:spacing w:val="0"/>
          <w:kern w:val="0"/>
          <w:sz w:val="24"/>
          <w:szCs w:val="24"/>
          <w:highlight w:val="none"/>
          <w:vertAlign w:val="subscript"/>
        </w:rPr>
        <w:t>总</w:t>
      </w:r>
      <w:r>
        <w:rPr>
          <w:rFonts w:ascii="Times New Roman" w:hAnsi="Times New Roman" w:eastAsia="宋体" w:cs="Times New Roman"/>
          <w:b w:val="0"/>
          <w:iCs w:val="0"/>
          <w:color w:val="auto"/>
          <w:spacing w:val="0"/>
          <w:kern w:val="0"/>
          <w:sz w:val="24"/>
          <w:szCs w:val="24"/>
          <w:highlight w:val="none"/>
        </w:rPr>
        <w:t>=V</w:t>
      </w:r>
      <w:r>
        <w:rPr>
          <w:rFonts w:ascii="Times New Roman" w:hAnsi="Times New Roman" w:eastAsia="宋体" w:cs="Times New Roman"/>
          <w:b w:val="0"/>
          <w:iCs w:val="0"/>
          <w:color w:val="auto"/>
          <w:spacing w:val="0"/>
          <w:kern w:val="0"/>
          <w:sz w:val="24"/>
          <w:szCs w:val="24"/>
          <w:highlight w:val="none"/>
          <w:vertAlign w:val="subscript"/>
        </w:rPr>
        <w:t>1</w:t>
      </w:r>
      <w:r>
        <w:rPr>
          <w:rFonts w:ascii="Times New Roman" w:hAnsi="Times New Roman" w:eastAsia="宋体" w:cs="Times New Roman"/>
          <w:b w:val="0"/>
          <w:iCs w:val="0"/>
          <w:color w:val="auto"/>
          <w:spacing w:val="0"/>
          <w:kern w:val="0"/>
          <w:sz w:val="24"/>
          <w:szCs w:val="24"/>
          <w:highlight w:val="none"/>
        </w:rPr>
        <w:t xml:space="preserve"> + V</w:t>
      </w:r>
      <w:r>
        <w:rPr>
          <w:rFonts w:ascii="Times New Roman" w:hAnsi="Times New Roman" w:eastAsia="宋体" w:cs="Times New Roman"/>
          <w:b w:val="0"/>
          <w:iCs w:val="0"/>
          <w:color w:val="auto"/>
          <w:spacing w:val="0"/>
          <w:kern w:val="0"/>
          <w:sz w:val="24"/>
          <w:szCs w:val="24"/>
          <w:highlight w:val="none"/>
          <w:vertAlign w:val="subscript"/>
        </w:rPr>
        <w:t>2</w:t>
      </w:r>
      <w:r>
        <w:rPr>
          <w:rFonts w:ascii="Times New Roman" w:hAnsi="Times New Roman" w:eastAsia="宋体" w:cs="Times New Roman"/>
          <w:b w:val="0"/>
          <w:iCs w:val="0"/>
          <w:color w:val="auto"/>
          <w:spacing w:val="0"/>
          <w:kern w:val="0"/>
          <w:sz w:val="24"/>
          <w:szCs w:val="24"/>
          <w:highlight w:val="none"/>
        </w:rPr>
        <w:t xml:space="preserve"> + V</w:t>
      </w:r>
      <w:r>
        <w:rPr>
          <w:rFonts w:ascii="Times New Roman" w:hAnsi="Times New Roman" w:eastAsia="宋体" w:cs="Times New Roman"/>
          <w:b w:val="0"/>
          <w:iCs w:val="0"/>
          <w:color w:val="auto"/>
          <w:spacing w:val="0"/>
          <w:kern w:val="0"/>
          <w:sz w:val="24"/>
          <w:szCs w:val="24"/>
          <w:highlight w:val="none"/>
          <w:vertAlign w:val="subscript"/>
        </w:rPr>
        <w:t>3</w:t>
      </w:r>
      <w:r>
        <w:rPr>
          <w:rFonts w:ascii="Times New Roman" w:hAnsi="Times New Roman" w:eastAsia="宋体" w:cs="Times New Roman"/>
          <w:b w:val="0"/>
          <w:iCs w:val="0"/>
          <w:color w:val="auto"/>
          <w:spacing w:val="0"/>
          <w:kern w:val="0"/>
          <w:sz w:val="24"/>
          <w:szCs w:val="24"/>
          <w:highlight w:val="none"/>
        </w:rPr>
        <w:t>- V</w:t>
      </w:r>
      <w:r>
        <w:rPr>
          <w:rFonts w:hint="eastAsia" w:ascii="Times New Roman" w:hAnsi="Times New Roman" w:eastAsia="宋体" w:cs="Times New Roman"/>
          <w:b w:val="0"/>
          <w:iCs w:val="0"/>
          <w:color w:val="auto"/>
          <w:spacing w:val="0"/>
          <w:kern w:val="0"/>
          <w:sz w:val="24"/>
          <w:szCs w:val="24"/>
          <w:highlight w:val="none"/>
          <w:vertAlign w:val="subscript"/>
          <w:lang w:val="en-US" w:eastAsia="zh-CN"/>
        </w:rPr>
        <w:t>4</w:t>
      </w:r>
    </w:p>
    <w:p w14:paraId="3E1226E2">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V</w:t>
      </w:r>
      <w:r>
        <w:rPr>
          <w:rFonts w:ascii="Times New Roman" w:hAnsi="Times New Roman" w:eastAsia="宋体" w:cs="Times New Roman"/>
          <w:b w:val="0"/>
          <w:iCs w:val="0"/>
          <w:color w:val="auto"/>
          <w:spacing w:val="0"/>
          <w:kern w:val="0"/>
          <w:sz w:val="24"/>
          <w:szCs w:val="24"/>
          <w:highlight w:val="none"/>
          <w:vertAlign w:val="subscript"/>
        </w:rPr>
        <w:t>2</w:t>
      </w:r>
      <w:r>
        <w:rPr>
          <w:rFonts w:ascii="Times New Roman" w:hAnsi="Times New Roman" w:eastAsia="宋体" w:cs="Times New Roman"/>
          <w:b w:val="0"/>
          <w:iCs w:val="0"/>
          <w:color w:val="auto"/>
          <w:spacing w:val="0"/>
          <w:kern w:val="0"/>
          <w:sz w:val="24"/>
          <w:szCs w:val="24"/>
          <w:highlight w:val="none"/>
        </w:rPr>
        <w:t>=∑Q</w:t>
      </w:r>
      <w:r>
        <w:rPr>
          <w:rFonts w:ascii="Times New Roman" w:hAnsi="Times New Roman" w:eastAsia="宋体" w:cs="Times New Roman"/>
          <w:b w:val="0"/>
          <w:iCs w:val="0"/>
          <w:color w:val="auto"/>
          <w:spacing w:val="0"/>
          <w:kern w:val="0"/>
          <w:sz w:val="24"/>
          <w:szCs w:val="24"/>
          <w:highlight w:val="none"/>
          <w:vertAlign w:val="subscript"/>
        </w:rPr>
        <w:t>消</w:t>
      </w:r>
      <w:r>
        <w:rPr>
          <w:rFonts w:ascii="Times New Roman" w:hAnsi="Times New Roman" w:eastAsia="宋体" w:cs="Times New Roman"/>
          <w:b w:val="0"/>
          <w:iCs w:val="0"/>
          <w:color w:val="auto"/>
          <w:spacing w:val="0"/>
          <w:kern w:val="0"/>
          <w:sz w:val="24"/>
          <w:szCs w:val="24"/>
          <w:highlight w:val="none"/>
        </w:rPr>
        <w:t>t</w:t>
      </w:r>
      <w:r>
        <w:rPr>
          <w:rFonts w:ascii="Times New Roman" w:hAnsi="Times New Roman" w:eastAsia="宋体" w:cs="Times New Roman"/>
          <w:b w:val="0"/>
          <w:iCs w:val="0"/>
          <w:color w:val="auto"/>
          <w:spacing w:val="0"/>
          <w:kern w:val="0"/>
          <w:sz w:val="24"/>
          <w:szCs w:val="24"/>
          <w:highlight w:val="none"/>
          <w:vertAlign w:val="subscript"/>
        </w:rPr>
        <w:t>消</w:t>
      </w:r>
      <w:r>
        <w:rPr>
          <w:rFonts w:ascii="Times New Roman" w:hAnsi="Times New Roman" w:eastAsia="宋体" w:cs="Times New Roman"/>
          <w:b w:val="0"/>
          <w:iCs w:val="0"/>
          <w:color w:val="auto"/>
          <w:spacing w:val="0"/>
          <w:kern w:val="0"/>
          <w:sz w:val="24"/>
          <w:szCs w:val="24"/>
          <w:highlight w:val="none"/>
        </w:rPr>
        <w:t>；</w:t>
      </w:r>
    </w:p>
    <w:p w14:paraId="17F824C8">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V</w:t>
      </w:r>
      <w:r>
        <w:rPr>
          <w:rFonts w:hint="eastAsia" w:ascii="Times New Roman" w:hAnsi="Times New Roman" w:eastAsia="宋体" w:cs="Times New Roman"/>
          <w:b w:val="0"/>
          <w:iCs w:val="0"/>
          <w:color w:val="auto"/>
          <w:spacing w:val="0"/>
          <w:kern w:val="0"/>
          <w:sz w:val="24"/>
          <w:szCs w:val="24"/>
          <w:highlight w:val="none"/>
          <w:vertAlign w:val="subscript"/>
          <w:lang w:val="en-US" w:eastAsia="zh-CN"/>
        </w:rPr>
        <w:t>3</w:t>
      </w:r>
      <w:r>
        <w:rPr>
          <w:rFonts w:ascii="Times New Roman" w:hAnsi="Times New Roman" w:eastAsia="宋体" w:cs="Times New Roman"/>
          <w:b w:val="0"/>
          <w:iCs w:val="0"/>
          <w:color w:val="auto"/>
          <w:spacing w:val="0"/>
          <w:kern w:val="0"/>
          <w:sz w:val="24"/>
          <w:szCs w:val="24"/>
          <w:highlight w:val="none"/>
        </w:rPr>
        <w:t>=10qF；</w:t>
      </w:r>
    </w:p>
    <w:p w14:paraId="040BFA39">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q=q</w:t>
      </w:r>
      <w:r>
        <w:rPr>
          <w:rFonts w:ascii="Times New Roman" w:hAnsi="Times New Roman" w:eastAsia="宋体" w:cs="Times New Roman"/>
          <w:b w:val="0"/>
          <w:iCs w:val="0"/>
          <w:color w:val="auto"/>
          <w:spacing w:val="0"/>
          <w:kern w:val="0"/>
          <w:sz w:val="24"/>
          <w:szCs w:val="24"/>
          <w:highlight w:val="none"/>
          <w:vertAlign w:val="subscript"/>
        </w:rPr>
        <w:t>a</w:t>
      </w:r>
      <w:r>
        <w:rPr>
          <w:rFonts w:ascii="Times New Roman" w:hAnsi="Times New Roman" w:eastAsia="宋体" w:cs="Times New Roman"/>
          <w:b w:val="0"/>
          <w:iCs w:val="0"/>
          <w:color w:val="auto"/>
          <w:spacing w:val="0"/>
          <w:kern w:val="0"/>
          <w:sz w:val="24"/>
          <w:szCs w:val="24"/>
          <w:highlight w:val="none"/>
        </w:rPr>
        <w:t>/n</w:t>
      </w:r>
    </w:p>
    <w:p w14:paraId="29AF967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式中：V</w:t>
      </w:r>
      <w:r>
        <w:rPr>
          <w:rFonts w:ascii="Times New Roman" w:hAnsi="Times New Roman" w:eastAsia="宋体" w:cs="Times New Roman"/>
          <w:b w:val="0"/>
          <w:iCs w:val="0"/>
          <w:color w:val="auto"/>
          <w:spacing w:val="0"/>
          <w:kern w:val="0"/>
          <w:sz w:val="24"/>
          <w:szCs w:val="24"/>
          <w:highlight w:val="none"/>
          <w:vertAlign w:val="subscript"/>
        </w:rPr>
        <w:t>1</w:t>
      </w:r>
      <w:r>
        <w:rPr>
          <w:rFonts w:ascii="Times New Roman" w:hAnsi="Times New Roman" w:eastAsia="宋体" w:cs="Times New Roman"/>
          <w:b w:val="0"/>
          <w:iCs w:val="0"/>
          <w:color w:val="auto"/>
          <w:spacing w:val="0"/>
          <w:kern w:val="0"/>
          <w:sz w:val="24"/>
          <w:szCs w:val="24"/>
          <w:highlight w:val="none"/>
        </w:rPr>
        <w:t>—</w:t>
      </w:r>
      <w:r>
        <w:rPr>
          <w:rFonts w:hint="eastAsia" w:ascii="Times New Roman" w:hAnsi="Times New Roman" w:eastAsia="宋体" w:cs="Times New Roman"/>
          <w:b w:val="0"/>
          <w:iCs w:val="0"/>
          <w:color w:val="auto"/>
          <w:spacing w:val="0"/>
          <w:kern w:val="0"/>
          <w:sz w:val="24"/>
          <w:szCs w:val="24"/>
          <w:highlight w:val="none"/>
          <w:lang w:eastAsia="zh-CN"/>
        </w:rPr>
        <w:t>最大容积的一台设备或贮罐的物料贮量</w:t>
      </w:r>
      <w:r>
        <w:rPr>
          <w:rFonts w:ascii="Times New Roman" w:hAnsi="Times New Roman" w:eastAsia="宋体" w:cs="Times New Roman"/>
          <w:b w:val="0"/>
          <w:iCs w:val="0"/>
          <w:color w:val="auto"/>
          <w:spacing w:val="0"/>
          <w:kern w:val="0"/>
          <w:sz w:val="24"/>
          <w:szCs w:val="24"/>
          <w:highlight w:val="none"/>
        </w:rPr>
        <w:t>；</w:t>
      </w:r>
    </w:p>
    <w:p w14:paraId="1138F5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0" w:firstLineChars="3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V</w:t>
      </w:r>
      <w:r>
        <w:rPr>
          <w:rFonts w:ascii="Times New Roman" w:hAnsi="Times New Roman" w:eastAsia="宋体" w:cs="Times New Roman"/>
          <w:b w:val="0"/>
          <w:iCs w:val="0"/>
          <w:color w:val="auto"/>
          <w:spacing w:val="0"/>
          <w:kern w:val="0"/>
          <w:sz w:val="24"/>
          <w:szCs w:val="24"/>
          <w:highlight w:val="none"/>
          <w:vertAlign w:val="subscript"/>
        </w:rPr>
        <w:t>2</w:t>
      </w:r>
      <w:r>
        <w:rPr>
          <w:rFonts w:ascii="Times New Roman" w:hAnsi="Times New Roman" w:eastAsia="宋体" w:cs="Times New Roman"/>
          <w:b w:val="0"/>
          <w:iCs w:val="0"/>
          <w:color w:val="auto"/>
          <w:spacing w:val="0"/>
          <w:kern w:val="0"/>
          <w:sz w:val="24"/>
          <w:szCs w:val="24"/>
          <w:highlight w:val="none"/>
        </w:rPr>
        <w:t>—</w:t>
      </w:r>
      <w:r>
        <w:rPr>
          <w:rFonts w:hint="eastAsia" w:ascii="Times New Roman" w:hAnsi="Times New Roman" w:eastAsia="宋体" w:cs="Times New Roman"/>
          <w:b w:val="0"/>
          <w:iCs w:val="0"/>
          <w:color w:val="auto"/>
          <w:spacing w:val="0"/>
          <w:kern w:val="0"/>
          <w:sz w:val="24"/>
          <w:szCs w:val="24"/>
          <w:highlight w:val="none"/>
          <w:lang w:eastAsia="zh-CN"/>
        </w:rPr>
        <w:t>装置区或贮罐区发生火灾时的消防水量</w:t>
      </w:r>
      <w:r>
        <w:rPr>
          <w:rFonts w:ascii="Times New Roman" w:hAnsi="Times New Roman" w:eastAsia="宋体" w:cs="Times New Roman"/>
          <w:b w:val="0"/>
          <w:iCs w:val="0"/>
          <w:color w:val="auto"/>
          <w:spacing w:val="0"/>
          <w:kern w:val="0"/>
          <w:sz w:val="24"/>
          <w:szCs w:val="24"/>
          <w:highlight w:val="none"/>
        </w:rPr>
        <w:t>，m</w:t>
      </w:r>
      <w:r>
        <w:rPr>
          <w:rFonts w:ascii="Times New Roman" w:hAnsi="Times New Roman" w:eastAsia="宋体" w:cs="Times New Roman"/>
          <w:b w:val="0"/>
          <w:iCs w:val="0"/>
          <w:color w:val="auto"/>
          <w:spacing w:val="0"/>
          <w:kern w:val="0"/>
          <w:sz w:val="24"/>
          <w:szCs w:val="24"/>
          <w:highlight w:val="none"/>
          <w:vertAlign w:val="superscript"/>
        </w:rPr>
        <w:t>3</w:t>
      </w:r>
      <w:r>
        <w:rPr>
          <w:rFonts w:ascii="Times New Roman" w:hAnsi="Times New Roman" w:eastAsia="宋体" w:cs="Times New Roman"/>
          <w:b w:val="0"/>
          <w:iCs w:val="0"/>
          <w:color w:val="auto"/>
          <w:spacing w:val="0"/>
          <w:kern w:val="0"/>
          <w:sz w:val="24"/>
          <w:szCs w:val="24"/>
          <w:highlight w:val="none"/>
        </w:rPr>
        <w:t>；</w:t>
      </w:r>
    </w:p>
    <w:p w14:paraId="7F33C840">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V</w:t>
      </w:r>
      <w:r>
        <w:rPr>
          <w:rFonts w:ascii="Times New Roman" w:hAnsi="Times New Roman" w:eastAsia="宋体" w:cs="Times New Roman"/>
          <w:b w:val="0"/>
          <w:iCs w:val="0"/>
          <w:color w:val="auto"/>
          <w:spacing w:val="0"/>
          <w:kern w:val="0"/>
          <w:sz w:val="24"/>
          <w:szCs w:val="24"/>
          <w:highlight w:val="none"/>
          <w:vertAlign w:val="subscript"/>
        </w:rPr>
        <w:t>3</w:t>
      </w:r>
      <w:r>
        <w:rPr>
          <w:rFonts w:ascii="Times New Roman" w:hAnsi="Times New Roman" w:eastAsia="宋体" w:cs="Times New Roman"/>
          <w:b w:val="0"/>
          <w:iCs w:val="0"/>
          <w:color w:val="auto"/>
          <w:spacing w:val="0"/>
          <w:kern w:val="0"/>
          <w:sz w:val="24"/>
          <w:szCs w:val="24"/>
          <w:highlight w:val="none"/>
        </w:rPr>
        <w:t>—</w:t>
      </w:r>
      <w:r>
        <w:rPr>
          <w:rFonts w:hint="eastAsia" w:ascii="Times New Roman" w:hAnsi="Times New Roman" w:eastAsia="宋体" w:cs="Times New Roman"/>
          <w:b w:val="0"/>
          <w:iCs w:val="0"/>
          <w:color w:val="auto"/>
          <w:spacing w:val="0"/>
          <w:kern w:val="0"/>
          <w:sz w:val="24"/>
          <w:szCs w:val="24"/>
          <w:highlight w:val="none"/>
          <w:lang w:eastAsia="zh-CN"/>
        </w:rPr>
        <w:t>事故期间混入事故废水收集系统的降雨量</w:t>
      </w:r>
      <w:r>
        <w:rPr>
          <w:rFonts w:ascii="Times New Roman" w:hAnsi="Times New Roman" w:eastAsia="宋体" w:cs="Times New Roman"/>
          <w:b w:val="0"/>
          <w:iCs w:val="0"/>
          <w:color w:val="auto"/>
          <w:spacing w:val="0"/>
          <w:kern w:val="0"/>
          <w:sz w:val="24"/>
          <w:szCs w:val="24"/>
          <w:highlight w:val="none"/>
        </w:rPr>
        <w:t>，m</w:t>
      </w:r>
      <w:r>
        <w:rPr>
          <w:rFonts w:ascii="Times New Roman" w:hAnsi="Times New Roman" w:eastAsia="宋体" w:cs="Times New Roman"/>
          <w:b w:val="0"/>
          <w:iCs w:val="0"/>
          <w:color w:val="auto"/>
          <w:spacing w:val="0"/>
          <w:kern w:val="0"/>
          <w:sz w:val="24"/>
          <w:szCs w:val="24"/>
          <w:highlight w:val="none"/>
          <w:vertAlign w:val="superscript"/>
        </w:rPr>
        <w:t>3</w:t>
      </w:r>
      <w:r>
        <w:rPr>
          <w:rFonts w:ascii="Times New Roman" w:hAnsi="Times New Roman" w:eastAsia="宋体" w:cs="Times New Roman"/>
          <w:b w:val="0"/>
          <w:iCs w:val="0"/>
          <w:color w:val="auto"/>
          <w:spacing w:val="0"/>
          <w:kern w:val="0"/>
          <w:sz w:val="24"/>
          <w:szCs w:val="24"/>
          <w:highlight w:val="none"/>
        </w:rPr>
        <w:t>；</w:t>
      </w:r>
    </w:p>
    <w:p w14:paraId="3C094C76">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V</w:t>
      </w:r>
      <w:r>
        <w:rPr>
          <w:rFonts w:ascii="Times New Roman" w:hAnsi="Times New Roman" w:eastAsia="宋体" w:cs="Times New Roman"/>
          <w:b w:val="0"/>
          <w:iCs w:val="0"/>
          <w:color w:val="auto"/>
          <w:spacing w:val="0"/>
          <w:kern w:val="0"/>
          <w:sz w:val="24"/>
          <w:szCs w:val="24"/>
          <w:highlight w:val="none"/>
          <w:vertAlign w:val="subscript"/>
        </w:rPr>
        <w:t>4</w:t>
      </w:r>
      <w:r>
        <w:rPr>
          <w:rFonts w:ascii="Times New Roman" w:hAnsi="Times New Roman" w:eastAsia="宋体" w:cs="Times New Roman"/>
          <w:b w:val="0"/>
          <w:iCs w:val="0"/>
          <w:color w:val="auto"/>
          <w:spacing w:val="0"/>
          <w:kern w:val="0"/>
          <w:sz w:val="24"/>
          <w:szCs w:val="24"/>
          <w:highlight w:val="none"/>
        </w:rPr>
        <w:t>—</w:t>
      </w:r>
      <w:r>
        <w:rPr>
          <w:rFonts w:hint="eastAsia" w:ascii="Times New Roman" w:hAnsi="Times New Roman" w:eastAsia="宋体" w:cs="Times New Roman"/>
          <w:b w:val="0"/>
          <w:iCs w:val="0"/>
          <w:color w:val="auto"/>
          <w:spacing w:val="0"/>
          <w:kern w:val="0"/>
          <w:sz w:val="24"/>
          <w:szCs w:val="24"/>
          <w:highlight w:val="none"/>
          <w:lang w:eastAsia="zh-CN"/>
        </w:rPr>
        <w:t>围堰、环沟、管道等可以暂存事故废水的设施的有效容积</w:t>
      </w:r>
      <w:r>
        <w:rPr>
          <w:rFonts w:ascii="Times New Roman" w:hAnsi="Times New Roman" w:eastAsia="宋体" w:cs="Times New Roman"/>
          <w:b w:val="0"/>
          <w:iCs w:val="0"/>
          <w:color w:val="auto"/>
          <w:spacing w:val="0"/>
          <w:kern w:val="0"/>
          <w:sz w:val="24"/>
          <w:szCs w:val="24"/>
          <w:highlight w:val="none"/>
        </w:rPr>
        <w:t>，m</w:t>
      </w:r>
      <w:r>
        <w:rPr>
          <w:rFonts w:ascii="Times New Roman" w:hAnsi="Times New Roman" w:eastAsia="宋体" w:cs="Times New Roman"/>
          <w:b w:val="0"/>
          <w:iCs w:val="0"/>
          <w:color w:val="auto"/>
          <w:spacing w:val="0"/>
          <w:kern w:val="0"/>
          <w:sz w:val="24"/>
          <w:szCs w:val="24"/>
          <w:highlight w:val="none"/>
          <w:vertAlign w:val="superscript"/>
        </w:rPr>
        <w:t>3</w:t>
      </w:r>
      <w:r>
        <w:rPr>
          <w:rFonts w:ascii="Times New Roman" w:hAnsi="Times New Roman" w:eastAsia="宋体" w:cs="Times New Roman"/>
          <w:b w:val="0"/>
          <w:iCs w:val="0"/>
          <w:color w:val="auto"/>
          <w:spacing w:val="0"/>
          <w:kern w:val="0"/>
          <w:sz w:val="24"/>
          <w:szCs w:val="24"/>
          <w:highlight w:val="none"/>
        </w:rPr>
        <w:t>；</w:t>
      </w:r>
    </w:p>
    <w:p w14:paraId="3945BE8E">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hint="eastAsia"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q—平均日降雨量，mm；</w:t>
      </w:r>
    </w:p>
    <w:p w14:paraId="604C9721">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qa—年平均降雨量（</w:t>
      </w:r>
      <w:r>
        <w:rPr>
          <w:rFonts w:hint="eastAsia" w:ascii="Times New Roman" w:hAnsi="Times New Roman" w:eastAsia="宋体" w:cs="Times New Roman"/>
          <w:b w:val="0"/>
          <w:iCs w:val="0"/>
          <w:color w:val="auto"/>
          <w:spacing w:val="0"/>
          <w:kern w:val="0"/>
          <w:sz w:val="24"/>
          <w:szCs w:val="24"/>
          <w:highlight w:val="none"/>
          <w:lang w:val="en-US" w:eastAsia="zh-CN"/>
        </w:rPr>
        <w:t>190.9</w:t>
      </w:r>
      <w:r>
        <w:rPr>
          <w:rFonts w:hint="eastAsia" w:ascii="Times New Roman" w:hAnsi="Times New Roman" w:eastAsia="宋体" w:cs="Times New Roman"/>
          <w:b w:val="0"/>
          <w:iCs w:val="0"/>
          <w:color w:val="auto"/>
          <w:spacing w:val="0"/>
          <w:kern w:val="0"/>
          <w:sz w:val="24"/>
          <w:szCs w:val="24"/>
          <w:highlight w:val="none"/>
        </w:rPr>
        <w:t>mm</w:t>
      </w:r>
      <w:r>
        <w:rPr>
          <w:rFonts w:ascii="Times New Roman" w:hAnsi="Times New Roman" w:eastAsia="宋体" w:cs="Times New Roman"/>
          <w:b w:val="0"/>
          <w:iCs w:val="0"/>
          <w:color w:val="auto"/>
          <w:spacing w:val="0"/>
          <w:kern w:val="0"/>
          <w:sz w:val="24"/>
          <w:szCs w:val="24"/>
          <w:highlight w:val="none"/>
        </w:rPr>
        <w:t>）；</w:t>
      </w:r>
    </w:p>
    <w:p w14:paraId="71EB30E6">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n—年平均降雨日数，本项目取</w:t>
      </w:r>
      <w:r>
        <w:rPr>
          <w:rFonts w:hint="eastAsia" w:ascii="Times New Roman" w:hAnsi="Times New Roman" w:eastAsia="宋体" w:cs="Times New Roman"/>
          <w:b w:val="0"/>
          <w:iCs w:val="0"/>
          <w:color w:val="auto"/>
          <w:spacing w:val="0"/>
          <w:kern w:val="0"/>
          <w:sz w:val="24"/>
          <w:szCs w:val="24"/>
          <w:highlight w:val="none"/>
          <w:lang w:val="en-US" w:eastAsia="zh-CN"/>
        </w:rPr>
        <w:t>34</w:t>
      </w:r>
      <w:r>
        <w:rPr>
          <w:rFonts w:ascii="Times New Roman" w:hAnsi="Times New Roman" w:eastAsia="宋体" w:cs="Times New Roman"/>
          <w:b w:val="0"/>
          <w:iCs w:val="0"/>
          <w:color w:val="auto"/>
          <w:spacing w:val="0"/>
          <w:kern w:val="0"/>
          <w:sz w:val="24"/>
          <w:szCs w:val="24"/>
          <w:highlight w:val="none"/>
        </w:rPr>
        <w:t>天；</w:t>
      </w:r>
    </w:p>
    <w:p w14:paraId="52BA6998">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ascii="Times New Roman" w:hAnsi="Times New Roman" w:eastAsia="宋体" w:cs="Times New Roman"/>
          <w:b w:val="0"/>
          <w:iCs w:val="0"/>
          <w:color w:val="auto"/>
          <w:spacing w:val="0"/>
          <w:kern w:val="0"/>
          <w:sz w:val="24"/>
          <w:szCs w:val="24"/>
          <w:highlight w:val="none"/>
        </w:rPr>
      </w:pPr>
      <w:r>
        <w:rPr>
          <w:rFonts w:ascii="Times New Roman" w:hAnsi="Times New Roman" w:eastAsia="宋体" w:cs="Times New Roman"/>
          <w:b w:val="0"/>
          <w:iCs w:val="0"/>
          <w:color w:val="auto"/>
          <w:spacing w:val="0"/>
          <w:kern w:val="0"/>
          <w:sz w:val="24"/>
          <w:szCs w:val="24"/>
          <w:highlight w:val="none"/>
        </w:rPr>
        <w:t>F—必须进入事故废水收集系统的雨水汇水面积，本项目取</w:t>
      </w:r>
      <w:r>
        <w:rPr>
          <w:rFonts w:hint="eastAsia" w:ascii="Times New Roman" w:hAnsi="Times New Roman" w:eastAsia="宋体" w:cs="Times New Roman"/>
          <w:b w:val="0"/>
          <w:iCs w:val="0"/>
          <w:color w:val="auto"/>
          <w:spacing w:val="0"/>
          <w:kern w:val="0"/>
          <w:sz w:val="24"/>
          <w:szCs w:val="24"/>
          <w:highlight w:val="none"/>
          <w:lang w:val="en-US" w:eastAsia="zh-CN"/>
        </w:rPr>
        <w:t>13</w:t>
      </w:r>
      <w:r>
        <w:rPr>
          <w:rFonts w:ascii="Times New Roman" w:hAnsi="Times New Roman" w:eastAsia="宋体" w:cs="Times New Roman"/>
          <w:b w:val="0"/>
          <w:iCs w:val="0"/>
          <w:color w:val="auto"/>
          <w:spacing w:val="0"/>
          <w:kern w:val="0"/>
          <w:sz w:val="24"/>
          <w:szCs w:val="24"/>
          <w:highlight w:val="none"/>
        </w:rPr>
        <w:t>hm</w:t>
      </w:r>
      <w:r>
        <w:rPr>
          <w:rFonts w:ascii="Times New Roman" w:hAnsi="Times New Roman" w:eastAsia="宋体" w:cs="Times New Roman"/>
          <w:b w:val="0"/>
          <w:iCs w:val="0"/>
          <w:color w:val="auto"/>
          <w:spacing w:val="0"/>
          <w:kern w:val="0"/>
          <w:sz w:val="24"/>
          <w:szCs w:val="24"/>
          <w:highlight w:val="none"/>
          <w:vertAlign w:val="superscript"/>
        </w:rPr>
        <w:t>2</w:t>
      </w:r>
      <w:r>
        <w:rPr>
          <w:rFonts w:ascii="Times New Roman" w:hAnsi="Times New Roman" w:eastAsia="宋体" w:cs="Times New Roman"/>
          <w:b w:val="0"/>
          <w:iCs w:val="0"/>
          <w:color w:val="auto"/>
          <w:spacing w:val="0"/>
          <w:kern w:val="0"/>
          <w:sz w:val="24"/>
          <w:szCs w:val="24"/>
          <w:highlight w:val="none"/>
        </w:rPr>
        <w:t>。</w:t>
      </w:r>
    </w:p>
    <w:p w14:paraId="72677CE3">
      <w:pPr>
        <w:keepNext w:val="0"/>
        <w:keepLines w:val="0"/>
        <w:pageBreakBefore w:val="0"/>
        <w:widowControl w:val="0"/>
        <w:tabs>
          <w:tab w:val="left" w:pos="905"/>
        </w:tabs>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iCs w:val="0"/>
          <w:color w:val="auto"/>
          <w:spacing w:val="0"/>
          <w:kern w:val="0"/>
          <w:sz w:val="24"/>
          <w:szCs w:val="24"/>
          <w:highlight w:val="none"/>
          <w:lang w:val="en-US" w:eastAsia="zh-CN"/>
        </w:rPr>
      </w:pPr>
      <w:r>
        <w:rPr>
          <w:rFonts w:hint="eastAsia" w:ascii="Times New Roman" w:hAnsi="Times New Roman" w:eastAsia="宋体" w:cs="Times New Roman"/>
          <w:b w:val="0"/>
          <w:iCs w:val="0"/>
          <w:color w:val="auto"/>
          <w:spacing w:val="0"/>
          <w:kern w:val="0"/>
          <w:sz w:val="24"/>
          <w:szCs w:val="24"/>
          <w:highlight w:val="none"/>
          <w:lang w:val="en-US" w:eastAsia="zh-CN"/>
        </w:rPr>
        <w:t>本项目烷烃罐区围堰至少可装载一个储罐物料，烷烃储罐容积为3596m</w:t>
      </w:r>
      <w:r>
        <w:rPr>
          <w:rFonts w:hint="eastAsia" w:ascii="Times New Roman" w:hAnsi="Times New Roman" w:eastAsia="宋体" w:cs="Times New Roman"/>
          <w:b w:val="0"/>
          <w:iCs w:val="0"/>
          <w:color w:val="auto"/>
          <w:spacing w:val="0"/>
          <w:kern w:val="0"/>
          <w:sz w:val="24"/>
          <w:szCs w:val="24"/>
          <w:highlight w:val="none"/>
          <w:vertAlign w:val="superscript"/>
          <w:lang w:val="en-US" w:eastAsia="zh-CN"/>
        </w:rPr>
        <w:t>3</w:t>
      </w:r>
      <w:r>
        <w:rPr>
          <w:rFonts w:hint="eastAsia" w:ascii="Times New Roman" w:hAnsi="Times New Roman" w:eastAsia="宋体" w:cs="Times New Roman"/>
          <w:b w:val="0"/>
          <w:iCs w:val="0"/>
          <w:color w:val="auto"/>
          <w:spacing w:val="0"/>
          <w:kern w:val="0"/>
          <w:sz w:val="24"/>
          <w:szCs w:val="24"/>
          <w:highlight w:val="none"/>
          <w:lang w:val="en-US" w:eastAsia="zh-CN"/>
        </w:rPr>
        <w:t>。</w:t>
      </w:r>
    </w:p>
    <w:p w14:paraId="03BCB6D6">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w:t>
      </w:r>
      <w:r>
        <w:rPr>
          <w:rFonts w:hint="eastAsia" w:ascii="Times New Roman" w:hAnsi="Times New Roman" w:cs="Times New Roman"/>
          <w:snapToGrid w:val="0"/>
          <w:color w:val="auto"/>
          <w:kern w:val="0"/>
          <w:sz w:val="21"/>
          <w:szCs w:val="21"/>
          <w:highlight w:val="none"/>
          <w:lang w:val="en-US" w:eastAsia="zh-CN"/>
        </w:rPr>
        <w:t xml:space="preserve">6.3-24 </w:t>
      </w:r>
      <w:r>
        <w:rPr>
          <w:rFonts w:hint="eastAsia" w:ascii="Times New Roman" w:hAnsi="Times New Roman" w:cs="Times New Roman"/>
          <w:snapToGrid w:val="0"/>
          <w:color w:val="auto"/>
          <w:kern w:val="0"/>
          <w:sz w:val="21"/>
          <w:szCs w:val="21"/>
          <w:highlight w:val="none"/>
        </w:rPr>
        <w:t>全厂事故废水计算一览表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6556"/>
        <w:gridCol w:w="1195"/>
      </w:tblGrid>
      <w:tr w14:paraId="1067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4" w:type="pct"/>
            <w:tcBorders>
              <w:tl2br w:val="nil"/>
              <w:tr2bl w:val="nil"/>
            </w:tcBorders>
            <w:noWrap w:val="0"/>
            <w:vAlign w:val="center"/>
          </w:tcPr>
          <w:p w14:paraId="38D37E0C">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符号</w:t>
            </w:r>
          </w:p>
        </w:tc>
        <w:tc>
          <w:tcPr>
            <w:tcW w:w="3886" w:type="pct"/>
            <w:tcBorders>
              <w:tl2br w:val="nil"/>
              <w:tr2bl w:val="nil"/>
            </w:tcBorders>
            <w:noWrap w:val="0"/>
            <w:vAlign w:val="center"/>
          </w:tcPr>
          <w:p w14:paraId="610CA45E">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意义及取值依据</w:t>
            </w:r>
          </w:p>
        </w:tc>
        <w:tc>
          <w:tcPr>
            <w:tcW w:w="708" w:type="pct"/>
            <w:tcBorders>
              <w:tl2br w:val="nil"/>
              <w:tr2bl w:val="nil"/>
            </w:tcBorders>
            <w:noWrap w:val="0"/>
            <w:vAlign w:val="center"/>
          </w:tcPr>
          <w:p w14:paraId="37B10E5E">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取值</w:t>
            </w:r>
          </w:p>
        </w:tc>
      </w:tr>
      <w:tr w14:paraId="1E59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4" w:type="pct"/>
            <w:tcBorders>
              <w:tl2br w:val="nil"/>
              <w:tr2bl w:val="nil"/>
            </w:tcBorders>
            <w:noWrap w:val="0"/>
            <w:vAlign w:val="center"/>
          </w:tcPr>
          <w:p w14:paraId="4C147A70">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V</w:t>
            </w:r>
            <w:r>
              <w:rPr>
                <w:rFonts w:hint="default" w:ascii="Times New Roman" w:hAnsi="Times New Roman" w:eastAsia="宋体" w:cs="Times New Roman"/>
                <w:b w:val="0"/>
                <w:bCs w:val="0"/>
                <w:color w:val="auto"/>
                <w:sz w:val="21"/>
                <w:szCs w:val="20"/>
                <w:highlight w:val="none"/>
                <w:vertAlign w:val="subscript"/>
              </w:rPr>
              <w:t>1</w:t>
            </w:r>
          </w:p>
        </w:tc>
        <w:tc>
          <w:tcPr>
            <w:tcW w:w="3886" w:type="pct"/>
            <w:tcBorders>
              <w:tl2br w:val="nil"/>
              <w:tr2bl w:val="nil"/>
            </w:tcBorders>
            <w:noWrap w:val="0"/>
            <w:vAlign w:val="center"/>
          </w:tcPr>
          <w:p w14:paraId="04DF0CDC">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发生事故的储罐或装置的物料量，m</w:t>
            </w:r>
            <w:r>
              <w:rPr>
                <w:rFonts w:hint="default" w:ascii="Times New Roman" w:hAnsi="Times New Roman" w:eastAsia="宋体" w:cs="Times New Roman"/>
                <w:b w:val="0"/>
                <w:bCs w:val="0"/>
                <w:color w:val="auto"/>
                <w:sz w:val="21"/>
                <w:szCs w:val="20"/>
                <w:highlight w:val="none"/>
                <w:vertAlign w:val="superscript"/>
              </w:rPr>
              <w:t>3</w:t>
            </w:r>
            <w:r>
              <w:rPr>
                <w:rFonts w:hint="default" w:ascii="Times New Roman" w:hAnsi="Times New Roman" w:eastAsia="宋体" w:cs="Times New Roman"/>
                <w:b w:val="0"/>
                <w:bCs w:val="0"/>
                <w:color w:val="auto"/>
                <w:sz w:val="21"/>
                <w:szCs w:val="20"/>
                <w:highlight w:val="none"/>
              </w:rPr>
              <w:t>。按单罐容积最大的</w:t>
            </w:r>
            <w:r>
              <w:rPr>
                <w:rFonts w:hint="eastAsia" w:ascii="Times New Roman" w:hAnsi="Times New Roman" w:eastAsia="宋体" w:cs="Times New Roman"/>
                <w:b w:val="0"/>
                <w:bCs w:val="0"/>
                <w:color w:val="auto"/>
                <w:sz w:val="21"/>
                <w:szCs w:val="20"/>
                <w:highlight w:val="none"/>
                <w:lang w:val="en-US" w:eastAsia="zh-CN"/>
              </w:rPr>
              <w:t>烷烃</w:t>
            </w:r>
            <w:r>
              <w:rPr>
                <w:rFonts w:hint="default" w:ascii="Times New Roman" w:hAnsi="Times New Roman" w:eastAsia="宋体" w:cs="Times New Roman"/>
                <w:b w:val="0"/>
                <w:bCs w:val="0"/>
                <w:color w:val="auto"/>
                <w:sz w:val="21"/>
                <w:szCs w:val="20"/>
                <w:highlight w:val="none"/>
              </w:rPr>
              <w:t>储罐计</w:t>
            </w:r>
          </w:p>
        </w:tc>
        <w:tc>
          <w:tcPr>
            <w:tcW w:w="708" w:type="pct"/>
            <w:tcBorders>
              <w:tl2br w:val="nil"/>
              <w:tr2bl w:val="nil"/>
            </w:tcBorders>
            <w:noWrap w:val="0"/>
            <w:vAlign w:val="center"/>
          </w:tcPr>
          <w:p w14:paraId="2FB41E4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lang w:val="en-US" w:eastAsia="zh-CN"/>
              </w:rPr>
            </w:pPr>
            <w:r>
              <w:rPr>
                <w:rFonts w:hint="eastAsia" w:ascii="Times New Roman" w:hAnsi="Times New Roman" w:eastAsia="宋体" w:cs="Times New Roman"/>
                <w:b w:val="0"/>
                <w:bCs w:val="0"/>
                <w:color w:val="auto"/>
                <w:sz w:val="21"/>
                <w:szCs w:val="20"/>
                <w:highlight w:val="none"/>
                <w:lang w:val="en-US" w:eastAsia="zh-CN"/>
              </w:rPr>
              <w:t>3596</w:t>
            </w:r>
          </w:p>
        </w:tc>
      </w:tr>
      <w:tr w14:paraId="22A8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4" w:type="pct"/>
            <w:tcBorders>
              <w:tl2br w:val="nil"/>
              <w:tr2bl w:val="nil"/>
            </w:tcBorders>
            <w:noWrap w:val="0"/>
            <w:vAlign w:val="center"/>
          </w:tcPr>
          <w:p w14:paraId="3920D7C9">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V</w:t>
            </w:r>
            <w:r>
              <w:rPr>
                <w:rFonts w:hint="default" w:ascii="Times New Roman" w:hAnsi="Times New Roman" w:eastAsia="宋体" w:cs="Times New Roman"/>
                <w:b w:val="0"/>
                <w:bCs w:val="0"/>
                <w:color w:val="auto"/>
                <w:sz w:val="21"/>
                <w:szCs w:val="20"/>
                <w:highlight w:val="none"/>
                <w:vertAlign w:val="subscript"/>
              </w:rPr>
              <w:t>2</w:t>
            </w:r>
          </w:p>
        </w:tc>
        <w:tc>
          <w:tcPr>
            <w:tcW w:w="3886" w:type="pct"/>
            <w:tcBorders>
              <w:tl2br w:val="nil"/>
              <w:tr2bl w:val="nil"/>
            </w:tcBorders>
            <w:noWrap w:val="0"/>
            <w:vAlign w:val="center"/>
          </w:tcPr>
          <w:p w14:paraId="04E4208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事故的储罐或装置的消防水量</w:t>
            </w:r>
          </w:p>
        </w:tc>
        <w:tc>
          <w:tcPr>
            <w:tcW w:w="708" w:type="pct"/>
            <w:tcBorders>
              <w:tl2br w:val="nil"/>
              <w:tr2bl w:val="nil"/>
            </w:tcBorders>
            <w:noWrap w:val="0"/>
            <w:vAlign w:val="center"/>
          </w:tcPr>
          <w:p w14:paraId="29468B4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lang w:val="en-US" w:eastAsia="zh-CN"/>
              </w:rPr>
            </w:pPr>
            <w:r>
              <w:rPr>
                <w:rFonts w:hint="eastAsia" w:ascii="Times New Roman" w:hAnsi="Times New Roman" w:eastAsia="宋体" w:cs="Times New Roman"/>
                <w:b w:val="0"/>
                <w:bCs w:val="0"/>
                <w:color w:val="auto"/>
                <w:sz w:val="21"/>
                <w:szCs w:val="20"/>
                <w:highlight w:val="none"/>
                <w:lang w:val="en-US" w:eastAsia="zh-CN"/>
              </w:rPr>
              <w:t>2000</w:t>
            </w:r>
          </w:p>
        </w:tc>
      </w:tr>
      <w:tr w14:paraId="0616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4" w:type="pct"/>
            <w:tcBorders>
              <w:tl2br w:val="nil"/>
              <w:tr2bl w:val="nil"/>
            </w:tcBorders>
            <w:noWrap w:val="0"/>
            <w:vAlign w:val="center"/>
          </w:tcPr>
          <w:p w14:paraId="7B503B48">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color w:val="auto"/>
                <w:sz w:val="21"/>
                <w:szCs w:val="20"/>
                <w:highlight w:val="none"/>
                <w:lang w:val="en-US" w:eastAsia="zh-CN"/>
              </w:rPr>
            </w:pPr>
            <w:r>
              <w:rPr>
                <w:rFonts w:hint="default" w:ascii="Times New Roman" w:hAnsi="Times New Roman" w:eastAsia="宋体" w:cs="Times New Roman"/>
                <w:b w:val="0"/>
                <w:bCs w:val="0"/>
                <w:color w:val="auto"/>
                <w:sz w:val="21"/>
                <w:szCs w:val="20"/>
                <w:highlight w:val="none"/>
              </w:rPr>
              <w:t>V</w:t>
            </w:r>
            <w:r>
              <w:rPr>
                <w:rFonts w:hint="eastAsia" w:ascii="Times New Roman" w:hAnsi="Times New Roman" w:eastAsia="宋体" w:cs="Times New Roman"/>
                <w:b w:val="0"/>
                <w:bCs w:val="0"/>
                <w:color w:val="auto"/>
                <w:sz w:val="21"/>
                <w:szCs w:val="20"/>
                <w:highlight w:val="none"/>
                <w:vertAlign w:val="subscript"/>
                <w:lang w:val="en-US" w:eastAsia="zh-CN"/>
              </w:rPr>
              <w:t>3</w:t>
            </w:r>
          </w:p>
        </w:tc>
        <w:tc>
          <w:tcPr>
            <w:tcW w:w="3886" w:type="pct"/>
            <w:tcBorders>
              <w:tl2br w:val="nil"/>
              <w:tr2bl w:val="nil"/>
            </w:tcBorders>
            <w:noWrap w:val="0"/>
            <w:vAlign w:val="center"/>
          </w:tcPr>
          <w:p w14:paraId="59E99F46">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发生事故时可能进入该收集系统的降雨量，m</w:t>
            </w:r>
            <w:r>
              <w:rPr>
                <w:rFonts w:hint="default" w:ascii="Times New Roman" w:hAnsi="Times New Roman" w:eastAsia="宋体" w:cs="Times New Roman"/>
                <w:b w:val="0"/>
                <w:bCs w:val="0"/>
                <w:color w:val="auto"/>
                <w:sz w:val="21"/>
                <w:szCs w:val="20"/>
                <w:highlight w:val="none"/>
                <w:vertAlign w:val="superscript"/>
              </w:rPr>
              <w:t>3</w:t>
            </w:r>
            <w:r>
              <w:rPr>
                <w:rFonts w:hint="default" w:ascii="Times New Roman" w:hAnsi="Times New Roman" w:eastAsia="宋体" w:cs="Times New Roman"/>
                <w:b w:val="0"/>
                <w:bCs w:val="0"/>
                <w:color w:val="auto"/>
                <w:sz w:val="21"/>
                <w:szCs w:val="20"/>
                <w:highlight w:val="none"/>
              </w:rPr>
              <w:t>。V</w:t>
            </w:r>
            <w:r>
              <w:rPr>
                <w:rFonts w:hint="default" w:ascii="Times New Roman" w:hAnsi="Times New Roman" w:eastAsia="宋体" w:cs="Times New Roman"/>
                <w:b w:val="0"/>
                <w:bCs w:val="0"/>
                <w:color w:val="auto"/>
                <w:sz w:val="21"/>
                <w:szCs w:val="20"/>
                <w:highlight w:val="none"/>
                <w:vertAlign w:val="subscript"/>
              </w:rPr>
              <w:t>5</w:t>
            </w:r>
            <w:r>
              <w:rPr>
                <w:rFonts w:hint="default" w:ascii="Times New Roman" w:hAnsi="Times New Roman" w:eastAsia="宋体" w:cs="Times New Roman"/>
                <w:b w:val="0"/>
                <w:bCs w:val="0"/>
                <w:color w:val="auto"/>
                <w:sz w:val="21"/>
                <w:szCs w:val="20"/>
                <w:highlight w:val="none"/>
              </w:rPr>
              <w:t>＝10qF</w:t>
            </w:r>
          </w:p>
          <w:p w14:paraId="7E5287EF">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q按平均日降雨量</w:t>
            </w:r>
            <w:r>
              <w:rPr>
                <w:rFonts w:hint="eastAsia" w:ascii="Times New Roman" w:hAnsi="Times New Roman" w:eastAsia="宋体" w:cs="Times New Roman"/>
                <w:b w:val="0"/>
                <w:bCs w:val="0"/>
                <w:color w:val="auto"/>
                <w:sz w:val="21"/>
                <w:szCs w:val="20"/>
                <w:highlight w:val="none"/>
                <w:lang w:val="en-US" w:eastAsia="zh-CN"/>
              </w:rPr>
              <w:t>估算</w:t>
            </w:r>
            <w:r>
              <w:rPr>
                <w:rFonts w:hint="eastAsia" w:ascii="Times New Roman" w:hAnsi="Times New Roman" w:eastAsia="宋体" w:cs="Times New Roman"/>
                <w:b w:val="0"/>
                <w:bCs w:val="0"/>
                <w:color w:val="auto"/>
                <w:sz w:val="21"/>
                <w:szCs w:val="20"/>
                <w:highlight w:val="none"/>
              </w:rPr>
              <w:t>，</w:t>
            </w:r>
            <w:r>
              <w:rPr>
                <w:rFonts w:hint="default" w:ascii="Times New Roman" w:hAnsi="Times New Roman" w:eastAsia="宋体" w:cs="Times New Roman"/>
                <w:b w:val="0"/>
                <w:bCs w:val="0"/>
                <w:color w:val="auto"/>
                <w:sz w:val="21"/>
                <w:szCs w:val="20"/>
                <w:highlight w:val="none"/>
              </w:rPr>
              <w:t>F按厂区面积计算</w:t>
            </w:r>
            <w:r>
              <w:rPr>
                <w:rFonts w:hint="eastAsia" w:ascii="Times New Roman" w:hAnsi="Times New Roman" w:eastAsia="宋体" w:cs="Times New Roman"/>
                <w:b w:val="0"/>
                <w:bCs w:val="0"/>
                <w:color w:val="auto"/>
                <w:sz w:val="21"/>
                <w:szCs w:val="20"/>
                <w:highlight w:val="none"/>
                <w:lang w:eastAsia="zh-CN"/>
              </w:rPr>
              <w:t>，</w:t>
            </w:r>
            <w:r>
              <w:rPr>
                <w:rFonts w:hint="eastAsia" w:ascii="Times New Roman" w:hAnsi="Times New Roman" w:eastAsia="宋体" w:cs="Times New Roman"/>
                <w:b w:val="0"/>
                <w:bCs w:val="0"/>
                <w:color w:val="auto"/>
                <w:sz w:val="21"/>
                <w:szCs w:val="20"/>
                <w:highlight w:val="none"/>
                <w:lang w:val="en-US" w:eastAsia="zh-CN"/>
              </w:rPr>
              <w:t>为13hm</w:t>
            </w:r>
            <w:r>
              <w:rPr>
                <w:rFonts w:hint="eastAsia" w:ascii="Times New Roman" w:hAnsi="Times New Roman" w:eastAsia="宋体" w:cs="Times New Roman"/>
                <w:b w:val="0"/>
                <w:bCs w:val="0"/>
                <w:color w:val="auto"/>
                <w:sz w:val="21"/>
                <w:szCs w:val="20"/>
                <w:highlight w:val="none"/>
                <w:vertAlign w:val="superscript"/>
                <w:lang w:val="en-US" w:eastAsia="zh-CN"/>
              </w:rPr>
              <w:t>2</w:t>
            </w:r>
            <w:r>
              <w:rPr>
                <w:rFonts w:hint="default" w:ascii="Times New Roman" w:hAnsi="Times New Roman" w:eastAsia="宋体" w:cs="Times New Roman"/>
                <w:b w:val="0"/>
                <w:bCs w:val="0"/>
                <w:color w:val="auto"/>
                <w:sz w:val="21"/>
                <w:szCs w:val="20"/>
                <w:highlight w:val="none"/>
              </w:rPr>
              <w:t>。</w:t>
            </w:r>
          </w:p>
        </w:tc>
        <w:tc>
          <w:tcPr>
            <w:tcW w:w="708" w:type="pct"/>
            <w:tcBorders>
              <w:tl2br w:val="nil"/>
              <w:tr2bl w:val="nil"/>
            </w:tcBorders>
            <w:noWrap w:val="0"/>
            <w:vAlign w:val="center"/>
          </w:tcPr>
          <w:p w14:paraId="3C4BA826">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lang w:val="en-US" w:eastAsia="zh-CN"/>
              </w:rPr>
            </w:pPr>
            <w:r>
              <w:rPr>
                <w:rFonts w:hint="eastAsia" w:ascii="Times New Roman" w:hAnsi="Times New Roman" w:eastAsia="宋体" w:cs="Times New Roman"/>
                <w:b w:val="0"/>
                <w:bCs w:val="0"/>
                <w:color w:val="auto"/>
                <w:sz w:val="21"/>
                <w:szCs w:val="20"/>
                <w:highlight w:val="none"/>
                <w:lang w:val="en-US" w:eastAsia="zh-CN"/>
              </w:rPr>
              <w:t>734</w:t>
            </w:r>
          </w:p>
        </w:tc>
      </w:tr>
      <w:tr w14:paraId="324C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4" w:type="pct"/>
            <w:tcBorders>
              <w:tl2br w:val="nil"/>
              <w:tr2bl w:val="nil"/>
            </w:tcBorders>
            <w:noWrap w:val="0"/>
            <w:vAlign w:val="center"/>
          </w:tcPr>
          <w:p w14:paraId="750C670D">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lang w:val="en-US"/>
              </w:rPr>
            </w:pPr>
            <w:r>
              <w:rPr>
                <w:rFonts w:hint="default" w:ascii="Times New Roman" w:hAnsi="Times New Roman" w:eastAsia="宋体" w:cs="Times New Roman"/>
                <w:b w:val="0"/>
                <w:bCs w:val="0"/>
                <w:color w:val="auto"/>
                <w:sz w:val="21"/>
                <w:szCs w:val="20"/>
                <w:highlight w:val="none"/>
              </w:rPr>
              <w:t>V</w:t>
            </w:r>
            <w:r>
              <w:rPr>
                <w:rFonts w:hint="eastAsia" w:ascii="Times New Roman" w:hAnsi="Times New Roman" w:eastAsia="宋体" w:cs="Times New Roman"/>
                <w:b w:val="0"/>
                <w:bCs w:val="0"/>
                <w:color w:val="auto"/>
                <w:sz w:val="21"/>
                <w:szCs w:val="20"/>
                <w:highlight w:val="none"/>
                <w:vertAlign w:val="subscript"/>
                <w:lang w:val="en-US" w:eastAsia="zh-CN"/>
              </w:rPr>
              <w:t>4</w:t>
            </w:r>
          </w:p>
        </w:tc>
        <w:tc>
          <w:tcPr>
            <w:tcW w:w="3886" w:type="pct"/>
            <w:tcBorders>
              <w:tl2br w:val="nil"/>
              <w:tr2bl w:val="nil"/>
            </w:tcBorders>
            <w:noWrap w:val="0"/>
            <w:vAlign w:val="center"/>
          </w:tcPr>
          <w:p w14:paraId="6E95DF01">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vertAlign w:val="baseline"/>
                <w:lang w:val="en-US" w:eastAsia="zh-CN"/>
              </w:rPr>
            </w:pPr>
            <w:r>
              <w:rPr>
                <w:rFonts w:hint="default" w:ascii="Times New Roman" w:hAnsi="Times New Roman" w:eastAsia="宋体" w:cs="Times New Roman"/>
                <w:b w:val="0"/>
                <w:bCs w:val="0"/>
                <w:color w:val="auto"/>
                <w:sz w:val="21"/>
                <w:szCs w:val="20"/>
                <w:highlight w:val="none"/>
                <w:lang w:eastAsia="zh-CN"/>
              </w:rPr>
              <w:t>围堰、环沟、管道等可以暂存事故废水的设施的有效容积</w:t>
            </w:r>
            <w:r>
              <w:rPr>
                <w:rFonts w:hint="default" w:ascii="Times New Roman" w:hAnsi="Times New Roman" w:eastAsia="宋体" w:cs="Times New Roman"/>
                <w:b w:val="0"/>
                <w:bCs w:val="0"/>
                <w:color w:val="auto"/>
                <w:sz w:val="21"/>
                <w:szCs w:val="20"/>
                <w:highlight w:val="none"/>
              </w:rPr>
              <w:t>，m</w:t>
            </w:r>
            <w:r>
              <w:rPr>
                <w:rFonts w:hint="default" w:ascii="Times New Roman" w:hAnsi="Times New Roman" w:eastAsia="宋体" w:cs="Times New Roman"/>
                <w:b w:val="0"/>
                <w:bCs w:val="0"/>
                <w:color w:val="auto"/>
                <w:sz w:val="21"/>
                <w:szCs w:val="20"/>
                <w:highlight w:val="none"/>
                <w:vertAlign w:val="superscript"/>
              </w:rPr>
              <w:t>3</w:t>
            </w:r>
            <w:r>
              <w:rPr>
                <w:rFonts w:hint="eastAsia" w:ascii="Times New Roman" w:hAnsi="Times New Roman" w:eastAsia="宋体" w:cs="Times New Roman"/>
                <w:b w:val="0"/>
                <w:bCs w:val="0"/>
                <w:color w:val="auto"/>
                <w:sz w:val="21"/>
                <w:szCs w:val="20"/>
                <w:highlight w:val="none"/>
                <w:vertAlign w:val="baseline"/>
                <w:lang w:val="en-US" w:eastAsia="zh-CN"/>
              </w:rPr>
              <w:t>。本项目烷烃罐区围堰至少可装载一个储罐物料，容积按3596m</w:t>
            </w:r>
            <w:r>
              <w:rPr>
                <w:rFonts w:hint="eastAsia" w:ascii="Times New Roman" w:hAnsi="Times New Roman" w:eastAsia="宋体" w:cs="Times New Roman"/>
                <w:b w:val="0"/>
                <w:bCs w:val="0"/>
                <w:color w:val="auto"/>
                <w:sz w:val="21"/>
                <w:szCs w:val="20"/>
                <w:highlight w:val="none"/>
                <w:vertAlign w:val="superscript"/>
                <w:lang w:val="en-US" w:eastAsia="zh-CN"/>
              </w:rPr>
              <w:t>3</w:t>
            </w:r>
            <w:r>
              <w:rPr>
                <w:rFonts w:hint="eastAsia" w:ascii="Times New Roman" w:hAnsi="Times New Roman" w:eastAsia="宋体" w:cs="Times New Roman"/>
                <w:b w:val="0"/>
                <w:bCs w:val="0"/>
                <w:color w:val="auto"/>
                <w:sz w:val="21"/>
                <w:szCs w:val="20"/>
                <w:highlight w:val="none"/>
                <w:vertAlign w:val="baseline"/>
                <w:lang w:val="en-US" w:eastAsia="zh-CN"/>
              </w:rPr>
              <w:t>计；厂区</w:t>
            </w:r>
            <w:r>
              <w:rPr>
                <w:rFonts w:hint="eastAsia" w:ascii="Times New Roman" w:hAnsi="Times New Roman" w:eastAsia="宋体" w:cs="Times New Roman"/>
                <w:b w:val="0"/>
                <w:bCs w:val="0"/>
                <w:snapToGrid w:val="0"/>
                <w:color w:val="auto"/>
                <w:kern w:val="0"/>
                <w:sz w:val="21"/>
                <w:szCs w:val="21"/>
                <w:highlight w:val="none"/>
              </w:rPr>
              <w:t>现有6</w:t>
            </w:r>
            <w:r>
              <w:rPr>
                <w:rFonts w:ascii="Times New Roman" w:hAnsi="Times New Roman" w:eastAsia="宋体" w:cs="Times New Roman"/>
                <w:b w:val="0"/>
                <w:bCs w:val="0"/>
                <w:snapToGrid w:val="0"/>
                <w:color w:val="auto"/>
                <w:kern w:val="0"/>
                <w:sz w:val="21"/>
                <w:szCs w:val="21"/>
                <w:highlight w:val="none"/>
              </w:rPr>
              <w:t>000m</w:t>
            </w:r>
            <w:r>
              <w:rPr>
                <w:rFonts w:ascii="Times New Roman" w:hAnsi="Times New Roman" w:eastAsia="宋体" w:cs="Times New Roman"/>
                <w:b w:val="0"/>
                <w:bCs w:val="0"/>
                <w:snapToGrid w:val="0"/>
                <w:color w:val="auto"/>
                <w:kern w:val="0"/>
                <w:sz w:val="21"/>
                <w:szCs w:val="21"/>
                <w:highlight w:val="none"/>
                <w:vertAlign w:val="superscript"/>
              </w:rPr>
              <w:t>3</w:t>
            </w:r>
            <w:r>
              <w:rPr>
                <w:rFonts w:ascii="Times New Roman" w:hAnsi="Times New Roman" w:eastAsia="宋体" w:cs="Times New Roman"/>
                <w:b w:val="0"/>
                <w:bCs w:val="0"/>
                <w:snapToGrid w:val="0"/>
                <w:color w:val="auto"/>
                <w:kern w:val="0"/>
                <w:sz w:val="21"/>
                <w:szCs w:val="21"/>
                <w:highlight w:val="none"/>
              </w:rPr>
              <w:t>+1000</w:t>
            </w:r>
            <w:r>
              <w:rPr>
                <w:rFonts w:hint="eastAsia" w:ascii="Times New Roman" w:hAnsi="Times New Roman" w:eastAsia="宋体" w:cs="Times New Roman"/>
                <w:b w:val="0"/>
                <w:bCs w:val="0"/>
                <w:snapToGrid w:val="0"/>
                <w:color w:val="auto"/>
                <w:kern w:val="0"/>
                <w:sz w:val="21"/>
                <w:szCs w:val="21"/>
                <w:highlight w:val="none"/>
              </w:rPr>
              <w:t>m</w:t>
            </w:r>
            <w:r>
              <w:rPr>
                <w:rFonts w:ascii="Times New Roman" w:hAnsi="Times New Roman" w:eastAsia="宋体" w:cs="Times New Roman"/>
                <w:b w:val="0"/>
                <w:bCs w:val="0"/>
                <w:snapToGrid w:val="0"/>
                <w:color w:val="auto"/>
                <w:kern w:val="0"/>
                <w:sz w:val="21"/>
                <w:szCs w:val="21"/>
                <w:highlight w:val="none"/>
                <w:vertAlign w:val="superscript"/>
              </w:rPr>
              <w:t>3</w:t>
            </w:r>
            <w:r>
              <w:rPr>
                <w:rFonts w:hint="eastAsia" w:ascii="Times New Roman" w:hAnsi="Times New Roman" w:eastAsia="宋体" w:cs="Times New Roman"/>
                <w:b w:val="0"/>
                <w:bCs w:val="0"/>
                <w:snapToGrid w:val="0"/>
                <w:color w:val="auto"/>
                <w:kern w:val="0"/>
                <w:sz w:val="21"/>
                <w:szCs w:val="21"/>
                <w:highlight w:val="none"/>
              </w:rPr>
              <w:t>事故水池</w:t>
            </w:r>
            <w:r>
              <w:rPr>
                <w:rFonts w:hint="eastAsia" w:ascii="Times New Roman" w:hAnsi="Times New Roman" w:eastAsia="宋体" w:cs="Times New Roman"/>
                <w:b w:val="0"/>
                <w:bCs w:val="0"/>
                <w:color w:val="auto"/>
                <w:sz w:val="21"/>
                <w:szCs w:val="20"/>
                <w:highlight w:val="none"/>
                <w:vertAlign w:val="baseline"/>
                <w:lang w:val="en-US" w:eastAsia="zh-CN"/>
              </w:rPr>
              <w:t>；合计10596m</w:t>
            </w:r>
            <w:r>
              <w:rPr>
                <w:rFonts w:hint="eastAsia" w:ascii="Times New Roman" w:hAnsi="Times New Roman" w:eastAsia="宋体" w:cs="Times New Roman"/>
                <w:b w:val="0"/>
                <w:bCs w:val="0"/>
                <w:color w:val="auto"/>
                <w:sz w:val="21"/>
                <w:szCs w:val="20"/>
                <w:highlight w:val="none"/>
                <w:vertAlign w:val="superscript"/>
                <w:lang w:val="en-US" w:eastAsia="zh-CN"/>
              </w:rPr>
              <w:t>3</w:t>
            </w:r>
            <w:r>
              <w:rPr>
                <w:rFonts w:hint="default" w:ascii="Times New Roman" w:hAnsi="Times New Roman" w:eastAsia="宋体" w:cs="Times New Roman"/>
                <w:b w:val="0"/>
                <w:bCs w:val="0"/>
                <w:color w:val="auto"/>
                <w:sz w:val="21"/>
                <w:szCs w:val="20"/>
                <w:highlight w:val="none"/>
              </w:rPr>
              <w:t>。</w:t>
            </w:r>
          </w:p>
        </w:tc>
        <w:tc>
          <w:tcPr>
            <w:tcW w:w="708" w:type="pct"/>
            <w:tcBorders>
              <w:tl2br w:val="nil"/>
              <w:tr2bl w:val="nil"/>
            </w:tcBorders>
            <w:noWrap w:val="0"/>
            <w:vAlign w:val="center"/>
          </w:tcPr>
          <w:p w14:paraId="3D72B43C">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lang w:val="en-US" w:eastAsia="zh-CN"/>
              </w:rPr>
            </w:pPr>
            <w:r>
              <w:rPr>
                <w:rFonts w:hint="eastAsia" w:ascii="Times New Roman" w:hAnsi="Times New Roman" w:eastAsia="宋体" w:cs="Times New Roman"/>
                <w:b w:val="0"/>
                <w:bCs w:val="0"/>
                <w:color w:val="auto"/>
                <w:sz w:val="21"/>
                <w:szCs w:val="20"/>
                <w:highlight w:val="none"/>
                <w:lang w:val="en-US" w:eastAsia="zh-CN"/>
              </w:rPr>
              <w:t>10596</w:t>
            </w:r>
          </w:p>
        </w:tc>
      </w:tr>
      <w:tr w14:paraId="61C8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4" w:type="pct"/>
            <w:tcBorders>
              <w:tl2br w:val="nil"/>
              <w:tr2bl w:val="nil"/>
            </w:tcBorders>
            <w:noWrap w:val="0"/>
            <w:vAlign w:val="center"/>
          </w:tcPr>
          <w:p w14:paraId="25B4BBE9">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rPr>
            </w:pPr>
            <w:r>
              <w:rPr>
                <w:rFonts w:hint="default" w:ascii="Times New Roman" w:hAnsi="Times New Roman" w:eastAsia="宋体" w:cs="Times New Roman"/>
                <w:b w:val="0"/>
                <w:bCs w:val="0"/>
                <w:color w:val="auto"/>
                <w:sz w:val="21"/>
                <w:szCs w:val="20"/>
                <w:highlight w:val="none"/>
              </w:rPr>
              <w:t>V</w:t>
            </w:r>
            <w:r>
              <w:rPr>
                <w:rFonts w:hint="default" w:ascii="Times New Roman" w:hAnsi="Times New Roman" w:eastAsia="宋体" w:cs="Times New Roman"/>
                <w:b w:val="0"/>
                <w:bCs w:val="0"/>
                <w:color w:val="auto"/>
                <w:sz w:val="21"/>
                <w:szCs w:val="20"/>
                <w:highlight w:val="none"/>
                <w:vertAlign w:val="subscript"/>
              </w:rPr>
              <w:t>总</w:t>
            </w:r>
          </w:p>
        </w:tc>
        <w:tc>
          <w:tcPr>
            <w:tcW w:w="3886" w:type="pct"/>
            <w:tcBorders>
              <w:tl2br w:val="nil"/>
              <w:tr2bl w:val="nil"/>
            </w:tcBorders>
            <w:noWrap w:val="0"/>
            <w:vAlign w:val="center"/>
          </w:tcPr>
          <w:p w14:paraId="035AA280">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color w:val="auto"/>
                <w:sz w:val="21"/>
                <w:szCs w:val="20"/>
                <w:highlight w:val="none"/>
                <w:lang w:val="en-US" w:eastAsia="zh-CN"/>
              </w:rPr>
            </w:pPr>
            <w:r>
              <w:rPr>
                <w:rFonts w:hint="eastAsia" w:ascii="Times New Roman" w:hAnsi="Times New Roman" w:eastAsia="宋体" w:cs="Times New Roman"/>
                <w:b w:val="0"/>
                <w:bCs w:val="0"/>
                <w:color w:val="auto"/>
                <w:sz w:val="21"/>
                <w:szCs w:val="20"/>
                <w:highlight w:val="none"/>
                <w:lang w:val="en-US" w:eastAsia="zh-CN"/>
              </w:rPr>
              <w:t>/</w:t>
            </w:r>
          </w:p>
        </w:tc>
        <w:tc>
          <w:tcPr>
            <w:tcW w:w="708" w:type="pct"/>
            <w:tcBorders>
              <w:tl2br w:val="nil"/>
              <w:tr2bl w:val="nil"/>
            </w:tcBorders>
            <w:noWrap w:val="0"/>
            <w:vAlign w:val="center"/>
          </w:tcPr>
          <w:p w14:paraId="328DDD47">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color w:val="auto"/>
                <w:sz w:val="21"/>
                <w:szCs w:val="20"/>
                <w:highlight w:val="none"/>
                <w:lang w:val="en-US" w:eastAsia="zh-CN"/>
              </w:rPr>
            </w:pPr>
            <w:r>
              <w:rPr>
                <w:rFonts w:hint="eastAsia" w:ascii="Times New Roman" w:hAnsi="Times New Roman" w:eastAsia="宋体" w:cs="Times New Roman"/>
                <w:b w:val="0"/>
                <w:bCs w:val="0"/>
                <w:color w:val="auto"/>
                <w:sz w:val="21"/>
                <w:szCs w:val="20"/>
                <w:highlight w:val="none"/>
                <w:lang w:val="en-US" w:eastAsia="zh-CN"/>
              </w:rPr>
              <w:t>-4266</w:t>
            </w:r>
          </w:p>
        </w:tc>
      </w:tr>
    </w:tbl>
    <w:p w14:paraId="6C89868A">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snapToGrid w:val="0"/>
          <w:color w:val="auto"/>
          <w:kern w:val="0"/>
          <w:sz w:val="24"/>
          <w:highlight w:val="none"/>
        </w:rPr>
      </w:pPr>
      <w:r>
        <w:rPr>
          <w:rFonts w:hint="eastAsia"/>
          <w:snapToGrid w:val="0"/>
          <w:color w:val="auto"/>
          <w:kern w:val="0"/>
          <w:sz w:val="24"/>
          <w:highlight w:val="none"/>
          <w:lang w:bidi="ar"/>
        </w:rPr>
        <w:t>因此，</w:t>
      </w:r>
      <w:r>
        <w:rPr>
          <w:snapToGrid w:val="0"/>
          <w:color w:val="auto"/>
          <w:kern w:val="0"/>
          <w:sz w:val="24"/>
          <w:highlight w:val="none"/>
          <w:lang w:bidi="ar"/>
        </w:rPr>
        <w:t>厂区内</w:t>
      </w:r>
      <w:r>
        <w:rPr>
          <w:rFonts w:hint="eastAsia"/>
          <w:snapToGrid w:val="0"/>
          <w:color w:val="auto"/>
          <w:kern w:val="0"/>
          <w:sz w:val="24"/>
          <w:highlight w:val="none"/>
          <w:lang w:bidi="ar"/>
        </w:rPr>
        <w:t>现有6</w:t>
      </w:r>
      <w:r>
        <w:rPr>
          <w:snapToGrid w:val="0"/>
          <w:color w:val="auto"/>
          <w:kern w:val="0"/>
          <w:sz w:val="24"/>
          <w:highlight w:val="none"/>
          <w:lang w:bidi="ar"/>
        </w:rPr>
        <w:t>000m</w:t>
      </w:r>
      <w:r>
        <w:rPr>
          <w:snapToGrid w:val="0"/>
          <w:color w:val="auto"/>
          <w:kern w:val="0"/>
          <w:sz w:val="24"/>
          <w:highlight w:val="none"/>
          <w:vertAlign w:val="superscript"/>
          <w:lang w:bidi="ar"/>
        </w:rPr>
        <w:t>3</w:t>
      </w:r>
      <w:r>
        <w:rPr>
          <w:snapToGrid w:val="0"/>
          <w:color w:val="auto"/>
          <w:kern w:val="0"/>
          <w:sz w:val="24"/>
          <w:highlight w:val="none"/>
          <w:lang w:bidi="ar"/>
        </w:rPr>
        <w:t>+1000</w:t>
      </w:r>
      <w:r>
        <w:rPr>
          <w:rFonts w:hint="eastAsia"/>
          <w:snapToGrid w:val="0"/>
          <w:color w:val="auto"/>
          <w:kern w:val="0"/>
          <w:sz w:val="24"/>
          <w:highlight w:val="none"/>
          <w:lang w:bidi="ar"/>
        </w:rPr>
        <w:t>m</w:t>
      </w:r>
      <w:r>
        <w:rPr>
          <w:snapToGrid w:val="0"/>
          <w:color w:val="auto"/>
          <w:kern w:val="0"/>
          <w:sz w:val="24"/>
          <w:highlight w:val="none"/>
          <w:vertAlign w:val="superscript"/>
          <w:lang w:bidi="ar"/>
        </w:rPr>
        <w:t>3</w:t>
      </w:r>
      <w:r>
        <w:rPr>
          <w:rFonts w:hint="eastAsia"/>
          <w:snapToGrid w:val="0"/>
          <w:color w:val="auto"/>
          <w:kern w:val="0"/>
          <w:sz w:val="24"/>
          <w:highlight w:val="none"/>
          <w:lang w:bidi="ar"/>
        </w:rPr>
        <w:t>事故水池</w:t>
      </w:r>
      <w:r>
        <w:rPr>
          <w:snapToGrid w:val="0"/>
          <w:color w:val="auto"/>
          <w:kern w:val="0"/>
          <w:sz w:val="24"/>
          <w:highlight w:val="none"/>
          <w:lang w:bidi="ar"/>
        </w:rPr>
        <w:t>，</w:t>
      </w:r>
      <w:r>
        <w:rPr>
          <w:rFonts w:hint="eastAsia"/>
          <w:snapToGrid w:val="0"/>
          <w:color w:val="auto"/>
          <w:kern w:val="0"/>
          <w:sz w:val="24"/>
          <w:highlight w:val="none"/>
          <w:lang w:val="en-US" w:eastAsia="zh-CN" w:bidi="ar"/>
        </w:rPr>
        <w:t>平时保持“放空”状态的管理，</w:t>
      </w:r>
      <w:r>
        <w:rPr>
          <w:rFonts w:hint="eastAsia"/>
          <w:snapToGrid w:val="0"/>
          <w:color w:val="auto"/>
          <w:kern w:val="0"/>
          <w:sz w:val="24"/>
          <w:highlight w:val="none"/>
          <w:lang w:eastAsia="zh-CN" w:bidi="ar"/>
        </w:rPr>
        <w:t>可以</w:t>
      </w:r>
      <w:r>
        <w:rPr>
          <w:snapToGrid w:val="0"/>
          <w:color w:val="auto"/>
          <w:kern w:val="0"/>
          <w:sz w:val="24"/>
          <w:highlight w:val="none"/>
          <w:lang w:bidi="ar"/>
        </w:rPr>
        <w:t>满足事故水收纳要求。</w:t>
      </w:r>
    </w:p>
    <w:p w14:paraId="5E57583B">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③三级防控措施：</w:t>
      </w:r>
    </w:p>
    <w:p w14:paraId="6629E6D8">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设置</w:t>
      </w:r>
      <w:r>
        <w:rPr>
          <w:snapToGrid w:val="0"/>
          <w:color w:val="auto"/>
          <w:kern w:val="0"/>
          <w:sz w:val="24"/>
          <w:highlight w:val="none"/>
          <w:lang w:bidi="ar"/>
        </w:rPr>
        <w:t>末端事故缓冲池水泵，</w:t>
      </w:r>
      <w:r>
        <w:rPr>
          <w:snapToGrid w:val="0"/>
          <w:color w:val="auto"/>
          <w:kern w:val="0"/>
          <w:sz w:val="24"/>
          <w:highlight w:val="none"/>
        </w:rPr>
        <w:t>由</w:t>
      </w:r>
      <w:r>
        <w:rPr>
          <w:rFonts w:hint="eastAsia"/>
          <w:snapToGrid w:val="0"/>
          <w:color w:val="auto"/>
          <w:kern w:val="0"/>
          <w:sz w:val="24"/>
          <w:highlight w:val="none"/>
          <w:lang w:val="en-US" w:eastAsia="zh-CN"/>
        </w:rPr>
        <w:t>事故</w:t>
      </w:r>
      <w:r>
        <w:rPr>
          <w:snapToGrid w:val="0"/>
          <w:color w:val="auto"/>
          <w:kern w:val="0"/>
          <w:sz w:val="24"/>
          <w:highlight w:val="none"/>
        </w:rPr>
        <w:t>水池污水泵提升排入厂区污水处理系统分批进行处理，</w:t>
      </w:r>
      <w:r>
        <w:rPr>
          <w:rFonts w:hint="eastAsia"/>
          <w:snapToGrid w:val="0"/>
          <w:color w:val="auto"/>
          <w:kern w:val="0"/>
          <w:sz w:val="24"/>
          <w:highlight w:val="none"/>
          <w:lang w:val="en-US" w:eastAsia="zh-CN"/>
        </w:rPr>
        <w:t>无法处理时，</w:t>
      </w:r>
      <w:r>
        <w:rPr>
          <w:rFonts w:hint="eastAsia"/>
          <w:snapToGrid w:val="0"/>
          <w:color w:val="auto"/>
          <w:kern w:val="0"/>
          <w:sz w:val="24"/>
          <w:highlight w:val="none"/>
          <w:lang w:eastAsia="zh-CN" w:bidi="ar"/>
        </w:rPr>
        <w:t>在</w:t>
      </w:r>
      <w:r>
        <w:rPr>
          <w:rFonts w:hint="eastAsia"/>
          <w:snapToGrid w:val="0"/>
          <w:color w:val="auto"/>
          <w:kern w:val="0"/>
          <w:sz w:val="24"/>
          <w:highlight w:val="none"/>
          <w:lang w:val="en-US" w:eastAsia="zh-CN" w:bidi="ar"/>
        </w:rPr>
        <w:t>园区污水处理厂</w:t>
      </w:r>
      <w:r>
        <w:rPr>
          <w:snapToGrid w:val="0"/>
          <w:color w:val="auto"/>
          <w:kern w:val="0"/>
          <w:sz w:val="24"/>
          <w:highlight w:val="none"/>
          <w:lang w:bidi="ar"/>
        </w:rPr>
        <w:t>可</w:t>
      </w:r>
      <w:r>
        <w:rPr>
          <w:rFonts w:hint="eastAsia"/>
          <w:snapToGrid w:val="0"/>
          <w:color w:val="auto"/>
          <w:kern w:val="0"/>
          <w:sz w:val="24"/>
          <w:highlight w:val="none"/>
          <w:lang w:val="en-US" w:eastAsia="zh-CN" w:bidi="ar"/>
        </w:rPr>
        <w:t>接收情况下</w:t>
      </w:r>
      <w:r>
        <w:rPr>
          <w:snapToGrid w:val="0"/>
          <w:color w:val="auto"/>
          <w:kern w:val="0"/>
          <w:sz w:val="24"/>
          <w:highlight w:val="none"/>
          <w:lang w:bidi="ar"/>
        </w:rPr>
        <w:t>将污水导入</w:t>
      </w:r>
      <w:r>
        <w:rPr>
          <w:rFonts w:hint="eastAsia"/>
          <w:snapToGrid w:val="0"/>
          <w:color w:val="auto"/>
          <w:kern w:val="0"/>
          <w:sz w:val="24"/>
          <w:highlight w:val="none"/>
          <w:lang w:val="en-US" w:eastAsia="zh-CN" w:bidi="ar"/>
        </w:rPr>
        <w:t>园区</w:t>
      </w:r>
      <w:r>
        <w:rPr>
          <w:snapToGrid w:val="0"/>
          <w:color w:val="auto"/>
          <w:kern w:val="0"/>
          <w:sz w:val="24"/>
          <w:highlight w:val="none"/>
          <w:lang w:bidi="ar"/>
        </w:rPr>
        <w:t>污水</w:t>
      </w:r>
      <w:r>
        <w:rPr>
          <w:rFonts w:hint="eastAsia"/>
          <w:snapToGrid w:val="0"/>
          <w:color w:val="auto"/>
          <w:kern w:val="0"/>
          <w:sz w:val="24"/>
          <w:highlight w:val="none"/>
          <w:lang w:val="en-US" w:eastAsia="zh-CN" w:bidi="ar"/>
        </w:rPr>
        <w:t>处理厂</w:t>
      </w:r>
      <w:r>
        <w:rPr>
          <w:snapToGrid w:val="0"/>
          <w:color w:val="auto"/>
          <w:kern w:val="0"/>
          <w:sz w:val="24"/>
          <w:highlight w:val="none"/>
        </w:rPr>
        <w:t>，保证事故状态下污水不能漫流进入地表水体。</w:t>
      </w:r>
    </w:p>
    <w:p w14:paraId="43A0E682">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通过上述三级防控措施，可有效避免罐区泄漏及污染物排放事故的发生。</w:t>
      </w:r>
    </w:p>
    <w:p w14:paraId="45A16A26">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本项目事故性外排的废水排放量可收集于</w:t>
      </w:r>
      <w:r>
        <w:rPr>
          <w:rFonts w:hint="eastAsia"/>
          <w:snapToGrid w:val="0"/>
          <w:color w:val="auto"/>
          <w:kern w:val="0"/>
          <w:sz w:val="24"/>
          <w:highlight w:val="none"/>
          <w:lang w:val="en-US" w:eastAsia="zh-CN"/>
        </w:rPr>
        <w:t>事故</w:t>
      </w:r>
      <w:r>
        <w:rPr>
          <w:snapToGrid w:val="0"/>
          <w:color w:val="auto"/>
          <w:kern w:val="0"/>
          <w:sz w:val="24"/>
          <w:highlight w:val="none"/>
        </w:rPr>
        <w:t>水池，待事故得到控制后，由</w:t>
      </w:r>
      <w:r>
        <w:rPr>
          <w:rFonts w:hint="eastAsia"/>
          <w:snapToGrid w:val="0"/>
          <w:color w:val="auto"/>
          <w:kern w:val="0"/>
          <w:sz w:val="24"/>
          <w:highlight w:val="none"/>
          <w:lang w:val="en-US" w:eastAsia="zh-CN"/>
        </w:rPr>
        <w:t>事故</w:t>
      </w:r>
      <w:r>
        <w:rPr>
          <w:snapToGrid w:val="0"/>
          <w:color w:val="auto"/>
          <w:kern w:val="0"/>
          <w:sz w:val="24"/>
          <w:highlight w:val="none"/>
        </w:rPr>
        <w:t>水池污水泵提升排入厂区污水处理系统分批进行处理，</w:t>
      </w:r>
      <w:r>
        <w:rPr>
          <w:rFonts w:hint="eastAsia"/>
          <w:snapToGrid w:val="0"/>
          <w:color w:val="auto"/>
          <w:kern w:val="0"/>
          <w:sz w:val="24"/>
          <w:highlight w:val="none"/>
          <w:lang w:val="en-US" w:eastAsia="zh-CN"/>
        </w:rPr>
        <w:t>无法处理时，</w:t>
      </w:r>
      <w:r>
        <w:rPr>
          <w:rFonts w:hint="eastAsia"/>
          <w:snapToGrid w:val="0"/>
          <w:color w:val="auto"/>
          <w:kern w:val="0"/>
          <w:sz w:val="24"/>
          <w:highlight w:val="none"/>
          <w:lang w:eastAsia="zh-CN" w:bidi="ar"/>
        </w:rPr>
        <w:t>在</w:t>
      </w:r>
      <w:r>
        <w:rPr>
          <w:rFonts w:hint="eastAsia"/>
          <w:snapToGrid w:val="0"/>
          <w:color w:val="auto"/>
          <w:kern w:val="0"/>
          <w:sz w:val="24"/>
          <w:highlight w:val="none"/>
          <w:lang w:val="en-US" w:eastAsia="zh-CN" w:bidi="ar"/>
        </w:rPr>
        <w:t>园区污水处理厂</w:t>
      </w:r>
      <w:r>
        <w:rPr>
          <w:snapToGrid w:val="0"/>
          <w:color w:val="auto"/>
          <w:kern w:val="0"/>
          <w:sz w:val="24"/>
          <w:highlight w:val="none"/>
          <w:lang w:bidi="ar"/>
        </w:rPr>
        <w:t>可</w:t>
      </w:r>
      <w:r>
        <w:rPr>
          <w:rFonts w:hint="eastAsia"/>
          <w:snapToGrid w:val="0"/>
          <w:color w:val="auto"/>
          <w:kern w:val="0"/>
          <w:sz w:val="24"/>
          <w:highlight w:val="none"/>
          <w:lang w:val="en-US" w:eastAsia="zh-CN" w:bidi="ar"/>
        </w:rPr>
        <w:t>接收情况下</w:t>
      </w:r>
      <w:r>
        <w:rPr>
          <w:snapToGrid w:val="0"/>
          <w:color w:val="auto"/>
          <w:kern w:val="0"/>
          <w:sz w:val="24"/>
          <w:highlight w:val="none"/>
          <w:lang w:bidi="ar"/>
        </w:rPr>
        <w:t>将污水导入</w:t>
      </w:r>
      <w:r>
        <w:rPr>
          <w:rFonts w:hint="eastAsia"/>
          <w:snapToGrid w:val="0"/>
          <w:color w:val="auto"/>
          <w:kern w:val="0"/>
          <w:sz w:val="24"/>
          <w:highlight w:val="none"/>
          <w:lang w:val="en-US" w:eastAsia="zh-CN" w:bidi="ar"/>
        </w:rPr>
        <w:t>园区</w:t>
      </w:r>
      <w:r>
        <w:rPr>
          <w:snapToGrid w:val="0"/>
          <w:color w:val="auto"/>
          <w:kern w:val="0"/>
          <w:sz w:val="24"/>
          <w:highlight w:val="none"/>
          <w:lang w:bidi="ar"/>
        </w:rPr>
        <w:t>污水</w:t>
      </w:r>
      <w:r>
        <w:rPr>
          <w:rFonts w:hint="eastAsia"/>
          <w:snapToGrid w:val="0"/>
          <w:color w:val="auto"/>
          <w:kern w:val="0"/>
          <w:sz w:val="24"/>
          <w:highlight w:val="none"/>
          <w:lang w:val="en-US" w:eastAsia="zh-CN" w:bidi="ar"/>
        </w:rPr>
        <w:t>处理厂</w:t>
      </w:r>
      <w:r>
        <w:rPr>
          <w:snapToGrid w:val="0"/>
          <w:color w:val="auto"/>
          <w:kern w:val="0"/>
          <w:sz w:val="24"/>
          <w:highlight w:val="none"/>
        </w:rPr>
        <w:t>，保证事故状态下污水不能漫流进入地表水体。</w:t>
      </w:r>
    </w:p>
    <w:p w14:paraId="0FACADC3">
      <w:pPr>
        <w:adjustRightInd w:val="0"/>
        <w:snapToGrid w:val="0"/>
        <w:spacing w:line="360" w:lineRule="auto"/>
        <w:rPr>
          <w:rFonts w:hint="eastAsia" w:eastAsia="宋体"/>
          <w:snapToGrid w:val="0"/>
          <w:color w:val="auto"/>
          <w:kern w:val="0"/>
          <w:sz w:val="24"/>
          <w:highlight w:val="none"/>
          <w:lang w:eastAsia="zh-CN"/>
        </w:rPr>
      </w:pPr>
      <w:r>
        <w:rPr>
          <w:rFonts w:hint="eastAsia" w:eastAsia="宋体"/>
          <w:snapToGrid w:val="0"/>
          <w:color w:val="auto"/>
          <w:kern w:val="0"/>
          <w:sz w:val="24"/>
          <w:highlight w:val="none"/>
          <w:lang w:eastAsia="zh-CN"/>
        </w:rPr>
        <w:drawing>
          <wp:inline distT="0" distB="0" distL="114300" distR="114300">
            <wp:extent cx="5219065" cy="2628265"/>
            <wp:effectExtent l="0" t="0" r="635" b="635"/>
            <wp:docPr id="545" name="图片 545" descr="092f3394-820e-444d-b234-af93fe00cc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45" descr="092f3394-820e-444d-b234-af93fe00cc5d"/>
                    <pic:cNvPicPr>
                      <a:picLocks noChangeAspect="1"/>
                    </pic:cNvPicPr>
                  </pic:nvPicPr>
                  <pic:blipFill>
                    <a:blip r:embed="rId82"/>
                    <a:stretch>
                      <a:fillRect/>
                    </a:stretch>
                  </pic:blipFill>
                  <pic:spPr>
                    <a:xfrm>
                      <a:off x="0" y="0"/>
                      <a:ext cx="5219065" cy="2628265"/>
                    </a:xfrm>
                    <a:prstGeom prst="rect">
                      <a:avLst/>
                    </a:prstGeom>
                  </pic:spPr>
                </pic:pic>
              </a:graphicData>
            </a:graphic>
          </wp:inline>
        </w:drawing>
      </w:r>
    </w:p>
    <w:p w14:paraId="7A3D7D57">
      <w:pPr>
        <w:adjustRightInd w:val="0"/>
        <w:snapToGrid w:val="0"/>
        <w:spacing w:line="360" w:lineRule="auto"/>
        <w:jc w:val="center"/>
        <w:rPr>
          <w:rFonts w:hint="eastAsia" w:ascii="Times New Roman" w:hAnsi="Times New Roman" w:eastAsia="黑体" w:cs="Times New Roman"/>
          <w:snapToGrid w:val="0"/>
          <w:color w:val="auto"/>
          <w:kern w:val="0"/>
          <w:szCs w:val="21"/>
          <w:highlight w:val="none"/>
        </w:rPr>
      </w:pPr>
      <w:r>
        <w:rPr>
          <w:rFonts w:hint="eastAsia" w:ascii="Times New Roman" w:hAnsi="Times New Roman" w:eastAsia="黑体" w:cs="Times New Roman"/>
          <w:snapToGrid w:val="0"/>
          <w:color w:val="auto"/>
          <w:kern w:val="0"/>
          <w:szCs w:val="21"/>
          <w:highlight w:val="none"/>
        </w:rPr>
        <w:t>图</w:t>
      </w:r>
      <w:r>
        <w:rPr>
          <w:rFonts w:hint="eastAsia" w:ascii="Times New Roman" w:hAnsi="Times New Roman" w:eastAsia="黑体" w:cs="Times New Roman"/>
          <w:snapToGrid w:val="0"/>
          <w:color w:val="auto"/>
          <w:kern w:val="0"/>
          <w:szCs w:val="21"/>
          <w:highlight w:val="none"/>
          <w:lang w:val="en-US" w:eastAsia="zh-CN"/>
        </w:rPr>
        <w:t>6.3-5 事故废水流向、封堵示意图</w:t>
      </w:r>
    </w:p>
    <w:p w14:paraId="346DB00C">
      <w:pPr>
        <w:adjustRightInd w:val="0"/>
        <w:snapToGrid w:val="0"/>
        <w:spacing w:line="360" w:lineRule="auto"/>
        <w:ind w:firstLine="480" w:firstLineChars="200"/>
        <w:rPr>
          <w:rFonts w:hint="eastAsia" w:eastAsia="宋体"/>
          <w:snapToGrid w:val="0"/>
          <w:color w:val="auto"/>
          <w:kern w:val="0"/>
          <w:sz w:val="24"/>
          <w:highlight w:val="none"/>
          <w:lang w:eastAsia="zh-CN"/>
        </w:rPr>
      </w:pPr>
      <w:r>
        <w:rPr>
          <w:snapToGrid w:val="0"/>
          <w:color w:val="auto"/>
          <w:kern w:val="0"/>
          <w:sz w:val="24"/>
          <w:highlight w:val="none"/>
        </w:rPr>
        <w:t>（3）地下水环境风险防范措施</w:t>
      </w:r>
    </w:p>
    <w:p w14:paraId="04657590">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lang w:bidi="ar"/>
        </w:rPr>
        <w:t>针对事故状态下的泄漏物料和消防事故废水，本项目通过设置三级防控措施控制，并制定了覆盖厂内、厂外的地下水监控体系。</w:t>
      </w:r>
    </w:p>
    <w:p w14:paraId="044C52EF">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lang w:bidi="ar"/>
        </w:rPr>
        <w:t>将本项目进行污染区划分，在污染区域设置围堰或防火堤作为一级防控措施，收集全厂各生产装置污染区事故状态时的泄漏物料和消防事故废水，最终汇入事故池；根据设计方案，事故池</w:t>
      </w:r>
      <w:r>
        <w:rPr>
          <w:rFonts w:hint="eastAsia"/>
          <w:snapToGrid w:val="0"/>
          <w:color w:val="auto"/>
          <w:kern w:val="0"/>
          <w:sz w:val="24"/>
          <w:highlight w:val="none"/>
          <w:lang w:eastAsia="zh-CN" w:bidi="ar"/>
        </w:rPr>
        <w:t>（</w:t>
      </w:r>
      <w:r>
        <w:rPr>
          <w:rFonts w:hint="eastAsia"/>
          <w:snapToGrid w:val="0"/>
          <w:color w:val="auto"/>
          <w:kern w:val="0"/>
          <w:sz w:val="24"/>
          <w:highlight w:val="none"/>
          <w:lang w:bidi="ar"/>
        </w:rPr>
        <w:t>70</w:t>
      </w:r>
      <w:r>
        <w:rPr>
          <w:snapToGrid w:val="0"/>
          <w:color w:val="auto"/>
          <w:kern w:val="0"/>
          <w:sz w:val="24"/>
          <w:highlight w:val="none"/>
          <w:lang w:bidi="ar"/>
        </w:rPr>
        <w:t>00m</w:t>
      </w:r>
      <w:r>
        <w:rPr>
          <w:rFonts w:hint="eastAsia"/>
          <w:snapToGrid w:val="0"/>
          <w:color w:val="auto"/>
          <w:kern w:val="0"/>
          <w:sz w:val="24"/>
          <w:highlight w:val="none"/>
          <w:vertAlign w:val="superscript"/>
          <w:lang w:bidi="ar"/>
        </w:rPr>
        <w:t>3</w:t>
      </w:r>
      <w:r>
        <w:rPr>
          <w:rFonts w:hint="eastAsia"/>
          <w:snapToGrid w:val="0"/>
          <w:color w:val="auto"/>
          <w:kern w:val="0"/>
          <w:sz w:val="24"/>
          <w:highlight w:val="none"/>
          <w:lang w:eastAsia="zh-CN" w:bidi="ar"/>
        </w:rPr>
        <w:t>）</w:t>
      </w:r>
      <w:r>
        <w:rPr>
          <w:snapToGrid w:val="0"/>
          <w:color w:val="auto"/>
          <w:kern w:val="0"/>
          <w:sz w:val="24"/>
          <w:highlight w:val="none"/>
          <w:lang w:bidi="ar"/>
        </w:rPr>
        <w:t>作为二级防控措施，用以收集无法利用围堰控制的物料和被污染的废水，设计容量可以满足消防事故时的消防事故水量和雨水量；末端事故缓冲池都配有水泵，可将消防水导入污水处理系统</w:t>
      </w:r>
      <w:r>
        <w:rPr>
          <w:rFonts w:hint="eastAsia"/>
          <w:snapToGrid w:val="0"/>
          <w:color w:val="auto"/>
          <w:kern w:val="0"/>
          <w:sz w:val="24"/>
          <w:highlight w:val="none"/>
          <w:lang w:eastAsia="zh-CN" w:bidi="ar"/>
        </w:rPr>
        <w:t>和</w:t>
      </w:r>
      <w:r>
        <w:rPr>
          <w:snapToGrid w:val="0"/>
          <w:color w:val="auto"/>
          <w:kern w:val="0"/>
          <w:sz w:val="24"/>
          <w:highlight w:val="none"/>
          <w:lang w:bidi="ar"/>
        </w:rPr>
        <w:t>废水暂存池，进一步延长特大事故的消防时间。根据上述分析可知，针对事故状态下的泄漏物料和消防事故废水，本项目通过防控措施能够确保事故状态下泄漏物料和消防事故废水不出厂区。</w:t>
      </w:r>
    </w:p>
    <w:p w14:paraId="0A0F3E0C">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为了及时准确掌握厂址及下游地区地下水环境质量状况和事故状态下地下水体中污染物的动态变化，项目充分利用已在厂区及上下游布设的地下水水质监测井；并制定正常生产时场地和保护目标地下水跟踪监测计划，以重点风险源下游布点为主，其中跟踪监测点具有污染控制警戒功能。</w:t>
      </w:r>
    </w:p>
    <w:p w14:paraId="4A0D89D1">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地下水分区防渗措施见“地下水污染防治措施”章节内容。</w:t>
      </w:r>
    </w:p>
    <w:p w14:paraId="50B83383">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通过以上分析可知，项目事故状态下泄漏物料和消防事故废水不出厂，通过覆盖园区界内、界外的地下水监控体系掌握可能发生的地下水污染状况做到及时反应和应对。</w:t>
      </w:r>
    </w:p>
    <w:p w14:paraId="5B4F46E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（4）土壤污染事故风险防范措施</w:t>
      </w:r>
    </w:p>
    <w:p w14:paraId="2D93BD1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土壤污染情况主要有：液体或固体物料运输过程因翻车、泄漏等原因导致土壤污染以及废水、废液渗漏导致土壤污染。不仅造成土壤污染，也可能造成地下水污染。对土壤污染事故应急措施包括：</w:t>
      </w:r>
    </w:p>
    <w:p w14:paraId="3E848EA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①对固体物料（或气体）污染的土壤，用工具收集至容器中，视情况决定将表层土剥离处理；</w:t>
      </w:r>
    </w:p>
    <w:p w14:paraId="010A2B4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②液体物料污染土壤，应迅速设法制止其流动，包括筑堤、挖坑等，以防止污染面扩大或进一步污染水体。并对污染土壤收集处理；</w:t>
      </w:r>
    </w:p>
    <w:p w14:paraId="6F10AB9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③机械</w:t>
      </w:r>
      <w:r>
        <w:rPr>
          <w:rFonts w:hint="eastAsia"/>
          <w:snapToGrid w:val="0"/>
          <w:color w:val="auto"/>
          <w:kern w:val="0"/>
          <w:sz w:val="24"/>
          <w:highlight w:val="none"/>
          <w:lang w:eastAsia="zh-CN"/>
        </w:rPr>
        <w:t>清除</w:t>
      </w:r>
      <w:r>
        <w:rPr>
          <w:rFonts w:hint="eastAsia"/>
          <w:snapToGrid w:val="0"/>
          <w:color w:val="auto"/>
          <w:kern w:val="0"/>
          <w:sz w:val="24"/>
          <w:highlight w:val="none"/>
        </w:rPr>
        <w:t>被污染土壤并在安全区处置。</w:t>
      </w:r>
    </w:p>
    <w:p w14:paraId="559FDF2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④用物理、化学和生物方法消除污染，对污染的土壤</w:t>
      </w:r>
      <w:r>
        <w:rPr>
          <w:rFonts w:hint="eastAsia"/>
          <w:snapToGrid w:val="0"/>
          <w:color w:val="auto"/>
          <w:kern w:val="0"/>
          <w:sz w:val="24"/>
          <w:highlight w:val="none"/>
          <w:lang w:eastAsia="zh-CN"/>
        </w:rPr>
        <w:t>可</w:t>
      </w:r>
      <w:r>
        <w:rPr>
          <w:rFonts w:hint="eastAsia"/>
          <w:snapToGrid w:val="0"/>
          <w:color w:val="auto"/>
          <w:kern w:val="0"/>
          <w:sz w:val="24"/>
          <w:highlight w:val="none"/>
        </w:rPr>
        <w:t>采用地下水抽灌、回灌等措施，将地下水位高的地方采用注水法使水位上升，收集从地表溢出的水，送到污水处理系统进行处理。</w:t>
      </w:r>
    </w:p>
    <w:p w14:paraId="2F6B5F8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（5）环保设备事故风险防范措施</w:t>
      </w:r>
    </w:p>
    <w:p w14:paraId="3DEDFD4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①为避免粉尘泄漏弥漫到空气中，应对布袋除尘器进行定期检查更换；作业人员加强安全培训，出现粉尘泄漏能及时准确佩戴除尘面罩，保护自身安全。</w:t>
      </w:r>
    </w:p>
    <w:p w14:paraId="19D4584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②对工艺尾气处理装置设备、管道、阀门进行定期检查、维护，出现破损或开关泄漏失灵的及时维修、更换，计测仪表定期校验。</w:t>
      </w:r>
    </w:p>
    <w:p w14:paraId="1D03A5D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③根据相关要求对罐区的安全设施设置相应的安全联锁设施。采用先进的自动控制、④设备均采用专用材料，进行防渗防腐措施；设备检修前先将系统泄压，将有毒有害气体充分置换，严格按照动火操作规程进行动火作业；厂区配备相应的应急储备物资。</w:t>
      </w:r>
      <w:bookmarkStart w:id="170" w:name="_Toc99734443"/>
    </w:p>
    <w:bookmarkEnd w:id="170"/>
    <w:p w14:paraId="110C6C4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6.3.6生态环境污染防控体系</w:t>
      </w:r>
    </w:p>
    <w:p w14:paraId="277F40B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6.3.6.1水体污染一级预防与控制体系-单元</w:t>
      </w:r>
    </w:p>
    <w:p w14:paraId="28FE529D">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第一级防控系统由物料储存区围堰组成，收集一般事故情形时泄漏的物料，防止轻微事故泄漏造成的水环境污染。工艺生产装置根据污染物性质进行污染区划分，污染区设置围堰收集污染排水，分别经污水管道泵至厂区应急事故池，委托第三方单位处理。储罐设置围堰，满足有效容积不小于罐组内1个最大储罐的容积。</w:t>
      </w:r>
    </w:p>
    <w:p w14:paraId="37422F4E">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在一般事故情形时，利用围堰控制泄漏物料的转移，防止泄漏物料及消防废水造成的环境污染。围堰均进行防渗漏处理，管道穿堤处采用非燃烧材料严密封闭，设置防止物料流出堤外的措施。围堰内均设有排水沟，围堰外设有阀门井与围堰内排水沟相接，正常时阀门井内阀门关闭，防止突发事件不能及时关闭阀门。</w:t>
      </w:r>
    </w:p>
    <w:p w14:paraId="79BCEE2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6.3.6.2水体污染二级预防与控制体系-厂区</w:t>
      </w:r>
    </w:p>
    <w:p w14:paraId="727B1BC5">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第二级防控系统由应急池组成，将较大生产事故泄漏于装置区围堰、储罐防火堤外的物料首先经装置区内污水管线排入应急事故池，切断污染物与外部的通道，将污染物导入事故水系统，从而将污染控制在厂内，防止较大生产事故泄漏物料和污染消防水造成的环境污染。</w:t>
      </w:r>
    </w:p>
    <w:p w14:paraId="7682493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6.3.6.3水体污染三级预防与控制体系-园区</w:t>
      </w:r>
    </w:p>
    <w:p w14:paraId="4EB97A51">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第三级防控系统为园区设置的事故及消防水排水集中收集设施（罐或池），作为装置事故消防水排水的把关设施。发生重大的火灾、爆炸事故时，消防废水及其携带的物料通过第一级、第二级防控系统进入第三级防控系统，之后分批送污水处理设施处理。</w:t>
      </w:r>
    </w:p>
    <w:p w14:paraId="0A05DC8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6.3.7</w:t>
      </w:r>
      <w:r>
        <w:rPr>
          <w:rFonts w:hint="eastAsia" w:ascii="Times New Roman" w:cs="Times New Roman"/>
          <w:snapToGrid w:val="0"/>
          <w:color w:val="auto"/>
          <w:spacing w:val="0"/>
          <w:kern w:val="0"/>
          <w:szCs w:val="24"/>
          <w:highlight w:val="none"/>
          <w:lang w:val="en-US" w:eastAsia="zh-CN"/>
        </w:rPr>
        <w:t>突发</w:t>
      </w:r>
      <w:r>
        <w:rPr>
          <w:rFonts w:hint="eastAsia" w:ascii="Times New Roman" w:hAnsi="Times New Roman" w:cs="Times New Roman"/>
          <w:snapToGrid w:val="0"/>
          <w:color w:val="auto"/>
          <w:spacing w:val="0"/>
          <w:kern w:val="0"/>
          <w:szCs w:val="24"/>
          <w:highlight w:val="none"/>
          <w:lang w:val="en-US" w:eastAsia="zh-CN"/>
        </w:rPr>
        <w:t>生态环境</w:t>
      </w:r>
      <w:r>
        <w:rPr>
          <w:rFonts w:hint="eastAsia" w:ascii="Times New Roman" w:cs="Times New Roman"/>
          <w:snapToGrid w:val="0"/>
          <w:color w:val="auto"/>
          <w:spacing w:val="0"/>
          <w:kern w:val="0"/>
          <w:szCs w:val="24"/>
          <w:highlight w:val="none"/>
          <w:lang w:val="en-US" w:eastAsia="zh-CN"/>
        </w:rPr>
        <w:t>事件</w:t>
      </w:r>
      <w:r>
        <w:rPr>
          <w:rFonts w:hint="eastAsia" w:ascii="Times New Roman" w:hAnsi="Times New Roman" w:cs="Times New Roman"/>
          <w:snapToGrid w:val="0"/>
          <w:color w:val="auto"/>
          <w:spacing w:val="0"/>
          <w:kern w:val="0"/>
          <w:szCs w:val="24"/>
          <w:highlight w:val="none"/>
          <w:lang w:val="en-US" w:eastAsia="zh-CN"/>
        </w:rPr>
        <w:t>应急预案</w:t>
      </w:r>
    </w:p>
    <w:p w14:paraId="2EDB4C74">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为加强对突发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环境事件的应急管理工作，进一步增强防范和应对突发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环境事件的能力，根据《企业事业单位突发环境事件应急预案备案管理办法（试行）》《企业突发环境事件风险评估指南（试行）》等法律法规有关规定，本项目建成后风险物质</w:t>
      </w:r>
      <w:r>
        <w:rPr>
          <w:rFonts w:hint="eastAsia" w:eastAsiaTheme="minorEastAsia"/>
          <w:snapToGrid w:val="0"/>
          <w:color w:val="auto"/>
          <w:kern w:val="0"/>
          <w:sz w:val="24"/>
          <w:highlight w:val="none"/>
          <w:lang w:val="en-US" w:eastAsia="zh-CN"/>
        </w:rPr>
        <w:t>及风险设施</w:t>
      </w:r>
      <w:r>
        <w:rPr>
          <w:rFonts w:hint="eastAsia" w:eastAsiaTheme="minorEastAsia"/>
          <w:snapToGrid w:val="0"/>
          <w:color w:val="auto"/>
          <w:kern w:val="0"/>
          <w:sz w:val="24"/>
          <w:highlight w:val="none"/>
        </w:rPr>
        <w:t>发生变化，需修订突发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环境事故应急预案（以下简称应急预案）。</w:t>
      </w:r>
    </w:p>
    <w:p w14:paraId="502E31B2">
      <w:pPr>
        <w:adjustRightInd w:val="0"/>
        <w:snapToGrid w:val="0"/>
        <w:spacing w:line="360" w:lineRule="auto"/>
        <w:ind w:firstLine="480" w:firstLineChars="200"/>
        <w:rPr>
          <w:rFonts w:eastAsiaTheme="minorEastAsia"/>
          <w:snapToGrid w:val="0"/>
          <w:color w:val="auto"/>
          <w:kern w:val="0"/>
          <w:sz w:val="24"/>
          <w:highlight w:val="none"/>
        </w:rPr>
      </w:pPr>
      <w:r>
        <w:rPr>
          <w:color w:val="auto"/>
          <w:sz w:val="24"/>
          <w:highlight w:val="none"/>
        </w:rPr>
        <w:t>凯赛（乌苏）生物</w:t>
      </w:r>
      <w:r>
        <w:rPr>
          <w:rFonts w:hint="eastAsia"/>
          <w:color w:val="auto"/>
          <w:sz w:val="24"/>
          <w:highlight w:val="none"/>
        </w:rPr>
        <w:t>材料</w:t>
      </w:r>
      <w:r>
        <w:rPr>
          <w:color w:val="auto"/>
          <w:sz w:val="24"/>
          <w:highlight w:val="none"/>
        </w:rPr>
        <w:t>有限公司已于2024年12月18日在</w:t>
      </w:r>
      <w:r>
        <w:rPr>
          <w:rFonts w:hint="eastAsia"/>
          <w:color w:val="auto"/>
          <w:sz w:val="24"/>
          <w:highlight w:val="none"/>
        </w:rPr>
        <w:t>伊犁哈萨克自治州</w:t>
      </w:r>
      <w:r>
        <w:rPr>
          <w:color w:val="auto"/>
          <w:sz w:val="24"/>
          <w:highlight w:val="none"/>
        </w:rPr>
        <w:t>塔城地区生态环境局完成现有厂区的应急预案编制及备案工作，备案号654</w:t>
      </w:r>
      <w:r>
        <w:rPr>
          <w:rFonts w:hint="eastAsia"/>
          <w:color w:val="auto"/>
          <w:sz w:val="24"/>
          <w:highlight w:val="none"/>
        </w:rPr>
        <w:t>2</w:t>
      </w:r>
      <w:r>
        <w:rPr>
          <w:color w:val="auto"/>
          <w:sz w:val="24"/>
          <w:highlight w:val="none"/>
        </w:rPr>
        <w:t>00-2024-11</w:t>
      </w:r>
      <w:r>
        <w:rPr>
          <w:rFonts w:hint="eastAsia"/>
          <w:color w:val="auto"/>
          <w:sz w:val="24"/>
          <w:highlight w:val="none"/>
        </w:rPr>
        <w:t>0</w:t>
      </w:r>
      <w:r>
        <w:rPr>
          <w:color w:val="auto"/>
          <w:sz w:val="24"/>
          <w:highlight w:val="none"/>
        </w:rPr>
        <w:t>-M。公司成立了事故应急救援指挥部，定期进行事故演练，根据演练情况不断完善事故应急预案。</w:t>
      </w:r>
      <w:r>
        <w:rPr>
          <w:rFonts w:hint="eastAsia" w:eastAsiaTheme="minorEastAsia"/>
          <w:snapToGrid w:val="0"/>
          <w:color w:val="auto"/>
          <w:kern w:val="0"/>
          <w:sz w:val="24"/>
          <w:highlight w:val="none"/>
        </w:rPr>
        <w:t>本项目新增风险源及风险设施，建设单位需对已备案的《凯赛（乌苏）生物材料有限公司突发环境事件应急预案》进行修编。</w:t>
      </w:r>
    </w:p>
    <w:p w14:paraId="4537B8B2">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（1）组织机构及职责</w:t>
      </w:r>
    </w:p>
    <w:p w14:paraId="0AF0109C">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建设单位已设置安全环保部负责项目运营期的</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环境安全。其职责包括：</w:t>
      </w:r>
    </w:p>
    <w:p w14:paraId="38AF061B">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1）负责统一协调突发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环境事件的应对工作，负责应急统一指挥，同时还负责与建设区外界保持紧密联系，将事态的发展向外部的支持保障机构发出信号，并及时将反馈信息应用于事故应急的领导和指挥当中。</w:t>
      </w:r>
    </w:p>
    <w:p w14:paraId="66AF601F">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2）保证应对事故的各项资源，包括建立企业救援队，并与社会可利用资源建立长期合作关系；当建设单位内部资源不足、不能应对</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环境事故，需要区域内其他部门增援时，由建设单位的</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环境安全管理部门提出增援请求。</w:t>
      </w:r>
    </w:p>
    <w:p w14:paraId="329A6353">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3）在事故处理终止或者处理过程中，要向公众及时、准确地发布反映</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环境安全事故的信息，引导正确的舆论导向，对社会和公众负责。</w:t>
      </w:r>
    </w:p>
    <w:p w14:paraId="2A2DB850">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（2）应急预案内容</w:t>
      </w:r>
    </w:p>
    <w:p w14:paraId="07D7B8BE">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建设单位应对变动工程实施后可能产生的事故，对现有应急预案进行补充完善。从应急工作程序上，可以分为预防预警、应急响应、应急处理、应急终止、信息发布五个步骤。建设单位编制的</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环境事故应急预案应对以下内容进行细化，并明确各项工作的责任人。</w:t>
      </w:r>
    </w:p>
    <w:p w14:paraId="5E13E1EC">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1）预防预警</w:t>
      </w:r>
    </w:p>
    <w:p w14:paraId="38E978DC">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根据突发事件的严重性、紧急程度和可能波及的范围，划分预警级别，并根据事态的发展情况和采取措施的效果，提高或者降低应急预警级别。</w:t>
      </w:r>
    </w:p>
    <w:p w14:paraId="38FCD703">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2）应急响应</w:t>
      </w:r>
    </w:p>
    <w:p w14:paraId="1429AB9F">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环境事件发生后，应立即启动并实施相应的应急预案，及时向</w:t>
      </w:r>
      <w:r>
        <w:rPr>
          <w:rFonts w:hint="eastAsia" w:eastAsiaTheme="minorEastAsia"/>
          <w:snapToGrid w:val="0"/>
          <w:color w:val="auto"/>
          <w:kern w:val="0"/>
          <w:sz w:val="24"/>
          <w:highlight w:val="none"/>
          <w:lang w:val="en-US" w:eastAsia="zh-CN"/>
        </w:rPr>
        <w:t>乌苏</w:t>
      </w:r>
      <w:r>
        <w:rPr>
          <w:rFonts w:hint="eastAsia" w:eastAsiaTheme="minorEastAsia"/>
          <w:snapToGrid w:val="0"/>
          <w:color w:val="auto"/>
          <w:kern w:val="0"/>
          <w:sz w:val="24"/>
          <w:highlight w:val="none"/>
        </w:rPr>
        <w:t>市政府、乌苏工业园区管理委员会以及相关部门上报；同时，启动建设单位应急专业指挥机构；应急救援力量应立即开展应急救援工作；需要其他应急救援力量支援时，应及时向各级政府提出申请。</w:t>
      </w:r>
    </w:p>
    <w:p w14:paraId="07252D4A">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3）应急处理</w:t>
      </w:r>
    </w:p>
    <w:p w14:paraId="27C4B543">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对各类</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环境事故，根据相应的救援方案进行救援处理，同时进行应急环境监测。根据监测结果，综合分析突发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环境事件污染变化趋势，并通过专家咨询和讨论的方式，预测并报告突发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环境事件的发展情况和污染物的变化情况，作为突发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环境事件应急决策的依据。</w:t>
      </w:r>
    </w:p>
    <w:p w14:paraId="004F0C95">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4）应急终止</w:t>
      </w:r>
    </w:p>
    <w:p w14:paraId="3B4ABB70">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应急终止须经现场救援指挥部确认，由现场救援指挥部向所属各专业应急救援队伍下达应急终止命令。</w:t>
      </w:r>
    </w:p>
    <w:p w14:paraId="58BD6D32">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应急状态终止后，建设单位应根据上级有关指示和实际情况，继续进行环境监测和评价工作，直至其他补救措施无需继续进行为止。</w:t>
      </w:r>
    </w:p>
    <w:p w14:paraId="2EC802B7">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5）信息发布</w:t>
      </w:r>
    </w:p>
    <w:p w14:paraId="691F91CB">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环境事件终止后，要通过报纸、广播、电视和网络等多种媒体方式，及时发布准确、权威的信息，正确引导社会舆论，增强对</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环境安全应急措施的透明度。</w:t>
      </w:r>
    </w:p>
    <w:p w14:paraId="282F1ED5">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（3）监督管理</w:t>
      </w:r>
    </w:p>
    <w:p w14:paraId="4CA8D89B">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1）预案演练</w:t>
      </w:r>
    </w:p>
    <w:p w14:paraId="0B7DCBFB">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按照</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环境应急预案及相关单项预案，建设单位应定期组织不同类型的</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环境应急实战演练，提高防范和处置突发</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环境事件的技能，增强实战能力。</w:t>
      </w:r>
    </w:p>
    <w:p w14:paraId="691EDD0A">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2）宣传与培训</w:t>
      </w:r>
    </w:p>
    <w:p w14:paraId="696F98FB">
      <w:pPr>
        <w:adjustRightInd w:val="0"/>
        <w:snapToGrid w:val="0"/>
        <w:spacing w:line="360" w:lineRule="auto"/>
        <w:ind w:firstLine="480" w:firstLineChars="200"/>
        <w:rPr>
          <w:rFonts w:hint="eastAsia" w:eastAsiaTheme="minorEastAsia"/>
          <w:snapToGrid w:val="0"/>
          <w:color w:val="auto"/>
          <w:kern w:val="0"/>
          <w:sz w:val="24"/>
          <w:highlight w:val="none"/>
        </w:rPr>
      </w:pPr>
      <w:r>
        <w:rPr>
          <w:rFonts w:hint="eastAsia" w:eastAsiaTheme="minorEastAsia"/>
          <w:snapToGrid w:val="0"/>
          <w:color w:val="auto"/>
          <w:kern w:val="0"/>
          <w:sz w:val="24"/>
          <w:highlight w:val="none"/>
        </w:rPr>
        <w:t>建设单位加强</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环境保护科普宣传教育工作，普及</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污染事件预防常识，编印、发放有毒有害物质污染公众防护“明白卡”，增强公众的防范意识和相关心理准备，提高公众的防范能力。企业工作人员应积极主动接受日常培训，企业应对重要目标工作人员进行培训和管理。</w:t>
      </w:r>
    </w:p>
    <w:p w14:paraId="021D9674">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3）监督与评价</w:t>
      </w:r>
    </w:p>
    <w:p w14:paraId="05F4F557">
      <w:pPr>
        <w:adjustRightInd w:val="0"/>
        <w:snapToGrid w:val="0"/>
        <w:spacing w:line="360" w:lineRule="auto"/>
        <w:ind w:firstLine="456" w:firstLineChars="200"/>
        <w:rPr>
          <w:rFonts w:hint="eastAsia" w:ascii="Times New Roman" w:hAnsi="Times New Roman" w:eastAsia="宋体" w:cs="Times New Roman"/>
          <w:snapToGrid w:val="0"/>
          <w:color w:val="auto"/>
          <w:spacing w:val="-6"/>
          <w:kern w:val="0"/>
          <w:sz w:val="24"/>
          <w:highlight w:val="none"/>
        </w:rPr>
      </w:pPr>
      <w:r>
        <w:rPr>
          <w:rFonts w:hint="eastAsia" w:ascii="Times New Roman" w:hAnsi="Times New Roman" w:eastAsia="宋体" w:cs="Times New Roman"/>
          <w:snapToGrid w:val="0"/>
          <w:color w:val="auto"/>
          <w:spacing w:val="-6"/>
          <w:kern w:val="0"/>
          <w:sz w:val="24"/>
          <w:highlight w:val="none"/>
        </w:rPr>
        <w:t>为保障</w:t>
      </w:r>
      <w:r>
        <w:rPr>
          <w:rFonts w:hint="eastAsia" w:ascii="Times New Roman" w:hAnsi="Times New Roman" w:eastAsia="宋体" w:cs="Times New Roman"/>
          <w:snapToGrid w:val="0"/>
          <w:color w:val="auto"/>
          <w:spacing w:val="-6"/>
          <w:kern w:val="0"/>
          <w:sz w:val="24"/>
          <w:highlight w:val="none"/>
          <w:lang w:val="en-US" w:eastAsia="zh-CN"/>
        </w:rPr>
        <w:t>生态</w:t>
      </w:r>
      <w:r>
        <w:rPr>
          <w:rFonts w:hint="eastAsia" w:ascii="Times New Roman" w:hAnsi="Times New Roman" w:eastAsia="宋体" w:cs="Times New Roman"/>
          <w:snapToGrid w:val="0"/>
          <w:color w:val="auto"/>
          <w:spacing w:val="-6"/>
          <w:kern w:val="0"/>
          <w:sz w:val="24"/>
          <w:highlight w:val="none"/>
        </w:rPr>
        <w:t>环境应急体系始终处于良好的战备状态，并实现持续改进，建设单位应在</w:t>
      </w:r>
      <w:r>
        <w:rPr>
          <w:rFonts w:hint="eastAsia" w:ascii="Times New Roman" w:hAnsi="Times New Roman" w:eastAsia="宋体" w:cs="Times New Roman"/>
          <w:snapToGrid w:val="0"/>
          <w:color w:val="auto"/>
          <w:spacing w:val="-6"/>
          <w:kern w:val="0"/>
          <w:sz w:val="24"/>
          <w:highlight w:val="none"/>
          <w:lang w:val="en-US" w:eastAsia="zh-CN"/>
        </w:rPr>
        <w:t>生态</w:t>
      </w:r>
      <w:r>
        <w:rPr>
          <w:rFonts w:hint="eastAsia" w:ascii="Times New Roman" w:hAnsi="Times New Roman" w:eastAsia="宋体" w:cs="Times New Roman"/>
          <w:snapToGrid w:val="0"/>
          <w:color w:val="auto"/>
          <w:spacing w:val="-6"/>
          <w:kern w:val="0"/>
          <w:sz w:val="24"/>
          <w:highlight w:val="none"/>
        </w:rPr>
        <w:t>环境应急能力评价体系中实行自上而下的监督、检查和考核机制。监督和评价内容包括：应急机构的设置；应急工作程序的建立与执行情况；应急救援队伍的建设；应急人员培训与考核情况；应急装备使用和经费管理情况等。</w:t>
      </w:r>
    </w:p>
    <w:p w14:paraId="785A2799">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4）预案报备</w:t>
      </w:r>
    </w:p>
    <w:p w14:paraId="15958B25">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应急预案的主要内容包括总则、公司基本情况及周边环境概况调查、</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环境风险源及危险性分析、应急组织机构与职责、预防与预警、信息报告与通报、应急响应与措施、后期处置、培训与演练、奖惩、保障措施、预案管理、附则、附件、附图等内容构成。</w:t>
      </w:r>
    </w:p>
    <w:p w14:paraId="2A48F3E3">
      <w:pPr>
        <w:adjustRightInd w:val="0"/>
        <w:snapToGrid w:val="0"/>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项目应急预案修订完成后，送生态环境部门进行备案。</w:t>
      </w:r>
    </w:p>
    <w:p w14:paraId="24408787">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6.3.8</w:t>
      </w:r>
      <w:r>
        <w:rPr>
          <w:rFonts w:hint="eastAsia" w:asci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lang w:val="en-US" w:eastAsia="zh-CN"/>
        </w:rPr>
        <w:t>环境风险评价结论与建议</w:t>
      </w:r>
    </w:p>
    <w:p w14:paraId="5C02687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环境风险评价结论</w:t>
      </w:r>
    </w:p>
    <w:p w14:paraId="79B89FA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采用成熟可靠的生产工艺和设备，采取了大气环境、水环境、环境风险治理措施，采取分区防渗、加强物料输送管线检查并定期修订应急预案等环境风险防范措施，通过采取以上措施，项目建成后可以有效防止泄漏、火灾及爆炸事故的发生，一旦发生事故，依靠厂区内的安全环境防护设施和事故应急措施能及时控制事故，防止事故的蔓延。综上，在建设单位严格落实环评提出的各项防范措施和应急预案后，其环境风险可防可控，项目建设是可行的。</w:t>
      </w:r>
    </w:p>
    <w:p w14:paraId="5804842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（2）建议</w:t>
      </w:r>
    </w:p>
    <w:p w14:paraId="14F61EC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根据风险评价结论和项目特点，本次评价提出以下建议：</w:t>
      </w:r>
    </w:p>
    <w:p w14:paraId="67D5F2B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1）本项目具有潜在的事故风险，尽管风险可接受，但企业应从建设、生产、贮运等各方面积极采取防护措施，这是确保安全的根本措施。</w:t>
      </w:r>
    </w:p>
    <w:p w14:paraId="47632DF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2）当出现事故时，要采取紧急的工程应急措施，如必要，应采取社会应急措施，以控制事故和减少对</w:t>
      </w:r>
      <w:r>
        <w:rPr>
          <w:rFonts w:hint="eastAsia"/>
          <w:snapToGrid w:val="0"/>
          <w:color w:val="auto"/>
          <w:kern w:val="0"/>
          <w:sz w:val="24"/>
          <w:highlight w:val="none"/>
          <w:lang w:val="en-US" w:eastAsia="zh-CN"/>
        </w:rPr>
        <w:t>生态</w:t>
      </w:r>
      <w:r>
        <w:rPr>
          <w:rFonts w:hint="eastAsia"/>
          <w:snapToGrid w:val="0"/>
          <w:color w:val="auto"/>
          <w:kern w:val="0"/>
          <w:sz w:val="24"/>
          <w:highlight w:val="none"/>
        </w:rPr>
        <w:t>环境造成的危害。</w:t>
      </w:r>
    </w:p>
    <w:p w14:paraId="2F322BF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3）建设单位必须高度重视，做到风险防范警钟长鸣，环境安全管理常抓不懈；严格落实各项风险防范措施，不断完善风险管理体系。</w:t>
      </w:r>
    </w:p>
    <w:p w14:paraId="23A7D54C">
      <w:pPr>
        <w:adjustRightInd w:val="0"/>
        <w:snapToGrid w:val="0"/>
        <w:spacing w:line="360" w:lineRule="auto"/>
        <w:ind w:firstLine="456" w:firstLineChars="200"/>
        <w:rPr>
          <w:snapToGrid w:val="0"/>
          <w:color w:val="auto"/>
          <w:spacing w:val="-6"/>
          <w:kern w:val="0"/>
          <w:sz w:val="24"/>
          <w:highlight w:val="none"/>
        </w:rPr>
      </w:pPr>
      <w:r>
        <w:rPr>
          <w:rFonts w:hint="eastAsia"/>
          <w:snapToGrid w:val="0"/>
          <w:color w:val="auto"/>
          <w:spacing w:val="-6"/>
          <w:kern w:val="0"/>
          <w:sz w:val="24"/>
          <w:highlight w:val="none"/>
        </w:rPr>
        <w:t>4）建立企业</w:t>
      </w:r>
      <w:r>
        <w:rPr>
          <w:rFonts w:hint="eastAsia"/>
          <w:snapToGrid w:val="0"/>
          <w:color w:val="auto"/>
          <w:spacing w:val="-6"/>
          <w:kern w:val="0"/>
          <w:sz w:val="24"/>
          <w:highlight w:val="none"/>
          <w:lang w:val="en-US" w:eastAsia="zh-CN"/>
        </w:rPr>
        <w:t>生态</w:t>
      </w:r>
      <w:r>
        <w:rPr>
          <w:rFonts w:hint="eastAsia"/>
          <w:snapToGrid w:val="0"/>
          <w:color w:val="auto"/>
          <w:spacing w:val="-6"/>
          <w:kern w:val="0"/>
          <w:sz w:val="24"/>
          <w:highlight w:val="none"/>
        </w:rPr>
        <w:t>环境风险应急机制，加强厂区仓库及其生产设备、环保设施等巡查、监视力度，强化风险管理，强化员工的职业素质教育，杜绝违章作业。</w:t>
      </w:r>
    </w:p>
    <w:p w14:paraId="1E502924">
      <w:pPr>
        <w:rPr>
          <w:rFonts w:ascii="宋体" w:hAnsi="宋体" w:cs="宋体"/>
          <w:b/>
          <w:bCs/>
          <w:color w:val="auto"/>
          <w:sz w:val="24"/>
          <w:highlight w:val="none"/>
        </w:rPr>
      </w:pPr>
      <w:r>
        <w:rPr>
          <w:rFonts w:hint="eastAsia" w:ascii="宋体" w:hAnsi="宋体" w:cs="宋体"/>
          <w:b/>
          <w:bCs/>
          <w:color w:val="auto"/>
          <w:sz w:val="24"/>
          <w:highlight w:val="none"/>
        </w:rPr>
        <w:br w:type="page"/>
      </w:r>
    </w:p>
    <w:p w14:paraId="5663178C">
      <w:pPr>
        <w:pStyle w:val="412"/>
        <w:tabs>
          <w:tab w:val="left" w:pos="0"/>
          <w:tab w:val="clear" w:pos="6840"/>
        </w:tabs>
        <w:topLinePunct w:val="0"/>
        <w:adjustRightInd w:val="0"/>
        <w:spacing w:line="240" w:lineRule="auto"/>
        <w:ind w:left="0" w:firstLine="0" w:firstLineChars="0"/>
        <w:textAlignment w:val="center"/>
        <w:rPr>
          <w:rFonts w:hint="eastAsia" w:ascii="Times New Roman" w:hAnsi="Times New Roman" w:cs="Times New Roman"/>
          <w:snapToGrid w:val="0"/>
          <w:color w:val="auto"/>
          <w:kern w:val="0"/>
          <w:sz w:val="21"/>
          <w:szCs w:val="21"/>
          <w:highlight w:val="none"/>
        </w:rPr>
      </w:pPr>
    </w:p>
    <w:p w14:paraId="07498521">
      <w:pPr>
        <w:pStyle w:val="412"/>
        <w:tabs>
          <w:tab w:val="left" w:pos="0"/>
          <w:tab w:val="clear" w:pos="6840"/>
        </w:tabs>
        <w:topLinePunct w:val="0"/>
        <w:adjustRightInd w:val="0"/>
        <w:spacing w:line="240" w:lineRule="auto"/>
        <w:ind w:left="0" w:firstLine="0" w:firstLineChars="0"/>
        <w:textAlignment w:val="center"/>
        <w:rPr>
          <w:rFonts w:ascii="Times New Roman" w:hAnsi="Times New Roman" w:cs="Times New Roman"/>
          <w:snapToGrid w:val="0"/>
          <w:color w:val="auto"/>
          <w:kern w:val="0"/>
          <w:sz w:val="21"/>
          <w:szCs w:val="21"/>
          <w:highlight w:val="none"/>
        </w:rPr>
      </w:pPr>
      <w:r>
        <w:rPr>
          <w:rFonts w:hint="eastAsia" w:ascii="Times New Roman" w:hAnsi="Times New Roman" w:cs="Times New Roman"/>
          <w:snapToGrid w:val="0"/>
          <w:color w:val="auto"/>
          <w:kern w:val="0"/>
          <w:sz w:val="21"/>
          <w:szCs w:val="21"/>
          <w:highlight w:val="none"/>
        </w:rPr>
        <w:t>表6.3-</w:t>
      </w:r>
      <w:r>
        <w:rPr>
          <w:rFonts w:hint="eastAsia" w:ascii="Times New Roman" w:hAnsi="Times New Roman" w:cs="Times New Roman"/>
          <w:snapToGrid w:val="0"/>
          <w:color w:val="auto"/>
          <w:kern w:val="0"/>
          <w:sz w:val="21"/>
          <w:szCs w:val="21"/>
          <w:highlight w:val="none"/>
          <w:lang w:val="en-US" w:eastAsia="zh-CN"/>
        </w:rPr>
        <w:t>25</w:t>
      </w:r>
      <w:r>
        <w:rPr>
          <w:rFonts w:hint="eastAsia" w:ascii="Times New Roman" w:hAnsi="Times New Roman" w:cs="Times New Roman"/>
          <w:snapToGrid w:val="0"/>
          <w:color w:val="auto"/>
          <w:kern w:val="0"/>
          <w:sz w:val="21"/>
          <w:szCs w:val="21"/>
          <w:highlight w:val="none"/>
        </w:rPr>
        <w:t xml:space="preserve"> 环境风险影响评价自查表</w:t>
      </w:r>
    </w:p>
    <w:tbl>
      <w:tblPr>
        <w:tblStyle w:val="735"/>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2"/>
        <w:gridCol w:w="942"/>
        <w:gridCol w:w="498"/>
        <w:gridCol w:w="482"/>
        <w:gridCol w:w="483"/>
        <w:gridCol w:w="617"/>
        <w:gridCol w:w="952"/>
        <w:gridCol w:w="1018"/>
        <w:gridCol w:w="135"/>
        <w:gridCol w:w="430"/>
        <w:gridCol w:w="940"/>
        <w:gridCol w:w="1391"/>
      </w:tblGrid>
      <w:tr w14:paraId="1150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31" w:type="pct"/>
            <w:gridSpan w:val="2"/>
            <w:shd w:val="clear" w:color="auto" w:fill="auto"/>
            <w:vAlign w:val="center"/>
          </w:tcPr>
          <w:p w14:paraId="6EA4C3B3">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工作内容</w:t>
            </w:r>
          </w:p>
        </w:tc>
        <w:tc>
          <w:tcPr>
            <w:tcW w:w="4168" w:type="pct"/>
            <w:gridSpan w:val="10"/>
            <w:shd w:val="clear" w:color="auto" w:fill="auto"/>
            <w:vAlign w:val="center"/>
          </w:tcPr>
          <w:p w14:paraId="5C0C778E">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完成情况</w:t>
            </w:r>
          </w:p>
        </w:tc>
      </w:tr>
      <w:tr w14:paraId="206E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restart"/>
            <w:shd w:val="clear" w:color="auto" w:fill="auto"/>
            <w:textDirection w:val="tbRlV"/>
            <w:vAlign w:val="center"/>
          </w:tcPr>
          <w:p w14:paraId="65F75ED8">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风险调查</w:t>
            </w:r>
          </w:p>
        </w:tc>
        <w:tc>
          <w:tcPr>
            <w:tcW w:w="564" w:type="pct"/>
            <w:vMerge w:val="restart"/>
            <w:shd w:val="clear" w:color="auto" w:fill="auto"/>
            <w:vAlign w:val="center"/>
          </w:tcPr>
          <w:p w14:paraId="36D3423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危险物质</w:t>
            </w:r>
          </w:p>
        </w:tc>
        <w:tc>
          <w:tcPr>
            <w:tcW w:w="588" w:type="pct"/>
            <w:gridSpan w:val="2"/>
            <w:shd w:val="clear" w:color="auto" w:fill="auto"/>
            <w:vAlign w:val="center"/>
          </w:tcPr>
          <w:p w14:paraId="0594EE9B">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名称</w:t>
            </w:r>
          </w:p>
        </w:tc>
        <w:tc>
          <w:tcPr>
            <w:tcW w:w="3580" w:type="pct"/>
            <w:gridSpan w:val="8"/>
            <w:shd w:val="clear" w:color="auto" w:fill="auto"/>
            <w:vAlign w:val="center"/>
          </w:tcPr>
          <w:p w14:paraId="4CDDFAA9">
            <w:pPr>
              <w:autoSpaceDE/>
              <w:autoSpaceDN/>
              <w:adjustRightInd w:val="0"/>
              <w:snapToGrid w:val="0"/>
              <w:jc w:val="center"/>
              <w:rPr>
                <w:color w:val="auto"/>
                <w:kern w:val="0"/>
                <w:szCs w:val="21"/>
                <w:highlight w:val="none"/>
                <w:lang w:eastAsia="zh-CN"/>
              </w:rPr>
            </w:pPr>
            <w:r>
              <w:rPr>
                <w:rFonts w:hint="eastAsia"/>
                <w:snapToGrid w:val="0"/>
                <w:color w:val="auto"/>
                <w:kern w:val="0"/>
                <w:szCs w:val="21"/>
                <w:highlight w:val="none"/>
                <w:lang w:eastAsia="zh-CN"/>
              </w:rPr>
              <w:t>硫酸</w:t>
            </w:r>
            <w:r>
              <w:rPr>
                <w:color w:val="auto"/>
                <w:kern w:val="0"/>
                <w:szCs w:val="21"/>
                <w:highlight w:val="none"/>
                <w:lang w:eastAsia="zh-CN"/>
              </w:rPr>
              <w:t>、</w:t>
            </w:r>
            <w:r>
              <w:rPr>
                <w:rFonts w:hint="eastAsia"/>
                <w:color w:val="auto"/>
                <w:kern w:val="0"/>
                <w:szCs w:val="21"/>
                <w:highlight w:val="none"/>
                <w:lang w:val="en-US" w:eastAsia="zh-CN"/>
              </w:rPr>
              <w:t>烷烃</w:t>
            </w:r>
            <w:r>
              <w:rPr>
                <w:color w:val="auto"/>
                <w:kern w:val="0"/>
                <w:szCs w:val="21"/>
                <w:highlight w:val="none"/>
                <w:lang w:eastAsia="zh-CN"/>
              </w:rPr>
              <w:t>、</w:t>
            </w:r>
            <w:r>
              <w:rPr>
                <w:rFonts w:hint="eastAsia"/>
                <w:snapToGrid w:val="0"/>
                <w:color w:val="auto"/>
                <w:kern w:val="0"/>
                <w:szCs w:val="21"/>
                <w:highlight w:val="none"/>
                <w:lang w:eastAsia="zh-CN"/>
              </w:rPr>
              <w:t>生产废水（COD</w:t>
            </w:r>
            <w:r>
              <w:rPr>
                <w:rFonts w:hint="eastAsia"/>
                <w:snapToGrid w:val="0"/>
                <w:color w:val="auto"/>
                <w:kern w:val="0"/>
                <w:szCs w:val="21"/>
                <w:highlight w:val="none"/>
                <w:vertAlign w:val="subscript"/>
                <w:lang w:eastAsia="zh-CN"/>
              </w:rPr>
              <w:t>Cr</w:t>
            </w:r>
            <w:r>
              <w:rPr>
                <w:rFonts w:hint="eastAsia"/>
                <w:snapToGrid w:val="0"/>
                <w:color w:val="auto"/>
                <w:kern w:val="0"/>
                <w:szCs w:val="21"/>
                <w:highlight w:val="none"/>
                <w:lang w:eastAsia="zh-CN"/>
              </w:rPr>
              <w:t>浓度≥10000mg/L</w:t>
            </w:r>
            <w:r>
              <w:rPr>
                <w:rFonts w:hint="eastAsia"/>
                <w:color w:val="auto"/>
                <w:kern w:val="0"/>
                <w:szCs w:val="21"/>
                <w:highlight w:val="none"/>
                <w:lang w:eastAsia="zh-CN"/>
              </w:rPr>
              <w:t>）、废矿物油</w:t>
            </w:r>
          </w:p>
        </w:tc>
      </w:tr>
      <w:tr w14:paraId="70A3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70749FEC">
            <w:pPr>
              <w:pStyle w:val="68"/>
              <w:autoSpaceDE/>
              <w:autoSpaceDN/>
              <w:adjustRightInd w:val="0"/>
              <w:snapToGrid w:val="0"/>
              <w:spacing w:line="240" w:lineRule="auto"/>
              <w:rPr>
                <w:color w:val="auto"/>
                <w:kern w:val="0"/>
                <w:highlight w:val="none"/>
                <w:lang w:eastAsia="zh-CN"/>
              </w:rPr>
            </w:pPr>
          </w:p>
        </w:tc>
        <w:tc>
          <w:tcPr>
            <w:tcW w:w="564" w:type="pct"/>
            <w:vMerge w:val="continue"/>
            <w:shd w:val="clear" w:color="auto" w:fill="auto"/>
            <w:vAlign w:val="center"/>
          </w:tcPr>
          <w:p w14:paraId="5027D10F">
            <w:pPr>
              <w:pStyle w:val="68"/>
              <w:autoSpaceDE/>
              <w:autoSpaceDN/>
              <w:adjustRightInd w:val="0"/>
              <w:snapToGrid w:val="0"/>
              <w:spacing w:line="240" w:lineRule="auto"/>
              <w:rPr>
                <w:color w:val="auto"/>
                <w:kern w:val="0"/>
                <w:highlight w:val="none"/>
                <w:lang w:eastAsia="zh-CN"/>
              </w:rPr>
            </w:pPr>
          </w:p>
        </w:tc>
        <w:tc>
          <w:tcPr>
            <w:tcW w:w="588" w:type="pct"/>
            <w:gridSpan w:val="2"/>
            <w:shd w:val="clear" w:color="auto" w:fill="auto"/>
            <w:vAlign w:val="center"/>
          </w:tcPr>
          <w:p w14:paraId="0270E4D5">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存在总量/t</w:t>
            </w:r>
          </w:p>
        </w:tc>
        <w:tc>
          <w:tcPr>
            <w:tcW w:w="3580" w:type="pct"/>
            <w:gridSpan w:val="8"/>
            <w:shd w:val="clear" w:color="auto" w:fill="auto"/>
            <w:vAlign w:val="center"/>
          </w:tcPr>
          <w:p w14:paraId="3744F494">
            <w:pPr>
              <w:autoSpaceDE/>
              <w:autoSpaceDN/>
              <w:adjustRightInd w:val="0"/>
              <w:snapToGrid w:val="0"/>
              <w:jc w:val="center"/>
              <w:rPr>
                <w:color w:val="auto"/>
                <w:kern w:val="0"/>
                <w:szCs w:val="21"/>
                <w:highlight w:val="none"/>
                <w:lang w:eastAsia="zh-CN"/>
              </w:rPr>
            </w:pPr>
            <w:r>
              <w:rPr>
                <w:rFonts w:hint="eastAsia"/>
                <w:snapToGrid w:val="0"/>
                <w:color w:val="auto"/>
                <w:kern w:val="0"/>
                <w:szCs w:val="21"/>
                <w:highlight w:val="none"/>
                <w:lang w:eastAsia="zh-CN"/>
              </w:rPr>
              <w:t>硫酸</w:t>
            </w:r>
            <w:r>
              <w:rPr>
                <w:rFonts w:hint="eastAsia"/>
                <w:color w:val="auto"/>
                <w:kern w:val="0"/>
                <w:szCs w:val="21"/>
                <w:highlight w:val="none"/>
                <w:lang w:eastAsia="zh-CN"/>
              </w:rPr>
              <w:t>：</w:t>
            </w:r>
            <w:r>
              <w:rPr>
                <w:rFonts w:hint="eastAsia"/>
                <w:color w:val="auto"/>
                <w:kern w:val="0"/>
                <w:szCs w:val="21"/>
                <w:highlight w:val="none"/>
                <w:lang w:val="en-US" w:eastAsia="zh-CN"/>
              </w:rPr>
              <w:t>570.4</w:t>
            </w:r>
            <w:r>
              <w:rPr>
                <w:rFonts w:hint="eastAsia"/>
                <w:color w:val="auto"/>
                <w:kern w:val="0"/>
                <w:szCs w:val="21"/>
                <w:highlight w:val="none"/>
                <w:lang w:eastAsia="zh-CN"/>
              </w:rPr>
              <w:t>t；</w:t>
            </w:r>
            <w:r>
              <w:rPr>
                <w:rFonts w:hint="eastAsia"/>
                <w:color w:val="auto"/>
                <w:kern w:val="0"/>
                <w:szCs w:val="21"/>
                <w:highlight w:val="none"/>
                <w:lang w:val="en-US" w:eastAsia="zh-CN"/>
              </w:rPr>
              <w:t>烷烃</w:t>
            </w:r>
            <w:r>
              <w:rPr>
                <w:rFonts w:hint="eastAsia"/>
                <w:color w:val="auto"/>
                <w:kern w:val="0"/>
                <w:szCs w:val="21"/>
                <w:highlight w:val="none"/>
                <w:lang w:eastAsia="zh-CN"/>
              </w:rPr>
              <w:t>：</w:t>
            </w:r>
            <w:r>
              <w:rPr>
                <w:rFonts w:hint="eastAsia"/>
                <w:color w:val="auto"/>
                <w:kern w:val="0"/>
                <w:szCs w:val="21"/>
                <w:highlight w:val="none"/>
                <w:lang w:val="en-US" w:eastAsia="zh-CN"/>
              </w:rPr>
              <w:t>15858.36</w:t>
            </w:r>
            <w:r>
              <w:rPr>
                <w:rFonts w:hint="eastAsia"/>
                <w:color w:val="auto"/>
                <w:kern w:val="0"/>
                <w:szCs w:val="21"/>
                <w:highlight w:val="none"/>
                <w:lang w:eastAsia="zh-CN"/>
              </w:rPr>
              <w:t>t；</w:t>
            </w:r>
            <w:r>
              <w:rPr>
                <w:rFonts w:hint="eastAsia"/>
                <w:snapToGrid w:val="0"/>
                <w:color w:val="auto"/>
                <w:kern w:val="0"/>
                <w:szCs w:val="21"/>
                <w:highlight w:val="none"/>
                <w:lang w:eastAsia="zh-CN"/>
              </w:rPr>
              <w:t>生产废水（COD</w:t>
            </w:r>
            <w:r>
              <w:rPr>
                <w:rFonts w:hint="eastAsia"/>
                <w:snapToGrid w:val="0"/>
                <w:color w:val="auto"/>
                <w:kern w:val="0"/>
                <w:szCs w:val="21"/>
                <w:highlight w:val="none"/>
                <w:vertAlign w:val="subscript"/>
                <w:lang w:val="en-US" w:eastAsia="zh-CN"/>
              </w:rPr>
              <w:t>cr</w:t>
            </w:r>
            <w:r>
              <w:rPr>
                <w:rFonts w:hint="eastAsia"/>
                <w:snapToGrid w:val="0"/>
                <w:color w:val="auto"/>
                <w:kern w:val="0"/>
                <w:szCs w:val="21"/>
                <w:highlight w:val="none"/>
                <w:lang w:eastAsia="zh-CN"/>
              </w:rPr>
              <w:t>浓度≥10000mg/L</w:t>
            </w:r>
            <w:r>
              <w:rPr>
                <w:rFonts w:hint="eastAsia"/>
                <w:color w:val="auto"/>
                <w:kern w:val="0"/>
                <w:szCs w:val="21"/>
                <w:highlight w:val="none"/>
                <w:lang w:eastAsia="zh-CN"/>
              </w:rPr>
              <w:t>）：</w:t>
            </w:r>
            <w:r>
              <w:rPr>
                <w:rFonts w:hint="eastAsia"/>
                <w:color w:val="auto"/>
                <w:kern w:val="0"/>
                <w:szCs w:val="21"/>
                <w:highlight w:val="none"/>
                <w:lang w:val="en-US" w:eastAsia="zh-CN"/>
              </w:rPr>
              <w:t>180</w:t>
            </w:r>
            <w:r>
              <w:rPr>
                <w:rFonts w:hint="eastAsia"/>
                <w:color w:val="auto"/>
                <w:kern w:val="0"/>
                <w:szCs w:val="21"/>
                <w:highlight w:val="none"/>
                <w:lang w:eastAsia="zh-CN"/>
              </w:rPr>
              <w:t>t；废矿物油：</w:t>
            </w:r>
            <w:r>
              <w:rPr>
                <w:rFonts w:hint="eastAsia"/>
                <w:color w:val="auto"/>
                <w:kern w:val="0"/>
                <w:szCs w:val="21"/>
                <w:highlight w:val="none"/>
                <w:lang w:val="en-US" w:eastAsia="zh-CN"/>
              </w:rPr>
              <w:t>5</w:t>
            </w:r>
            <w:r>
              <w:rPr>
                <w:rFonts w:hint="eastAsia"/>
                <w:color w:val="auto"/>
                <w:kern w:val="0"/>
                <w:szCs w:val="21"/>
                <w:highlight w:val="none"/>
                <w:lang w:eastAsia="zh-CN"/>
              </w:rPr>
              <w:t>t</w:t>
            </w:r>
          </w:p>
        </w:tc>
      </w:tr>
      <w:tr w14:paraId="3493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4DA62A2E">
            <w:pPr>
              <w:pStyle w:val="68"/>
              <w:autoSpaceDE/>
              <w:autoSpaceDN/>
              <w:adjustRightInd w:val="0"/>
              <w:snapToGrid w:val="0"/>
              <w:spacing w:line="240" w:lineRule="auto"/>
              <w:rPr>
                <w:color w:val="auto"/>
                <w:kern w:val="0"/>
                <w:highlight w:val="none"/>
                <w:lang w:eastAsia="zh-CN"/>
              </w:rPr>
            </w:pPr>
          </w:p>
        </w:tc>
        <w:tc>
          <w:tcPr>
            <w:tcW w:w="564" w:type="pct"/>
            <w:vMerge w:val="restart"/>
            <w:shd w:val="clear" w:color="auto" w:fill="auto"/>
            <w:vAlign w:val="center"/>
          </w:tcPr>
          <w:p w14:paraId="0B669643">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环境</w:t>
            </w:r>
          </w:p>
          <w:p w14:paraId="4033BC34">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敏感性</w:t>
            </w:r>
          </w:p>
        </w:tc>
        <w:tc>
          <w:tcPr>
            <w:tcW w:w="588" w:type="pct"/>
            <w:gridSpan w:val="2"/>
            <w:vMerge w:val="restart"/>
            <w:shd w:val="clear" w:color="auto" w:fill="auto"/>
            <w:vAlign w:val="center"/>
          </w:tcPr>
          <w:p w14:paraId="69D6A7D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大气</w:t>
            </w:r>
          </w:p>
        </w:tc>
        <w:tc>
          <w:tcPr>
            <w:tcW w:w="1842" w:type="pct"/>
            <w:gridSpan w:val="4"/>
            <w:shd w:val="clear" w:color="auto" w:fill="auto"/>
            <w:vAlign w:val="center"/>
          </w:tcPr>
          <w:p w14:paraId="66162CD5">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500m范围内人口数（</w:t>
            </w:r>
            <w:r>
              <w:rPr>
                <w:rFonts w:hint="eastAsia"/>
                <w:color w:val="auto"/>
                <w:kern w:val="0"/>
                <w:highlight w:val="none"/>
                <w:lang w:eastAsia="zh-CN"/>
              </w:rPr>
              <w:t>450</w:t>
            </w:r>
            <w:r>
              <w:rPr>
                <w:color w:val="auto"/>
                <w:kern w:val="0"/>
                <w:highlight w:val="none"/>
                <w:lang w:eastAsia="zh-CN"/>
              </w:rPr>
              <w:t>）人</w:t>
            </w:r>
          </w:p>
        </w:tc>
        <w:tc>
          <w:tcPr>
            <w:tcW w:w="1737" w:type="pct"/>
            <w:gridSpan w:val="4"/>
            <w:shd w:val="clear" w:color="auto" w:fill="auto"/>
            <w:vAlign w:val="center"/>
          </w:tcPr>
          <w:p w14:paraId="0AFB51D3">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5km范围内人口数（</w:t>
            </w:r>
            <w:r>
              <w:rPr>
                <w:rFonts w:hint="eastAsia"/>
                <w:color w:val="auto"/>
                <w:kern w:val="0"/>
                <w:highlight w:val="none"/>
                <w:lang w:eastAsia="zh-CN"/>
              </w:rPr>
              <w:t>20</w:t>
            </w:r>
            <w:r>
              <w:rPr>
                <w:rFonts w:hint="eastAsia"/>
                <w:color w:val="auto"/>
                <w:kern w:val="0"/>
                <w:highlight w:val="none"/>
                <w:lang w:val="en-US" w:eastAsia="zh-CN"/>
              </w:rPr>
              <w:t>2</w:t>
            </w:r>
            <w:r>
              <w:rPr>
                <w:rFonts w:hint="eastAsia"/>
                <w:color w:val="auto"/>
                <w:kern w:val="0"/>
                <w:highlight w:val="none"/>
                <w:lang w:eastAsia="zh-CN"/>
              </w:rPr>
              <w:t>0</w:t>
            </w:r>
            <w:r>
              <w:rPr>
                <w:color w:val="auto"/>
                <w:kern w:val="0"/>
                <w:highlight w:val="none"/>
                <w:lang w:eastAsia="zh-CN"/>
              </w:rPr>
              <w:t>）人</w:t>
            </w:r>
          </w:p>
        </w:tc>
      </w:tr>
      <w:tr w14:paraId="706A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1675CE24">
            <w:pPr>
              <w:pStyle w:val="68"/>
              <w:autoSpaceDE/>
              <w:autoSpaceDN/>
              <w:adjustRightInd w:val="0"/>
              <w:snapToGrid w:val="0"/>
              <w:spacing w:line="240" w:lineRule="auto"/>
              <w:rPr>
                <w:color w:val="auto"/>
                <w:kern w:val="0"/>
                <w:highlight w:val="none"/>
                <w:lang w:eastAsia="zh-CN"/>
              </w:rPr>
            </w:pPr>
          </w:p>
        </w:tc>
        <w:tc>
          <w:tcPr>
            <w:tcW w:w="564" w:type="pct"/>
            <w:vMerge w:val="continue"/>
            <w:shd w:val="clear" w:color="auto" w:fill="auto"/>
            <w:vAlign w:val="center"/>
          </w:tcPr>
          <w:p w14:paraId="4C8B7E6D">
            <w:pPr>
              <w:pStyle w:val="68"/>
              <w:autoSpaceDE/>
              <w:autoSpaceDN/>
              <w:adjustRightInd w:val="0"/>
              <w:snapToGrid w:val="0"/>
              <w:spacing w:line="240" w:lineRule="auto"/>
              <w:rPr>
                <w:color w:val="auto"/>
                <w:kern w:val="0"/>
                <w:highlight w:val="none"/>
                <w:lang w:eastAsia="zh-CN"/>
              </w:rPr>
            </w:pPr>
          </w:p>
        </w:tc>
        <w:tc>
          <w:tcPr>
            <w:tcW w:w="588" w:type="pct"/>
            <w:gridSpan w:val="2"/>
            <w:vMerge w:val="continue"/>
            <w:shd w:val="clear" w:color="auto" w:fill="auto"/>
            <w:vAlign w:val="center"/>
          </w:tcPr>
          <w:p w14:paraId="1B21E529">
            <w:pPr>
              <w:pStyle w:val="68"/>
              <w:autoSpaceDE/>
              <w:autoSpaceDN/>
              <w:adjustRightInd w:val="0"/>
              <w:snapToGrid w:val="0"/>
              <w:spacing w:line="240" w:lineRule="auto"/>
              <w:rPr>
                <w:color w:val="auto"/>
                <w:kern w:val="0"/>
                <w:highlight w:val="none"/>
                <w:lang w:eastAsia="zh-CN"/>
              </w:rPr>
            </w:pPr>
          </w:p>
        </w:tc>
        <w:tc>
          <w:tcPr>
            <w:tcW w:w="2745" w:type="pct"/>
            <w:gridSpan w:val="7"/>
            <w:shd w:val="clear" w:color="auto" w:fill="auto"/>
            <w:vAlign w:val="center"/>
          </w:tcPr>
          <w:p w14:paraId="2EEACE51">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每公里管段周边200m范围内人口数（最大）</w:t>
            </w:r>
          </w:p>
        </w:tc>
        <w:tc>
          <w:tcPr>
            <w:tcW w:w="834" w:type="pct"/>
            <w:shd w:val="clear" w:color="auto" w:fill="auto"/>
            <w:vAlign w:val="center"/>
          </w:tcPr>
          <w:p w14:paraId="173BCF67">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人</w:t>
            </w:r>
          </w:p>
        </w:tc>
      </w:tr>
      <w:tr w14:paraId="0EC8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0B12CAD2">
            <w:pPr>
              <w:pStyle w:val="68"/>
              <w:autoSpaceDE/>
              <w:autoSpaceDN/>
              <w:adjustRightInd w:val="0"/>
              <w:snapToGrid w:val="0"/>
              <w:spacing w:line="240" w:lineRule="auto"/>
              <w:rPr>
                <w:color w:val="auto"/>
                <w:kern w:val="0"/>
                <w:highlight w:val="none"/>
                <w:lang w:eastAsia="en-US"/>
              </w:rPr>
            </w:pPr>
          </w:p>
        </w:tc>
        <w:tc>
          <w:tcPr>
            <w:tcW w:w="564" w:type="pct"/>
            <w:vMerge w:val="continue"/>
            <w:shd w:val="clear" w:color="auto" w:fill="auto"/>
            <w:vAlign w:val="center"/>
          </w:tcPr>
          <w:p w14:paraId="620BDF99">
            <w:pPr>
              <w:pStyle w:val="68"/>
              <w:autoSpaceDE/>
              <w:autoSpaceDN/>
              <w:adjustRightInd w:val="0"/>
              <w:snapToGrid w:val="0"/>
              <w:spacing w:line="240" w:lineRule="auto"/>
              <w:rPr>
                <w:color w:val="auto"/>
                <w:kern w:val="0"/>
                <w:highlight w:val="none"/>
                <w:lang w:eastAsia="en-US"/>
              </w:rPr>
            </w:pPr>
          </w:p>
        </w:tc>
        <w:tc>
          <w:tcPr>
            <w:tcW w:w="588" w:type="pct"/>
            <w:gridSpan w:val="2"/>
            <w:vMerge w:val="restart"/>
            <w:shd w:val="clear" w:color="auto" w:fill="auto"/>
            <w:vAlign w:val="center"/>
          </w:tcPr>
          <w:p w14:paraId="33643978">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地表水</w:t>
            </w:r>
          </w:p>
        </w:tc>
        <w:tc>
          <w:tcPr>
            <w:tcW w:w="1231" w:type="pct"/>
            <w:gridSpan w:val="3"/>
            <w:shd w:val="clear" w:color="auto" w:fill="auto"/>
            <w:vAlign w:val="center"/>
          </w:tcPr>
          <w:p w14:paraId="6B9B30A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地表水功能敏感性</w:t>
            </w:r>
          </w:p>
        </w:tc>
        <w:tc>
          <w:tcPr>
            <w:tcW w:w="692" w:type="pct"/>
            <w:gridSpan w:val="2"/>
            <w:shd w:val="clear" w:color="auto" w:fill="auto"/>
            <w:vAlign w:val="center"/>
          </w:tcPr>
          <w:p w14:paraId="76453838">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F1</w:t>
            </w:r>
            <w:r>
              <w:rPr>
                <w:rFonts w:hint="eastAsia"/>
                <w:color w:val="auto"/>
                <w:kern w:val="0"/>
                <w:highlight w:val="none"/>
                <w:lang w:eastAsia="en-US"/>
              </w:rPr>
              <w:t>□</w:t>
            </w:r>
          </w:p>
        </w:tc>
        <w:tc>
          <w:tcPr>
            <w:tcW w:w="822" w:type="pct"/>
            <w:gridSpan w:val="2"/>
            <w:shd w:val="clear" w:color="auto" w:fill="auto"/>
            <w:vAlign w:val="center"/>
          </w:tcPr>
          <w:p w14:paraId="0C403221">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F2</w:t>
            </w:r>
            <w:r>
              <w:rPr>
                <w:rFonts w:hint="eastAsia"/>
                <w:color w:val="auto"/>
                <w:kern w:val="0"/>
                <w:highlight w:val="none"/>
                <w:lang w:eastAsia="en-US"/>
              </w:rPr>
              <w:t>□</w:t>
            </w:r>
          </w:p>
        </w:tc>
        <w:tc>
          <w:tcPr>
            <w:tcW w:w="834" w:type="pct"/>
            <w:shd w:val="clear" w:color="auto" w:fill="auto"/>
            <w:vAlign w:val="center"/>
          </w:tcPr>
          <w:p w14:paraId="3E34E71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F3☑</w:t>
            </w:r>
          </w:p>
        </w:tc>
      </w:tr>
      <w:tr w14:paraId="7977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7C83363F">
            <w:pPr>
              <w:pStyle w:val="68"/>
              <w:autoSpaceDE/>
              <w:autoSpaceDN/>
              <w:adjustRightInd w:val="0"/>
              <w:snapToGrid w:val="0"/>
              <w:spacing w:line="240" w:lineRule="auto"/>
              <w:rPr>
                <w:color w:val="auto"/>
                <w:kern w:val="0"/>
                <w:highlight w:val="none"/>
                <w:lang w:eastAsia="en-US"/>
              </w:rPr>
            </w:pPr>
          </w:p>
        </w:tc>
        <w:tc>
          <w:tcPr>
            <w:tcW w:w="564" w:type="pct"/>
            <w:vMerge w:val="continue"/>
            <w:shd w:val="clear" w:color="auto" w:fill="auto"/>
            <w:vAlign w:val="center"/>
          </w:tcPr>
          <w:p w14:paraId="1E1AEEED">
            <w:pPr>
              <w:pStyle w:val="68"/>
              <w:autoSpaceDE/>
              <w:autoSpaceDN/>
              <w:adjustRightInd w:val="0"/>
              <w:snapToGrid w:val="0"/>
              <w:spacing w:line="240" w:lineRule="auto"/>
              <w:rPr>
                <w:color w:val="auto"/>
                <w:kern w:val="0"/>
                <w:highlight w:val="none"/>
                <w:lang w:eastAsia="en-US"/>
              </w:rPr>
            </w:pPr>
          </w:p>
        </w:tc>
        <w:tc>
          <w:tcPr>
            <w:tcW w:w="588" w:type="pct"/>
            <w:gridSpan w:val="2"/>
            <w:vMerge w:val="continue"/>
            <w:shd w:val="clear" w:color="auto" w:fill="auto"/>
            <w:vAlign w:val="center"/>
          </w:tcPr>
          <w:p w14:paraId="3940AD60">
            <w:pPr>
              <w:pStyle w:val="68"/>
              <w:autoSpaceDE/>
              <w:autoSpaceDN/>
              <w:adjustRightInd w:val="0"/>
              <w:snapToGrid w:val="0"/>
              <w:spacing w:line="240" w:lineRule="auto"/>
              <w:rPr>
                <w:color w:val="auto"/>
                <w:kern w:val="0"/>
                <w:highlight w:val="none"/>
                <w:lang w:eastAsia="en-US"/>
              </w:rPr>
            </w:pPr>
          </w:p>
        </w:tc>
        <w:tc>
          <w:tcPr>
            <w:tcW w:w="1231" w:type="pct"/>
            <w:gridSpan w:val="3"/>
            <w:shd w:val="clear" w:color="auto" w:fill="auto"/>
            <w:vAlign w:val="center"/>
          </w:tcPr>
          <w:p w14:paraId="582FC161">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环境敏感目标分级</w:t>
            </w:r>
          </w:p>
        </w:tc>
        <w:tc>
          <w:tcPr>
            <w:tcW w:w="692" w:type="pct"/>
            <w:gridSpan w:val="2"/>
            <w:shd w:val="clear" w:color="auto" w:fill="auto"/>
            <w:vAlign w:val="center"/>
          </w:tcPr>
          <w:p w14:paraId="4DCF1481">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S1</w:t>
            </w:r>
            <w:r>
              <w:rPr>
                <w:rFonts w:hint="eastAsia"/>
                <w:color w:val="auto"/>
                <w:kern w:val="0"/>
                <w:highlight w:val="none"/>
                <w:lang w:eastAsia="en-US"/>
              </w:rPr>
              <w:t>□</w:t>
            </w:r>
          </w:p>
        </w:tc>
        <w:tc>
          <w:tcPr>
            <w:tcW w:w="822" w:type="pct"/>
            <w:gridSpan w:val="2"/>
            <w:shd w:val="clear" w:color="auto" w:fill="auto"/>
            <w:vAlign w:val="center"/>
          </w:tcPr>
          <w:p w14:paraId="2C2D29A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S2</w:t>
            </w:r>
            <w:r>
              <w:rPr>
                <w:rFonts w:hint="eastAsia"/>
                <w:color w:val="auto"/>
                <w:kern w:val="0"/>
                <w:highlight w:val="none"/>
                <w:lang w:eastAsia="en-US"/>
              </w:rPr>
              <w:t>□</w:t>
            </w:r>
          </w:p>
        </w:tc>
        <w:tc>
          <w:tcPr>
            <w:tcW w:w="834" w:type="pct"/>
            <w:shd w:val="clear" w:color="auto" w:fill="auto"/>
            <w:vAlign w:val="center"/>
          </w:tcPr>
          <w:p w14:paraId="40FCAC8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S3☑</w:t>
            </w:r>
          </w:p>
        </w:tc>
      </w:tr>
      <w:tr w14:paraId="0F7D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3ADE69C9">
            <w:pPr>
              <w:pStyle w:val="68"/>
              <w:autoSpaceDE/>
              <w:autoSpaceDN/>
              <w:adjustRightInd w:val="0"/>
              <w:snapToGrid w:val="0"/>
              <w:spacing w:line="240" w:lineRule="auto"/>
              <w:rPr>
                <w:color w:val="auto"/>
                <w:kern w:val="0"/>
                <w:highlight w:val="none"/>
                <w:lang w:eastAsia="en-US"/>
              </w:rPr>
            </w:pPr>
          </w:p>
        </w:tc>
        <w:tc>
          <w:tcPr>
            <w:tcW w:w="564" w:type="pct"/>
            <w:vMerge w:val="continue"/>
            <w:shd w:val="clear" w:color="auto" w:fill="auto"/>
            <w:vAlign w:val="center"/>
          </w:tcPr>
          <w:p w14:paraId="3F3B4483">
            <w:pPr>
              <w:pStyle w:val="68"/>
              <w:autoSpaceDE/>
              <w:autoSpaceDN/>
              <w:adjustRightInd w:val="0"/>
              <w:snapToGrid w:val="0"/>
              <w:spacing w:line="240" w:lineRule="auto"/>
              <w:rPr>
                <w:color w:val="auto"/>
                <w:kern w:val="0"/>
                <w:highlight w:val="none"/>
                <w:lang w:eastAsia="en-US"/>
              </w:rPr>
            </w:pPr>
          </w:p>
        </w:tc>
        <w:tc>
          <w:tcPr>
            <w:tcW w:w="588" w:type="pct"/>
            <w:gridSpan w:val="2"/>
            <w:vMerge w:val="restart"/>
            <w:shd w:val="clear" w:color="auto" w:fill="auto"/>
            <w:vAlign w:val="center"/>
          </w:tcPr>
          <w:p w14:paraId="1F26BA89">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地下水</w:t>
            </w:r>
          </w:p>
        </w:tc>
        <w:tc>
          <w:tcPr>
            <w:tcW w:w="1231" w:type="pct"/>
            <w:gridSpan w:val="3"/>
            <w:shd w:val="clear" w:color="auto" w:fill="auto"/>
            <w:vAlign w:val="center"/>
          </w:tcPr>
          <w:p w14:paraId="57229FE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地下水功能敏感性</w:t>
            </w:r>
          </w:p>
        </w:tc>
        <w:tc>
          <w:tcPr>
            <w:tcW w:w="692" w:type="pct"/>
            <w:gridSpan w:val="2"/>
            <w:shd w:val="clear" w:color="auto" w:fill="auto"/>
            <w:vAlign w:val="center"/>
          </w:tcPr>
          <w:p w14:paraId="57381AA8">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G1</w:t>
            </w:r>
            <w:r>
              <w:rPr>
                <w:rFonts w:hint="eastAsia"/>
                <w:color w:val="auto"/>
                <w:kern w:val="0"/>
                <w:highlight w:val="none"/>
                <w:lang w:eastAsia="en-US"/>
              </w:rPr>
              <w:t>□</w:t>
            </w:r>
          </w:p>
        </w:tc>
        <w:tc>
          <w:tcPr>
            <w:tcW w:w="822" w:type="pct"/>
            <w:gridSpan w:val="2"/>
            <w:shd w:val="clear" w:color="auto" w:fill="auto"/>
            <w:vAlign w:val="center"/>
          </w:tcPr>
          <w:p w14:paraId="2DA3910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G2</w:t>
            </w:r>
            <w:r>
              <w:rPr>
                <w:rFonts w:hint="eastAsia"/>
                <w:color w:val="auto"/>
                <w:kern w:val="0"/>
                <w:highlight w:val="none"/>
                <w:lang w:eastAsia="en-US"/>
              </w:rPr>
              <w:t>□</w:t>
            </w:r>
          </w:p>
        </w:tc>
        <w:tc>
          <w:tcPr>
            <w:tcW w:w="834" w:type="pct"/>
            <w:shd w:val="clear" w:color="auto" w:fill="auto"/>
            <w:vAlign w:val="center"/>
          </w:tcPr>
          <w:p w14:paraId="13344AF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G3</w:t>
            </w:r>
            <w:r>
              <w:rPr>
                <w:rFonts w:hint="eastAsia"/>
                <w:color w:val="auto"/>
                <w:kern w:val="0"/>
                <w:highlight w:val="none"/>
                <w:lang w:eastAsia="en-US"/>
              </w:rPr>
              <w:t>☑</w:t>
            </w:r>
          </w:p>
        </w:tc>
      </w:tr>
      <w:tr w14:paraId="667D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01577890">
            <w:pPr>
              <w:pStyle w:val="68"/>
              <w:autoSpaceDE/>
              <w:autoSpaceDN/>
              <w:adjustRightInd w:val="0"/>
              <w:snapToGrid w:val="0"/>
              <w:spacing w:line="240" w:lineRule="auto"/>
              <w:rPr>
                <w:color w:val="auto"/>
                <w:kern w:val="0"/>
                <w:highlight w:val="none"/>
                <w:lang w:eastAsia="en-US"/>
              </w:rPr>
            </w:pPr>
          </w:p>
        </w:tc>
        <w:tc>
          <w:tcPr>
            <w:tcW w:w="564" w:type="pct"/>
            <w:vMerge w:val="continue"/>
            <w:shd w:val="clear" w:color="auto" w:fill="auto"/>
            <w:vAlign w:val="center"/>
          </w:tcPr>
          <w:p w14:paraId="7E96A6A5">
            <w:pPr>
              <w:pStyle w:val="68"/>
              <w:autoSpaceDE/>
              <w:autoSpaceDN/>
              <w:adjustRightInd w:val="0"/>
              <w:snapToGrid w:val="0"/>
              <w:spacing w:line="240" w:lineRule="auto"/>
              <w:rPr>
                <w:color w:val="auto"/>
                <w:kern w:val="0"/>
                <w:highlight w:val="none"/>
                <w:lang w:eastAsia="en-US"/>
              </w:rPr>
            </w:pPr>
          </w:p>
        </w:tc>
        <w:tc>
          <w:tcPr>
            <w:tcW w:w="588" w:type="pct"/>
            <w:gridSpan w:val="2"/>
            <w:vMerge w:val="continue"/>
            <w:shd w:val="clear" w:color="auto" w:fill="auto"/>
            <w:vAlign w:val="center"/>
          </w:tcPr>
          <w:p w14:paraId="1ACBE359">
            <w:pPr>
              <w:pStyle w:val="68"/>
              <w:autoSpaceDE/>
              <w:autoSpaceDN/>
              <w:adjustRightInd w:val="0"/>
              <w:snapToGrid w:val="0"/>
              <w:spacing w:line="240" w:lineRule="auto"/>
              <w:rPr>
                <w:color w:val="auto"/>
                <w:kern w:val="0"/>
                <w:highlight w:val="none"/>
                <w:lang w:eastAsia="en-US"/>
              </w:rPr>
            </w:pPr>
          </w:p>
        </w:tc>
        <w:tc>
          <w:tcPr>
            <w:tcW w:w="1231" w:type="pct"/>
            <w:gridSpan w:val="3"/>
            <w:shd w:val="clear" w:color="auto" w:fill="auto"/>
            <w:vAlign w:val="center"/>
          </w:tcPr>
          <w:p w14:paraId="3686D49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包气带防污性能</w:t>
            </w:r>
          </w:p>
        </w:tc>
        <w:tc>
          <w:tcPr>
            <w:tcW w:w="692" w:type="pct"/>
            <w:gridSpan w:val="2"/>
            <w:shd w:val="clear" w:color="auto" w:fill="auto"/>
            <w:vAlign w:val="center"/>
          </w:tcPr>
          <w:p w14:paraId="000EE43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D1</w:t>
            </w:r>
            <w:r>
              <w:rPr>
                <w:rFonts w:hint="eastAsia"/>
                <w:color w:val="auto"/>
                <w:kern w:val="0"/>
                <w:highlight w:val="none"/>
                <w:lang w:eastAsia="en-US"/>
              </w:rPr>
              <w:t>☑</w:t>
            </w:r>
          </w:p>
        </w:tc>
        <w:tc>
          <w:tcPr>
            <w:tcW w:w="822" w:type="pct"/>
            <w:gridSpan w:val="2"/>
            <w:shd w:val="clear" w:color="auto" w:fill="auto"/>
            <w:vAlign w:val="center"/>
          </w:tcPr>
          <w:p w14:paraId="2D94058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D2</w:t>
            </w:r>
            <w:r>
              <w:rPr>
                <w:rFonts w:hint="eastAsia"/>
                <w:color w:val="auto"/>
                <w:kern w:val="0"/>
                <w:highlight w:val="none"/>
                <w:lang w:eastAsia="en-US"/>
              </w:rPr>
              <w:t>□</w:t>
            </w:r>
          </w:p>
        </w:tc>
        <w:tc>
          <w:tcPr>
            <w:tcW w:w="834" w:type="pct"/>
            <w:shd w:val="clear" w:color="auto" w:fill="auto"/>
            <w:vAlign w:val="center"/>
          </w:tcPr>
          <w:p w14:paraId="6D6BFB4E">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D3</w:t>
            </w:r>
            <w:r>
              <w:rPr>
                <w:rFonts w:hint="eastAsia"/>
                <w:color w:val="auto"/>
                <w:kern w:val="0"/>
                <w:highlight w:val="none"/>
                <w:lang w:eastAsia="en-US"/>
              </w:rPr>
              <w:t>□</w:t>
            </w:r>
          </w:p>
        </w:tc>
      </w:tr>
      <w:tr w14:paraId="662F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vMerge w:val="restart"/>
            <w:shd w:val="clear" w:color="auto" w:fill="auto"/>
            <w:vAlign w:val="center"/>
          </w:tcPr>
          <w:p w14:paraId="060E0518">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物质及工艺系统危险性</w:t>
            </w:r>
          </w:p>
        </w:tc>
        <w:tc>
          <w:tcPr>
            <w:tcW w:w="588" w:type="pct"/>
            <w:gridSpan w:val="2"/>
            <w:shd w:val="clear" w:color="auto" w:fill="auto"/>
            <w:vAlign w:val="center"/>
          </w:tcPr>
          <w:p w14:paraId="5B468B4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Q值</w:t>
            </w:r>
          </w:p>
        </w:tc>
        <w:tc>
          <w:tcPr>
            <w:tcW w:w="1231" w:type="pct"/>
            <w:gridSpan w:val="3"/>
            <w:shd w:val="clear" w:color="auto" w:fill="auto"/>
            <w:vAlign w:val="center"/>
          </w:tcPr>
          <w:p w14:paraId="35897F8D">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Q＜1</w:t>
            </w:r>
            <w:r>
              <w:rPr>
                <w:rFonts w:hint="eastAsia"/>
                <w:color w:val="auto"/>
                <w:kern w:val="0"/>
                <w:highlight w:val="none"/>
                <w:lang w:eastAsia="en-US"/>
              </w:rPr>
              <w:t>□</w:t>
            </w:r>
          </w:p>
        </w:tc>
        <w:tc>
          <w:tcPr>
            <w:tcW w:w="692" w:type="pct"/>
            <w:gridSpan w:val="2"/>
            <w:shd w:val="clear" w:color="auto" w:fill="auto"/>
            <w:vAlign w:val="center"/>
          </w:tcPr>
          <w:p w14:paraId="6A0F037A">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1≤Q＜10</w:t>
            </w:r>
            <w:r>
              <w:rPr>
                <w:rFonts w:hint="eastAsia"/>
                <w:color w:val="auto"/>
                <w:kern w:val="0"/>
                <w:highlight w:val="none"/>
                <w:lang w:eastAsia="zh-CN"/>
              </w:rPr>
              <w:t>□</w:t>
            </w:r>
          </w:p>
        </w:tc>
        <w:tc>
          <w:tcPr>
            <w:tcW w:w="822" w:type="pct"/>
            <w:gridSpan w:val="2"/>
            <w:shd w:val="clear" w:color="auto" w:fill="auto"/>
            <w:vAlign w:val="center"/>
          </w:tcPr>
          <w:p w14:paraId="722E4A33">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10≤Q＜100</w:t>
            </w:r>
            <w:r>
              <w:rPr>
                <w:rFonts w:hint="eastAsia"/>
                <w:color w:val="auto"/>
                <w:kern w:val="0"/>
                <w:highlight w:val="none"/>
                <w:lang w:eastAsia="zh-CN"/>
              </w:rPr>
              <w:t>☑</w:t>
            </w:r>
          </w:p>
        </w:tc>
        <w:tc>
          <w:tcPr>
            <w:tcW w:w="834" w:type="pct"/>
            <w:shd w:val="clear" w:color="auto" w:fill="auto"/>
            <w:vAlign w:val="center"/>
          </w:tcPr>
          <w:p w14:paraId="0FA6A625">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Q＞100</w:t>
            </w:r>
            <w:r>
              <w:rPr>
                <w:rFonts w:hint="eastAsia"/>
                <w:color w:val="auto"/>
                <w:kern w:val="0"/>
                <w:highlight w:val="none"/>
                <w:lang w:eastAsia="zh-CN"/>
              </w:rPr>
              <w:t>□</w:t>
            </w:r>
          </w:p>
        </w:tc>
      </w:tr>
      <w:tr w14:paraId="0D33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vMerge w:val="continue"/>
            <w:shd w:val="clear" w:color="auto" w:fill="auto"/>
            <w:vAlign w:val="center"/>
          </w:tcPr>
          <w:p w14:paraId="5426522C">
            <w:pPr>
              <w:pStyle w:val="68"/>
              <w:autoSpaceDE/>
              <w:autoSpaceDN/>
              <w:adjustRightInd w:val="0"/>
              <w:snapToGrid w:val="0"/>
              <w:spacing w:line="240" w:lineRule="auto"/>
              <w:rPr>
                <w:color w:val="auto"/>
                <w:kern w:val="0"/>
                <w:highlight w:val="none"/>
                <w:lang w:eastAsia="en-US"/>
              </w:rPr>
            </w:pPr>
          </w:p>
        </w:tc>
        <w:tc>
          <w:tcPr>
            <w:tcW w:w="588" w:type="pct"/>
            <w:gridSpan w:val="2"/>
            <w:shd w:val="clear" w:color="auto" w:fill="auto"/>
            <w:vAlign w:val="center"/>
          </w:tcPr>
          <w:p w14:paraId="0A6C6109">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M值</w:t>
            </w:r>
          </w:p>
        </w:tc>
        <w:tc>
          <w:tcPr>
            <w:tcW w:w="1231" w:type="pct"/>
            <w:gridSpan w:val="3"/>
            <w:shd w:val="clear" w:color="auto" w:fill="auto"/>
            <w:vAlign w:val="center"/>
          </w:tcPr>
          <w:p w14:paraId="4B63646E">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M1</w:t>
            </w:r>
            <w:r>
              <w:rPr>
                <w:rFonts w:hint="eastAsia"/>
                <w:color w:val="auto"/>
                <w:kern w:val="0"/>
                <w:highlight w:val="none"/>
                <w:lang w:eastAsia="en-US"/>
              </w:rPr>
              <w:t>□</w:t>
            </w:r>
          </w:p>
        </w:tc>
        <w:tc>
          <w:tcPr>
            <w:tcW w:w="692" w:type="pct"/>
            <w:gridSpan w:val="2"/>
            <w:shd w:val="clear" w:color="auto" w:fill="auto"/>
            <w:vAlign w:val="center"/>
          </w:tcPr>
          <w:p w14:paraId="67AA957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M2</w:t>
            </w:r>
            <w:r>
              <w:rPr>
                <w:rFonts w:hint="eastAsia"/>
                <w:color w:val="auto"/>
                <w:kern w:val="0"/>
                <w:highlight w:val="none"/>
                <w:lang w:eastAsia="en-US"/>
              </w:rPr>
              <w:t>□</w:t>
            </w:r>
          </w:p>
        </w:tc>
        <w:tc>
          <w:tcPr>
            <w:tcW w:w="822" w:type="pct"/>
            <w:gridSpan w:val="2"/>
            <w:shd w:val="clear" w:color="auto" w:fill="auto"/>
            <w:vAlign w:val="center"/>
          </w:tcPr>
          <w:p w14:paraId="5F22031E">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M3</w:t>
            </w:r>
            <w:r>
              <w:rPr>
                <w:rFonts w:hint="eastAsia"/>
                <w:color w:val="auto"/>
                <w:kern w:val="0"/>
                <w:highlight w:val="none"/>
                <w:lang w:eastAsia="en-US"/>
              </w:rPr>
              <w:t>☑</w:t>
            </w:r>
          </w:p>
        </w:tc>
        <w:tc>
          <w:tcPr>
            <w:tcW w:w="834" w:type="pct"/>
            <w:shd w:val="clear" w:color="auto" w:fill="auto"/>
            <w:vAlign w:val="center"/>
          </w:tcPr>
          <w:p w14:paraId="3D0F6DB9">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M4</w:t>
            </w:r>
            <w:r>
              <w:rPr>
                <w:rFonts w:hint="eastAsia"/>
                <w:color w:val="auto"/>
                <w:kern w:val="0"/>
                <w:highlight w:val="none"/>
                <w:lang w:eastAsia="en-US"/>
              </w:rPr>
              <w:t>□</w:t>
            </w:r>
          </w:p>
        </w:tc>
      </w:tr>
      <w:tr w14:paraId="5042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vMerge w:val="continue"/>
            <w:shd w:val="clear" w:color="auto" w:fill="auto"/>
            <w:vAlign w:val="center"/>
          </w:tcPr>
          <w:p w14:paraId="491C8669">
            <w:pPr>
              <w:pStyle w:val="68"/>
              <w:autoSpaceDE/>
              <w:autoSpaceDN/>
              <w:adjustRightInd w:val="0"/>
              <w:snapToGrid w:val="0"/>
              <w:spacing w:line="240" w:lineRule="auto"/>
              <w:rPr>
                <w:color w:val="auto"/>
                <w:kern w:val="0"/>
                <w:highlight w:val="none"/>
                <w:lang w:eastAsia="en-US"/>
              </w:rPr>
            </w:pPr>
          </w:p>
        </w:tc>
        <w:tc>
          <w:tcPr>
            <w:tcW w:w="588" w:type="pct"/>
            <w:gridSpan w:val="2"/>
            <w:shd w:val="clear" w:color="auto" w:fill="auto"/>
            <w:vAlign w:val="center"/>
          </w:tcPr>
          <w:p w14:paraId="070C0084">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P值</w:t>
            </w:r>
          </w:p>
        </w:tc>
        <w:tc>
          <w:tcPr>
            <w:tcW w:w="1231" w:type="pct"/>
            <w:gridSpan w:val="3"/>
            <w:shd w:val="clear" w:color="auto" w:fill="auto"/>
            <w:vAlign w:val="center"/>
          </w:tcPr>
          <w:p w14:paraId="6F68CB44">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P1</w:t>
            </w:r>
            <w:r>
              <w:rPr>
                <w:rFonts w:hint="eastAsia"/>
                <w:color w:val="auto"/>
                <w:kern w:val="0"/>
                <w:highlight w:val="none"/>
                <w:lang w:eastAsia="en-US"/>
              </w:rPr>
              <w:t>□</w:t>
            </w:r>
          </w:p>
        </w:tc>
        <w:tc>
          <w:tcPr>
            <w:tcW w:w="692" w:type="pct"/>
            <w:gridSpan w:val="2"/>
            <w:shd w:val="clear" w:color="auto" w:fill="auto"/>
            <w:vAlign w:val="center"/>
          </w:tcPr>
          <w:p w14:paraId="0A7F2602">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P2</w:t>
            </w:r>
            <w:r>
              <w:rPr>
                <w:rFonts w:hint="eastAsia"/>
                <w:color w:val="auto"/>
                <w:kern w:val="0"/>
                <w:highlight w:val="none"/>
                <w:lang w:eastAsia="en-US"/>
              </w:rPr>
              <w:t>□</w:t>
            </w:r>
          </w:p>
        </w:tc>
        <w:tc>
          <w:tcPr>
            <w:tcW w:w="822" w:type="pct"/>
            <w:gridSpan w:val="2"/>
            <w:shd w:val="clear" w:color="auto" w:fill="auto"/>
            <w:vAlign w:val="center"/>
          </w:tcPr>
          <w:p w14:paraId="1697C3CF">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P3</w:t>
            </w:r>
            <w:r>
              <w:rPr>
                <w:rFonts w:hint="eastAsia"/>
                <w:color w:val="auto"/>
                <w:kern w:val="0"/>
                <w:highlight w:val="none"/>
                <w:lang w:eastAsia="zh-CN"/>
              </w:rPr>
              <w:t>☑</w:t>
            </w:r>
          </w:p>
        </w:tc>
        <w:tc>
          <w:tcPr>
            <w:tcW w:w="834" w:type="pct"/>
            <w:shd w:val="clear" w:color="auto" w:fill="auto"/>
            <w:vAlign w:val="center"/>
          </w:tcPr>
          <w:p w14:paraId="23C93227">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P4</w:t>
            </w:r>
            <w:r>
              <w:rPr>
                <w:rFonts w:hint="eastAsia"/>
                <w:color w:val="auto"/>
                <w:kern w:val="0"/>
                <w:highlight w:val="none"/>
                <w:lang w:eastAsia="zh-CN"/>
              </w:rPr>
              <w:t>□</w:t>
            </w:r>
          </w:p>
        </w:tc>
      </w:tr>
      <w:tr w14:paraId="0974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vMerge w:val="restart"/>
            <w:shd w:val="clear" w:color="auto" w:fill="auto"/>
            <w:vAlign w:val="center"/>
          </w:tcPr>
          <w:p w14:paraId="2B4FA68D">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环境敏感程度</w:t>
            </w:r>
          </w:p>
        </w:tc>
        <w:tc>
          <w:tcPr>
            <w:tcW w:w="588" w:type="pct"/>
            <w:gridSpan w:val="2"/>
            <w:shd w:val="clear" w:color="auto" w:fill="auto"/>
            <w:vAlign w:val="center"/>
          </w:tcPr>
          <w:p w14:paraId="053165DB">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大气</w:t>
            </w:r>
          </w:p>
        </w:tc>
        <w:tc>
          <w:tcPr>
            <w:tcW w:w="1231" w:type="pct"/>
            <w:gridSpan w:val="3"/>
            <w:shd w:val="clear" w:color="auto" w:fill="auto"/>
            <w:vAlign w:val="center"/>
          </w:tcPr>
          <w:p w14:paraId="414E8F95">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E1</w:t>
            </w:r>
            <w:r>
              <w:rPr>
                <w:rFonts w:hint="eastAsia"/>
                <w:color w:val="auto"/>
                <w:kern w:val="0"/>
                <w:highlight w:val="none"/>
                <w:lang w:eastAsia="en-US"/>
              </w:rPr>
              <w:t>□</w:t>
            </w:r>
          </w:p>
        </w:tc>
        <w:tc>
          <w:tcPr>
            <w:tcW w:w="950" w:type="pct"/>
            <w:gridSpan w:val="3"/>
            <w:shd w:val="clear" w:color="auto" w:fill="auto"/>
            <w:vAlign w:val="center"/>
          </w:tcPr>
          <w:p w14:paraId="576CACF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E2</w:t>
            </w:r>
            <w:r>
              <w:rPr>
                <w:rFonts w:hint="eastAsia"/>
                <w:color w:val="auto"/>
                <w:kern w:val="0"/>
                <w:highlight w:val="none"/>
                <w:lang w:eastAsia="en-US"/>
              </w:rPr>
              <w:t>□</w:t>
            </w:r>
          </w:p>
        </w:tc>
        <w:tc>
          <w:tcPr>
            <w:tcW w:w="1398" w:type="pct"/>
            <w:gridSpan w:val="2"/>
            <w:shd w:val="clear" w:color="auto" w:fill="auto"/>
            <w:vAlign w:val="center"/>
          </w:tcPr>
          <w:p w14:paraId="47444468">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E3</w:t>
            </w:r>
            <w:r>
              <w:rPr>
                <w:rFonts w:hint="eastAsia"/>
                <w:color w:val="auto"/>
                <w:kern w:val="0"/>
                <w:highlight w:val="none"/>
                <w:lang w:eastAsia="en-US"/>
              </w:rPr>
              <w:t>☑</w:t>
            </w:r>
          </w:p>
        </w:tc>
      </w:tr>
      <w:tr w14:paraId="758F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vMerge w:val="continue"/>
            <w:shd w:val="clear" w:color="auto" w:fill="auto"/>
            <w:vAlign w:val="center"/>
          </w:tcPr>
          <w:p w14:paraId="6C576E9A">
            <w:pPr>
              <w:pStyle w:val="68"/>
              <w:autoSpaceDE/>
              <w:autoSpaceDN/>
              <w:adjustRightInd w:val="0"/>
              <w:snapToGrid w:val="0"/>
              <w:spacing w:line="240" w:lineRule="auto"/>
              <w:rPr>
                <w:color w:val="auto"/>
                <w:kern w:val="0"/>
                <w:highlight w:val="none"/>
                <w:lang w:eastAsia="en-US"/>
              </w:rPr>
            </w:pPr>
          </w:p>
        </w:tc>
        <w:tc>
          <w:tcPr>
            <w:tcW w:w="588" w:type="pct"/>
            <w:gridSpan w:val="2"/>
            <w:shd w:val="clear" w:color="auto" w:fill="auto"/>
            <w:vAlign w:val="center"/>
          </w:tcPr>
          <w:p w14:paraId="1F757933">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地表水</w:t>
            </w:r>
          </w:p>
        </w:tc>
        <w:tc>
          <w:tcPr>
            <w:tcW w:w="1231" w:type="pct"/>
            <w:gridSpan w:val="3"/>
            <w:shd w:val="clear" w:color="auto" w:fill="auto"/>
            <w:vAlign w:val="center"/>
          </w:tcPr>
          <w:p w14:paraId="7043ED31">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E1</w:t>
            </w:r>
            <w:r>
              <w:rPr>
                <w:rFonts w:hint="eastAsia"/>
                <w:color w:val="auto"/>
                <w:kern w:val="0"/>
                <w:highlight w:val="none"/>
                <w:lang w:eastAsia="en-US"/>
              </w:rPr>
              <w:t>□</w:t>
            </w:r>
          </w:p>
        </w:tc>
        <w:tc>
          <w:tcPr>
            <w:tcW w:w="950" w:type="pct"/>
            <w:gridSpan w:val="3"/>
            <w:shd w:val="clear" w:color="auto" w:fill="auto"/>
            <w:vAlign w:val="center"/>
          </w:tcPr>
          <w:p w14:paraId="336038DC">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E2</w:t>
            </w:r>
            <w:r>
              <w:rPr>
                <w:rFonts w:hint="eastAsia"/>
                <w:color w:val="auto"/>
                <w:kern w:val="0"/>
                <w:highlight w:val="none"/>
                <w:lang w:eastAsia="en-US"/>
              </w:rPr>
              <w:t>□</w:t>
            </w:r>
          </w:p>
        </w:tc>
        <w:tc>
          <w:tcPr>
            <w:tcW w:w="1398" w:type="pct"/>
            <w:gridSpan w:val="2"/>
            <w:shd w:val="clear" w:color="auto" w:fill="auto"/>
            <w:vAlign w:val="center"/>
          </w:tcPr>
          <w:p w14:paraId="2B6E246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E3</w:t>
            </w:r>
            <w:r>
              <w:rPr>
                <w:rFonts w:hint="eastAsia"/>
                <w:color w:val="auto"/>
                <w:kern w:val="0"/>
                <w:highlight w:val="none"/>
                <w:lang w:eastAsia="en-US"/>
              </w:rPr>
              <w:t>☑</w:t>
            </w:r>
          </w:p>
        </w:tc>
      </w:tr>
      <w:tr w14:paraId="2DE2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vMerge w:val="continue"/>
            <w:shd w:val="clear" w:color="auto" w:fill="auto"/>
            <w:vAlign w:val="center"/>
          </w:tcPr>
          <w:p w14:paraId="4C8640DA">
            <w:pPr>
              <w:pStyle w:val="68"/>
              <w:autoSpaceDE/>
              <w:autoSpaceDN/>
              <w:adjustRightInd w:val="0"/>
              <w:snapToGrid w:val="0"/>
              <w:spacing w:line="240" w:lineRule="auto"/>
              <w:rPr>
                <w:color w:val="auto"/>
                <w:kern w:val="0"/>
                <w:highlight w:val="none"/>
                <w:lang w:eastAsia="en-US"/>
              </w:rPr>
            </w:pPr>
          </w:p>
        </w:tc>
        <w:tc>
          <w:tcPr>
            <w:tcW w:w="588" w:type="pct"/>
            <w:gridSpan w:val="2"/>
            <w:shd w:val="clear" w:color="auto" w:fill="auto"/>
            <w:vAlign w:val="center"/>
          </w:tcPr>
          <w:p w14:paraId="29500D93">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地下水</w:t>
            </w:r>
          </w:p>
        </w:tc>
        <w:tc>
          <w:tcPr>
            <w:tcW w:w="1231" w:type="pct"/>
            <w:gridSpan w:val="3"/>
            <w:shd w:val="clear" w:color="auto" w:fill="auto"/>
            <w:vAlign w:val="center"/>
          </w:tcPr>
          <w:p w14:paraId="45BBC1B5">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E1</w:t>
            </w:r>
            <w:r>
              <w:rPr>
                <w:rFonts w:hint="eastAsia"/>
                <w:color w:val="auto"/>
                <w:kern w:val="0"/>
                <w:highlight w:val="none"/>
                <w:lang w:eastAsia="en-US"/>
              </w:rPr>
              <w:t>□</w:t>
            </w:r>
          </w:p>
        </w:tc>
        <w:tc>
          <w:tcPr>
            <w:tcW w:w="950" w:type="pct"/>
            <w:gridSpan w:val="3"/>
            <w:shd w:val="clear" w:color="auto" w:fill="auto"/>
            <w:vAlign w:val="center"/>
          </w:tcPr>
          <w:p w14:paraId="10F873A7">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E2</w:t>
            </w:r>
            <w:r>
              <w:rPr>
                <w:rFonts w:hint="eastAsia"/>
                <w:color w:val="auto"/>
                <w:kern w:val="0"/>
                <w:highlight w:val="none"/>
                <w:lang w:eastAsia="zh-CN"/>
              </w:rPr>
              <w:t>☑</w:t>
            </w:r>
          </w:p>
        </w:tc>
        <w:tc>
          <w:tcPr>
            <w:tcW w:w="1398" w:type="pct"/>
            <w:gridSpan w:val="2"/>
            <w:shd w:val="clear" w:color="auto" w:fill="auto"/>
            <w:vAlign w:val="center"/>
          </w:tcPr>
          <w:p w14:paraId="40C7BD40">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E3</w:t>
            </w:r>
            <w:r>
              <w:rPr>
                <w:rFonts w:hint="eastAsia"/>
                <w:color w:val="auto"/>
                <w:kern w:val="0"/>
                <w:highlight w:val="none"/>
                <w:lang w:eastAsia="zh-CN"/>
              </w:rPr>
              <w:t>□</w:t>
            </w:r>
          </w:p>
        </w:tc>
      </w:tr>
      <w:tr w14:paraId="0253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shd w:val="clear" w:color="auto" w:fill="auto"/>
            <w:vAlign w:val="center"/>
          </w:tcPr>
          <w:p w14:paraId="21C7E4F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环境风险潜势</w:t>
            </w:r>
          </w:p>
        </w:tc>
        <w:tc>
          <w:tcPr>
            <w:tcW w:w="878" w:type="pct"/>
            <w:gridSpan w:val="3"/>
            <w:shd w:val="clear" w:color="auto" w:fill="auto"/>
            <w:vAlign w:val="center"/>
          </w:tcPr>
          <w:p w14:paraId="173B3869">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Ⅳ</w:t>
            </w:r>
            <w:r>
              <w:rPr>
                <w:color w:val="auto"/>
                <w:kern w:val="0"/>
                <w:highlight w:val="none"/>
                <w:vertAlign w:val="superscript"/>
                <w:lang w:eastAsia="en-US"/>
              </w:rPr>
              <w:t>+</w:t>
            </w:r>
            <w:r>
              <w:rPr>
                <w:rFonts w:hint="eastAsia"/>
                <w:color w:val="auto"/>
                <w:kern w:val="0"/>
                <w:highlight w:val="none"/>
                <w:lang w:eastAsia="en-US"/>
              </w:rPr>
              <w:t>□</w:t>
            </w:r>
          </w:p>
        </w:tc>
        <w:tc>
          <w:tcPr>
            <w:tcW w:w="940" w:type="pct"/>
            <w:gridSpan w:val="2"/>
            <w:shd w:val="clear" w:color="auto" w:fill="auto"/>
            <w:vAlign w:val="center"/>
          </w:tcPr>
          <w:p w14:paraId="4B9F275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Ⅳ</w:t>
            </w:r>
            <w:r>
              <w:rPr>
                <w:rFonts w:hint="eastAsia"/>
                <w:color w:val="auto"/>
                <w:kern w:val="0"/>
                <w:highlight w:val="none"/>
                <w:lang w:eastAsia="en-US"/>
              </w:rPr>
              <w:t>□</w:t>
            </w:r>
          </w:p>
        </w:tc>
        <w:tc>
          <w:tcPr>
            <w:tcW w:w="611" w:type="pct"/>
            <w:shd w:val="clear" w:color="auto" w:fill="auto"/>
            <w:vAlign w:val="center"/>
          </w:tcPr>
          <w:p w14:paraId="057FDB0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Ⅲ</w:t>
            </w:r>
            <w:r>
              <w:rPr>
                <w:rFonts w:hint="eastAsia"/>
                <w:color w:val="auto"/>
                <w:kern w:val="0"/>
                <w:highlight w:val="none"/>
                <w:lang w:eastAsia="en-US"/>
              </w:rPr>
              <w:t>☑</w:t>
            </w:r>
          </w:p>
        </w:tc>
        <w:tc>
          <w:tcPr>
            <w:tcW w:w="903" w:type="pct"/>
            <w:gridSpan w:val="3"/>
            <w:shd w:val="clear" w:color="auto" w:fill="auto"/>
            <w:vAlign w:val="center"/>
          </w:tcPr>
          <w:p w14:paraId="5A77065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Ⅱ</w:t>
            </w:r>
            <w:r>
              <w:rPr>
                <w:rFonts w:hint="eastAsia"/>
                <w:color w:val="auto"/>
                <w:kern w:val="0"/>
                <w:highlight w:val="none"/>
                <w:lang w:eastAsia="en-US"/>
              </w:rPr>
              <w:t>□</w:t>
            </w:r>
          </w:p>
        </w:tc>
        <w:tc>
          <w:tcPr>
            <w:tcW w:w="834" w:type="pct"/>
            <w:shd w:val="clear" w:color="auto" w:fill="auto"/>
            <w:vAlign w:val="center"/>
          </w:tcPr>
          <w:p w14:paraId="69D1F3F9">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I</w:t>
            </w:r>
            <w:r>
              <w:rPr>
                <w:rFonts w:hint="eastAsia"/>
                <w:color w:val="auto"/>
                <w:kern w:val="0"/>
                <w:highlight w:val="none"/>
                <w:lang w:eastAsia="en-US"/>
              </w:rPr>
              <w:t>□</w:t>
            </w:r>
          </w:p>
        </w:tc>
      </w:tr>
      <w:tr w14:paraId="08B8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shd w:val="clear" w:color="auto" w:fill="auto"/>
            <w:vAlign w:val="center"/>
          </w:tcPr>
          <w:p w14:paraId="461C10A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评价等级</w:t>
            </w:r>
          </w:p>
        </w:tc>
        <w:tc>
          <w:tcPr>
            <w:tcW w:w="1819" w:type="pct"/>
            <w:gridSpan w:val="5"/>
            <w:shd w:val="clear" w:color="auto" w:fill="auto"/>
            <w:vAlign w:val="center"/>
          </w:tcPr>
          <w:p w14:paraId="2891001C">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一级</w:t>
            </w:r>
            <w:r>
              <w:rPr>
                <w:rFonts w:hint="eastAsia"/>
                <w:color w:val="auto"/>
                <w:kern w:val="0"/>
                <w:highlight w:val="none"/>
                <w:lang w:eastAsia="en-US"/>
              </w:rPr>
              <w:t>□</w:t>
            </w:r>
          </w:p>
        </w:tc>
        <w:tc>
          <w:tcPr>
            <w:tcW w:w="611" w:type="pct"/>
            <w:shd w:val="clear" w:color="auto" w:fill="auto"/>
            <w:vAlign w:val="center"/>
          </w:tcPr>
          <w:p w14:paraId="73511CBB">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二级</w:t>
            </w:r>
            <w:r>
              <w:rPr>
                <w:rFonts w:hint="eastAsia"/>
                <w:color w:val="auto"/>
                <w:kern w:val="0"/>
                <w:highlight w:val="none"/>
                <w:lang w:eastAsia="en-US"/>
              </w:rPr>
              <w:t>☑</w:t>
            </w:r>
          </w:p>
        </w:tc>
        <w:tc>
          <w:tcPr>
            <w:tcW w:w="903" w:type="pct"/>
            <w:gridSpan w:val="3"/>
            <w:shd w:val="clear" w:color="auto" w:fill="auto"/>
            <w:vAlign w:val="center"/>
          </w:tcPr>
          <w:p w14:paraId="653E5FA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三级</w:t>
            </w:r>
            <w:r>
              <w:rPr>
                <w:rFonts w:hint="eastAsia"/>
                <w:color w:val="auto"/>
                <w:kern w:val="0"/>
                <w:highlight w:val="none"/>
                <w:lang w:eastAsia="en-US"/>
              </w:rPr>
              <w:t>□</w:t>
            </w:r>
          </w:p>
        </w:tc>
        <w:tc>
          <w:tcPr>
            <w:tcW w:w="834" w:type="pct"/>
            <w:shd w:val="clear" w:color="auto" w:fill="auto"/>
            <w:vAlign w:val="center"/>
          </w:tcPr>
          <w:p w14:paraId="35A47A6C">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简单分析</w:t>
            </w:r>
            <w:r>
              <w:rPr>
                <w:rFonts w:hint="eastAsia"/>
                <w:color w:val="auto"/>
                <w:kern w:val="0"/>
                <w:highlight w:val="none"/>
                <w:lang w:eastAsia="en-US"/>
              </w:rPr>
              <w:t>□</w:t>
            </w:r>
          </w:p>
        </w:tc>
      </w:tr>
      <w:tr w14:paraId="37E16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restart"/>
            <w:shd w:val="clear" w:color="auto" w:fill="auto"/>
            <w:textDirection w:val="tbRlV"/>
            <w:vAlign w:val="center"/>
          </w:tcPr>
          <w:p w14:paraId="42B1D0D5">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风险分析</w:t>
            </w:r>
          </w:p>
        </w:tc>
        <w:tc>
          <w:tcPr>
            <w:tcW w:w="564" w:type="pct"/>
            <w:shd w:val="clear" w:color="auto" w:fill="auto"/>
            <w:vAlign w:val="center"/>
          </w:tcPr>
          <w:p w14:paraId="4513126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物质</w:t>
            </w:r>
          </w:p>
          <w:p w14:paraId="18409FDF">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危险性</w:t>
            </w:r>
          </w:p>
        </w:tc>
        <w:tc>
          <w:tcPr>
            <w:tcW w:w="1819" w:type="pct"/>
            <w:gridSpan w:val="5"/>
            <w:shd w:val="clear" w:color="auto" w:fill="auto"/>
            <w:vAlign w:val="center"/>
          </w:tcPr>
          <w:p w14:paraId="72C53C67">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有毒有害☑</w:t>
            </w:r>
          </w:p>
        </w:tc>
        <w:tc>
          <w:tcPr>
            <w:tcW w:w="2348" w:type="pct"/>
            <w:gridSpan w:val="5"/>
            <w:shd w:val="clear" w:color="auto" w:fill="auto"/>
            <w:vAlign w:val="center"/>
          </w:tcPr>
          <w:p w14:paraId="53AB7B6C">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易燃易爆</w:t>
            </w:r>
            <w:r>
              <w:rPr>
                <w:rFonts w:hint="eastAsia"/>
                <w:color w:val="auto"/>
                <w:kern w:val="0"/>
                <w:highlight w:val="none"/>
                <w:lang w:eastAsia="en-US"/>
              </w:rPr>
              <w:t>☑</w:t>
            </w:r>
          </w:p>
        </w:tc>
      </w:tr>
      <w:tr w14:paraId="23B9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4563B85E">
            <w:pPr>
              <w:pStyle w:val="68"/>
              <w:autoSpaceDE/>
              <w:autoSpaceDN/>
              <w:adjustRightInd w:val="0"/>
              <w:snapToGrid w:val="0"/>
              <w:spacing w:line="240" w:lineRule="auto"/>
              <w:rPr>
                <w:color w:val="auto"/>
                <w:kern w:val="0"/>
                <w:highlight w:val="none"/>
                <w:lang w:eastAsia="en-US"/>
              </w:rPr>
            </w:pPr>
          </w:p>
        </w:tc>
        <w:tc>
          <w:tcPr>
            <w:tcW w:w="564" w:type="pct"/>
            <w:shd w:val="clear" w:color="auto" w:fill="auto"/>
            <w:vAlign w:val="center"/>
          </w:tcPr>
          <w:p w14:paraId="58346C3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环境风险类型</w:t>
            </w:r>
          </w:p>
        </w:tc>
        <w:tc>
          <w:tcPr>
            <w:tcW w:w="1819" w:type="pct"/>
            <w:gridSpan w:val="5"/>
            <w:shd w:val="clear" w:color="auto" w:fill="auto"/>
            <w:vAlign w:val="center"/>
          </w:tcPr>
          <w:p w14:paraId="30C8AA1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泄漏☑</w:t>
            </w:r>
          </w:p>
        </w:tc>
        <w:tc>
          <w:tcPr>
            <w:tcW w:w="2348" w:type="pct"/>
            <w:gridSpan w:val="5"/>
            <w:shd w:val="clear" w:color="auto" w:fill="auto"/>
            <w:vAlign w:val="center"/>
          </w:tcPr>
          <w:p w14:paraId="54E210F4">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火灾、爆炸引发伴生/次生污染物排放</w:t>
            </w:r>
            <w:r>
              <w:rPr>
                <w:rFonts w:hint="eastAsia"/>
                <w:color w:val="auto"/>
                <w:kern w:val="0"/>
                <w:highlight w:val="none"/>
                <w:lang w:eastAsia="zh-CN"/>
              </w:rPr>
              <w:t>□</w:t>
            </w:r>
          </w:p>
        </w:tc>
      </w:tr>
      <w:tr w14:paraId="161B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0847B8F6">
            <w:pPr>
              <w:pStyle w:val="68"/>
              <w:autoSpaceDE/>
              <w:autoSpaceDN/>
              <w:adjustRightInd w:val="0"/>
              <w:snapToGrid w:val="0"/>
              <w:spacing w:line="240" w:lineRule="auto"/>
              <w:rPr>
                <w:color w:val="auto"/>
                <w:kern w:val="0"/>
                <w:highlight w:val="none"/>
                <w:lang w:eastAsia="zh-CN"/>
              </w:rPr>
            </w:pPr>
          </w:p>
        </w:tc>
        <w:tc>
          <w:tcPr>
            <w:tcW w:w="564" w:type="pct"/>
            <w:shd w:val="clear" w:color="auto" w:fill="auto"/>
            <w:vAlign w:val="center"/>
          </w:tcPr>
          <w:p w14:paraId="1A45A803">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影响途径</w:t>
            </w:r>
          </w:p>
        </w:tc>
        <w:tc>
          <w:tcPr>
            <w:tcW w:w="1819" w:type="pct"/>
            <w:gridSpan w:val="5"/>
            <w:shd w:val="clear" w:color="auto" w:fill="auto"/>
            <w:vAlign w:val="center"/>
          </w:tcPr>
          <w:p w14:paraId="1FCB23E6">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大气☑</w:t>
            </w:r>
          </w:p>
        </w:tc>
        <w:tc>
          <w:tcPr>
            <w:tcW w:w="950" w:type="pct"/>
            <w:gridSpan w:val="3"/>
            <w:shd w:val="clear" w:color="auto" w:fill="auto"/>
            <w:vAlign w:val="center"/>
          </w:tcPr>
          <w:p w14:paraId="241DB3F4">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地表水</w:t>
            </w:r>
            <w:r>
              <w:rPr>
                <w:rFonts w:hint="eastAsia"/>
                <w:color w:val="auto"/>
                <w:kern w:val="0"/>
                <w:highlight w:val="none"/>
                <w:lang w:eastAsia="en-US"/>
              </w:rPr>
              <w:t>□</w:t>
            </w:r>
          </w:p>
        </w:tc>
        <w:tc>
          <w:tcPr>
            <w:tcW w:w="1398" w:type="pct"/>
            <w:gridSpan w:val="2"/>
            <w:shd w:val="clear" w:color="auto" w:fill="auto"/>
            <w:vAlign w:val="center"/>
          </w:tcPr>
          <w:p w14:paraId="38EA2F23">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地下水☑</w:t>
            </w:r>
          </w:p>
        </w:tc>
      </w:tr>
      <w:tr w14:paraId="1CA6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shd w:val="clear" w:color="auto" w:fill="auto"/>
            <w:vAlign w:val="center"/>
          </w:tcPr>
          <w:p w14:paraId="7AAD614C">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事故情形分析</w:t>
            </w:r>
          </w:p>
        </w:tc>
        <w:tc>
          <w:tcPr>
            <w:tcW w:w="878" w:type="pct"/>
            <w:gridSpan w:val="3"/>
            <w:shd w:val="clear" w:color="auto" w:fill="auto"/>
            <w:vAlign w:val="center"/>
          </w:tcPr>
          <w:p w14:paraId="1DB151FC">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源强设定方法</w:t>
            </w:r>
          </w:p>
        </w:tc>
        <w:tc>
          <w:tcPr>
            <w:tcW w:w="940" w:type="pct"/>
            <w:gridSpan w:val="2"/>
            <w:shd w:val="clear" w:color="auto" w:fill="auto"/>
            <w:vAlign w:val="center"/>
          </w:tcPr>
          <w:p w14:paraId="272646A3">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计算法</w:t>
            </w:r>
            <w:r>
              <w:rPr>
                <w:rFonts w:hint="eastAsia"/>
                <w:color w:val="auto"/>
                <w:kern w:val="0"/>
                <w:highlight w:val="none"/>
                <w:lang w:eastAsia="zh-CN"/>
              </w:rPr>
              <w:t>□</w:t>
            </w:r>
          </w:p>
        </w:tc>
        <w:tc>
          <w:tcPr>
            <w:tcW w:w="950" w:type="pct"/>
            <w:gridSpan w:val="3"/>
            <w:shd w:val="clear" w:color="auto" w:fill="auto"/>
            <w:vAlign w:val="center"/>
          </w:tcPr>
          <w:p w14:paraId="3A960267">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经验估算法</w:t>
            </w:r>
            <w:r>
              <w:rPr>
                <w:rFonts w:hint="eastAsia"/>
                <w:color w:val="auto"/>
                <w:kern w:val="0"/>
                <w:highlight w:val="none"/>
                <w:lang w:eastAsia="en-US"/>
              </w:rPr>
              <w:t>□</w:t>
            </w:r>
          </w:p>
        </w:tc>
        <w:tc>
          <w:tcPr>
            <w:tcW w:w="1398" w:type="pct"/>
            <w:gridSpan w:val="2"/>
            <w:shd w:val="clear" w:color="auto" w:fill="auto"/>
            <w:vAlign w:val="center"/>
          </w:tcPr>
          <w:p w14:paraId="15A2236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其他估算法</w:t>
            </w:r>
            <w:r>
              <w:rPr>
                <w:rFonts w:hint="eastAsia"/>
                <w:color w:val="auto"/>
                <w:kern w:val="0"/>
                <w:highlight w:val="none"/>
                <w:lang w:eastAsia="en-US"/>
              </w:rPr>
              <w:t>□</w:t>
            </w:r>
          </w:p>
        </w:tc>
      </w:tr>
      <w:tr w14:paraId="7A5A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restart"/>
            <w:shd w:val="clear" w:color="auto" w:fill="auto"/>
            <w:textDirection w:val="tbRlV"/>
            <w:vAlign w:val="center"/>
          </w:tcPr>
          <w:p w14:paraId="6CFF81D4">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风险预测与评价</w:t>
            </w:r>
          </w:p>
        </w:tc>
        <w:tc>
          <w:tcPr>
            <w:tcW w:w="564" w:type="pct"/>
            <w:vMerge w:val="restart"/>
            <w:shd w:val="clear" w:color="auto" w:fill="auto"/>
            <w:vAlign w:val="center"/>
          </w:tcPr>
          <w:p w14:paraId="7635A64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大气</w:t>
            </w:r>
          </w:p>
        </w:tc>
        <w:tc>
          <w:tcPr>
            <w:tcW w:w="299" w:type="pct"/>
            <w:shd w:val="clear" w:color="auto" w:fill="auto"/>
            <w:vAlign w:val="center"/>
          </w:tcPr>
          <w:p w14:paraId="342656A2">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预测模型</w:t>
            </w:r>
          </w:p>
        </w:tc>
        <w:tc>
          <w:tcPr>
            <w:tcW w:w="1520" w:type="pct"/>
            <w:gridSpan w:val="4"/>
            <w:shd w:val="clear" w:color="auto" w:fill="auto"/>
            <w:vAlign w:val="center"/>
          </w:tcPr>
          <w:p w14:paraId="66DD99EB">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SLAB</w:t>
            </w:r>
            <w:r>
              <w:rPr>
                <w:rFonts w:hint="eastAsia"/>
                <w:color w:val="auto"/>
                <w:kern w:val="0"/>
                <w:highlight w:val="none"/>
                <w:lang w:eastAsia="en-US"/>
              </w:rPr>
              <w:t>□</w:t>
            </w:r>
          </w:p>
        </w:tc>
        <w:tc>
          <w:tcPr>
            <w:tcW w:w="950" w:type="pct"/>
            <w:gridSpan w:val="3"/>
            <w:shd w:val="clear" w:color="auto" w:fill="auto"/>
            <w:vAlign w:val="center"/>
          </w:tcPr>
          <w:p w14:paraId="018F542F">
            <w:pPr>
              <w:pStyle w:val="68"/>
              <w:autoSpaceDE/>
              <w:autoSpaceDN/>
              <w:adjustRightInd w:val="0"/>
              <w:snapToGrid w:val="0"/>
              <w:spacing w:line="240" w:lineRule="auto"/>
              <w:rPr>
                <w:rFonts w:hint="eastAsia" w:eastAsia="宋体"/>
                <w:color w:val="auto"/>
                <w:kern w:val="0"/>
                <w:highlight w:val="none"/>
                <w:lang w:eastAsia="zh-CN"/>
              </w:rPr>
            </w:pPr>
            <w:r>
              <w:rPr>
                <w:color w:val="auto"/>
                <w:kern w:val="0"/>
                <w:highlight w:val="none"/>
                <w:lang w:eastAsia="en-US"/>
              </w:rPr>
              <w:t>AFTOX</w:t>
            </w:r>
            <w:r>
              <w:rPr>
                <w:rFonts w:hint="eastAsia"/>
                <w:color w:val="auto"/>
                <w:kern w:val="0"/>
                <w:highlight w:val="none"/>
                <w:lang w:eastAsia="zh-CN"/>
              </w:rPr>
              <w:t>□</w:t>
            </w:r>
          </w:p>
        </w:tc>
        <w:tc>
          <w:tcPr>
            <w:tcW w:w="1398" w:type="pct"/>
            <w:gridSpan w:val="2"/>
            <w:shd w:val="clear" w:color="auto" w:fill="auto"/>
            <w:vAlign w:val="center"/>
          </w:tcPr>
          <w:p w14:paraId="11E305C0">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其他</w:t>
            </w:r>
            <w:r>
              <w:rPr>
                <w:rFonts w:hint="eastAsia"/>
                <w:color w:val="auto"/>
                <w:kern w:val="0"/>
                <w:highlight w:val="none"/>
                <w:lang w:eastAsia="en-US"/>
              </w:rPr>
              <w:t>□</w:t>
            </w:r>
          </w:p>
        </w:tc>
      </w:tr>
      <w:tr w14:paraId="0D3A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textDirection w:val="tbRlV"/>
            <w:vAlign w:val="center"/>
          </w:tcPr>
          <w:p w14:paraId="62DE93CF">
            <w:pPr>
              <w:pStyle w:val="68"/>
              <w:autoSpaceDE/>
              <w:autoSpaceDN/>
              <w:adjustRightInd w:val="0"/>
              <w:snapToGrid w:val="0"/>
              <w:spacing w:line="240" w:lineRule="auto"/>
              <w:rPr>
                <w:color w:val="auto"/>
                <w:kern w:val="0"/>
                <w:highlight w:val="none"/>
                <w:lang w:eastAsia="en-US"/>
              </w:rPr>
            </w:pPr>
          </w:p>
        </w:tc>
        <w:tc>
          <w:tcPr>
            <w:tcW w:w="564" w:type="pct"/>
            <w:vMerge w:val="continue"/>
            <w:shd w:val="clear" w:color="auto" w:fill="auto"/>
            <w:vAlign w:val="center"/>
          </w:tcPr>
          <w:p w14:paraId="2BE7C4B7">
            <w:pPr>
              <w:pStyle w:val="68"/>
              <w:autoSpaceDE/>
              <w:autoSpaceDN/>
              <w:adjustRightInd w:val="0"/>
              <w:snapToGrid w:val="0"/>
              <w:spacing w:line="240" w:lineRule="auto"/>
              <w:rPr>
                <w:color w:val="auto"/>
                <w:kern w:val="0"/>
                <w:highlight w:val="none"/>
                <w:lang w:eastAsia="en-US"/>
              </w:rPr>
            </w:pPr>
          </w:p>
        </w:tc>
        <w:tc>
          <w:tcPr>
            <w:tcW w:w="1248" w:type="pct"/>
            <w:gridSpan w:val="4"/>
            <w:shd w:val="clear" w:color="auto" w:fill="auto"/>
            <w:vAlign w:val="center"/>
          </w:tcPr>
          <w:p w14:paraId="4BBF7949">
            <w:pPr>
              <w:pStyle w:val="68"/>
              <w:autoSpaceDE/>
              <w:autoSpaceDN/>
              <w:adjustRightInd w:val="0"/>
              <w:snapToGrid w:val="0"/>
              <w:spacing w:line="240" w:lineRule="auto"/>
              <w:rPr>
                <w:color w:val="auto"/>
                <w:kern w:val="0"/>
                <w:highlight w:val="none"/>
                <w:lang w:eastAsia="en-US"/>
              </w:rPr>
            </w:pPr>
            <w:r>
              <w:rPr>
                <w:color w:val="auto"/>
                <w:highlight w:val="none"/>
                <w:lang w:eastAsia="en-US"/>
              </w:rPr>
              <w:t>预测结果</w:t>
            </w:r>
          </w:p>
        </w:tc>
        <w:tc>
          <w:tcPr>
            <w:tcW w:w="2919" w:type="pct"/>
            <w:gridSpan w:val="6"/>
            <w:shd w:val="clear" w:color="auto" w:fill="auto"/>
            <w:vAlign w:val="center"/>
          </w:tcPr>
          <w:p w14:paraId="3C0912D5">
            <w:pPr>
              <w:pStyle w:val="68"/>
              <w:autoSpaceDE/>
              <w:autoSpaceDN/>
              <w:adjustRightInd w:val="0"/>
              <w:snapToGrid w:val="0"/>
              <w:spacing w:line="240" w:lineRule="auto"/>
              <w:rPr>
                <w:color w:val="auto"/>
                <w:highlight w:val="none"/>
                <w:lang w:eastAsia="zh-CN"/>
              </w:rPr>
            </w:pPr>
            <w:r>
              <w:rPr>
                <w:color w:val="auto"/>
                <w:highlight w:val="none"/>
                <w:lang w:eastAsia="zh-CN"/>
              </w:rPr>
              <w:t>大气毒性终点浓度-1 最大影响范围</w:t>
            </w:r>
            <w:r>
              <w:rPr>
                <w:rFonts w:hint="eastAsia"/>
                <w:color w:val="auto"/>
                <w:highlight w:val="none"/>
                <w:u w:val="single"/>
                <w:lang w:val="en-US" w:eastAsia="zh-CN"/>
              </w:rPr>
              <w:t xml:space="preserve"> </w:t>
            </w:r>
            <w:r>
              <w:rPr>
                <w:color w:val="auto"/>
                <w:highlight w:val="none"/>
                <w:lang w:eastAsia="zh-CN"/>
              </w:rPr>
              <w:t>m</w:t>
            </w:r>
          </w:p>
          <w:p w14:paraId="7C88AEAA">
            <w:pPr>
              <w:pStyle w:val="68"/>
              <w:autoSpaceDE/>
              <w:autoSpaceDN/>
              <w:adjustRightInd w:val="0"/>
              <w:snapToGrid w:val="0"/>
              <w:spacing w:line="240" w:lineRule="auto"/>
              <w:rPr>
                <w:color w:val="auto"/>
                <w:highlight w:val="none"/>
                <w:lang w:eastAsia="zh-CN"/>
              </w:rPr>
            </w:pPr>
            <w:r>
              <w:rPr>
                <w:color w:val="auto"/>
                <w:highlight w:val="none"/>
                <w:lang w:eastAsia="zh-CN"/>
              </w:rPr>
              <w:t>大气毒性终点浓度-2 最大影响范围</w:t>
            </w:r>
            <w:r>
              <w:rPr>
                <w:rFonts w:hint="eastAsia"/>
                <w:color w:val="auto"/>
                <w:highlight w:val="none"/>
                <w:u w:val="single"/>
                <w:lang w:val="en-US" w:eastAsia="zh-CN"/>
              </w:rPr>
              <w:t xml:space="preserve"> </w:t>
            </w:r>
            <w:r>
              <w:rPr>
                <w:color w:val="auto"/>
                <w:highlight w:val="none"/>
                <w:lang w:eastAsia="zh-CN"/>
              </w:rPr>
              <w:t>m</w:t>
            </w:r>
          </w:p>
        </w:tc>
      </w:tr>
      <w:tr w14:paraId="520A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vAlign w:val="center"/>
          </w:tcPr>
          <w:p w14:paraId="79B10441">
            <w:pPr>
              <w:pStyle w:val="68"/>
              <w:autoSpaceDE/>
              <w:autoSpaceDN/>
              <w:adjustRightInd w:val="0"/>
              <w:snapToGrid w:val="0"/>
              <w:spacing w:line="240" w:lineRule="auto"/>
              <w:rPr>
                <w:color w:val="auto"/>
                <w:kern w:val="0"/>
                <w:highlight w:val="none"/>
                <w:lang w:eastAsia="zh-CN"/>
              </w:rPr>
            </w:pPr>
          </w:p>
        </w:tc>
        <w:tc>
          <w:tcPr>
            <w:tcW w:w="564" w:type="pct"/>
            <w:shd w:val="clear" w:color="auto" w:fill="auto"/>
            <w:vAlign w:val="center"/>
          </w:tcPr>
          <w:p w14:paraId="1E4E87FE">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地表水</w:t>
            </w:r>
          </w:p>
        </w:tc>
        <w:tc>
          <w:tcPr>
            <w:tcW w:w="4168" w:type="pct"/>
            <w:gridSpan w:val="10"/>
            <w:shd w:val="clear" w:color="auto" w:fill="auto"/>
            <w:vAlign w:val="center"/>
          </w:tcPr>
          <w:p w14:paraId="35BB8A7F">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最近环境敏感目标：无，到达时间/h</w:t>
            </w:r>
          </w:p>
        </w:tc>
      </w:tr>
      <w:tr w14:paraId="3ECD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vAlign w:val="center"/>
          </w:tcPr>
          <w:p w14:paraId="6EE1AD04">
            <w:pPr>
              <w:pStyle w:val="68"/>
              <w:autoSpaceDE/>
              <w:autoSpaceDN/>
              <w:adjustRightInd w:val="0"/>
              <w:snapToGrid w:val="0"/>
              <w:spacing w:line="240" w:lineRule="auto"/>
              <w:rPr>
                <w:color w:val="auto"/>
                <w:kern w:val="0"/>
                <w:highlight w:val="none"/>
                <w:lang w:eastAsia="zh-CN"/>
              </w:rPr>
            </w:pPr>
          </w:p>
        </w:tc>
        <w:tc>
          <w:tcPr>
            <w:tcW w:w="564" w:type="pct"/>
            <w:vMerge w:val="restart"/>
            <w:shd w:val="clear" w:color="auto" w:fill="auto"/>
            <w:vAlign w:val="center"/>
          </w:tcPr>
          <w:p w14:paraId="064F3394">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地下水</w:t>
            </w:r>
          </w:p>
        </w:tc>
        <w:tc>
          <w:tcPr>
            <w:tcW w:w="4168" w:type="pct"/>
            <w:gridSpan w:val="10"/>
            <w:shd w:val="clear" w:color="auto" w:fill="auto"/>
            <w:vAlign w:val="center"/>
          </w:tcPr>
          <w:p w14:paraId="29AD4339">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下游厂区边界到达时间 d</w:t>
            </w:r>
          </w:p>
        </w:tc>
      </w:tr>
      <w:tr w14:paraId="4153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shd w:val="clear" w:color="auto" w:fill="auto"/>
            <w:vAlign w:val="center"/>
          </w:tcPr>
          <w:p w14:paraId="37737146">
            <w:pPr>
              <w:pStyle w:val="68"/>
              <w:autoSpaceDE/>
              <w:autoSpaceDN/>
              <w:adjustRightInd w:val="0"/>
              <w:snapToGrid w:val="0"/>
              <w:spacing w:line="240" w:lineRule="auto"/>
              <w:rPr>
                <w:color w:val="auto"/>
                <w:kern w:val="0"/>
                <w:highlight w:val="none"/>
                <w:lang w:eastAsia="zh-CN"/>
              </w:rPr>
            </w:pPr>
          </w:p>
        </w:tc>
        <w:tc>
          <w:tcPr>
            <w:tcW w:w="564" w:type="pct"/>
            <w:vMerge w:val="continue"/>
            <w:shd w:val="clear" w:color="auto" w:fill="auto"/>
            <w:vAlign w:val="center"/>
          </w:tcPr>
          <w:p w14:paraId="621CFD84">
            <w:pPr>
              <w:pStyle w:val="68"/>
              <w:autoSpaceDE/>
              <w:autoSpaceDN/>
              <w:adjustRightInd w:val="0"/>
              <w:snapToGrid w:val="0"/>
              <w:spacing w:line="240" w:lineRule="auto"/>
              <w:rPr>
                <w:color w:val="auto"/>
                <w:kern w:val="0"/>
                <w:highlight w:val="none"/>
                <w:lang w:eastAsia="zh-CN"/>
              </w:rPr>
            </w:pPr>
          </w:p>
        </w:tc>
        <w:tc>
          <w:tcPr>
            <w:tcW w:w="4168" w:type="pct"/>
            <w:gridSpan w:val="10"/>
            <w:shd w:val="clear" w:color="auto" w:fill="auto"/>
            <w:vAlign w:val="center"/>
          </w:tcPr>
          <w:p w14:paraId="78B81843">
            <w:pPr>
              <w:pStyle w:val="68"/>
              <w:autoSpaceDE/>
              <w:autoSpaceDN/>
              <w:adjustRightInd w:val="0"/>
              <w:snapToGrid w:val="0"/>
              <w:spacing w:line="240" w:lineRule="auto"/>
              <w:rPr>
                <w:color w:val="auto"/>
                <w:kern w:val="0"/>
                <w:highlight w:val="none"/>
                <w:lang w:eastAsia="zh-CN"/>
              </w:rPr>
            </w:pPr>
            <w:r>
              <w:rPr>
                <w:color w:val="auto"/>
                <w:kern w:val="0"/>
                <w:highlight w:val="none"/>
                <w:lang w:eastAsia="zh-CN"/>
              </w:rPr>
              <w:t>最近环境敏感目标：无，到达时间/d</w:t>
            </w:r>
          </w:p>
        </w:tc>
      </w:tr>
      <w:tr w14:paraId="25BE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shd w:val="clear" w:color="auto" w:fill="auto"/>
            <w:vAlign w:val="center"/>
          </w:tcPr>
          <w:p w14:paraId="06C0CA2A">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重点风险防范措施</w:t>
            </w:r>
          </w:p>
        </w:tc>
        <w:tc>
          <w:tcPr>
            <w:tcW w:w="4168" w:type="pct"/>
            <w:gridSpan w:val="10"/>
            <w:shd w:val="clear" w:color="auto" w:fill="auto"/>
            <w:vAlign w:val="center"/>
          </w:tcPr>
          <w:p w14:paraId="1EC7BB3D">
            <w:pPr>
              <w:autoSpaceDE/>
              <w:autoSpaceDN/>
              <w:adjustRightInd w:val="0"/>
              <w:snapToGrid w:val="0"/>
              <w:jc w:val="center"/>
              <w:rPr>
                <w:color w:val="auto"/>
                <w:kern w:val="0"/>
                <w:szCs w:val="21"/>
                <w:highlight w:val="none"/>
                <w:lang w:eastAsia="zh-CN"/>
              </w:rPr>
            </w:pPr>
            <w:r>
              <w:rPr>
                <w:color w:val="auto"/>
                <w:highlight w:val="none"/>
                <w:lang w:eastAsia="zh-CN"/>
              </w:rPr>
              <w:t>可以通过科学的设计、施工、操作和管理，将环境风险和安全事故发生的可能性大大降低，将事故的危害降低到最小程度，真正做到防患于未然</w:t>
            </w:r>
            <w:r>
              <w:rPr>
                <w:snapToGrid w:val="0"/>
                <w:color w:val="auto"/>
                <w:kern w:val="0"/>
                <w:szCs w:val="21"/>
                <w:highlight w:val="none"/>
                <w:lang w:eastAsia="zh-CN"/>
              </w:rPr>
              <w:t>。</w:t>
            </w:r>
          </w:p>
        </w:tc>
      </w:tr>
      <w:tr w14:paraId="6724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1" w:type="pct"/>
            <w:gridSpan w:val="2"/>
            <w:shd w:val="clear" w:color="auto" w:fill="auto"/>
            <w:vAlign w:val="center"/>
          </w:tcPr>
          <w:p w14:paraId="3C72194D">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评价结论与</w:t>
            </w:r>
          </w:p>
          <w:p w14:paraId="3BFCDDA2">
            <w:pPr>
              <w:pStyle w:val="68"/>
              <w:autoSpaceDE/>
              <w:autoSpaceDN/>
              <w:adjustRightInd w:val="0"/>
              <w:snapToGrid w:val="0"/>
              <w:spacing w:line="240" w:lineRule="auto"/>
              <w:rPr>
                <w:color w:val="auto"/>
                <w:kern w:val="0"/>
                <w:highlight w:val="none"/>
                <w:lang w:eastAsia="en-US"/>
              </w:rPr>
            </w:pPr>
            <w:r>
              <w:rPr>
                <w:color w:val="auto"/>
                <w:kern w:val="0"/>
                <w:highlight w:val="none"/>
                <w:lang w:eastAsia="en-US"/>
              </w:rPr>
              <w:t>建议</w:t>
            </w:r>
          </w:p>
        </w:tc>
        <w:tc>
          <w:tcPr>
            <w:tcW w:w="4168" w:type="pct"/>
            <w:gridSpan w:val="10"/>
            <w:shd w:val="clear" w:color="auto" w:fill="auto"/>
            <w:vAlign w:val="center"/>
          </w:tcPr>
          <w:p w14:paraId="1BDBA238">
            <w:pPr>
              <w:autoSpaceDE/>
              <w:autoSpaceDN/>
              <w:adjustRightInd w:val="0"/>
              <w:snapToGrid w:val="0"/>
              <w:jc w:val="center"/>
              <w:rPr>
                <w:color w:val="auto"/>
                <w:kern w:val="0"/>
                <w:szCs w:val="21"/>
                <w:highlight w:val="none"/>
                <w:lang w:eastAsia="zh-CN"/>
              </w:rPr>
            </w:pPr>
            <w:r>
              <w:rPr>
                <w:color w:val="auto"/>
                <w:kern w:val="0"/>
                <w:szCs w:val="21"/>
                <w:highlight w:val="none"/>
                <w:lang w:eastAsia="zh-CN"/>
              </w:rPr>
              <w:t>建设单位应严格落实设计及环评提出的各项风险防范措施和应急预案，其环境风险水平是可以接受的。</w:t>
            </w:r>
          </w:p>
        </w:tc>
      </w:tr>
    </w:tbl>
    <w:p w14:paraId="18E0DF5B">
      <w:pPr>
        <w:spacing w:line="460" w:lineRule="exact"/>
        <w:ind w:firstLine="480" w:firstLineChars="200"/>
        <w:rPr>
          <w:color w:val="auto"/>
          <w:sz w:val="24"/>
          <w:highlight w:val="none"/>
        </w:rPr>
      </w:pPr>
    </w:p>
    <w:p w14:paraId="729A1C03">
      <w:pPr>
        <w:spacing w:line="460" w:lineRule="exact"/>
        <w:ind w:firstLine="480" w:firstLineChars="200"/>
        <w:rPr>
          <w:color w:val="auto"/>
          <w:sz w:val="24"/>
          <w:highlight w:val="none"/>
        </w:rPr>
      </w:pPr>
    </w:p>
    <w:p w14:paraId="0903C255">
      <w:pPr>
        <w:pStyle w:val="504"/>
        <w:ind w:firstLine="480"/>
        <w:rPr>
          <w:color w:val="auto"/>
          <w:highlight w:val="none"/>
        </w:rPr>
        <w:sectPr>
          <w:footerReference r:id="rId14" w:type="default"/>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3D4F732A">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171" w:name="_Toc27363"/>
      <w:bookmarkStart w:id="172" w:name="_Toc13383"/>
      <w:r>
        <w:rPr>
          <w:rFonts w:hint="eastAsia" w:ascii="Times New Roman" w:hAnsi="Times New Roman" w:cs="Times New Roman"/>
          <w:b w:val="0"/>
          <w:bCs w:val="0"/>
          <w:snapToGrid w:val="0"/>
          <w:color w:val="auto"/>
          <w:kern w:val="0"/>
          <w:sz w:val="28"/>
          <w:szCs w:val="28"/>
          <w:highlight w:val="none"/>
          <w:lang w:val="en-US" w:eastAsia="zh-CN"/>
        </w:rPr>
        <w:t>6.4温室气体排放影响评价</w:t>
      </w:r>
      <w:bookmarkEnd w:id="171"/>
      <w:bookmarkEnd w:id="172"/>
    </w:p>
    <w:p w14:paraId="5BAEEBC8">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根据《关于开展重点行业建设项目碳排放环境影响评价试点的通知》环办环评函〔2021〕346号要求，实施碳排放环境影响评价，推动污染物和碳排放评价管理统筹融合，是促进应对气候变化与环境治理协同增效，实现固定污染源减污降碳源头管控的重要抓手和有效途径。为贯彻落实习近平总书记重要指示批示，加快实施积极应对气候变化国家战略，推动《关于统筹和加强应对气候变化与生态环境保护相关工作的指导意见》和《环境影响评价与排污许可领域协同推进碳减排工作方案》落地，部分省份开展重点行业建设项目碳排放环境影响评价试点。</w:t>
      </w:r>
    </w:p>
    <w:p w14:paraId="3A1C9436">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本评价按照相关政策及文件要求，根据《中共中央 国务院关于完整准确全面贯彻新发展理念做好碳达峰碳中和工作的意见</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关于加快建立健全绿色低碳循环发展经济体系的指导意见</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中国化工生产企业温室气体排放核算方法与报告指南（试行）</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重点行业建设项目碳排放环境影响评价试点技术指南（试行</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》，计算凯赛（乌苏）生物</w:t>
      </w:r>
      <w:r>
        <w:rPr>
          <w:rFonts w:hint="eastAsia" w:ascii="Times New Roman" w:hAnsi="Times New Roman"/>
          <w:snapToGrid w:val="0"/>
          <w:color w:val="auto"/>
          <w:kern w:val="0"/>
          <w:highlight w:val="none"/>
          <w:lang w:val="en-US" w:eastAsia="zh-CN"/>
        </w:rPr>
        <w:t>材料</w:t>
      </w:r>
      <w:r>
        <w:rPr>
          <w:rFonts w:hint="eastAsia" w:ascii="Times New Roman" w:hAnsi="Times New Roman"/>
          <w:snapToGrid w:val="0"/>
          <w:color w:val="auto"/>
          <w:kern w:val="0"/>
          <w:highlight w:val="none"/>
        </w:rPr>
        <w:t>有限公司年产40000吨二元酸项目碳排放量及碳排放强度，提出项目碳减排建议，并分析项目减污降碳措施可行性及碳排放水平。</w:t>
      </w:r>
    </w:p>
    <w:p w14:paraId="73A4E8B6">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6.4.1编制依据</w:t>
      </w:r>
    </w:p>
    <w:p w14:paraId="117325A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6.4.1.1政策文件</w:t>
      </w:r>
    </w:p>
    <w:p w14:paraId="0597443A">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（1）《中共中央 国务院关于完整准确全面贯彻新发展理念做好碳达峰碳中和工作的意见》，2021年9月22日；</w:t>
      </w:r>
    </w:p>
    <w:p w14:paraId="5121D21D">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（2）《2030年前碳达峰行动方案》国务院国发〔2021〕23号，2021年10月24日；</w:t>
      </w:r>
    </w:p>
    <w:p w14:paraId="3C37BD73">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（3）《关于严格能效约束推动重点领域节能降碳的若干意见》，国家发展改革委等五部门，发改产业〔2021〕1464号，2021年10月18日；</w:t>
      </w:r>
    </w:p>
    <w:p w14:paraId="477C0DE4">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（4）《石化化工重点行业严格能效约束推动节能降碳行动方案（2021-2025年）》〔2021〕1464号文附件2，2021年10月18日；</w:t>
      </w:r>
    </w:p>
    <w:p w14:paraId="60038ADF">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（5）《碳排放权交易管理办法（试行）》，生态环境部令第19号，2020年12月31日；</w:t>
      </w:r>
    </w:p>
    <w:p w14:paraId="0584B787">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（6）国务院《关于加快建立健全绿色低碳循环发展经济体系的指导意见》，国发〔2021〕4号，2021年2月22日；</w:t>
      </w:r>
    </w:p>
    <w:p w14:paraId="78E9A98F">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（7）生态环境部《关于开展重点行业建设项目碳排放环境影响评价试点的通知》，环办环评函〔2021〕346号，2021年7月27日；</w:t>
      </w:r>
    </w:p>
    <w:p w14:paraId="2A224DF1">
      <w:pPr>
        <w:pStyle w:val="504"/>
        <w:adjustRightInd w:val="0"/>
        <w:snapToGrid w:val="0"/>
        <w:spacing w:line="360" w:lineRule="auto"/>
        <w:ind w:firstLine="480"/>
        <w:rPr>
          <w:rFonts w:hint="eastAsia" w:ascii="Times New Roman" w:hAnsi="Times New Roman"/>
          <w:snapToGrid w:val="0"/>
          <w:color w:val="auto"/>
          <w:kern w:val="0"/>
          <w:highlight w:val="none"/>
          <w:lang w:eastAsia="zh-CN"/>
        </w:rPr>
      </w:pPr>
      <w:r>
        <w:rPr>
          <w:rFonts w:hint="eastAsia" w:ascii="Times New Roman" w:hAnsi="Times New Roman"/>
          <w:snapToGrid w:val="0"/>
          <w:color w:val="auto"/>
          <w:kern w:val="0"/>
          <w:highlight w:val="none"/>
        </w:rPr>
        <w:t>（8）生态环境部《环境影响评价与排污许可领域协同推进碳减排工作方案》</w:t>
      </w:r>
      <w:r>
        <w:rPr>
          <w:rFonts w:hint="eastAsia" w:ascii="Times New Roman" w:hAnsi="Times New Roman"/>
          <w:snapToGrid w:val="0"/>
          <w:color w:val="auto"/>
          <w:kern w:val="0"/>
          <w:highlight w:val="none"/>
          <w:lang w:eastAsia="zh-CN"/>
        </w:rPr>
        <w:t>；</w:t>
      </w:r>
    </w:p>
    <w:p w14:paraId="0C3A8D76">
      <w:pPr>
        <w:pStyle w:val="504"/>
        <w:adjustRightInd w:val="0"/>
        <w:snapToGrid w:val="0"/>
        <w:spacing w:line="360" w:lineRule="auto"/>
        <w:ind w:firstLine="480"/>
        <w:rPr>
          <w:rFonts w:hint="eastAsia" w:ascii="Times New Roman" w:hAnsi="Times New Roman"/>
          <w:snapToGrid w:val="0"/>
          <w:color w:val="auto"/>
          <w:kern w:val="0"/>
          <w:highlight w:val="none"/>
          <w:lang w:eastAsia="zh-CN"/>
        </w:rPr>
      </w:pP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lang w:val="en-US" w:eastAsia="zh-CN"/>
        </w:rPr>
        <w:t>9</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《“十五五”碳达峰行动方案》</w:t>
      </w:r>
      <w:r>
        <w:rPr>
          <w:rFonts w:hint="eastAsia" w:ascii="Times New Roman" w:hAnsi="Times New Roman"/>
          <w:snapToGrid w:val="0"/>
          <w:color w:val="auto"/>
          <w:kern w:val="0"/>
          <w:highlight w:val="none"/>
          <w:lang w:eastAsia="zh-CN"/>
        </w:rPr>
        <w:t>，国发〔2026〕22号，</w:t>
      </w:r>
      <w:r>
        <w:rPr>
          <w:rFonts w:hint="eastAsia" w:ascii="Times New Roman" w:hAnsi="Times New Roman"/>
          <w:snapToGrid w:val="0"/>
          <w:color w:val="auto"/>
          <w:kern w:val="0"/>
          <w:highlight w:val="none"/>
          <w:lang w:val="en-US" w:eastAsia="zh-CN"/>
        </w:rPr>
        <w:t>2026年7月5日</w:t>
      </w:r>
      <w:r>
        <w:rPr>
          <w:rFonts w:hint="eastAsia" w:ascii="Times New Roman" w:hAnsi="Times New Roman"/>
          <w:snapToGrid w:val="0"/>
          <w:color w:val="auto"/>
          <w:kern w:val="0"/>
          <w:highlight w:val="none"/>
          <w:lang w:eastAsia="zh-CN"/>
        </w:rPr>
        <w:t>；</w:t>
      </w:r>
    </w:p>
    <w:p w14:paraId="56448927">
      <w:pPr>
        <w:pStyle w:val="504"/>
        <w:adjustRightInd w:val="0"/>
        <w:snapToGrid w:val="0"/>
        <w:spacing w:line="360" w:lineRule="auto"/>
        <w:ind w:firstLine="480"/>
        <w:rPr>
          <w:rFonts w:hint="eastAsia" w:ascii="Times New Roman" w:hAnsi="Times New Roman" w:eastAsiaTheme="minorEastAsia"/>
          <w:snapToGrid w:val="0"/>
          <w:color w:val="auto"/>
          <w:kern w:val="0"/>
          <w:highlight w:val="none"/>
          <w:lang w:eastAsia="zh-CN"/>
        </w:rPr>
      </w:pP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lang w:val="en-US" w:eastAsia="zh-CN"/>
        </w:rPr>
        <w:t>10</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《国家应对气候变化“十五五”规划》</w:t>
      </w:r>
      <w:r>
        <w:rPr>
          <w:rFonts w:hint="eastAsia" w:ascii="Times New Roman" w:hAnsi="Times New Roman"/>
          <w:snapToGrid w:val="0"/>
          <w:color w:val="auto"/>
          <w:kern w:val="0"/>
          <w:highlight w:val="none"/>
          <w:lang w:eastAsia="zh-CN"/>
        </w:rPr>
        <w:t>，环气候〔2026〕42号</w:t>
      </w:r>
      <w:r>
        <w:rPr>
          <w:rFonts w:hint="eastAsia" w:ascii="Times New Roman" w:hAnsi="Times New Roman" w:cs="Times New Roman"/>
          <w:snapToGrid w:val="0"/>
          <w:color w:val="auto"/>
          <w:kern w:val="0"/>
          <w:sz w:val="24"/>
          <w:highlight w:val="none"/>
          <w:lang w:val="en-US" w:eastAsia="zh-CN"/>
        </w:rPr>
        <w:t>，2026年7月24日；</w:t>
      </w:r>
    </w:p>
    <w:p w14:paraId="1EB32297">
      <w:pPr>
        <w:pStyle w:val="504"/>
        <w:adjustRightInd w:val="0"/>
        <w:snapToGrid w:val="0"/>
        <w:spacing w:line="360" w:lineRule="auto"/>
        <w:ind w:firstLine="480"/>
        <w:rPr>
          <w:rFonts w:hint="default" w:ascii="Times New Roman" w:hAnsi="Times New Roman" w:eastAsiaTheme="minorEastAsia"/>
          <w:snapToGrid w:val="0"/>
          <w:color w:val="auto"/>
          <w:kern w:val="0"/>
          <w:highlight w:val="none"/>
          <w:lang w:val="en-US" w:eastAsia="zh-CN"/>
        </w:rPr>
      </w:pP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lang w:val="en-US" w:eastAsia="zh-CN"/>
        </w:rPr>
        <w:t>11</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《碳达峰碳中和综合评价考核办法》</w:t>
      </w:r>
      <w:r>
        <w:rPr>
          <w:rFonts w:hint="eastAsia" w:ascii="Times New Roman" w:hAnsi="Times New Roman"/>
          <w:snapToGrid w:val="0"/>
          <w:color w:val="auto"/>
          <w:kern w:val="0"/>
          <w:highlight w:val="none"/>
          <w:lang w:val="en-US" w:eastAsia="zh-CN"/>
        </w:rPr>
        <w:t>；</w:t>
      </w:r>
    </w:p>
    <w:p w14:paraId="100A2AA4">
      <w:pPr>
        <w:pStyle w:val="504"/>
        <w:adjustRightInd w:val="0"/>
        <w:snapToGrid w:val="0"/>
        <w:spacing w:line="360" w:lineRule="auto"/>
        <w:ind w:firstLine="480"/>
        <w:rPr>
          <w:rFonts w:hint="eastAsia" w:ascii="Times New Roman" w:hAnsi="Times New Roman" w:eastAsiaTheme="minorEastAsia"/>
          <w:snapToGrid w:val="0"/>
          <w:color w:val="auto"/>
          <w:kern w:val="0"/>
          <w:highlight w:val="none"/>
          <w:lang w:eastAsia="zh-CN"/>
        </w:rPr>
      </w:pP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lang w:val="en-US" w:eastAsia="zh-CN"/>
        </w:rPr>
        <w:t>12</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《关于推进绿色低碳转型加强全国碳市场建设的意见》</w:t>
      </w:r>
      <w:r>
        <w:rPr>
          <w:rFonts w:hint="eastAsia" w:ascii="Times New Roman" w:hAnsi="Times New Roman"/>
          <w:snapToGrid w:val="0"/>
          <w:color w:val="auto"/>
          <w:kern w:val="0"/>
          <w:highlight w:val="none"/>
          <w:lang w:eastAsia="zh-CN"/>
        </w:rPr>
        <w:t>；</w:t>
      </w:r>
    </w:p>
    <w:p w14:paraId="666B9F51">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lang w:val="en-US" w:eastAsia="zh-CN"/>
        </w:rPr>
        <w:t>13</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《碳排放权交易管理暂行条例》</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lang w:val="en-US" w:eastAsia="zh-CN"/>
        </w:rPr>
        <w:t>中华人民共和国国务院令第775号，2024年1月25日</w:t>
      </w:r>
      <w:r>
        <w:rPr>
          <w:rFonts w:hint="eastAsia" w:ascii="Times New Roman" w:hAnsi="Times New Roman"/>
          <w:snapToGrid w:val="0"/>
          <w:color w:val="auto"/>
          <w:kern w:val="0"/>
          <w:highlight w:val="none"/>
        </w:rPr>
        <w:t>。</w:t>
      </w:r>
    </w:p>
    <w:p w14:paraId="41F29A0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6.4.1.2编制标准及指南</w:t>
      </w:r>
    </w:p>
    <w:p w14:paraId="628FA0DB">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（1）环境保护部办公厅《工业企业污染治理设施污染物去除协同控制温室气体核算技术指南（试行）》，环办科技〔20</w:t>
      </w:r>
      <w:r>
        <w:rPr>
          <w:rFonts w:hint="eastAsia" w:ascii="Times New Roman" w:hAnsi="Times New Roman"/>
          <w:snapToGrid w:val="0"/>
          <w:color w:val="auto"/>
          <w:kern w:val="0"/>
          <w:highlight w:val="none"/>
          <w:lang w:val="en-US" w:eastAsia="zh-CN"/>
        </w:rPr>
        <w:t>17</w:t>
      </w:r>
      <w:r>
        <w:rPr>
          <w:rFonts w:hint="eastAsia" w:ascii="Times New Roman" w:hAnsi="Times New Roman"/>
          <w:snapToGrid w:val="0"/>
          <w:color w:val="auto"/>
          <w:kern w:val="0"/>
          <w:highlight w:val="none"/>
        </w:rPr>
        <w:t>〕73号，2017年9月4日；</w:t>
      </w:r>
    </w:p>
    <w:p w14:paraId="0156CD0A">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（2）生态环境部办公厅《企业温室气体排放报告核查指南（试行）》，环办气候函〔2021〕130号，2021年3月26日；</w:t>
      </w:r>
    </w:p>
    <w:p w14:paraId="1F67282A">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（3）《工业企业温室气体排放核算和报告通则》（GB/T32150-2015）；</w:t>
      </w:r>
    </w:p>
    <w:p w14:paraId="708DFD7C">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（4）《中国化工生产企业温室气体排放核算方法与报告指南（试行）》，国家发展改革委办公厅，发改办气候〔20</w:t>
      </w:r>
      <w:r>
        <w:rPr>
          <w:rFonts w:hint="eastAsia" w:ascii="Times New Roman" w:hAnsi="Times New Roman"/>
          <w:snapToGrid w:val="0"/>
          <w:color w:val="auto"/>
          <w:kern w:val="0"/>
          <w:highlight w:val="none"/>
          <w:lang w:val="en-US" w:eastAsia="zh-CN"/>
        </w:rPr>
        <w:t>13</w:t>
      </w:r>
      <w:r>
        <w:rPr>
          <w:rFonts w:hint="eastAsia" w:ascii="Times New Roman" w:hAnsi="Times New Roman"/>
          <w:snapToGrid w:val="0"/>
          <w:color w:val="auto"/>
          <w:kern w:val="0"/>
          <w:highlight w:val="none"/>
        </w:rPr>
        <w:t>〕2526号，2013年10月15日。</w:t>
      </w:r>
    </w:p>
    <w:p w14:paraId="4D87B6E4">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6.4.2评价工程程序</w:t>
      </w:r>
    </w:p>
    <w:p w14:paraId="1C8A60B7">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根据《关于加强高耗能、高排放建设项目生态环境源头防控的指导意见》（环环评〔2021〕45号）第（七）条要求，在环评工作中，统筹开展污染物和碳排放的源项识别、源强核算、减污降碳措施可行性论证及方案比选，提出协同控制最优方案。鼓励有条件的地区、企业探索实施减污降碳协同治理和碳捕集、封存、综合利用工程试点、示范。</w:t>
      </w:r>
    </w:p>
    <w:p w14:paraId="21B860D6">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《重点行业建设项目碳排放环境影响评价试点技术指南（试行</w:t>
      </w:r>
      <w:r>
        <w:rPr>
          <w:rFonts w:hint="eastAsia" w:ascii="Times New Roman" w:hAnsi="Times New Roman"/>
          <w:snapToGrid w:val="0"/>
          <w:color w:val="auto"/>
          <w:kern w:val="0"/>
          <w:highlight w:val="none"/>
          <w:lang w:eastAsia="zh-CN"/>
        </w:rPr>
        <w:t>）</w:t>
      </w:r>
      <w:r>
        <w:rPr>
          <w:rFonts w:hint="eastAsia" w:ascii="Times New Roman" w:hAnsi="Times New Roman"/>
          <w:snapToGrid w:val="0"/>
          <w:color w:val="auto"/>
          <w:kern w:val="0"/>
          <w:highlight w:val="none"/>
        </w:rPr>
        <w:t>》按照45号文要求，提出了碳排放的工作程序，具体见图</w:t>
      </w:r>
      <w:r>
        <w:rPr>
          <w:rFonts w:hint="eastAsia" w:ascii="Times New Roman" w:hAnsi="Times New Roman"/>
          <w:snapToGrid w:val="0"/>
          <w:color w:val="auto"/>
          <w:kern w:val="0"/>
          <w:highlight w:val="none"/>
          <w:lang w:val="en-US" w:eastAsia="zh-CN"/>
        </w:rPr>
        <w:t>6.4</w:t>
      </w:r>
      <w:r>
        <w:rPr>
          <w:rFonts w:hint="eastAsia" w:ascii="Times New Roman" w:hAnsi="Times New Roman"/>
          <w:snapToGrid w:val="0"/>
          <w:color w:val="auto"/>
          <w:kern w:val="0"/>
          <w:highlight w:val="none"/>
        </w:rPr>
        <w:t>-1。</w:t>
      </w:r>
    </w:p>
    <w:p w14:paraId="16C40C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Times New Roman"/>
          <w:color w:val="auto"/>
          <w:highlight w:val="none"/>
        </w:rPr>
      </w:pPr>
      <w:r>
        <w:rPr>
          <w:rFonts w:cs="Times New Roman"/>
          <w:color w:val="auto"/>
          <w:highlight w:val="none"/>
        </w:rPr>
        <w:drawing>
          <wp:inline distT="0" distB="0" distL="0" distR="0">
            <wp:extent cx="4923790" cy="5655310"/>
            <wp:effectExtent l="0" t="0" r="0" b="25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83" cstate="print">
                      <a:extLst>
                        <a:ext uri="{28A0092B-C50C-407E-A947-70E740481C1C}">
                          <a14:useLocalDpi xmlns:a14="http://schemas.microsoft.com/office/drawing/2010/main" val="0"/>
                        </a:ext>
                      </a:extLst>
                    </a:blip>
                    <a:srcRect t="2705" b="2387"/>
                    <a:stretch>
                      <a:fillRect/>
                    </a:stretch>
                  </pic:blipFill>
                  <pic:spPr>
                    <a:xfrm>
                      <a:off x="0" y="0"/>
                      <a:ext cx="4923790" cy="5655310"/>
                    </a:xfrm>
                    <a:prstGeom prst="rect">
                      <a:avLst/>
                    </a:prstGeom>
                    <a:noFill/>
                    <a:ln>
                      <a:noFill/>
                    </a:ln>
                  </pic:spPr>
                </pic:pic>
              </a:graphicData>
            </a:graphic>
          </wp:inline>
        </w:drawing>
      </w:r>
    </w:p>
    <w:p w14:paraId="3BC3EBFD">
      <w:pPr>
        <w:pStyle w:val="766"/>
        <w:keepNext w:val="0"/>
        <w:keepLines w:val="0"/>
        <w:pageBreakBefore w:val="0"/>
        <w:widowControl/>
        <w:kinsoku/>
        <w:wordWrap/>
        <w:overflowPunct/>
        <w:topLinePunct w:val="0"/>
        <w:autoSpaceDE/>
        <w:autoSpaceDN/>
        <w:bidi w:val="0"/>
        <w:adjustRightInd w:val="0"/>
        <w:snapToGrid w:val="0"/>
        <w:spacing w:line="360" w:lineRule="auto"/>
        <w:textAlignment w:val="auto"/>
        <w:rPr>
          <w:rFonts w:eastAsia="黑体"/>
          <w:b w:val="0"/>
          <w:bCs/>
          <w:snapToGrid w:val="0"/>
          <w:color w:val="auto"/>
          <w:kern w:val="0"/>
          <w:sz w:val="21"/>
          <w:szCs w:val="21"/>
          <w:highlight w:val="none"/>
          <w:lang w:eastAsia="zh-CN"/>
        </w:rPr>
      </w:pPr>
      <w:r>
        <w:rPr>
          <w:rFonts w:hint="eastAsia" w:eastAsia="黑体"/>
          <w:b w:val="0"/>
          <w:bCs/>
          <w:snapToGrid w:val="0"/>
          <w:color w:val="auto"/>
          <w:kern w:val="0"/>
          <w:sz w:val="21"/>
          <w:szCs w:val="21"/>
          <w:highlight w:val="none"/>
          <w:lang w:eastAsia="zh-CN"/>
        </w:rPr>
        <w:t>图</w:t>
      </w:r>
      <w:r>
        <w:rPr>
          <w:rFonts w:hint="eastAsia" w:eastAsia="黑体"/>
          <w:b w:val="0"/>
          <w:bCs/>
          <w:snapToGrid w:val="0"/>
          <w:color w:val="auto"/>
          <w:kern w:val="0"/>
          <w:sz w:val="21"/>
          <w:szCs w:val="21"/>
          <w:highlight w:val="none"/>
          <w:lang w:val="en-US" w:eastAsia="zh-CN"/>
        </w:rPr>
        <w:t>6.4</w:t>
      </w:r>
      <w:r>
        <w:rPr>
          <w:rFonts w:hint="eastAsia" w:eastAsia="黑体"/>
          <w:b w:val="0"/>
          <w:bCs/>
          <w:snapToGrid w:val="0"/>
          <w:color w:val="auto"/>
          <w:kern w:val="0"/>
          <w:sz w:val="21"/>
          <w:szCs w:val="21"/>
          <w:highlight w:val="none"/>
          <w:lang w:eastAsia="zh-CN"/>
        </w:rPr>
        <w:t>-1 建设项目碳排放环境影响评价工作程序图</w:t>
      </w:r>
    </w:p>
    <w:p w14:paraId="1F50BA3F">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具体工作内容包括：分析建设项目碳排放是否满足相关政策要求，明确建设项目二氧化碳产生节点，开展碳减排及二氧化碳与污染物协同控制措施可行性论证，核算二氧化碳产生和排放量，分析建设项目二氧化碳排放水平，提出建设项目碳排放环境影响评价结论。</w:t>
      </w:r>
    </w:p>
    <w:p w14:paraId="60E64AE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6.4.3碳排放核算方法</w:t>
      </w:r>
    </w:p>
    <w:p w14:paraId="2D74B957">
      <w:pPr>
        <w:pStyle w:val="504"/>
        <w:adjustRightInd w:val="0"/>
        <w:snapToGrid w:val="0"/>
        <w:spacing w:line="360" w:lineRule="auto"/>
        <w:ind w:firstLine="480"/>
        <w:rPr>
          <w:rFonts w:hint="eastAsia" w:ascii="Times New Roman" w:hAnsi="Times New Roman"/>
          <w:snapToGrid w:val="0"/>
          <w:color w:val="auto"/>
          <w:kern w:val="0"/>
          <w:highlight w:val="none"/>
        </w:rPr>
      </w:pPr>
      <w:r>
        <w:rPr>
          <w:rFonts w:hint="eastAsia" w:ascii="Times New Roman" w:hAnsi="Times New Roman"/>
          <w:snapToGrid w:val="0"/>
          <w:color w:val="auto"/>
          <w:kern w:val="0"/>
          <w:highlight w:val="none"/>
        </w:rPr>
        <w:t>本次核算以本项目装置区为核算边界，核算其生产系统产生的温室气体。生产系统包括主要生产系统、辅助生产系统以及间接为生产服务的附属生产系统，其中辅助生产系统包括动力、供电、供水、机修、库房、厂内运输等。根据《中国化工生产企业 温室气体排放核算方法与报告指南（试行）》，石油化工企业温室气体排放总量计算公式如下：</w:t>
      </w:r>
    </w:p>
    <w:p w14:paraId="76288A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i w:val="0"/>
          <w:snapToGrid w:val="0"/>
          <w:color w:val="auto"/>
          <w:kern w:val="0"/>
          <w:sz w:val="24"/>
          <w:szCs w:val="24"/>
          <w:highlight w:val="none"/>
        </w:rPr>
      </w:pPr>
      <m:oMathPara>
        <m:oMath>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E</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GHG</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E</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C</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O</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2</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燃烧</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E</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CHG过程</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R</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C</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O</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2</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回收</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E</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C</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O</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2</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净电</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E</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C</m:t>
              </m:r>
              <m:sSub>
                <m:sSubPr>
                  <m:ctrlPr>
                    <w:rPr>
                      <w:rFonts w:ascii="Cambria Math" w:hAnsi="Cambria Math" w:cs="Times New Roman"/>
                      <w:i w:val="0"/>
                      <w:snapToGrid w:val="0"/>
                      <w:color w:val="auto"/>
                      <w:kern w:val="0"/>
                      <w:sz w:val="24"/>
                      <w:szCs w:val="24"/>
                      <w:highlight w:val="none"/>
                      <w:lang w:bidi="ar"/>
                    </w:rPr>
                  </m:ctrlPr>
                </m:sSubPr>
                <m:e>
                  <m:r>
                    <m:rPr>
                      <m:sty m:val="p"/>
                    </m:rPr>
                    <w:rPr>
                      <w:rFonts w:ascii="Times New Roman" w:hAnsi="Times New Roman" w:cs="Times New Roman"/>
                      <w:snapToGrid w:val="0"/>
                      <w:color w:val="auto"/>
                      <w:kern w:val="0"/>
                      <w:sz w:val="24"/>
                      <w:szCs w:val="24"/>
                      <w:highlight w:val="none"/>
                      <w:lang w:bidi="ar"/>
                    </w:rPr>
                    <m:t>O</m:t>
                  </m:r>
                  <m:ctrlPr>
                    <w:rPr>
                      <w:rFonts w:ascii="Cambria Math" w:hAnsi="Cambria Math" w:cs="Times New Roman"/>
                      <w:i w:val="0"/>
                      <w:snapToGrid w:val="0"/>
                      <w:color w:val="auto"/>
                      <w:kern w:val="0"/>
                      <w:sz w:val="24"/>
                      <w:szCs w:val="24"/>
                      <w:highlight w:val="none"/>
                      <w:lang w:bidi="ar"/>
                    </w:rPr>
                  </m:ctrlPr>
                </m:e>
                <m:sub>
                  <m:r>
                    <m:rPr>
                      <m:sty m:val="p"/>
                    </m:rPr>
                    <w:rPr>
                      <w:rFonts w:ascii="Times New Roman" w:hAnsi="Times New Roman" w:cs="Times New Roman"/>
                      <w:snapToGrid w:val="0"/>
                      <w:color w:val="auto"/>
                      <w:kern w:val="0"/>
                      <w:sz w:val="24"/>
                      <w:szCs w:val="24"/>
                      <w:highlight w:val="none"/>
                      <w:lang w:bidi="ar"/>
                    </w:rPr>
                    <m:t>2</m:t>
                  </m:r>
                  <m:ctrlPr>
                    <w:rPr>
                      <w:rFonts w:ascii="Cambria Math" w:hAnsi="Cambria Math" w:cs="Times New Roman"/>
                      <w:i w:val="0"/>
                      <w:snapToGrid w:val="0"/>
                      <w:color w:val="auto"/>
                      <w:kern w:val="0"/>
                      <w:sz w:val="24"/>
                      <w:szCs w:val="24"/>
                      <w:highlight w:val="none"/>
                      <w:lang w:bidi="ar"/>
                    </w:rPr>
                  </m:ctrlPr>
                </m:sub>
              </m:sSub>
              <m:r>
                <m:rPr>
                  <m:sty m:val="p"/>
                </m:rPr>
                <w:rPr>
                  <w:rFonts w:ascii="Times New Roman" w:hAnsi="Times New Roman" w:cs="Times New Roman"/>
                  <w:snapToGrid w:val="0"/>
                  <w:color w:val="auto"/>
                  <w:kern w:val="0"/>
                  <w:sz w:val="24"/>
                  <w:szCs w:val="24"/>
                  <w:highlight w:val="none"/>
                  <w:lang w:bidi="ar"/>
                </w:rPr>
                <m:t>净热</m:t>
              </m:r>
              <m:ctrlPr>
                <w:rPr>
                  <w:rFonts w:ascii="Cambria Math" w:hAnsi="Cambria Math" w:cs="Times New Roman"/>
                  <w:i w:val="0"/>
                  <w:snapToGrid w:val="0"/>
                  <w:color w:val="auto"/>
                  <w:kern w:val="0"/>
                  <w:sz w:val="24"/>
                  <w:szCs w:val="24"/>
                  <w:highlight w:val="none"/>
                  <w:lang w:bidi="ar"/>
                </w:rPr>
              </m:ctrlPr>
            </m:sub>
          </m:sSub>
        </m:oMath>
      </m:oMathPara>
    </w:p>
    <w:p w14:paraId="0EE39A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ascii="Times New Roman" w:hAnsi="Times New Roman" w:cs="Times New Roman"/>
          <w:i w:val="0"/>
          <w:snapToGrid w:val="0"/>
          <w:color w:val="auto"/>
          <w:kern w:val="0"/>
          <w:sz w:val="24"/>
          <w:szCs w:val="24"/>
          <w:highlight w:val="none"/>
        </w:rPr>
        <w:t>式中：</w:t>
      </w:r>
    </w:p>
    <w:p w14:paraId="447C9D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ascii="Times New Roman" w:hAnsi="Times New Roman" w:cs="Times New Roman"/>
          <w:i w:val="0"/>
          <w:snapToGrid w:val="0"/>
          <w:color w:val="auto"/>
          <w:kern w:val="0"/>
          <w:sz w:val="24"/>
          <w:szCs w:val="24"/>
          <w:highlight w:val="none"/>
        </w:rPr>
        <w:t>E</w:t>
      </w:r>
      <w:r>
        <w:rPr>
          <w:rFonts w:hint="eastAsia" w:ascii="Times New Roman" w:hAnsi="Times New Roman" w:cs="Times New Roman"/>
          <w:i w:val="0"/>
          <w:snapToGrid w:val="0"/>
          <w:color w:val="auto"/>
          <w:kern w:val="0"/>
          <w:sz w:val="24"/>
          <w:szCs w:val="24"/>
          <w:highlight w:val="none"/>
          <w:vertAlign w:val="subscript"/>
        </w:rPr>
        <w:t>GHG</w:t>
      </w:r>
      <w:r>
        <w:rPr>
          <w:rFonts w:ascii="Times New Roman" w:hAnsi="Times New Roman" w:cs="Times New Roman"/>
          <w:i w:val="0"/>
          <w:snapToGrid w:val="0"/>
          <w:color w:val="auto"/>
          <w:kern w:val="0"/>
          <w:sz w:val="24"/>
          <w:szCs w:val="24"/>
          <w:highlight w:val="none"/>
        </w:rPr>
        <w:t>—二氧化碳排放总量；</w:t>
      </w:r>
    </w:p>
    <w:p w14:paraId="51AD71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ascii="Times New Roman" w:hAnsi="Times New Roman" w:cs="Times New Roman"/>
          <w:i w:val="0"/>
          <w:snapToGrid w:val="0"/>
          <w:color w:val="auto"/>
          <w:kern w:val="0"/>
          <w:sz w:val="24"/>
          <w:szCs w:val="24"/>
          <w:highlight w:val="none"/>
        </w:rPr>
        <w:t>E</w:t>
      </w:r>
      <w:r>
        <w:rPr>
          <w:rFonts w:hint="eastAsia" w:ascii="Times New Roman" w:hAnsi="Times New Roman" w:cs="Times New Roman"/>
          <w:i w:val="0"/>
          <w:snapToGrid w:val="0"/>
          <w:color w:val="auto"/>
          <w:kern w:val="0"/>
          <w:sz w:val="24"/>
          <w:szCs w:val="24"/>
          <w:highlight w:val="none"/>
          <w:vertAlign w:val="subscript"/>
        </w:rPr>
        <w:t>CO2</w:t>
      </w:r>
      <w:r>
        <w:rPr>
          <w:rFonts w:ascii="Times New Roman" w:hAnsi="Times New Roman" w:cs="Times New Roman"/>
          <w:i w:val="0"/>
          <w:snapToGrid w:val="0"/>
          <w:color w:val="auto"/>
          <w:kern w:val="0"/>
          <w:sz w:val="24"/>
          <w:szCs w:val="24"/>
          <w:highlight w:val="none"/>
          <w:vertAlign w:val="subscript"/>
        </w:rPr>
        <w:t>燃烧</w:t>
      </w:r>
      <w:r>
        <w:rPr>
          <w:rFonts w:ascii="Times New Roman" w:hAnsi="Times New Roman" w:cs="Times New Roman"/>
          <w:i w:val="0"/>
          <w:snapToGrid w:val="0"/>
          <w:color w:val="auto"/>
          <w:kern w:val="0"/>
          <w:sz w:val="24"/>
          <w:szCs w:val="24"/>
          <w:highlight w:val="none"/>
        </w:rPr>
        <w:t>—</w:t>
      </w:r>
      <w:r>
        <w:rPr>
          <w:rFonts w:hint="eastAsia" w:ascii="Times New Roman" w:hAnsi="Times New Roman" w:cs="Times New Roman"/>
          <w:i w:val="0"/>
          <w:snapToGrid w:val="0"/>
          <w:color w:val="auto"/>
          <w:kern w:val="0"/>
          <w:sz w:val="24"/>
          <w:szCs w:val="24"/>
          <w:highlight w:val="none"/>
        </w:rPr>
        <w:t>企业边界内</w:t>
      </w:r>
      <w:r>
        <w:rPr>
          <w:rFonts w:ascii="Times New Roman" w:hAnsi="Times New Roman" w:cs="Times New Roman"/>
          <w:i w:val="0"/>
          <w:snapToGrid w:val="0"/>
          <w:color w:val="auto"/>
          <w:kern w:val="0"/>
          <w:sz w:val="24"/>
          <w:szCs w:val="24"/>
          <w:highlight w:val="none"/>
        </w:rPr>
        <w:t>化石燃料燃烧</w:t>
      </w:r>
      <w:r>
        <w:rPr>
          <w:rFonts w:hint="eastAsia" w:ascii="Times New Roman" w:hAnsi="Times New Roman" w:cs="Times New Roman"/>
          <w:i w:val="0"/>
          <w:snapToGrid w:val="0"/>
          <w:color w:val="auto"/>
          <w:kern w:val="0"/>
          <w:sz w:val="24"/>
          <w:szCs w:val="24"/>
          <w:highlight w:val="none"/>
        </w:rPr>
        <w:t>产生的CO</w:t>
      </w:r>
      <w:r>
        <w:rPr>
          <w:rFonts w:hint="eastAsia" w:ascii="Times New Roman" w:hAnsi="Times New Roman" w:cs="Times New Roman"/>
          <w:i w:val="0"/>
          <w:snapToGrid w:val="0"/>
          <w:color w:val="auto"/>
          <w:kern w:val="0"/>
          <w:sz w:val="24"/>
          <w:szCs w:val="24"/>
          <w:highlight w:val="none"/>
          <w:vertAlign w:val="subscript"/>
        </w:rPr>
        <w:t>2</w:t>
      </w:r>
      <w:r>
        <w:rPr>
          <w:rFonts w:ascii="Times New Roman" w:hAnsi="Times New Roman" w:cs="Times New Roman"/>
          <w:i w:val="0"/>
          <w:snapToGrid w:val="0"/>
          <w:color w:val="auto"/>
          <w:kern w:val="0"/>
          <w:sz w:val="24"/>
          <w:szCs w:val="24"/>
          <w:highlight w:val="none"/>
        </w:rPr>
        <w:t>排放量；</w:t>
      </w:r>
    </w:p>
    <w:p w14:paraId="1ABFF3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ascii="Times New Roman" w:hAnsi="Times New Roman" w:cs="Times New Roman"/>
          <w:i w:val="0"/>
          <w:snapToGrid w:val="0"/>
          <w:color w:val="auto"/>
          <w:kern w:val="0"/>
          <w:sz w:val="24"/>
          <w:szCs w:val="24"/>
          <w:highlight w:val="none"/>
        </w:rPr>
        <w:t>E</w:t>
      </w:r>
      <w:r>
        <w:rPr>
          <w:rFonts w:hint="eastAsia" w:ascii="Times New Roman" w:hAnsi="Times New Roman" w:cs="Times New Roman"/>
          <w:i w:val="0"/>
          <w:snapToGrid w:val="0"/>
          <w:color w:val="auto"/>
          <w:kern w:val="0"/>
          <w:sz w:val="24"/>
          <w:szCs w:val="24"/>
          <w:highlight w:val="none"/>
          <w:vertAlign w:val="subscript"/>
        </w:rPr>
        <w:t>GHG</w:t>
      </w:r>
      <w:r>
        <w:rPr>
          <w:rFonts w:ascii="Times New Roman" w:hAnsi="Times New Roman" w:cs="Times New Roman"/>
          <w:i w:val="0"/>
          <w:snapToGrid w:val="0"/>
          <w:color w:val="auto"/>
          <w:kern w:val="0"/>
          <w:sz w:val="24"/>
          <w:szCs w:val="24"/>
          <w:highlight w:val="none"/>
          <w:vertAlign w:val="subscript"/>
        </w:rPr>
        <w:t>过程</w:t>
      </w:r>
      <w:r>
        <w:rPr>
          <w:rFonts w:ascii="Times New Roman" w:hAnsi="Times New Roman" w:cs="Times New Roman"/>
          <w:i w:val="0"/>
          <w:snapToGrid w:val="0"/>
          <w:color w:val="auto"/>
          <w:kern w:val="0"/>
          <w:sz w:val="24"/>
          <w:szCs w:val="24"/>
          <w:highlight w:val="none"/>
        </w:rPr>
        <w:t>—</w:t>
      </w:r>
      <w:r>
        <w:rPr>
          <w:rFonts w:hint="eastAsia" w:ascii="Times New Roman" w:hAnsi="Times New Roman" w:cs="Times New Roman"/>
          <w:i w:val="0"/>
          <w:snapToGrid w:val="0"/>
          <w:color w:val="auto"/>
          <w:kern w:val="0"/>
          <w:sz w:val="24"/>
          <w:szCs w:val="24"/>
          <w:highlight w:val="none"/>
        </w:rPr>
        <w:t>企业边界内工业</w:t>
      </w:r>
      <w:r>
        <w:rPr>
          <w:rFonts w:ascii="Times New Roman" w:hAnsi="Times New Roman" w:cs="Times New Roman"/>
          <w:i w:val="0"/>
          <w:snapToGrid w:val="0"/>
          <w:color w:val="auto"/>
          <w:kern w:val="0"/>
          <w:sz w:val="24"/>
          <w:szCs w:val="24"/>
          <w:highlight w:val="none"/>
        </w:rPr>
        <w:t>生产过程</w:t>
      </w:r>
      <w:r>
        <w:rPr>
          <w:rFonts w:hint="eastAsia" w:ascii="Times New Roman" w:hAnsi="Times New Roman" w:cs="Times New Roman"/>
          <w:i w:val="0"/>
          <w:snapToGrid w:val="0"/>
          <w:color w:val="auto"/>
          <w:kern w:val="0"/>
          <w:sz w:val="24"/>
          <w:szCs w:val="24"/>
          <w:highlight w:val="none"/>
        </w:rPr>
        <w:t>产生的温室气体CO</w:t>
      </w:r>
      <w:r>
        <w:rPr>
          <w:rFonts w:hint="eastAsia" w:ascii="Times New Roman" w:hAnsi="Times New Roman" w:cs="Times New Roman"/>
          <w:i w:val="0"/>
          <w:snapToGrid w:val="0"/>
          <w:color w:val="auto"/>
          <w:kern w:val="0"/>
          <w:sz w:val="24"/>
          <w:szCs w:val="24"/>
          <w:highlight w:val="none"/>
          <w:vertAlign w:val="subscript"/>
        </w:rPr>
        <w:t>2</w:t>
      </w:r>
      <w:r>
        <w:rPr>
          <w:rFonts w:hint="eastAsia" w:ascii="Times New Roman" w:hAnsi="Times New Roman" w:cs="Times New Roman"/>
          <w:i w:val="0"/>
          <w:snapToGrid w:val="0"/>
          <w:color w:val="auto"/>
          <w:kern w:val="0"/>
          <w:sz w:val="24"/>
          <w:szCs w:val="24"/>
          <w:highlight w:val="none"/>
        </w:rPr>
        <w:t>当量排放</w:t>
      </w:r>
      <w:r>
        <w:rPr>
          <w:rFonts w:ascii="Times New Roman" w:hAnsi="Times New Roman" w:cs="Times New Roman"/>
          <w:i w:val="0"/>
          <w:snapToGrid w:val="0"/>
          <w:color w:val="auto"/>
          <w:kern w:val="0"/>
          <w:sz w:val="24"/>
          <w:szCs w:val="24"/>
          <w:highlight w:val="none"/>
        </w:rPr>
        <w:t>；</w:t>
      </w:r>
    </w:p>
    <w:p w14:paraId="56496A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hint="eastAsia" w:ascii="Times New Roman" w:hAnsi="Times New Roman" w:cs="Times New Roman"/>
          <w:i w:val="0"/>
          <w:snapToGrid w:val="0"/>
          <w:color w:val="auto"/>
          <w:kern w:val="0"/>
          <w:sz w:val="24"/>
          <w:szCs w:val="24"/>
          <w:highlight w:val="none"/>
        </w:rPr>
        <w:t>E</w:t>
      </w:r>
      <w:r>
        <w:rPr>
          <w:rFonts w:hint="eastAsia" w:ascii="Times New Roman" w:hAnsi="Times New Roman" w:cs="Times New Roman"/>
          <w:i w:val="0"/>
          <w:snapToGrid w:val="0"/>
          <w:color w:val="auto"/>
          <w:kern w:val="0"/>
          <w:sz w:val="24"/>
          <w:szCs w:val="24"/>
          <w:highlight w:val="none"/>
          <w:vertAlign w:val="subscript"/>
        </w:rPr>
        <w:t>CO2回收</w:t>
      </w:r>
      <w:r>
        <w:rPr>
          <w:rFonts w:hint="eastAsia" w:ascii="Times New Roman" w:hAnsi="Times New Roman" w:cs="Times New Roman"/>
          <w:i w:val="0"/>
          <w:snapToGrid w:val="0"/>
          <w:color w:val="auto"/>
          <w:kern w:val="0"/>
          <w:sz w:val="24"/>
          <w:szCs w:val="24"/>
          <w:highlight w:val="none"/>
        </w:rPr>
        <w:t>—为企业回收且外供的CO</w:t>
      </w:r>
      <w:r>
        <w:rPr>
          <w:rFonts w:hint="eastAsia" w:ascii="Times New Roman" w:hAnsi="Times New Roman" w:cs="Times New Roman"/>
          <w:i w:val="0"/>
          <w:snapToGrid w:val="0"/>
          <w:color w:val="auto"/>
          <w:kern w:val="0"/>
          <w:sz w:val="24"/>
          <w:szCs w:val="24"/>
          <w:highlight w:val="none"/>
          <w:vertAlign w:val="subscript"/>
        </w:rPr>
        <w:t>2</w:t>
      </w:r>
      <w:r>
        <w:rPr>
          <w:rFonts w:hint="eastAsia" w:ascii="Times New Roman" w:hAnsi="Times New Roman" w:cs="Times New Roman"/>
          <w:i w:val="0"/>
          <w:snapToGrid w:val="0"/>
          <w:color w:val="auto"/>
          <w:kern w:val="0"/>
          <w:sz w:val="24"/>
          <w:szCs w:val="24"/>
          <w:highlight w:val="none"/>
        </w:rPr>
        <w:t>量；</w:t>
      </w:r>
    </w:p>
    <w:p w14:paraId="6E57805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ascii="Times New Roman" w:hAnsi="Times New Roman" w:cs="Times New Roman"/>
          <w:i w:val="0"/>
          <w:snapToGrid w:val="0"/>
          <w:color w:val="auto"/>
          <w:kern w:val="0"/>
          <w:sz w:val="24"/>
          <w:szCs w:val="24"/>
          <w:highlight w:val="none"/>
        </w:rPr>
        <w:t>E</w:t>
      </w:r>
      <w:r>
        <w:rPr>
          <w:rFonts w:hint="eastAsia" w:ascii="Times New Roman" w:hAnsi="Times New Roman" w:cs="Times New Roman"/>
          <w:i w:val="0"/>
          <w:snapToGrid w:val="0"/>
          <w:color w:val="auto"/>
          <w:kern w:val="0"/>
          <w:sz w:val="24"/>
          <w:szCs w:val="24"/>
          <w:highlight w:val="none"/>
          <w:vertAlign w:val="subscript"/>
        </w:rPr>
        <w:t>CO2净</w:t>
      </w:r>
      <w:r>
        <w:rPr>
          <w:rFonts w:ascii="Times New Roman" w:hAnsi="Times New Roman" w:cs="Times New Roman"/>
          <w:i w:val="0"/>
          <w:snapToGrid w:val="0"/>
          <w:color w:val="auto"/>
          <w:kern w:val="0"/>
          <w:sz w:val="24"/>
          <w:szCs w:val="24"/>
          <w:highlight w:val="none"/>
          <w:vertAlign w:val="subscript"/>
        </w:rPr>
        <w:t>电</w:t>
      </w:r>
      <w:r>
        <w:rPr>
          <w:rFonts w:ascii="Times New Roman" w:hAnsi="Times New Roman" w:cs="Times New Roman"/>
          <w:i w:val="0"/>
          <w:snapToGrid w:val="0"/>
          <w:color w:val="auto"/>
          <w:kern w:val="0"/>
          <w:sz w:val="24"/>
          <w:szCs w:val="24"/>
          <w:highlight w:val="none"/>
        </w:rPr>
        <w:t>—</w:t>
      </w:r>
      <w:r>
        <w:rPr>
          <w:rFonts w:hint="eastAsia" w:ascii="Times New Roman" w:hAnsi="Times New Roman" w:cs="Times New Roman"/>
          <w:i w:val="0"/>
          <w:snapToGrid w:val="0"/>
          <w:color w:val="auto"/>
          <w:kern w:val="0"/>
          <w:sz w:val="24"/>
          <w:szCs w:val="24"/>
          <w:highlight w:val="none"/>
        </w:rPr>
        <w:t>为企业净购入的电力消费引起的CO</w:t>
      </w:r>
      <w:r>
        <w:rPr>
          <w:rFonts w:hint="eastAsia" w:ascii="Times New Roman" w:hAnsi="Times New Roman" w:cs="Times New Roman"/>
          <w:i w:val="0"/>
          <w:snapToGrid w:val="0"/>
          <w:color w:val="auto"/>
          <w:kern w:val="0"/>
          <w:sz w:val="24"/>
          <w:szCs w:val="24"/>
          <w:highlight w:val="none"/>
          <w:vertAlign w:val="subscript"/>
        </w:rPr>
        <w:t>2</w:t>
      </w:r>
      <w:r>
        <w:rPr>
          <w:rFonts w:hint="eastAsia" w:ascii="Times New Roman" w:hAnsi="Times New Roman" w:cs="Times New Roman"/>
          <w:i w:val="0"/>
          <w:snapToGrid w:val="0"/>
          <w:color w:val="auto"/>
          <w:kern w:val="0"/>
          <w:sz w:val="24"/>
          <w:szCs w:val="24"/>
          <w:highlight w:val="none"/>
        </w:rPr>
        <w:t>排放；</w:t>
      </w:r>
    </w:p>
    <w:p w14:paraId="055AC3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i w:val="0"/>
          <w:snapToGrid w:val="0"/>
          <w:color w:val="auto"/>
          <w:kern w:val="0"/>
          <w:sz w:val="24"/>
          <w:szCs w:val="24"/>
          <w:highlight w:val="none"/>
        </w:rPr>
      </w:pPr>
      <w:r>
        <w:rPr>
          <w:rFonts w:ascii="Times New Roman" w:hAnsi="Times New Roman" w:cs="Times New Roman"/>
          <w:i w:val="0"/>
          <w:snapToGrid w:val="0"/>
          <w:color w:val="auto"/>
          <w:kern w:val="0"/>
          <w:sz w:val="24"/>
          <w:szCs w:val="24"/>
          <w:highlight w:val="none"/>
        </w:rPr>
        <w:t>E</w:t>
      </w:r>
      <w:r>
        <w:rPr>
          <w:rFonts w:hint="eastAsia" w:ascii="Times New Roman" w:hAnsi="Times New Roman" w:cs="Times New Roman"/>
          <w:i w:val="0"/>
          <w:snapToGrid w:val="0"/>
          <w:color w:val="auto"/>
          <w:kern w:val="0"/>
          <w:sz w:val="24"/>
          <w:szCs w:val="24"/>
          <w:highlight w:val="none"/>
          <w:vertAlign w:val="subscript"/>
        </w:rPr>
        <w:t>CO2净</w:t>
      </w:r>
      <w:r>
        <w:rPr>
          <w:rFonts w:ascii="Times New Roman" w:hAnsi="Times New Roman" w:cs="Times New Roman"/>
          <w:i w:val="0"/>
          <w:snapToGrid w:val="0"/>
          <w:color w:val="auto"/>
          <w:kern w:val="0"/>
          <w:sz w:val="24"/>
          <w:szCs w:val="24"/>
          <w:highlight w:val="none"/>
          <w:vertAlign w:val="subscript"/>
        </w:rPr>
        <w:t>热</w:t>
      </w:r>
      <w:r>
        <w:rPr>
          <w:rFonts w:ascii="Times New Roman" w:hAnsi="Times New Roman" w:cs="Times New Roman"/>
          <w:i w:val="0"/>
          <w:snapToGrid w:val="0"/>
          <w:color w:val="auto"/>
          <w:kern w:val="0"/>
          <w:sz w:val="24"/>
          <w:szCs w:val="24"/>
          <w:highlight w:val="none"/>
        </w:rPr>
        <w:t>—</w:t>
      </w:r>
      <w:r>
        <w:rPr>
          <w:rFonts w:hint="eastAsia" w:ascii="Times New Roman" w:hAnsi="Times New Roman" w:cs="Times New Roman"/>
          <w:i w:val="0"/>
          <w:snapToGrid w:val="0"/>
          <w:color w:val="auto"/>
          <w:kern w:val="0"/>
          <w:sz w:val="24"/>
          <w:szCs w:val="24"/>
          <w:highlight w:val="none"/>
        </w:rPr>
        <w:t>为企业净购入的热力消费引起的CO</w:t>
      </w:r>
      <w:r>
        <w:rPr>
          <w:rFonts w:hint="eastAsia" w:ascii="Times New Roman" w:hAnsi="Times New Roman" w:cs="Times New Roman"/>
          <w:i w:val="0"/>
          <w:snapToGrid w:val="0"/>
          <w:color w:val="auto"/>
          <w:kern w:val="0"/>
          <w:sz w:val="24"/>
          <w:szCs w:val="24"/>
          <w:highlight w:val="none"/>
          <w:vertAlign w:val="subscript"/>
        </w:rPr>
        <w:t>2</w:t>
      </w:r>
      <w:r>
        <w:rPr>
          <w:rFonts w:hint="eastAsia" w:ascii="Times New Roman" w:hAnsi="Times New Roman" w:cs="Times New Roman"/>
          <w:i w:val="0"/>
          <w:snapToGrid w:val="0"/>
          <w:color w:val="auto"/>
          <w:kern w:val="0"/>
          <w:sz w:val="24"/>
          <w:szCs w:val="24"/>
          <w:highlight w:val="none"/>
        </w:rPr>
        <w:t>排放。</w:t>
      </w:r>
    </w:p>
    <w:p w14:paraId="30A23CD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6.4.4碳排放核算</w:t>
      </w:r>
    </w:p>
    <w:p w14:paraId="15388B8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GB" w:eastAsia="zh-CN"/>
        </w:rPr>
      </w:pPr>
      <w:r>
        <w:rPr>
          <w:rFonts w:hint="eastAsia" w:ascii="宋体" w:hAnsi="宋体" w:eastAsia="宋体" w:cs="宋体"/>
          <w:b/>
          <w:bCs w:val="0"/>
          <w:snapToGrid w:val="0"/>
          <w:color w:val="auto"/>
          <w:spacing w:val="0"/>
          <w:w w:val="100"/>
          <w:kern w:val="0"/>
          <w:sz w:val="24"/>
          <w:szCs w:val="24"/>
          <w:highlight w:val="none"/>
          <w:lang w:val="en-US" w:eastAsia="zh-CN"/>
        </w:rPr>
        <w:t>6.4.4.1微生物发酵排放核算</w:t>
      </w:r>
    </w:p>
    <w:p w14:paraId="094748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cs="Times New Roman"/>
          <w:snapToGrid w:val="0"/>
          <w:color w:val="auto"/>
          <w:kern w:val="0"/>
          <w:sz w:val="24"/>
          <w:highlight w:val="none"/>
        </w:rPr>
      </w:pPr>
      <w:r>
        <w:rPr>
          <w:rFonts w:eastAsia="宋体"/>
          <w:snapToGrid w:val="0"/>
          <w:color w:val="auto"/>
          <w:kern w:val="0"/>
          <w:sz w:val="24"/>
          <w:highlight w:val="none"/>
        </w:rPr>
        <w:t>微生物发酵过程中会排放二氧化碳，</w:t>
      </w:r>
      <w:r>
        <w:rPr>
          <w:rFonts w:hint="eastAsia" w:eastAsia="宋体"/>
          <w:snapToGrid w:val="0"/>
          <w:color w:val="auto"/>
          <w:kern w:val="0"/>
          <w:sz w:val="24"/>
          <w:highlight w:val="none"/>
        </w:rPr>
        <w:t>本项目主要采用烷烃发酵生产</w:t>
      </w:r>
      <w:r>
        <w:rPr>
          <w:rFonts w:hint="eastAsia"/>
          <w:snapToGrid w:val="0"/>
          <w:color w:val="auto"/>
          <w:kern w:val="0"/>
          <w:sz w:val="24"/>
          <w:highlight w:val="none"/>
          <w:lang w:eastAsia="zh-CN"/>
        </w:rPr>
        <w:t>二元酸</w:t>
      </w:r>
      <w:r>
        <w:rPr>
          <w:rFonts w:hint="eastAsia" w:eastAsia="宋体"/>
          <w:snapToGrid w:val="0"/>
          <w:color w:val="auto"/>
          <w:kern w:val="0"/>
          <w:sz w:val="24"/>
          <w:highlight w:val="none"/>
        </w:rPr>
        <w:t>，烷烃为发酵过程主要碳源。可根据相关专利中烷烃对二元酸的重量转化率数据进行间接推断。相关专利文献显示，烷烃对二元酸的重量转化率在68.39%-91.96%之间，这意味着碳源除了转化为二元酸外，还有部分用于微生物细胞生长、维持代谢等，剩余部分则以二氧化碳等形式释放。若假设碳源只转化为二元酸和二氧化碳，以转化率68.39%为例，大致有31.61%的碳源以二氧化碳形式释放；以转化率91.96%为例，则约有8.04%的碳源以二氧化碳形式释放。本项目使用原料烷烃</w:t>
      </w:r>
      <w:r>
        <w:rPr>
          <w:rFonts w:hint="eastAsia"/>
          <w:snapToGrid w:val="0"/>
          <w:color w:val="auto"/>
          <w:kern w:val="0"/>
          <w:sz w:val="24"/>
          <w:highlight w:val="none"/>
          <w:lang w:val="en-US" w:eastAsia="zh-CN"/>
        </w:rPr>
        <w:t>50000t</w:t>
      </w:r>
      <w:r>
        <w:rPr>
          <w:rFonts w:hint="eastAsia" w:eastAsia="宋体"/>
          <w:snapToGrid w:val="0"/>
          <w:color w:val="auto"/>
          <w:kern w:val="0"/>
          <w:sz w:val="24"/>
          <w:highlight w:val="none"/>
        </w:rPr>
        <w:t>，</w:t>
      </w:r>
      <w:r>
        <w:rPr>
          <w:rFonts w:hint="eastAsia"/>
          <w:snapToGrid w:val="0"/>
          <w:color w:val="auto"/>
          <w:kern w:val="0"/>
          <w:sz w:val="24"/>
          <w:highlight w:val="none"/>
          <w:lang w:eastAsia="zh-CN"/>
        </w:rPr>
        <w:t>二元酸</w:t>
      </w:r>
      <w:r>
        <w:rPr>
          <w:rFonts w:hint="eastAsia" w:eastAsia="宋体"/>
          <w:snapToGrid w:val="0"/>
          <w:color w:val="auto"/>
          <w:kern w:val="0"/>
          <w:sz w:val="24"/>
          <w:highlight w:val="none"/>
        </w:rPr>
        <w:t>生产规模为</w:t>
      </w:r>
      <w:r>
        <w:rPr>
          <w:rFonts w:hint="eastAsia"/>
          <w:snapToGrid w:val="0"/>
          <w:color w:val="auto"/>
          <w:kern w:val="0"/>
          <w:sz w:val="24"/>
          <w:highlight w:val="none"/>
          <w:lang w:val="en-US" w:eastAsia="zh-CN"/>
        </w:rPr>
        <w:t>4</w:t>
      </w:r>
      <w:r>
        <w:rPr>
          <w:rFonts w:hint="eastAsia" w:eastAsia="宋体"/>
          <w:snapToGrid w:val="0"/>
          <w:color w:val="auto"/>
          <w:kern w:val="0"/>
          <w:sz w:val="24"/>
          <w:highlight w:val="none"/>
        </w:rPr>
        <w:t>0000</w:t>
      </w:r>
      <w:r>
        <w:rPr>
          <w:rFonts w:hint="eastAsia"/>
          <w:snapToGrid w:val="0"/>
          <w:color w:val="auto"/>
          <w:kern w:val="0"/>
          <w:sz w:val="24"/>
          <w:highlight w:val="none"/>
          <w:lang w:val="en-US" w:eastAsia="zh-CN"/>
        </w:rPr>
        <w:t>t</w:t>
      </w:r>
      <w:r>
        <w:rPr>
          <w:rFonts w:hint="eastAsia" w:eastAsia="宋体"/>
          <w:snapToGrid w:val="0"/>
          <w:color w:val="auto"/>
          <w:kern w:val="0"/>
          <w:sz w:val="24"/>
          <w:highlight w:val="none"/>
        </w:rPr>
        <w:t>，转化率约为80%，</w:t>
      </w:r>
      <w:r>
        <w:rPr>
          <w:rFonts w:eastAsia="宋体" w:cs="Times New Roman"/>
          <w:snapToGrid w:val="0"/>
          <w:color w:val="auto"/>
          <w:kern w:val="0"/>
          <w:sz w:val="24"/>
          <w:highlight w:val="none"/>
        </w:rPr>
        <w:t>约</w:t>
      </w:r>
      <w:r>
        <w:rPr>
          <w:rFonts w:hint="eastAsia" w:eastAsia="宋体" w:cs="Times New Roman"/>
          <w:snapToGrid w:val="0"/>
          <w:color w:val="auto"/>
          <w:kern w:val="0"/>
          <w:sz w:val="24"/>
          <w:highlight w:val="none"/>
        </w:rPr>
        <w:t>20%</w:t>
      </w:r>
      <w:r>
        <w:rPr>
          <w:rFonts w:eastAsia="宋体" w:cs="Times New Roman"/>
          <w:snapToGrid w:val="0"/>
          <w:color w:val="auto"/>
          <w:kern w:val="0"/>
          <w:sz w:val="24"/>
          <w:highlight w:val="none"/>
        </w:rPr>
        <w:t>碳源</w:t>
      </w:r>
      <w:r>
        <w:rPr>
          <w:rFonts w:hint="eastAsia" w:cs="Times New Roman"/>
          <w:snapToGrid w:val="0"/>
          <w:color w:val="auto"/>
          <w:kern w:val="0"/>
          <w:sz w:val="24"/>
          <w:highlight w:val="none"/>
          <w:lang w:eastAsia="zh-CN"/>
        </w:rPr>
        <w:t>（</w:t>
      </w:r>
      <w:r>
        <w:rPr>
          <w:rFonts w:hint="eastAsia"/>
          <w:snapToGrid w:val="0"/>
          <w:color w:val="auto"/>
          <w:kern w:val="0"/>
          <w:sz w:val="24"/>
          <w:highlight w:val="none"/>
          <w:lang w:val="en-US" w:eastAsia="zh-CN"/>
        </w:rPr>
        <w:t>10000t</w:t>
      </w:r>
      <w:r>
        <w:rPr>
          <w:rFonts w:hint="eastAsia" w:eastAsia="宋体"/>
          <w:snapToGrid w:val="0"/>
          <w:color w:val="auto"/>
          <w:kern w:val="0"/>
          <w:sz w:val="24"/>
          <w:highlight w:val="none"/>
        </w:rPr>
        <w:t>烷烃</w:t>
      </w:r>
      <w:r>
        <w:rPr>
          <w:rFonts w:hint="eastAsia" w:cs="Times New Roman"/>
          <w:snapToGrid w:val="0"/>
          <w:color w:val="auto"/>
          <w:kern w:val="0"/>
          <w:sz w:val="24"/>
          <w:highlight w:val="none"/>
          <w:lang w:eastAsia="zh-CN"/>
        </w:rPr>
        <w:t>）</w:t>
      </w:r>
      <w:r>
        <w:rPr>
          <w:rFonts w:eastAsia="宋体" w:cs="Times New Roman"/>
          <w:snapToGrid w:val="0"/>
          <w:color w:val="auto"/>
          <w:kern w:val="0"/>
          <w:sz w:val="24"/>
          <w:highlight w:val="none"/>
        </w:rPr>
        <w:t>以二氧化碳的形式释放进入大气，则微生物发酵二氧化碳排放量为</w:t>
      </w:r>
      <w:r>
        <w:rPr>
          <w:rFonts w:hint="eastAsia" w:eastAsia="宋体" w:cs="Times New Roman"/>
          <w:snapToGrid w:val="0"/>
          <w:color w:val="auto"/>
          <w:kern w:val="0"/>
          <w:sz w:val="24"/>
          <w:highlight w:val="none"/>
        </w:rPr>
        <w:t>30985.9</w:t>
      </w:r>
      <w:r>
        <w:rPr>
          <w:rFonts w:hint="eastAsia" w:cs="Times New Roman"/>
          <w:snapToGrid w:val="0"/>
          <w:color w:val="auto"/>
          <w:kern w:val="0"/>
          <w:sz w:val="24"/>
          <w:highlight w:val="none"/>
          <w:lang w:val="en-US" w:eastAsia="zh-CN"/>
        </w:rPr>
        <w:t>2</w:t>
      </w:r>
      <w:r>
        <w:rPr>
          <w:rFonts w:eastAsia="宋体" w:cs="Times New Roman"/>
          <w:snapToGrid w:val="0"/>
          <w:color w:val="auto"/>
          <w:kern w:val="0"/>
          <w:sz w:val="24"/>
          <w:highlight w:val="none"/>
        </w:rPr>
        <w:t>t/a。</w:t>
      </w:r>
    </w:p>
    <w:p w14:paraId="007299D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GB" w:eastAsia="zh-CN"/>
        </w:rPr>
      </w:pPr>
      <w:r>
        <w:rPr>
          <w:rFonts w:hint="eastAsia" w:ascii="宋体" w:hAnsi="宋体" w:eastAsia="宋体" w:cs="宋体"/>
          <w:b/>
          <w:bCs w:val="0"/>
          <w:snapToGrid w:val="0"/>
          <w:color w:val="auto"/>
          <w:spacing w:val="0"/>
          <w:w w:val="100"/>
          <w:kern w:val="0"/>
          <w:sz w:val="24"/>
          <w:szCs w:val="24"/>
          <w:highlight w:val="none"/>
          <w:lang w:val="en-US" w:eastAsia="zh-CN"/>
        </w:rPr>
        <w:t>6.4.4.2活性炭再生炉废气碳排放核算</w:t>
      </w:r>
    </w:p>
    <w:p w14:paraId="717FBD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napToGrid w:val="0"/>
          <w:color w:val="auto"/>
          <w:kern w:val="0"/>
          <w:sz w:val="24"/>
          <w:highlight w:val="none"/>
          <w:lang w:val="en-US" w:eastAsia="zh-CN"/>
        </w:rPr>
      </w:pPr>
      <w:r>
        <w:rPr>
          <w:rFonts w:hint="eastAsia"/>
          <w:snapToGrid w:val="0"/>
          <w:color w:val="auto"/>
          <w:kern w:val="0"/>
          <w:sz w:val="24"/>
          <w:highlight w:val="none"/>
          <w:lang w:val="en-US" w:eastAsia="zh-CN"/>
        </w:rPr>
        <w:t>活性炭再生过程</w:t>
      </w:r>
      <w:r>
        <w:rPr>
          <w:rFonts w:eastAsia="宋体"/>
          <w:snapToGrid w:val="0"/>
          <w:color w:val="auto"/>
          <w:kern w:val="0"/>
          <w:sz w:val="24"/>
          <w:highlight w:val="none"/>
        </w:rPr>
        <w:t>会排放二氧化碳，</w:t>
      </w:r>
      <w:r>
        <w:rPr>
          <w:rFonts w:hint="eastAsia"/>
          <w:snapToGrid w:val="0"/>
          <w:color w:val="auto"/>
          <w:kern w:val="0"/>
          <w:sz w:val="24"/>
          <w:highlight w:val="none"/>
          <w:lang w:val="en-US" w:eastAsia="zh-CN"/>
        </w:rPr>
        <w:t>根据工程分析章节，单位炉气中二氧化碳产生量为3.65+7.47=11.12m</w:t>
      </w:r>
      <w:r>
        <w:rPr>
          <w:rFonts w:hint="eastAsia"/>
          <w:snapToGrid w:val="0"/>
          <w:color w:val="auto"/>
          <w:kern w:val="0"/>
          <w:sz w:val="24"/>
          <w:highlight w:val="none"/>
          <w:vertAlign w:val="superscript"/>
          <w:lang w:val="en-US" w:eastAsia="zh-CN"/>
        </w:rPr>
        <w:t>3</w:t>
      </w:r>
      <w:r>
        <w:rPr>
          <w:rFonts w:hint="eastAsia"/>
          <w:snapToGrid w:val="0"/>
          <w:color w:val="auto"/>
          <w:kern w:val="0"/>
          <w:sz w:val="24"/>
          <w:highlight w:val="none"/>
          <w:lang w:val="en-US" w:eastAsia="zh-CN"/>
        </w:rPr>
        <w:t>/h；</w:t>
      </w:r>
      <w:r>
        <w:rPr>
          <w:rFonts w:hint="eastAsia" w:ascii="宋体" w:hAnsi="宋体"/>
          <w:color w:val="auto"/>
          <w:kern w:val="0"/>
          <w:sz w:val="24"/>
          <w:highlight w:val="none"/>
        </w:rPr>
        <w:t>天然气约</w:t>
      </w:r>
      <w:r>
        <w:rPr>
          <w:color w:val="auto"/>
          <w:kern w:val="0"/>
          <w:sz w:val="24"/>
          <w:highlight w:val="none"/>
        </w:rPr>
        <w:t>330Nm</w:t>
      </w:r>
      <w:r>
        <w:rPr>
          <w:color w:val="auto"/>
          <w:kern w:val="0"/>
          <w:sz w:val="24"/>
          <w:highlight w:val="none"/>
          <w:vertAlign w:val="superscript"/>
        </w:rPr>
        <w:t>3</w:t>
      </w:r>
      <w:r>
        <w:rPr>
          <w:color w:val="auto"/>
          <w:kern w:val="0"/>
          <w:sz w:val="24"/>
          <w:highlight w:val="none"/>
        </w:rPr>
        <w:t>/h</w:t>
      </w:r>
      <w:r>
        <w:rPr>
          <w:rFonts w:hint="eastAsia"/>
          <w:color w:val="auto"/>
          <w:kern w:val="0"/>
          <w:sz w:val="24"/>
          <w:highlight w:val="none"/>
          <w:lang w:eastAsia="zh-CN"/>
        </w:rPr>
        <w:t>，</w:t>
      </w:r>
      <w:r>
        <w:rPr>
          <w:rFonts w:hint="eastAsia"/>
          <w:color w:val="auto"/>
          <w:kern w:val="0"/>
          <w:sz w:val="24"/>
          <w:highlight w:val="none"/>
          <w:lang w:val="en-US" w:eastAsia="zh-CN"/>
        </w:rPr>
        <w:t>主要成分甲烷全部转化为二氧化碳，天然气燃烧二氧化碳产生量为</w:t>
      </w:r>
      <w:r>
        <w:rPr>
          <w:color w:val="auto"/>
          <w:kern w:val="0"/>
          <w:sz w:val="24"/>
          <w:highlight w:val="none"/>
        </w:rPr>
        <w:t>330m</w:t>
      </w:r>
      <w:r>
        <w:rPr>
          <w:color w:val="auto"/>
          <w:kern w:val="0"/>
          <w:sz w:val="24"/>
          <w:highlight w:val="none"/>
          <w:vertAlign w:val="superscript"/>
        </w:rPr>
        <w:t>3</w:t>
      </w:r>
      <w:r>
        <w:rPr>
          <w:color w:val="auto"/>
          <w:kern w:val="0"/>
          <w:sz w:val="24"/>
          <w:highlight w:val="none"/>
        </w:rPr>
        <w:t>/h</w:t>
      </w:r>
      <w:r>
        <w:rPr>
          <w:rFonts w:hint="eastAsia"/>
          <w:color w:val="auto"/>
          <w:kern w:val="0"/>
          <w:sz w:val="24"/>
          <w:highlight w:val="none"/>
          <w:lang w:eastAsia="zh-CN"/>
        </w:rPr>
        <w:t>，</w:t>
      </w:r>
      <w:r>
        <w:rPr>
          <w:rFonts w:hint="eastAsia"/>
          <w:color w:val="auto"/>
          <w:kern w:val="0"/>
          <w:sz w:val="24"/>
          <w:highlight w:val="none"/>
          <w:lang w:val="en-US" w:eastAsia="zh-CN"/>
        </w:rPr>
        <w:t>则</w:t>
      </w:r>
      <w:r>
        <w:rPr>
          <w:rFonts w:hint="eastAsia"/>
          <w:snapToGrid w:val="0"/>
          <w:color w:val="auto"/>
          <w:kern w:val="0"/>
          <w:sz w:val="24"/>
          <w:highlight w:val="none"/>
          <w:lang w:val="en-US" w:eastAsia="zh-CN"/>
        </w:rPr>
        <w:t>活性炭再生废气中二氧化碳排放量为341.12m</w:t>
      </w:r>
      <w:r>
        <w:rPr>
          <w:rFonts w:hint="eastAsia"/>
          <w:snapToGrid w:val="0"/>
          <w:color w:val="auto"/>
          <w:kern w:val="0"/>
          <w:sz w:val="24"/>
          <w:highlight w:val="none"/>
          <w:vertAlign w:val="superscript"/>
          <w:lang w:val="en-US" w:eastAsia="zh-CN"/>
        </w:rPr>
        <w:t>3</w:t>
      </w:r>
      <w:r>
        <w:rPr>
          <w:rFonts w:hint="eastAsia"/>
          <w:snapToGrid w:val="0"/>
          <w:color w:val="auto"/>
          <w:kern w:val="0"/>
          <w:sz w:val="24"/>
          <w:highlight w:val="none"/>
          <w:lang w:val="en-US" w:eastAsia="zh-CN"/>
        </w:rPr>
        <w:t>/h</w:t>
      </w:r>
    </w:p>
    <w:p w14:paraId="0928D5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napToGrid w:val="0"/>
          <w:color w:val="auto"/>
          <w:kern w:val="0"/>
          <w:sz w:val="24"/>
          <w:highlight w:val="none"/>
          <w:lang w:val="en-US" w:eastAsia="zh-CN"/>
        </w:rPr>
      </w:pPr>
      <w:r>
        <w:rPr>
          <w:rFonts w:hint="eastAsia"/>
          <w:snapToGrid w:val="0"/>
          <w:color w:val="auto"/>
          <w:kern w:val="0"/>
          <w:sz w:val="24"/>
          <w:highlight w:val="none"/>
          <w:lang w:val="en-US" w:eastAsia="zh-CN"/>
        </w:rPr>
        <w:t>排放速率：341.12m</w:t>
      </w:r>
      <w:r>
        <w:rPr>
          <w:rFonts w:hint="eastAsia"/>
          <w:snapToGrid w:val="0"/>
          <w:color w:val="auto"/>
          <w:kern w:val="0"/>
          <w:sz w:val="24"/>
          <w:highlight w:val="none"/>
          <w:vertAlign w:val="superscript"/>
          <w:lang w:val="en-US" w:eastAsia="zh-CN"/>
        </w:rPr>
        <w:t>3</w:t>
      </w:r>
      <w:r>
        <w:rPr>
          <w:rFonts w:hint="eastAsia"/>
          <w:snapToGrid w:val="0"/>
          <w:color w:val="auto"/>
          <w:kern w:val="0"/>
          <w:sz w:val="24"/>
          <w:highlight w:val="none"/>
          <w:lang w:val="en-US" w:eastAsia="zh-CN"/>
        </w:rPr>
        <w:t>/h÷22.4×44=670.057kg/h</w:t>
      </w:r>
    </w:p>
    <w:p w14:paraId="0DEEF2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cs="Times New Roman"/>
          <w:snapToGrid w:val="0"/>
          <w:color w:val="auto"/>
          <w:kern w:val="0"/>
          <w:sz w:val="24"/>
          <w:highlight w:val="none"/>
        </w:rPr>
      </w:pPr>
      <w:r>
        <w:rPr>
          <w:rFonts w:hint="eastAsia"/>
          <w:snapToGrid w:val="0"/>
          <w:color w:val="auto"/>
          <w:kern w:val="0"/>
          <w:sz w:val="24"/>
          <w:highlight w:val="none"/>
          <w:lang w:val="en-US" w:eastAsia="zh-CN"/>
        </w:rPr>
        <w:t>年排放量：298.375kg/h×8000h÷1000=5360.46t</w:t>
      </w:r>
    </w:p>
    <w:p w14:paraId="4559433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6.4.4.3消耗电力核算</w:t>
      </w:r>
    </w:p>
    <w:p w14:paraId="313C22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本项目生产消耗电力导致二氧化碳排放。本项目年总用电</w:t>
      </w:r>
      <w:r>
        <w:rPr>
          <w:rFonts w:hint="eastAsia" w:eastAsia="宋体"/>
          <w:snapToGrid w:val="0"/>
          <w:color w:val="auto"/>
          <w:kern w:val="0"/>
          <w:sz w:val="24"/>
          <w:highlight w:val="none"/>
        </w:rPr>
        <w:t>量为1.06亿kW</w:t>
      </w:r>
      <w:r>
        <w:rPr>
          <w:rFonts w:cs="Times New Roman"/>
          <w:snapToGrid w:val="0"/>
          <w:color w:val="auto"/>
          <w:kern w:val="0"/>
          <w:sz w:val="24"/>
          <w:highlight w:val="none"/>
        </w:rPr>
        <w:t>h，折合</w:t>
      </w:r>
      <w:r>
        <w:rPr>
          <w:rFonts w:hint="eastAsia" w:cs="Times New Roman"/>
          <w:snapToGrid w:val="0"/>
          <w:color w:val="auto"/>
          <w:kern w:val="0"/>
          <w:sz w:val="24"/>
          <w:highlight w:val="none"/>
          <w:lang w:val="en-US" w:eastAsia="zh-CN"/>
        </w:rPr>
        <w:t>10.6</w:t>
      </w:r>
      <w:r>
        <w:rPr>
          <w:rFonts w:cs="Times New Roman"/>
          <w:snapToGrid w:val="0"/>
          <w:color w:val="auto"/>
          <w:kern w:val="0"/>
          <w:sz w:val="24"/>
          <w:highlight w:val="none"/>
        </w:rPr>
        <w:t>万MWh。</w:t>
      </w:r>
    </w:p>
    <w:p w14:paraId="7A69A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w:t>
      </w:r>
      <w:r>
        <w:rPr>
          <w:rFonts w:cs="Times New Roman"/>
          <w:snapToGrid w:val="0"/>
          <w:color w:val="auto"/>
          <w:kern w:val="0"/>
          <w:sz w:val="24"/>
          <w:highlight w:val="none"/>
          <w:vertAlign w:val="subscript"/>
        </w:rPr>
        <w:t>消耗电力，i</w:t>
      </w:r>
      <w:r>
        <w:rPr>
          <w:rFonts w:cs="Times New Roman"/>
          <w:snapToGrid w:val="0"/>
          <w:color w:val="auto"/>
          <w:kern w:val="0"/>
          <w:sz w:val="24"/>
          <w:highlight w:val="none"/>
        </w:rPr>
        <w:t>=AD</w:t>
      </w:r>
      <w:r>
        <w:rPr>
          <w:rFonts w:cs="Times New Roman"/>
          <w:snapToGrid w:val="0"/>
          <w:color w:val="auto"/>
          <w:kern w:val="0"/>
          <w:sz w:val="24"/>
          <w:highlight w:val="none"/>
          <w:vertAlign w:val="subscript"/>
        </w:rPr>
        <w:t>消耗电力，i</w:t>
      </w:r>
      <w:r>
        <w:rPr>
          <w:rFonts w:cs="Times New Roman"/>
          <w:snapToGrid w:val="0"/>
          <w:color w:val="auto"/>
          <w:kern w:val="0"/>
          <w:sz w:val="24"/>
          <w:highlight w:val="none"/>
        </w:rPr>
        <w:t>×EF</w:t>
      </w:r>
      <w:r>
        <w:rPr>
          <w:rFonts w:cs="Times New Roman"/>
          <w:snapToGrid w:val="0"/>
          <w:color w:val="auto"/>
          <w:kern w:val="0"/>
          <w:sz w:val="24"/>
          <w:highlight w:val="none"/>
          <w:vertAlign w:val="subscript"/>
        </w:rPr>
        <w:t>电</w:t>
      </w:r>
    </w:p>
    <w:p w14:paraId="7922B4C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式中：</w:t>
      </w:r>
    </w:p>
    <w:p w14:paraId="64BC15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w:t>
      </w:r>
      <w:r>
        <w:rPr>
          <w:rFonts w:cs="Times New Roman"/>
          <w:snapToGrid w:val="0"/>
          <w:color w:val="auto"/>
          <w:kern w:val="0"/>
          <w:sz w:val="24"/>
          <w:highlight w:val="none"/>
          <w:vertAlign w:val="subscript"/>
        </w:rPr>
        <w:t>消耗电力，i</w:t>
      </w:r>
      <w:r>
        <w:rPr>
          <w:rFonts w:cs="Times New Roman"/>
          <w:snapToGrid w:val="0"/>
          <w:color w:val="auto"/>
          <w:kern w:val="0"/>
          <w:sz w:val="24"/>
          <w:highlight w:val="none"/>
        </w:rPr>
        <w:t>——核算单元i消耗电力所产生的二氧化碳排放量，单位为吨二氧化碳</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tCO</w:t>
      </w:r>
      <w:r>
        <w:rPr>
          <w:rFonts w:cs="Times New Roman"/>
          <w:snapToGrid w:val="0"/>
          <w:color w:val="auto"/>
          <w:kern w:val="0"/>
          <w:sz w:val="24"/>
          <w:highlight w:val="none"/>
          <w:vertAlign w:val="subscript"/>
        </w:rPr>
        <w:t>2</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w:t>
      </w:r>
    </w:p>
    <w:p w14:paraId="76F359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AD</w:t>
      </w:r>
      <w:r>
        <w:rPr>
          <w:rFonts w:cs="Times New Roman"/>
          <w:snapToGrid w:val="0"/>
          <w:color w:val="auto"/>
          <w:kern w:val="0"/>
          <w:sz w:val="24"/>
          <w:highlight w:val="none"/>
          <w:vertAlign w:val="subscript"/>
        </w:rPr>
        <w:t>消耗电力，i</w:t>
      </w:r>
      <w:r>
        <w:rPr>
          <w:rFonts w:cs="Times New Roman"/>
          <w:snapToGrid w:val="0"/>
          <w:color w:val="auto"/>
          <w:kern w:val="0"/>
          <w:sz w:val="24"/>
          <w:highlight w:val="none"/>
        </w:rPr>
        <w:t>——核算期内核算单元i消耗电力，单位为兆瓦时</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MWh</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w:t>
      </w:r>
    </w:p>
    <w:p w14:paraId="68BC54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EF</w:t>
      </w:r>
      <w:r>
        <w:rPr>
          <w:rFonts w:cs="Times New Roman"/>
          <w:snapToGrid w:val="0"/>
          <w:color w:val="auto"/>
          <w:kern w:val="0"/>
          <w:sz w:val="24"/>
          <w:highlight w:val="none"/>
          <w:vertAlign w:val="subscript"/>
        </w:rPr>
        <w:t>电</w:t>
      </w:r>
      <w:r>
        <w:rPr>
          <w:rFonts w:cs="Times New Roman"/>
          <w:snapToGrid w:val="0"/>
          <w:color w:val="auto"/>
          <w:kern w:val="0"/>
          <w:sz w:val="24"/>
          <w:highlight w:val="none"/>
        </w:rPr>
        <w:t>——区域电网年平均供电排放因子，单位为吨二氧化碳每兆瓦时</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tCO</w:t>
      </w:r>
      <w:r>
        <w:rPr>
          <w:rFonts w:cs="Times New Roman"/>
          <w:snapToGrid w:val="0"/>
          <w:color w:val="auto"/>
          <w:kern w:val="0"/>
          <w:sz w:val="24"/>
          <w:highlight w:val="none"/>
          <w:vertAlign w:val="subscript"/>
        </w:rPr>
        <w:t>2</w:t>
      </w:r>
      <w:r>
        <w:rPr>
          <w:rFonts w:cs="Times New Roman"/>
          <w:snapToGrid w:val="0"/>
          <w:color w:val="auto"/>
          <w:kern w:val="0"/>
          <w:sz w:val="24"/>
          <w:highlight w:val="none"/>
        </w:rPr>
        <w:t>/MWh</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，根据</w:t>
      </w:r>
      <w:r>
        <w:rPr>
          <w:rFonts w:cs="Times New Roman"/>
          <w:snapToGrid w:val="0"/>
          <w:color w:val="auto"/>
          <w:kern w:val="0"/>
          <w:sz w:val="24"/>
          <w:highlight w:val="none"/>
          <w:lang w:val="en-US" w:eastAsia="zh-CN"/>
        </w:rPr>
        <w:t>生态环境部与国家统计局联合建设的</w:t>
      </w:r>
      <w:r>
        <w:rPr>
          <w:rFonts w:hint="eastAsia" w:cs="Times New Roman"/>
          <w:snapToGrid w:val="0"/>
          <w:color w:val="auto"/>
          <w:kern w:val="0"/>
          <w:sz w:val="24"/>
          <w:highlight w:val="none"/>
          <w:lang w:val="en-US" w:eastAsia="zh-CN"/>
        </w:rPr>
        <w:t>“</w:t>
      </w:r>
      <w:r>
        <w:rPr>
          <w:rFonts w:cs="Times New Roman"/>
          <w:snapToGrid w:val="0"/>
          <w:color w:val="auto"/>
          <w:kern w:val="0"/>
          <w:sz w:val="24"/>
          <w:highlight w:val="none"/>
          <w:lang w:val="en-US" w:eastAsia="zh-CN"/>
        </w:rPr>
        <w:t>国家温室气体排放因子数据库</w:t>
      </w:r>
      <w:r>
        <w:rPr>
          <w:rFonts w:hint="eastAsia" w:cs="Times New Roman"/>
          <w:snapToGrid w:val="0"/>
          <w:color w:val="auto"/>
          <w:kern w:val="0"/>
          <w:sz w:val="24"/>
          <w:highlight w:val="none"/>
          <w:lang w:val="en-US" w:eastAsia="zh-CN"/>
        </w:rPr>
        <w:t>”</w:t>
      </w:r>
      <w:r>
        <w:rPr>
          <w:rFonts w:cs="Times New Roman"/>
          <w:snapToGrid w:val="0"/>
          <w:color w:val="auto"/>
          <w:kern w:val="0"/>
          <w:sz w:val="24"/>
          <w:highlight w:val="none"/>
          <w:lang w:val="en-US" w:eastAsia="zh-CN"/>
        </w:rPr>
        <w:t>发布的2023年电力二氧化碳排放因子</w:t>
      </w:r>
      <w:r>
        <w:rPr>
          <w:rFonts w:hint="eastAsia" w:cs="Times New Roman"/>
          <w:snapToGrid w:val="0"/>
          <w:color w:val="auto"/>
          <w:kern w:val="0"/>
          <w:sz w:val="24"/>
          <w:highlight w:val="none"/>
          <w:lang w:val="en-US" w:eastAsia="zh-CN"/>
        </w:rPr>
        <w:t>中</w:t>
      </w:r>
      <w:r>
        <w:rPr>
          <w:rFonts w:cs="Times New Roman"/>
          <w:snapToGrid w:val="0"/>
          <w:color w:val="auto"/>
          <w:kern w:val="0"/>
          <w:sz w:val="24"/>
          <w:highlight w:val="none"/>
          <w:lang w:val="en-US" w:eastAsia="zh-CN"/>
        </w:rPr>
        <w:t>表3 2023年省级电力平均二氧化碳排放因子</w:t>
      </w:r>
      <w:r>
        <w:rPr>
          <w:rFonts w:hint="eastAsia" w:cs="Times New Roman"/>
          <w:snapToGrid w:val="0"/>
          <w:color w:val="auto"/>
          <w:kern w:val="0"/>
          <w:sz w:val="24"/>
          <w:highlight w:val="none"/>
          <w:lang w:val="en-US" w:eastAsia="zh-CN"/>
        </w:rPr>
        <w:t>，新疆地区</w:t>
      </w:r>
      <w:r>
        <w:rPr>
          <w:rFonts w:hint="eastAsia" w:cs="Times New Roman"/>
          <w:snapToGrid w:val="0"/>
          <w:color w:val="auto"/>
          <w:kern w:val="0"/>
          <w:sz w:val="24"/>
          <w:highlight w:val="none"/>
        </w:rPr>
        <w:t>为0</w:t>
      </w:r>
      <w:r>
        <w:rPr>
          <w:rFonts w:cs="Times New Roman"/>
          <w:snapToGrid w:val="0"/>
          <w:color w:val="auto"/>
          <w:kern w:val="0"/>
          <w:sz w:val="24"/>
          <w:highlight w:val="none"/>
        </w:rPr>
        <w:t>.</w:t>
      </w:r>
      <w:r>
        <w:rPr>
          <w:rFonts w:hint="eastAsia" w:cs="Times New Roman"/>
          <w:snapToGrid w:val="0"/>
          <w:color w:val="auto"/>
          <w:kern w:val="0"/>
          <w:sz w:val="24"/>
          <w:highlight w:val="none"/>
          <w:lang w:val="en-US" w:eastAsia="zh-CN"/>
        </w:rPr>
        <w:t>6021kgCO</w:t>
      </w:r>
      <w:r>
        <w:rPr>
          <w:rFonts w:hint="eastAsia" w:cs="Times New Roman"/>
          <w:snapToGrid w:val="0"/>
          <w:color w:val="auto"/>
          <w:kern w:val="0"/>
          <w:sz w:val="24"/>
          <w:highlight w:val="none"/>
          <w:vertAlign w:val="subscript"/>
          <w:lang w:val="en-US" w:eastAsia="zh-CN"/>
        </w:rPr>
        <w:t>2</w:t>
      </w:r>
      <w:r>
        <w:rPr>
          <w:rFonts w:hint="eastAsia" w:cs="Times New Roman"/>
          <w:snapToGrid w:val="0"/>
          <w:color w:val="auto"/>
          <w:kern w:val="0"/>
          <w:sz w:val="24"/>
          <w:highlight w:val="none"/>
          <w:lang w:val="en-US" w:eastAsia="zh-CN"/>
        </w:rPr>
        <w:t>/kWh</w:t>
      </w:r>
      <w:r>
        <w:rPr>
          <w:rFonts w:cs="Times New Roman"/>
          <w:snapToGrid w:val="0"/>
          <w:color w:val="auto"/>
          <w:kern w:val="0"/>
          <w:sz w:val="24"/>
          <w:highlight w:val="none"/>
        </w:rPr>
        <w:t>，</w:t>
      </w:r>
      <w:r>
        <w:rPr>
          <w:rFonts w:hint="eastAsia" w:cs="Times New Roman"/>
          <w:snapToGrid w:val="0"/>
          <w:color w:val="auto"/>
          <w:kern w:val="0"/>
          <w:sz w:val="24"/>
          <w:highlight w:val="none"/>
          <w:lang w:val="en-US" w:eastAsia="zh-CN"/>
        </w:rPr>
        <w:t>即</w:t>
      </w:r>
      <w:r>
        <w:rPr>
          <w:rFonts w:hint="eastAsia" w:cs="Times New Roman"/>
          <w:snapToGrid w:val="0"/>
          <w:color w:val="auto"/>
          <w:kern w:val="0"/>
          <w:sz w:val="24"/>
          <w:highlight w:val="none"/>
        </w:rPr>
        <w:t>0</w:t>
      </w:r>
      <w:r>
        <w:rPr>
          <w:rFonts w:cs="Times New Roman"/>
          <w:snapToGrid w:val="0"/>
          <w:color w:val="auto"/>
          <w:kern w:val="0"/>
          <w:sz w:val="24"/>
          <w:highlight w:val="none"/>
        </w:rPr>
        <w:t>.</w:t>
      </w:r>
      <w:r>
        <w:rPr>
          <w:rFonts w:hint="eastAsia" w:cs="Times New Roman"/>
          <w:snapToGrid w:val="0"/>
          <w:color w:val="auto"/>
          <w:kern w:val="0"/>
          <w:sz w:val="24"/>
          <w:highlight w:val="none"/>
          <w:lang w:val="en-US" w:eastAsia="zh-CN"/>
        </w:rPr>
        <w:t>6021</w:t>
      </w:r>
      <w:r>
        <w:rPr>
          <w:rFonts w:cs="Times New Roman"/>
          <w:snapToGrid w:val="0"/>
          <w:color w:val="auto"/>
          <w:kern w:val="0"/>
          <w:sz w:val="24"/>
          <w:highlight w:val="none"/>
        </w:rPr>
        <w:t>tCO</w:t>
      </w:r>
      <w:r>
        <w:rPr>
          <w:rFonts w:cs="Times New Roman"/>
          <w:snapToGrid w:val="0"/>
          <w:color w:val="auto"/>
          <w:kern w:val="0"/>
          <w:sz w:val="24"/>
          <w:highlight w:val="none"/>
          <w:vertAlign w:val="subscript"/>
        </w:rPr>
        <w:t>2</w:t>
      </w:r>
      <w:r>
        <w:rPr>
          <w:rFonts w:cs="Times New Roman"/>
          <w:snapToGrid w:val="0"/>
          <w:color w:val="auto"/>
          <w:kern w:val="0"/>
          <w:sz w:val="24"/>
          <w:highlight w:val="none"/>
        </w:rPr>
        <w:t>/MWh。</w:t>
      </w:r>
    </w:p>
    <w:p w14:paraId="251675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根据该公式，本项目购入电力排放的二氧化碳</w:t>
      </w:r>
    </w:p>
    <w:p w14:paraId="671632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w:t>
      </w:r>
      <w:r>
        <w:rPr>
          <w:rFonts w:cs="Times New Roman"/>
          <w:snapToGrid w:val="0"/>
          <w:color w:val="auto"/>
          <w:kern w:val="0"/>
          <w:sz w:val="24"/>
          <w:highlight w:val="none"/>
          <w:vertAlign w:val="subscript"/>
        </w:rPr>
        <w:t>消耗电力</w:t>
      </w:r>
      <w:r>
        <w:rPr>
          <w:rFonts w:cs="Times New Roman"/>
          <w:snapToGrid w:val="0"/>
          <w:color w:val="auto"/>
          <w:kern w:val="0"/>
          <w:sz w:val="24"/>
          <w:highlight w:val="none"/>
        </w:rPr>
        <w:t>=</w:t>
      </w:r>
      <w:r>
        <w:rPr>
          <w:rFonts w:hint="eastAsia" w:cs="Times New Roman"/>
          <w:snapToGrid w:val="0"/>
          <w:color w:val="auto"/>
          <w:kern w:val="0"/>
          <w:sz w:val="24"/>
          <w:highlight w:val="none"/>
          <w:lang w:val="en-US" w:eastAsia="zh-CN"/>
        </w:rPr>
        <w:t>10.6</w:t>
      </w:r>
      <w:r>
        <w:rPr>
          <w:rFonts w:cs="Times New Roman"/>
          <w:snapToGrid w:val="0"/>
          <w:color w:val="auto"/>
          <w:kern w:val="0"/>
          <w:sz w:val="24"/>
          <w:highlight w:val="none"/>
        </w:rPr>
        <w:t>×10000×</w:t>
      </w:r>
      <w:r>
        <w:rPr>
          <w:rFonts w:hint="eastAsia" w:cs="Times New Roman"/>
          <w:snapToGrid w:val="0"/>
          <w:color w:val="auto"/>
          <w:kern w:val="0"/>
          <w:sz w:val="24"/>
          <w:highlight w:val="none"/>
        </w:rPr>
        <w:t>0</w:t>
      </w:r>
      <w:r>
        <w:rPr>
          <w:rFonts w:cs="Times New Roman"/>
          <w:snapToGrid w:val="0"/>
          <w:color w:val="auto"/>
          <w:kern w:val="0"/>
          <w:sz w:val="24"/>
          <w:highlight w:val="none"/>
        </w:rPr>
        <w:t>.</w:t>
      </w:r>
      <w:r>
        <w:rPr>
          <w:rFonts w:hint="eastAsia" w:cs="Times New Roman"/>
          <w:snapToGrid w:val="0"/>
          <w:color w:val="auto"/>
          <w:kern w:val="0"/>
          <w:sz w:val="24"/>
          <w:highlight w:val="none"/>
          <w:lang w:val="en-US" w:eastAsia="zh-CN"/>
        </w:rPr>
        <w:t>6021</w:t>
      </w:r>
      <w:r>
        <w:rPr>
          <w:rFonts w:cs="Times New Roman"/>
          <w:snapToGrid w:val="0"/>
          <w:color w:val="auto"/>
          <w:kern w:val="0"/>
          <w:sz w:val="24"/>
          <w:highlight w:val="none"/>
        </w:rPr>
        <w:t>=</w:t>
      </w:r>
      <w:r>
        <w:rPr>
          <w:rFonts w:hint="eastAsia" w:cs="Times New Roman"/>
          <w:snapToGrid w:val="0"/>
          <w:color w:val="auto"/>
          <w:kern w:val="0"/>
          <w:sz w:val="24"/>
          <w:highlight w:val="none"/>
          <w:lang w:eastAsia="zh-CN"/>
        </w:rPr>
        <w:t>63822.6</w:t>
      </w:r>
      <w:r>
        <w:rPr>
          <w:rFonts w:cs="Times New Roman"/>
          <w:snapToGrid w:val="0"/>
          <w:color w:val="auto"/>
          <w:kern w:val="0"/>
          <w:sz w:val="24"/>
          <w:highlight w:val="none"/>
        </w:rPr>
        <w:t>t/a</w:t>
      </w:r>
    </w:p>
    <w:p w14:paraId="516CA9C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6.4.4.4消耗热力核算</w:t>
      </w:r>
    </w:p>
    <w:p w14:paraId="2107E8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本项目由</w:t>
      </w:r>
      <w:r>
        <w:rPr>
          <w:rFonts w:hint="eastAsia" w:cs="Times New Roman"/>
          <w:snapToGrid w:val="0"/>
          <w:color w:val="auto"/>
          <w:kern w:val="0"/>
          <w:sz w:val="24"/>
          <w:highlight w:val="none"/>
        </w:rPr>
        <w:t>材料公司</w:t>
      </w:r>
      <w:r>
        <w:rPr>
          <w:rFonts w:cs="Times New Roman"/>
          <w:snapToGrid w:val="0"/>
          <w:color w:val="auto"/>
          <w:kern w:val="0"/>
          <w:sz w:val="24"/>
          <w:highlight w:val="none"/>
        </w:rPr>
        <w:t>供应蒸汽。消耗热力产生的二氧化碳按照以下公式计算：</w:t>
      </w:r>
    </w:p>
    <w:p w14:paraId="5E32ED3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w:t>
      </w:r>
      <w:r>
        <w:rPr>
          <w:rFonts w:cs="Times New Roman"/>
          <w:snapToGrid w:val="0"/>
          <w:color w:val="auto"/>
          <w:kern w:val="0"/>
          <w:sz w:val="24"/>
          <w:highlight w:val="none"/>
          <w:vertAlign w:val="subscript"/>
        </w:rPr>
        <w:t>消耗热力，i</w:t>
      </w:r>
      <w:r>
        <w:rPr>
          <w:rFonts w:cs="Times New Roman"/>
          <w:snapToGrid w:val="0"/>
          <w:color w:val="auto"/>
          <w:kern w:val="0"/>
          <w:sz w:val="24"/>
          <w:highlight w:val="none"/>
        </w:rPr>
        <w:t>=AD</w:t>
      </w:r>
      <w:r>
        <w:rPr>
          <w:rFonts w:cs="Times New Roman"/>
          <w:snapToGrid w:val="0"/>
          <w:color w:val="auto"/>
          <w:kern w:val="0"/>
          <w:sz w:val="24"/>
          <w:highlight w:val="none"/>
          <w:vertAlign w:val="subscript"/>
        </w:rPr>
        <w:t>消耗热力，i</w:t>
      </w:r>
      <w:r>
        <w:rPr>
          <w:rFonts w:cs="Times New Roman"/>
          <w:snapToGrid w:val="0"/>
          <w:color w:val="auto"/>
          <w:kern w:val="0"/>
          <w:sz w:val="24"/>
          <w:highlight w:val="none"/>
        </w:rPr>
        <w:t>×EF</w:t>
      </w:r>
      <w:r>
        <w:rPr>
          <w:rFonts w:cs="Times New Roman"/>
          <w:snapToGrid w:val="0"/>
          <w:color w:val="auto"/>
          <w:kern w:val="0"/>
          <w:sz w:val="24"/>
          <w:highlight w:val="none"/>
          <w:vertAlign w:val="subscript"/>
        </w:rPr>
        <w:t>热</w:t>
      </w:r>
    </w:p>
    <w:p w14:paraId="002CCA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w:t>
      </w:r>
      <w:r>
        <w:rPr>
          <w:rFonts w:cs="Times New Roman"/>
          <w:snapToGrid w:val="0"/>
          <w:color w:val="auto"/>
          <w:kern w:val="0"/>
          <w:sz w:val="24"/>
          <w:highlight w:val="none"/>
          <w:vertAlign w:val="subscript"/>
        </w:rPr>
        <w:t>消耗热力，i</w:t>
      </w:r>
      <w:r>
        <w:rPr>
          <w:rFonts w:cs="Times New Roman"/>
          <w:snapToGrid w:val="0"/>
          <w:color w:val="auto"/>
          <w:kern w:val="0"/>
          <w:sz w:val="24"/>
          <w:highlight w:val="none"/>
        </w:rPr>
        <w:t>——核算单元i购入热力所产生的二氧化碳排放量，单位为吨二氧化碳</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tCO</w:t>
      </w:r>
      <w:r>
        <w:rPr>
          <w:rFonts w:cs="Times New Roman"/>
          <w:snapToGrid w:val="0"/>
          <w:color w:val="auto"/>
          <w:kern w:val="0"/>
          <w:sz w:val="24"/>
          <w:highlight w:val="none"/>
          <w:vertAlign w:val="subscript"/>
        </w:rPr>
        <w:t>2</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w:t>
      </w:r>
    </w:p>
    <w:p w14:paraId="50E3D5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AD</w:t>
      </w:r>
      <w:r>
        <w:rPr>
          <w:rFonts w:cs="Times New Roman"/>
          <w:snapToGrid w:val="0"/>
          <w:color w:val="auto"/>
          <w:kern w:val="0"/>
          <w:sz w:val="24"/>
          <w:highlight w:val="none"/>
          <w:vertAlign w:val="subscript"/>
        </w:rPr>
        <w:t>消耗热力，i</w:t>
      </w:r>
      <w:r>
        <w:rPr>
          <w:rFonts w:cs="Times New Roman"/>
          <w:snapToGrid w:val="0"/>
          <w:color w:val="auto"/>
          <w:kern w:val="0"/>
          <w:sz w:val="24"/>
          <w:highlight w:val="none"/>
        </w:rPr>
        <w:t>——核算期内核算单元i购入热力，单位为吉焦</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GJ</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w:t>
      </w:r>
    </w:p>
    <w:p w14:paraId="7F2750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EF</w:t>
      </w:r>
      <w:r>
        <w:rPr>
          <w:rFonts w:cs="Times New Roman"/>
          <w:snapToGrid w:val="0"/>
          <w:color w:val="auto"/>
          <w:kern w:val="0"/>
          <w:sz w:val="24"/>
          <w:highlight w:val="none"/>
          <w:vertAlign w:val="subscript"/>
        </w:rPr>
        <w:t>热</w:t>
      </w:r>
      <w:r>
        <w:rPr>
          <w:rFonts w:cs="Times New Roman"/>
          <w:snapToGrid w:val="0"/>
          <w:color w:val="auto"/>
          <w:kern w:val="0"/>
          <w:sz w:val="24"/>
          <w:highlight w:val="none"/>
        </w:rPr>
        <w:t>——热力消费的排放因子，单位为吨二氧化碳每吉焦</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tCO</w:t>
      </w:r>
      <w:r>
        <w:rPr>
          <w:rFonts w:cs="Times New Roman"/>
          <w:snapToGrid w:val="0"/>
          <w:color w:val="auto"/>
          <w:kern w:val="0"/>
          <w:sz w:val="24"/>
          <w:highlight w:val="none"/>
          <w:vertAlign w:val="subscript"/>
        </w:rPr>
        <w:t>2</w:t>
      </w:r>
      <w:r>
        <w:rPr>
          <w:rFonts w:cs="Times New Roman"/>
          <w:snapToGrid w:val="0"/>
          <w:color w:val="auto"/>
          <w:kern w:val="0"/>
          <w:sz w:val="24"/>
          <w:highlight w:val="none"/>
        </w:rPr>
        <w:t>/GJ</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，推荐值为0.11tCO</w:t>
      </w:r>
      <w:r>
        <w:rPr>
          <w:rFonts w:cs="Times New Roman"/>
          <w:snapToGrid w:val="0"/>
          <w:color w:val="auto"/>
          <w:kern w:val="0"/>
          <w:sz w:val="24"/>
          <w:highlight w:val="none"/>
          <w:vertAlign w:val="subscript"/>
        </w:rPr>
        <w:t>2</w:t>
      </w:r>
      <w:r>
        <w:rPr>
          <w:rFonts w:cs="Times New Roman"/>
          <w:snapToGrid w:val="0"/>
          <w:color w:val="auto"/>
          <w:kern w:val="0"/>
          <w:sz w:val="24"/>
          <w:highlight w:val="none"/>
        </w:rPr>
        <w:t>/GJ。</w:t>
      </w:r>
    </w:p>
    <w:p w14:paraId="4E3E97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以质量单位计量的蒸汽可按以下公式转换为热量单位：</w:t>
      </w:r>
    </w:p>
    <w:p w14:paraId="2920D6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AD</w:t>
      </w:r>
      <w:r>
        <w:rPr>
          <w:rFonts w:cs="Times New Roman"/>
          <w:snapToGrid w:val="0"/>
          <w:color w:val="auto"/>
          <w:kern w:val="0"/>
          <w:sz w:val="24"/>
          <w:highlight w:val="none"/>
          <w:vertAlign w:val="subscript"/>
        </w:rPr>
        <w:t>蒸汽</w:t>
      </w:r>
      <w:r>
        <w:rPr>
          <w:rFonts w:cs="Times New Roman"/>
          <w:snapToGrid w:val="0"/>
          <w:color w:val="auto"/>
          <w:kern w:val="0"/>
          <w:sz w:val="24"/>
          <w:highlight w:val="none"/>
        </w:rPr>
        <w:t>=Ma</w:t>
      </w:r>
      <w:r>
        <w:rPr>
          <w:rFonts w:cs="Times New Roman"/>
          <w:snapToGrid w:val="0"/>
          <w:color w:val="auto"/>
          <w:kern w:val="0"/>
          <w:sz w:val="24"/>
          <w:highlight w:val="none"/>
          <w:vertAlign w:val="subscript"/>
        </w:rPr>
        <w:t>st</w:t>
      </w:r>
      <w:r>
        <w:rPr>
          <w:rFonts w:cs="Times New Roman"/>
          <w:snapToGrid w:val="0"/>
          <w:color w:val="auto"/>
          <w:kern w:val="0"/>
          <w:sz w:val="24"/>
          <w:highlight w:val="none"/>
        </w:rPr>
        <w:t>×（En</w:t>
      </w:r>
      <w:r>
        <w:rPr>
          <w:rFonts w:cs="Times New Roman"/>
          <w:snapToGrid w:val="0"/>
          <w:color w:val="auto"/>
          <w:kern w:val="0"/>
          <w:sz w:val="24"/>
          <w:highlight w:val="none"/>
          <w:vertAlign w:val="subscript"/>
        </w:rPr>
        <w:t>st</w:t>
      </w:r>
      <w:r>
        <w:rPr>
          <w:rFonts w:cs="Times New Roman"/>
          <w:snapToGrid w:val="0"/>
          <w:color w:val="auto"/>
          <w:kern w:val="0"/>
          <w:sz w:val="24"/>
          <w:highlight w:val="none"/>
        </w:rPr>
        <w:t>-83.74）×10</w:t>
      </w:r>
      <w:r>
        <w:rPr>
          <w:rFonts w:cs="Times New Roman"/>
          <w:snapToGrid w:val="0"/>
          <w:color w:val="auto"/>
          <w:kern w:val="0"/>
          <w:sz w:val="24"/>
          <w:highlight w:val="none"/>
          <w:vertAlign w:val="superscript"/>
        </w:rPr>
        <w:t>-3</w:t>
      </w:r>
    </w:p>
    <w:p w14:paraId="2F258E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式中：</w:t>
      </w:r>
    </w:p>
    <w:p w14:paraId="559F67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lang w:eastAsia="zh-CN"/>
        </w:rPr>
      </w:pPr>
      <w:r>
        <w:rPr>
          <w:rFonts w:cs="Times New Roman"/>
          <w:snapToGrid w:val="0"/>
          <w:color w:val="auto"/>
          <w:kern w:val="0"/>
          <w:sz w:val="24"/>
          <w:highlight w:val="none"/>
        </w:rPr>
        <w:t>AD</w:t>
      </w:r>
      <w:r>
        <w:rPr>
          <w:rFonts w:cs="Times New Roman"/>
          <w:snapToGrid w:val="0"/>
          <w:color w:val="auto"/>
          <w:kern w:val="0"/>
          <w:sz w:val="24"/>
          <w:highlight w:val="none"/>
          <w:vertAlign w:val="subscript"/>
        </w:rPr>
        <w:t>蒸汽</w:t>
      </w:r>
      <w:r>
        <w:rPr>
          <w:rFonts w:cs="Times New Roman"/>
          <w:snapToGrid w:val="0"/>
          <w:color w:val="auto"/>
          <w:kern w:val="0"/>
          <w:sz w:val="24"/>
          <w:highlight w:val="none"/>
        </w:rPr>
        <w:t>——蒸汽的热量，单位为吉焦</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GJ</w:t>
      </w:r>
      <w:r>
        <w:rPr>
          <w:rFonts w:hint="eastAsia" w:cs="Times New Roman"/>
          <w:snapToGrid w:val="0"/>
          <w:color w:val="auto"/>
          <w:kern w:val="0"/>
          <w:sz w:val="24"/>
          <w:highlight w:val="none"/>
          <w:lang w:eastAsia="zh-CN"/>
        </w:rPr>
        <w:t>）；</w:t>
      </w:r>
    </w:p>
    <w:p w14:paraId="0F5013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lang w:eastAsia="zh-CN"/>
        </w:rPr>
      </w:pPr>
      <w:r>
        <w:rPr>
          <w:rFonts w:cs="Times New Roman"/>
          <w:snapToGrid w:val="0"/>
          <w:color w:val="auto"/>
          <w:kern w:val="0"/>
          <w:sz w:val="24"/>
          <w:highlight w:val="none"/>
        </w:rPr>
        <w:t>Ma</w:t>
      </w:r>
      <w:r>
        <w:rPr>
          <w:rFonts w:cs="Times New Roman"/>
          <w:snapToGrid w:val="0"/>
          <w:color w:val="auto"/>
          <w:kern w:val="0"/>
          <w:sz w:val="24"/>
          <w:highlight w:val="none"/>
          <w:vertAlign w:val="subscript"/>
        </w:rPr>
        <w:t>st</w:t>
      </w:r>
      <w:r>
        <w:rPr>
          <w:rFonts w:cs="Times New Roman"/>
          <w:snapToGrid w:val="0"/>
          <w:color w:val="auto"/>
          <w:kern w:val="0"/>
          <w:sz w:val="24"/>
          <w:highlight w:val="none"/>
        </w:rPr>
        <w:t>——蒸汽的质量，单位为吨</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t</w:t>
      </w:r>
      <w:r>
        <w:rPr>
          <w:rFonts w:hint="eastAsia" w:cs="Times New Roman"/>
          <w:snapToGrid w:val="0"/>
          <w:color w:val="auto"/>
          <w:kern w:val="0"/>
          <w:sz w:val="24"/>
          <w:highlight w:val="none"/>
          <w:lang w:eastAsia="zh-CN"/>
        </w:rPr>
        <w:t>）；</w:t>
      </w:r>
    </w:p>
    <w:p w14:paraId="40EEBF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En</w:t>
      </w:r>
      <w:r>
        <w:rPr>
          <w:rFonts w:cs="Times New Roman"/>
          <w:snapToGrid w:val="0"/>
          <w:color w:val="auto"/>
          <w:kern w:val="0"/>
          <w:sz w:val="24"/>
          <w:highlight w:val="none"/>
          <w:vertAlign w:val="subscript"/>
        </w:rPr>
        <w:t>st</w:t>
      </w:r>
      <w:r>
        <w:rPr>
          <w:rFonts w:cs="Times New Roman"/>
          <w:snapToGrid w:val="0"/>
          <w:color w:val="auto"/>
          <w:kern w:val="0"/>
          <w:sz w:val="24"/>
          <w:highlight w:val="none"/>
        </w:rPr>
        <w:t>——蒸汽所对应的温度、压力下每千克蒸汽的热焓，单位为千焦每千克</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kJ/kg</w:t>
      </w:r>
      <w:r>
        <w:rPr>
          <w:rFonts w:hint="eastAsia" w:cs="Times New Roman"/>
          <w:snapToGrid w:val="0"/>
          <w:color w:val="auto"/>
          <w:kern w:val="0"/>
          <w:sz w:val="24"/>
          <w:highlight w:val="none"/>
          <w:lang w:eastAsia="zh-CN"/>
        </w:rPr>
        <w:t>）</w:t>
      </w:r>
      <w:r>
        <w:rPr>
          <w:rFonts w:cs="Times New Roman"/>
          <w:snapToGrid w:val="0"/>
          <w:color w:val="auto"/>
          <w:kern w:val="0"/>
          <w:sz w:val="24"/>
          <w:highlight w:val="none"/>
        </w:rPr>
        <w:t>，饱和蒸汽和过热蒸汽的热焓可分别参考</w:t>
      </w:r>
      <w:r>
        <w:rPr>
          <w:rFonts w:cs="Times New Roman"/>
          <w:snapToGrid w:val="0"/>
          <w:color w:val="auto"/>
          <w:kern w:val="0"/>
          <w:sz w:val="24"/>
          <w:highlight w:val="none"/>
          <w:lang w:val="en-GB"/>
        </w:rPr>
        <w:t>《温室气体排放核算与报告要求 第10部分：化工生产企业》（GB/T32151.10</w:t>
      </w:r>
      <w:r>
        <w:rPr>
          <w:rFonts w:cs="Times New Roman"/>
          <w:snapToGrid w:val="0"/>
          <w:color w:val="auto"/>
          <w:kern w:val="0"/>
          <w:sz w:val="24"/>
          <w:highlight w:val="none"/>
        </w:rPr>
        <w:t>-</w:t>
      </w:r>
      <w:r>
        <w:rPr>
          <w:rFonts w:cs="Times New Roman"/>
          <w:snapToGrid w:val="0"/>
          <w:color w:val="auto"/>
          <w:kern w:val="0"/>
          <w:sz w:val="24"/>
          <w:highlight w:val="none"/>
          <w:lang w:val="en-GB"/>
        </w:rPr>
        <w:t>2015）</w:t>
      </w:r>
      <w:r>
        <w:rPr>
          <w:rFonts w:cs="Times New Roman"/>
          <w:snapToGrid w:val="0"/>
          <w:color w:val="auto"/>
          <w:kern w:val="0"/>
          <w:sz w:val="24"/>
          <w:highlight w:val="none"/>
        </w:rPr>
        <w:t>表B.7和表B.8。</w:t>
      </w:r>
    </w:p>
    <w:p w14:paraId="6BD0FE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snapToGrid w:val="0"/>
          <w:color w:val="auto"/>
          <w:kern w:val="0"/>
          <w:sz w:val="24"/>
          <w:highlight w:val="none"/>
        </w:rPr>
      </w:pPr>
      <w:r>
        <w:rPr>
          <w:rFonts w:cs="Times New Roman"/>
          <w:snapToGrid w:val="0"/>
          <w:color w:val="auto"/>
          <w:kern w:val="0"/>
          <w:sz w:val="24"/>
          <w:highlight w:val="none"/>
        </w:rPr>
        <w:t>本项目购入蒸汽的热力热焓计算见表</w:t>
      </w:r>
      <w:r>
        <w:rPr>
          <w:rFonts w:hint="eastAsia" w:cs="Times New Roman"/>
          <w:snapToGrid w:val="0"/>
          <w:color w:val="auto"/>
          <w:kern w:val="0"/>
          <w:sz w:val="24"/>
          <w:highlight w:val="none"/>
          <w:lang w:val="en-US" w:eastAsia="zh-CN"/>
        </w:rPr>
        <w:t>6.4</w:t>
      </w:r>
      <w:r>
        <w:rPr>
          <w:rFonts w:cs="Times New Roman"/>
          <w:snapToGrid w:val="0"/>
          <w:color w:val="auto"/>
          <w:kern w:val="0"/>
          <w:sz w:val="24"/>
          <w:highlight w:val="none"/>
        </w:rPr>
        <w:t>-</w:t>
      </w:r>
      <w:r>
        <w:rPr>
          <w:rFonts w:hint="eastAsia" w:cs="Times New Roman"/>
          <w:snapToGrid w:val="0"/>
          <w:color w:val="auto"/>
          <w:kern w:val="0"/>
          <w:sz w:val="24"/>
          <w:highlight w:val="none"/>
        </w:rPr>
        <w:t>1</w:t>
      </w:r>
      <w:r>
        <w:rPr>
          <w:rFonts w:cs="Times New Roman"/>
          <w:snapToGrid w:val="0"/>
          <w:color w:val="auto"/>
          <w:kern w:val="0"/>
          <w:sz w:val="24"/>
          <w:highlight w:val="none"/>
        </w:rPr>
        <w:t>。</w:t>
      </w:r>
    </w:p>
    <w:p w14:paraId="325D9526">
      <w:pPr>
        <w:ind w:firstLine="0" w:firstLineChars="0"/>
        <w:jc w:val="center"/>
        <w:rPr>
          <w:rFonts w:cs="Times New Roman"/>
          <w:b/>
          <w:bCs/>
          <w:color w:val="auto"/>
          <w:highlight w:val="none"/>
        </w:rPr>
      </w:pPr>
      <w:r>
        <w:rPr>
          <w:rFonts w:cs="Times New Roman"/>
          <w:b/>
          <w:bCs/>
          <w:color w:val="auto"/>
          <w:highlight w:val="none"/>
        </w:rPr>
        <w:t>表</w:t>
      </w:r>
      <w:r>
        <w:rPr>
          <w:rFonts w:hint="eastAsia" w:cs="Times New Roman"/>
          <w:b/>
          <w:bCs/>
          <w:color w:val="auto"/>
          <w:highlight w:val="none"/>
          <w:lang w:val="en-US" w:eastAsia="zh-CN"/>
        </w:rPr>
        <w:t>6.4</w:t>
      </w:r>
      <w:r>
        <w:rPr>
          <w:rFonts w:cs="Times New Roman"/>
          <w:b/>
          <w:bCs/>
          <w:color w:val="auto"/>
          <w:highlight w:val="none"/>
        </w:rPr>
        <w:t>-</w:t>
      </w:r>
      <w:r>
        <w:rPr>
          <w:rFonts w:hint="eastAsia" w:cs="Times New Roman"/>
          <w:b/>
          <w:bCs/>
          <w:color w:val="auto"/>
          <w:highlight w:val="none"/>
        </w:rPr>
        <w:t>1</w:t>
      </w:r>
      <w:r>
        <w:rPr>
          <w:rFonts w:cs="Times New Roman"/>
          <w:b/>
          <w:bCs/>
          <w:color w:val="auto"/>
          <w:highlight w:val="none"/>
        </w:rPr>
        <w:t xml:space="preserve"> 蒸汽热量折碳计算表</w:t>
      </w:r>
    </w:p>
    <w:tbl>
      <w:tblPr>
        <w:tblStyle w:val="57"/>
        <w:tblW w:w="50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5"/>
        <w:gridCol w:w="1111"/>
        <w:gridCol w:w="1537"/>
        <w:gridCol w:w="1713"/>
        <w:gridCol w:w="1365"/>
        <w:gridCol w:w="1539"/>
      </w:tblGrid>
      <w:tr w14:paraId="343F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2" w:type="pct"/>
            <w:tcBorders>
              <w:tl2br w:val="nil"/>
              <w:tr2bl w:val="nil"/>
            </w:tcBorders>
            <w:vAlign w:val="center"/>
          </w:tcPr>
          <w:p w14:paraId="53FC980B">
            <w:pPr>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cs="Times New Roman"/>
                <w:color w:val="auto"/>
                <w:sz w:val="21"/>
                <w:szCs w:val="21"/>
                <w:highlight w:val="none"/>
              </w:rPr>
              <w:t>压力</w:t>
            </w:r>
            <w:r>
              <w:rPr>
                <w:rFonts w:hint="eastAsia" w:cs="Times New Roman"/>
                <w:color w:val="auto"/>
                <w:sz w:val="21"/>
                <w:szCs w:val="21"/>
                <w:highlight w:val="none"/>
                <w:lang w:eastAsia="zh-CN"/>
              </w:rPr>
              <w:t>（</w:t>
            </w:r>
            <w:r>
              <w:rPr>
                <w:rFonts w:cs="Times New Roman"/>
                <w:color w:val="auto"/>
                <w:sz w:val="21"/>
                <w:szCs w:val="21"/>
                <w:highlight w:val="none"/>
              </w:rPr>
              <w:t>MPa</w:t>
            </w:r>
            <w:r>
              <w:rPr>
                <w:rFonts w:hint="eastAsia" w:cs="Times New Roman"/>
                <w:color w:val="auto"/>
                <w:sz w:val="21"/>
                <w:szCs w:val="21"/>
                <w:highlight w:val="none"/>
                <w:lang w:eastAsia="zh-CN"/>
              </w:rPr>
              <w:t>）</w:t>
            </w:r>
          </w:p>
        </w:tc>
        <w:tc>
          <w:tcPr>
            <w:tcW w:w="672" w:type="pct"/>
            <w:tcBorders>
              <w:tl2br w:val="nil"/>
              <w:tr2bl w:val="nil"/>
            </w:tcBorders>
            <w:vAlign w:val="center"/>
          </w:tcPr>
          <w:p w14:paraId="68BD058F">
            <w:pPr>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cs="Times New Roman"/>
                <w:color w:val="auto"/>
                <w:sz w:val="21"/>
                <w:szCs w:val="21"/>
                <w:highlight w:val="none"/>
              </w:rPr>
              <w:t>温度</w:t>
            </w:r>
            <w:r>
              <w:rPr>
                <w:rFonts w:hint="eastAsia" w:cs="Times New Roman"/>
                <w:color w:val="auto"/>
                <w:sz w:val="21"/>
                <w:szCs w:val="21"/>
                <w:highlight w:val="none"/>
                <w:lang w:eastAsia="zh-CN"/>
              </w:rPr>
              <w:t>（</w:t>
            </w:r>
            <w:r>
              <w:rPr>
                <w:rFonts w:cs="Times New Roman"/>
                <w:color w:val="auto"/>
                <w:sz w:val="21"/>
                <w:szCs w:val="21"/>
                <w:highlight w:val="none"/>
              </w:rPr>
              <w:t>℃</w:t>
            </w:r>
            <w:r>
              <w:rPr>
                <w:rFonts w:hint="eastAsia" w:cs="Times New Roman"/>
                <w:color w:val="auto"/>
                <w:sz w:val="21"/>
                <w:szCs w:val="21"/>
                <w:highlight w:val="none"/>
                <w:lang w:eastAsia="zh-CN"/>
              </w:rPr>
              <w:t>）</w:t>
            </w:r>
          </w:p>
        </w:tc>
        <w:tc>
          <w:tcPr>
            <w:tcW w:w="930" w:type="pct"/>
            <w:tcBorders>
              <w:tl2br w:val="nil"/>
              <w:tr2bl w:val="nil"/>
            </w:tcBorders>
            <w:vAlign w:val="center"/>
          </w:tcPr>
          <w:p w14:paraId="3936A8F6">
            <w:pPr>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En</w:t>
            </w:r>
            <w:r>
              <w:rPr>
                <w:rFonts w:cs="Times New Roman"/>
                <w:color w:val="auto"/>
                <w:sz w:val="21"/>
                <w:szCs w:val="21"/>
                <w:highlight w:val="none"/>
                <w:vertAlign w:val="subscript"/>
              </w:rPr>
              <w:t>st</w:t>
            </w:r>
            <w:r>
              <w:rPr>
                <w:rFonts w:cs="Times New Roman"/>
                <w:color w:val="auto"/>
                <w:sz w:val="21"/>
                <w:szCs w:val="21"/>
                <w:highlight w:val="none"/>
              </w:rPr>
              <w:t>焓kJ/kg</w:t>
            </w:r>
          </w:p>
        </w:tc>
        <w:tc>
          <w:tcPr>
            <w:tcW w:w="1036" w:type="pct"/>
            <w:tcBorders>
              <w:tl2br w:val="nil"/>
              <w:tr2bl w:val="nil"/>
            </w:tcBorders>
            <w:vAlign w:val="center"/>
          </w:tcPr>
          <w:p w14:paraId="2E098BE5">
            <w:pPr>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cs="Times New Roman"/>
                <w:color w:val="auto"/>
                <w:sz w:val="21"/>
                <w:szCs w:val="21"/>
                <w:highlight w:val="none"/>
              </w:rPr>
              <w:t>Ma</w:t>
            </w:r>
            <w:r>
              <w:rPr>
                <w:rFonts w:cs="Times New Roman"/>
                <w:color w:val="auto"/>
                <w:sz w:val="21"/>
                <w:szCs w:val="21"/>
                <w:highlight w:val="none"/>
                <w:vertAlign w:val="subscript"/>
              </w:rPr>
              <w:t>st</w:t>
            </w:r>
            <w:r>
              <w:rPr>
                <w:rFonts w:cs="Times New Roman"/>
                <w:color w:val="auto"/>
                <w:sz w:val="21"/>
                <w:szCs w:val="21"/>
                <w:highlight w:val="none"/>
              </w:rPr>
              <w:t>供应蒸汽质量</w:t>
            </w:r>
            <w:r>
              <w:rPr>
                <w:rFonts w:hint="eastAsia" w:cs="Times New Roman"/>
                <w:color w:val="auto"/>
                <w:sz w:val="21"/>
                <w:szCs w:val="21"/>
                <w:highlight w:val="none"/>
                <w:lang w:eastAsia="zh-CN"/>
              </w:rPr>
              <w:t>（</w:t>
            </w:r>
            <w:r>
              <w:rPr>
                <w:rFonts w:cs="Times New Roman"/>
                <w:color w:val="auto"/>
                <w:sz w:val="21"/>
                <w:szCs w:val="21"/>
                <w:highlight w:val="none"/>
              </w:rPr>
              <w:t>t/a</w:t>
            </w:r>
            <w:r>
              <w:rPr>
                <w:rFonts w:hint="eastAsia" w:cs="Times New Roman"/>
                <w:color w:val="auto"/>
                <w:sz w:val="21"/>
                <w:szCs w:val="21"/>
                <w:highlight w:val="none"/>
                <w:lang w:eastAsia="zh-CN"/>
              </w:rPr>
              <w:t>）</w:t>
            </w:r>
          </w:p>
        </w:tc>
        <w:tc>
          <w:tcPr>
            <w:tcW w:w="826" w:type="pct"/>
            <w:tcBorders>
              <w:tl2br w:val="nil"/>
              <w:tr2bl w:val="nil"/>
            </w:tcBorders>
            <w:vAlign w:val="center"/>
          </w:tcPr>
          <w:p w14:paraId="410F5FE0">
            <w:pPr>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AD热量（GJ）</w:t>
            </w:r>
          </w:p>
        </w:tc>
        <w:tc>
          <w:tcPr>
            <w:tcW w:w="931" w:type="pct"/>
            <w:tcBorders>
              <w:tl2br w:val="nil"/>
              <w:tr2bl w:val="nil"/>
            </w:tcBorders>
            <w:vAlign w:val="center"/>
          </w:tcPr>
          <w:p w14:paraId="5FBD1554">
            <w:pPr>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E排放二氧化碳量（t/a）</w:t>
            </w:r>
          </w:p>
        </w:tc>
      </w:tr>
      <w:tr w14:paraId="520F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2" w:type="pct"/>
            <w:tcBorders>
              <w:tl2br w:val="nil"/>
              <w:tr2bl w:val="nil"/>
            </w:tcBorders>
            <w:vAlign w:val="center"/>
          </w:tcPr>
          <w:p w14:paraId="5D2F677D">
            <w:pPr>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0.8</w:t>
            </w:r>
          </w:p>
        </w:tc>
        <w:tc>
          <w:tcPr>
            <w:tcW w:w="672" w:type="pct"/>
            <w:tcBorders>
              <w:tl2br w:val="nil"/>
              <w:tr2bl w:val="nil"/>
            </w:tcBorders>
            <w:vAlign w:val="center"/>
          </w:tcPr>
          <w:p w14:paraId="23F281B1">
            <w:pPr>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170</w:t>
            </w:r>
          </w:p>
        </w:tc>
        <w:tc>
          <w:tcPr>
            <w:tcW w:w="930" w:type="pct"/>
            <w:tcBorders>
              <w:tl2br w:val="nil"/>
              <w:tr2bl w:val="nil"/>
            </w:tcBorders>
            <w:vAlign w:val="center"/>
          </w:tcPr>
          <w:p w14:paraId="10D4B34A">
            <w:pPr>
              <w:tabs>
                <w:tab w:val="left" w:pos="1119"/>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2768.4</w:t>
            </w:r>
          </w:p>
        </w:tc>
        <w:tc>
          <w:tcPr>
            <w:tcW w:w="1036" w:type="pct"/>
            <w:tcBorders>
              <w:tl2br w:val="nil"/>
              <w:tr2bl w:val="nil"/>
            </w:tcBorders>
            <w:vAlign w:val="center"/>
          </w:tcPr>
          <w:p w14:paraId="0BB3283D">
            <w:pPr>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hint="eastAsia" w:cs="Times New Roman"/>
                <w:color w:val="auto"/>
                <w:sz w:val="21"/>
                <w:szCs w:val="21"/>
                <w:highlight w:val="none"/>
                <w:lang w:eastAsia="zh-CN"/>
              </w:rPr>
              <w:t>560000</w:t>
            </w:r>
          </w:p>
        </w:tc>
        <w:tc>
          <w:tcPr>
            <w:tcW w:w="826" w:type="pct"/>
            <w:tcBorders>
              <w:tl2br w:val="nil"/>
              <w:tr2bl w:val="nil"/>
            </w:tcBorders>
            <w:vAlign w:val="center"/>
          </w:tcPr>
          <w:p w14:paraId="642555DD">
            <w:pPr>
              <w:tabs>
                <w:tab w:val="left" w:pos="1119"/>
              </w:tabs>
              <w:spacing w:line="360" w:lineRule="exact"/>
              <w:ind w:firstLine="0" w:firstLineChars="0"/>
              <w:jc w:val="center"/>
              <w:rPr>
                <w:rFonts w:hint="eastAsia" w:eastAsia="宋体" w:cs="Times New Roman"/>
                <w:color w:val="auto"/>
                <w:sz w:val="21"/>
                <w:szCs w:val="21"/>
                <w:highlight w:val="none"/>
                <w:lang w:eastAsia="zh-CN"/>
              </w:rPr>
            </w:pPr>
            <w:r>
              <w:rPr>
                <w:rFonts w:hint="eastAsia" w:cs="Times New Roman"/>
                <w:color w:val="auto"/>
                <w:sz w:val="21"/>
                <w:szCs w:val="21"/>
                <w:highlight w:val="none"/>
                <w:lang w:eastAsia="zh-CN"/>
              </w:rPr>
              <w:t>1503409.6</w:t>
            </w:r>
          </w:p>
        </w:tc>
        <w:tc>
          <w:tcPr>
            <w:tcW w:w="931" w:type="pct"/>
            <w:tcBorders>
              <w:tl2br w:val="nil"/>
              <w:tr2bl w:val="nil"/>
            </w:tcBorders>
            <w:vAlign w:val="center"/>
          </w:tcPr>
          <w:p w14:paraId="3C403ABB">
            <w:pPr>
              <w:tabs>
                <w:tab w:val="left" w:pos="1119"/>
              </w:tabs>
              <w:spacing w:line="360" w:lineRule="exact"/>
              <w:ind w:firstLine="0" w:firstLineChars="0"/>
              <w:jc w:val="center"/>
              <w:rPr>
                <w:rFonts w:hint="eastAsia" w:eastAsia="宋体" w:cs="Times New Roman"/>
                <w:color w:val="auto"/>
                <w:sz w:val="21"/>
                <w:szCs w:val="21"/>
                <w:highlight w:val="none"/>
                <w:lang w:val="en-US" w:eastAsia="zh-CN"/>
              </w:rPr>
            </w:pPr>
            <w:r>
              <w:rPr>
                <w:rFonts w:hint="eastAsia" w:cs="Times New Roman"/>
                <w:color w:val="auto"/>
                <w:sz w:val="21"/>
                <w:szCs w:val="21"/>
                <w:highlight w:val="none"/>
                <w:lang w:eastAsia="zh-CN"/>
              </w:rPr>
              <w:t>165375.056</w:t>
            </w:r>
          </w:p>
        </w:tc>
      </w:tr>
    </w:tbl>
    <w:p w14:paraId="0281C98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before="157" w:beforeLines="50" w:line="360" w:lineRule="auto"/>
        <w:ind w:firstLine="482"/>
        <w:textAlignment w:val="auto"/>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6.4.4.5碳排放量核算汇总</w:t>
      </w:r>
    </w:p>
    <w:p w14:paraId="787FB1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cs="Times New Roman"/>
          <w:snapToGrid w:val="0"/>
          <w:color w:val="auto"/>
          <w:kern w:val="0"/>
          <w:sz w:val="24"/>
          <w:highlight w:val="none"/>
        </w:rPr>
      </w:pPr>
      <w:r>
        <w:rPr>
          <w:rFonts w:eastAsia="宋体" w:cs="Times New Roman"/>
          <w:snapToGrid w:val="0"/>
          <w:color w:val="auto"/>
          <w:kern w:val="0"/>
          <w:sz w:val="24"/>
          <w:highlight w:val="none"/>
        </w:rPr>
        <w:t>本项目碳排放量汇总见表</w:t>
      </w:r>
      <w:r>
        <w:rPr>
          <w:rFonts w:hint="eastAsia" w:cs="Times New Roman"/>
          <w:snapToGrid w:val="0"/>
          <w:color w:val="auto"/>
          <w:kern w:val="0"/>
          <w:sz w:val="24"/>
          <w:highlight w:val="none"/>
          <w:lang w:val="en-US" w:eastAsia="zh-CN"/>
        </w:rPr>
        <w:t>6.4</w:t>
      </w:r>
      <w:r>
        <w:rPr>
          <w:rFonts w:eastAsia="宋体" w:cs="Times New Roman"/>
          <w:snapToGrid w:val="0"/>
          <w:color w:val="auto"/>
          <w:kern w:val="0"/>
          <w:sz w:val="24"/>
          <w:highlight w:val="none"/>
        </w:rPr>
        <w:t>-</w:t>
      </w:r>
      <w:r>
        <w:rPr>
          <w:rFonts w:hint="eastAsia" w:eastAsia="宋体" w:cs="Times New Roman"/>
          <w:snapToGrid w:val="0"/>
          <w:color w:val="auto"/>
          <w:kern w:val="0"/>
          <w:sz w:val="24"/>
          <w:highlight w:val="none"/>
        </w:rPr>
        <w:t>2</w:t>
      </w:r>
      <w:r>
        <w:rPr>
          <w:rFonts w:eastAsia="宋体" w:cs="Times New Roman"/>
          <w:snapToGrid w:val="0"/>
          <w:color w:val="auto"/>
          <w:kern w:val="0"/>
          <w:sz w:val="24"/>
          <w:highlight w:val="none"/>
        </w:rPr>
        <w:t>。</w:t>
      </w:r>
    </w:p>
    <w:p w14:paraId="18C73391">
      <w:pPr>
        <w:ind w:firstLine="0" w:firstLineChars="0"/>
        <w:jc w:val="center"/>
        <w:rPr>
          <w:rFonts w:cs="Times New Roman"/>
          <w:b/>
          <w:bCs/>
          <w:color w:val="auto"/>
          <w:highlight w:val="none"/>
        </w:rPr>
      </w:pPr>
      <w:r>
        <w:rPr>
          <w:rFonts w:cs="Times New Roman"/>
          <w:b/>
          <w:bCs/>
          <w:color w:val="auto"/>
          <w:highlight w:val="none"/>
        </w:rPr>
        <w:t>表</w:t>
      </w:r>
      <w:r>
        <w:rPr>
          <w:rFonts w:hint="eastAsia" w:cs="Times New Roman"/>
          <w:b/>
          <w:bCs/>
          <w:color w:val="auto"/>
          <w:highlight w:val="none"/>
          <w:lang w:val="en-US" w:eastAsia="zh-CN"/>
        </w:rPr>
        <w:t>6.4</w:t>
      </w:r>
      <w:r>
        <w:rPr>
          <w:rFonts w:cs="Times New Roman"/>
          <w:b/>
          <w:bCs/>
          <w:color w:val="auto"/>
          <w:highlight w:val="none"/>
        </w:rPr>
        <w:t>-</w:t>
      </w:r>
      <w:r>
        <w:rPr>
          <w:rFonts w:hint="eastAsia" w:cs="Times New Roman"/>
          <w:b/>
          <w:bCs/>
          <w:color w:val="auto"/>
          <w:highlight w:val="none"/>
        </w:rPr>
        <w:t>2</w:t>
      </w:r>
      <w:r>
        <w:rPr>
          <w:rFonts w:cs="Times New Roman"/>
          <w:b/>
          <w:bCs/>
          <w:color w:val="auto"/>
          <w:highlight w:val="none"/>
        </w:rPr>
        <w:t xml:space="preserve"> 本项目温室气体排放量汇总表</w:t>
      </w:r>
    </w:p>
    <w:tbl>
      <w:tblPr>
        <w:tblStyle w:val="56"/>
        <w:tblpPr w:leftFromText="180" w:rightFromText="180" w:vertAnchor="text" w:tblpY="1"/>
        <w:tblOverlap w:val="never"/>
        <w:tblW w:w="50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6"/>
        <w:gridCol w:w="1592"/>
        <w:gridCol w:w="4260"/>
        <w:gridCol w:w="1847"/>
      </w:tblGrid>
      <w:tr w14:paraId="0B69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trPr>
        <w:tc>
          <w:tcPr>
            <w:tcW w:w="342" w:type="pct"/>
            <w:tcBorders>
              <w:tl2br w:val="nil"/>
              <w:tr2bl w:val="nil"/>
            </w:tcBorders>
            <w:tcMar>
              <w:left w:w="0" w:type="dxa"/>
              <w:right w:w="0" w:type="dxa"/>
            </w:tcMar>
            <w:vAlign w:val="center"/>
          </w:tcPr>
          <w:p w14:paraId="312CF3A1">
            <w:pPr>
              <w:pStyle w:val="771"/>
              <w:tabs>
                <w:tab w:val="left" w:pos="1119"/>
              </w:tabs>
              <w:rPr>
                <w:rFonts w:hint="default"/>
                <w:color w:val="auto"/>
                <w:highlight w:val="none"/>
              </w:rPr>
            </w:pPr>
            <w:r>
              <w:rPr>
                <w:rFonts w:hint="default"/>
                <w:color w:val="auto"/>
                <w:highlight w:val="none"/>
              </w:rPr>
              <w:t>序号</w:t>
            </w:r>
          </w:p>
        </w:tc>
        <w:tc>
          <w:tcPr>
            <w:tcW w:w="3539" w:type="pct"/>
            <w:gridSpan w:val="2"/>
            <w:tcBorders>
              <w:tl2br w:val="nil"/>
              <w:tr2bl w:val="nil"/>
            </w:tcBorders>
            <w:tcMar>
              <w:left w:w="0" w:type="dxa"/>
              <w:right w:w="0" w:type="dxa"/>
            </w:tcMar>
            <w:vAlign w:val="center"/>
          </w:tcPr>
          <w:p w14:paraId="0C711692">
            <w:pPr>
              <w:pStyle w:val="771"/>
              <w:tabs>
                <w:tab w:val="left" w:pos="1119"/>
              </w:tabs>
              <w:rPr>
                <w:rFonts w:hint="default"/>
                <w:color w:val="auto"/>
                <w:highlight w:val="none"/>
              </w:rPr>
            </w:pPr>
            <w:r>
              <w:rPr>
                <w:rFonts w:hint="default"/>
                <w:color w:val="auto"/>
                <w:highlight w:val="none"/>
              </w:rPr>
              <w:t>源类别</w:t>
            </w:r>
          </w:p>
        </w:tc>
        <w:tc>
          <w:tcPr>
            <w:tcW w:w="1117" w:type="pct"/>
            <w:tcBorders>
              <w:tl2br w:val="nil"/>
              <w:tr2bl w:val="nil"/>
            </w:tcBorders>
            <w:tcMar>
              <w:left w:w="0" w:type="dxa"/>
              <w:right w:w="0" w:type="dxa"/>
            </w:tcMar>
            <w:vAlign w:val="center"/>
          </w:tcPr>
          <w:p w14:paraId="20DF69DD">
            <w:pPr>
              <w:pStyle w:val="771"/>
              <w:tabs>
                <w:tab w:val="left" w:pos="1119"/>
              </w:tabs>
              <w:rPr>
                <w:rFonts w:hint="default"/>
                <w:color w:val="auto"/>
                <w:highlight w:val="none"/>
              </w:rPr>
            </w:pPr>
            <w:r>
              <w:rPr>
                <w:rFonts w:hint="default"/>
                <w:color w:val="auto"/>
                <w:highlight w:val="none"/>
              </w:rPr>
              <w:t>排放量（单位：</w:t>
            </w:r>
            <w:r>
              <w:rPr>
                <w:rFonts w:hint="eastAsia"/>
                <w:color w:val="auto"/>
                <w:highlight w:val="none"/>
                <w:lang w:val="en-US" w:eastAsia="zh-CN"/>
              </w:rPr>
              <w:t>t</w:t>
            </w:r>
            <w:r>
              <w:rPr>
                <w:rFonts w:hint="default"/>
                <w:color w:val="auto"/>
                <w:highlight w:val="none"/>
              </w:rPr>
              <w:t>CO</w:t>
            </w:r>
            <w:r>
              <w:rPr>
                <w:rFonts w:hint="default"/>
                <w:color w:val="auto"/>
                <w:highlight w:val="none"/>
                <w:vertAlign w:val="subscript"/>
              </w:rPr>
              <w:t>2</w:t>
            </w:r>
            <w:r>
              <w:rPr>
                <w:rFonts w:hint="default"/>
                <w:color w:val="auto"/>
                <w:highlight w:val="none"/>
              </w:rPr>
              <w:t>）</w:t>
            </w:r>
          </w:p>
        </w:tc>
      </w:tr>
      <w:tr w14:paraId="6F50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0A9C8D32">
            <w:pPr>
              <w:pStyle w:val="771"/>
              <w:tabs>
                <w:tab w:val="left" w:pos="1119"/>
              </w:tabs>
              <w:rPr>
                <w:rFonts w:hint="default"/>
                <w:color w:val="auto"/>
                <w:highlight w:val="none"/>
                <w:lang w:eastAsia="en-US"/>
              </w:rPr>
            </w:pPr>
            <w:r>
              <w:rPr>
                <w:rFonts w:hint="default"/>
                <w:color w:val="auto"/>
                <w:highlight w:val="none"/>
              </w:rPr>
              <w:t>1</w:t>
            </w:r>
          </w:p>
        </w:tc>
        <w:tc>
          <w:tcPr>
            <w:tcW w:w="3539" w:type="pct"/>
            <w:gridSpan w:val="2"/>
            <w:tcBorders>
              <w:tl2br w:val="nil"/>
              <w:tr2bl w:val="nil"/>
            </w:tcBorders>
            <w:tcMar>
              <w:left w:w="0" w:type="dxa"/>
              <w:right w:w="0" w:type="dxa"/>
            </w:tcMar>
            <w:vAlign w:val="center"/>
          </w:tcPr>
          <w:p w14:paraId="0428DC79">
            <w:pPr>
              <w:pStyle w:val="771"/>
              <w:tabs>
                <w:tab w:val="left" w:pos="1119"/>
              </w:tabs>
              <w:rPr>
                <w:rFonts w:hint="default"/>
                <w:color w:val="auto"/>
                <w:highlight w:val="none"/>
              </w:rPr>
            </w:pPr>
            <w:r>
              <w:rPr>
                <w:rFonts w:hint="default"/>
                <w:color w:val="auto"/>
                <w:highlight w:val="none"/>
              </w:rPr>
              <w:t>微生物发酵排放</w:t>
            </w:r>
          </w:p>
        </w:tc>
        <w:tc>
          <w:tcPr>
            <w:tcW w:w="1117" w:type="pct"/>
            <w:tcBorders>
              <w:tl2br w:val="nil"/>
              <w:tr2bl w:val="nil"/>
            </w:tcBorders>
            <w:tcMar>
              <w:left w:w="0" w:type="dxa"/>
              <w:right w:w="0" w:type="dxa"/>
            </w:tcMar>
            <w:vAlign w:val="center"/>
          </w:tcPr>
          <w:p w14:paraId="21D4A4CD">
            <w:pPr>
              <w:pStyle w:val="771"/>
              <w:tabs>
                <w:tab w:val="left" w:pos="1119"/>
              </w:tabs>
              <w:rPr>
                <w:rFonts w:hint="default"/>
                <w:color w:val="auto"/>
                <w:highlight w:val="none"/>
              </w:rPr>
            </w:pPr>
            <w:r>
              <w:rPr>
                <w:rFonts w:hint="default"/>
                <w:color w:val="auto"/>
                <w:highlight w:val="none"/>
              </w:rPr>
              <w:t>30985.9</w:t>
            </w:r>
            <w:r>
              <w:rPr>
                <w:rFonts w:hint="default"/>
                <w:color w:val="auto"/>
                <w:highlight w:val="none"/>
                <w:lang w:val="en-US" w:eastAsia="zh-CN"/>
              </w:rPr>
              <w:t>2</w:t>
            </w:r>
          </w:p>
        </w:tc>
      </w:tr>
      <w:tr w14:paraId="1CFF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38D40CFF">
            <w:pPr>
              <w:pStyle w:val="771"/>
              <w:tabs>
                <w:tab w:val="left" w:pos="1119"/>
              </w:tabs>
              <w:rPr>
                <w:rFonts w:hint="default"/>
                <w:color w:val="auto"/>
                <w:highlight w:val="none"/>
                <w:lang w:eastAsia="en-US"/>
              </w:rPr>
            </w:pPr>
            <w:r>
              <w:rPr>
                <w:rFonts w:hint="default"/>
                <w:color w:val="auto"/>
                <w:highlight w:val="none"/>
              </w:rPr>
              <w:t>2</w:t>
            </w:r>
          </w:p>
        </w:tc>
        <w:tc>
          <w:tcPr>
            <w:tcW w:w="3539" w:type="pct"/>
            <w:gridSpan w:val="2"/>
            <w:tcBorders>
              <w:tl2br w:val="nil"/>
              <w:tr2bl w:val="nil"/>
            </w:tcBorders>
            <w:tcMar>
              <w:left w:w="0" w:type="dxa"/>
              <w:right w:w="0" w:type="dxa"/>
            </w:tcMar>
            <w:vAlign w:val="center"/>
          </w:tcPr>
          <w:p w14:paraId="2EF0DB2C">
            <w:pPr>
              <w:pStyle w:val="771"/>
              <w:tabs>
                <w:tab w:val="left" w:pos="1119"/>
              </w:tabs>
              <w:rPr>
                <w:rFonts w:hint="default"/>
                <w:color w:val="auto"/>
                <w:highlight w:val="none"/>
              </w:rPr>
            </w:pPr>
            <w:r>
              <w:rPr>
                <w:rFonts w:hint="default"/>
                <w:color w:val="auto"/>
                <w:highlight w:val="none"/>
              </w:rPr>
              <w:t>燃料燃烧排放</w:t>
            </w:r>
          </w:p>
        </w:tc>
        <w:tc>
          <w:tcPr>
            <w:tcW w:w="1117" w:type="pct"/>
            <w:tcBorders>
              <w:tl2br w:val="nil"/>
              <w:tr2bl w:val="nil"/>
            </w:tcBorders>
            <w:tcMar>
              <w:left w:w="0" w:type="dxa"/>
              <w:right w:w="0" w:type="dxa"/>
            </w:tcMar>
            <w:vAlign w:val="center"/>
          </w:tcPr>
          <w:p w14:paraId="3D4F37FB">
            <w:pPr>
              <w:pStyle w:val="771"/>
              <w:tabs>
                <w:tab w:val="left" w:pos="1119"/>
              </w:tabs>
              <w:rPr>
                <w:rFonts w:hint="default" w:eastAsia="宋体"/>
                <w:color w:val="auto"/>
                <w:highlight w:val="none"/>
                <w:lang w:val="en-US" w:eastAsia="zh-CN"/>
              </w:rPr>
            </w:pPr>
            <w:r>
              <w:rPr>
                <w:rFonts w:hint="default" w:eastAsia="宋体"/>
                <w:color w:val="auto"/>
                <w:highlight w:val="none"/>
                <w:lang w:val="en-US" w:eastAsia="zh-CN"/>
              </w:rPr>
              <w:t>5360.46</w:t>
            </w:r>
          </w:p>
        </w:tc>
      </w:tr>
      <w:tr w14:paraId="6EE5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520DE031">
            <w:pPr>
              <w:pStyle w:val="771"/>
              <w:tabs>
                <w:tab w:val="left" w:pos="1119"/>
              </w:tabs>
              <w:rPr>
                <w:rFonts w:hint="default"/>
                <w:color w:val="auto"/>
                <w:highlight w:val="none"/>
              </w:rPr>
            </w:pPr>
            <w:r>
              <w:rPr>
                <w:rFonts w:hint="default"/>
                <w:color w:val="auto"/>
                <w:highlight w:val="none"/>
              </w:rPr>
              <w:t>3</w:t>
            </w:r>
          </w:p>
        </w:tc>
        <w:tc>
          <w:tcPr>
            <w:tcW w:w="3539" w:type="pct"/>
            <w:gridSpan w:val="2"/>
            <w:tcBorders>
              <w:tl2br w:val="nil"/>
              <w:tr2bl w:val="nil"/>
            </w:tcBorders>
            <w:tcMar>
              <w:left w:w="0" w:type="dxa"/>
              <w:right w:w="0" w:type="dxa"/>
            </w:tcMar>
            <w:vAlign w:val="center"/>
          </w:tcPr>
          <w:p w14:paraId="725DB100">
            <w:pPr>
              <w:pStyle w:val="771"/>
              <w:tabs>
                <w:tab w:val="left" w:pos="1119"/>
              </w:tabs>
              <w:rPr>
                <w:rFonts w:hint="default"/>
                <w:color w:val="auto"/>
                <w:highlight w:val="none"/>
              </w:rPr>
            </w:pPr>
            <w:r>
              <w:rPr>
                <w:rFonts w:hint="default"/>
                <w:color w:val="auto"/>
                <w:highlight w:val="none"/>
              </w:rPr>
              <w:t>二氧化碳回收利用</w:t>
            </w:r>
          </w:p>
        </w:tc>
        <w:tc>
          <w:tcPr>
            <w:tcW w:w="1117" w:type="pct"/>
            <w:tcBorders>
              <w:tl2br w:val="nil"/>
              <w:tr2bl w:val="nil"/>
            </w:tcBorders>
            <w:tcMar>
              <w:left w:w="0" w:type="dxa"/>
              <w:right w:w="0" w:type="dxa"/>
            </w:tcMar>
            <w:vAlign w:val="center"/>
          </w:tcPr>
          <w:p w14:paraId="37862DB8">
            <w:pPr>
              <w:pStyle w:val="771"/>
              <w:tabs>
                <w:tab w:val="left" w:pos="1119"/>
              </w:tabs>
              <w:rPr>
                <w:rFonts w:hint="default"/>
                <w:color w:val="auto"/>
                <w:highlight w:val="none"/>
              </w:rPr>
            </w:pPr>
            <w:r>
              <w:rPr>
                <w:rFonts w:hint="default"/>
                <w:color w:val="auto"/>
                <w:highlight w:val="none"/>
              </w:rPr>
              <w:t>0</w:t>
            </w:r>
          </w:p>
        </w:tc>
      </w:tr>
      <w:tr w14:paraId="5E9C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2E5C45BC">
            <w:pPr>
              <w:pStyle w:val="771"/>
              <w:tabs>
                <w:tab w:val="left" w:pos="1119"/>
              </w:tabs>
              <w:rPr>
                <w:rFonts w:hint="default"/>
                <w:color w:val="auto"/>
                <w:highlight w:val="none"/>
              </w:rPr>
            </w:pPr>
            <w:r>
              <w:rPr>
                <w:rFonts w:hint="default"/>
                <w:color w:val="auto"/>
                <w:highlight w:val="none"/>
              </w:rPr>
              <w:t>4</w:t>
            </w:r>
          </w:p>
        </w:tc>
        <w:tc>
          <w:tcPr>
            <w:tcW w:w="3539" w:type="pct"/>
            <w:gridSpan w:val="2"/>
            <w:tcBorders>
              <w:tl2br w:val="nil"/>
              <w:tr2bl w:val="nil"/>
            </w:tcBorders>
            <w:tcMar>
              <w:left w:w="0" w:type="dxa"/>
              <w:right w:w="0" w:type="dxa"/>
            </w:tcMar>
            <w:vAlign w:val="center"/>
          </w:tcPr>
          <w:p w14:paraId="2A821153">
            <w:pPr>
              <w:pStyle w:val="771"/>
              <w:tabs>
                <w:tab w:val="left" w:pos="1119"/>
              </w:tabs>
              <w:rPr>
                <w:rFonts w:hint="default"/>
                <w:color w:val="auto"/>
                <w:highlight w:val="none"/>
              </w:rPr>
            </w:pPr>
            <w:r>
              <w:rPr>
                <w:rFonts w:hint="default"/>
                <w:color w:val="auto"/>
                <w:highlight w:val="none"/>
              </w:rPr>
              <w:t>消耗电力排放</w:t>
            </w:r>
          </w:p>
        </w:tc>
        <w:tc>
          <w:tcPr>
            <w:tcW w:w="1117" w:type="pct"/>
            <w:tcBorders>
              <w:tl2br w:val="nil"/>
              <w:tr2bl w:val="nil"/>
            </w:tcBorders>
            <w:tcMar>
              <w:left w:w="0" w:type="dxa"/>
              <w:right w:w="0" w:type="dxa"/>
            </w:tcMar>
            <w:vAlign w:val="center"/>
          </w:tcPr>
          <w:p w14:paraId="12B91A37">
            <w:pPr>
              <w:pStyle w:val="771"/>
              <w:tabs>
                <w:tab w:val="left" w:pos="1119"/>
              </w:tabs>
              <w:rPr>
                <w:rFonts w:hint="eastAsia" w:eastAsia="宋体"/>
                <w:color w:val="auto"/>
                <w:highlight w:val="none"/>
                <w:lang w:eastAsia="zh-CN"/>
              </w:rPr>
            </w:pPr>
            <w:r>
              <w:rPr>
                <w:rFonts w:hint="eastAsia" w:eastAsia="宋体"/>
                <w:color w:val="auto"/>
                <w:highlight w:val="none"/>
                <w:lang w:eastAsia="zh-CN"/>
              </w:rPr>
              <w:t>63822.6</w:t>
            </w:r>
          </w:p>
        </w:tc>
      </w:tr>
      <w:tr w14:paraId="00BB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6CABA8CF">
            <w:pPr>
              <w:pStyle w:val="771"/>
              <w:tabs>
                <w:tab w:val="left" w:pos="1119"/>
              </w:tabs>
              <w:rPr>
                <w:rFonts w:hint="default"/>
                <w:color w:val="auto"/>
                <w:highlight w:val="none"/>
              </w:rPr>
            </w:pPr>
            <w:r>
              <w:rPr>
                <w:rFonts w:hint="default"/>
                <w:color w:val="auto"/>
                <w:highlight w:val="none"/>
              </w:rPr>
              <w:t>5</w:t>
            </w:r>
          </w:p>
        </w:tc>
        <w:tc>
          <w:tcPr>
            <w:tcW w:w="3539" w:type="pct"/>
            <w:gridSpan w:val="2"/>
            <w:tcBorders>
              <w:tl2br w:val="nil"/>
              <w:tr2bl w:val="nil"/>
            </w:tcBorders>
            <w:tcMar>
              <w:left w:w="0" w:type="dxa"/>
              <w:right w:w="0" w:type="dxa"/>
            </w:tcMar>
            <w:vAlign w:val="center"/>
          </w:tcPr>
          <w:p w14:paraId="0C432BBE">
            <w:pPr>
              <w:pStyle w:val="771"/>
              <w:tabs>
                <w:tab w:val="left" w:pos="1119"/>
              </w:tabs>
              <w:rPr>
                <w:rFonts w:hint="default"/>
                <w:color w:val="auto"/>
                <w:highlight w:val="none"/>
              </w:rPr>
            </w:pPr>
            <w:r>
              <w:rPr>
                <w:rFonts w:hint="default"/>
                <w:color w:val="auto"/>
                <w:highlight w:val="none"/>
              </w:rPr>
              <w:t>消耗热力排放</w:t>
            </w:r>
          </w:p>
        </w:tc>
        <w:tc>
          <w:tcPr>
            <w:tcW w:w="1117" w:type="pct"/>
            <w:tcBorders>
              <w:tl2br w:val="nil"/>
              <w:tr2bl w:val="nil"/>
            </w:tcBorders>
            <w:tcMar>
              <w:left w:w="0" w:type="dxa"/>
              <w:right w:w="0" w:type="dxa"/>
            </w:tcMar>
            <w:vAlign w:val="center"/>
          </w:tcPr>
          <w:p w14:paraId="588AD8FB">
            <w:pPr>
              <w:pStyle w:val="771"/>
              <w:tabs>
                <w:tab w:val="left" w:pos="1119"/>
              </w:tabs>
              <w:rPr>
                <w:rFonts w:hint="eastAsia" w:eastAsia="宋体"/>
                <w:color w:val="auto"/>
                <w:highlight w:val="none"/>
                <w:lang w:eastAsia="zh-CN"/>
              </w:rPr>
            </w:pPr>
            <w:r>
              <w:rPr>
                <w:rFonts w:hint="eastAsia" w:cs="Times New Roman"/>
                <w:color w:val="auto"/>
                <w:sz w:val="21"/>
                <w:szCs w:val="21"/>
                <w:highlight w:val="none"/>
                <w:lang w:eastAsia="zh-CN"/>
              </w:rPr>
              <w:t>165375.056</w:t>
            </w:r>
          </w:p>
        </w:tc>
      </w:tr>
      <w:tr w14:paraId="6BBF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687945E0">
            <w:pPr>
              <w:pStyle w:val="771"/>
              <w:tabs>
                <w:tab w:val="left" w:pos="1119"/>
              </w:tabs>
              <w:rPr>
                <w:rFonts w:hint="default"/>
                <w:color w:val="auto"/>
                <w:highlight w:val="none"/>
              </w:rPr>
            </w:pPr>
            <w:r>
              <w:rPr>
                <w:rFonts w:hint="default"/>
                <w:color w:val="auto"/>
                <w:highlight w:val="none"/>
              </w:rPr>
              <w:t>6</w:t>
            </w:r>
          </w:p>
        </w:tc>
        <w:tc>
          <w:tcPr>
            <w:tcW w:w="3539" w:type="pct"/>
            <w:gridSpan w:val="2"/>
            <w:tcBorders>
              <w:tl2br w:val="nil"/>
              <w:tr2bl w:val="nil"/>
            </w:tcBorders>
            <w:tcMar>
              <w:left w:w="0" w:type="dxa"/>
              <w:right w:w="0" w:type="dxa"/>
            </w:tcMar>
            <w:vAlign w:val="center"/>
          </w:tcPr>
          <w:p w14:paraId="7BF04FF1">
            <w:pPr>
              <w:pStyle w:val="771"/>
              <w:tabs>
                <w:tab w:val="left" w:pos="1119"/>
              </w:tabs>
              <w:rPr>
                <w:rFonts w:hint="default"/>
                <w:color w:val="auto"/>
                <w:highlight w:val="none"/>
              </w:rPr>
            </w:pPr>
            <w:r>
              <w:rPr>
                <w:rFonts w:hint="default"/>
                <w:color w:val="auto"/>
                <w:highlight w:val="none"/>
              </w:rPr>
              <w:t>输出电力排放</w:t>
            </w:r>
          </w:p>
        </w:tc>
        <w:tc>
          <w:tcPr>
            <w:tcW w:w="1117" w:type="pct"/>
            <w:tcBorders>
              <w:tl2br w:val="nil"/>
              <w:tr2bl w:val="nil"/>
            </w:tcBorders>
            <w:tcMar>
              <w:left w:w="0" w:type="dxa"/>
              <w:right w:w="0" w:type="dxa"/>
            </w:tcMar>
            <w:vAlign w:val="center"/>
          </w:tcPr>
          <w:p w14:paraId="735A777A">
            <w:pPr>
              <w:pStyle w:val="771"/>
              <w:tabs>
                <w:tab w:val="left" w:pos="1119"/>
              </w:tabs>
              <w:rPr>
                <w:rFonts w:hint="default"/>
                <w:color w:val="auto"/>
                <w:highlight w:val="none"/>
              </w:rPr>
            </w:pPr>
            <w:r>
              <w:rPr>
                <w:rFonts w:hint="default"/>
                <w:color w:val="auto"/>
                <w:highlight w:val="none"/>
              </w:rPr>
              <w:t>0</w:t>
            </w:r>
          </w:p>
        </w:tc>
      </w:tr>
      <w:tr w14:paraId="45E7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0B11D4B6">
            <w:pPr>
              <w:pStyle w:val="771"/>
              <w:tabs>
                <w:tab w:val="left" w:pos="1119"/>
              </w:tabs>
              <w:rPr>
                <w:rFonts w:hint="default"/>
                <w:color w:val="auto"/>
                <w:highlight w:val="none"/>
              </w:rPr>
            </w:pPr>
            <w:r>
              <w:rPr>
                <w:rFonts w:hint="default"/>
                <w:color w:val="auto"/>
                <w:highlight w:val="none"/>
              </w:rPr>
              <w:t>7</w:t>
            </w:r>
          </w:p>
        </w:tc>
        <w:tc>
          <w:tcPr>
            <w:tcW w:w="3539" w:type="pct"/>
            <w:gridSpan w:val="2"/>
            <w:tcBorders>
              <w:tl2br w:val="nil"/>
              <w:tr2bl w:val="nil"/>
            </w:tcBorders>
            <w:tcMar>
              <w:left w:w="0" w:type="dxa"/>
              <w:right w:w="0" w:type="dxa"/>
            </w:tcMar>
            <w:vAlign w:val="center"/>
          </w:tcPr>
          <w:p w14:paraId="0560D75C">
            <w:pPr>
              <w:pStyle w:val="771"/>
              <w:tabs>
                <w:tab w:val="left" w:pos="1119"/>
              </w:tabs>
              <w:rPr>
                <w:rFonts w:hint="default"/>
                <w:color w:val="auto"/>
                <w:highlight w:val="none"/>
              </w:rPr>
            </w:pPr>
            <w:r>
              <w:rPr>
                <w:rFonts w:hint="default"/>
                <w:color w:val="auto"/>
                <w:highlight w:val="none"/>
              </w:rPr>
              <w:t>输出热力排放</w:t>
            </w:r>
          </w:p>
        </w:tc>
        <w:tc>
          <w:tcPr>
            <w:tcW w:w="1117" w:type="pct"/>
            <w:tcBorders>
              <w:tl2br w:val="nil"/>
              <w:tr2bl w:val="nil"/>
            </w:tcBorders>
            <w:tcMar>
              <w:left w:w="0" w:type="dxa"/>
              <w:right w:w="0" w:type="dxa"/>
            </w:tcMar>
            <w:vAlign w:val="center"/>
          </w:tcPr>
          <w:p w14:paraId="1A22F9CA">
            <w:pPr>
              <w:pStyle w:val="771"/>
              <w:tabs>
                <w:tab w:val="left" w:pos="1119"/>
              </w:tabs>
              <w:rPr>
                <w:rFonts w:hint="default"/>
                <w:color w:val="auto"/>
                <w:highlight w:val="none"/>
              </w:rPr>
            </w:pPr>
            <w:r>
              <w:rPr>
                <w:rFonts w:hint="default"/>
                <w:color w:val="auto"/>
                <w:highlight w:val="none"/>
              </w:rPr>
              <w:t>0</w:t>
            </w:r>
          </w:p>
        </w:tc>
      </w:tr>
      <w:tr w14:paraId="7FAB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77FC6E9C">
            <w:pPr>
              <w:pStyle w:val="771"/>
              <w:tabs>
                <w:tab w:val="left" w:pos="1119"/>
              </w:tabs>
              <w:rPr>
                <w:rFonts w:hint="default"/>
                <w:color w:val="auto"/>
                <w:highlight w:val="none"/>
                <w:lang w:eastAsia="en-US"/>
              </w:rPr>
            </w:pPr>
            <w:r>
              <w:rPr>
                <w:rFonts w:hint="default"/>
                <w:color w:val="auto"/>
                <w:highlight w:val="none"/>
              </w:rPr>
              <w:t>8</w:t>
            </w:r>
          </w:p>
        </w:tc>
        <w:tc>
          <w:tcPr>
            <w:tcW w:w="963" w:type="pct"/>
            <w:vMerge w:val="restart"/>
            <w:tcBorders>
              <w:tl2br w:val="nil"/>
              <w:tr2bl w:val="nil"/>
            </w:tcBorders>
            <w:tcMar>
              <w:left w:w="0" w:type="dxa"/>
              <w:right w:w="0" w:type="dxa"/>
            </w:tcMar>
            <w:vAlign w:val="center"/>
          </w:tcPr>
          <w:p w14:paraId="015B6FBF">
            <w:pPr>
              <w:pStyle w:val="771"/>
              <w:tabs>
                <w:tab w:val="left" w:pos="1119"/>
              </w:tabs>
              <w:rPr>
                <w:rFonts w:hint="default"/>
                <w:color w:val="auto"/>
                <w:highlight w:val="none"/>
              </w:rPr>
            </w:pPr>
            <w:r>
              <w:rPr>
                <w:rFonts w:hint="default"/>
                <w:color w:val="auto"/>
                <w:highlight w:val="none"/>
              </w:rPr>
              <w:t>本项目温室气体排放总量（</w:t>
            </w:r>
            <w:r>
              <w:rPr>
                <w:rFonts w:hint="eastAsia"/>
                <w:color w:val="auto"/>
                <w:highlight w:val="none"/>
                <w:lang w:val="en-US" w:eastAsia="zh-CN"/>
              </w:rPr>
              <w:t>t</w:t>
            </w:r>
            <w:r>
              <w:rPr>
                <w:rFonts w:hint="default"/>
                <w:color w:val="auto"/>
                <w:highlight w:val="none"/>
              </w:rPr>
              <w:t>CO</w:t>
            </w:r>
            <w:r>
              <w:rPr>
                <w:rFonts w:hint="default"/>
                <w:color w:val="auto"/>
                <w:highlight w:val="none"/>
                <w:vertAlign w:val="subscript"/>
              </w:rPr>
              <w:t>2</w:t>
            </w:r>
            <w:r>
              <w:rPr>
                <w:rFonts w:hint="default"/>
                <w:color w:val="auto"/>
                <w:highlight w:val="none"/>
              </w:rPr>
              <w:t>）</w:t>
            </w:r>
          </w:p>
        </w:tc>
        <w:tc>
          <w:tcPr>
            <w:tcW w:w="2576" w:type="pct"/>
            <w:tcBorders>
              <w:tl2br w:val="nil"/>
              <w:tr2bl w:val="nil"/>
            </w:tcBorders>
            <w:tcMar>
              <w:left w:w="0" w:type="dxa"/>
              <w:right w:w="0" w:type="dxa"/>
            </w:tcMar>
            <w:vAlign w:val="center"/>
          </w:tcPr>
          <w:p w14:paraId="01680D50">
            <w:pPr>
              <w:pStyle w:val="771"/>
              <w:tabs>
                <w:tab w:val="left" w:pos="1119"/>
              </w:tabs>
              <w:rPr>
                <w:rFonts w:hint="default"/>
                <w:color w:val="auto"/>
                <w:highlight w:val="none"/>
              </w:rPr>
            </w:pPr>
            <w:r>
              <w:rPr>
                <w:rFonts w:hint="default"/>
                <w:color w:val="auto"/>
                <w:highlight w:val="none"/>
              </w:rPr>
              <w:t>不包含消耗、输出电力和热力隐含的CO</w:t>
            </w:r>
            <w:r>
              <w:rPr>
                <w:rFonts w:hint="default"/>
                <w:color w:val="auto"/>
                <w:highlight w:val="none"/>
                <w:vertAlign w:val="subscript"/>
              </w:rPr>
              <w:t>2</w:t>
            </w:r>
            <w:r>
              <w:rPr>
                <w:rFonts w:hint="default"/>
                <w:color w:val="auto"/>
                <w:highlight w:val="none"/>
              </w:rPr>
              <w:t>排放</w:t>
            </w:r>
          </w:p>
        </w:tc>
        <w:tc>
          <w:tcPr>
            <w:tcW w:w="1847" w:type="dxa"/>
            <w:tcBorders>
              <w:tl2br w:val="nil"/>
              <w:tr2bl w:val="nil"/>
            </w:tcBorders>
            <w:tcMar>
              <w:left w:w="0" w:type="dxa"/>
              <w:right w:w="0" w:type="dxa"/>
            </w:tcMar>
            <w:vAlign w:val="center"/>
          </w:tcPr>
          <w:p w14:paraId="3286EE91">
            <w:pPr>
              <w:pStyle w:val="771"/>
              <w:tabs>
                <w:tab w:val="left" w:pos="1119"/>
              </w:tabs>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36346.38</w:t>
            </w:r>
          </w:p>
        </w:tc>
      </w:tr>
      <w:tr w14:paraId="2149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42" w:type="pct"/>
            <w:tcBorders>
              <w:tl2br w:val="nil"/>
              <w:tr2bl w:val="nil"/>
            </w:tcBorders>
            <w:tcMar>
              <w:left w:w="0" w:type="dxa"/>
              <w:right w:w="0" w:type="dxa"/>
            </w:tcMar>
            <w:vAlign w:val="center"/>
          </w:tcPr>
          <w:p w14:paraId="37873B76">
            <w:pPr>
              <w:pStyle w:val="771"/>
              <w:tabs>
                <w:tab w:val="left" w:pos="1119"/>
              </w:tabs>
              <w:rPr>
                <w:rFonts w:hint="default"/>
                <w:color w:val="auto"/>
                <w:highlight w:val="none"/>
              </w:rPr>
            </w:pPr>
            <w:r>
              <w:rPr>
                <w:rFonts w:hint="default"/>
                <w:color w:val="auto"/>
                <w:highlight w:val="none"/>
              </w:rPr>
              <w:t>9</w:t>
            </w:r>
          </w:p>
        </w:tc>
        <w:tc>
          <w:tcPr>
            <w:tcW w:w="963" w:type="pct"/>
            <w:vMerge w:val="continue"/>
            <w:tcBorders>
              <w:tl2br w:val="nil"/>
              <w:tr2bl w:val="nil"/>
            </w:tcBorders>
            <w:tcMar>
              <w:left w:w="0" w:type="dxa"/>
              <w:right w:w="0" w:type="dxa"/>
            </w:tcMar>
            <w:vAlign w:val="center"/>
          </w:tcPr>
          <w:p w14:paraId="0B5B97CE">
            <w:pPr>
              <w:pStyle w:val="771"/>
              <w:tabs>
                <w:tab w:val="left" w:pos="1119"/>
              </w:tabs>
              <w:rPr>
                <w:rFonts w:hint="default"/>
                <w:color w:val="auto"/>
                <w:highlight w:val="none"/>
              </w:rPr>
            </w:pPr>
          </w:p>
        </w:tc>
        <w:tc>
          <w:tcPr>
            <w:tcW w:w="2576" w:type="pct"/>
            <w:tcBorders>
              <w:tl2br w:val="nil"/>
              <w:tr2bl w:val="nil"/>
            </w:tcBorders>
            <w:tcMar>
              <w:left w:w="0" w:type="dxa"/>
              <w:right w:w="0" w:type="dxa"/>
            </w:tcMar>
            <w:vAlign w:val="center"/>
          </w:tcPr>
          <w:p w14:paraId="7C8DE4C2">
            <w:pPr>
              <w:pStyle w:val="771"/>
              <w:tabs>
                <w:tab w:val="left" w:pos="1119"/>
              </w:tabs>
              <w:rPr>
                <w:rFonts w:hint="default"/>
                <w:color w:val="auto"/>
                <w:highlight w:val="none"/>
              </w:rPr>
            </w:pPr>
            <w:r>
              <w:rPr>
                <w:rFonts w:hint="default"/>
                <w:color w:val="auto"/>
                <w:highlight w:val="none"/>
              </w:rPr>
              <w:t>包含消耗、输出电力和热力隐含的CO</w:t>
            </w:r>
            <w:r>
              <w:rPr>
                <w:rFonts w:hint="default"/>
                <w:color w:val="auto"/>
                <w:highlight w:val="none"/>
                <w:vertAlign w:val="subscript"/>
              </w:rPr>
              <w:t>2</w:t>
            </w:r>
            <w:r>
              <w:rPr>
                <w:rFonts w:hint="default"/>
                <w:color w:val="auto"/>
                <w:highlight w:val="none"/>
              </w:rPr>
              <w:t>排放</w:t>
            </w:r>
          </w:p>
        </w:tc>
        <w:tc>
          <w:tcPr>
            <w:tcW w:w="1847" w:type="dxa"/>
            <w:tcBorders>
              <w:tl2br w:val="nil"/>
              <w:tr2bl w:val="nil"/>
            </w:tcBorders>
            <w:tcMar>
              <w:left w:w="0" w:type="dxa"/>
              <w:right w:w="0" w:type="dxa"/>
            </w:tcMar>
            <w:vAlign w:val="center"/>
          </w:tcPr>
          <w:p w14:paraId="09577015">
            <w:pPr>
              <w:pStyle w:val="771"/>
              <w:tabs>
                <w:tab w:val="left" w:pos="1119"/>
              </w:tabs>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265544.036</w:t>
            </w:r>
          </w:p>
        </w:tc>
      </w:tr>
    </w:tbl>
    <w:p w14:paraId="394918E7">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6.4.5减污降碳措施可行性论证分析</w:t>
      </w:r>
    </w:p>
    <w:p w14:paraId="58060D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eastAsia="宋体" w:cs="Times New Roman"/>
          <w:snapToGrid w:val="0"/>
          <w:color w:val="auto"/>
          <w:kern w:val="0"/>
          <w:sz w:val="24"/>
          <w:highlight w:val="none"/>
        </w:rPr>
      </w:pPr>
      <w:r>
        <w:rPr>
          <w:rFonts w:hint="eastAsia" w:eastAsia="宋体" w:cs="Times New Roman"/>
          <w:snapToGrid w:val="0"/>
          <w:color w:val="auto"/>
          <w:kern w:val="0"/>
          <w:sz w:val="24"/>
          <w:highlight w:val="none"/>
        </w:rPr>
        <w:t>项目从厂内外运输、节能设备和能源及碳排放管理等方面均采取了一系列减污降碳措施，具体如下：</w:t>
      </w:r>
    </w:p>
    <w:p w14:paraId="1ED42E6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6.4.5.1厂内外运输减污降碳措施分析</w:t>
      </w:r>
    </w:p>
    <w:p w14:paraId="5F45A2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1）项目在总图布置时，根据工艺生产的需要，按照工艺流向布置，物料顺行，合理分配运输量，减少物流，减少折返、迂回以及货物的重复装卸和搬运，减少厂内运输货物周转量，缩短运输距离，从而减少厂区内运输车辆、非道路移动机械等移动设备燃烧产生的CO</w:t>
      </w:r>
      <w:r>
        <w:rPr>
          <w:rFonts w:hint="eastAsia" w:eastAsia="宋体" w:cs="Times New Roman"/>
          <w:snapToGrid w:val="0"/>
          <w:color w:val="auto"/>
          <w:kern w:val="0"/>
          <w:sz w:val="24"/>
          <w:highlight w:val="none"/>
          <w:vertAlign w:val="subscript"/>
        </w:rPr>
        <w:t>2</w:t>
      </w:r>
      <w:r>
        <w:rPr>
          <w:rFonts w:hint="eastAsia" w:eastAsia="宋体" w:cs="Times New Roman"/>
          <w:snapToGrid w:val="0"/>
          <w:color w:val="auto"/>
          <w:kern w:val="0"/>
          <w:sz w:val="24"/>
          <w:highlight w:val="none"/>
        </w:rPr>
        <w:t>排放量。</w:t>
      </w:r>
    </w:p>
    <w:p w14:paraId="7E6044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（2）工艺设备和建构筑物合理布局，水泵房、变配电设施等均设置在负荷中心，减少电力等能源输送损耗，减少电力隐含的CO</w:t>
      </w:r>
      <w:r>
        <w:rPr>
          <w:rFonts w:hint="eastAsia" w:eastAsia="宋体" w:cs="Times New Roman"/>
          <w:snapToGrid w:val="0"/>
          <w:color w:val="auto"/>
          <w:kern w:val="0"/>
          <w:sz w:val="24"/>
          <w:highlight w:val="none"/>
          <w:vertAlign w:val="subscript"/>
        </w:rPr>
        <w:t>2</w:t>
      </w:r>
      <w:r>
        <w:rPr>
          <w:rFonts w:hint="eastAsia" w:eastAsia="宋体" w:cs="Times New Roman"/>
          <w:snapToGrid w:val="0"/>
          <w:color w:val="auto"/>
          <w:kern w:val="0"/>
          <w:sz w:val="24"/>
          <w:highlight w:val="none"/>
        </w:rPr>
        <w:t>排放量。</w:t>
      </w:r>
    </w:p>
    <w:p w14:paraId="7355567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6.4.5.2电气设施减污降碳措施</w:t>
      </w:r>
    </w:p>
    <w:p w14:paraId="50E9AD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项目在电气设备设施上采用了多种节能措施，从而间接减少了电力隐含的CO</w:t>
      </w:r>
      <w:r>
        <w:rPr>
          <w:rFonts w:hint="eastAsia" w:eastAsia="宋体" w:cs="Times New Roman"/>
          <w:snapToGrid w:val="0"/>
          <w:color w:val="auto"/>
          <w:kern w:val="0"/>
          <w:sz w:val="24"/>
          <w:highlight w:val="none"/>
          <w:vertAlign w:val="subscript"/>
        </w:rPr>
        <w:t>2</w:t>
      </w:r>
      <w:r>
        <w:rPr>
          <w:rFonts w:hint="eastAsia" w:eastAsia="宋体" w:cs="Times New Roman"/>
          <w:snapToGrid w:val="0"/>
          <w:color w:val="auto"/>
          <w:kern w:val="0"/>
          <w:sz w:val="24"/>
          <w:highlight w:val="none"/>
        </w:rPr>
        <w:t>排放量。具体措施主要有：</w:t>
      </w:r>
    </w:p>
    <w:p w14:paraId="7640C9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（1）根据项目用电性质、用电容量等选择合理的供电电压和供电方式，有效减少电能损耗。</w:t>
      </w:r>
    </w:p>
    <w:p w14:paraId="4D2890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（2）选用节能型干式变压器，能效等级为1级，具有低损耗（空载和负载损耗相对较低）、维护方便等显著特点。</w:t>
      </w:r>
    </w:p>
    <w:p w14:paraId="2D09AE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（3）负载变化较大的风机、泵类采用变频器调速控制，进一步降低能耗。</w:t>
      </w:r>
    </w:p>
    <w:p w14:paraId="3188DAB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6.4.5.3管理减污降碳措施</w:t>
      </w:r>
    </w:p>
    <w:p w14:paraId="48C4CBD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（1）能源及碳排放管理及制度</w:t>
      </w:r>
    </w:p>
    <w:p w14:paraId="743E2D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凯赛（乌苏）生物</w:t>
      </w:r>
      <w:r>
        <w:rPr>
          <w:rFonts w:hint="eastAsia" w:cs="Times New Roman"/>
          <w:snapToGrid w:val="0"/>
          <w:color w:val="auto"/>
          <w:kern w:val="0"/>
          <w:sz w:val="24"/>
          <w:highlight w:val="none"/>
          <w:lang w:val="en-US" w:eastAsia="zh-CN"/>
        </w:rPr>
        <w:t>材料</w:t>
      </w:r>
      <w:r>
        <w:rPr>
          <w:rFonts w:hint="eastAsia" w:eastAsia="宋体" w:cs="Times New Roman"/>
          <w:snapToGrid w:val="0"/>
          <w:color w:val="auto"/>
          <w:kern w:val="0"/>
          <w:sz w:val="24"/>
          <w:highlight w:val="none"/>
        </w:rPr>
        <w:t>有限公司建立企业温室气体排放报告的质量保证和文件存档制度，包括：</w:t>
      </w:r>
    </w:p>
    <w:p w14:paraId="7411A6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①指定专门人员负责企业温室气体排放核算和报告工作。</w:t>
      </w:r>
    </w:p>
    <w:p w14:paraId="755B51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②建立健全企业温室气体排放监测计划。</w:t>
      </w:r>
    </w:p>
    <w:p w14:paraId="4388BE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③建立健全企业温室气体排放和能源消耗台账记录。</w:t>
      </w:r>
    </w:p>
    <w:p w14:paraId="6B5F20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④建立企业温室气体数据和文件保存和归档管理制度。</w:t>
      </w:r>
    </w:p>
    <w:p w14:paraId="585AE6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⑤建立企业温室气体排放报告内部审核制度。</w:t>
      </w:r>
    </w:p>
    <w:p w14:paraId="216BEE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（2）能源计量管理</w:t>
      </w:r>
    </w:p>
    <w:p w14:paraId="3F79E1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凯赛（乌苏）生物</w:t>
      </w:r>
      <w:r>
        <w:rPr>
          <w:rFonts w:hint="eastAsia" w:cs="Times New Roman"/>
          <w:snapToGrid w:val="0"/>
          <w:color w:val="auto"/>
          <w:kern w:val="0"/>
          <w:sz w:val="24"/>
          <w:highlight w:val="none"/>
          <w:lang w:val="en-US" w:eastAsia="zh-CN"/>
        </w:rPr>
        <w:t>材料</w:t>
      </w:r>
      <w:r>
        <w:rPr>
          <w:rFonts w:hint="eastAsia" w:eastAsia="宋体" w:cs="Times New Roman"/>
          <w:snapToGrid w:val="0"/>
          <w:color w:val="auto"/>
          <w:kern w:val="0"/>
          <w:sz w:val="24"/>
          <w:highlight w:val="none"/>
        </w:rPr>
        <w:t>有限公司安全环保部负责贯彻执行上级有关规定，加强管理、统一量值，公司制定《计量管理制度》，对相关用能点的计量器具配备情况进行强制要求，还对计量技术档案管理、计量器具流转制度、计量器具周期检定制度等作出明确规定，并对能源计量器具的精度和检测率提出了明确的要求。</w:t>
      </w:r>
    </w:p>
    <w:p w14:paraId="382DA6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（3）能源统计管理</w:t>
      </w:r>
    </w:p>
    <w:p w14:paraId="40B16A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highlight w:val="none"/>
        </w:rPr>
      </w:pPr>
      <w:r>
        <w:rPr>
          <w:rFonts w:hint="eastAsia" w:eastAsia="宋体" w:cs="Times New Roman"/>
          <w:snapToGrid w:val="0"/>
          <w:color w:val="auto"/>
          <w:kern w:val="0"/>
          <w:sz w:val="24"/>
          <w:highlight w:val="none"/>
        </w:rPr>
        <w:t>凯赛（乌苏）生物</w:t>
      </w:r>
      <w:r>
        <w:rPr>
          <w:rFonts w:hint="eastAsia" w:cs="Times New Roman"/>
          <w:snapToGrid w:val="0"/>
          <w:color w:val="auto"/>
          <w:kern w:val="0"/>
          <w:sz w:val="24"/>
          <w:highlight w:val="none"/>
          <w:lang w:val="en-US" w:eastAsia="zh-CN"/>
        </w:rPr>
        <w:t>材料</w:t>
      </w:r>
      <w:r>
        <w:rPr>
          <w:rFonts w:hint="eastAsia" w:eastAsia="宋体" w:cs="Times New Roman"/>
          <w:snapToGrid w:val="0"/>
          <w:color w:val="auto"/>
          <w:kern w:val="0"/>
          <w:sz w:val="24"/>
          <w:highlight w:val="none"/>
        </w:rPr>
        <w:t>有限公司对各部门能源消耗进行统计，建立能源消耗平衡表，从而提出技术上和管理上的节能改进措施，不断提高能源管理水平。制定先进的、合理的能耗定额，确保定额考核的严肃性和科学性。公司制定《能源统计管理制度》，该制度规定由安全环保部建立能源统计台账，定期开展能源消耗统计、分析、核查工作，并将统计数据按要求上报上级节能主管部门。规定各种能源原始记录要完整、齐全，统计数据要真实、准确、完整、及时，同时为企业碳排放活动水平统计提供依据。</w:t>
      </w:r>
    </w:p>
    <w:p w14:paraId="39664A3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6.4.5.4减污降碳措施小结</w:t>
      </w:r>
    </w:p>
    <w:p w14:paraId="1DBACF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项目在厂内外运输、节能设备和管理等方面均采用了当前国内较成熟、先进的减污降碳措施。此外，根据清洁生产水平分析，项目能耗达到了国内先进水平。综上分析，项目减污降碳措施整体可行。</w:t>
      </w:r>
    </w:p>
    <w:p w14:paraId="7AC431E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6.4.5碳排放水平评价</w:t>
      </w:r>
    </w:p>
    <w:p w14:paraId="60F561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项目实施后，不包含净购入电力、热力隐含CO</w:t>
      </w:r>
      <w:r>
        <w:rPr>
          <w:rFonts w:hint="eastAsia" w:eastAsia="宋体" w:cs="Times New Roman"/>
          <w:snapToGrid w:val="0"/>
          <w:color w:val="auto"/>
          <w:kern w:val="0"/>
          <w:sz w:val="24"/>
          <w:highlight w:val="none"/>
          <w:vertAlign w:val="subscript"/>
        </w:rPr>
        <w:t>2</w:t>
      </w:r>
      <w:r>
        <w:rPr>
          <w:rFonts w:hint="eastAsia" w:eastAsia="宋体" w:cs="Times New Roman"/>
          <w:snapToGrid w:val="0"/>
          <w:color w:val="auto"/>
          <w:kern w:val="0"/>
          <w:sz w:val="24"/>
          <w:highlight w:val="none"/>
        </w:rPr>
        <w:t>排放</w:t>
      </w:r>
      <w:r>
        <w:rPr>
          <w:rFonts w:hint="eastAsia" w:eastAsia="宋体" w:cs="Times New Roman"/>
          <w:snapToGrid w:val="0"/>
          <w:color w:val="auto"/>
          <w:kern w:val="0"/>
          <w:sz w:val="24"/>
          <w:highlight w:val="none"/>
          <w:lang w:val="en-US" w:eastAsia="zh-CN"/>
        </w:rPr>
        <w:t>36346.38</w:t>
      </w:r>
      <w:r>
        <w:rPr>
          <w:rFonts w:hint="eastAsia" w:eastAsia="宋体" w:cs="Times New Roman"/>
          <w:snapToGrid w:val="0"/>
          <w:color w:val="auto"/>
          <w:kern w:val="0"/>
          <w:sz w:val="24"/>
          <w:highlight w:val="none"/>
        </w:rPr>
        <w:t>t/a；包含净购入电力和热力隐含CO</w:t>
      </w:r>
      <w:r>
        <w:rPr>
          <w:rFonts w:hint="eastAsia" w:eastAsia="宋体" w:cs="Times New Roman"/>
          <w:snapToGrid w:val="0"/>
          <w:color w:val="auto"/>
          <w:kern w:val="0"/>
          <w:sz w:val="24"/>
          <w:highlight w:val="none"/>
          <w:vertAlign w:val="subscript"/>
        </w:rPr>
        <w:t>2</w:t>
      </w:r>
      <w:r>
        <w:rPr>
          <w:rFonts w:hint="eastAsia" w:eastAsia="宋体" w:cs="Times New Roman"/>
          <w:snapToGrid w:val="0"/>
          <w:color w:val="auto"/>
          <w:kern w:val="0"/>
          <w:sz w:val="24"/>
          <w:highlight w:val="none"/>
        </w:rPr>
        <w:t>排放</w:t>
      </w:r>
      <w:r>
        <w:rPr>
          <w:rFonts w:hint="eastAsia" w:eastAsia="宋体" w:cs="Times New Roman"/>
          <w:snapToGrid w:val="0"/>
          <w:color w:val="auto"/>
          <w:kern w:val="0"/>
          <w:sz w:val="24"/>
          <w:highlight w:val="none"/>
          <w:lang w:val="en-US" w:eastAsia="zh-CN"/>
        </w:rPr>
        <w:t>265544.036</w:t>
      </w:r>
      <w:r>
        <w:rPr>
          <w:rFonts w:hint="eastAsia" w:eastAsia="宋体" w:cs="Times New Roman"/>
          <w:snapToGrid w:val="0"/>
          <w:color w:val="auto"/>
          <w:kern w:val="0"/>
          <w:sz w:val="24"/>
          <w:highlight w:val="none"/>
        </w:rPr>
        <w:t>t/a。</w:t>
      </w:r>
    </w:p>
    <w:p w14:paraId="451F8AA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6.4.6碳排放管理与监测计划</w:t>
      </w:r>
    </w:p>
    <w:p w14:paraId="77E4BE9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6.4.6.1碳排放监测计划</w:t>
      </w:r>
    </w:p>
    <w:p w14:paraId="676B6E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凯赛（乌苏）生物</w:t>
      </w:r>
      <w:r>
        <w:rPr>
          <w:rFonts w:hint="eastAsia" w:cs="Times New Roman"/>
          <w:snapToGrid w:val="0"/>
          <w:color w:val="auto"/>
          <w:kern w:val="0"/>
          <w:sz w:val="24"/>
          <w:highlight w:val="none"/>
          <w:lang w:val="en-US" w:eastAsia="zh-CN"/>
        </w:rPr>
        <w:t>材料</w:t>
      </w:r>
      <w:r>
        <w:rPr>
          <w:rFonts w:hint="eastAsia" w:eastAsia="宋体" w:cs="Times New Roman"/>
          <w:snapToGrid w:val="0"/>
          <w:color w:val="auto"/>
          <w:kern w:val="0"/>
          <w:sz w:val="24"/>
          <w:highlight w:val="none"/>
        </w:rPr>
        <w:t>有限公司制定温室气体年度监测计划，对碳排放相关的关键参数进行监测和分析，并根据分析结果，进行有效控制，并将上述监测结果形成记录，监测计划应包括：监测的内容、监测的责任部门、监测的形式、监测的频率、监测结果的记录形式等。其中监测内容重点为碳排放活动水平收集，根据碳排放台账记录情况，建议每年开展一次碳排放核算及污染源CO</w:t>
      </w:r>
      <w:r>
        <w:rPr>
          <w:rFonts w:hint="eastAsia" w:eastAsia="宋体" w:cs="Times New Roman"/>
          <w:snapToGrid w:val="0"/>
          <w:color w:val="auto"/>
          <w:kern w:val="0"/>
          <w:sz w:val="24"/>
          <w:highlight w:val="none"/>
          <w:vertAlign w:val="subscript"/>
        </w:rPr>
        <w:t>2</w:t>
      </w:r>
      <w:r>
        <w:rPr>
          <w:rFonts w:hint="eastAsia" w:eastAsia="宋体" w:cs="Times New Roman"/>
          <w:snapToGrid w:val="0"/>
          <w:color w:val="auto"/>
          <w:kern w:val="0"/>
          <w:sz w:val="24"/>
          <w:highlight w:val="none"/>
        </w:rPr>
        <w:t>监测，并对监测结果进行分析，包括异常波动分析、与同行业先进值对比分析等。当分析过程中发现碳排放状况出现重大偏差时，应及时分析原因并采取应对措施。</w:t>
      </w:r>
    </w:p>
    <w:p w14:paraId="65198E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凯赛（乌苏）生物</w:t>
      </w:r>
      <w:r>
        <w:rPr>
          <w:rFonts w:hint="eastAsia" w:cs="Times New Roman"/>
          <w:snapToGrid w:val="0"/>
          <w:color w:val="auto"/>
          <w:kern w:val="0"/>
          <w:sz w:val="24"/>
          <w:highlight w:val="none"/>
          <w:lang w:val="en-US" w:eastAsia="zh-CN"/>
        </w:rPr>
        <w:t>材料</w:t>
      </w:r>
      <w:r>
        <w:rPr>
          <w:rFonts w:hint="eastAsia" w:eastAsia="宋体" w:cs="Times New Roman"/>
          <w:snapToGrid w:val="0"/>
          <w:color w:val="auto"/>
          <w:kern w:val="0"/>
          <w:sz w:val="24"/>
          <w:highlight w:val="none"/>
        </w:rPr>
        <w:t>有限公司应定期对管辖范围内的监测设备进行检定或校准，确保监测结果的准确性和可重复性。必要时，建立碳排放信息监控系统，实现碳排放数据的在线采集和实时监控。</w:t>
      </w:r>
    </w:p>
    <w:p w14:paraId="0A9DF83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6.4.6.2碳排放台账管理</w:t>
      </w:r>
    </w:p>
    <w:p w14:paraId="5EC9D0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碳排放台账记录信息主要包括碳排放源清单、企业碳排放核算边界内所有活动水平数据、排放因子的确定方式、数据来源及数据获取方式、监测设备详细信息、数据缺失处理方法等，每天按班或批次记录，每月汇总一次。电子和纸质台账记录保存3年。</w:t>
      </w:r>
    </w:p>
    <w:p w14:paraId="0D054646">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6.4.7碳排放评价结论及建议</w:t>
      </w:r>
    </w:p>
    <w:p w14:paraId="688F495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6.4.7.1碳排放评价结论</w:t>
      </w:r>
    </w:p>
    <w:p w14:paraId="5A8830D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项目建设符合碳排放相关政策要求，在厂内外运输、节能设备和能源及碳排放管理等方面均采取了</w:t>
      </w:r>
      <w:r>
        <w:rPr>
          <w:rFonts w:hint="eastAsia" w:cs="Times New Roman"/>
          <w:snapToGrid w:val="0"/>
          <w:color w:val="auto"/>
          <w:kern w:val="0"/>
          <w:sz w:val="24"/>
          <w:highlight w:val="none"/>
          <w:lang w:eastAsia="zh-CN"/>
        </w:rPr>
        <w:t>较为</w:t>
      </w:r>
      <w:r>
        <w:rPr>
          <w:rFonts w:hint="eastAsia" w:eastAsia="宋体" w:cs="Times New Roman"/>
          <w:snapToGrid w:val="0"/>
          <w:color w:val="auto"/>
          <w:kern w:val="0"/>
          <w:sz w:val="24"/>
          <w:highlight w:val="none"/>
        </w:rPr>
        <w:t>完善的减污降碳措施，有利于减少二氧化碳排放。综上分析，项目碳排放水平可接受。</w:t>
      </w:r>
    </w:p>
    <w:p w14:paraId="4187442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6.4.7.2碳排放建议</w:t>
      </w:r>
    </w:p>
    <w:p w14:paraId="34D5AA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（1）在生产过程中加强企业能源管理，定期开展能源及碳排放管理培训，提升管理水平。</w:t>
      </w:r>
    </w:p>
    <w:p w14:paraId="51D02B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snapToGrid w:val="0"/>
          <w:color w:val="auto"/>
          <w:kern w:val="0"/>
          <w:sz w:val="24"/>
          <w:highlight w:val="none"/>
        </w:rPr>
      </w:pPr>
      <w:r>
        <w:rPr>
          <w:rFonts w:hint="eastAsia" w:eastAsia="宋体" w:cs="Times New Roman"/>
          <w:snapToGrid w:val="0"/>
          <w:color w:val="auto"/>
          <w:kern w:val="0"/>
          <w:sz w:val="24"/>
          <w:highlight w:val="none"/>
        </w:rPr>
        <w:t>（2）生产过程中积极探讨新工艺、新方法。</w:t>
      </w:r>
    </w:p>
    <w:p w14:paraId="263C3F50">
      <w:pPr>
        <w:pStyle w:val="2"/>
        <w:spacing w:before="100" w:beforeAutospacing="1" w:after="100" w:afterAutospacing="1"/>
        <w:ind w:firstLine="883"/>
        <w:rPr>
          <w:rFonts w:hint="eastAsia"/>
          <w:color w:val="auto"/>
          <w:highlight w:val="none"/>
        </w:rPr>
      </w:pPr>
      <w:bookmarkStart w:id="173" w:name="_Toc19542"/>
      <w:bookmarkStart w:id="174" w:name="_Toc7461"/>
      <w:r>
        <w:rPr>
          <w:color w:val="auto"/>
          <w:highlight w:val="none"/>
        </w:rPr>
        <w:br w:type="column"/>
      </w:r>
      <w:bookmarkEnd w:id="146"/>
      <w:bookmarkEnd w:id="147"/>
      <w:bookmarkEnd w:id="148"/>
      <w:r>
        <w:rPr>
          <w:rFonts w:hint="eastAsia"/>
          <w:color w:val="auto"/>
          <w:highlight w:val="none"/>
        </w:rPr>
        <w:t xml:space="preserve">7  </w:t>
      </w:r>
      <w:r>
        <w:rPr>
          <w:rFonts w:hint="eastAsia"/>
          <w:color w:val="auto"/>
          <w:highlight w:val="none"/>
          <w:lang w:val="en-US" w:eastAsia="zh-CN"/>
        </w:rPr>
        <w:t>生态</w:t>
      </w:r>
      <w:r>
        <w:rPr>
          <w:rFonts w:hint="eastAsia"/>
          <w:color w:val="auto"/>
          <w:highlight w:val="none"/>
        </w:rPr>
        <w:t>环境保护措施及其可行性论证</w:t>
      </w:r>
      <w:bookmarkEnd w:id="129"/>
      <w:bookmarkEnd w:id="130"/>
      <w:bookmarkEnd w:id="173"/>
      <w:bookmarkEnd w:id="174"/>
    </w:p>
    <w:p w14:paraId="3C68B2EB">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175" w:name="_Toc2021"/>
      <w:bookmarkStart w:id="176" w:name="_Toc30395"/>
      <w:bookmarkStart w:id="177" w:name="_Toc21676"/>
      <w:bookmarkStart w:id="178" w:name="_Toc26703"/>
      <w:bookmarkStart w:id="179" w:name="_Toc5104"/>
      <w:bookmarkStart w:id="180" w:name="_Toc5300"/>
      <w:bookmarkStart w:id="181" w:name="_Toc1764"/>
      <w:bookmarkStart w:id="182" w:name="_Toc309715449"/>
      <w:bookmarkStart w:id="183" w:name="_Toc454899389"/>
      <w:r>
        <w:rPr>
          <w:rFonts w:hint="eastAsia" w:ascii="Times New Roman" w:hAnsi="Times New Roman" w:cs="Times New Roman"/>
          <w:b w:val="0"/>
          <w:bCs w:val="0"/>
          <w:snapToGrid w:val="0"/>
          <w:color w:val="auto"/>
          <w:kern w:val="0"/>
          <w:sz w:val="28"/>
          <w:szCs w:val="28"/>
          <w:highlight w:val="none"/>
          <w:lang w:val="en-US" w:eastAsia="zh-CN"/>
        </w:rPr>
        <w:t>7.</w:t>
      </w:r>
      <w:bookmarkEnd w:id="175"/>
      <w:bookmarkEnd w:id="176"/>
      <w:bookmarkEnd w:id="177"/>
      <w:bookmarkEnd w:id="178"/>
      <w:bookmarkEnd w:id="179"/>
      <w:r>
        <w:rPr>
          <w:rFonts w:hint="eastAsia" w:ascii="Times New Roman" w:hAnsi="Times New Roman" w:cs="Times New Roman"/>
          <w:b w:val="0"/>
          <w:bCs w:val="0"/>
          <w:snapToGrid w:val="0"/>
          <w:color w:val="auto"/>
          <w:kern w:val="0"/>
          <w:sz w:val="28"/>
          <w:szCs w:val="28"/>
          <w:highlight w:val="none"/>
          <w:lang w:val="en-US" w:eastAsia="zh-CN"/>
        </w:rPr>
        <w:t>1施工期生态环境保护措施</w:t>
      </w:r>
      <w:bookmarkEnd w:id="180"/>
      <w:bookmarkEnd w:id="181"/>
    </w:p>
    <w:p w14:paraId="44094C8D">
      <w:pPr>
        <w:adjustRightInd w:val="0"/>
        <w:snapToGrid w:val="0"/>
        <w:spacing w:line="360" w:lineRule="auto"/>
        <w:ind w:firstLine="480" w:firstLineChars="200"/>
        <w:rPr>
          <w:color w:val="auto"/>
          <w:sz w:val="24"/>
          <w:highlight w:val="none"/>
        </w:rPr>
      </w:pPr>
      <w:r>
        <w:rPr>
          <w:rFonts w:hint="eastAsia"/>
          <w:color w:val="auto"/>
          <w:sz w:val="24"/>
          <w:highlight w:val="none"/>
        </w:rPr>
        <w:t>项目施工期主要产生的污染物为施工扬尘、机械尾气、施工粉尘、施工噪声、废水以及建筑垃圾等，对周围</w:t>
      </w:r>
      <w:r>
        <w:rPr>
          <w:rFonts w:hint="eastAsia" w:eastAsiaTheme="minorEastAsia"/>
          <w:snapToGrid w:val="0"/>
          <w:color w:val="auto"/>
          <w:kern w:val="0"/>
          <w:sz w:val="24"/>
          <w:highlight w:val="none"/>
          <w:lang w:val="en-US" w:eastAsia="zh-CN"/>
        </w:rPr>
        <w:t>生态</w:t>
      </w:r>
      <w:r>
        <w:rPr>
          <w:rFonts w:hint="eastAsia"/>
          <w:color w:val="auto"/>
          <w:sz w:val="24"/>
          <w:highlight w:val="none"/>
        </w:rPr>
        <w:t>环境产生影响。结合本项目的特征和当地</w:t>
      </w:r>
      <w:r>
        <w:rPr>
          <w:rFonts w:hint="eastAsia" w:eastAsiaTheme="minorEastAsia"/>
          <w:snapToGrid w:val="0"/>
          <w:color w:val="auto"/>
          <w:kern w:val="0"/>
          <w:sz w:val="24"/>
          <w:highlight w:val="none"/>
          <w:lang w:val="en-US" w:eastAsia="zh-CN"/>
        </w:rPr>
        <w:t>生态</w:t>
      </w:r>
      <w:r>
        <w:rPr>
          <w:rFonts w:hint="eastAsia"/>
          <w:color w:val="auto"/>
          <w:sz w:val="24"/>
          <w:highlight w:val="none"/>
        </w:rPr>
        <w:t>环境状况及项目施工过程中对</w:t>
      </w:r>
      <w:r>
        <w:rPr>
          <w:rFonts w:hint="eastAsia" w:eastAsiaTheme="minorEastAsia"/>
          <w:snapToGrid w:val="0"/>
          <w:color w:val="auto"/>
          <w:kern w:val="0"/>
          <w:sz w:val="24"/>
          <w:highlight w:val="none"/>
          <w:lang w:val="en-US" w:eastAsia="zh-CN"/>
        </w:rPr>
        <w:t>生态</w:t>
      </w:r>
      <w:r>
        <w:rPr>
          <w:rFonts w:hint="eastAsia"/>
          <w:color w:val="auto"/>
          <w:sz w:val="24"/>
          <w:highlight w:val="none"/>
        </w:rPr>
        <w:t>环境的影响，环评提出减少影响的措施和建议。</w:t>
      </w:r>
    </w:p>
    <w:p w14:paraId="08661FA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7.1.1施工期大气污染防治措施</w:t>
      </w:r>
      <w:bookmarkEnd w:id="182"/>
      <w:bookmarkEnd w:id="183"/>
    </w:p>
    <w:p w14:paraId="287F0198">
      <w:pPr>
        <w:adjustRightInd w:val="0"/>
        <w:snapToGrid w:val="0"/>
        <w:spacing w:line="360" w:lineRule="auto"/>
        <w:ind w:firstLine="480" w:firstLineChars="200"/>
        <w:rPr>
          <w:color w:val="auto"/>
          <w:sz w:val="24"/>
          <w:highlight w:val="none"/>
        </w:rPr>
      </w:pPr>
      <w:bookmarkStart w:id="184" w:name="_Toc309715450"/>
      <w:r>
        <w:rPr>
          <w:rFonts w:hint="eastAsia"/>
          <w:color w:val="auto"/>
          <w:sz w:val="24"/>
          <w:highlight w:val="none"/>
        </w:rPr>
        <w:t>施工期大气污染产生源主要有：平整场地、运输车辆和施工机械等产生扬尘；各类施工机械和运输车辆所排放的废气等。项目若不采用有效的降尘方式控制施工扬尘，则在项目的施工期内其所在区域的环境空气质量将难以达到《环境空气质量标准》（GB3095-2026）二级标准要求。</w:t>
      </w:r>
    </w:p>
    <w:p w14:paraId="5D65838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7.1.1.1无组织排放扬尘的防治措施</w:t>
      </w:r>
    </w:p>
    <w:p w14:paraId="562D4A56">
      <w:pPr>
        <w:adjustRightInd w:val="0"/>
        <w:snapToGrid w:val="0"/>
        <w:spacing w:line="360" w:lineRule="auto"/>
        <w:ind w:firstLine="480" w:firstLineChars="200"/>
        <w:rPr>
          <w:color w:val="auto"/>
          <w:sz w:val="24"/>
          <w:highlight w:val="none"/>
        </w:rPr>
      </w:pPr>
      <w:r>
        <w:rPr>
          <w:rFonts w:hint="eastAsia"/>
          <w:color w:val="auto"/>
          <w:sz w:val="24"/>
          <w:highlight w:val="none"/>
        </w:rPr>
        <w:t>施工过程中产生的扬尘尽管是短期的，但会对周围环境带来不利的影响，因此在施工期应采取相应的措施尽量减少扬尘的产生。为降低扬尘产生量，保护大气环境，施工单位在施工期采取以下扬尘防治措施：</w:t>
      </w:r>
    </w:p>
    <w:p w14:paraId="1DCF3EFA">
      <w:pPr>
        <w:adjustRightInd w:val="0"/>
        <w:snapToGrid w:val="0"/>
        <w:spacing w:line="360" w:lineRule="auto"/>
        <w:ind w:firstLine="480" w:firstLineChars="200"/>
        <w:rPr>
          <w:color w:val="auto"/>
          <w:sz w:val="24"/>
          <w:highlight w:val="none"/>
        </w:rPr>
      </w:pPr>
      <w:r>
        <w:rPr>
          <w:rFonts w:hint="eastAsia"/>
          <w:color w:val="auto"/>
          <w:sz w:val="24"/>
          <w:highlight w:val="none"/>
        </w:rPr>
        <w:t>（1）本项目建设施工应由建设单位指定专人负责施工现场扬尘污染措施的实施和监督。施工工地出入口必须设立环境保护监督牌。必须注明项目名称、建设单位、施工单位、防治扬尘污染现场监督员姓名和联系电话、项目工程、环保措施、举报电话等内容，做好项目施工期的环境保护，文明施工。</w:t>
      </w:r>
    </w:p>
    <w:p w14:paraId="6AE044B1">
      <w:pPr>
        <w:adjustRightInd w:val="0"/>
        <w:snapToGrid w:val="0"/>
        <w:spacing w:line="360" w:lineRule="auto"/>
        <w:ind w:firstLine="480" w:firstLineChars="200"/>
        <w:rPr>
          <w:color w:val="auto"/>
          <w:sz w:val="24"/>
          <w:highlight w:val="none"/>
        </w:rPr>
      </w:pPr>
      <w:r>
        <w:rPr>
          <w:rFonts w:hint="eastAsia"/>
          <w:color w:val="auto"/>
          <w:sz w:val="24"/>
          <w:highlight w:val="none"/>
        </w:rPr>
        <w:t>（2）合理安排施工工期；施工场地应定期洒水，特别是旱季施工；施工现场周边设置符合要求的围栏；竣工后要及时清理场地。对于建设施工阶段的车辆和机械扬尘，采取洒水抑尘；洒水次数根据天气状况而定，一般每天洒水</w:t>
      </w:r>
      <w:r>
        <w:rPr>
          <w:color w:val="auto"/>
          <w:sz w:val="24"/>
          <w:highlight w:val="none"/>
        </w:rPr>
        <w:t>1</w:t>
      </w:r>
      <w:r>
        <w:rPr>
          <w:rFonts w:hint="eastAsia"/>
          <w:color w:val="auto"/>
          <w:sz w:val="24"/>
          <w:highlight w:val="none"/>
        </w:rPr>
        <w:t>～</w:t>
      </w:r>
      <w:r>
        <w:rPr>
          <w:color w:val="auto"/>
          <w:sz w:val="24"/>
          <w:highlight w:val="none"/>
        </w:rPr>
        <w:t>2</w:t>
      </w:r>
      <w:r>
        <w:rPr>
          <w:rFonts w:hint="eastAsia"/>
          <w:color w:val="auto"/>
          <w:sz w:val="24"/>
          <w:highlight w:val="none"/>
        </w:rPr>
        <w:t>次，若遇大风或干燥天气可适当增加洒水次数，遇雨天则不必洒水。施工场地洒水量对扬尘的影响很大，场地洒水后，扬尘量将降低</w:t>
      </w:r>
      <w:r>
        <w:rPr>
          <w:color w:val="auto"/>
          <w:sz w:val="24"/>
          <w:highlight w:val="none"/>
        </w:rPr>
        <w:t>28%</w:t>
      </w:r>
      <w:r>
        <w:rPr>
          <w:rFonts w:hint="eastAsia"/>
          <w:color w:val="auto"/>
          <w:sz w:val="24"/>
          <w:highlight w:val="none"/>
        </w:rPr>
        <w:t>～</w:t>
      </w:r>
      <w:r>
        <w:rPr>
          <w:color w:val="auto"/>
          <w:sz w:val="24"/>
          <w:highlight w:val="none"/>
        </w:rPr>
        <w:t>75%</w:t>
      </w:r>
      <w:r>
        <w:rPr>
          <w:rFonts w:hint="eastAsia"/>
          <w:color w:val="auto"/>
          <w:sz w:val="24"/>
          <w:highlight w:val="none"/>
        </w:rPr>
        <w:t>，可大大减少扬尘对环境的影响。</w:t>
      </w:r>
    </w:p>
    <w:p w14:paraId="4177CA7B">
      <w:pPr>
        <w:adjustRightInd w:val="0"/>
        <w:snapToGrid w:val="0"/>
        <w:spacing w:line="360" w:lineRule="auto"/>
        <w:ind w:firstLine="480" w:firstLineChars="200"/>
        <w:rPr>
          <w:color w:val="auto"/>
          <w:sz w:val="24"/>
          <w:highlight w:val="none"/>
        </w:rPr>
      </w:pPr>
      <w:r>
        <w:rPr>
          <w:rFonts w:hint="eastAsia"/>
          <w:color w:val="auto"/>
          <w:sz w:val="24"/>
          <w:highlight w:val="none"/>
        </w:rPr>
        <w:t>（3）对施工区周围的道路进行清扫，减少粉尘和二次扬尘的产生。</w:t>
      </w:r>
    </w:p>
    <w:p w14:paraId="5B23F14E">
      <w:pPr>
        <w:adjustRightInd w:val="0"/>
        <w:snapToGrid w:val="0"/>
        <w:spacing w:line="360" w:lineRule="auto"/>
        <w:ind w:firstLine="480" w:firstLineChars="200"/>
        <w:rPr>
          <w:color w:val="auto"/>
          <w:sz w:val="24"/>
          <w:highlight w:val="none"/>
        </w:rPr>
      </w:pPr>
      <w:r>
        <w:rPr>
          <w:rFonts w:hint="eastAsia"/>
          <w:color w:val="auto"/>
          <w:sz w:val="24"/>
          <w:highlight w:val="none"/>
        </w:rPr>
        <w:t>（4）对于装运含尘物料的运输车辆进行密封运输，严格控制和规范车辆运输量和方式，容易产生粉尘的物料装载高度不得超过车辆两边和尾部的挡板和篷布，严格控制物料的洒落；尽量选择对周围环境影响较小的运输路线。</w:t>
      </w:r>
    </w:p>
    <w:p w14:paraId="109DBFCD">
      <w:pPr>
        <w:adjustRightInd w:val="0"/>
        <w:snapToGrid w:val="0"/>
        <w:spacing w:line="360" w:lineRule="auto"/>
        <w:ind w:firstLine="480" w:firstLineChars="200"/>
        <w:rPr>
          <w:color w:val="auto"/>
          <w:sz w:val="24"/>
          <w:highlight w:val="none"/>
        </w:rPr>
      </w:pPr>
      <w:r>
        <w:rPr>
          <w:rFonts w:hint="eastAsia"/>
          <w:color w:val="auto"/>
          <w:sz w:val="24"/>
          <w:highlight w:val="none"/>
        </w:rPr>
        <w:t>（5）限制施工区内运输车辆的速度，卡车在施工场地的车速控制在</w:t>
      </w:r>
      <w:r>
        <w:rPr>
          <w:color w:val="auto"/>
          <w:sz w:val="24"/>
          <w:highlight w:val="none"/>
        </w:rPr>
        <w:t>10km/h</w:t>
      </w:r>
      <w:r>
        <w:rPr>
          <w:rFonts w:hint="eastAsia"/>
          <w:color w:val="auto"/>
          <w:sz w:val="24"/>
          <w:highlight w:val="none"/>
        </w:rPr>
        <w:t>，推土机的速度控制在</w:t>
      </w:r>
      <w:r>
        <w:rPr>
          <w:color w:val="auto"/>
          <w:sz w:val="24"/>
          <w:highlight w:val="none"/>
        </w:rPr>
        <w:t>8km/h</w:t>
      </w:r>
      <w:r>
        <w:rPr>
          <w:rFonts w:hint="eastAsia"/>
          <w:color w:val="auto"/>
          <w:sz w:val="24"/>
          <w:highlight w:val="none"/>
        </w:rPr>
        <w:t>内。对运输过程中散落在路面上的泥土要及时清扫，以减少运行过程中的扬尘。</w:t>
      </w:r>
    </w:p>
    <w:p w14:paraId="47E4E96E">
      <w:pPr>
        <w:adjustRightInd w:val="0"/>
        <w:snapToGrid w:val="0"/>
        <w:spacing w:line="360" w:lineRule="auto"/>
        <w:ind w:firstLine="480" w:firstLineChars="200"/>
        <w:rPr>
          <w:color w:val="auto"/>
          <w:sz w:val="24"/>
          <w:highlight w:val="none"/>
        </w:rPr>
      </w:pPr>
      <w:r>
        <w:rPr>
          <w:rFonts w:hint="eastAsia"/>
          <w:color w:val="auto"/>
          <w:sz w:val="24"/>
          <w:highlight w:val="none"/>
        </w:rPr>
        <w:t>（6）施工现场应设置稳固、整齐、美观并符合安全标准要求的连续封闭式围挡，对于特殊地点无法设置围挡、围栏及防溢座的，应设置警示牌，严禁敞开式作业。</w:t>
      </w:r>
    </w:p>
    <w:p w14:paraId="1F016F8F">
      <w:pPr>
        <w:adjustRightInd w:val="0"/>
        <w:snapToGrid w:val="0"/>
        <w:spacing w:line="360" w:lineRule="auto"/>
        <w:ind w:firstLine="480" w:firstLineChars="200"/>
        <w:rPr>
          <w:color w:val="auto"/>
          <w:sz w:val="24"/>
          <w:highlight w:val="none"/>
        </w:rPr>
      </w:pPr>
      <w:r>
        <w:rPr>
          <w:rFonts w:hint="eastAsia"/>
          <w:color w:val="auto"/>
          <w:sz w:val="24"/>
          <w:highlight w:val="none"/>
        </w:rPr>
        <w:t>（7）施工现场必须做到“</w:t>
      </w:r>
      <w:r>
        <w:rPr>
          <w:color w:val="auto"/>
          <w:sz w:val="24"/>
          <w:highlight w:val="none"/>
        </w:rPr>
        <w:t>6</w:t>
      </w:r>
      <w:r>
        <w:rPr>
          <w:rFonts w:hint="eastAsia"/>
          <w:color w:val="auto"/>
          <w:sz w:val="24"/>
          <w:highlight w:val="none"/>
        </w:rPr>
        <w:t>个</w:t>
      </w:r>
      <w:r>
        <w:rPr>
          <w:color w:val="auto"/>
          <w:sz w:val="24"/>
          <w:highlight w:val="none"/>
        </w:rPr>
        <w:t>100%</w:t>
      </w:r>
      <w:r>
        <w:rPr>
          <w:rFonts w:hint="eastAsia"/>
          <w:color w:val="auto"/>
          <w:sz w:val="24"/>
          <w:highlight w:val="none"/>
        </w:rPr>
        <w:t>”，即施工现场</w:t>
      </w:r>
      <w:r>
        <w:rPr>
          <w:color w:val="auto"/>
          <w:sz w:val="24"/>
          <w:highlight w:val="none"/>
        </w:rPr>
        <w:t>100%</w:t>
      </w:r>
      <w:r>
        <w:rPr>
          <w:rFonts w:hint="eastAsia"/>
          <w:color w:val="auto"/>
          <w:sz w:val="24"/>
          <w:highlight w:val="none"/>
        </w:rPr>
        <w:t>围挡、工地砂土</w:t>
      </w:r>
      <w:r>
        <w:rPr>
          <w:color w:val="auto"/>
          <w:sz w:val="24"/>
          <w:highlight w:val="none"/>
        </w:rPr>
        <w:t>100%</w:t>
      </w:r>
      <w:r>
        <w:rPr>
          <w:rFonts w:hint="eastAsia"/>
          <w:color w:val="auto"/>
          <w:sz w:val="24"/>
          <w:highlight w:val="none"/>
        </w:rPr>
        <w:t>覆盖、工地路面</w:t>
      </w:r>
      <w:r>
        <w:rPr>
          <w:color w:val="auto"/>
          <w:sz w:val="24"/>
          <w:highlight w:val="none"/>
        </w:rPr>
        <w:t>100%</w:t>
      </w:r>
      <w:r>
        <w:rPr>
          <w:rFonts w:hint="eastAsia"/>
          <w:color w:val="auto"/>
          <w:sz w:val="24"/>
          <w:highlight w:val="none"/>
        </w:rPr>
        <w:t>硬化、拆除工程</w:t>
      </w:r>
      <w:r>
        <w:rPr>
          <w:color w:val="auto"/>
          <w:sz w:val="24"/>
          <w:highlight w:val="none"/>
        </w:rPr>
        <w:t>100%</w:t>
      </w:r>
      <w:r>
        <w:rPr>
          <w:rFonts w:hint="eastAsia"/>
          <w:color w:val="auto"/>
          <w:sz w:val="24"/>
          <w:highlight w:val="none"/>
        </w:rPr>
        <w:t>洒水降尘、出工地车辆</w:t>
      </w:r>
      <w:r>
        <w:rPr>
          <w:color w:val="auto"/>
          <w:sz w:val="24"/>
          <w:highlight w:val="none"/>
        </w:rPr>
        <w:t>100%</w:t>
      </w:r>
      <w:r>
        <w:rPr>
          <w:rFonts w:hint="eastAsia"/>
          <w:color w:val="auto"/>
          <w:sz w:val="24"/>
          <w:highlight w:val="none"/>
        </w:rPr>
        <w:t>冲净车轮车身、暂不开发的场地</w:t>
      </w:r>
      <w:r>
        <w:rPr>
          <w:color w:val="auto"/>
          <w:sz w:val="24"/>
          <w:highlight w:val="none"/>
        </w:rPr>
        <w:t>100%</w:t>
      </w:r>
      <w:r>
        <w:rPr>
          <w:rFonts w:hint="eastAsia"/>
          <w:color w:val="auto"/>
          <w:sz w:val="24"/>
          <w:highlight w:val="none"/>
        </w:rPr>
        <w:t>绿化。</w:t>
      </w:r>
    </w:p>
    <w:p w14:paraId="33FABE03">
      <w:pPr>
        <w:adjustRightInd w:val="0"/>
        <w:snapToGrid w:val="0"/>
        <w:spacing w:line="360" w:lineRule="auto"/>
        <w:ind w:firstLine="480" w:firstLineChars="200"/>
        <w:rPr>
          <w:color w:val="auto"/>
          <w:sz w:val="24"/>
          <w:highlight w:val="none"/>
        </w:rPr>
      </w:pPr>
      <w:r>
        <w:rPr>
          <w:rFonts w:hint="eastAsia"/>
          <w:color w:val="auto"/>
          <w:sz w:val="24"/>
          <w:highlight w:val="none"/>
        </w:rPr>
        <w:t>（8）易起尘物料采取袋装、覆盖等措施，严禁高空抛洒作业，施工过程中使用水泥、石灰、砂石、涂料、铺装材料等易产生扬尘的建筑材料，应采取密闭存储、设置围挡或堆砌围墙、采用防尘布苫盖或其他有效的防尘措施。</w:t>
      </w:r>
    </w:p>
    <w:p w14:paraId="10F1A36B">
      <w:pPr>
        <w:adjustRightInd w:val="0"/>
        <w:snapToGrid w:val="0"/>
        <w:spacing w:line="360" w:lineRule="auto"/>
        <w:ind w:firstLine="480" w:firstLineChars="200"/>
        <w:rPr>
          <w:color w:val="auto"/>
          <w:sz w:val="24"/>
          <w:highlight w:val="none"/>
        </w:rPr>
      </w:pPr>
      <w:r>
        <w:rPr>
          <w:rFonts w:hint="eastAsia"/>
          <w:color w:val="auto"/>
          <w:sz w:val="24"/>
          <w:highlight w:val="none"/>
        </w:rPr>
        <w:t>（9）施工期尽量避开大风、大雨天气，对施工作业面应边施工、边洒水，尽可能降低或避免对区域的扬尘污染。</w:t>
      </w:r>
    </w:p>
    <w:p w14:paraId="3A144DC9">
      <w:pPr>
        <w:adjustRightInd w:val="0"/>
        <w:snapToGrid w:val="0"/>
        <w:spacing w:line="360" w:lineRule="auto"/>
        <w:ind w:firstLine="480" w:firstLineChars="200"/>
        <w:rPr>
          <w:color w:val="auto"/>
          <w:sz w:val="24"/>
          <w:highlight w:val="none"/>
        </w:rPr>
      </w:pPr>
      <w:r>
        <w:rPr>
          <w:rFonts w:hint="eastAsia"/>
          <w:color w:val="auto"/>
          <w:sz w:val="24"/>
          <w:highlight w:val="none"/>
        </w:rPr>
        <w:t>（10）建筑垃圾送至市政部门指定的位置处置。</w:t>
      </w:r>
    </w:p>
    <w:p w14:paraId="5CE6C7D3">
      <w:pPr>
        <w:adjustRightInd w:val="0"/>
        <w:snapToGrid w:val="0"/>
        <w:spacing w:line="360" w:lineRule="auto"/>
        <w:ind w:firstLine="480" w:firstLineChars="200"/>
        <w:rPr>
          <w:color w:val="auto"/>
          <w:sz w:val="24"/>
          <w:highlight w:val="none"/>
        </w:rPr>
      </w:pPr>
      <w:r>
        <w:rPr>
          <w:rFonts w:hint="eastAsia"/>
          <w:color w:val="auto"/>
          <w:sz w:val="24"/>
          <w:highlight w:val="none"/>
        </w:rPr>
        <w:t>（11）粉尘、扬尘和燃油产生的污染物对人体健康有害，对受影响的施工人员应做好劳动保护，特别是材料加工、运输粉尘较大的施工场地更应做好防护措施，配备必要的劳保用品。</w:t>
      </w:r>
    </w:p>
    <w:p w14:paraId="038F36C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7.1.1.2施工机械排放尾气的防治措施</w:t>
      </w:r>
    </w:p>
    <w:p w14:paraId="7982593B">
      <w:pPr>
        <w:adjustRightInd w:val="0"/>
        <w:snapToGrid w:val="0"/>
        <w:spacing w:line="360" w:lineRule="auto"/>
        <w:ind w:firstLine="480" w:firstLineChars="200"/>
        <w:rPr>
          <w:color w:val="auto"/>
          <w:sz w:val="24"/>
          <w:highlight w:val="none"/>
        </w:rPr>
      </w:pPr>
      <w:r>
        <w:rPr>
          <w:rFonts w:hint="eastAsia"/>
          <w:color w:val="auto"/>
          <w:sz w:val="24"/>
          <w:highlight w:val="none"/>
        </w:rPr>
        <w:t>建设单位针对汽车尾气的排放拟采取以下措施：</w:t>
      </w:r>
    </w:p>
    <w:p w14:paraId="1C75036D">
      <w:pPr>
        <w:adjustRightInd w:val="0"/>
        <w:snapToGrid w:val="0"/>
        <w:spacing w:line="360" w:lineRule="auto"/>
        <w:ind w:firstLine="480" w:firstLineChars="200"/>
        <w:rPr>
          <w:color w:val="auto"/>
          <w:sz w:val="24"/>
          <w:highlight w:val="none"/>
        </w:rPr>
      </w:pPr>
      <w:r>
        <w:rPr>
          <w:rFonts w:hint="eastAsia"/>
          <w:color w:val="auto"/>
          <w:sz w:val="24"/>
          <w:highlight w:val="none"/>
        </w:rPr>
        <w:t>（1）项目施工机械采用的燃料必须是符合最新国家标准的燃油，禁止使用劣质燃油；</w:t>
      </w:r>
    </w:p>
    <w:p w14:paraId="66D4DFFC">
      <w:pPr>
        <w:adjustRightInd w:val="0"/>
        <w:snapToGrid w:val="0"/>
        <w:spacing w:line="360" w:lineRule="auto"/>
        <w:ind w:firstLine="480" w:firstLineChars="200"/>
        <w:rPr>
          <w:color w:val="auto"/>
          <w:sz w:val="24"/>
          <w:highlight w:val="none"/>
        </w:rPr>
      </w:pPr>
      <w:r>
        <w:rPr>
          <w:rFonts w:hint="eastAsia"/>
          <w:color w:val="auto"/>
          <w:sz w:val="24"/>
          <w:highlight w:val="none"/>
        </w:rPr>
        <w:t>（2）不得采用老旧、报废施工机械，施工场地内施工机械须安装尾气净化器，保证尾气排放能够满足当地汽车排气污染监督管理办法；</w:t>
      </w:r>
    </w:p>
    <w:p w14:paraId="02BCBB7A">
      <w:pPr>
        <w:adjustRightInd w:val="0"/>
        <w:snapToGrid w:val="0"/>
        <w:spacing w:line="360" w:lineRule="auto"/>
        <w:ind w:firstLine="480" w:firstLineChars="200"/>
        <w:rPr>
          <w:color w:val="auto"/>
          <w:sz w:val="24"/>
          <w:highlight w:val="none"/>
        </w:rPr>
      </w:pPr>
      <w:r>
        <w:rPr>
          <w:rFonts w:hint="eastAsia"/>
          <w:color w:val="auto"/>
          <w:sz w:val="24"/>
          <w:highlight w:val="none"/>
        </w:rPr>
        <w:t>（3）施工期间加强机械管理，严禁机械超载运行，对于故障机械应及时修理，禁止“带病”运行；</w:t>
      </w:r>
    </w:p>
    <w:p w14:paraId="035E82CA">
      <w:pPr>
        <w:adjustRightInd w:val="0"/>
        <w:snapToGrid w:val="0"/>
        <w:spacing w:line="360" w:lineRule="auto"/>
        <w:ind w:firstLine="480" w:firstLineChars="200"/>
        <w:rPr>
          <w:color w:val="auto"/>
          <w:sz w:val="24"/>
          <w:highlight w:val="none"/>
        </w:rPr>
      </w:pPr>
      <w:r>
        <w:rPr>
          <w:rFonts w:hint="eastAsia"/>
          <w:color w:val="auto"/>
          <w:sz w:val="24"/>
          <w:highlight w:val="none"/>
        </w:rPr>
        <w:t>综上所述，施工期大气污染防治措施简单，经济有效，操作难度小；在采取上述措施后，大气污染物的排放将有效减少，不会对当地大气环境质量造成大的影响；评价认为大气污染防治措施有效可行。</w:t>
      </w:r>
    </w:p>
    <w:p w14:paraId="30F14208">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7.1.2施工期水污染防治措施</w:t>
      </w:r>
    </w:p>
    <w:p w14:paraId="40E93E09">
      <w:pPr>
        <w:adjustRightInd w:val="0"/>
        <w:snapToGrid w:val="0"/>
        <w:spacing w:line="360" w:lineRule="auto"/>
        <w:ind w:firstLine="480" w:firstLineChars="200"/>
        <w:rPr>
          <w:color w:val="auto"/>
          <w:sz w:val="24"/>
          <w:highlight w:val="none"/>
        </w:rPr>
      </w:pPr>
      <w:r>
        <w:rPr>
          <w:rFonts w:hint="eastAsia"/>
          <w:color w:val="auto"/>
          <w:sz w:val="24"/>
          <w:highlight w:val="none"/>
        </w:rPr>
        <w:t>施工期废水主要来自施工废水及施工人员的生活污水。为避免施工中对水环境的影响，施工单位应做到：</w:t>
      </w:r>
    </w:p>
    <w:p w14:paraId="219AE32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（1）工程施工期间，施工单位应对施工废水进行收集处理，严禁乱排、乱流污染道路、环境。</w:t>
      </w:r>
    </w:p>
    <w:p w14:paraId="2975414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（2）加强施工机械设备的维修保养，避免在施工过程中燃料油的跑、冒、滴、漏。</w:t>
      </w:r>
    </w:p>
    <w:p w14:paraId="6BED0DD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（3）施工时产生的泥浆水未经处理不得随意排放，不得污染现场及周围环境。</w:t>
      </w:r>
    </w:p>
    <w:p w14:paraId="55D7C5C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（4）不得随意在施工区域内冲洗汽车，对施工机械进行检修和清洗时必须定点，清洗污水应根据废水性质进行隔渣、隔油和沉淀处理，用于施工区的洒水降尘。</w:t>
      </w:r>
    </w:p>
    <w:p w14:paraId="54EAD09F">
      <w:pPr>
        <w:adjustRightInd w:val="0"/>
        <w:snapToGrid w:val="0"/>
        <w:spacing w:line="360" w:lineRule="auto"/>
        <w:ind w:firstLine="480" w:firstLineChars="200"/>
        <w:rPr>
          <w:color w:val="auto"/>
          <w:sz w:val="24"/>
          <w:highlight w:val="none"/>
        </w:rPr>
      </w:pPr>
      <w:r>
        <w:rPr>
          <w:rFonts w:hint="eastAsia"/>
          <w:snapToGrid w:val="0"/>
          <w:color w:val="auto"/>
          <w:kern w:val="0"/>
          <w:sz w:val="24"/>
          <w:highlight w:val="none"/>
        </w:rPr>
        <w:t>（5）施工人员的生活污水通过厂区现有生活污水管网排入化粪池，不</w:t>
      </w:r>
      <w:r>
        <w:rPr>
          <w:rFonts w:hint="eastAsia"/>
          <w:color w:val="auto"/>
          <w:sz w:val="24"/>
          <w:highlight w:val="none"/>
        </w:rPr>
        <w:t>得随地倾倒，以防污染地下水。</w:t>
      </w:r>
    </w:p>
    <w:p w14:paraId="4786D176">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7.1.3施工期噪声防治措施</w:t>
      </w:r>
    </w:p>
    <w:p w14:paraId="4D07628D">
      <w:pPr>
        <w:adjustRightInd w:val="0"/>
        <w:snapToGrid w:val="0"/>
        <w:spacing w:line="360" w:lineRule="auto"/>
        <w:ind w:firstLine="480" w:firstLineChars="200"/>
        <w:rPr>
          <w:color w:val="auto"/>
          <w:sz w:val="24"/>
          <w:highlight w:val="none"/>
        </w:rPr>
      </w:pPr>
      <w:r>
        <w:rPr>
          <w:rFonts w:hint="eastAsia"/>
          <w:color w:val="auto"/>
          <w:sz w:val="24"/>
          <w:highlight w:val="none"/>
        </w:rPr>
        <w:t>施工期间的噪声污染主要来自施工机械作业产生的噪声和运输车辆产生的交通噪声，施工噪声对其周围环境将产生一定影响。项目须采取相应的控制措施，严格遵守《中华人民共和国生态环境法典》中关于建筑施工噪声污染防治的有关规定，防止噪声影响周围环境和人们的正常生产生活。基础施工阶段设备多属高噪声机械，在施工阶段，噪声特点是持续时间长，强度高。本项目施工噪声污染防治措施如下：</w:t>
      </w:r>
    </w:p>
    <w:p w14:paraId="75CABE1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7.1.3.1强噪声机械的降噪措施</w:t>
      </w:r>
    </w:p>
    <w:p w14:paraId="23A34BDC">
      <w:pPr>
        <w:adjustRightInd w:val="0"/>
        <w:snapToGrid w:val="0"/>
        <w:spacing w:line="360" w:lineRule="auto"/>
        <w:ind w:firstLine="480" w:firstLineChars="200"/>
        <w:rPr>
          <w:color w:val="auto"/>
          <w:sz w:val="24"/>
          <w:highlight w:val="none"/>
        </w:rPr>
      </w:pPr>
      <w:r>
        <w:rPr>
          <w:rFonts w:hint="eastAsia"/>
          <w:color w:val="auto"/>
          <w:sz w:val="24"/>
          <w:highlight w:val="none"/>
        </w:rPr>
        <w:t>（1）推行清洁生产，必须采用低噪声的施工机械和先进的施工技术，以达到控制噪声的目的。</w:t>
      </w:r>
    </w:p>
    <w:p w14:paraId="2C4AD3A8">
      <w:pPr>
        <w:adjustRightInd w:val="0"/>
        <w:snapToGrid w:val="0"/>
        <w:spacing w:line="360" w:lineRule="auto"/>
        <w:ind w:firstLine="480" w:firstLineChars="200"/>
        <w:rPr>
          <w:color w:val="auto"/>
          <w:sz w:val="24"/>
          <w:highlight w:val="none"/>
        </w:rPr>
      </w:pPr>
      <w:r>
        <w:rPr>
          <w:rFonts w:hint="eastAsia"/>
          <w:color w:val="auto"/>
          <w:sz w:val="24"/>
          <w:highlight w:val="none"/>
        </w:rPr>
        <w:t>（2）在施工机械与设备与基础或连接部位之间采用弹簧减振、橡皮减振、管道减振、阻尼减振</w:t>
      </w:r>
      <w:r>
        <w:rPr>
          <w:rFonts w:hint="eastAsia"/>
          <w:color w:val="auto"/>
          <w:sz w:val="24"/>
          <w:highlight w:val="none"/>
          <w:lang w:val="en-US" w:eastAsia="zh-CN"/>
        </w:rPr>
        <w:t>等措施</w:t>
      </w:r>
      <w:r>
        <w:rPr>
          <w:rFonts w:hint="eastAsia"/>
          <w:color w:val="auto"/>
          <w:sz w:val="24"/>
          <w:highlight w:val="none"/>
        </w:rPr>
        <w:t>，减少动量，降低噪声。</w:t>
      </w:r>
    </w:p>
    <w:p w14:paraId="6902ADC6">
      <w:pPr>
        <w:adjustRightInd w:val="0"/>
        <w:snapToGrid w:val="0"/>
        <w:spacing w:line="360" w:lineRule="auto"/>
        <w:ind w:firstLine="480" w:firstLineChars="200"/>
        <w:rPr>
          <w:color w:val="auto"/>
          <w:sz w:val="24"/>
          <w:highlight w:val="none"/>
        </w:rPr>
      </w:pPr>
      <w:r>
        <w:rPr>
          <w:rFonts w:hint="eastAsia"/>
          <w:color w:val="auto"/>
          <w:sz w:val="24"/>
          <w:highlight w:val="none"/>
        </w:rPr>
        <w:t>（3）降低钢模施工噪声，小钢模改为竹夹板以减少振动作业时冲击钢模产生噪声。</w:t>
      </w:r>
    </w:p>
    <w:p w14:paraId="3AAB3714">
      <w:pPr>
        <w:adjustRightInd w:val="0"/>
        <w:snapToGrid w:val="0"/>
        <w:spacing w:line="360" w:lineRule="auto"/>
        <w:ind w:firstLine="480" w:firstLineChars="200"/>
        <w:rPr>
          <w:color w:val="auto"/>
          <w:sz w:val="24"/>
          <w:highlight w:val="none"/>
        </w:rPr>
      </w:pPr>
      <w:r>
        <w:rPr>
          <w:rFonts w:hint="eastAsia"/>
          <w:color w:val="auto"/>
          <w:sz w:val="24"/>
          <w:highlight w:val="none"/>
        </w:rPr>
        <w:t>（4）施工车辆禁鸣喇叭。</w:t>
      </w:r>
    </w:p>
    <w:p w14:paraId="34B9B92B">
      <w:pPr>
        <w:adjustRightInd w:val="0"/>
        <w:snapToGrid w:val="0"/>
        <w:spacing w:line="360" w:lineRule="auto"/>
        <w:ind w:firstLine="480" w:firstLineChars="200"/>
        <w:rPr>
          <w:color w:val="auto"/>
          <w:sz w:val="24"/>
          <w:highlight w:val="none"/>
        </w:rPr>
      </w:pPr>
      <w:r>
        <w:rPr>
          <w:rFonts w:hint="eastAsia"/>
          <w:color w:val="auto"/>
          <w:sz w:val="24"/>
          <w:highlight w:val="none"/>
        </w:rPr>
        <w:t>（5）施工过程中加强检查、维护和保养机械设备，保持润滑，紧固各部件，减少运行振动噪声。减轻噪声对周围环境敏感点的影响。</w:t>
      </w:r>
    </w:p>
    <w:p w14:paraId="0EA35C0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7.1.3.2人为噪声控制</w:t>
      </w:r>
    </w:p>
    <w:p w14:paraId="7E2AA3A5">
      <w:pPr>
        <w:adjustRightInd w:val="0"/>
        <w:snapToGrid w:val="0"/>
        <w:spacing w:line="360" w:lineRule="auto"/>
        <w:ind w:firstLine="480" w:firstLineChars="200"/>
        <w:rPr>
          <w:color w:val="auto"/>
          <w:sz w:val="24"/>
          <w:highlight w:val="none"/>
        </w:rPr>
      </w:pPr>
      <w:r>
        <w:rPr>
          <w:rFonts w:hint="eastAsia"/>
          <w:color w:val="auto"/>
          <w:sz w:val="24"/>
          <w:highlight w:val="none"/>
        </w:rPr>
        <w:t>（1）提倡文明施工，建立控制人为噪声的管理制度，增强施工人员的环保意识，提高防治噪声扰民的自觉性，减少人为噪声污染。</w:t>
      </w:r>
    </w:p>
    <w:p w14:paraId="3E8B97D5">
      <w:pPr>
        <w:adjustRightInd w:val="0"/>
        <w:snapToGrid w:val="0"/>
        <w:spacing w:line="360" w:lineRule="auto"/>
        <w:ind w:firstLine="480" w:firstLineChars="200"/>
        <w:rPr>
          <w:color w:val="auto"/>
          <w:sz w:val="24"/>
          <w:highlight w:val="none"/>
        </w:rPr>
      </w:pPr>
      <w:r>
        <w:rPr>
          <w:rFonts w:hint="eastAsia"/>
          <w:color w:val="auto"/>
          <w:sz w:val="24"/>
          <w:highlight w:val="none"/>
        </w:rPr>
        <w:t>（2）在施工现场禁止大声喧哗吵闹、高声唱歌或敲击工具等。</w:t>
      </w:r>
    </w:p>
    <w:p w14:paraId="67125369">
      <w:pPr>
        <w:adjustRightInd w:val="0"/>
        <w:snapToGrid w:val="0"/>
        <w:spacing w:line="360" w:lineRule="auto"/>
        <w:ind w:firstLine="480" w:firstLineChars="200"/>
        <w:rPr>
          <w:color w:val="auto"/>
          <w:sz w:val="24"/>
          <w:highlight w:val="none"/>
        </w:rPr>
      </w:pPr>
      <w:r>
        <w:rPr>
          <w:rFonts w:hint="eastAsia"/>
          <w:color w:val="auto"/>
          <w:sz w:val="24"/>
          <w:highlight w:val="none"/>
        </w:rPr>
        <w:t>（3）作业中搬运物件，必须轻拿轻放，钢铁件堆放不发出大的声响，严禁抛掷物件而造成噪声。</w:t>
      </w:r>
    </w:p>
    <w:p w14:paraId="287FA2F4">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7.1.3.3个人防护</w:t>
      </w:r>
    </w:p>
    <w:p w14:paraId="2DC3F70B">
      <w:pPr>
        <w:adjustRightInd w:val="0"/>
        <w:snapToGrid w:val="0"/>
        <w:spacing w:line="360" w:lineRule="auto"/>
        <w:ind w:firstLine="480" w:firstLineChars="200"/>
        <w:rPr>
          <w:color w:val="auto"/>
          <w:sz w:val="24"/>
          <w:highlight w:val="none"/>
        </w:rPr>
      </w:pPr>
      <w:r>
        <w:rPr>
          <w:rFonts w:hint="eastAsia"/>
          <w:color w:val="auto"/>
          <w:sz w:val="24"/>
          <w:highlight w:val="none"/>
        </w:rPr>
        <w:t>施工单位应合理安排工作人员轮流操作产生高强噪声的施工机械，减少接触高噪声的时间，或穿插安排高噪声和低噪声的工作。加强对施工人员的个人防护，对高噪声设备附近工作的施工人员，采取配备、使用耳塞、耳机、防声头盔等防噪用具。</w:t>
      </w:r>
    </w:p>
    <w:p w14:paraId="5C515870">
      <w:pPr>
        <w:adjustRightInd w:val="0"/>
        <w:snapToGrid w:val="0"/>
        <w:spacing w:line="360" w:lineRule="auto"/>
        <w:ind w:firstLine="480" w:firstLineChars="200"/>
        <w:rPr>
          <w:color w:val="auto"/>
          <w:sz w:val="24"/>
          <w:highlight w:val="none"/>
        </w:rPr>
      </w:pPr>
      <w:r>
        <w:rPr>
          <w:rFonts w:hint="eastAsia"/>
          <w:color w:val="auto"/>
          <w:sz w:val="24"/>
          <w:highlight w:val="none"/>
        </w:rPr>
        <w:t>经采取以上降噪措施后，有效地减缓了施工和运输噪声对项目施工人员和周围居民区的影响，因此施工期拟采取的噪声防治措施可行。</w:t>
      </w:r>
    </w:p>
    <w:p w14:paraId="25D2E653">
      <w:pPr>
        <w:adjustRightInd w:val="0"/>
        <w:snapToGrid w:val="0"/>
        <w:spacing w:line="360" w:lineRule="auto"/>
        <w:ind w:firstLine="480" w:firstLineChars="200"/>
        <w:rPr>
          <w:color w:val="auto"/>
          <w:sz w:val="24"/>
          <w:highlight w:val="none"/>
        </w:rPr>
      </w:pPr>
      <w:r>
        <w:rPr>
          <w:rFonts w:hint="eastAsia"/>
          <w:color w:val="auto"/>
          <w:sz w:val="24"/>
          <w:highlight w:val="none"/>
        </w:rPr>
        <w:t>施工期环境影响为短期影响，施工结束后消除。但考虑施工期对周围环境的影响，建设单位在建设过程中认真遵守各项管理制度，做到文明施工、严格管理、缩短工期，力争将项目建设过程中对周围环境产生的影响降到最低限度。</w:t>
      </w:r>
    </w:p>
    <w:p w14:paraId="14F41B77">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7.1.4施工期固体废物防治措施</w:t>
      </w:r>
    </w:p>
    <w:p w14:paraId="268107F1">
      <w:pPr>
        <w:adjustRightInd w:val="0"/>
        <w:snapToGrid w:val="0"/>
        <w:spacing w:line="360" w:lineRule="auto"/>
        <w:ind w:firstLine="480" w:firstLineChars="200"/>
        <w:rPr>
          <w:color w:val="auto"/>
          <w:sz w:val="24"/>
          <w:highlight w:val="none"/>
        </w:rPr>
      </w:pPr>
      <w:r>
        <w:rPr>
          <w:rFonts w:hint="eastAsia"/>
          <w:color w:val="auto"/>
          <w:sz w:val="24"/>
          <w:highlight w:val="none"/>
        </w:rPr>
        <w:t>施工期固体废物主要为建筑垃圾及施工人员生活垃圾，为降低施工固体废物排放对周边环境的影响，环评提出以下措施：</w:t>
      </w:r>
    </w:p>
    <w:p w14:paraId="33CC04E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7.1.4.1施工期建筑垃圾</w:t>
      </w:r>
    </w:p>
    <w:p w14:paraId="399A4F3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项目施工过程主要包括硅粉库拆除、地面平整、厂房建设、设备搬运安装等过程。硅粉库拆除过程会产生废混凝土块、废砖、废金属等；地面平整工程会产生工程渣土等；厂房建设及设备搬运安装过程会产生工程</w:t>
      </w:r>
      <w:r>
        <w:rPr>
          <w:snapToGrid w:val="0"/>
          <w:color w:val="auto"/>
          <w:kern w:val="0"/>
          <w:sz w:val="24"/>
          <w:highlight w:val="none"/>
        </w:rPr>
        <w:t>弃料、废混凝土块、</w:t>
      </w:r>
      <w:r>
        <w:rPr>
          <w:rFonts w:hint="eastAsia"/>
          <w:snapToGrid w:val="0"/>
          <w:color w:val="auto"/>
          <w:kern w:val="0"/>
          <w:sz w:val="24"/>
          <w:highlight w:val="none"/>
        </w:rPr>
        <w:t>废</w:t>
      </w:r>
      <w:r>
        <w:rPr>
          <w:snapToGrid w:val="0"/>
          <w:color w:val="auto"/>
          <w:kern w:val="0"/>
          <w:sz w:val="24"/>
          <w:highlight w:val="none"/>
        </w:rPr>
        <w:t>钢筋、</w:t>
      </w:r>
      <w:r>
        <w:rPr>
          <w:rFonts w:hint="eastAsia"/>
          <w:snapToGrid w:val="0"/>
          <w:color w:val="auto"/>
          <w:kern w:val="0"/>
          <w:sz w:val="24"/>
          <w:highlight w:val="none"/>
        </w:rPr>
        <w:t>各种废钢配件、金属管线废料、废纸板箱、废金属捆扎带、废木材等。</w:t>
      </w:r>
    </w:p>
    <w:p w14:paraId="5756F38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施工中产生的建筑垃圾采用分类收集的方式进行收集，对可再生利用部分收集后交废物收购站处理，不可再生部分收集后清运至城市管理主管部门指定的建筑垃圾填埋场填埋或交建筑垃圾回收利用公司回收利用。</w:t>
      </w:r>
    </w:p>
    <w:p w14:paraId="6E246FE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7.1.4.2生活垃圾</w:t>
      </w:r>
    </w:p>
    <w:p w14:paraId="7B219C0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施工期生活垃圾依托厂区现有生活垃圾箱，及时由环卫部门清运处置。</w:t>
      </w:r>
    </w:p>
    <w:p w14:paraId="44430A8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以上措施可以有效处理施工产生的各类固体废物，防止其影响周边景观环境和卫生环境，达到环保治理目的。该部分环保投资主要为来往运输费用及处置费用，经济合理。施工期固体废物得到综合处理，对环境影响较小。环评认为项目施工期固废处置措施可行。</w:t>
      </w:r>
    </w:p>
    <w:p w14:paraId="3DBDA3C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根据《建筑垃圾污染控制技术规范》（HJ1462-2026），施工期建筑垃圾产生和收集过程、贮存与运输过程以及利用与处置过程的污染控制需要满足以下要求：</w:t>
      </w:r>
    </w:p>
    <w:p w14:paraId="12B716D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w:t>
      </w:r>
      <w:r>
        <w:rPr>
          <w:snapToGrid w:val="0"/>
          <w:color w:val="auto"/>
          <w:kern w:val="0"/>
          <w:sz w:val="24"/>
          <w:highlight w:val="none"/>
        </w:rPr>
        <w:t>工程施工现场设置的建筑垃圾存放点应符合JGJ/T 498要求，并根据建筑垃圾类别或成分进行分区分类存放。</w:t>
      </w:r>
    </w:p>
    <w:p w14:paraId="548706F8">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w:t>
      </w:r>
      <w:r>
        <w:rPr>
          <w:snapToGrid w:val="0"/>
          <w:color w:val="auto"/>
          <w:kern w:val="0"/>
          <w:sz w:val="24"/>
          <w:highlight w:val="none"/>
        </w:rPr>
        <w:t>工程施工过程宜使用绿色施工技术和环境友好型材料。</w:t>
      </w:r>
    </w:p>
    <w:p w14:paraId="0360A32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w:t>
      </w:r>
      <w:r>
        <w:rPr>
          <w:snapToGrid w:val="0"/>
          <w:color w:val="auto"/>
          <w:kern w:val="0"/>
          <w:sz w:val="24"/>
          <w:highlight w:val="none"/>
        </w:rPr>
        <w:t>贮存设施或场所可接收废旧混凝土、碎砖瓦、废砂浆、废沥青等废弃建材，废金属、废木材、废塑料、废纸、玻璃</w:t>
      </w:r>
      <w:r>
        <w:rPr>
          <w:rFonts w:hint="eastAsia"/>
          <w:snapToGrid w:val="0"/>
          <w:color w:val="auto"/>
          <w:kern w:val="0"/>
          <w:sz w:val="24"/>
          <w:highlight w:val="none"/>
        </w:rPr>
        <w:t>和</w:t>
      </w:r>
      <w:r>
        <w:rPr>
          <w:snapToGrid w:val="0"/>
          <w:color w:val="auto"/>
          <w:kern w:val="0"/>
          <w:sz w:val="24"/>
          <w:highlight w:val="none"/>
        </w:rPr>
        <w:t>未按</w:t>
      </w:r>
      <w:r>
        <w:rPr>
          <w:rFonts w:hint="eastAsia"/>
          <w:snapToGrid w:val="0"/>
          <w:color w:val="auto"/>
          <w:kern w:val="0"/>
          <w:sz w:val="24"/>
          <w:highlight w:val="none"/>
        </w:rPr>
        <w:t>上述</w:t>
      </w:r>
      <w:r>
        <w:rPr>
          <w:snapToGrid w:val="0"/>
          <w:color w:val="auto"/>
          <w:kern w:val="0"/>
          <w:sz w:val="24"/>
          <w:highlight w:val="none"/>
        </w:rPr>
        <w:t>进行分类的工程垃圾、拆除垃圾、装修垃圾</w:t>
      </w:r>
      <w:r>
        <w:rPr>
          <w:rFonts w:hint="eastAsia"/>
          <w:snapToGrid w:val="0"/>
          <w:color w:val="auto"/>
          <w:kern w:val="0"/>
          <w:sz w:val="24"/>
          <w:highlight w:val="none"/>
        </w:rPr>
        <w:t>，</w:t>
      </w:r>
      <w:r>
        <w:rPr>
          <w:snapToGrid w:val="0"/>
          <w:color w:val="auto"/>
          <w:kern w:val="0"/>
          <w:sz w:val="24"/>
          <w:highlight w:val="none"/>
        </w:rPr>
        <w:t>工程渣土、脱水后工程泥浆，并进行分区堆放与管理，根据需求进行中转、调配。</w:t>
      </w:r>
    </w:p>
    <w:p w14:paraId="16B889E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w:t>
      </w:r>
      <w:r>
        <w:rPr>
          <w:snapToGrid w:val="0"/>
          <w:color w:val="auto"/>
          <w:kern w:val="0"/>
          <w:sz w:val="24"/>
          <w:highlight w:val="none"/>
        </w:rPr>
        <w:t>贮存设施或场所的基础设施应参照CJJ/T 134进行建设和配备，场区内不存有积水，未进行分类的工程垃圾、拆除垃圾、装修垃圾堆放区应采取防雨淋措施。</w:t>
      </w:r>
    </w:p>
    <w:p w14:paraId="3AD934F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（5）</w:t>
      </w:r>
      <w:r>
        <w:rPr>
          <w:snapToGrid w:val="0"/>
          <w:color w:val="auto"/>
          <w:kern w:val="0"/>
          <w:sz w:val="24"/>
          <w:highlight w:val="none"/>
        </w:rPr>
        <w:t>贮存设施或场所应对场内物料倒运、上料、卸料等环节采取降噪措施，并采取喷雾、洒水、苫盖等措施进行抑尘。</w:t>
      </w:r>
    </w:p>
    <w:p w14:paraId="26C81AF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（6）</w:t>
      </w:r>
      <w:r>
        <w:rPr>
          <w:snapToGrid w:val="0"/>
          <w:color w:val="auto"/>
          <w:kern w:val="0"/>
          <w:sz w:val="24"/>
          <w:highlight w:val="none"/>
        </w:rPr>
        <w:t>建筑垃圾在装运过程中应避免混合，运输过程中应采取必要的防扬散、防遗撒、防渗漏、防噪声措施。</w:t>
      </w:r>
    </w:p>
    <w:p w14:paraId="652D456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（7）</w:t>
      </w:r>
      <w:r>
        <w:rPr>
          <w:snapToGrid w:val="0"/>
          <w:color w:val="auto"/>
          <w:kern w:val="0"/>
          <w:sz w:val="24"/>
          <w:highlight w:val="none"/>
        </w:rPr>
        <w:t>贮存与运输过程中宜使用新能源车和机械。</w:t>
      </w:r>
    </w:p>
    <w:p w14:paraId="40914DBD">
      <w:pPr>
        <w:spacing w:line="360" w:lineRule="auto"/>
        <w:rPr>
          <w:snapToGrid w:val="0"/>
          <w:color w:val="auto"/>
          <w:kern w:val="0"/>
          <w:sz w:val="24"/>
          <w:highlight w:val="none"/>
        </w:rPr>
      </w:pPr>
      <w:r>
        <w:rPr>
          <w:rFonts w:hint="eastAsia"/>
          <w:snapToGrid w:val="0"/>
          <w:color w:val="auto"/>
          <w:kern w:val="0"/>
          <w:sz w:val="24"/>
          <w:highlight w:val="none"/>
        </w:rPr>
        <w:br w:type="page"/>
      </w:r>
    </w:p>
    <w:p w14:paraId="29D0F3BF">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185" w:name="_Toc21298"/>
      <w:bookmarkStart w:id="186" w:name="_Toc6074"/>
      <w:r>
        <w:rPr>
          <w:rFonts w:hint="eastAsia" w:ascii="Times New Roman" w:hAnsi="Times New Roman" w:cs="Times New Roman"/>
          <w:b w:val="0"/>
          <w:bCs w:val="0"/>
          <w:snapToGrid w:val="0"/>
          <w:color w:val="auto"/>
          <w:kern w:val="0"/>
          <w:sz w:val="28"/>
          <w:szCs w:val="28"/>
          <w:highlight w:val="none"/>
          <w:lang w:val="en-US" w:eastAsia="zh-CN"/>
        </w:rPr>
        <w:t>7.2运营期生态环境保护措施及可行性分析</w:t>
      </w:r>
      <w:bookmarkEnd w:id="185"/>
      <w:bookmarkEnd w:id="186"/>
    </w:p>
    <w:p w14:paraId="50A98635">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7.2.1运营期废气治理措施及可行性分析</w:t>
      </w:r>
    </w:p>
    <w:p w14:paraId="7E561EF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7.2.1.1发酵废气污染防治措施</w:t>
      </w:r>
    </w:p>
    <w:p w14:paraId="728A085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发酵废气主要为菌体代谢过程产生的大量CO2和水蒸气，此外还含有部分颗粒物、小分子烃类等，还有少量发酵异味气体（氨、硫化氢、臭气浓度表征）。参照</w:t>
      </w:r>
      <w:r>
        <w:rPr>
          <w:rFonts w:hint="eastAsia"/>
          <w:snapToGrid w:val="0"/>
          <w:color w:val="auto"/>
          <w:kern w:val="0"/>
          <w:sz w:val="24"/>
          <w:highlight w:val="none"/>
          <w:lang w:eastAsia="zh-CN"/>
        </w:rPr>
        <w:t>《</w:t>
      </w:r>
      <w:r>
        <w:rPr>
          <w:rFonts w:hint="eastAsia"/>
          <w:snapToGrid w:val="0"/>
          <w:color w:val="auto"/>
          <w:kern w:val="0"/>
          <w:sz w:val="24"/>
          <w:highlight w:val="none"/>
        </w:rPr>
        <w:t>&lt;制药工业大气污染物排放标准（征求意见稿）&gt;编制说明》，制药企业一般采用旋风分离器和喷淋吸收塔治理技术，《排污许可证申请与核发技术规范 制药工业-生物药品制品制造》</w:t>
      </w:r>
      <w:r>
        <w:rPr>
          <w:color w:val="auto"/>
          <w:highlight w:val="none"/>
        </w:rPr>
        <w:fldChar w:fldCharType="begin"/>
      </w:r>
      <w:r>
        <w:rPr>
          <w:color w:val="auto"/>
          <w:highlight w:val="none"/>
        </w:rPr>
        <w:instrText xml:space="preserve"> HYPERLINK "https://www.mee.gov.cn/ywgz/fgbz/bz/bzwb/pwxk/201912/W020200103325198347687.pdf" </w:instrText>
      </w:r>
      <w:r>
        <w:rPr>
          <w:color w:val="auto"/>
          <w:highlight w:val="none"/>
        </w:rPr>
        <w:fldChar w:fldCharType="separate"/>
      </w:r>
      <w:r>
        <w:rPr>
          <w:rFonts w:hint="eastAsia"/>
          <w:snapToGrid w:val="0"/>
          <w:color w:val="auto"/>
          <w:kern w:val="0"/>
          <w:sz w:val="24"/>
          <w:highlight w:val="none"/>
        </w:rPr>
        <w:t>（HJ1062-2019）</w:t>
      </w:r>
      <w:r>
        <w:rPr>
          <w:rFonts w:hint="eastAsia"/>
          <w:snapToGrid w:val="0"/>
          <w:color w:val="auto"/>
          <w:kern w:val="0"/>
          <w:sz w:val="24"/>
          <w:highlight w:val="none"/>
        </w:rPr>
        <w:fldChar w:fldCharType="end"/>
      </w:r>
      <w:r>
        <w:rPr>
          <w:rFonts w:hint="eastAsia"/>
          <w:snapToGrid w:val="0"/>
          <w:color w:val="auto"/>
          <w:kern w:val="0"/>
          <w:sz w:val="24"/>
          <w:highlight w:val="none"/>
        </w:rPr>
        <w:t>中发酵尾气污染治理工艺为冷凝、吸收、吸附、生物净化、催化氧化等。本项目发酵废气经旋风分离器分离后由活性炭进行吸附后由</w:t>
      </w:r>
      <w:r>
        <w:rPr>
          <w:rFonts w:hint="eastAsia"/>
          <w:snapToGrid w:val="0"/>
          <w:color w:val="auto"/>
          <w:kern w:val="0"/>
          <w:sz w:val="24"/>
          <w:highlight w:val="none"/>
          <w:lang w:val="en-US" w:eastAsia="zh-CN"/>
        </w:rPr>
        <w:t>39</w:t>
      </w:r>
      <w:r>
        <w:rPr>
          <w:rFonts w:hint="eastAsia"/>
          <w:snapToGrid w:val="0"/>
          <w:color w:val="auto"/>
          <w:kern w:val="0"/>
          <w:sz w:val="24"/>
          <w:highlight w:val="none"/>
        </w:rPr>
        <w:t>m高排气筒排放。根据工程分析，发酵废气排放量分别为：颗粒物8.48t/a、非甲烷总烃1.76t/a、氨4.16t/a、硫化氢0.8t/a。</w:t>
      </w:r>
    </w:p>
    <w:p w14:paraId="7D1DFA6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发酵产生的含尘废气以12-25m/s的切向速度进入旋风分离器筒体，直线运动转为螺旋向下的外旋流，在锥段完成加速强化离心作用。发酵废气中的颗粒物在500倍以上重力的离心力作用下被甩向器壁，失去惯性力后沿壁面滑落至底部灰斗，完成气固分离。脱除大颗粒后的废气反向形成内旋流向上运动，进入后续活性炭吸附处理单元。</w:t>
      </w:r>
    </w:p>
    <w:p w14:paraId="7B89FF9A">
      <w:pPr>
        <w:adjustRightInd w:val="0"/>
        <w:snapToGrid w:val="0"/>
        <w:spacing w:line="360" w:lineRule="auto"/>
        <w:ind w:firstLine="480" w:firstLineChars="200"/>
        <w:rPr>
          <w:rFonts w:hint="default" w:eastAsia="宋体"/>
          <w:snapToGrid w:val="0"/>
          <w:color w:val="auto"/>
          <w:kern w:val="0"/>
          <w:sz w:val="24"/>
          <w:highlight w:val="none"/>
          <w:lang w:val="en-US" w:eastAsia="zh-CN"/>
        </w:rPr>
      </w:pPr>
      <w:r>
        <w:rPr>
          <w:rFonts w:hint="eastAsia"/>
          <w:snapToGrid w:val="0"/>
          <w:color w:val="auto"/>
          <w:kern w:val="0"/>
          <w:sz w:val="24"/>
          <w:highlight w:val="none"/>
        </w:rPr>
        <w:t>活性炭依靠自身高度发达的孔隙结构和800-1500m</w:t>
      </w:r>
      <w:r>
        <w:rPr>
          <w:rFonts w:hint="eastAsia"/>
          <w:snapToGrid w:val="0"/>
          <w:color w:val="auto"/>
          <w:kern w:val="0"/>
          <w:sz w:val="24"/>
          <w:highlight w:val="none"/>
          <w:vertAlign w:val="superscript"/>
        </w:rPr>
        <w:t>2</w:t>
      </w:r>
      <w:r>
        <w:rPr>
          <w:rFonts w:hint="eastAsia"/>
          <w:snapToGrid w:val="0"/>
          <w:color w:val="auto"/>
          <w:kern w:val="0"/>
          <w:sz w:val="24"/>
          <w:highlight w:val="none"/>
        </w:rPr>
        <w:t>/g的超大比表面积，通过范德华力捕获发酵废气中的醇类、酯类、有机酸等异味分子，将污染物牢牢固定在微孔内部。活性炭表面的特殊官能团可与发酵废气中的氨、硫化氢等极性恶臭物质发生化学反应，进一步强化对这类无机异味组分的吸附能力。活性炭对分子量45-130之间的有机化合物吸附效果最优，这一范围恰好覆盖发酵废气中绝大多数异味物质的分子量区间，可实现精准捕集。</w:t>
      </w:r>
      <w:r>
        <w:rPr>
          <w:rFonts w:hint="eastAsia"/>
          <w:snapToGrid w:val="0"/>
          <w:color w:val="auto"/>
          <w:kern w:val="0"/>
          <w:sz w:val="24"/>
          <w:highlight w:val="none"/>
          <w:lang w:val="en-US" w:eastAsia="zh-CN"/>
        </w:rPr>
        <w:t>共设两套发酵尾气处理设施，每套设5个直径2.8m，高6m的活性炭吸附器，吸附空速0.48m/s，吸附停留时间12.5s，</w:t>
      </w:r>
      <w:r>
        <w:rPr>
          <w:rFonts w:hint="eastAsia" w:ascii="Times New Roman" w:eastAsia="宋体"/>
          <w:color w:val="auto"/>
          <w:kern w:val="0"/>
          <w:sz w:val="24"/>
          <w:highlight w:val="none"/>
          <w:lang w:val="en-US" w:eastAsia="zh-CN" w:bidi="ar"/>
        </w:rPr>
        <w:t>指标</w:t>
      </w:r>
      <w:r>
        <w:rPr>
          <w:rFonts w:hint="eastAsia"/>
          <w:color w:val="auto"/>
          <w:kern w:val="0"/>
          <w:sz w:val="24"/>
          <w:highlight w:val="none"/>
          <w:lang w:val="en-US" w:eastAsia="zh-CN" w:bidi="ar"/>
        </w:rPr>
        <w:t>全面</w:t>
      </w:r>
      <w:r>
        <w:rPr>
          <w:rFonts w:hint="eastAsia" w:ascii="Times New Roman" w:eastAsia="宋体"/>
          <w:color w:val="auto"/>
          <w:kern w:val="0"/>
          <w:sz w:val="24"/>
          <w:highlight w:val="none"/>
          <w:lang w:val="en-US" w:eastAsia="zh-CN" w:bidi="ar"/>
        </w:rPr>
        <w:t>优于《吸附法工业有机废气治理工程技术规范》（HJ2026—2013）</w:t>
      </w:r>
      <w:r>
        <w:rPr>
          <w:rFonts w:hint="eastAsia"/>
          <w:color w:val="auto"/>
          <w:kern w:val="0"/>
          <w:sz w:val="24"/>
          <w:highlight w:val="none"/>
          <w:lang w:val="en-US" w:eastAsia="zh-CN" w:bidi="ar"/>
        </w:rPr>
        <w:t>：空速0.5~1m/s，装填厚度不宜低于300mm~400mm（吸附时间0.3~0.8s）。活性炭计划每年大修时更换，单套使用量约90t/a，需要吸附的污染物量＜6.48t，废活性炭含污染物不足6.71%＜10%。</w:t>
      </w:r>
    </w:p>
    <w:p w14:paraId="0C924C5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在工况适配的前提下，活性炭对发酵废气中非甲烷总烃的去除率可达80%~90%，可将臭气浓度降至原水平的15%左右，异味</w:t>
      </w:r>
      <w:r>
        <w:rPr>
          <w:rFonts w:hint="eastAsia"/>
          <w:snapToGrid w:val="0"/>
          <w:color w:val="auto"/>
          <w:kern w:val="0"/>
          <w:sz w:val="24"/>
          <w:highlight w:val="none"/>
          <w:lang w:eastAsia="zh-CN"/>
        </w:rPr>
        <w:t>去除</w:t>
      </w:r>
      <w:r>
        <w:rPr>
          <w:rFonts w:hint="eastAsia"/>
          <w:snapToGrid w:val="0"/>
          <w:color w:val="auto"/>
          <w:kern w:val="0"/>
          <w:sz w:val="24"/>
          <w:highlight w:val="none"/>
        </w:rPr>
        <w:t>效果显著，可同时处理发酵产生的非甲烷总烃、氨、硫化氢等多类污染物，无需针对单一组分增设额外处理单元，简化工艺链路。活性炭吸附设备结构简单，运行阻力低，采用抽屉式分层设计可快速更换活性炭，日常运维难度低，无需复杂的专业操作。吸附饱和后的活性炭可通过热再生等方式重复利用，降低长期耗材成本，整体工艺无二次污染风险。</w:t>
      </w:r>
    </w:p>
    <w:p w14:paraId="5901A539">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val="en-US" w:eastAsia="zh-CN"/>
        </w:rPr>
        <w:t>其实本项目发酵废气污染物产生浓度本身就很低，即便不设水洗塔和活性炭吸附器，经旋风除尘器处理后就可以实现达标，增加水洗塔和活性炭吸附器排放浓度更低。</w:t>
      </w:r>
    </w:p>
    <w:p w14:paraId="31BB78D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7.2.1.2酸化废气污染防治措施</w:t>
      </w:r>
    </w:p>
    <w:p w14:paraId="2843ED3C">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lang w:bidi="ar"/>
        </w:rPr>
        <w:t>酸化废气经密闭管道收集后进入酸化水膜吸收塔经过一级水喷淋吸收</w:t>
      </w:r>
      <w:r>
        <w:rPr>
          <w:rFonts w:hint="eastAsia"/>
          <w:color w:val="auto"/>
          <w:kern w:val="0"/>
          <w:sz w:val="24"/>
          <w:highlight w:val="none"/>
          <w:lang w:val="en-US" w:eastAsia="zh-CN" w:bidi="ar"/>
        </w:rPr>
        <w:t>+</w:t>
      </w:r>
      <w:r>
        <w:rPr>
          <w:rFonts w:hint="eastAsia"/>
          <w:color w:val="auto"/>
          <w:kern w:val="0"/>
          <w:sz w:val="24"/>
          <w:highlight w:val="none"/>
          <w:lang w:bidi="ar"/>
        </w:rPr>
        <w:t>一级碱液喷淋吸收处理，通过一根25m排气筒排放。根据工程分析，酸化废气中硫酸雾排放浓度为15mg/m</w:t>
      </w:r>
      <w:r>
        <w:rPr>
          <w:rFonts w:hint="eastAsia"/>
          <w:color w:val="auto"/>
          <w:kern w:val="0"/>
          <w:sz w:val="24"/>
          <w:highlight w:val="none"/>
          <w:vertAlign w:val="superscript"/>
          <w:lang w:bidi="ar"/>
        </w:rPr>
        <w:t>3</w:t>
      </w:r>
      <w:r>
        <w:rPr>
          <w:rFonts w:hint="eastAsia"/>
          <w:color w:val="auto"/>
          <w:kern w:val="0"/>
          <w:sz w:val="24"/>
          <w:highlight w:val="none"/>
          <w:lang w:bidi="ar"/>
        </w:rPr>
        <w:t>，排放浓度满足《大气污染物综合排放标准》（GB 16297-1996）表2中45mg/m</w:t>
      </w:r>
      <w:r>
        <w:rPr>
          <w:rFonts w:hint="eastAsia"/>
          <w:color w:val="auto"/>
          <w:kern w:val="0"/>
          <w:sz w:val="24"/>
          <w:highlight w:val="none"/>
          <w:vertAlign w:val="superscript"/>
          <w:lang w:bidi="ar"/>
        </w:rPr>
        <w:t>3</w:t>
      </w:r>
      <w:r>
        <w:rPr>
          <w:rFonts w:hint="eastAsia"/>
          <w:color w:val="auto"/>
          <w:kern w:val="0"/>
          <w:sz w:val="24"/>
          <w:highlight w:val="none"/>
          <w:lang w:bidi="ar"/>
        </w:rPr>
        <w:t>排放浓度限值，酸化废气排气筒高度25m，排放速率为0.47kg/h，排放速率满足《大气污染物综合排放标准》（GB 16297-1996）表2中20m高度排气筒排放速率2.6kg/h的要求，参照《&lt;硫酸工业污染物排放标准&gt;编制说明（征求意见稿）》，硫酸雾通常采用除雾器和（或）碱液洗涤处理可使硫酸工业尾气中的硫酸雾含量降至45mg/m</w:t>
      </w:r>
      <w:r>
        <w:rPr>
          <w:rFonts w:hint="eastAsia"/>
          <w:color w:val="auto"/>
          <w:kern w:val="0"/>
          <w:sz w:val="24"/>
          <w:highlight w:val="none"/>
          <w:vertAlign w:val="superscript"/>
          <w:lang w:bidi="ar"/>
        </w:rPr>
        <w:t>3</w:t>
      </w:r>
      <w:r>
        <w:rPr>
          <w:rFonts w:hint="eastAsia"/>
          <w:color w:val="auto"/>
          <w:kern w:val="0"/>
          <w:sz w:val="24"/>
          <w:highlight w:val="none"/>
          <w:lang w:bidi="ar"/>
        </w:rPr>
        <w:t>以下。本项目含硫酸雾的酸化废气采用一级水喷淋吸收、一级碱液喷淋吸收中和处理，排放浓度为15mg/m</w:t>
      </w:r>
      <w:r>
        <w:rPr>
          <w:rFonts w:hint="eastAsia"/>
          <w:color w:val="auto"/>
          <w:kern w:val="0"/>
          <w:sz w:val="24"/>
          <w:highlight w:val="none"/>
          <w:vertAlign w:val="superscript"/>
          <w:lang w:bidi="ar"/>
        </w:rPr>
        <w:t>3</w:t>
      </w:r>
      <w:r>
        <w:rPr>
          <w:rFonts w:hint="eastAsia"/>
          <w:color w:val="auto"/>
          <w:kern w:val="0"/>
          <w:sz w:val="24"/>
          <w:highlight w:val="none"/>
          <w:lang w:bidi="ar"/>
        </w:rPr>
        <w:t>，同时类比与本项目处理措施相同的</w:t>
      </w:r>
      <w:r>
        <w:rPr>
          <w:rFonts w:hint="eastAsia"/>
          <w:color w:val="auto"/>
          <w:kern w:val="0"/>
          <w:sz w:val="24"/>
          <w:highlight w:val="none"/>
          <w:lang w:val="en-US" w:eastAsia="zh-CN" w:bidi="ar"/>
        </w:rPr>
        <w:t>技术公司二元酸项目产生的</w:t>
      </w:r>
      <w:r>
        <w:rPr>
          <w:rFonts w:hint="eastAsia"/>
          <w:color w:val="auto"/>
          <w:kern w:val="0"/>
          <w:sz w:val="24"/>
          <w:highlight w:val="none"/>
          <w:lang w:bidi="ar"/>
        </w:rPr>
        <w:t>酸化废气硫酸雾排放浓度</w:t>
      </w:r>
      <w:r>
        <w:rPr>
          <w:rFonts w:hint="eastAsia"/>
          <w:color w:val="auto"/>
          <w:kern w:val="0"/>
          <w:sz w:val="24"/>
          <w:highlight w:val="none"/>
          <w:lang w:val="en-US" w:eastAsia="zh-CN" w:bidi="ar"/>
        </w:rPr>
        <w:t>均不超过15</w:t>
      </w:r>
      <w:r>
        <w:rPr>
          <w:rFonts w:hint="eastAsia"/>
          <w:color w:val="auto"/>
          <w:kern w:val="0"/>
          <w:sz w:val="24"/>
          <w:highlight w:val="none"/>
          <w:lang w:bidi="ar"/>
        </w:rPr>
        <w:t>mg/m</w:t>
      </w:r>
      <w:r>
        <w:rPr>
          <w:rFonts w:hint="eastAsia"/>
          <w:color w:val="auto"/>
          <w:kern w:val="0"/>
          <w:sz w:val="24"/>
          <w:highlight w:val="none"/>
          <w:vertAlign w:val="superscript"/>
          <w:lang w:bidi="ar"/>
        </w:rPr>
        <w:t>3</w:t>
      </w:r>
      <w:r>
        <w:rPr>
          <w:rFonts w:hint="eastAsia"/>
          <w:color w:val="auto"/>
          <w:kern w:val="0"/>
          <w:sz w:val="24"/>
          <w:highlight w:val="none"/>
          <w:lang w:bidi="ar"/>
        </w:rPr>
        <w:t>，可</w:t>
      </w:r>
      <w:r>
        <w:rPr>
          <w:rFonts w:hint="eastAsia"/>
          <w:color w:val="auto"/>
          <w:kern w:val="0"/>
          <w:sz w:val="24"/>
          <w:highlight w:val="none"/>
          <w:lang w:val="en-US" w:eastAsia="zh-CN" w:bidi="ar"/>
        </w:rPr>
        <w:t>满足</w:t>
      </w:r>
      <w:r>
        <w:rPr>
          <w:rFonts w:hint="eastAsia"/>
          <w:color w:val="auto"/>
          <w:kern w:val="0"/>
          <w:sz w:val="24"/>
          <w:highlight w:val="none"/>
          <w:lang w:bidi="ar"/>
        </w:rPr>
        <w:t>《大气污染物综合排放标准》（GB 16297-1996）表2中45mg/m</w:t>
      </w:r>
      <w:r>
        <w:rPr>
          <w:rFonts w:hint="eastAsia"/>
          <w:color w:val="auto"/>
          <w:kern w:val="0"/>
          <w:sz w:val="24"/>
          <w:highlight w:val="none"/>
          <w:vertAlign w:val="superscript"/>
          <w:lang w:bidi="ar"/>
        </w:rPr>
        <w:t>3</w:t>
      </w:r>
      <w:r>
        <w:rPr>
          <w:rFonts w:hint="eastAsia"/>
          <w:color w:val="auto"/>
          <w:kern w:val="0"/>
          <w:sz w:val="24"/>
          <w:highlight w:val="none"/>
          <w:lang w:bidi="ar"/>
        </w:rPr>
        <w:t>排放浓度限值，处理措施可行。</w:t>
      </w:r>
    </w:p>
    <w:p w14:paraId="18966DA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7.2.1.3含尘废气污染防治措施</w:t>
      </w:r>
    </w:p>
    <w:p w14:paraId="0EFE9A8B">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根据工程分析，本项目含尘废气主要有粗品干燥废气、成品干燥废气。粗品干燥废气主要污染物为颗粒物及少量非甲烷总烃，成品干燥废气主要污染物为颗粒物，分别经干燥机自带布袋除尘器处理后进入干燥水膜吸收塔水喷淋吸收+碱液喷淋吸收处理后通过1根25m排气筒排放。粗品干燥废气颗粒物及非甲烷总烃排放浓度分别为10mg/m</w:t>
      </w:r>
      <w:r>
        <w:rPr>
          <w:rFonts w:hint="eastAsia"/>
          <w:color w:val="auto"/>
          <w:kern w:val="0"/>
          <w:sz w:val="24"/>
          <w:highlight w:val="none"/>
          <w:vertAlign w:val="superscript"/>
          <w:lang w:bidi="ar"/>
        </w:rPr>
        <w:t>3</w:t>
      </w:r>
      <w:r>
        <w:rPr>
          <w:rFonts w:hint="eastAsia"/>
          <w:color w:val="auto"/>
          <w:kern w:val="0"/>
          <w:sz w:val="24"/>
          <w:highlight w:val="none"/>
          <w:lang w:bidi="ar"/>
        </w:rPr>
        <w:t>、2.5mg/m</w:t>
      </w:r>
      <w:r>
        <w:rPr>
          <w:rFonts w:hint="eastAsia"/>
          <w:color w:val="auto"/>
          <w:kern w:val="0"/>
          <w:sz w:val="24"/>
          <w:highlight w:val="none"/>
          <w:vertAlign w:val="superscript"/>
          <w:lang w:bidi="ar"/>
        </w:rPr>
        <w:t>3</w:t>
      </w:r>
      <w:r>
        <w:rPr>
          <w:rFonts w:hint="eastAsia"/>
          <w:color w:val="auto"/>
          <w:kern w:val="0"/>
          <w:sz w:val="24"/>
          <w:highlight w:val="none"/>
          <w:lang w:bidi="ar"/>
        </w:rPr>
        <w:t>，成品干燥废气颗粒物排放浓度分别为20mg/m</w:t>
      </w:r>
      <w:r>
        <w:rPr>
          <w:rFonts w:hint="eastAsia"/>
          <w:color w:val="auto"/>
          <w:kern w:val="0"/>
          <w:sz w:val="24"/>
          <w:highlight w:val="none"/>
          <w:vertAlign w:val="superscript"/>
          <w:lang w:bidi="ar"/>
        </w:rPr>
        <w:t>3</w:t>
      </w:r>
      <w:r>
        <w:rPr>
          <w:rFonts w:hint="eastAsia"/>
          <w:color w:val="auto"/>
          <w:kern w:val="0"/>
          <w:sz w:val="24"/>
          <w:highlight w:val="none"/>
          <w:lang w:bidi="ar"/>
        </w:rPr>
        <w:t>，颗粒物及非甲烷总烃排放浓度均可达到《合成树脂工业污染物排放标准》（GB31572-2015</w:t>
      </w:r>
      <w:r>
        <w:rPr>
          <w:rFonts w:hint="eastAsia"/>
          <w:color w:val="auto"/>
          <w:kern w:val="0"/>
          <w:sz w:val="24"/>
          <w:highlight w:val="none"/>
          <w:lang w:eastAsia="zh-CN" w:bidi="ar"/>
        </w:rPr>
        <w:t>，</w:t>
      </w:r>
      <w:r>
        <w:rPr>
          <w:rFonts w:hint="eastAsia"/>
          <w:color w:val="auto"/>
          <w:kern w:val="0"/>
          <w:sz w:val="24"/>
          <w:highlight w:val="none"/>
          <w:lang w:bidi="ar"/>
        </w:rPr>
        <w:t>含2024年修改单）表5大气污染物特别排放限值（颗粒物20mg/m</w:t>
      </w:r>
      <w:r>
        <w:rPr>
          <w:rFonts w:hint="eastAsia"/>
          <w:color w:val="auto"/>
          <w:kern w:val="0"/>
          <w:sz w:val="24"/>
          <w:highlight w:val="none"/>
          <w:vertAlign w:val="superscript"/>
          <w:lang w:bidi="ar"/>
        </w:rPr>
        <w:t>3</w:t>
      </w:r>
      <w:r>
        <w:rPr>
          <w:rFonts w:hint="eastAsia"/>
          <w:color w:val="auto"/>
          <w:kern w:val="0"/>
          <w:sz w:val="24"/>
          <w:highlight w:val="none"/>
          <w:lang w:bidi="ar"/>
        </w:rPr>
        <w:t>、非甲烷总烃60mg/m</w:t>
      </w:r>
      <w:r>
        <w:rPr>
          <w:rFonts w:hint="eastAsia"/>
          <w:color w:val="auto"/>
          <w:kern w:val="0"/>
          <w:sz w:val="24"/>
          <w:highlight w:val="none"/>
          <w:vertAlign w:val="superscript"/>
          <w:lang w:bidi="ar"/>
        </w:rPr>
        <w:t>3</w:t>
      </w:r>
      <w:r>
        <w:rPr>
          <w:rFonts w:hint="eastAsia"/>
          <w:color w:val="auto"/>
          <w:kern w:val="0"/>
          <w:sz w:val="24"/>
          <w:highlight w:val="none"/>
          <w:lang w:bidi="ar"/>
        </w:rPr>
        <w:t>）。</w:t>
      </w:r>
    </w:p>
    <w:p w14:paraId="1038D638">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参照《制药工业污染防治可行技术指南原料药（发酵类、化学合成类、提取类）和制剂类》（HJ1305-2023）布袋除尘器处理属于处理含尘废气的可行技术，该技术适用于制药粉碎、过筛、成品干燥、包装等工序的含尘废气处理。利用纤维织物的过滤作用对含尘气体进行净化，可去除粒径0.1µm以上的颗粒物，除尘效率可达99%。</w:t>
      </w:r>
    </w:p>
    <w:p w14:paraId="0201BB19">
      <w:pPr>
        <w:adjustRightInd w:val="0"/>
        <w:snapToGrid w:val="0"/>
        <w:spacing w:line="360" w:lineRule="auto"/>
        <w:ind w:firstLine="480" w:firstLineChars="200"/>
        <w:rPr>
          <w:rFonts w:hint="default" w:eastAsia="宋体"/>
          <w:color w:val="auto"/>
          <w:kern w:val="0"/>
          <w:sz w:val="24"/>
          <w:highlight w:val="none"/>
          <w:lang w:val="en-US" w:eastAsia="zh-CN" w:bidi="ar"/>
        </w:rPr>
      </w:pPr>
      <w:r>
        <w:rPr>
          <w:rFonts w:hint="eastAsia"/>
          <w:color w:val="auto"/>
          <w:kern w:val="0"/>
          <w:sz w:val="24"/>
          <w:highlight w:val="none"/>
          <w:lang w:val="en-US" w:eastAsia="zh-CN" w:bidi="ar"/>
        </w:rPr>
        <w:t>干燥废气水碱洗的作用是“消白”，减少水蒸气直排大气，在“消白”的同时对污染物也有进一步的去除效果</w:t>
      </w:r>
      <w:r>
        <w:rPr>
          <w:rFonts w:hint="eastAsia"/>
          <w:color w:val="auto"/>
          <w:kern w:val="0"/>
          <w:sz w:val="24"/>
          <w:highlight w:val="none"/>
          <w:lang w:bidi="ar"/>
        </w:rPr>
        <w:t>。</w:t>
      </w:r>
      <w:r>
        <w:rPr>
          <w:rFonts w:hint="eastAsia"/>
          <w:color w:val="auto"/>
          <w:kern w:val="0"/>
          <w:sz w:val="24"/>
          <w:highlight w:val="none"/>
          <w:lang w:val="en-US" w:eastAsia="zh-CN" w:bidi="ar"/>
        </w:rPr>
        <w:t>碱洗塔是使用醋酸作为精制溶剂时处理醋酸的，本次采用水为精制溶剂，实际运行时以水为吸收剂。</w:t>
      </w:r>
    </w:p>
    <w:p w14:paraId="6465037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7.2.1.4活性炭再生废气污染防治措施</w:t>
      </w:r>
    </w:p>
    <w:p w14:paraId="546F15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napToGrid w:val="0"/>
          <w:color w:val="auto"/>
          <w:kern w:val="0"/>
          <w:sz w:val="24"/>
          <w:highlight w:val="none"/>
          <w:lang w:bidi="ar"/>
        </w:rPr>
      </w:pPr>
      <w:r>
        <w:rPr>
          <w:rFonts w:hint="eastAsia" w:ascii="Times New Roman" w:hAnsi="Times New Roman"/>
          <w:snapToGrid w:val="0"/>
          <w:color w:val="auto"/>
          <w:kern w:val="0"/>
          <w:sz w:val="24"/>
          <w:highlight w:val="none"/>
          <w:lang w:val="en-US" w:eastAsia="zh-CN"/>
        </w:rPr>
        <w:t>类比技术公司活性炭再生废气，技术公司活性炭再生废气采用RTO焚烧+余热回收+</w:t>
      </w:r>
      <w:r>
        <w:rPr>
          <w:rFonts w:hint="eastAsia"/>
          <w:snapToGrid w:val="0"/>
          <w:color w:val="auto"/>
          <w:kern w:val="0"/>
          <w:sz w:val="24"/>
          <w:highlight w:val="none"/>
          <w:lang w:val="en-US" w:eastAsia="zh-CN"/>
        </w:rPr>
        <w:t>二</w:t>
      </w:r>
      <w:r>
        <w:rPr>
          <w:rFonts w:hint="eastAsia" w:ascii="Times New Roman" w:hAnsi="Times New Roman"/>
          <w:snapToGrid w:val="0"/>
          <w:color w:val="auto"/>
          <w:kern w:val="0"/>
          <w:sz w:val="24"/>
          <w:highlight w:val="none"/>
          <w:lang w:val="en-US" w:eastAsia="zh-CN"/>
        </w:rPr>
        <w:t>级水洗处理，</w:t>
      </w:r>
      <w:r>
        <w:rPr>
          <w:rFonts w:hint="eastAsia" w:ascii="Times New Roman" w:hAnsi="Times New Roman"/>
          <w:snapToGrid w:val="0"/>
          <w:color w:val="auto"/>
          <w:kern w:val="0"/>
          <w:sz w:val="24"/>
          <w:highlight w:val="none"/>
        </w:rPr>
        <w:t>根据</w:t>
      </w:r>
      <w:r>
        <w:rPr>
          <w:rFonts w:hint="eastAsia" w:ascii="Times New Roman" w:hAnsi="Times New Roman"/>
          <w:snapToGrid w:val="0"/>
          <w:color w:val="auto"/>
          <w:kern w:val="0"/>
          <w:sz w:val="24"/>
          <w:highlight w:val="none"/>
          <w:lang w:val="en-US" w:eastAsia="zh-CN"/>
        </w:rPr>
        <w:t>技术公司</w:t>
      </w:r>
      <w:r>
        <w:rPr>
          <w:rFonts w:hint="eastAsia" w:ascii="Times New Roman" w:hAnsi="Times New Roman"/>
          <w:snapToGrid w:val="0"/>
          <w:color w:val="auto"/>
          <w:kern w:val="0"/>
          <w:sz w:val="24"/>
          <w:highlight w:val="none"/>
        </w:rPr>
        <w:t>自行监测结果，</w:t>
      </w:r>
      <w:r>
        <w:rPr>
          <w:rFonts w:hint="eastAsia" w:ascii="Times New Roman" w:hAnsi="Times New Roman"/>
          <w:snapToGrid w:val="0"/>
          <w:color w:val="auto"/>
          <w:kern w:val="0"/>
          <w:sz w:val="24"/>
          <w:highlight w:val="none"/>
          <w:lang w:val="en-US" w:eastAsia="zh-CN"/>
        </w:rPr>
        <w:t>颗粒物和氮氧化物可达标排放</w:t>
      </w:r>
      <w:r>
        <w:rPr>
          <w:rFonts w:hint="eastAsia" w:ascii="Times New Roman" w:hAnsi="Times New Roman"/>
          <w:snapToGrid w:val="0"/>
          <w:color w:val="auto"/>
          <w:kern w:val="0"/>
          <w:sz w:val="24"/>
          <w:highlight w:val="none"/>
          <w:lang w:bidi="ar"/>
        </w:rPr>
        <w:t>，</w:t>
      </w:r>
      <w:r>
        <w:rPr>
          <w:rFonts w:hint="eastAsia" w:ascii="Times New Roman" w:hAnsi="Times New Roman"/>
          <w:snapToGrid w:val="0"/>
          <w:color w:val="auto"/>
          <w:kern w:val="0"/>
          <w:sz w:val="24"/>
          <w:highlight w:val="none"/>
          <w:lang w:val="en-US" w:eastAsia="zh-CN" w:bidi="ar"/>
        </w:rPr>
        <w:t>二氧化硫偶尔存在超标情况，本项目活性炭再生废气采用RTO焚烧+余热回收+</w:t>
      </w:r>
      <w:r>
        <w:rPr>
          <w:rFonts w:hint="eastAsia"/>
          <w:snapToGrid w:val="0"/>
          <w:color w:val="auto"/>
          <w:kern w:val="0"/>
          <w:sz w:val="24"/>
          <w:highlight w:val="none"/>
          <w:lang w:val="en-US" w:eastAsia="zh-CN"/>
        </w:rPr>
        <w:t>二</w:t>
      </w:r>
      <w:r>
        <w:rPr>
          <w:rFonts w:hint="eastAsia" w:ascii="Times New Roman" w:hAnsi="Times New Roman"/>
          <w:snapToGrid w:val="0"/>
          <w:color w:val="auto"/>
          <w:kern w:val="0"/>
          <w:sz w:val="24"/>
          <w:highlight w:val="none"/>
        </w:rPr>
        <w:t>级水洗</w:t>
      </w:r>
      <w:r>
        <w:rPr>
          <w:rFonts w:ascii="Times New Roman" w:hAnsi="Times New Roman"/>
          <w:snapToGrid w:val="0"/>
          <w:color w:val="auto"/>
          <w:kern w:val="0"/>
          <w:sz w:val="24"/>
          <w:highlight w:val="none"/>
        </w:rPr>
        <w:t>+</w:t>
      </w:r>
      <w:r>
        <w:rPr>
          <w:rFonts w:hint="eastAsia" w:ascii="Times New Roman" w:hAnsi="Times New Roman"/>
          <w:snapToGrid w:val="0"/>
          <w:color w:val="auto"/>
          <w:kern w:val="0"/>
          <w:sz w:val="24"/>
          <w:highlight w:val="none"/>
        </w:rPr>
        <w:t>一级碱洗处理，</w:t>
      </w:r>
      <w:r>
        <w:rPr>
          <w:rFonts w:hint="eastAsia" w:ascii="Times New Roman" w:hAnsi="Times New Roman"/>
          <w:snapToGrid w:val="0"/>
          <w:color w:val="auto"/>
          <w:kern w:val="0"/>
          <w:sz w:val="24"/>
          <w:highlight w:val="none"/>
          <w:lang w:val="en-US" w:eastAsia="zh-CN"/>
        </w:rPr>
        <w:t>一级碱洗可减少二氧化硫排放，确保活性炭再生废气中颗粒物满足《合成树脂工业污染物排放标准》（GB31572-2015</w:t>
      </w:r>
      <w:r>
        <w:rPr>
          <w:rFonts w:hint="eastAsia"/>
          <w:snapToGrid w:val="0"/>
          <w:color w:val="auto"/>
          <w:kern w:val="0"/>
          <w:sz w:val="24"/>
          <w:highlight w:val="none"/>
          <w:lang w:val="en-US" w:eastAsia="zh-CN"/>
        </w:rPr>
        <w:t>，</w:t>
      </w:r>
      <w:r>
        <w:rPr>
          <w:rFonts w:hint="eastAsia" w:ascii="Times New Roman" w:hAnsi="Times New Roman"/>
          <w:snapToGrid w:val="0"/>
          <w:color w:val="auto"/>
          <w:kern w:val="0"/>
          <w:sz w:val="24"/>
          <w:highlight w:val="none"/>
          <w:lang w:val="en-US" w:eastAsia="zh-CN"/>
        </w:rPr>
        <w:t>含2024年修改单）表5大气污染物特别排放限值</w:t>
      </w:r>
      <w:r>
        <w:rPr>
          <w:rFonts w:hint="eastAsia"/>
          <w:color w:val="auto"/>
          <w:kern w:val="0"/>
          <w:sz w:val="24"/>
          <w:highlight w:val="none"/>
          <w:lang w:val="en-US" w:eastAsia="zh-CN"/>
        </w:rPr>
        <w:t>2</w:t>
      </w:r>
      <w:r>
        <w:rPr>
          <w:rFonts w:hint="eastAsia"/>
          <w:color w:val="auto"/>
          <w:kern w:val="0"/>
          <w:sz w:val="24"/>
          <w:highlight w:val="none"/>
        </w:rPr>
        <w:t>0</w:t>
      </w:r>
      <w:r>
        <w:rPr>
          <w:color w:val="auto"/>
          <w:kern w:val="0"/>
          <w:sz w:val="24"/>
          <w:highlight w:val="none"/>
        </w:rPr>
        <w:t>mg/m</w:t>
      </w:r>
      <w:r>
        <w:rPr>
          <w:color w:val="auto"/>
          <w:kern w:val="0"/>
          <w:sz w:val="24"/>
          <w:highlight w:val="none"/>
          <w:vertAlign w:val="superscript"/>
        </w:rPr>
        <w:t>3</w:t>
      </w:r>
      <w:r>
        <w:rPr>
          <w:rFonts w:hint="eastAsia" w:ascii="Times New Roman" w:hAnsi="Times New Roman"/>
          <w:snapToGrid w:val="0"/>
          <w:color w:val="auto"/>
          <w:kern w:val="0"/>
          <w:sz w:val="24"/>
          <w:highlight w:val="none"/>
          <w:lang w:val="en-US" w:eastAsia="zh-CN"/>
        </w:rPr>
        <w:t>要求，二氧化硫、氮氧化物满足《合成树脂工业污染物排放标准》（GB31572-2015</w:t>
      </w:r>
      <w:r>
        <w:rPr>
          <w:rFonts w:hint="eastAsia"/>
          <w:snapToGrid w:val="0"/>
          <w:color w:val="auto"/>
          <w:kern w:val="0"/>
          <w:sz w:val="24"/>
          <w:highlight w:val="none"/>
          <w:lang w:val="en-US" w:eastAsia="zh-CN"/>
        </w:rPr>
        <w:t>，</w:t>
      </w:r>
      <w:r>
        <w:rPr>
          <w:rFonts w:hint="eastAsia" w:ascii="Times New Roman" w:hAnsi="Times New Roman"/>
          <w:snapToGrid w:val="0"/>
          <w:color w:val="auto"/>
          <w:kern w:val="0"/>
          <w:sz w:val="24"/>
          <w:highlight w:val="none"/>
          <w:lang w:val="en-US" w:eastAsia="zh-CN"/>
        </w:rPr>
        <w:t>含2024年修改单）表6焚烧设施SO</w:t>
      </w:r>
      <w:r>
        <w:rPr>
          <w:rFonts w:hint="eastAsia" w:ascii="Times New Roman" w:hAnsi="Times New Roman"/>
          <w:snapToGrid w:val="0"/>
          <w:color w:val="auto"/>
          <w:kern w:val="0"/>
          <w:sz w:val="24"/>
          <w:highlight w:val="none"/>
          <w:vertAlign w:val="subscript"/>
          <w:lang w:val="en-US" w:eastAsia="zh-CN"/>
        </w:rPr>
        <w:t>2</w:t>
      </w:r>
      <w:r>
        <w:rPr>
          <w:rFonts w:hint="eastAsia" w:ascii="Times New Roman" w:hAnsi="Times New Roman"/>
          <w:snapToGrid w:val="0"/>
          <w:color w:val="auto"/>
          <w:kern w:val="0"/>
          <w:sz w:val="24"/>
          <w:highlight w:val="none"/>
          <w:lang w:val="en-US" w:eastAsia="zh-CN"/>
        </w:rPr>
        <w:t>、NO</w:t>
      </w:r>
      <w:r>
        <w:rPr>
          <w:rFonts w:hint="eastAsia" w:ascii="Times New Roman" w:hAnsi="Times New Roman"/>
          <w:snapToGrid w:val="0"/>
          <w:color w:val="auto"/>
          <w:kern w:val="0"/>
          <w:sz w:val="24"/>
          <w:highlight w:val="none"/>
          <w:vertAlign w:val="subscript"/>
          <w:lang w:val="en-US" w:eastAsia="zh-CN"/>
        </w:rPr>
        <w:t>X</w:t>
      </w:r>
      <w:r>
        <w:rPr>
          <w:rFonts w:hint="eastAsia" w:ascii="Times New Roman" w:hAnsi="Times New Roman"/>
          <w:snapToGrid w:val="0"/>
          <w:color w:val="auto"/>
          <w:kern w:val="0"/>
          <w:sz w:val="24"/>
          <w:highlight w:val="none"/>
          <w:lang w:val="en-US" w:eastAsia="zh-CN"/>
        </w:rPr>
        <w:t>排放限值</w:t>
      </w:r>
      <w:r>
        <w:rPr>
          <w:rFonts w:hint="eastAsia"/>
          <w:color w:val="auto"/>
          <w:kern w:val="0"/>
          <w:sz w:val="24"/>
          <w:highlight w:val="none"/>
          <w:lang w:val="en-US" w:eastAsia="zh-CN"/>
        </w:rPr>
        <w:t>50</w:t>
      </w:r>
      <w:r>
        <w:rPr>
          <w:color w:val="auto"/>
          <w:kern w:val="0"/>
          <w:sz w:val="24"/>
          <w:highlight w:val="none"/>
        </w:rPr>
        <w:t>mg/m</w:t>
      </w:r>
      <w:r>
        <w:rPr>
          <w:color w:val="auto"/>
          <w:kern w:val="0"/>
          <w:sz w:val="24"/>
          <w:highlight w:val="none"/>
          <w:vertAlign w:val="superscript"/>
        </w:rPr>
        <w:t>3</w:t>
      </w:r>
      <w:r>
        <w:rPr>
          <w:rFonts w:hint="eastAsia"/>
          <w:color w:val="auto"/>
          <w:kern w:val="0"/>
          <w:sz w:val="24"/>
          <w:highlight w:val="none"/>
          <w:vertAlign w:val="baseline"/>
          <w:lang w:eastAsia="zh-CN"/>
        </w:rPr>
        <w:t>、</w:t>
      </w:r>
      <w:r>
        <w:rPr>
          <w:rFonts w:hint="eastAsia"/>
          <w:color w:val="auto"/>
          <w:kern w:val="0"/>
          <w:sz w:val="24"/>
          <w:highlight w:val="none"/>
          <w:lang w:val="en-US" w:eastAsia="zh-CN"/>
        </w:rPr>
        <w:t>10</w:t>
      </w:r>
      <w:r>
        <w:rPr>
          <w:rFonts w:hint="eastAsia"/>
          <w:color w:val="auto"/>
          <w:kern w:val="0"/>
          <w:sz w:val="24"/>
          <w:highlight w:val="none"/>
        </w:rPr>
        <w:t>0</w:t>
      </w:r>
      <w:r>
        <w:rPr>
          <w:color w:val="auto"/>
          <w:kern w:val="0"/>
          <w:sz w:val="24"/>
          <w:highlight w:val="none"/>
        </w:rPr>
        <w:t>mg/m</w:t>
      </w:r>
      <w:r>
        <w:rPr>
          <w:color w:val="auto"/>
          <w:kern w:val="0"/>
          <w:sz w:val="24"/>
          <w:highlight w:val="none"/>
          <w:vertAlign w:val="superscript"/>
        </w:rPr>
        <w:t>3</w:t>
      </w:r>
      <w:r>
        <w:rPr>
          <w:rFonts w:hint="eastAsia" w:ascii="Times New Roman" w:hAnsi="Times New Roman"/>
          <w:snapToGrid w:val="0"/>
          <w:color w:val="auto"/>
          <w:kern w:val="0"/>
          <w:sz w:val="24"/>
          <w:highlight w:val="none"/>
          <w:lang w:val="en-US" w:eastAsia="zh-CN"/>
        </w:rPr>
        <w:t>要求</w:t>
      </w:r>
      <w:r>
        <w:rPr>
          <w:rFonts w:hint="eastAsia" w:ascii="Times New Roman" w:hAnsi="Times New Roman"/>
          <w:snapToGrid w:val="0"/>
          <w:color w:val="auto"/>
          <w:kern w:val="0"/>
          <w:sz w:val="24"/>
          <w:highlight w:val="none"/>
          <w:lang w:bidi="ar"/>
        </w:rPr>
        <w:t>。</w:t>
      </w:r>
    </w:p>
    <w:p w14:paraId="68EDBC36">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7.2.1.5罐区废气污染防治措施</w:t>
      </w:r>
    </w:p>
    <w:p w14:paraId="49C70DA3">
      <w:pPr>
        <w:adjustRightInd w:val="0"/>
        <w:snapToGrid w:val="0"/>
        <w:spacing w:line="360" w:lineRule="auto"/>
        <w:ind w:firstLine="480" w:firstLineChars="200"/>
        <w:rPr>
          <w:rFonts w:hint="default" w:eastAsia="宋体"/>
          <w:color w:val="auto"/>
          <w:kern w:val="0"/>
          <w:sz w:val="24"/>
          <w:highlight w:val="none"/>
          <w:lang w:val="en-US" w:eastAsia="zh-CN"/>
        </w:rPr>
      </w:pPr>
      <w:r>
        <w:rPr>
          <w:rFonts w:hint="eastAsia"/>
          <w:color w:val="auto"/>
          <w:kern w:val="0"/>
          <w:sz w:val="24"/>
          <w:highlight w:val="none"/>
          <w:lang w:bidi="ar"/>
        </w:rPr>
        <w:t>VOCs处理装置采用冷凝回收+活性炭吸附工艺：储罐呼吸阀排气经密闭管道收集后先经冷凝器冷凝初步回收有机物，再进入活性炭吸附器进行吸附处理</w:t>
      </w:r>
      <w:r>
        <w:rPr>
          <w:rFonts w:hint="eastAsia"/>
          <w:color w:val="auto"/>
          <w:kern w:val="0"/>
          <w:sz w:val="24"/>
          <w:highlight w:val="none"/>
          <w:lang w:val="en-US" w:eastAsia="zh-CN" w:bidi="ar"/>
        </w:rPr>
        <w:t>在活性炭吸附器口直排</w:t>
      </w:r>
      <w:r>
        <w:rPr>
          <w:rFonts w:hint="eastAsia"/>
          <w:color w:val="auto"/>
          <w:kern w:val="0"/>
          <w:sz w:val="24"/>
          <w:highlight w:val="none"/>
          <w:lang w:bidi="ar"/>
        </w:rPr>
        <w:t>，</w:t>
      </w:r>
      <w:r>
        <w:rPr>
          <w:rFonts w:hint="eastAsia"/>
          <w:color w:val="auto"/>
          <w:kern w:val="0"/>
          <w:sz w:val="24"/>
          <w:highlight w:val="none"/>
          <w:lang w:val="en-US" w:eastAsia="zh-CN" w:bidi="ar"/>
        </w:rPr>
        <w:t>不设架高排气筒，防止自然拔风造成废气量增大，污染加重</w:t>
      </w:r>
      <w:r>
        <w:rPr>
          <w:rFonts w:hint="eastAsia"/>
          <w:color w:val="auto"/>
          <w:kern w:val="0"/>
          <w:sz w:val="24"/>
          <w:highlight w:val="none"/>
          <w:lang w:bidi="ar"/>
        </w:rPr>
        <w:t>。</w:t>
      </w:r>
      <w:r>
        <w:rPr>
          <w:rFonts w:hint="eastAsia"/>
          <w:color w:val="auto"/>
          <w:kern w:val="0"/>
          <w:sz w:val="24"/>
          <w:highlight w:val="none"/>
          <w:lang w:val="en-US" w:eastAsia="zh-CN" w:bidi="ar"/>
        </w:rPr>
        <w:t>活性炭吸附器为两个串联的直径2m，高2m的活性炭罐，使用的活性炭碘量值＞1000，最大排气量50m</w:t>
      </w:r>
      <w:r>
        <w:rPr>
          <w:rFonts w:hint="eastAsia"/>
          <w:color w:val="auto"/>
          <w:kern w:val="0"/>
          <w:sz w:val="24"/>
          <w:highlight w:val="none"/>
          <w:vertAlign w:val="superscript"/>
          <w:lang w:val="en-US" w:eastAsia="zh-CN" w:bidi="ar"/>
        </w:rPr>
        <w:t>3</w:t>
      </w:r>
      <w:r>
        <w:rPr>
          <w:rFonts w:hint="eastAsia"/>
          <w:color w:val="auto"/>
          <w:kern w:val="0"/>
          <w:sz w:val="24"/>
          <w:highlight w:val="none"/>
          <w:lang w:val="en-US" w:eastAsia="zh-CN" w:bidi="ar"/>
        </w:rPr>
        <w:t>/h，吸附空速0.004m/s，停留时间达1000s，指标全面优于《吸附法工业有机废气治理工程技术规范》（HJ2026—2013），可以确保极佳的处理效果，计划每年大修时更换一次，年活性炭使用量约20t，仅需吸附烷烃约0.6t，更换后的废活性炭（去再生炉）含烷烃2.9%，远低于10%。</w:t>
      </w:r>
    </w:p>
    <w:p w14:paraId="6279AA3C">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装置区无组织排放与工厂的管理水平以及设备、管道管件的材质、耐压等级和设备的运行状况有关，在正常情况下，明显的跑、冒、滴、漏现象不会发生，但随着运行时间的增加，设备零部件的腐蚀，损耗增加，要完全消除物料的泄漏是不可能的。因此，发生泄漏的随机性较大。泄漏的发生又取决于生产流程中设备和管件的密封程度，以及操作介质和操作工艺条件，如操作的温度、压力等。</w:t>
      </w:r>
    </w:p>
    <w:p w14:paraId="34DFE47E">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针对装置区物料的无组织排放，本项目采取的控制措施如下：</w:t>
      </w:r>
    </w:p>
    <w:p w14:paraId="1956C5DA">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①生产设备涉及有机溶剂部分均采用密闭设备，提高装置自控水平，通过密闭设备或密闭空间收集废气，减少无组织逸散排放。</w:t>
      </w:r>
    </w:p>
    <w:p w14:paraId="3AC4C5E9">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②装置使用及产生的有机溶剂等均采用密闭管道输送方式，定期检修管泵连接件，防止物料泄漏。</w:t>
      </w:r>
    </w:p>
    <w:p w14:paraId="6847B4DE">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③投、出料均应设密封装置或设置密闭区域，不能实现密闭的应采用负压排气并收集至废气处理系统处理。</w:t>
      </w:r>
    </w:p>
    <w:p w14:paraId="4265A27B">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④采用先进输送设备，优先采用设有冷却装置的液环泵、无油立式机械真空泵等密闭性较好的真空设备。</w:t>
      </w:r>
    </w:p>
    <w:p w14:paraId="4466A6FC">
      <w:pPr>
        <w:adjustRightInd w:val="0"/>
        <w:snapToGrid w:val="0"/>
        <w:spacing w:line="360" w:lineRule="auto"/>
        <w:ind w:firstLine="480" w:firstLineChars="200"/>
        <w:rPr>
          <w:color w:val="auto"/>
          <w:kern w:val="0"/>
          <w:sz w:val="24"/>
          <w:highlight w:val="none"/>
          <w:lang w:bidi="ar"/>
        </w:rPr>
      </w:pPr>
      <w:r>
        <w:rPr>
          <w:rFonts w:hint="eastAsia"/>
          <w:color w:val="auto"/>
          <w:kern w:val="0"/>
          <w:sz w:val="24"/>
          <w:highlight w:val="none"/>
          <w:lang w:bidi="ar"/>
        </w:rPr>
        <w:t>企业边界VOCs（以非甲烷总烃</w:t>
      </w:r>
      <w:r>
        <w:rPr>
          <w:rFonts w:hint="eastAsia"/>
          <w:color w:val="auto"/>
          <w:kern w:val="0"/>
          <w:sz w:val="24"/>
          <w:highlight w:val="none"/>
          <w:lang w:val="en-US" w:eastAsia="zh-CN" w:bidi="ar"/>
        </w:rPr>
        <w:t>计</w:t>
      </w:r>
      <w:r>
        <w:rPr>
          <w:rFonts w:hint="eastAsia"/>
          <w:color w:val="auto"/>
          <w:kern w:val="0"/>
          <w:sz w:val="24"/>
          <w:highlight w:val="none"/>
          <w:lang w:bidi="ar"/>
        </w:rPr>
        <w:t>）无组织监测已纳入凯赛（乌苏）生物材料有限公司自行监测计划中，满足《合成树脂工业污染物排放标准》（GB31572-2015</w:t>
      </w:r>
      <w:r>
        <w:rPr>
          <w:rFonts w:hint="eastAsia"/>
          <w:color w:val="auto"/>
          <w:kern w:val="0"/>
          <w:sz w:val="24"/>
          <w:highlight w:val="none"/>
          <w:lang w:eastAsia="zh-CN" w:bidi="ar"/>
        </w:rPr>
        <w:t>，</w:t>
      </w:r>
      <w:r>
        <w:rPr>
          <w:rFonts w:hint="eastAsia"/>
          <w:color w:val="auto"/>
          <w:kern w:val="0"/>
          <w:sz w:val="24"/>
          <w:highlight w:val="none"/>
          <w:lang w:bidi="ar"/>
        </w:rPr>
        <w:t>含2024年修改单）监控要求。</w:t>
      </w:r>
    </w:p>
    <w:p w14:paraId="5A6A209A">
      <w:pPr>
        <w:adjustRightInd w:val="0"/>
        <w:snapToGrid w:val="0"/>
        <w:spacing w:line="360" w:lineRule="auto"/>
        <w:ind w:firstLine="480" w:firstLineChars="200"/>
        <w:rPr>
          <w:color w:val="auto"/>
          <w:highlight w:val="none"/>
        </w:rPr>
      </w:pPr>
      <w:r>
        <w:rPr>
          <w:rFonts w:hint="eastAsia"/>
          <w:color w:val="auto"/>
          <w:kern w:val="0"/>
          <w:sz w:val="24"/>
          <w:highlight w:val="none"/>
          <w:lang w:bidi="ar"/>
        </w:rPr>
        <w:t>本项目具体执行方案符合性见表7.2-</w:t>
      </w:r>
      <w:r>
        <w:rPr>
          <w:rFonts w:hint="eastAsia"/>
          <w:color w:val="auto"/>
          <w:kern w:val="0"/>
          <w:sz w:val="24"/>
          <w:highlight w:val="none"/>
          <w:lang w:val="en-US" w:eastAsia="zh-CN" w:bidi="ar"/>
        </w:rPr>
        <w:t>1</w:t>
      </w:r>
      <w:r>
        <w:rPr>
          <w:rFonts w:hint="eastAsia"/>
          <w:color w:val="auto"/>
          <w:kern w:val="0"/>
          <w:sz w:val="24"/>
          <w:highlight w:val="none"/>
          <w:lang w:bidi="ar"/>
        </w:rPr>
        <w:t>。</w:t>
      </w:r>
    </w:p>
    <w:p w14:paraId="29B7CF6D">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422" w:firstLineChars="200"/>
        <w:textAlignment w:val="center"/>
        <w:rPr>
          <w:rFonts w:ascii="Times New Roman" w:hAnsi="Times New Roman" w:cs="Times New Roman"/>
          <w:b/>
          <w:bCs/>
          <w:snapToGrid w:val="0"/>
          <w:color w:val="auto"/>
          <w:kern w:val="0"/>
          <w:sz w:val="21"/>
          <w:szCs w:val="21"/>
          <w:highlight w:val="none"/>
        </w:rPr>
      </w:pPr>
      <w:bookmarkStart w:id="187" w:name="_Hlk97110372"/>
      <w:r>
        <w:rPr>
          <w:rFonts w:ascii="Times New Roman" w:hAnsi="Times New Roman" w:cs="Times New Roman"/>
          <w:b/>
          <w:bCs/>
          <w:snapToGrid w:val="0"/>
          <w:color w:val="auto"/>
          <w:kern w:val="0"/>
          <w:sz w:val="21"/>
          <w:szCs w:val="21"/>
          <w:highlight w:val="none"/>
        </w:rPr>
        <w:t>表</w:t>
      </w:r>
      <w:r>
        <w:rPr>
          <w:rFonts w:hint="eastAsia" w:ascii="Times New Roman" w:hAnsi="Times New Roman" w:cs="Times New Roman"/>
          <w:b/>
          <w:bCs/>
          <w:snapToGrid w:val="0"/>
          <w:color w:val="auto"/>
          <w:kern w:val="0"/>
          <w:sz w:val="21"/>
          <w:szCs w:val="21"/>
          <w:highlight w:val="none"/>
        </w:rPr>
        <w:t>7</w:t>
      </w:r>
      <w:r>
        <w:rPr>
          <w:rFonts w:ascii="Times New Roman" w:hAnsi="Times New Roman" w:cs="Times New Roman"/>
          <w:b/>
          <w:bCs/>
          <w:snapToGrid w:val="0"/>
          <w:color w:val="auto"/>
          <w:kern w:val="0"/>
          <w:sz w:val="21"/>
          <w:szCs w:val="21"/>
          <w:highlight w:val="none"/>
        </w:rPr>
        <w:t>.2-</w:t>
      </w:r>
      <w:r>
        <w:rPr>
          <w:rFonts w:hint="eastAsia" w:ascii="Times New Roman" w:hAnsi="Times New Roman" w:cs="Times New Roman"/>
          <w:b/>
          <w:bCs/>
          <w:snapToGrid w:val="0"/>
          <w:color w:val="auto"/>
          <w:kern w:val="0"/>
          <w:sz w:val="21"/>
          <w:szCs w:val="21"/>
          <w:highlight w:val="none"/>
          <w:lang w:val="en-US" w:eastAsia="zh-CN"/>
        </w:rPr>
        <w:t>1</w:t>
      </w:r>
      <w:r>
        <w:rPr>
          <w:rFonts w:ascii="Times New Roman" w:hAnsi="Times New Roman" w:cs="Times New Roman"/>
          <w:b/>
          <w:bCs/>
          <w:snapToGrid w:val="0"/>
          <w:color w:val="auto"/>
          <w:kern w:val="0"/>
          <w:sz w:val="21"/>
          <w:szCs w:val="21"/>
          <w:highlight w:val="none"/>
        </w:rPr>
        <w:t xml:space="preserve"> 无组织挥发性有机废气治理执行方案汇总表</w:t>
      </w:r>
    </w:p>
    <w:bookmarkEnd w:id="187"/>
    <w:tbl>
      <w:tblPr>
        <w:tblStyle w:val="57"/>
        <w:tblW w:w="501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0" w:type="dxa"/>
          <w:bottom w:w="0" w:type="dxa"/>
          <w:right w:w="0" w:type="dxa"/>
        </w:tblCellMar>
      </w:tblPr>
      <w:tblGrid>
        <w:gridCol w:w="549"/>
        <w:gridCol w:w="1129"/>
        <w:gridCol w:w="4946"/>
        <w:gridCol w:w="1622"/>
      </w:tblGrid>
      <w:tr w14:paraId="2A5CE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1BFBAB94">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序号</w:t>
            </w:r>
          </w:p>
        </w:tc>
        <w:tc>
          <w:tcPr>
            <w:tcW w:w="684" w:type="pct"/>
            <w:tcBorders>
              <w:top w:val="single" w:color="auto" w:sz="4" w:space="0"/>
              <w:left w:val="single" w:color="auto" w:sz="4" w:space="0"/>
              <w:bottom w:val="single" w:color="auto" w:sz="4" w:space="0"/>
              <w:right w:val="single" w:color="auto" w:sz="4" w:space="0"/>
            </w:tcBorders>
            <w:vAlign w:val="center"/>
          </w:tcPr>
          <w:p w14:paraId="53C2A316">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分类</w:t>
            </w:r>
          </w:p>
        </w:tc>
        <w:tc>
          <w:tcPr>
            <w:tcW w:w="2997" w:type="pct"/>
            <w:tcBorders>
              <w:top w:val="single" w:color="auto" w:sz="4" w:space="0"/>
              <w:left w:val="single" w:color="auto" w:sz="4" w:space="0"/>
              <w:bottom w:val="single" w:color="auto" w:sz="4" w:space="0"/>
              <w:right w:val="single" w:color="auto" w:sz="4" w:space="0"/>
            </w:tcBorders>
            <w:vAlign w:val="center"/>
          </w:tcPr>
          <w:p w14:paraId="5B71EF0B">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控制治理要求</w:t>
            </w:r>
          </w:p>
        </w:tc>
        <w:tc>
          <w:tcPr>
            <w:tcW w:w="983" w:type="pct"/>
            <w:tcBorders>
              <w:top w:val="single" w:color="auto" w:sz="4" w:space="0"/>
              <w:left w:val="single" w:color="auto" w:sz="4" w:space="0"/>
              <w:bottom w:val="single" w:color="auto" w:sz="4" w:space="0"/>
              <w:right w:val="single" w:color="auto" w:sz="4" w:space="0"/>
            </w:tcBorders>
            <w:vAlign w:val="center"/>
          </w:tcPr>
          <w:p w14:paraId="5BC436AD">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本项目对应措施</w:t>
            </w:r>
          </w:p>
        </w:tc>
      </w:tr>
      <w:tr w14:paraId="02BC77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1ED65011">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1</w:t>
            </w:r>
          </w:p>
        </w:tc>
        <w:tc>
          <w:tcPr>
            <w:tcW w:w="684" w:type="pct"/>
            <w:vMerge w:val="restart"/>
            <w:tcBorders>
              <w:top w:val="single" w:color="auto" w:sz="4" w:space="0"/>
              <w:left w:val="single" w:color="auto" w:sz="4" w:space="0"/>
              <w:bottom w:val="single" w:color="auto" w:sz="4" w:space="0"/>
              <w:right w:val="single" w:color="auto" w:sz="4" w:space="0"/>
            </w:tcBorders>
            <w:vAlign w:val="center"/>
          </w:tcPr>
          <w:p w14:paraId="5C3A3BBE">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bookmarkStart w:id="188" w:name="_Hlk91585300"/>
            <w:r>
              <w:rPr>
                <w:rFonts w:ascii="Times New Roman" w:hAnsi="Times New Roman" w:eastAsia="Times New Roman" w:cs="Times New Roman"/>
                <w:snapToGrid w:val="0"/>
                <w:color w:val="auto"/>
                <w:kern w:val="0"/>
                <w:highlight w:val="none"/>
              </w:rPr>
              <w:t>挥发性有机液体储存管理</w:t>
            </w:r>
            <w:bookmarkEnd w:id="188"/>
          </w:p>
        </w:tc>
        <w:tc>
          <w:tcPr>
            <w:tcW w:w="2997" w:type="pct"/>
            <w:tcBorders>
              <w:top w:val="single" w:color="auto" w:sz="4" w:space="0"/>
              <w:left w:val="single" w:color="auto" w:sz="4" w:space="0"/>
              <w:bottom w:val="single" w:color="auto" w:sz="4" w:space="0"/>
              <w:right w:val="single" w:color="auto" w:sz="4" w:space="0"/>
            </w:tcBorders>
            <w:vAlign w:val="center"/>
          </w:tcPr>
          <w:p w14:paraId="491F83FC">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储存真实蒸气压≥76.6kPa的挥发性有机液体应采用压力储罐。</w:t>
            </w:r>
          </w:p>
        </w:tc>
        <w:tc>
          <w:tcPr>
            <w:tcW w:w="983" w:type="pct"/>
            <w:tcBorders>
              <w:top w:val="single" w:color="auto" w:sz="4" w:space="0"/>
              <w:left w:val="single" w:color="auto" w:sz="4" w:space="0"/>
              <w:bottom w:val="single" w:color="auto" w:sz="4" w:space="0"/>
              <w:right w:val="single" w:color="auto" w:sz="4" w:space="0"/>
            </w:tcBorders>
            <w:vAlign w:val="center"/>
          </w:tcPr>
          <w:p w14:paraId="7AA83BCB">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本项目无此类有机液体</w:t>
            </w:r>
          </w:p>
        </w:tc>
      </w:tr>
      <w:tr w14:paraId="1D6701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6BCB674C">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2</w:t>
            </w: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045EA30A">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c>
          <w:tcPr>
            <w:tcW w:w="2997" w:type="pct"/>
            <w:tcBorders>
              <w:top w:val="single" w:color="auto" w:sz="4" w:space="0"/>
              <w:left w:val="single" w:color="auto" w:sz="4" w:space="0"/>
              <w:bottom w:val="single" w:color="auto" w:sz="4" w:space="0"/>
              <w:right w:val="single" w:color="auto" w:sz="4" w:space="0"/>
            </w:tcBorders>
            <w:vAlign w:val="center"/>
          </w:tcPr>
          <w:p w14:paraId="6FFCB4BB">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储存真实蒸气压≥5.2kPa但＜27.6kPa的设计容积≥150m</w:t>
            </w:r>
            <w:r>
              <w:rPr>
                <w:rFonts w:ascii="Times New Roman" w:hAnsi="Times New Roman" w:eastAsia="Times New Roman" w:cs="Times New Roman"/>
                <w:snapToGrid w:val="0"/>
                <w:color w:val="auto"/>
                <w:kern w:val="0"/>
                <w:highlight w:val="none"/>
                <w:vertAlign w:val="superscript"/>
              </w:rPr>
              <w:t>3</w:t>
            </w:r>
            <w:r>
              <w:rPr>
                <w:rFonts w:ascii="Times New Roman" w:hAnsi="Times New Roman" w:eastAsia="Times New Roman" w:cs="Times New Roman"/>
                <w:snapToGrid w:val="0"/>
                <w:color w:val="auto"/>
                <w:kern w:val="0"/>
                <w:highlight w:val="none"/>
              </w:rPr>
              <w:t>的挥发性有机液体储罐，以及储存真实蒸气压≥27.6kPa但＜76.6kPa的设计容积≥75m</w:t>
            </w:r>
            <w:r>
              <w:rPr>
                <w:rFonts w:ascii="Times New Roman" w:hAnsi="Times New Roman" w:eastAsia="Times New Roman" w:cs="Times New Roman"/>
                <w:snapToGrid w:val="0"/>
                <w:color w:val="auto"/>
                <w:kern w:val="0"/>
                <w:highlight w:val="none"/>
                <w:vertAlign w:val="superscript"/>
              </w:rPr>
              <w:t>3</w:t>
            </w:r>
            <w:r>
              <w:rPr>
                <w:rFonts w:ascii="Times New Roman" w:hAnsi="Times New Roman" w:eastAsia="Times New Roman" w:cs="Times New Roman"/>
                <w:snapToGrid w:val="0"/>
                <w:color w:val="auto"/>
                <w:kern w:val="0"/>
                <w:highlight w:val="none"/>
              </w:rPr>
              <w:t>的挥发性有机液体储罐应符合下列规定之一：</w:t>
            </w:r>
          </w:p>
          <w:p w14:paraId="50E960C6">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a）采用内浮顶罐；内浮顶罐的浮盘与罐壁之间应采用液体镶嵌式、机械式鞋形、双封式等高效密封方式。</w:t>
            </w:r>
          </w:p>
          <w:p w14:paraId="20CB78BA">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b）采用外浮顶罐；外浮顶罐的浮盘与罐壁之间应采用双封式密封，且初级密封采用液体镶嵌式、机械式鞋形等高效密封方式。</w:t>
            </w:r>
          </w:p>
          <w:p w14:paraId="5915138C">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c）采用固定顶罐，应安装密闭排气系统至有机废气回收或处理装置，其大气污染物排放应符合表4、表5的规定。</w:t>
            </w:r>
          </w:p>
        </w:tc>
        <w:tc>
          <w:tcPr>
            <w:tcW w:w="983" w:type="pct"/>
            <w:tcBorders>
              <w:top w:val="single" w:color="auto" w:sz="4" w:space="0"/>
              <w:left w:val="single" w:color="auto" w:sz="4" w:space="0"/>
              <w:bottom w:val="single" w:color="auto" w:sz="4" w:space="0"/>
              <w:right w:val="single" w:color="auto" w:sz="4" w:space="0"/>
            </w:tcBorders>
            <w:vAlign w:val="center"/>
          </w:tcPr>
          <w:p w14:paraId="0CBC9919">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本项目</w:t>
            </w:r>
            <w:r>
              <w:rPr>
                <w:rFonts w:hint="eastAsia" w:ascii="Times New Roman" w:hAnsi="Times New Roman" w:eastAsia="Times New Roman" w:cs="Times New Roman"/>
                <w:snapToGrid w:val="0"/>
                <w:color w:val="auto"/>
                <w:kern w:val="0"/>
                <w:highlight w:val="none"/>
              </w:rPr>
              <w:t>烷烃</w:t>
            </w:r>
            <w:r>
              <w:rPr>
                <w:rFonts w:ascii="Times New Roman" w:hAnsi="Times New Roman" w:eastAsia="Times New Roman" w:cs="Times New Roman"/>
                <w:snapToGrid w:val="0"/>
                <w:color w:val="auto"/>
                <w:kern w:val="0"/>
                <w:highlight w:val="none"/>
              </w:rPr>
              <w:t>储罐</w:t>
            </w:r>
            <w:r>
              <w:rPr>
                <w:rFonts w:hint="eastAsia" w:ascii="Times New Roman" w:hAnsi="Times New Roman" w:eastAsia="Times New Roman" w:cs="Times New Roman"/>
                <w:snapToGrid w:val="0"/>
                <w:color w:val="auto"/>
                <w:kern w:val="0"/>
                <w:highlight w:val="none"/>
              </w:rPr>
              <w:t>属于内浮顶罐，硫酸和液碱罐为固定顶</w:t>
            </w:r>
            <w:r>
              <w:rPr>
                <w:rFonts w:ascii="Times New Roman" w:hAnsi="Times New Roman" w:eastAsia="Times New Roman" w:cs="Times New Roman"/>
                <w:snapToGrid w:val="0"/>
                <w:color w:val="auto"/>
                <w:kern w:val="0"/>
                <w:highlight w:val="none"/>
              </w:rPr>
              <w:t>罐，</w:t>
            </w:r>
            <w:r>
              <w:rPr>
                <w:rFonts w:hint="eastAsia" w:ascii="Times New Roman" w:hAnsi="Times New Roman" w:eastAsia="Times New Roman" w:cs="Times New Roman"/>
                <w:snapToGrid w:val="0"/>
                <w:color w:val="auto"/>
                <w:kern w:val="0"/>
                <w:highlight w:val="none"/>
              </w:rPr>
              <w:t>已</w:t>
            </w:r>
            <w:r>
              <w:rPr>
                <w:rFonts w:ascii="Times New Roman" w:hAnsi="Times New Roman" w:eastAsia="Times New Roman" w:cs="Times New Roman"/>
                <w:snapToGrid w:val="0"/>
                <w:color w:val="auto"/>
                <w:kern w:val="0"/>
                <w:highlight w:val="none"/>
              </w:rPr>
              <w:t>安装密闭排气系统至有机废气处理装置</w:t>
            </w:r>
          </w:p>
        </w:tc>
      </w:tr>
      <w:tr w14:paraId="4B143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7538E334">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3</w:t>
            </w:r>
          </w:p>
        </w:tc>
        <w:tc>
          <w:tcPr>
            <w:tcW w:w="684" w:type="pct"/>
            <w:vMerge w:val="restart"/>
            <w:tcBorders>
              <w:top w:val="single" w:color="auto" w:sz="4" w:space="0"/>
              <w:left w:val="single" w:color="auto" w:sz="4" w:space="0"/>
              <w:bottom w:val="single" w:color="auto" w:sz="4" w:space="0"/>
              <w:right w:val="single" w:color="auto" w:sz="4" w:space="0"/>
            </w:tcBorders>
            <w:vAlign w:val="center"/>
          </w:tcPr>
          <w:p w14:paraId="1795C492">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设备与管线组件泄漏污染控制要求</w:t>
            </w:r>
          </w:p>
        </w:tc>
        <w:tc>
          <w:tcPr>
            <w:tcW w:w="2997" w:type="pct"/>
            <w:tcBorders>
              <w:top w:val="single" w:color="auto" w:sz="4" w:space="0"/>
              <w:left w:val="single" w:color="auto" w:sz="4" w:space="0"/>
              <w:bottom w:val="single" w:color="auto" w:sz="4" w:space="0"/>
              <w:right w:val="single" w:color="auto" w:sz="4" w:space="0"/>
            </w:tcBorders>
            <w:vAlign w:val="center"/>
          </w:tcPr>
          <w:p w14:paraId="12CE9424">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需开展设备与管线组件漏污染控制要求</w:t>
            </w:r>
          </w:p>
        </w:tc>
        <w:tc>
          <w:tcPr>
            <w:tcW w:w="983" w:type="pct"/>
            <w:vMerge w:val="restart"/>
            <w:tcBorders>
              <w:top w:val="single" w:color="auto" w:sz="4" w:space="0"/>
              <w:left w:val="single" w:color="auto" w:sz="4" w:space="0"/>
              <w:bottom w:val="single" w:color="auto" w:sz="4" w:space="0"/>
              <w:right w:val="single" w:color="auto" w:sz="4" w:space="0"/>
            </w:tcBorders>
            <w:vAlign w:val="center"/>
          </w:tcPr>
          <w:p w14:paraId="7664A267">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hint="eastAsia" w:ascii="Times New Roman" w:hAnsi="Times New Roman" w:eastAsia="Times New Roman" w:cs="Times New Roman"/>
                <w:snapToGrid w:val="0"/>
                <w:color w:val="auto"/>
                <w:kern w:val="0"/>
                <w:highlight w:val="none"/>
              </w:rPr>
              <w:t>本次环评要求项目</w:t>
            </w:r>
            <w:r>
              <w:rPr>
                <w:rFonts w:ascii="Times New Roman" w:hAnsi="Times New Roman" w:eastAsia="Times New Roman" w:cs="Times New Roman"/>
                <w:snapToGrid w:val="0"/>
                <w:color w:val="auto"/>
                <w:kern w:val="0"/>
                <w:highlight w:val="none"/>
              </w:rPr>
              <w:t>运行后执行，对泵、压缩机、阀门、法兰等易发生泄漏的设备与管线组件，制定泄漏检测与修复（LDAR）计划，定期检测、及时修复，防止或减少跑、冒、滴、漏现象。</w:t>
            </w:r>
          </w:p>
        </w:tc>
      </w:tr>
      <w:tr w14:paraId="5B4C9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68866439">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4</w:t>
            </w: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53F58C95">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c>
          <w:tcPr>
            <w:tcW w:w="2997" w:type="pct"/>
            <w:tcBorders>
              <w:top w:val="single" w:color="auto" w:sz="4" w:space="0"/>
              <w:left w:val="single" w:color="auto" w:sz="4" w:space="0"/>
              <w:bottom w:val="single" w:color="auto" w:sz="4" w:space="0"/>
              <w:right w:val="single" w:color="auto" w:sz="4" w:space="0"/>
            </w:tcBorders>
            <w:vAlign w:val="center"/>
          </w:tcPr>
          <w:p w14:paraId="184F087C">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以下设备与管线组件需开展</w:t>
            </w:r>
            <w:r>
              <w:rPr>
                <w:rFonts w:hint="eastAsia" w:ascii="Times New Roman" w:hAnsi="Times New Roman" w:eastAsia="宋体" w:cs="Times New Roman"/>
                <w:snapToGrid w:val="0"/>
                <w:color w:val="auto"/>
                <w:kern w:val="0"/>
                <w:highlight w:val="none"/>
                <w:lang w:eastAsia="zh-CN"/>
              </w:rPr>
              <w:t>泄漏检测</w:t>
            </w:r>
            <w:r>
              <w:rPr>
                <w:rFonts w:ascii="Times New Roman" w:hAnsi="Times New Roman" w:eastAsia="Times New Roman" w:cs="Times New Roman"/>
                <w:snapToGrid w:val="0"/>
                <w:color w:val="auto"/>
                <w:kern w:val="0"/>
                <w:highlight w:val="none"/>
              </w:rPr>
              <w:t>与控制：a）泵；b）压缩机；c）阀门；d）开口阀或开口管线；e）法兰及其他连接件；f）泄压设备；g）取样连接系统；h）其他密封设备。</w:t>
            </w:r>
          </w:p>
        </w:tc>
        <w:tc>
          <w:tcPr>
            <w:tcW w:w="983" w:type="pct"/>
            <w:vMerge w:val="continue"/>
            <w:tcBorders>
              <w:top w:val="single" w:color="auto" w:sz="4" w:space="0"/>
              <w:left w:val="single" w:color="auto" w:sz="4" w:space="0"/>
              <w:bottom w:val="single" w:color="auto" w:sz="4" w:space="0"/>
              <w:right w:val="single" w:color="auto" w:sz="4" w:space="0"/>
            </w:tcBorders>
            <w:vAlign w:val="center"/>
          </w:tcPr>
          <w:p w14:paraId="792CC29D">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r>
      <w:tr w14:paraId="41648A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513B35C6">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5</w:t>
            </w: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5A09FD58">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c>
          <w:tcPr>
            <w:tcW w:w="2997" w:type="pct"/>
            <w:tcBorders>
              <w:top w:val="single" w:color="auto" w:sz="4" w:space="0"/>
              <w:left w:val="single" w:color="auto" w:sz="4" w:space="0"/>
              <w:bottom w:val="single" w:color="auto" w:sz="4" w:space="0"/>
              <w:right w:val="single" w:color="auto" w:sz="4" w:space="0"/>
            </w:tcBorders>
            <w:vAlign w:val="center"/>
          </w:tcPr>
          <w:p w14:paraId="491C41A7">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泄漏检测</w:t>
            </w:r>
            <w:r>
              <w:rPr>
                <w:rFonts w:ascii="Times New Roman" w:hAnsi="Times New Roman" w:eastAsia="Times New Roman" w:cs="Times New Roman"/>
                <w:snapToGrid w:val="0"/>
                <w:color w:val="auto"/>
                <w:kern w:val="0"/>
                <w:highlight w:val="none"/>
              </w:rPr>
              <w:t>周期：根据设备不同，3个月～6个月不等；开工后30日内第一次检测，每周目视观察滴液现象</w:t>
            </w:r>
          </w:p>
        </w:tc>
        <w:tc>
          <w:tcPr>
            <w:tcW w:w="983" w:type="pct"/>
            <w:vMerge w:val="continue"/>
            <w:tcBorders>
              <w:top w:val="single" w:color="auto" w:sz="4" w:space="0"/>
              <w:left w:val="single" w:color="auto" w:sz="4" w:space="0"/>
              <w:bottom w:val="single" w:color="auto" w:sz="4" w:space="0"/>
              <w:right w:val="single" w:color="auto" w:sz="4" w:space="0"/>
            </w:tcBorders>
            <w:vAlign w:val="center"/>
          </w:tcPr>
          <w:p w14:paraId="7F06C7A6">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r>
      <w:tr w14:paraId="635F00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14EE7C30">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6</w:t>
            </w: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6D2DF72B">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c>
          <w:tcPr>
            <w:tcW w:w="2997" w:type="pct"/>
            <w:tcBorders>
              <w:top w:val="single" w:color="auto" w:sz="4" w:space="0"/>
              <w:left w:val="single" w:color="auto" w:sz="4" w:space="0"/>
              <w:bottom w:val="single" w:color="auto" w:sz="4" w:space="0"/>
              <w:right w:val="single" w:color="auto" w:sz="4" w:space="0"/>
            </w:tcBorders>
            <w:vAlign w:val="center"/>
          </w:tcPr>
          <w:p w14:paraId="4AB8AD25">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泄漏</w:t>
            </w:r>
            <w:r>
              <w:rPr>
                <w:rFonts w:ascii="Times New Roman" w:hAnsi="Times New Roman" w:eastAsia="Times New Roman" w:cs="Times New Roman"/>
                <w:snapToGrid w:val="0"/>
                <w:color w:val="auto"/>
                <w:kern w:val="0"/>
                <w:highlight w:val="none"/>
              </w:rPr>
              <w:t>认定：有机气体和挥发性有机液体流经的设备与管线组件，泄漏检测值大于等于2000µmol/mol；</w:t>
            </w:r>
          </w:p>
          <w:p w14:paraId="33109177">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其他挥发性有机物流经的设备与管线组件，泄漏检测值大于等于500µmol/mol。</w:t>
            </w:r>
          </w:p>
        </w:tc>
        <w:tc>
          <w:tcPr>
            <w:tcW w:w="983" w:type="pct"/>
            <w:vMerge w:val="continue"/>
            <w:tcBorders>
              <w:top w:val="single" w:color="auto" w:sz="4" w:space="0"/>
              <w:left w:val="single" w:color="auto" w:sz="4" w:space="0"/>
              <w:bottom w:val="single" w:color="auto" w:sz="4" w:space="0"/>
              <w:right w:val="single" w:color="auto" w:sz="4" w:space="0"/>
            </w:tcBorders>
            <w:vAlign w:val="center"/>
          </w:tcPr>
          <w:p w14:paraId="617EEAD2">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r>
      <w:tr w14:paraId="0FACDB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111B2ABC">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7</w:t>
            </w: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5CD33C90">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c>
          <w:tcPr>
            <w:tcW w:w="2997" w:type="pct"/>
            <w:tcBorders>
              <w:top w:val="single" w:color="auto" w:sz="4" w:space="0"/>
              <w:left w:val="single" w:color="auto" w:sz="4" w:space="0"/>
              <w:bottom w:val="single" w:color="auto" w:sz="4" w:space="0"/>
              <w:right w:val="single" w:color="auto" w:sz="4" w:space="0"/>
            </w:tcBorders>
            <w:vAlign w:val="center"/>
          </w:tcPr>
          <w:p w14:paraId="1651CED6">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hint="eastAsia" w:ascii="Times New Roman" w:hAnsi="Times New Roman" w:eastAsia="宋体" w:cs="Times New Roman"/>
                <w:snapToGrid w:val="0"/>
                <w:color w:val="auto"/>
                <w:kern w:val="0"/>
                <w:highlight w:val="none"/>
                <w:lang w:eastAsia="zh-CN"/>
              </w:rPr>
              <w:t>泄漏</w:t>
            </w:r>
            <w:r>
              <w:rPr>
                <w:rFonts w:ascii="Times New Roman" w:hAnsi="Times New Roman" w:eastAsia="Times New Roman" w:cs="Times New Roman"/>
                <w:snapToGrid w:val="0"/>
                <w:color w:val="auto"/>
                <w:kern w:val="0"/>
                <w:highlight w:val="none"/>
              </w:rPr>
              <w:t>修复：不晚于发现泄漏后15日。首次（尝试）维修不应晚于检测到泄漏后5日。</w:t>
            </w:r>
          </w:p>
        </w:tc>
        <w:tc>
          <w:tcPr>
            <w:tcW w:w="983" w:type="pct"/>
            <w:vMerge w:val="continue"/>
            <w:tcBorders>
              <w:top w:val="single" w:color="auto" w:sz="4" w:space="0"/>
              <w:left w:val="single" w:color="auto" w:sz="4" w:space="0"/>
              <w:bottom w:val="single" w:color="auto" w:sz="4" w:space="0"/>
              <w:right w:val="single" w:color="auto" w:sz="4" w:space="0"/>
            </w:tcBorders>
            <w:vAlign w:val="center"/>
          </w:tcPr>
          <w:p w14:paraId="536CB5F5">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r>
      <w:tr w14:paraId="68BB57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33" w:type="pct"/>
            <w:tcBorders>
              <w:top w:val="single" w:color="auto" w:sz="4" w:space="0"/>
              <w:left w:val="single" w:color="auto" w:sz="4" w:space="0"/>
              <w:bottom w:val="single" w:color="auto" w:sz="4" w:space="0"/>
              <w:right w:val="single" w:color="auto" w:sz="4" w:space="0"/>
            </w:tcBorders>
            <w:vAlign w:val="center"/>
          </w:tcPr>
          <w:p w14:paraId="4983CD57">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8</w:t>
            </w: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13518F9B">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c>
          <w:tcPr>
            <w:tcW w:w="2997" w:type="pct"/>
            <w:tcBorders>
              <w:top w:val="single" w:color="auto" w:sz="4" w:space="0"/>
              <w:left w:val="single" w:color="auto" w:sz="4" w:space="0"/>
              <w:bottom w:val="single" w:color="auto" w:sz="4" w:space="0"/>
              <w:right w:val="single" w:color="auto" w:sz="4" w:space="0"/>
            </w:tcBorders>
            <w:vAlign w:val="center"/>
          </w:tcPr>
          <w:p w14:paraId="385A7575">
            <w:pPr>
              <w:pStyle w:val="150"/>
              <w:tabs>
                <w:tab w:val="left" w:pos="1119"/>
              </w:tabs>
              <w:snapToGrid w:val="0"/>
              <w:spacing w:after="0" w:line="240" w:lineRule="auto"/>
              <w:jc w:val="left"/>
              <w:rPr>
                <w:rFonts w:ascii="Times New Roman" w:hAnsi="Times New Roman" w:eastAsia="Times New Roman" w:cs="Times New Roman"/>
                <w:snapToGrid w:val="0"/>
                <w:color w:val="auto"/>
                <w:kern w:val="0"/>
                <w:highlight w:val="none"/>
              </w:rPr>
            </w:pPr>
            <w:r>
              <w:rPr>
                <w:rFonts w:ascii="Times New Roman" w:hAnsi="Times New Roman" w:eastAsia="Times New Roman" w:cs="Times New Roman"/>
                <w:snapToGrid w:val="0"/>
                <w:color w:val="auto"/>
                <w:kern w:val="0"/>
                <w:highlight w:val="none"/>
              </w:rPr>
              <w:t>记录要求：记录应保存1年以上。</w:t>
            </w:r>
          </w:p>
        </w:tc>
        <w:tc>
          <w:tcPr>
            <w:tcW w:w="983" w:type="pct"/>
            <w:vMerge w:val="continue"/>
            <w:tcBorders>
              <w:top w:val="single" w:color="auto" w:sz="4" w:space="0"/>
              <w:left w:val="single" w:color="auto" w:sz="4" w:space="0"/>
              <w:bottom w:val="single" w:color="auto" w:sz="4" w:space="0"/>
              <w:right w:val="single" w:color="auto" w:sz="4" w:space="0"/>
            </w:tcBorders>
            <w:vAlign w:val="center"/>
          </w:tcPr>
          <w:p w14:paraId="75084E32">
            <w:pPr>
              <w:pStyle w:val="150"/>
              <w:tabs>
                <w:tab w:val="left" w:pos="1119"/>
              </w:tabs>
              <w:snapToGrid w:val="0"/>
              <w:spacing w:after="0" w:line="240" w:lineRule="auto"/>
              <w:rPr>
                <w:rFonts w:ascii="Times New Roman" w:hAnsi="Times New Roman" w:eastAsia="Times New Roman" w:cs="Times New Roman"/>
                <w:snapToGrid w:val="0"/>
                <w:color w:val="auto"/>
                <w:kern w:val="0"/>
                <w:highlight w:val="none"/>
              </w:rPr>
            </w:pPr>
          </w:p>
        </w:tc>
      </w:tr>
    </w:tbl>
    <w:p w14:paraId="53DA210C">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7.2.2运营期废水治理措施及可行性分析</w:t>
      </w:r>
    </w:p>
    <w:p w14:paraId="5412388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7.2.2.1废水处理情况</w:t>
      </w:r>
    </w:p>
    <w:p w14:paraId="490089FD">
      <w:pPr>
        <w:adjustRightInd w:val="0"/>
        <w:snapToGrid w:val="0"/>
        <w:spacing w:line="360" w:lineRule="auto"/>
        <w:ind w:firstLine="480" w:firstLineChars="200"/>
        <w:rPr>
          <w:rFonts w:hint="eastAsia"/>
          <w:snapToGrid w:val="0"/>
          <w:color w:val="auto"/>
          <w:kern w:val="0"/>
          <w:sz w:val="24"/>
          <w:highlight w:val="none"/>
        </w:rPr>
      </w:pPr>
      <w:r>
        <w:rPr>
          <w:rFonts w:hint="eastAsia"/>
          <w:snapToGrid w:val="0"/>
          <w:color w:val="auto"/>
          <w:kern w:val="0"/>
          <w:sz w:val="24"/>
          <w:highlight w:val="none"/>
        </w:rPr>
        <w:t>本项目实施后，发酵清洗废水、分离废水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snapToGrid w:val="0"/>
          <w:color w:val="auto"/>
          <w:kern w:val="0"/>
          <w:sz w:val="24"/>
          <w:highlight w:val="none"/>
          <w:lang w:val="en-US" w:eastAsia="zh-CN"/>
        </w:rPr>
        <w:t>排入</w:t>
      </w:r>
      <w:r>
        <w:rPr>
          <w:rFonts w:hint="eastAsia"/>
          <w:snapToGrid w:val="0"/>
          <w:color w:val="auto"/>
          <w:kern w:val="0"/>
          <w:sz w:val="24"/>
          <w:highlight w:val="none"/>
        </w:rPr>
        <w:t>西区污水处理厂</w:t>
      </w:r>
      <w:r>
        <w:rPr>
          <w:rFonts w:hint="eastAsia"/>
          <w:snapToGrid w:val="0"/>
          <w:color w:val="auto"/>
          <w:kern w:val="0"/>
          <w:sz w:val="24"/>
          <w:highlight w:val="none"/>
          <w:lang w:val="en-US" w:eastAsia="zh-CN"/>
        </w:rPr>
        <w:t>二</w:t>
      </w:r>
      <w:r>
        <w:rPr>
          <w:rFonts w:hint="eastAsia"/>
          <w:snapToGrid w:val="0"/>
          <w:color w:val="auto"/>
          <w:kern w:val="0"/>
          <w:sz w:val="24"/>
          <w:highlight w:val="none"/>
        </w:rPr>
        <w:t>期工程</w:t>
      </w:r>
      <w:r>
        <w:rPr>
          <w:rFonts w:hint="eastAsia"/>
          <w:snapToGrid w:val="0"/>
          <w:color w:val="auto"/>
          <w:kern w:val="0"/>
          <w:sz w:val="24"/>
          <w:highlight w:val="none"/>
          <w:lang w:eastAsia="zh-CN"/>
        </w:rPr>
        <w:t>；</w:t>
      </w:r>
      <w:r>
        <w:rPr>
          <w:rFonts w:hint="eastAsia"/>
          <w:snapToGrid w:val="0"/>
          <w:color w:val="auto"/>
          <w:kern w:val="0"/>
          <w:sz w:val="24"/>
          <w:highlight w:val="none"/>
        </w:rPr>
        <w:t>循环水排污依托现有污水处理站中水段</w:t>
      </w:r>
      <w:r>
        <w:rPr>
          <w:rFonts w:hint="eastAsia"/>
          <w:snapToGrid w:val="0"/>
          <w:color w:val="auto"/>
          <w:kern w:val="0"/>
          <w:sz w:val="24"/>
          <w:highlight w:val="none"/>
          <w:lang w:val="en-US" w:eastAsia="zh-CN"/>
        </w:rPr>
        <w:t>处理；</w:t>
      </w:r>
      <w:r>
        <w:rPr>
          <w:rFonts w:hint="eastAsia"/>
          <w:snapToGrid w:val="0"/>
          <w:color w:val="auto"/>
          <w:kern w:val="0"/>
          <w:sz w:val="24"/>
          <w:highlight w:val="none"/>
        </w:rPr>
        <w:t>生活污水</w:t>
      </w:r>
      <w:r>
        <w:rPr>
          <w:rFonts w:hint="eastAsia"/>
          <w:snapToGrid w:val="0"/>
          <w:color w:val="auto"/>
          <w:kern w:val="0"/>
          <w:sz w:val="24"/>
          <w:highlight w:val="none"/>
          <w:lang w:eastAsia="zh-CN"/>
        </w:rPr>
        <w:t>、</w:t>
      </w:r>
      <w:r>
        <w:rPr>
          <w:rFonts w:hint="eastAsia"/>
          <w:snapToGrid w:val="0"/>
          <w:color w:val="auto"/>
          <w:kern w:val="0"/>
          <w:sz w:val="24"/>
          <w:highlight w:val="none"/>
        </w:rPr>
        <w:t>水洗塔定排和碱洗塔定排</w:t>
      </w:r>
      <w:r>
        <w:rPr>
          <w:rFonts w:hint="eastAsia"/>
          <w:snapToGrid w:val="0"/>
          <w:color w:val="auto"/>
          <w:kern w:val="0"/>
          <w:sz w:val="24"/>
          <w:highlight w:val="none"/>
          <w:lang w:val="en-US" w:eastAsia="zh-CN"/>
        </w:rPr>
        <w:t>依托现有污水处理站生化段处理后</w:t>
      </w:r>
      <w:r>
        <w:rPr>
          <w:rFonts w:hint="eastAsia"/>
          <w:snapToGrid w:val="0"/>
          <w:color w:val="auto"/>
          <w:kern w:val="0"/>
          <w:sz w:val="24"/>
          <w:highlight w:val="none"/>
        </w:rPr>
        <w:t>排入西区污水处理厂</w:t>
      </w:r>
      <w:r>
        <w:rPr>
          <w:rFonts w:hint="eastAsia"/>
          <w:snapToGrid w:val="0"/>
          <w:color w:val="auto"/>
          <w:kern w:val="0"/>
          <w:sz w:val="24"/>
          <w:highlight w:val="none"/>
          <w:lang w:val="en-US" w:eastAsia="zh-CN"/>
        </w:rPr>
        <w:t>一</w:t>
      </w:r>
      <w:r>
        <w:rPr>
          <w:rFonts w:hint="eastAsia"/>
          <w:snapToGrid w:val="0"/>
          <w:color w:val="auto"/>
          <w:kern w:val="0"/>
          <w:sz w:val="24"/>
          <w:highlight w:val="none"/>
        </w:rPr>
        <w:t>期。</w:t>
      </w:r>
    </w:p>
    <w:p w14:paraId="6052433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7.2.2.2依托污水处理设施环保手续</w:t>
      </w:r>
    </w:p>
    <w:p w14:paraId="7F157CEB">
      <w:pPr>
        <w:pStyle w:val="504"/>
        <w:adjustRightInd w:val="0"/>
        <w:snapToGrid w:val="0"/>
        <w:spacing w:line="360" w:lineRule="auto"/>
        <w:ind w:firstLine="480"/>
        <w:rPr>
          <w:rFonts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2018年10月15日，新疆维吾尔自治区环境保护厅出具了</w:t>
      </w:r>
      <w:r>
        <w:rPr>
          <w:rFonts w:hint="eastAsia" w:ascii="Times New Roman" w:hAnsi="Times New Roman" w:eastAsia="宋体" w:cs="Times New Roman"/>
          <w:color w:val="auto"/>
          <w:kern w:val="0"/>
          <w:highlight w:val="none"/>
        </w:rPr>
        <w:t>《</w:t>
      </w:r>
      <w:r>
        <w:rPr>
          <w:rFonts w:ascii="Times New Roman" w:hAnsi="Times New Roman" w:eastAsia="宋体" w:cs="Times New Roman"/>
          <w:color w:val="auto"/>
          <w:kern w:val="0"/>
          <w:highlight w:val="none"/>
        </w:rPr>
        <w:t>关于乌苏市西区污水厂建设工程环境影响报告书</w:t>
      </w:r>
      <w:r>
        <w:rPr>
          <w:rFonts w:hint="eastAsia" w:ascii="Times New Roman" w:hAnsi="Times New Roman" w:eastAsia="宋体" w:cs="Times New Roman"/>
          <w:color w:val="auto"/>
          <w:kern w:val="0"/>
          <w:highlight w:val="none"/>
        </w:rPr>
        <w:t>的批复》</w:t>
      </w:r>
      <w:r>
        <w:rPr>
          <w:rFonts w:ascii="Times New Roman" w:hAnsi="Times New Roman" w:eastAsia="宋体" w:cs="Times New Roman"/>
          <w:color w:val="auto"/>
          <w:kern w:val="0"/>
          <w:highlight w:val="none"/>
        </w:rPr>
        <w:t>，批复文号：新环函</w:t>
      </w:r>
      <w:r>
        <w:rPr>
          <w:rFonts w:hint="eastAsia" w:ascii="Times New Roman" w:hAnsi="Times New Roman" w:eastAsia="宋体" w:cs="Times New Roman"/>
          <w:color w:val="auto"/>
          <w:kern w:val="0"/>
          <w:highlight w:val="none"/>
        </w:rPr>
        <w:t>〔2018〕1504号</w:t>
      </w:r>
      <w:r>
        <w:rPr>
          <w:rFonts w:ascii="Times New Roman" w:hAnsi="Times New Roman" w:eastAsia="宋体" w:cs="Times New Roman"/>
          <w:color w:val="auto"/>
          <w:kern w:val="0"/>
          <w:highlight w:val="none"/>
        </w:rPr>
        <w:t>。2019年8月，污水处理厂建设单位乌苏市马赛投资有限责任公司委托新疆神州瑞霖环境检测技术有限责任公司对西区污水处理厂进行了建设项目竣工环境保护验收监测，并通过了竣工环境保护验收</w:t>
      </w:r>
      <w:r>
        <w:rPr>
          <w:rFonts w:hint="eastAsia" w:ascii="Times New Roman" w:hAnsi="Times New Roman" w:eastAsia="宋体" w:cs="Times New Roman"/>
          <w:color w:val="auto"/>
          <w:kern w:val="0"/>
          <w:highlight w:val="none"/>
        </w:rPr>
        <w:t>。</w:t>
      </w:r>
    </w:p>
    <w:p w14:paraId="6DFDB4D9">
      <w:pPr>
        <w:widowControl/>
        <w:adjustRightInd w:val="0"/>
        <w:snapToGrid w:val="0"/>
        <w:spacing w:line="360" w:lineRule="auto"/>
        <w:ind w:firstLine="480" w:firstLineChars="200"/>
        <w:rPr>
          <w:snapToGrid w:val="0"/>
          <w:color w:val="auto"/>
          <w:kern w:val="0"/>
          <w:sz w:val="24"/>
          <w:highlight w:val="none"/>
        </w:rPr>
      </w:pPr>
      <w:r>
        <w:rPr>
          <w:rFonts w:hint="eastAsia" w:ascii="Times New Roman" w:hAnsi="Times New Roman" w:eastAsia="宋体" w:cs="Times New Roman"/>
          <w:color w:val="auto"/>
          <w:kern w:val="0"/>
          <w:sz w:val="24"/>
          <w:szCs w:val="24"/>
          <w:highlight w:val="none"/>
          <w:lang w:val="en-US" w:eastAsia="zh-CN" w:bidi="ar-SA"/>
        </w:rPr>
        <w:t>2026年1月4日，伊犁哈萨克自治州塔城地区生态环境局出具了《关于对&lt;塔城地区乌苏市西区污水处理厂建设项目二期工程环境影响报告书&gt;的批复》，批复文号：塔地环审〔2026〕1号，</w:t>
      </w:r>
      <w:r>
        <w:rPr>
          <w:rFonts w:hint="eastAsia"/>
          <w:snapToGrid w:val="0"/>
          <w:color w:val="auto"/>
          <w:kern w:val="0"/>
          <w:sz w:val="24"/>
          <w:highlight w:val="none"/>
        </w:rPr>
        <w:t>目前乌苏市西区污水处理厂建设项目二期工程</w:t>
      </w:r>
      <w:r>
        <w:rPr>
          <w:rFonts w:hint="eastAsia"/>
          <w:snapToGrid w:val="0"/>
          <w:color w:val="auto"/>
          <w:kern w:val="0"/>
          <w:sz w:val="24"/>
          <w:highlight w:val="none"/>
          <w:lang w:val="en-US" w:eastAsia="zh-CN"/>
        </w:rPr>
        <w:t>除MVR设备正在安装中，其他设施均已建设完成，预计2026年10月底完成建设</w:t>
      </w:r>
      <w:r>
        <w:rPr>
          <w:rFonts w:hint="eastAsia"/>
          <w:snapToGrid w:val="0"/>
          <w:color w:val="auto"/>
          <w:kern w:val="0"/>
          <w:sz w:val="24"/>
          <w:highlight w:val="none"/>
        </w:rPr>
        <w:t>。</w:t>
      </w:r>
    </w:p>
    <w:p w14:paraId="724833F0">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7.2.2.3依托污水处理设施工艺及规模可行性分析</w:t>
      </w:r>
    </w:p>
    <w:p w14:paraId="67D9025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1</w:t>
      </w:r>
      <w:r>
        <w:rPr>
          <w:rFonts w:hint="eastAsia"/>
          <w:snapToGrid w:val="0"/>
          <w:color w:val="auto"/>
          <w:kern w:val="0"/>
          <w:sz w:val="24"/>
          <w:highlight w:val="none"/>
          <w:lang w:eastAsia="zh-CN"/>
        </w:rPr>
        <w:t>）</w:t>
      </w:r>
      <w:r>
        <w:rPr>
          <w:rFonts w:hint="eastAsia"/>
          <w:snapToGrid w:val="0"/>
          <w:color w:val="auto"/>
          <w:kern w:val="0"/>
          <w:sz w:val="24"/>
          <w:highlight w:val="none"/>
        </w:rPr>
        <w:t>规模合理性分析</w:t>
      </w:r>
    </w:p>
    <w:p w14:paraId="288295DF">
      <w:pPr>
        <w:pStyle w:val="22"/>
        <w:adjustRightInd w:val="0"/>
        <w:snapToGrid w:val="0"/>
        <w:spacing w:after="0" w:line="360" w:lineRule="auto"/>
        <w:ind w:firstLine="480" w:firstLineChars="200"/>
        <w:rPr>
          <w:color w:val="auto"/>
          <w:kern w:val="0"/>
          <w:sz w:val="24"/>
          <w:highlight w:val="none"/>
        </w:rPr>
      </w:pPr>
      <w:r>
        <w:rPr>
          <w:color w:val="auto"/>
          <w:kern w:val="0"/>
          <w:sz w:val="24"/>
          <w:highlight w:val="none"/>
        </w:rPr>
        <w:t>考虑西区目前处于发展阶段，后期建设存在诸多不确定因素，</w:t>
      </w:r>
      <w:r>
        <w:rPr>
          <w:rFonts w:hint="eastAsia"/>
          <w:color w:val="auto"/>
          <w:kern w:val="0"/>
          <w:sz w:val="24"/>
          <w:highlight w:val="none"/>
        </w:rPr>
        <w:t>西区污水处理厂</w:t>
      </w:r>
      <w:r>
        <w:rPr>
          <w:rFonts w:hint="eastAsia"/>
          <w:color w:val="auto"/>
          <w:kern w:val="0"/>
          <w:sz w:val="24"/>
          <w:highlight w:val="none"/>
          <w:lang w:val="en-US" w:eastAsia="zh-CN"/>
        </w:rPr>
        <w:t>一期工程规模</w:t>
      </w:r>
      <w:r>
        <w:rPr>
          <w:color w:val="auto"/>
          <w:kern w:val="0"/>
          <w:sz w:val="24"/>
          <w:highlight w:val="none"/>
        </w:rPr>
        <w:t>20000</w:t>
      </w:r>
      <w:r>
        <w:rPr>
          <w:rFonts w:hint="eastAsia"/>
          <w:snapToGrid w:val="0"/>
          <w:color w:val="auto"/>
          <w:kern w:val="0"/>
          <w:sz w:val="24"/>
          <w:highlight w:val="none"/>
        </w:rPr>
        <w:t>m</w:t>
      </w:r>
      <w:r>
        <w:rPr>
          <w:rFonts w:hint="eastAsia"/>
          <w:snapToGrid w:val="0"/>
          <w:color w:val="auto"/>
          <w:kern w:val="0"/>
          <w:sz w:val="24"/>
          <w:highlight w:val="none"/>
          <w:vertAlign w:val="superscript"/>
        </w:rPr>
        <w:t>3</w:t>
      </w:r>
      <w:r>
        <w:rPr>
          <w:color w:val="auto"/>
          <w:kern w:val="0"/>
          <w:sz w:val="24"/>
          <w:highlight w:val="none"/>
        </w:rPr>
        <w:t>/d，主要用于西区化工组团范围内各企业生产、生活污水</w:t>
      </w:r>
      <w:r>
        <w:rPr>
          <w:rFonts w:hint="eastAsia"/>
          <w:color w:val="auto"/>
          <w:kern w:val="0"/>
          <w:sz w:val="24"/>
          <w:highlight w:val="none"/>
          <w:lang w:val="en-US" w:eastAsia="zh-CN"/>
        </w:rPr>
        <w:t>。</w:t>
      </w:r>
      <w:r>
        <w:rPr>
          <w:rFonts w:hint="eastAsia"/>
          <w:color w:val="auto"/>
          <w:kern w:val="0"/>
          <w:sz w:val="24"/>
          <w:highlight w:val="none"/>
        </w:rPr>
        <w:t>西区污水处理厂</w:t>
      </w:r>
      <w:r>
        <w:rPr>
          <w:rFonts w:hint="eastAsia"/>
          <w:color w:val="auto"/>
          <w:kern w:val="0"/>
          <w:sz w:val="24"/>
          <w:highlight w:val="none"/>
          <w:lang w:val="en-US" w:eastAsia="zh-CN"/>
        </w:rPr>
        <w:t>二期工程规模</w:t>
      </w:r>
      <w:r>
        <w:rPr>
          <w:rFonts w:hint="eastAsia"/>
          <w:color w:val="auto"/>
          <w:kern w:val="0"/>
          <w:sz w:val="24"/>
          <w:highlight w:val="none"/>
        </w:rPr>
        <w:t>7000</w:t>
      </w:r>
      <w:r>
        <w:rPr>
          <w:rFonts w:hint="eastAsia"/>
          <w:snapToGrid w:val="0"/>
          <w:color w:val="auto"/>
          <w:kern w:val="0"/>
          <w:sz w:val="24"/>
          <w:highlight w:val="none"/>
        </w:rPr>
        <w:t>m</w:t>
      </w:r>
      <w:r>
        <w:rPr>
          <w:rFonts w:hint="eastAsia"/>
          <w:snapToGrid w:val="0"/>
          <w:color w:val="auto"/>
          <w:kern w:val="0"/>
          <w:sz w:val="24"/>
          <w:highlight w:val="none"/>
          <w:vertAlign w:val="superscript"/>
        </w:rPr>
        <w:t>3</w:t>
      </w:r>
      <w:r>
        <w:rPr>
          <w:color w:val="auto"/>
          <w:kern w:val="0"/>
          <w:sz w:val="24"/>
          <w:highlight w:val="none"/>
        </w:rPr>
        <w:t>/d</w:t>
      </w:r>
      <w:r>
        <w:rPr>
          <w:rFonts w:hint="eastAsia"/>
          <w:color w:val="auto"/>
          <w:kern w:val="0"/>
          <w:sz w:val="24"/>
          <w:highlight w:val="none"/>
          <w:lang w:eastAsia="zh-CN"/>
        </w:rPr>
        <w:t>，</w:t>
      </w:r>
      <w:r>
        <w:rPr>
          <w:rFonts w:hint="eastAsia"/>
          <w:color w:val="auto"/>
          <w:kern w:val="0"/>
          <w:sz w:val="24"/>
          <w:highlight w:val="none"/>
          <w:lang w:val="en-US" w:eastAsia="zh-CN"/>
        </w:rPr>
        <w:t>主要</w:t>
      </w:r>
      <w:r>
        <w:rPr>
          <w:rFonts w:hint="eastAsia"/>
          <w:color w:val="auto"/>
          <w:kern w:val="0"/>
          <w:sz w:val="24"/>
          <w:highlight w:val="none"/>
        </w:rPr>
        <w:t>包括处理</w:t>
      </w:r>
      <w:r>
        <w:rPr>
          <w:rFonts w:hint="eastAsia"/>
          <w:color w:val="auto"/>
          <w:kern w:val="0"/>
          <w:sz w:val="24"/>
          <w:highlight w:val="none"/>
          <w:lang w:val="en-US" w:eastAsia="zh-CN"/>
        </w:rPr>
        <w:t>凯赛经调节池调节后的废水</w:t>
      </w:r>
      <w:r>
        <w:rPr>
          <w:rFonts w:hint="eastAsia"/>
          <w:color w:val="auto"/>
          <w:kern w:val="0"/>
          <w:sz w:val="24"/>
          <w:highlight w:val="none"/>
        </w:rPr>
        <w:t>。</w:t>
      </w:r>
    </w:p>
    <w:p w14:paraId="3B738D0E">
      <w:pPr>
        <w:pStyle w:val="504"/>
        <w:adjustRightInd w:val="0"/>
        <w:snapToGrid w:val="0"/>
        <w:spacing w:line="360" w:lineRule="auto"/>
        <w:ind w:firstLine="480"/>
        <w:rPr>
          <w:rFonts w:hint="default" w:ascii="Times New Roman" w:hAnsi="Times New Roman" w:eastAsia="宋体" w:cs="Times New Roman"/>
          <w:snapToGrid w:val="0"/>
          <w:color w:val="auto"/>
          <w:kern w:val="0"/>
          <w:highlight w:val="none"/>
          <w:lang w:val="en-US" w:eastAsia="zh-CN"/>
        </w:rPr>
      </w:pPr>
      <w:r>
        <w:rPr>
          <w:rFonts w:hint="eastAsia" w:ascii="Times New Roman" w:hAnsi="Times New Roman" w:eastAsia="宋体" w:cs="Times New Roman"/>
          <w:snapToGrid w:val="0"/>
          <w:color w:val="auto"/>
          <w:kern w:val="0"/>
          <w:highlight w:val="none"/>
          <w:lang w:val="en-US" w:eastAsia="zh-CN"/>
        </w:rPr>
        <w:t>污水处理厂二期建成后，现有工程约有4900m</w:t>
      </w:r>
      <w:r>
        <w:rPr>
          <w:rFonts w:hint="eastAsia" w:ascii="Times New Roman" w:hAnsi="Times New Roman" w:eastAsia="宋体" w:cs="Times New Roman"/>
          <w:snapToGrid w:val="0"/>
          <w:color w:val="auto"/>
          <w:kern w:val="0"/>
          <w:highlight w:val="none"/>
          <w:vertAlign w:val="superscript"/>
          <w:lang w:val="en-US" w:eastAsia="zh-CN"/>
        </w:rPr>
        <w:t>3</w:t>
      </w:r>
      <w:r>
        <w:rPr>
          <w:rFonts w:hint="eastAsia" w:ascii="Times New Roman" w:hAnsi="Times New Roman" w:eastAsia="宋体" w:cs="Times New Roman"/>
          <w:snapToGrid w:val="0"/>
          <w:color w:val="auto"/>
          <w:kern w:val="0"/>
          <w:highlight w:val="none"/>
          <w:lang w:val="en-US" w:eastAsia="zh-CN"/>
        </w:rPr>
        <w:t>/d的废水经调节池调节后直接送去处理，厂区污水处理站负荷和污水处理厂一期负荷随之降低，而本项目需要经污水处理站、污水处理厂一期处理的废水量仅有72.72m</w:t>
      </w:r>
      <w:r>
        <w:rPr>
          <w:rFonts w:hint="eastAsia" w:ascii="Times New Roman" w:hAnsi="Times New Roman" w:eastAsia="宋体" w:cs="Times New Roman"/>
          <w:snapToGrid w:val="0"/>
          <w:color w:val="auto"/>
          <w:kern w:val="0"/>
          <w:highlight w:val="none"/>
          <w:vertAlign w:val="superscript"/>
          <w:lang w:val="en-US" w:eastAsia="zh-CN"/>
        </w:rPr>
        <w:t>3</w:t>
      </w:r>
      <w:r>
        <w:rPr>
          <w:rFonts w:hint="eastAsia" w:ascii="Times New Roman" w:hAnsi="Times New Roman" w:eastAsia="宋体" w:cs="Times New Roman"/>
          <w:snapToGrid w:val="0"/>
          <w:color w:val="auto"/>
          <w:kern w:val="0"/>
          <w:highlight w:val="none"/>
          <w:lang w:val="en-US" w:eastAsia="zh-CN"/>
        </w:rPr>
        <w:t>/d，远低于负荷降低量。</w:t>
      </w:r>
    </w:p>
    <w:p w14:paraId="36F5BF01">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根据工程分析，本项目</w:t>
      </w:r>
      <w:r>
        <w:rPr>
          <w:rFonts w:hint="eastAsia" w:ascii="Times New Roman" w:hAnsi="Times New Roman" w:eastAsia="宋体" w:cs="Times New Roman"/>
          <w:snapToGrid w:val="0"/>
          <w:color w:val="auto"/>
          <w:kern w:val="0"/>
          <w:highlight w:val="none"/>
          <w:lang w:val="en-US" w:eastAsia="zh-CN"/>
        </w:rPr>
        <w:t>需污水处理厂二期处理的废水总量约1488m</w:t>
      </w:r>
      <w:r>
        <w:rPr>
          <w:rFonts w:hint="eastAsia" w:ascii="Times New Roman" w:hAnsi="Times New Roman" w:eastAsia="宋体" w:cs="Times New Roman"/>
          <w:snapToGrid w:val="0"/>
          <w:color w:val="auto"/>
          <w:kern w:val="0"/>
          <w:highlight w:val="none"/>
          <w:vertAlign w:val="superscript"/>
          <w:lang w:val="en-US" w:eastAsia="zh-CN"/>
        </w:rPr>
        <w:t>3</w:t>
      </w:r>
      <w:r>
        <w:rPr>
          <w:rFonts w:hint="eastAsia" w:ascii="Times New Roman" w:hAnsi="Times New Roman" w:eastAsia="宋体" w:cs="Times New Roman"/>
          <w:snapToGrid w:val="0"/>
          <w:color w:val="auto"/>
          <w:kern w:val="0"/>
          <w:highlight w:val="none"/>
          <w:lang w:val="en-US" w:eastAsia="zh-CN"/>
        </w:rPr>
        <w:t>/h，加上</w:t>
      </w:r>
      <w:r>
        <w:rPr>
          <w:rFonts w:hint="eastAsia" w:ascii="Times New Roman" w:hAnsi="Times New Roman" w:eastAsia="宋体" w:cs="Times New Roman"/>
          <w:snapToGrid w:val="0"/>
          <w:color w:val="auto"/>
          <w:kern w:val="0"/>
          <w:highlight w:val="none"/>
        </w:rPr>
        <w:t>技术公司二元酸废水量约900m</w:t>
      </w:r>
      <w:r>
        <w:rPr>
          <w:rFonts w:hint="eastAsia" w:ascii="Times New Roman" w:hAnsi="Times New Roman" w:eastAsia="宋体" w:cs="Times New Roman"/>
          <w:snapToGrid w:val="0"/>
          <w:color w:val="auto"/>
          <w:kern w:val="0"/>
          <w:highlight w:val="none"/>
          <w:vertAlign w:val="superscript"/>
        </w:rPr>
        <w:t>3</w:t>
      </w:r>
      <w:r>
        <w:rPr>
          <w:rFonts w:hint="eastAsia" w:ascii="Times New Roman" w:hAnsi="Times New Roman" w:eastAsia="宋体" w:cs="Times New Roman"/>
          <w:snapToGrid w:val="0"/>
          <w:color w:val="auto"/>
          <w:kern w:val="0"/>
          <w:highlight w:val="none"/>
        </w:rPr>
        <w:t>/d，</w:t>
      </w:r>
      <w:r>
        <w:rPr>
          <w:rFonts w:hint="eastAsia" w:ascii="Times New Roman" w:hAnsi="Times New Roman" w:eastAsia="宋体" w:cs="Times New Roman"/>
          <w:snapToGrid w:val="0"/>
          <w:color w:val="auto"/>
          <w:kern w:val="0"/>
          <w:highlight w:val="none"/>
          <w:lang w:val="en-US" w:eastAsia="zh-CN"/>
        </w:rPr>
        <w:t>加上调节用的聚酰胺废水4000m</w:t>
      </w:r>
      <w:r>
        <w:rPr>
          <w:rFonts w:hint="eastAsia" w:ascii="Times New Roman" w:hAnsi="Times New Roman" w:eastAsia="宋体" w:cs="Times New Roman"/>
          <w:snapToGrid w:val="0"/>
          <w:color w:val="auto"/>
          <w:kern w:val="0"/>
          <w:highlight w:val="none"/>
          <w:vertAlign w:val="superscript"/>
          <w:lang w:val="en-US" w:eastAsia="zh-CN"/>
        </w:rPr>
        <w:t>3</w:t>
      </w:r>
      <w:r>
        <w:rPr>
          <w:rFonts w:hint="eastAsia" w:ascii="Times New Roman" w:hAnsi="Times New Roman" w:eastAsia="宋体" w:cs="Times New Roman"/>
          <w:snapToGrid w:val="0"/>
          <w:color w:val="auto"/>
          <w:kern w:val="0"/>
          <w:highlight w:val="none"/>
          <w:lang w:val="en-US" w:eastAsia="zh-CN"/>
        </w:rPr>
        <w:t>/d，</w:t>
      </w:r>
      <w:r>
        <w:rPr>
          <w:rFonts w:hint="eastAsia" w:ascii="Times New Roman" w:hAnsi="Times New Roman" w:eastAsia="宋体" w:cs="Times New Roman"/>
          <w:snapToGrid w:val="0"/>
          <w:color w:val="auto"/>
          <w:kern w:val="0"/>
          <w:highlight w:val="none"/>
        </w:rPr>
        <w:t>西区污水处理厂</w:t>
      </w:r>
      <w:r>
        <w:rPr>
          <w:rFonts w:hint="eastAsia" w:ascii="Times New Roman" w:hAnsi="Times New Roman" w:eastAsia="宋体" w:cs="Times New Roman"/>
          <w:snapToGrid w:val="0"/>
          <w:color w:val="auto"/>
          <w:kern w:val="0"/>
          <w:highlight w:val="none"/>
          <w:lang w:val="en-US" w:eastAsia="zh-CN"/>
        </w:rPr>
        <w:t>二期实际处理废水量约6388m</w:t>
      </w:r>
      <w:r>
        <w:rPr>
          <w:rFonts w:hint="eastAsia" w:ascii="Times New Roman" w:hAnsi="Times New Roman" w:eastAsia="宋体" w:cs="Times New Roman"/>
          <w:snapToGrid w:val="0"/>
          <w:color w:val="auto"/>
          <w:kern w:val="0"/>
          <w:highlight w:val="none"/>
          <w:vertAlign w:val="superscript"/>
          <w:lang w:val="en-US" w:eastAsia="zh-CN"/>
        </w:rPr>
        <w:t>3</w:t>
      </w:r>
      <w:r>
        <w:rPr>
          <w:rFonts w:hint="eastAsia" w:ascii="Times New Roman" w:hAnsi="Times New Roman" w:eastAsia="宋体" w:cs="Times New Roman"/>
          <w:snapToGrid w:val="0"/>
          <w:color w:val="auto"/>
          <w:kern w:val="0"/>
          <w:highlight w:val="none"/>
          <w:lang w:val="en-US" w:eastAsia="zh-CN"/>
        </w:rPr>
        <w:t>/d，可以满足依托需求。</w:t>
      </w:r>
    </w:p>
    <w:p w14:paraId="165137D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2</w:t>
      </w:r>
      <w:r>
        <w:rPr>
          <w:rFonts w:hint="eastAsia"/>
          <w:snapToGrid w:val="0"/>
          <w:color w:val="auto"/>
          <w:kern w:val="0"/>
          <w:sz w:val="24"/>
          <w:highlight w:val="none"/>
          <w:lang w:eastAsia="zh-CN"/>
        </w:rPr>
        <w:t>）</w:t>
      </w:r>
      <w:r>
        <w:rPr>
          <w:rFonts w:hint="eastAsia"/>
          <w:snapToGrid w:val="0"/>
          <w:color w:val="auto"/>
          <w:kern w:val="0"/>
          <w:sz w:val="24"/>
          <w:highlight w:val="none"/>
        </w:rPr>
        <w:t>处理工艺合理性分析</w:t>
      </w:r>
    </w:p>
    <w:p w14:paraId="7B7A37B4">
      <w:pPr>
        <w:adjustRightInd w:val="0"/>
        <w:snapToGrid w:val="0"/>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1）厂区污水处理站</w:t>
      </w:r>
      <w:r>
        <w:rPr>
          <w:rFonts w:hint="eastAsia"/>
          <w:snapToGrid w:val="0"/>
          <w:color w:val="auto"/>
          <w:kern w:val="0"/>
          <w:sz w:val="24"/>
          <w:highlight w:val="none"/>
        </w:rPr>
        <w:t>处理工艺合理性</w:t>
      </w:r>
    </w:p>
    <w:p w14:paraId="4BA0D274">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目前厂区内已建设1座1.1万m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/d污水处理站，采用</w:t>
      </w:r>
      <w:r>
        <w:rPr>
          <w:rFonts w:hint="eastAsia"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bidi="ar-SA"/>
        </w:rPr>
        <w:t>中和沉淀+</w:t>
      </w:r>
      <w:r>
        <w:rPr>
          <w:rFonts w:hint="default" w:ascii="Times New Roman" w:hAnsi="Times New Roman" w:eastAsia="宋体" w:cs="Times New Roman"/>
          <w:color w:val="auto"/>
          <w:sz w:val="24"/>
          <w:szCs w:val="24"/>
          <w:highlight w:val="none"/>
          <w:lang w:val="en-US" w:eastAsia="zh-CN" w:bidi="ar-SA"/>
        </w:rPr>
        <w:t>水解酸化+A</w:t>
      </w:r>
      <w:r>
        <w:rPr>
          <w:rFonts w:hint="default" w:ascii="Times New Roman" w:hAnsi="Times New Roman" w:eastAsia="宋体" w:cs="Times New Roman"/>
          <w:color w:val="auto"/>
          <w:sz w:val="24"/>
          <w:szCs w:val="24"/>
          <w:highlight w:val="none"/>
          <w:vertAlign w:val="subscript"/>
          <w:lang w:val="en-US" w:eastAsia="zh-CN" w:bidi="ar-SA"/>
        </w:rPr>
        <w:t>2</w:t>
      </w:r>
      <w:r>
        <w:rPr>
          <w:rFonts w:hint="default" w:ascii="Times New Roman" w:hAnsi="Times New Roman" w:eastAsia="宋体" w:cs="Times New Roman"/>
          <w:color w:val="auto"/>
          <w:sz w:val="24"/>
          <w:szCs w:val="24"/>
          <w:highlight w:val="none"/>
          <w:lang w:val="en-US" w:eastAsia="zh-CN" w:bidi="ar-SA"/>
        </w:rPr>
        <w:t>O</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bidi="ar-SA"/>
        </w:rPr>
        <w:t>处理工艺，同时另设置MBR+RO+MVR废水处理</w:t>
      </w:r>
      <w:r>
        <w:rPr>
          <w:rFonts w:hint="eastAsia" w:eastAsia="宋体" w:cs="Times New Roman"/>
          <w:color w:val="auto"/>
          <w:sz w:val="24"/>
          <w:szCs w:val="24"/>
          <w:highlight w:val="none"/>
          <w:lang w:val="en-US" w:eastAsia="zh-CN" w:bidi="ar-SA"/>
        </w:rPr>
        <w:t>设施</w:t>
      </w:r>
      <w:r>
        <w:rPr>
          <w:rFonts w:hint="default" w:ascii="Times New Roman" w:hAnsi="Times New Roman" w:eastAsia="宋体" w:cs="Times New Roman"/>
          <w:color w:val="auto"/>
          <w:sz w:val="24"/>
          <w:szCs w:val="24"/>
          <w:highlight w:val="none"/>
          <w:lang w:val="en-US" w:eastAsia="zh-CN" w:bidi="ar-SA"/>
        </w:rPr>
        <w:t>。</w:t>
      </w:r>
    </w:p>
    <w:p w14:paraId="1606E613">
      <w:pPr>
        <w:widowControl/>
        <w:spacing w:before="0" w:beforeAutospacing="0" w:after="0" w:afterAutospacing="0" w:line="360" w:lineRule="auto"/>
        <w:ind w:firstLine="480"/>
        <w:jc w:val="left"/>
        <w:rPr>
          <w:rFonts w:hint="eastAsia" w:ascii="Times New Roman" w:hAnsi="Times New Roman" w:eastAsia="宋体" w:cs="Times New Roman"/>
          <w:color w:val="auto"/>
          <w:kern w:val="2"/>
          <w:sz w:val="24"/>
          <w:szCs w:val="24"/>
          <w:highlight w:val="none"/>
          <w:lang w:val="en-US" w:eastAsia="zh-CN"/>
        </w:rPr>
      </w:pPr>
      <w:r>
        <w:rPr>
          <w:rFonts w:hint="eastAsia" w:ascii="Times New Roman" w:hAnsi="Times New Roman" w:cs="Times New Roman"/>
          <w:snapToGrid w:val="0"/>
          <w:color w:val="auto"/>
          <w:kern w:val="2"/>
          <w:sz w:val="24"/>
          <w:szCs w:val="24"/>
          <w:highlight w:val="none"/>
          <w:lang w:val="en-US" w:eastAsia="zh-CN" w:bidi="ar-SA"/>
        </w:rPr>
        <w:t>现有工程已建污水处理站</w:t>
      </w:r>
      <w:r>
        <w:rPr>
          <w:rFonts w:hint="eastAsia" w:ascii="Times New Roman" w:hAnsi="Times New Roman" w:cs="Times New Roman"/>
          <w:color w:val="auto"/>
          <w:kern w:val="2"/>
          <w:sz w:val="24"/>
          <w:szCs w:val="24"/>
          <w:highlight w:val="none"/>
          <w:lang w:val="en-US" w:eastAsia="zh-CN"/>
        </w:rPr>
        <w:t>工艺</w:t>
      </w:r>
      <w:r>
        <w:rPr>
          <w:rFonts w:hint="eastAsia" w:ascii="Times New Roman" w:hAnsi="Times New Roman" w:eastAsia="宋体" w:cs="Times New Roman"/>
          <w:color w:val="auto"/>
          <w:kern w:val="2"/>
          <w:sz w:val="24"/>
          <w:szCs w:val="24"/>
          <w:highlight w:val="none"/>
          <w:lang w:val="en-US" w:eastAsia="zh-CN"/>
        </w:rPr>
        <w:t>流程图如下：</w:t>
      </w:r>
    </w:p>
    <w:p w14:paraId="0F381007">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imes New Roman" w:hAnsi="Times New Roman" w:eastAsia="宋体" w:cs="宋体"/>
          <w:color w:val="auto"/>
          <w:sz w:val="24"/>
          <w:szCs w:val="22"/>
          <w:highlight w:val="none"/>
          <w:lang w:val="en-US" w:eastAsia="zh-CN"/>
        </w:rPr>
      </w:pPr>
      <w:r>
        <w:rPr>
          <w:color w:val="auto"/>
          <w:highlight w:val="none"/>
        </w:rPr>
        <w:drawing>
          <wp:inline distT="0" distB="0" distL="114300" distR="114300">
            <wp:extent cx="4841875" cy="1448435"/>
            <wp:effectExtent l="0" t="0" r="15875" b="18415"/>
            <wp:docPr id="3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14"/>
                    <pic:cNvPicPr>
                      <a:picLocks noChangeAspect="1"/>
                    </pic:cNvPicPr>
                  </pic:nvPicPr>
                  <pic:blipFill>
                    <a:blip r:embed="rId84"/>
                    <a:stretch>
                      <a:fillRect/>
                    </a:stretch>
                  </pic:blipFill>
                  <pic:spPr>
                    <a:xfrm>
                      <a:off x="0" y="0"/>
                      <a:ext cx="4841875" cy="1448435"/>
                    </a:xfrm>
                    <a:prstGeom prst="rect">
                      <a:avLst/>
                    </a:prstGeom>
                    <a:noFill/>
                    <a:ln>
                      <a:noFill/>
                    </a:ln>
                  </pic:spPr>
                </pic:pic>
              </a:graphicData>
            </a:graphic>
          </wp:inline>
        </w:drawing>
      </w:r>
    </w:p>
    <w:p w14:paraId="35C4D9D9">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rPr>
          <w:rFonts w:hint="default" w:ascii="Times New Roman" w:hAnsi="Times New Roman" w:eastAsia="黑体" w:cs="Times New Roman"/>
          <w:b w:val="0"/>
          <w:snapToGrid w:val="0"/>
          <w:color w:val="auto"/>
          <w:kern w:val="0"/>
          <w:sz w:val="21"/>
          <w:szCs w:val="24"/>
          <w:highlight w:val="none"/>
          <w:lang w:eastAsia="zh-CN"/>
        </w:rPr>
      </w:pPr>
      <w:r>
        <w:rPr>
          <w:rFonts w:hint="default" w:ascii="Times New Roman" w:hAnsi="Times New Roman" w:eastAsia="黑体" w:cs="Times New Roman"/>
          <w:b w:val="0"/>
          <w:snapToGrid w:val="0"/>
          <w:color w:val="auto"/>
          <w:kern w:val="0"/>
          <w:sz w:val="21"/>
          <w:szCs w:val="24"/>
          <w:highlight w:val="none"/>
          <w:lang w:eastAsia="zh-CN"/>
        </w:rPr>
        <w:t>图</w:t>
      </w:r>
      <w:r>
        <w:rPr>
          <w:rFonts w:hint="eastAsia" w:eastAsia="黑体" w:cs="Times New Roman"/>
          <w:b w:val="0"/>
          <w:snapToGrid w:val="0"/>
          <w:color w:val="auto"/>
          <w:kern w:val="0"/>
          <w:sz w:val="21"/>
          <w:szCs w:val="24"/>
          <w:highlight w:val="none"/>
          <w:lang w:val="en-US" w:eastAsia="zh-CN"/>
        </w:rPr>
        <w:t>7.2</w:t>
      </w:r>
      <w:r>
        <w:rPr>
          <w:rFonts w:hint="eastAsia" w:ascii="Times New Roman" w:hAnsi="Times New Roman" w:eastAsia="黑体" w:cs="Times New Roman"/>
          <w:b w:val="0"/>
          <w:snapToGrid w:val="0"/>
          <w:color w:val="auto"/>
          <w:kern w:val="0"/>
          <w:sz w:val="21"/>
          <w:szCs w:val="24"/>
          <w:highlight w:val="none"/>
          <w:lang w:val="en-US" w:eastAsia="zh-CN"/>
        </w:rPr>
        <w:t xml:space="preserve">-1 </w:t>
      </w:r>
      <w:r>
        <w:rPr>
          <w:rFonts w:hint="default" w:ascii="Times New Roman" w:hAnsi="Times New Roman" w:eastAsia="黑体" w:cs="Times New Roman"/>
          <w:b w:val="0"/>
          <w:snapToGrid w:val="0"/>
          <w:color w:val="auto"/>
          <w:kern w:val="0"/>
          <w:sz w:val="21"/>
          <w:szCs w:val="24"/>
          <w:highlight w:val="none"/>
          <w:lang w:eastAsia="zh-CN"/>
        </w:rPr>
        <w:t>现有工程废水处理工艺流程图</w:t>
      </w:r>
    </w:p>
    <w:p w14:paraId="24FC9BEF">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现有工程污水处理站</w:t>
      </w:r>
      <w:r>
        <w:rPr>
          <w:rFonts w:hint="eastAsia" w:ascii="Times New Roman" w:hAnsi="Times New Roman" w:eastAsia="宋体" w:cs="Times New Roman"/>
          <w:color w:val="auto"/>
          <w:kern w:val="2"/>
          <w:sz w:val="24"/>
          <w:szCs w:val="24"/>
          <w:highlight w:val="none"/>
          <w:lang w:val="en-US" w:eastAsia="zh-CN" w:bidi="ar-SA"/>
        </w:rPr>
        <w:t>工艺流程主要分三部分：</w:t>
      </w:r>
    </w:p>
    <w:p w14:paraId="02908CC3">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①预处理单元</w:t>
      </w:r>
    </w:p>
    <w:p w14:paraId="2673CC1B">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根据废水pH加酸或碱对</w:t>
      </w:r>
      <w:r>
        <w:rPr>
          <w:rFonts w:hint="eastAsia" w:ascii="Times New Roman" w:hAnsi="Times New Roman" w:eastAsia="宋体" w:cs="Times New Roman"/>
          <w:color w:val="auto"/>
          <w:kern w:val="2"/>
          <w:sz w:val="24"/>
          <w:szCs w:val="24"/>
          <w:highlight w:val="none"/>
          <w:lang w:val="en-US" w:eastAsia="zh-CN" w:bidi="ar-SA"/>
        </w:rPr>
        <w:t>生产废水pH值进行</w:t>
      </w:r>
      <w:r>
        <w:rPr>
          <w:rFonts w:hint="eastAsia" w:cs="Times New Roman"/>
          <w:color w:val="auto"/>
          <w:kern w:val="2"/>
          <w:sz w:val="24"/>
          <w:szCs w:val="24"/>
          <w:highlight w:val="none"/>
          <w:lang w:val="en-US" w:eastAsia="zh-CN" w:bidi="ar-SA"/>
        </w:rPr>
        <w:t>调节</w:t>
      </w:r>
      <w:r>
        <w:rPr>
          <w:rFonts w:hint="eastAsia" w:ascii="Times New Roman" w:hAnsi="Times New Roman" w:eastAsia="宋体" w:cs="Times New Roman"/>
          <w:color w:val="auto"/>
          <w:kern w:val="2"/>
          <w:sz w:val="24"/>
          <w:szCs w:val="24"/>
          <w:highlight w:val="none"/>
          <w:lang w:val="en-US" w:eastAsia="zh-CN" w:bidi="ar-SA"/>
        </w:rPr>
        <w:t>水质至中性，中和沉淀池后截留大颗粒悬浮物后，通过离心式污水提升泵输送至后续生物处理单元。</w:t>
      </w:r>
    </w:p>
    <w:p w14:paraId="1736B090">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若有事故发生时，废水先重力流入事故池，当事故解除后，经事故提升泵小流量泵回污水处理站进行处理。池内配有搅拌机，防止池体内固形物的沉积。还设有智能压力液位计进行液位的实时监测。</w:t>
      </w:r>
    </w:p>
    <w:p w14:paraId="50EA0146">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②生物处理单元</w:t>
      </w:r>
    </w:p>
    <w:p w14:paraId="282D722E">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混合后的污水组成发生改变，污水中C/N、C/P比值得到良好的改善，但混合液B/C较低，通过增设水解酸化，使得混合液中难降解的有机物发生水解、酸化，更容易被微生物利用，从而达到改善污水可生化性的目的。</w:t>
      </w:r>
    </w:p>
    <w:p w14:paraId="5D6C0C42">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本项目</w:t>
      </w:r>
      <w:r>
        <w:rPr>
          <w:rFonts w:hint="eastAsia" w:ascii="Times New Roman" w:hAnsi="Times New Roman" w:eastAsia="宋体" w:cs="Times New Roman"/>
          <w:color w:val="auto"/>
          <w:kern w:val="2"/>
          <w:sz w:val="24"/>
          <w:szCs w:val="24"/>
          <w:highlight w:val="none"/>
          <w:lang w:val="en-US" w:eastAsia="zh-CN" w:bidi="ar-SA"/>
        </w:rPr>
        <w:t>生产废水具有NH</w:t>
      </w:r>
      <w:r>
        <w:rPr>
          <w:rFonts w:hint="eastAsia" w:ascii="Times New Roman" w:hAnsi="Times New Roman" w:eastAsia="宋体" w:cs="Times New Roman"/>
          <w:color w:val="auto"/>
          <w:kern w:val="2"/>
          <w:sz w:val="24"/>
          <w:szCs w:val="24"/>
          <w:highlight w:val="none"/>
          <w:vertAlign w:val="sub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-N</w:t>
      </w:r>
      <w:r>
        <w:rPr>
          <w:rFonts w:hint="eastAsia" w:ascii="Times New Roman" w:hAnsi="Times New Roman" w:cs="Times New Roman"/>
          <w:color w:val="auto"/>
          <w:kern w:val="2"/>
          <w:sz w:val="24"/>
          <w:szCs w:val="24"/>
          <w:highlight w:val="none"/>
          <w:lang w:val="en-US" w:eastAsia="zh-CN" w:bidi="ar-SA"/>
        </w:rPr>
        <w:t>高</w:t>
      </w:r>
      <w:r>
        <w:rPr>
          <w:rFonts w:hint="eastAsia" w:ascii="Times New Roman" w:hAnsi="Times New Roman" w:eastAsia="宋体" w:cs="Times New Roman"/>
          <w:color w:val="auto"/>
          <w:kern w:val="2"/>
          <w:sz w:val="24"/>
          <w:szCs w:val="24"/>
          <w:highlight w:val="none"/>
          <w:lang w:val="en-US" w:eastAsia="zh-CN" w:bidi="ar-SA"/>
        </w:rPr>
        <w:t>的特点，</w:t>
      </w:r>
      <w:r>
        <w:rPr>
          <w:rFonts w:hint="eastAsia" w:ascii="Times New Roman" w:hAnsi="Times New Roman" w:cs="Times New Roman"/>
          <w:color w:val="auto"/>
          <w:kern w:val="2"/>
          <w:sz w:val="24"/>
          <w:szCs w:val="24"/>
          <w:highlight w:val="none"/>
          <w:lang w:val="en-US" w:eastAsia="zh-CN" w:bidi="ar-SA"/>
        </w:rPr>
        <w:t>现有工程</w:t>
      </w:r>
      <w:r>
        <w:rPr>
          <w:rFonts w:hint="eastAsia" w:ascii="Times New Roman" w:hAnsi="Times New Roman" w:eastAsia="宋体" w:cs="Times New Roman"/>
          <w:color w:val="auto"/>
          <w:kern w:val="2"/>
          <w:sz w:val="24"/>
          <w:szCs w:val="24"/>
          <w:highlight w:val="none"/>
          <w:lang w:val="en-US" w:eastAsia="zh-CN" w:bidi="ar-SA"/>
        </w:rPr>
        <w:t>生产废水具有TP高的特点，因此选用具有脱氮除磷功效的A</w:t>
      </w:r>
      <w:r>
        <w:rPr>
          <w:rFonts w:hint="eastAsia" w:ascii="Times New Roman" w:hAnsi="Times New Roman" w:eastAsia="宋体" w:cs="Times New Roman"/>
          <w:color w:val="auto"/>
          <w:kern w:val="2"/>
          <w:sz w:val="24"/>
          <w:szCs w:val="24"/>
          <w:highlight w:val="none"/>
          <w:vertAlign w:val="sub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O工艺可实现对污水中NH</w:t>
      </w:r>
      <w:r>
        <w:rPr>
          <w:rFonts w:hint="eastAsia" w:ascii="Times New Roman" w:hAnsi="Times New Roman" w:eastAsia="宋体" w:cs="Times New Roman"/>
          <w:color w:val="auto"/>
          <w:kern w:val="2"/>
          <w:sz w:val="24"/>
          <w:szCs w:val="24"/>
          <w:highlight w:val="none"/>
          <w:vertAlign w:val="sub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-N、TP的去除。</w:t>
      </w:r>
    </w:p>
    <w:p w14:paraId="281C2A71">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③污泥处理单元</w:t>
      </w:r>
    </w:p>
    <w:p w14:paraId="531563B9">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污水通过初沉作用产生的污泥、污水中和沉淀物、A</w:t>
      </w:r>
      <w:r>
        <w:rPr>
          <w:rFonts w:hint="eastAsia" w:ascii="Times New Roman" w:hAnsi="Times New Roman" w:eastAsia="宋体" w:cs="Times New Roman"/>
          <w:color w:val="auto"/>
          <w:kern w:val="2"/>
          <w:sz w:val="24"/>
          <w:szCs w:val="24"/>
          <w:highlight w:val="none"/>
          <w:vertAlign w:val="sub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O生物反应池的剩余污泥</w:t>
      </w:r>
      <w:r>
        <w:rPr>
          <w:rFonts w:hint="eastAsia" w:cs="Times New Roman"/>
          <w:color w:val="auto"/>
          <w:kern w:val="2"/>
          <w:sz w:val="24"/>
          <w:szCs w:val="24"/>
          <w:highlight w:val="none"/>
          <w:lang w:val="en-US" w:eastAsia="zh-CN" w:bidi="ar-SA"/>
        </w:rPr>
        <w:t>，以及</w:t>
      </w:r>
      <w:r>
        <w:rPr>
          <w:rFonts w:hint="eastAsia" w:ascii="Times New Roman" w:hAnsi="Times New Roman" w:eastAsia="宋体" w:cs="Times New Roman"/>
          <w:color w:val="auto"/>
          <w:kern w:val="2"/>
          <w:sz w:val="24"/>
          <w:szCs w:val="24"/>
          <w:highlight w:val="none"/>
          <w:lang w:val="en-US" w:eastAsia="zh-CN" w:bidi="ar-SA"/>
        </w:rPr>
        <w:t>化学除磷污泥进入贮泥曝气池储存，通过污泥螺杆泵打入带式浓缩脱水机一体机，通过添加药剂，保证出泥含水率</w:t>
      </w:r>
      <w:r>
        <w:rPr>
          <w:rFonts w:hint="eastAsia"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80%，再进入电渗析污泥干化系统进行深度脱水，保证出泥含水率</w:t>
      </w:r>
      <w:r>
        <w:rPr>
          <w:rFonts w:hint="eastAsia"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60%。</w:t>
      </w:r>
    </w:p>
    <w:p w14:paraId="18F65DE5">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④深度处理单元</w:t>
      </w:r>
    </w:p>
    <w:p w14:paraId="296E3F8B">
      <w:pPr>
        <w:widowControl w:val="0"/>
        <w:spacing w:line="360" w:lineRule="auto"/>
        <w:ind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现有工程污水处理站设置“MBR+RO+MVR”废水处理</w:t>
      </w:r>
      <w:r>
        <w:rPr>
          <w:rFonts w:hint="eastAsia" w:eastAsia="宋体" w:cs="Times New Roman"/>
          <w:color w:val="auto"/>
          <w:kern w:val="2"/>
          <w:sz w:val="24"/>
          <w:szCs w:val="24"/>
          <w:highlight w:val="none"/>
          <w:lang w:val="en-US" w:eastAsia="zh-CN" w:bidi="ar-SA"/>
        </w:rPr>
        <w:t>设施</w:t>
      </w:r>
      <w:r>
        <w:rPr>
          <w:rFonts w:hint="eastAsia" w:ascii="Times New Roman" w:hAnsi="Times New Roman" w:eastAsia="宋体" w:cs="Times New Roman"/>
          <w:color w:val="auto"/>
          <w:kern w:val="2"/>
          <w:sz w:val="24"/>
          <w:szCs w:val="24"/>
          <w:highlight w:val="none"/>
          <w:lang w:val="en-US" w:eastAsia="zh-CN" w:bidi="ar-SA"/>
        </w:rPr>
        <w:t>。</w:t>
      </w:r>
    </w:p>
    <w:p w14:paraId="16C9DABD">
      <w:pPr>
        <w:adjustRightInd w:val="0"/>
        <w:snapToGrid w:val="0"/>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2）污水处理厂一期工程</w:t>
      </w:r>
      <w:r>
        <w:rPr>
          <w:rFonts w:hint="eastAsia"/>
          <w:snapToGrid w:val="0"/>
          <w:color w:val="auto"/>
          <w:kern w:val="0"/>
          <w:sz w:val="24"/>
          <w:highlight w:val="none"/>
        </w:rPr>
        <w:t>处理工艺合理性</w:t>
      </w:r>
    </w:p>
    <w:p w14:paraId="59F74312">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一期工程</w:t>
      </w:r>
      <w:r>
        <w:rPr>
          <w:color w:val="auto"/>
          <w:kern w:val="0"/>
          <w:sz w:val="24"/>
          <w:highlight w:val="none"/>
        </w:rPr>
        <w:t>污水处理工艺分为三个阶段：一阶段为预处理段（物化沉淀+水解酸化），二阶段为生化处理段，三阶段为深度处理段（反硝化深床滤池+臭氧接触氧化）。</w:t>
      </w:r>
    </w:p>
    <w:p w14:paraId="09DFC043">
      <w:pPr>
        <w:pStyle w:val="412"/>
        <w:tabs>
          <w:tab w:val="left" w:pos="0"/>
          <w:tab w:val="clear" w:pos="6840"/>
        </w:tabs>
        <w:topLinePunct w:val="0"/>
        <w:adjustRightInd w:val="0"/>
        <w:spacing w:before="120" w:beforeLines="50" w:line="240" w:lineRule="auto"/>
        <w:ind w:left="0" w:firstLine="422" w:firstLineChars="200"/>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7.2-</w:t>
      </w:r>
      <w:r>
        <w:rPr>
          <w:rFonts w:hint="eastAsia" w:ascii="Times New Roman" w:hAnsi="Times New Roman" w:cs="Times New Roman"/>
          <w:color w:val="auto"/>
          <w:sz w:val="21"/>
          <w:szCs w:val="21"/>
          <w:highlight w:val="none"/>
          <w:lang w:val="en-US" w:eastAsia="zh-CN"/>
        </w:rPr>
        <w:t xml:space="preserve">2 </w:t>
      </w:r>
      <w:r>
        <w:rPr>
          <w:rFonts w:hint="eastAsia" w:ascii="Times New Roman" w:hAnsi="Times New Roman" w:cs="Times New Roman"/>
          <w:color w:val="auto"/>
          <w:sz w:val="21"/>
          <w:szCs w:val="21"/>
          <w:highlight w:val="none"/>
        </w:rPr>
        <w:t>一期工程</w:t>
      </w:r>
      <w:r>
        <w:rPr>
          <w:rFonts w:ascii="Times New Roman" w:hAnsi="Times New Roman" w:cs="Times New Roman"/>
          <w:color w:val="auto"/>
          <w:sz w:val="21"/>
          <w:szCs w:val="21"/>
          <w:highlight w:val="none"/>
        </w:rPr>
        <w:t>进出水水质表</w:t>
      </w:r>
      <w:r>
        <w:rPr>
          <w:rFonts w:hint="eastAsia" w:ascii="Times New Roman" w:hAnsi="Times New Roman" w:cs="Times New Roman"/>
          <w:color w:val="auto"/>
          <w:sz w:val="21"/>
          <w:szCs w:val="21"/>
          <w:highlight w:val="none"/>
        </w:rPr>
        <w:t xml:space="preserve">   </w:t>
      </w:r>
      <w:r>
        <w:rPr>
          <w:rFonts w:ascii="Times New Roman" w:hAnsi="Times New Roman" w:cs="Times New Roman"/>
          <w:color w:val="auto"/>
          <w:sz w:val="21"/>
          <w:szCs w:val="21"/>
          <w:highlight w:val="none"/>
        </w:rPr>
        <w:t>单位：mg/L</w:t>
      </w:r>
    </w:p>
    <w:tbl>
      <w:tblPr>
        <w:tblStyle w:val="735"/>
        <w:tblW w:w="497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43"/>
        <w:gridCol w:w="400"/>
        <w:gridCol w:w="649"/>
        <w:gridCol w:w="649"/>
        <w:gridCol w:w="649"/>
        <w:gridCol w:w="649"/>
        <w:gridCol w:w="649"/>
        <w:gridCol w:w="649"/>
        <w:gridCol w:w="649"/>
        <w:gridCol w:w="649"/>
        <w:gridCol w:w="650"/>
      </w:tblGrid>
      <w:tr w14:paraId="3AF8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88" w:type="pct"/>
            <w:gridSpan w:val="2"/>
            <w:vAlign w:val="center"/>
          </w:tcPr>
          <w:p w14:paraId="34E583EE">
            <w:pPr>
              <w:pStyle w:val="789"/>
              <w:autoSpaceDE w:val="0"/>
              <w:autoSpaceDN w:val="0"/>
              <w:rPr>
                <w:rFonts w:hint="default"/>
                <w:color w:val="auto"/>
                <w:szCs w:val="21"/>
                <w:highlight w:val="none"/>
                <w:lang w:eastAsia="en-US"/>
              </w:rPr>
            </w:pPr>
            <w:r>
              <w:rPr>
                <w:rFonts w:hint="default"/>
                <w:color w:val="auto"/>
                <w:szCs w:val="21"/>
                <w:highlight w:val="none"/>
                <w:lang w:eastAsia="en-US"/>
              </w:rPr>
              <w:t>执行标准</w:t>
            </w:r>
          </w:p>
        </w:tc>
        <w:tc>
          <w:tcPr>
            <w:tcW w:w="423" w:type="pct"/>
            <w:vAlign w:val="center"/>
          </w:tcPr>
          <w:p w14:paraId="34E22767">
            <w:pPr>
              <w:pStyle w:val="789"/>
              <w:autoSpaceDE w:val="0"/>
              <w:autoSpaceDN w:val="0"/>
              <w:rPr>
                <w:rFonts w:hint="default"/>
                <w:color w:val="auto"/>
                <w:szCs w:val="21"/>
                <w:highlight w:val="none"/>
                <w:lang w:eastAsia="en-US"/>
              </w:rPr>
            </w:pPr>
            <w:r>
              <w:rPr>
                <w:rFonts w:hint="default"/>
                <w:color w:val="auto"/>
                <w:szCs w:val="21"/>
                <w:highlight w:val="none"/>
                <w:lang w:eastAsia="en-US"/>
              </w:rPr>
              <w:t>COD</w:t>
            </w:r>
          </w:p>
        </w:tc>
        <w:tc>
          <w:tcPr>
            <w:tcW w:w="423" w:type="pct"/>
            <w:vAlign w:val="center"/>
          </w:tcPr>
          <w:p w14:paraId="60F1A1D3">
            <w:pPr>
              <w:pStyle w:val="789"/>
              <w:autoSpaceDE w:val="0"/>
              <w:autoSpaceDN w:val="0"/>
              <w:rPr>
                <w:rFonts w:hint="default"/>
                <w:color w:val="auto"/>
                <w:szCs w:val="21"/>
                <w:highlight w:val="none"/>
                <w:lang w:eastAsia="en-US"/>
              </w:rPr>
            </w:pPr>
            <w:r>
              <w:rPr>
                <w:rFonts w:hint="default"/>
                <w:color w:val="auto"/>
                <w:szCs w:val="21"/>
                <w:highlight w:val="none"/>
                <w:lang w:eastAsia="en-US"/>
              </w:rPr>
              <w:t>BOD</w:t>
            </w:r>
            <w:r>
              <w:rPr>
                <w:rFonts w:hint="default"/>
                <w:color w:val="auto"/>
                <w:szCs w:val="21"/>
                <w:highlight w:val="none"/>
                <w:vertAlign w:val="subscript"/>
                <w:lang w:eastAsia="en-US"/>
              </w:rPr>
              <w:t>5</w:t>
            </w:r>
          </w:p>
        </w:tc>
        <w:tc>
          <w:tcPr>
            <w:tcW w:w="423" w:type="pct"/>
            <w:vAlign w:val="center"/>
          </w:tcPr>
          <w:p w14:paraId="28F8CADA">
            <w:pPr>
              <w:pStyle w:val="789"/>
              <w:autoSpaceDE w:val="0"/>
              <w:autoSpaceDN w:val="0"/>
              <w:rPr>
                <w:rFonts w:hint="default"/>
                <w:color w:val="auto"/>
                <w:szCs w:val="21"/>
                <w:highlight w:val="none"/>
                <w:lang w:eastAsia="en-US"/>
              </w:rPr>
            </w:pPr>
            <w:r>
              <w:rPr>
                <w:rFonts w:hint="default"/>
                <w:color w:val="auto"/>
                <w:szCs w:val="21"/>
                <w:highlight w:val="none"/>
                <w:lang w:eastAsia="en-US"/>
              </w:rPr>
              <w:t>SS</w:t>
            </w:r>
          </w:p>
        </w:tc>
        <w:tc>
          <w:tcPr>
            <w:tcW w:w="423" w:type="pct"/>
            <w:vAlign w:val="center"/>
          </w:tcPr>
          <w:p w14:paraId="0F5407E0">
            <w:pPr>
              <w:pStyle w:val="789"/>
              <w:autoSpaceDE w:val="0"/>
              <w:autoSpaceDN w:val="0"/>
              <w:rPr>
                <w:rFonts w:hint="default"/>
                <w:color w:val="auto"/>
                <w:szCs w:val="21"/>
                <w:highlight w:val="none"/>
                <w:lang w:eastAsia="en-US"/>
              </w:rPr>
            </w:pPr>
            <w:r>
              <w:rPr>
                <w:rFonts w:hint="default"/>
                <w:color w:val="auto"/>
                <w:szCs w:val="21"/>
                <w:highlight w:val="none"/>
                <w:lang w:eastAsia="en-US"/>
              </w:rPr>
              <w:t>NH</w:t>
            </w:r>
            <w:r>
              <w:rPr>
                <w:rFonts w:hint="default"/>
                <w:color w:val="auto"/>
                <w:szCs w:val="21"/>
                <w:highlight w:val="none"/>
                <w:vertAlign w:val="subscript"/>
                <w:lang w:eastAsia="en-US"/>
              </w:rPr>
              <w:t>3</w:t>
            </w:r>
            <w:r>
              <w:rPr>
                <w:rFonts w:hint="default"/>
                <w:color w:val="auto"/>
                <w:szCs w:val="21"/>
                <w:highlight w:val="none"/>
                <w:lang w:eastAsia="en-US"/>
              </w:rPr>
              <w:t>-N</w:t>
            </w:r>
          </w:p>
        </w:tc>
        <w:tc>
          <w:tcPr>
            <w:tcW w:w="423" w:type="pct"/>
            <w:vAlign w:val="center"/>
          </w:tcPr>
          <w:p w14:paraId="31C5BDBE">
            <w:pPr>
              <w:pStyle w:val="789"/>
              <w:autoSpaceDE w:val="0"/>
              <w:autoSpaceDN w:val="0"/>
              <w:rPr>
                <w:rFonts w:hint="default"/>
                <w:color w:val="auto"/>
                <w:szCs w:val="21"/>
                <w:highlight w:val="none"/>
                <w:lang w:eastAsia="en-US"/>
              </w:rPr>
            </w:pPr>
            <w:r>
              <w:rPr>
                <w:rFonts w:hint="default"/>
                <w:color w:val="auto"/>
                <w:szCs w:val="21"/>
                <w:highlight w:val="none"/>
                <w:lang w:eastAsia="en-US"/>
              </w:rPr>
              <w:t>TN</w:t>
            </w:r>
          </w:p>
        </w:tc>
        <w:tc>
          <w:tcPr>
            <w:tcW w:w="423" w:type="pct"/>
            <w:vAlign w:val="center"/>
          </w:tcPr>
          <w:p w14:paraId="201B20C5">
            <w:pPr>
              <w:pStyle w:val="789"/>
              <w:autoSpaceDE w:val="0"/>
              <w:autoSpaceDN w:val="0"/>
              <w:rPr>
                <w:rFonts w:hint="default"/>
                <w:color w:val="auto"/>
                <w:szCs w:val="21"/>
                <w:highlight w:val="none"/>
                <w:lang w:eastAsia="en-US"/>
              </w:rPr>
            </w:pPr>
            <w:r>
              <w:rPr>
                <w:rFonts w:hint="default"/>
                <w:color w:val="auto"/>
                <w:szCs w:val="21"/>
                <w:highlight w:val="none"/>
                <w:lang w:eastAsia="en-US"/>
              </w:rPr>
              <w:t>TP</w:t>
            </w:r>
          </w:p>
        </w:tc>
        <w:tc>
          <w:tcPr>
            <w:tcW w:w="423" w:type="pct"/>
            <w:vAlign w:val="center"/>
          </w:tcPr>
          <w:p w14:paraId="778B5A13">
            <w:pPr>
              <w:pStyle w:val="789"/>
              <w:autoSpaceDE w:val="0"/>
              <w:autoSpaceDN w:val="0"/>
              <w:rPr>
                <w:rFonts w:hint="default"/>
                <w:color w:val="auto"/>
                <w:szCs w:val="21"/>
                <w:highlight w:val="none"/>
                <w:lang w:eastAsia="en-US"/>
              </w:rPr>
            </w:pPr>
            <w:r>
              <w:rPr>
                <w:rFonts w:hint="default"/>
                <w:color w:val="auto"/>
                <w:szCs w:val="21"/>
                <w:highlight w:val="none"/>
                <w:lang w:eastAsia="en-US"/>
              </w:rPr>
              <w:t>pH</w:t>
            </w:r>
          </w:p>
        </w:tc>
        <w:tc>
          <w:tcPr>
            <w:tcW w:w="423" w:type="pct"/>
            <w:vAlign w:val="center"/>
          </w:tcPr>
          <w:p w14:paraId="374EEED5">
            <w:pPr>
              <w:pStyle w:val="789"/>
              <w:autoSpaceDE w:val="0"/>
              <w:autoSpaceDN w:val="0"/>
              <w:rPr>
                <w:rFonts w:hint="default"/>
                <w:color w:val="auto"/>
                <w:szCs w:val="21"/>
                <w:highlight w:val="none"/>
                <w:lang w:eastAsia="en-US"/>
              </w:rPr>
            </w:pPr>
            <w:r>
              <w:rPr>
                <w:rFonts w:hint="default"/>
                <w:color w:val="auto"/>
                <w:szCs w:val="21"/>
                <w:highlight w:val="none"/>
                <w:lang w:eastAsia="en-US"/>
              </w:rPr>
              <w:t>SO</w:t>
            </w:r>
            <w:r>
              <w:rPr>
                <w:rFonts w:hint="default"/>
                <w:color w:val="auto"/>
                <w:szCs w:val="21"/>
                <w:highlight w:val="none"/>
                <w:vertAlign w:val="subscript"/>
                <w:lang w:eastAsia="en-US"/>
              </w:rPr>
              <w:t>4</w:t>
            </w:r>
            <w:r>
              <w:rPr>
                <w:rFonts w:hint="default"/>
                <w:color w:val="auto"/>
                <w:szCs w:val="21"/>
                <w:highlight w:val="none"/>
                <w:vertAlign w:val="superscript"/>
                <w:lang w:eastAsia="en-US"/>
              </w:rPr>
              <w:t>2-</w:t>
            </w:r>
          </w:p>
        </w:tc>
        <w:tc>
          <w:tcPr>
            <w:tcW w:w="423" w:type="pct"/>
            <w:vAlign w:val="center"/>
          </w:tcPr>
          <w:p w14:paraId="7A4A4B59">
            <w:pPr>
              <w:pStyle w:val="789"/>
              <w:autoSpaceDE w:val="0"/>
              <w:autoSpaceDN w:val="0"/>
              <w:rPr>
                <w:rFonts w:hint="default"/>
                <w:color w:val="auto"/>
                <w:szCs w:val="21"/>
                <w:highlight w:val="none"/>
                <w:lang w:eastAsia="en-US"/>
              </w:rPr>
            </w:pPr>
            <w:r>
              <w:rPr>
                <w:rFonts w:hint="default"/>
                <w:color w:val="auto"/>
                <w:szCs w:val="21"/>
                <w:highlight w:val="none"/>
                <w:lang w:eastAsia="en-US"/>
              </w:rPr>
              <w:t>TDS</w:t>
            </w:r>
          </w:p>
        </w:tc>
      </w:tr>
      <w:tr w14:paraId="64314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17" w:type="pct"/>
            <w:vAlign w:val="center"/>
          </w:tcPr>
          <w:p w14:paraId="5F097A4B">
            <w:pPr>
              <w:pStyle w:val="789"/>
              <w:autoSpaceDE w:val="0"/>
              <w:autoSpaceDN w:val="0"/>
              <w:rPr>
                <w:rFonts w:hint="default"/>
                <w:color w:val="auto"/>
                <w:szCs w:val="21"/>
                <w:highlight w:val="none"/>
                <w:lang w:eastAsia="zh-CN"/>
              </w:rPr>
            </w:pPr>
            <w:r>
              <w:rPr>
                <w:rFonts w:hint="default"/>
                <w:color w:val="auto"/>
                <w:szCs w:val="21"/>
                <w:highlight w:val="none"/>
                <w:lang w:eastAsia="zh-CN"/>
              </w:rPr>
              <w:t>《污水排入城镇下水道水质标准》（</w:t>
            </w:r>
            <w:r>
              <w:rPr>
                <w:color w:val="auto"/>
                <w:szCs w:val="21"/>
                <w:highlight w:val="none"/>
                <w:lang w:eastAsia="zh-CN"/>
              </w:rPr>
              <w:t>GB/T 31962-2015</w:t>
            </w:r>
            <w:r>
              <w:rPr>
                <w:rFonts w:hint="default"/>
                <w:color w:val="auto"/>
                <w:szCs w:val="21"/>
                <w:highlight w:val="none"/>
                <w:lang w:eastAsia="zh-CN"/>
              </w:rPr>
              <w:t>）及《污水综合排放标准》（GB8978-1996）三级标准</w:t>
            </w:r>
          </w:p>
        </w:tc>
        <w:tc>
          <w:tcPr>
            <w:tcW w:w="271" w:type="pct"/>
            <w:vAlign w:val="center"/>
          </w:tcPr>
          <w:p w14:paraId="66F77A12">
            <w:pPr>
              <w:pStyle w:val="789"/>
              <w:autoSpaceDE w:val="0"/>
              <w:autoSpaceDN w:val="0"/>
              <w:rPr>
                <w:rFonts w:hint="default"/>
                <w:color w:val="auto"/>
                <w:szCs w:val="21"/>
                <w:highlight w:val="none"/>
                <w:lang w:eastAsia="en-US"/>
              </w:rPr>
            </w:pPr>
            <w:r>
              <w:rPr>
                <w:rFonts w:hint="default"/>
                <w:color w:val="auto"/>
                <w:szCs w:val="21"/>
                <w:highlight w:val="none"/>
                <w:lang w:eastAsia="en-US"/>
              </w:rPr>
              <w:t>进水水质</w:t>
            </w:r>
          </w:p>
        </w:tc>
        <w:tc>
          <w:tcPr>
            <w:tcW w:w="423" w:type="pct"/>
            <w:vAlign w:val="center"/>
          </w:tcPr>
          <w:p w14:paraId="57EAA07F">
            <w:pPr>
              <w:pStyle w:val="789"/>
              <w:autoSpaceDE w:val="0"/>
              <w:autoSpaceDN w:val="0"/>
              <w:rPr>
                <w:rFonts w:hint="default"/>
                <w:color w:val="auto"/>
                <w:szCs w:val="21"/>
                <w:highlight w:val="none"/>
                <w:lang w:eastAsia="en-US"/>
              </w:rPr>
            </w:pPr>
            <w:r>
              <w:rPr>
                <w:rFonts w:hint="default"/>
                <w:color w:val="auto"/>
                <w:szCs w:val="21"/>
                <w:highlight w:val="none"/>
                <w:lang w:eastAsia="en-US"/>
              </w:rPr>
              <w:t>500</w:t>
            </w:r>
          </w:p>
        </w:tc>
        <w:tc>
          <w:tcPr>
            <w:tcW w:w="423" w:type="pct"/>
            <w:vAlign w:val="center"/>
          </w:tcPr>
          <w:p w14:paraId="57D616B0">
            <w:pPr>
              <w:pStyle w:val="789"/>
              <w:autoSpaceDE w:val="0"/>
              <w:autoSpaceDN w:val="0"/>
              <w:rPr>
                <w:rFonts w:hint="default"/>
                <w:color w:val="auto"/>
                <w:szCs w:val="21"/>
                <w:highlight w:val="none"/>
                <w:lang w:eastAsia="en-US"/>
              </w:rPr>
            </w:pPr>
            <w:r>
              <w:rPr>
                <w:rFonts w:hint="default"/>
                <w:color w:val="auto"/>
                <w:szCs w:val="21"/>
                <w:highlight w:val="none"/>
                <w:lang w:eastAsia="en-US"/>
              </w:rPr>
              <w:t>350</w:t>
            </w:r>
          </w:p>
        </w:tc>
        <w:tc>
          <w:tcPr>
            <w:tcW w:w="423" w:type="pct"/>
            <w:vAlign w:val="center"/>
          </w:tcPr>
          <w:p w14:paraId="105F7B4A">
            <w:pPr>
              <w:pStyle w:val="789"/>
              <w:autoSpaceDE w:val="0"/>
              <w:autoSpaceDN w:val="0"/>
              <w:rPr>
                <w:rFonts w:hint="default"/>
                <w:color w:val="auto"/>
                <w:szCs w:val="21"/>
                <w:highlight w:val="none"/>
                <w:lang w:eastAsia="en-US"/>
              </w:rPr>
            </w:pPr>
            <w:r>
              <w:rPr>
                <w:rFonts w:hint="default"/>
                <w:color w:val="auto"/>
                <w:szCs w:val="21"/>
                <w:highlight w:val="none"/>
                <w:lang w:eastAsia="en-US"/>
              </w:rPr>
              <w:t>400</w:t>
            </w:r>
          </w:p>
        </w:tc>
        <w:tc>
          <w:tcPr>
            <w:tcW w:w="423" w:type="pct"/>
            <w:vAlign w:val="center"/>
          </w:tcPr>
          <w:p w14:paraId="0D038B0E">
            <w:pPr>
              <w:pStyle w:val="789"/>
              <w:autoSpaceDE w:val="0"/>
              <w:autoSpaceDN w:val="0"/>
              <w:rPr>
                <w:rFonts w:hint="default"/>
                <w:color w:val="auto"/>
                <w:szCs w:val="21"/>
                <w:highlight w:val="none"/>
                <w:lang w:eastAsia="en-US"/>
              </w:rPr>
            </w:pPr>
            <w:r>
              <w:rPr>
                <w:rFonts w:hint="default"/>
                <w:color w:val="auto"/>
                <w:szCs w:val="21"/>
                <w:highlight w:val="none"/>
                <w:lang w:eastAsia="en-US"/>
              </w:rPr>
              <w:t>45</w:t>
            </w:r>
          </w:p>
        </w:tc>
        <w:tc>
          <w:tcPr>
            <w:tcW w:w="423" w:type="pct"/>
            <w:vAlign w:val="center"/>
          </w:tcPr>
          <w:p w14:paraId="1C377DC7">
            <w:pPr>
              <w:pStyle w:val="789"/>
              <w:autoSpaceDE w:val="0"/>
              <w:autoSpaceDN w:val="0"/>
              <w:rPr>
                <w:rFonts w:hint="default"/>
                <w:color w:val="auto"/>
                <w:szCs w:val="21"/>
                <w:highlight w:val="none"/>
                <w:lang w:eastAsia="en-US"/>
              </w:rPr>
            </w:pPr>
            <w:r>
              <w:rPr>
                <w:rFonts w:hint="default"/>
                <w:color w:val="auto"/>
                <w:szCs w:val="21"/>
                <w:highlight w:val="none"/>
                <w:lang w:eastAsia="en-US"/>
              </w:rPr>
              <w:t>70</w:t>
            </w:r>
          </w:p>
        </w:tc>
        <w:tc>
          <w:tcPr>
            <w:tcW w:w="423" w:type="pct"/>
            <w:vAlign w:val="center"/>
          </w:tcPr>
          <w:p w14:paraId="11833C6A">
            <w:pPr>
              <w:pStyle w:val="789"/>
              <w:autoSpaceDE w:val="0"/>
              <w:autoSpaceDN w:val="0"/>
              <w:rPr>
                <w:rFonts w:hint="default"/>
                <w:color w:val="auto"/>
                <w:szCs w:val="21"/>
                <w:highlight w:val="none"/>
                <w:lang w:eastAsia="en-US"/>
              </w:rPr>
            </w:pPr>
            <w:r>
              <w:rPr>
                <w:rFonts w:hint="default"/>
                <w:color w:val="auto"/>
                <w:szCs w:val="21"/>
                <w:highlight w:val="none"/>
                <w:lang w:eastAsia="en-US"/>
              </w:rPr>
              <w:t>8</w:t>
            </w:r>
          </w:p>
        </w:tc>
        <w:tc>
          <w:tcPr>
            <w:tcW w:w="423" w:type="pct"/>
            <w:vAlign w:val="center"/>
          </w:tcPr>
          <w:p w14:paraId="0A35990A">
            <w:pPr>
              <w:pStyle w:val="789"/>
              <w:autoSpaceDE w:val="0"/>
              <w:autoSpaceDN w:val="0"/>
              <w:rPr>
                <w:rFonts w:hint="default"/>
                <w:color w:val="auto"/>
                <w:szCs w:val="21"/>
                <w:highlight w:val="none"/>
                <w:lang w:eastAsia="en-US"/>
              </w:rPr>
            </w:pPr>
            <w:r>
              <w:rPr>
                <w:rFonts w:hint="default"/>
                <w:color w:val="auto"/>
                <w:szCs w:val="21"/>
                <w:highlight w:val="none"/>
                <w:lang w:eastAsia="en-US"/>
              </w:rPr>
              <w:t>6.5-9.5</w:t>
            </w:r>
          </w:p>
        </w:tc>
        <w:tc>
          <w:tcPr>
            <w:tcW w:w="423" w:type="pct"/>
            <w:vAlign w:val="center"/>
          </w:tcPr>
          <w:p w14:paraId="4FF23416">
            <w:pPr>
              <w:pStyle w:val="789"/>
              <w:autoSpaceDE w:val="0"/>
              <w:autoSpaceDN w:val="0"/>
              <w:rPr>
                <w:rFonts w:hint="default"/>
                <w:color w:val="auto"/>
                <w:szCs w:val="21"/>
                <w:highlight w:val="none"/>
                <w:lang w:eastAsia="en-US"/>
              </w:rPr>
            </w:pPr>
            <w:r>
              <w:rPr>
                <w:rFonts w:hint="default"/>
                <w:color w:val="auto"/>
                <w:szCs w:val="21"/>
                <w:highlight w:val="none"/>
                <w:lang w:eastAsia="en-US"/>
              </w:rPr>
              <w:t>400</w:t>
            </w:r>
          </w:p>
        </w:tc>
        <w:tc>
          <w:tcPr>
            <w:tcW w:w="423" w:type="pct"/>
            <w:vAlign w:val="center"/>
          </w:tcPr>
          <w:p w14:paraId="237FF088">
            <w:pPr>
              <w:pStyle w:val="789"/>
              <w:autoSpaceDE w:val="0"/>
              <w:autoSpaceDN w:val="0"/>
              <w:rPr>
                <w:rFonts w:hint="default"/>
                <w:color w:val="auto"/>
                <w:szCs w:val="21"/>
                <w:highlight w:val="none"/>
                <w:lang w:eastAsia="en-US"/>
              </w:rPr>
            </w:pPr>
            <w:r>
              <w:rPr>
                <w:rFonts w:hint="default"/>
                <w:color w:val="auto"/>
                <w:szCs w:val="21"/>
                <w:highlight w:val="none"/>
                <w:lang w:eastAsia="en-US"/>
              </w:rPr>
              <w:t>1500</w:t>
            </w:r>
          </w:p>
        </w:tc>
      </w:tr>
      <w:tr w14:paraId="5BB6C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17" w:type="pct"/>
            <w:vAlign w:val="center"/>
          </w:tcPr>
          <w:p w14:paraId="300E6EDA">
            <w:pPr>
              <w:pStyle w:val="789"/>
              <w:autoSpaceDE w:val="0"/>
              <w:autoSpaceDN w:val="0"/>
              <w:rPr>
                <w:rFonts w:hint="default"/>
                <w:color w:val="auto"/>
                <w:szCs w:val="21"/>
                <w:highlight w:val="none"/>
                <w:lang w:eastAsia="zh-CN"/>
              </w:rPr>
            </w:pPr>
            <w:r>
              <w:rPr>
                <w:rFonts w:hint="default"/>
                <w:color w:val="auto"/>
                <w:szCs w:val="21"/>
                <w:highlight w:val="none"/>
                <w:lang w:eastAsia="zh-CN"/>
              </w:rPr>
              <w:t>《城镇污水处理厂污染物排放标准（GB18918-2002）》一级A标准</w:t>
            </w:r>
          </w:p>
        </w:tc>
        <w:tc>
          <w:tcPr>
            <w:tcW w:w="271" w:type="pct"/>
            <w:vAlign w:val="center"/>
          </w:tcPr>
          <w:p w14:paraId="6B1F271C">
            <w:pPr>
              <w:pStyle w:val="789"/>
              <w:autoSpaceDE w:val="0"/>
              <w:autoSpaceDN w:val="0"/>
              <w:rPr>
                <w:rFonts w:hint="default"/>
                <w:color w:val="auto"/>
                <w:szCs w:val="21"/>
                <w:highlight w:val="none"/>
                <w:lang w:eastAsia="en-US"/>
              </w:rPr>
            </w:pPr>
            <w:r>
              <w:rPr>
                <w:rFonts w:hint="default"/>
                <w:color w:val="auto"/>
                <w:szCs w:val="21"/>
                <w:highlight w:val="none"/>
                <w:lang w:eastAsia="en-US"/>
              </w:rPr>
              <w:t>出水水质</w:t>
            </w:r>
          </w:p>
        </w:tc>
        <w:tc>
          <w:tcPr>
            <w:tcW w:w="423" w:type="pct"/>
            <w:vAlign w:val="center"/>
          </w:tcPr>
          <w:p w14:paraId="236B6C31">
            <w:pPr>
              <w:pStyle w:val="789"/>
              <w:autoSpaceDE w:val="0"/>
              <w:autoSpaceDN w:val="0"/>
              <w:rPr>
                <w:rFonts w:hint="default"/>
                <w:color w:val="auto"/>
                <w:szCs w:val="21"/>
                <w:highlight w:val="none"/>
                <w:lang w:eastAsia="en-US"/>
              </w:rPr>
            </w:pPr>
            <w:r>
              <w:rPr>
                <w:rFonts w:hint="default"/>
                <w:color w:val="auto"/>
                <w:szCs w:val="21"/>
                <w:highlight w:val="none"/>
                <w:lang w:eastAsia="en-US"/>
              </w:rPr>
              <w:t>50</w:t>
            </w:r>
          </w:p>
        </w:tc>
        <w:tc>
          <w:tcPr>
            <w:tcW w:w="423" w:type="pct"/>
            <w:vAlign w:val="center"/>
          </w:tcPr>
          <w:p w14:paraId="237C49AA">
            <w:pPr>
              <w:pStyle w:val="789"/>
              <w:autoSpaceDE w:val="0"/>
              <w:autoSpaceDN w:val="0"/>
              <w:rPr>
                <w:rFonts w:hint="default"/>
                <w:color w:val="auto"/>
                <w:szCs w:val="21"/>
                <w:highlight w:val="none"/>
                <w:lang w:eastAsia="en-US"/>
              </w:rPr>
            </w:pPr>
            <w:r>
              <w:rPr>
                <w:rFonts w:hint="default"/>
                <w:color w:val="auto"/>
                <w:szCs w:val="21"/>
                <w:highlight w:val="none"/>
                <w:lang w:eastAsia="en-US"/>
              </w:rPr>
              <w:t>10</w:t>
            </w:r>
          </w:p>
        </w:tc>
        <w:tc>
          <w:tcPr>
            <w:tcW w:w="423" w:type="pct"/>
            <w:vAlign w:val="center"/>
          </w:tcPr>
          <w:p w14:paraId="04C93934">
            <w:pPr>
              <w:pStyle w:val="789"/>
              <w:autoSpaceDE w:val="0"/>
              <w:autoSpaceDN w:val="0"/>
              <w:rPr>
                <w:rFonts w:hint="default"/>
                <w:color w:val="auto"/>
                <w:szCs w:val="21"/>
                <w:highlight w:val="none"/>
                <w:lang w:eastAsia="en-US"/>
              </w:rPr>
            </w:pPr>
            <w:r>
              <w:rPr>
                <w:rFonts w:hint="default"/>
                <w:color w:val="auto"/>
                <w:szCs w:val="21"/>
                <w:highlight w:val="none"/>
                <w:lang w:eastAsia="en-US"/>
              </w:rPr>
              <w:t>10</w:t>
            </w:r>
          </w:p>
        </w:tc>
        <w:tc>
          <w:tcPr>
            <w:tcW w:w="423" w:type="pct"/>
            <w:vAlign w:val="center"/>
          </w:tcPr>
          <w:p w14:paraId="207F58ED">
            <w:pPr>
              <w:pStyle w:val="789"/>
              <w:autoSpaceDE w:val="0"/>
              <w:autoSpaceDN w:val="0"/>
              <w:rPr>
                <w:rFonts w:hint="default"/>
                <w:color w:val="auto"/>
                <w:szCs w:val="21"/>
                <w:highlight w:val="none"/>
                <w:lang w:eastAsia="en-US"/>
              </w:rPr>
            </w:pPr>
            <w:r>
              <w:rPr>
                <w:rFonts w:hint="default"/>
                <w:color w:val="auto"/>
                <w:szCs w:val="21"/>
                <w:highlight w:val="none"/>
                <w:lang w:eastAsia="en-US"/>
              </w:rPr>
              <w:t>5</w:t>
            </w:r>
            <w:r>
              <w:rPr>
                <w:rFonts w:hint="eastAsia"/>
                <w:color w:val="auto"/>
                <w:szCs w:val="21"/>
                <w:highlight w:val="none"/>
                <w:lang w:eastAsia="zh-CN"/>
              </w:rPr>
              <w:t>（</w:t>
            </w:r>
            <w:r>
              <w:rPr>
                <w:rFonts w:hint="default"/>
                <w:color w:val="auto"/>
                <w:szCs w:val="21"/>
                <w:highlight w:val="none"/>
                <w:lang w:eastAsia="en-US"/>
              </w:rPr>
              <w:t>8）</w:t>
            </w:r>
          </w:p>
        </w:tc>
        <w:tc>
          <w:tcPr>
            <w:tcW w:w="423" w:type="pct"/>
            <w:vAlign w:val="center"/>
          </w:tcPr>
          <w:p w14:paraId="407E119A">
            <w:pPr>
              <w:pStyle w:val="789"/>
              <w:autoSpaceDE w:val="0"/>
              <w:autoSpaceDN w:val="0"/>
              <w:rPr>
                <w:rFonts w:hint="default"/>
                <w:color w:val="auto"/>
                <w:szCs w:val="21"/>
                <w:highlight w:val="none"/>
                <w:lang w:eastAsia="en-US"/>
              </w:rPr>
            </w:pPr>
            <w:r>
              <w:rPr>
                <w:rFonts w:hint="default"/>
                <w:color w:val="auto"/>
                <w:szCs w:val="21"/>
                <w:highlight w:val="none"/>
                <w:lang w:eastAsia="en-US"/>
              </w:rPr>
              <w:t>15</w:t>
            </w:r>
          </w:p>
        </w:tc>
        <w:tc>
          <w:tcPr>
            <w:tcW w:w="423" w:type="pct"/>
            <w:vAlign w:val="center"/>
          </w:tcPr>
          <w:p w14:paraId="378F0415">
            <w:pPr>
              <w:pStyle w:val="789"/>
              <w:autoSpaceDE w:val="0"/>
              <w:autoSpaceDN w:val="0"/>
              <w:rPr>
                <w:rFonts w:hint="default"/>
                <w:color w:val="auto"/>
                <w:szCs w:val="21"/>
                <w:highlight w:val="none"/>
                <w:lang w:eastAsia="en-US"/>
              </w:rPr>
            </w:pPr>
            <w:r>
              <w:rPr>
                <w:rFonts w:hint="default"/>
                <w:color w:val="auto"/>
                <w:szCs w:val="21"/>
                <w:highlight w:val="none"/>
                <w:lang w:eastAsia="en-US"/>
              </w:rPr>
              <w:t>0.5</w:t>
            </w:r>
          </w:p>
        </w:tc>
        <w:tc>
          <w:tcPr>
            <w:tcW w:w="423" w:type="pct"/>
            <w:vAlign w:val="center"/>
          </w:tcPr>
          <w:p w14:paraId="6A060F0B">
            <w:pPr>
              <w:pStyle w:val="789"/>
              <w:autoSpaceDE w:val="0"/>
              <w:autoSpaceDN w:val="0"/>
              <w:rPr>
                <w:rFonts w:hint="default"/>
                <w:color w:val="auto"/>
                <w:szCs w:val="21"/>
                <w:highlight w:val="none"/>
                <w:lang w:eastAsia="en-US"/>
              </w:rPr>
            </w:pPr>
            <w:r>
              <w:rPr>
                <w:rFonts w:hint="default"/>
                <w:color w:val="auto"/>
                <w:szCs w:val="21"/>
                <w:highlight w:val="none"/>
                <w:lang w:eastAsia="en-US"/>
              </w:rPr>
              <w:t>6-9</w:t>
            </w:r>
          </w:p>
        </w:tc>
        <w:tc>
          <w:tcPr>
            <w:tcW w:w="423" w:type="pct"/>
            <w:vAlign w:val="center"/>
          </w:tcPr>
          <w:p w14:paraId="324EC887">
            <w:pPr>
              <w:pStyle w:val="789"/>
              <w:autoSpaceDE w:val="0"/>
              <w:autoSpaceDN w:val="0"/>
              <w:rPr>
                <w:rFonts w:hint="default"/>
                <w:color w:val="auto"/>
                <w:szCs w:val="21"/>
                <w:highlight w:val="none"/>
                <w:lang w:eastAsia="en-US"/>
              </w:rPr>
            </w:pPr>
            <w:r>
              <w:rPr>
                <w:rFonts w:hint="default"/>
                <w:color w:val="auto"/>
                <w:szCs w:val="21"/>
                <w:highlight w:val="none"/>
                <w:lang w:eastAsia="en-US"/>
              </w:rPr>
              <w:t>/</w:t>
            </w:r>
          </w:p>
        </w:tc>
        <w:tc>
          <w:tcPr>
            <w:tcW w:w="423" w:type="pct"/>
            <w:vAlign w:val="center"/>
          </w:tcPr>
          <w:p w14:paraId="11DA176D">
            <w:pPr>
              <w:pStyle w:val="789"/>
              <w:autoSpaceDE w:val="0"/>
              <w:autoSpaceDN w:val="0"/>
              <w:rPr>
                <w:rFonts w:hint="default"/>
                <w:color w:val="auto"/>
                <w:szCs w:val="21"/>
                <w:highlight w:val="none"/>
                <w:lang w:eastAsia="en-US"/>
              </w:rPr>
            </w:pPr>
            <w:r>
              <w:rPr>
                <w:rFonts w:hint="default"/>
                <w:color w:val="auto"/>
                <w:szCs w:val="21"/>
                <w:highlight w:val="none"/>
                <w:lang w:eastAsia="en-US"/>
              </w:rPr>
              <w:t>/</w:t>
            </w:r>
          </w:p>
        </w:tc>
      </w:tr>
    </w:tbl>
    <w:p w14:paraId="0E875BF8">
      <w:pPr>
        <w:adjustRightInd w:val="0"/>
        <w:snapToGrid w:val="0"/>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3）污水处理厂二期工程</w:t>
      </w:r>
      <w:r>
        <w:rPr>
          <w:rFonts w:hint="eastAsia"/>
          <w:snapToGrid w:val="0"/>
          <w:color w:val="auto"/>
          <w:kern w:val="0"/>
          <w:sz w:val="24"/>
          <w:highlight w:val="none"/>
        </w:rPr>
        <w:t>处理工艺合理性</w:t>
      </w:r>
    </w:p>
    <w:p w14:paraId="7AB2532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二期工程</w:t>
      </w:r>
      <w:r>
        <w:rPr>
          <w:snapToGrid w:val="0"/>
          <w:color w:val="auto"/>
          <w:kern w:val="0"/>
          <w:sz w:val="24"/>
          <w:highlight w:val="none"/>
        </w:rPr>
        <w:t>废水处理工艺流程简述如下：</w:t>
      </w:r>
    </w:p>
    <w:p w14:paraId="09759A21">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进入</w:t>
      </w:r>
      <w:r>
        <w:rPr>
          <w:rFonts w:hint="eastAsia"/>
          <w:snapToGrid w:val="0"/>
          <w:color w:val="auto"/>
          <w:kern w:val="0"/>
          <w:sz w:val="24"/>
          <w:highlight w:val="none"/>
        </w:rPr>
        <w:t>污水处理厂</w:t>
      </w:r>
      <w:r>
        <w:rPr>
          <w:snapToGrid w:val="0"/>
          <w:color w:val="auto"/>
          <w:kern w:val="0"/>
          <w:sz w:val="24"/>
          <w:highlight w:val="none"/>
        </w:rPr>
        <w:t>的污水压力流输送至细格栅去除污水中较大的漂浮物后直接进入调节池。在综合调节池进行均质匀量，后经泵提升进入混凝沉淀池，调节pH和去除废水中绝大部分悬浮物的同时，可通过化学加药去除一部分的硬度和总磷，同时一级混凝沉淀具备除硬功能，在生化后端出水硬度过高时，可开启除硬功能。</w:t>
      </w:r>
    </w:p>
    <w:p w14:paraId="18B311F9">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混凝沉淀出水自流进入水解酸化池，废水中的有机物在水解酸化的条件下开环断链，将大分子和难降解有机物进行预处理，提高废水的整体可生化性，同时可将一部分有机氮转化为氨氮。</w:t>
      </w:r>
    </w:p>
    <w:p w14:paraId="617ED8E0">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水解酸化的出水自流进入一级AAO生化池，在此工艺段以去除有机物污染为主，氮的氨化和硝化反应同时进行，通过好氧曝气去除大部分的COD和氨氮。一级AAO出水进入二级AAO工艺，在此段工艺进行进一步去除COD和脱氮除磷。在</w:t>
      </w:r>
      <w:r>
        <w:rPr>
          <w:rFonts w:hint="eastAsia"/>
          <w:snapToGrid w:val="0"/>
          <w:color w:val="auto"/>
          <w:kern w:val="0"/>
          <w:sz w:val="24"/>
          <w:highlight w:val="none"/>
        </w:rPr>
        <w:t>此</w:t>
      </w:r>
      <w:r>
        <w:rPr>
          <w:snapToGrid w:val="0"/>
          <w:color w:val="auto"/>
          <w:kern w:val="0"/>
          <w:sz w:val="24"/>
          <w:highlight w:val="none"/>
        </w:rPr>
        <w:t>工艺，将剩余污染物中绝大部分的COD、氨氮和总氮</w:t>
      </w:r>
      <w:r>
        <w:rPr>
          <w:rFonts w:hint="eastAsia"/>
          <w:snapToGrid w:val="0"/>
          <w:color w:val="auto"/>
          <w:kern w:val="0"/>
          <w:sz w:val="24"/>
          <w:highlight w:val="none"/>
        </w:rPr>
        <w:t>，以及</w:t>
      </w:r>
      <w:r>
        <w:rPr>
          <w:snapToGrid w:val="0"/>
          <w:color w:val="auto"/>
          <w:kern w:val="0"/>
          <w:sz w:val="24"/>
          <w:highlight w:val="none"/>
        </w:rPr>
        <w:t>部分总磷进行去除。出水进入软化高密池，进一步去除水中的总磷和剩余的硬度，同时去除水中生化池出水的大部分有机悬浮物，为后端臭氧</w:t>
      </w:r>
      <w:r>
        <w:rPr>
          <w:rFonts w:hint="eastAsia"/>
          <w:snapToGrid w:val="0"/>
          <w:color w:val="auto"/>
          <w:kern w:val="0"/>
          <w:sz w:val="24"/>
          <w:highlight w:val="none"/>
        </w:rPr>
        <w:t>做</w:t>
      </w:r>
      <w:r>
        <w:rPr>
          <w:snapToGrid w:val="0"/>
          <w:color w:val="auto"/>
          <w:kern w:val="0"/>
          <w:sz w:val="24"/>
          <w:highlight w:val="none"/>
        </w:rPr>
        <w:t>预处理；通过加药沉淀去除悬浮物除了能减少无谓的臭氧消耗外，还能减少臭氧曝气器的污堵和清理频率。</w:t>
      </w:r>
    </w:p>
    <w:p w14:paraId="6ECA7B56">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后续的臭氧氧化除了直接氧化水中的部分COD外，还能进一步提高剩余COD可生化性，最后利用曝气生物滤池（BAF）将该部分剩余COD进一步去除，从而保证进水达标排放，满足进入中水系统的要求。</w:t>
      </w:r>
    </w:p>
    <w:p w14:paraId="5202AB27">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曝气生物滤池（BAF）产水利用泵送至一级多介质过滤器。产水控制浊度＜2NTU，配套自动水洗、气洗、汽水联合洗系统。一级多介质过滤器出水进入一级超滤系统，一级超滤系统设计回收率＞90%。设计产水SDI＜3，超滤产水进入超滤产水池。超滤系统产水进入一级反渗透系统（RO），设计回收率70%，产水进入回用水池。一级RO浓水进入第三级高密池进行除硬除硅，采用“双碱法”化学除硬，镁剂化学除硅，通过调整加药量控制出水硬度低于100ppm，出水二氧化硅低于10ppm，产水进入第三级高密产水池。产生的物化污泥通过排泥泵输送至污泥处理系统进行处理。浓水由第三级高密产水泵送至浓水多介质过滤器。产水控制浊度＜2NTU，配套自动水洗、气洗、汽水联合洗系统。浓水多介质过滤器产水进入浓水超滤系统，设计回收率＞90%。设计产水SDI＜3，浓水超滤产水进入浓水超滤产水池。</w:t>
      </w:r>
    </w:p>
    <w:p w14:paraId="4459A4F1">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该系统以电力作为主要能量来源。在运行过程中，浓水超滤产水进入浓水反渗透，设计回收率达70%，其产水进入回用水池，浓水则进入MVR蒸发系统。废水经进料泵依次输送通过两级预热后，进入蒸发系统。在强制循环结晶器内，经蒸发器循环泵作用，废水在加热室和结晶器中循环，实现浓缩结晶过程。浓缩液在结晶器中闪蒸后进入气液分离器，分离出的二次蒸汽排入蒸汽压缩机。蒸汽压缩机在电力驱动下对二次蒸汽做功，将压缩后的蒸汽排入加热室。蒸汽在加热室内与废水进行换热，释放热量后冷凝为水，此冷凝水先作为预热热源与原水换热，之后排出。通过这种方式，有效提高了蒸汽利用效率，成功实现了物料的蒸发、浓缩、分离和结晶。</w:t>
      </w:r>
    </w:p>
    <w:p w14:paraId="7D08128F">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原料液通过预热器加热至接近沸点（如80~95℃，具体取决于压缩机压力），减少进入蒸发器后的加热负荷，提升能效，通过“蒸汽循环”持续蒸发水分，使原料液中盐类浓度不断升高，直至达到过饱和状态并开始析出固体颗粒。</w:t>
      </w:r>
    </w:p>
    <w:p w14:paraId="5EFA96BC">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产生杂盐经鉴别后，如属于危险废物则委托资质单位进行安全处置，如为一般工业废物，则按照要求进入一般工业固废填埋场合理处置。</w:t>
      </w:r>
    </w:p>
    <w:p w14:paraId="33883161">
      <w:pPr>
        <w:pStyle w:val="412"/>
        <w:keepNext w:val="0"/>
        <w:keepLines w:val="0"/>
        <w:pageBreakBefore w:val="0"/>
        <w:widowControl w:val="0"/>
        <w:tabs>
          <w:tab w:val="left" w:pos="0"/>
          <w:tab w:val="clear" w:pos="6840"/>
        </w:tabs>
        <w:kinsoku/>
        <w:wordWrap/>
        <w:overflowPunct/>
        <w:topLinePunct w:val="0"/>
        <w:autoSpaceDE/>
        <w:autoSpaceDN/>
        <w:bidi w:val="0"/>
        <w:adjustRightInd w:val="0"/>
        <w:snapToGrid w:val="0"/>
        <w:spacing w:line="240" w:lineRule="auto"/>
        <w:ind w:left="0" w:firstLine="422" w:firstLineChars="200"/>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7.2-</w:t>
      </w:r>
      <w:r>
        <w:rPr>
          <w:rFonts w:hint="eastAsia" w:ascii="Times New Roman" w:hAnsi="Times New Roman" w:cs="Times New Roman"/>
          <w:color w:val="auto"/>
          <w:sz w:val="21"/>
          <w:szCs w:val="21"/>
          <w:highlight w:val="none"/>
          <w:lang w:val="en-US" w:eastAsia="zh-CN"/>
        </w:rPr>
        <w:t>3</w:t>
      </w:r>
      <w:r>
        <w:rPr>
          <w:rFonts w:hint="eastAsia" w:ascii="Times New Roman" w:hAnsi="Times New Roman" w:cs="Times New Roman"/>
          <w:color w:val="auto"/>
          <w:sz w:val="21"/>
          <w:szCs w:val="21"/>
          <w:highlight w:val="none"/>
        </w:rPr>
        <w:t xml:space="preserve"> 二期工程</w:t>
      </w:r>
      <w:r>
        <w:rPr>
          <w:rFonts w:ascii="Times New Roman" w:hAnsi="Times New Roman" w:cs="Times New Roman"/>
          <w:color w:val="auto"/>
          <w:sz w:val="21"/>
          <w:szCs w:val="21"/>
          <w:highlight w:val="none"/>
        </w:rPr>
        <w:t>各污水处理单元去除率一览表</w:t>
      </w:r>
    </w:p>
    <w:tbl>
      <w:tblPr>
        <w:tblStyle w:val="56"/>
        <w:tblW w:w="5000" w:type="pct"/>
        <w:tblInd w:w="0" w:type="dxa"/>
        <w:tblLayout w:type="autofit"/>
        <w:tblCellMar>
          <w:top w:w="0" w:type="dxa"/>
          <w:left w:w="0" w:type="dxa"/>
          <w:bottom w:w="0" w:type="dxa"/>
          <w:right w:w="0" w:type="dxa"/>
        </w:tblCellMar>
      </w:tblPr>
      <w:tblGrid>
        <w:gridCol w:w="894"/>
        <w:gridCol w:w="736"/>
        <w:gridCol w:w="979"/>
        <w:gridCol w:w="881"/>
        <w:gridCol w:w="881"/>
        <w:gridCol w:w="881"/>
        <w:gridCol w:w="881"/>
        <w:gridCol w:w="330"/>
        <w:gridCol w:w="881"/>
        <w:gridCol w:w="882"/>
      </w:tblGrid>
      <w:tr w14:paraId="144C912A">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602BC2C1">
            <w:pPr>
              <w:pStyle w:val="789"/>
              <w:rPr>
                <w:rFonts w:hint="default"/>
                <w:color w:val="auto"/>
                <w:szCs w:val="21"/>
                <w:highlight w:val="none"/>
              </w:rPr>
            </w:pPr>
            <w:bookmarkStart w:id="189" w:name="3.2.2.5产污环节"/>
            <w:bookmarkEnd w:id="189"/>
            <w:r>
              <w:rPr>
                <w:rFonts w:hint="default"/>
                <w:color w:val="auto"/>
                <w:szCs w:val="21"/>
                <w:highlight w:val="none"/>
              </w:rPr>
              <w:t>处理单元</w:t>
            </w:r>
          </w:p>
          <w:p w14:paraId="4F5410CC">
            <w:pPr>
              <w:pStyle w:val="789"/>
              <w:rPr>
                <w:rFonts w:hint="default"/>
                <w:color w:val="auto"/>
                <w:szCs w:val="21"/>
                <w:highlight w:val="none"/>
              </w:rPr>
            </w:pPr>
            <w:r>
              <w:rPr>
                <w:rFonts w:hint="default"/>
                <w:color w:val="auto"/>
                <w:szCs w:val="21"/>
                <w:highlight w:val="none"/>
              </w:rPr>
              <w:t>名称</w:t>
            </w:r>
          </w:p>
        </w:tc>
        <w:tc>
          <w:tcPr>
            <w:tcW w:w="522" w:type="pct"/>
            <w:tcBorders>
              <w:top w:val="single" w:color="000000" w:sz="2" w:space="0"/>
              <w:left w:val="single" w:color="000000" w:sz="2" w:space="0"/>
              <w:bottom w:val="single" w:color="000000" w:sz="2" w:space="0"/>
              <w:right w:val="single" w:color="000000" w:sz="2" w:space="0"/>
            </w:tcBorders>
            <w:vAlign w:val="center"/>
          </w:tcPr>
          <w:p w14:paraId="1F2CF632">
            <w:pPr>
              <w:pStyle w:val="789"/>
              <w:rPr>
                <w:rFonts w:hint="default"/>
                <w:color w:val="auto"/>
                <w:szCs w:val="21"/>
                <w:highlight w:val="none"/>
              </w:rPr>
            </w:pPr>
            <w:r>
              <w:rPr>
                <w:rFonts w:hint="default"/>
                <w:color w:val="auto"/>
                <w:szCs w:val="21"/>
                <w:highlight w:val="none"/>
              </w:rPr>
              <w:t>处理水量（t/d）</w:t>
            </w:r>
          </w:p>
        </w:tc>
        <w:tc>
          <w:tcPr>
            <w:tcW w:w="670" w:type="pct"/>
            <w:tcBorders>
              <w:top w:val="single" w:color="000000" w:sz="2" w:space="0"/>
              <w:left w:val="single" w:color="000000" w:sz="2" w:space="0"/>
              <w:bottom w:val="single" w:color="000000" w:sz="2" w:space="0"/>
              <w:right w:val="single" w:color="000000" w:sz="2" w:space="0"/>
            </w:tcBorders>
            <w:vAlign w:val="center"/>
          </w:tcPr>
          <w:p w14:paraId="52EAF4BF">
            <w:pPr>
              <w:pStyle w:val="789"/>
              <w:rPr>
                <w:rFonts w:hint="default"/>
                <w:color w:val="auto"/>
                <w:szCs w:val="21"/>
                <w:highlight w:val="none"/>
              </w:rPr>
            </w:pPr>
            <w:r>
              <w:rPr>
                <w:rFonts w:hint="default"/>
                <w:color w:val="auto"/>
                <w:szCs w:val="21"/>
                <w:highlight w:val="none"/>
              </w:rPr>
              <w:t>COD</w:t>
            </w:r>
          </w:p>
          <w:p w14:paraId="05331DE1">
            <w:pPr>
              <w:pStyle w:val="789"/>
              <w:rPr>
                <w:rFonts w:hint="eastAsia" w:eastAsia="宋体"/>
                <w:color w:val="auto"/>
                <w:szCs w:val="21"/>
                <w:highlight w:val="none"/>
                <w:lang w:eastAsia="zh-CN"/>
              </w:rPr>
            </w:pPr>
            <w:r>
              <w:rPr>
                <w:rFonts w:hint="eastAsia"/>
                <w:color w:val="auto"/>
                <w:szCs w:val="21"/>
                <w:highlight w:val="none"/>
                <w:lang w:eastAsia="zh-CN"/>
              </w:rPr>
              <w:t>（</w:t>
            </w:r>
            <w:r>
              <w:rPr>
                <w:rFonts w:hint="default"/>
                <w:color w:val="auto"/>
                <w:szCs w:val="21"/>
                <w:highlight w:val="none"/>
              </w:rPr>
              <w:t>mg/L</w:t>
            </w:r>
            <w:r>
              <w:rPr>
                <w:rFonts w:hint="eastAsia"/>
                <w:color w:val="auto"/>
                <w:szCs w:val="21"/>
                <w:highlight w:val="none"/>
                <w:lang w:eastAsia="zh-CN"/>
              </w:rPr>
              <w:t>）</w:t>
            </w:r>
          </w:p>
        </w:tc>
        <w:tc>
          <w:tcPr>
            <w:tcW w:w="526" w:type="pct"/>
            <w:tcBorders>
              <w:top w:val="single" w:color="000000" w:sz="2" w:space="0"/>
              <w:left w:val="single" w:color="000000" w:sz="2" w:space="0"/>
              <w:bottom w:val="single" w:color="000000" w:sz="2" w:space="0"/>
              <w:right w:val="single" w:color="000000" w:sz="2" w:space="0"/>
            </w:tcBorders>
            <w:vAlign w:val="center"/>
          </w:tcPr>
          <w:p w14:paraId="499F756D">
            <w:pPr>
              <w:pStyle w:val="789"/>
              <w:rPr>
                <w:rFonts w:hint="default"/>
                <w:color w:val="auto"/>
                <w:szCs w:val="21"/>
                <w:highlight w:val="none"/>
              </w:rPr>
            </w:pPr>
            <w:r>
              <w:rPr>
                <w:rFonts w:hint="default"/>
                <w:color w:val="auto"/>
                <w:szCs w:val="21"/>
                <w:highlight w:val="none"/>
              </w:rPr>
              <w:t>NH</w:t>
            </w:r>
            <w:r>
              <w:rPr>
                <w:rFonts w:hint="default"/>
                <w:color w:val="auto"/>
                <w:szCs w:val="21"/>
                <w:highlight w:val="none"/>
                <w:vertAlign w:val="subscript"/>
              </w:rPr>
              <w:t>3</w:t>
            </w:r>
            <w:r>
              <w:rPr>
                <w:rFonts w:hint="default"/>
                <w:color w:val="auto"/>
                <w:szCs w:val="21"/>
                <w:highlight w:val="none"/>
              </w:rPr>
              <w:t>-N</w:t>
            </w:r>
          </w:p>
          <w:p w14:paraId="4B16E29A">
            <w:pPr>
              <w:pStyle w:val="789"/>
              <w:rPr>
                <w:rFonts w:hint="eastAsia" w:eastAsia="宋体"/>
                <w:color w:val="auto"/>
                <w:szCs w:val="21"/>
                <w:highlight w:val="none"/>
                <w:lang w:eastAsia="zh-CN"/>
              </w:rPr>
            </w:pPr>
            <w:r>
              <w:rPr>
                <w:rFonts w:hint="eastAsia"/>
                <w:color w:val="auto"/>
                <w:szCs w:val="21"/>
                <w:highlight w:val="none"/>
                <w:lang w:eastAsia="zh-CN"/>
              </w:rPr>
              <w:t>（</w:t>
            </w:r>
            <w:r>
              <w:rPr>
                <w:rFonts w:hint="default"/>
                <w:color w:val="auto"/>
                <w:szCs w:val="21"/>
                <w:highlight w:val="none"/>
              </w:rPr>
              <w:t>mg/L</w:t>
            </w:r>
            <w:r>
              <w:rPr>
                <w:rFonts w:hint="eastAsia"/>
                <w:color w:val="auto"/>
                <w:szCs w:val="21"/>
                <w:highlight w:val="none"/>
                <w:lang w:eastAsia="zh-CN"/>
              </w:rPr>
              <w:t>）</w:t>
            </w:r>
          </w:p>
        </w:tc>
        <w:tc>
          <w:tcPr>
            <w:tcW w:w="472" w:type="pct"/>
            <w:tcBorders>
              <w:top w:val="single" w:color="000000" w:sz="2" w:space="0"/>
              <w:left w:val="single" w:color="000000" w:sz="2" w:space="0"/>
              <w:bottom w:val="single" w:color="000000" w:sz="2" w:space="0"/>
              <w:right w:val="single" w:color="000000" w:sz="2" w:space="0"/>
            </w:tcBorders>
            <w:vAlign w:val="center"/>
          </w:tcPr>
          <w:p w14:paraId="26E23C4E">
            <w:pPr>
              <w:pStyle w:val="789"/>
              <w:rPr>
                <w:rFonts w:hint="default"/>
                <w:color w:val="auto"/>
                <w:szCs w:val="21"/>
                <w:highlight w:val="none"/>
              </w:rPr>
            </w:pPr>
            <w:r>
              <w:rPr>
                <w:rFonts w:hint="default"/>
                <w:color w:val="auto"/>
                <w:szCs w:val="21"/>
                <w:highlight w:val="none"/>
              </w:rPr>
              <w:t>TN</w:t>
            </w:r>
          </w:p>
          <w:p w14:paraId="666A453E">
            <w:pPr>
              <w:pStyle w:val="789"/>
              <w:rPr>
                <w:rFonts w:hint="eastAsia" w:eastAsia="宋体"/>
                <w:color w:val="auto"/>
                <w:szCs w:val="21"/>
                <w:highlight w:val="none"/>
                <w:lang w:eastAsia="zh-CN"/>
              </w:rPr>
            </w:pPr>
            <w:r>
              <w:rPr>
                <w:rFonts w:hint="eastAsia"/>
                <w:color w:val="auto"/>
                <w:szCs w:val="21"/>
                <w:highlight w:val="none"/>
                <w:lang w:eastAsia="zh-CN"/>
              </w:rPr>
              <w:t>（</w:t>
            </w:r>
            <w:r>
              <w:rPr>
                <w:rFonts w:hint="default"/>
                <w:color w:val="auto"/>
                <w:szCs w:val="21"/>
                <w:highlight w:val="none"/>
              </w:rPr>
              <w:t>mg/L</w:t>
            </w:r>
            <w:r>
              <w:rPr>
                <w:rFonts w:hint="eastAsia"/>
                <w:color w:val="auto"/>
                <w:szCs w:val="21"/>
                <w:highlight w:val="none"/>
                <w:lang w:eastAsia="zh-CN"/>
              </w:rPr>
              <w:t>）</w:t>
            </w:r>
          </w:p>
        </w:tc>
        <w:tc>
          <w:tcPr>
            <w:tcW w:w="551" w:type="pct"/>
            <w:tcBorders>
              <w:top w:val="single" w:color="000000" w:sz="2" w:space="0"/>
              <w:left w:val="single" w:color="000000" w:sz="2" w:space="0"/>
              <w:bottom w:val="single" w:color="000000" w:sz="2" w:space="0"/>
              <w:right w:val="single" w:color="000000" w:sz="2" w:space="0"/>
            </w:tcBorders>
            <w:vAlign w:val="center"/>
          </w:tcPr>
          <w:p w14:paraId="40006BC1">
            <w:pPr>
              <w:pStyle w:val="789"/>
              <w:rPr>
                <w:rFonts w:hint="default"/>
                <w:color w:val="auto"/>
                <w:szCs w:val="21"/>
                <w:highlight w:val="none"/>
              </w:rPr>
            </w:pPr>
            <w:r>
              <w:rPr>
                <w:rFonts w:hint="default"/>
                <w:color w:val="auto"/>
                <w:szCs w:val="21"/>
                <w:highlight w:val="none"/>
              </w:rPr>
              <w:t>TP</w:t>
            </w:r>
          </w:p>
          <w:p w14:paraId="47DB90FC">
            <w:pPr>
              <w:pStyle w:val="789"/>
              <w:rPr>
                <w:rFonts w:hint="eastAsia" w:eastAsia="宋体"/>
                <w:color w:val="auto"/>
                <w:szCs w:val="21"/>
                <w:highlight w:val="none"/>
                <w:lang w:eastAsia="zh-CN"/>
              </w:rPr>
            </w:pPr>
            <w:r>
              <w:rPr>
                <w:rFonts w:hint="eastAsia"/>
                <w:color w:val="auto"/>
                <w:szCs w:val="21"/>
                <w:highlight w:val="none"/>
                <w:lang w:eastAsia="zh-CN"/>
              </w:rPr>
              <w:t>（</w:t>
            </w:r>
            <w:r>
              <w:rPr>
                <w:rFonts w:hint="default"/>
                <w:color w:val="auto"/>
                <w:szCs w:val="21"/>
                <w:highlight w:val="none"/>
              </w:rPr>
              <w:t>mg/L</w:t>
            </w:r>
            <w:r>
              <w:rPr>
                <w:rFonts w:hint="eastAsia"/>
                <w:color w:val="auto"/>
                <w:szCs w:val="21"/>
                <w:highlight w:val="none"/>
                <w:lang w:eastAsia="zh-CN"/>
              </w:rPr>
              <w:t>）</w:t>
            </w:r>
          </w:p>
        </w:tc>
        <w:tc>
          <w:tcPr>
            <w:tcW w:w="396" w:type="pct"/>
            <w:tcBorders>
              <w:top w:val="single" w:color="000000" w:sz="2" w:space="0"/>
              <w:left w:val="single" w:color="000000" w:sz="2" w:space="0"/>
              <w:bottom w:val="single" w:color="000000" w:sz="2" w:space="0"/>
              <w:right w:val="single" w:color="000000" w:sz="2" w:space="0"/>
            </w:tcBorders>
            <w:vAlign w:val="center"/>
          </w:tcPr>
          <w:p w14:paraId="0A33E031">
            <w:pPr>
              <w:pStyle w:val="789"/>
              <w:rPr>
                <w:rFonts w:hint="default"/>
                <w:color w:val="auto"/>
                <w:szCs w:val="21"/>
                <w:highlight w:val="none"/>
              </w:rPr>
            </w:pPr>
            <w:r>
              <w:rPr>
                <w:rFonts w:hint="default"/>
                <w:color w:val="auto"/>
                <w:szCs w:val="21"/>
                <w:highlight w:val="none"/>
              </w:rPr>
              <w:t>SS</w:t>
            </w:r>
          </w:p>
          <w:p w14:paraId="290FB2BA">
            <w:pPr>
              <w:pStyle w:val="789"/>
              <w:rPr>
                <w:rFonts w:hint="eastAsia" w:eastAsia="宋体"/>
                <w:color w:val="auto"/>
                <w:szCs w:val="21"/>
                <w:highlight w:val="none"/>
                <w:lang w:eastAsia="zh-CN"/>
              </w:rPr>
            </w:pPr>
            <w:r>
              <w:rPr>
                <w:rFonts w:hint="eastAsia"/>
                <w:color w:val="auto"/>
                <w:szCs w:val="21"/>
                <w:highlight w:val="none"/>
                <w:lang w:eastAsia="zh-CN"/>
              </w:rPr>
              <w:t>（</w:t>
            </w:r>
            <w:r>
              <w:rPr>
                <w:rFonts w:hint="default"/>
                <w:color w:val="auto"/>
                <w:szCs w:val="21"/>
                <w:highlight w:val="none"/>
              </w:rPr>
              <w:t>mg/L</w:t>
            </w:r>
            <w:r>
              <w:rPr>
                <w:rFonts w:hint="eastAsia"/>
                <w:color w:val="auto"/>
                <w:szCs w:val="21"/>
                <w:highlight w:val="none"/>
                <w:lang w:eastAsia="zh-CN"/>
              </w:rPr>
              <w:t>）</w:t>
            </w:r>
          </w:p>
        </w:tc>
        <w:tc>
          <w:tcPr>
            <w:tcW w:w="304" w:type="pct"/>
            <w:tcBorders>
              <w:top w:val="single" w:color="000000" w:sz="2" w:space="0"/>
              <w:left w:val="single" w:color="000000" w:sz="2" w:space="0"/>
              <w:bottom w:val="single" w:color="000000" w:sz="2" w:space="0"/>
              <w:right w:val="single" w:color="000000" w:sz="2" w:space="0"/>
            </w:tcBorders>
            <w:vAlign w:val="center"/>
          </w:tcPr>
          <w:p w14:paraId="76F2463C">
            <w:pPr>
              <w:pStyle w:val="789"/>
              <w:rPr>
                <w:rFonts w:hint="default"/>
                <w:color w:val="auto"/>
                <w:szCs w:val="21"/>
                <w:highlight w:val="none"/>
              </w:rPr>
            </w:pPr>
            <w:r>
              <w:rPr>
                <w:rFonts w:hint="default"/>
                <w:color w:val="auto"/>
                <w:szCs w:val="21"/>
                <w:highlight w:val="none"/>
              </w:rPr>
              <w:t>pH</w:t>
            </w:r>
          </w:p>
        </w:tc>
        <w:tc>
          <w:tcPr>
            <w:tcW w:w="484" w:type="pct"/>
            <w:tcBorders>
              <w:top w:val="single" w:color="000000" w:sz="2" w:space="0"/>
              <w:left w:val="single" w:color="000000" w:sz="2" w:space="0"/>
              <w:bottom w:val="single" w:color="000000" w:sz="2" w:space="0"/>
              <w:right w:val="single" w:color="000000" w:sz="2" w:space="0"/>
            </w:tcBorders>
            <w:vAlign w:val="center"/>
          </w:tcPr>
          <w:p w14:paraId="2D02ED66">
            <w:pPr>
              <w:pStyle w:val="789"/>
              <w:rPr>
                <w:rFonts w:hint="default"/>
                <w:color w:val="auto"/>
                <w:szCs w:val="21"/>
                <w:highlight w:val="none"/>
              </w:rPr>
            </w:pPr>
            <w:r>
              <w:rPr>
                <w:rFonts w:hint="default"/>
                <w:color w:val="auto"/>
                <w:szCs w:val="21"/>
                <w:highlight w:val="none"/>
              </w:rPr>
              <w:t>盐</w:t>
            </w:r>
          </w:p>
          <w:p w14:paraId="7D52A194">
            <w:pPr>
              <w:pStyle w:val="789"/>
              <w:rPr>
                <w:rFonts w:hint="eastAsia" w:eastAsia="宋体"/>
                <w:color w:val="auto"/>
                <w:szCs w:val="21"/>
                <w:highlight w:val="none"/>
                <w:lang w:eastAsia="zh-CN"/>
              </w:rPr>
            </w:pPr>
            <w:r>
              <w:rPr>
                <w:rFonts w:hint="eastAsia"/>
                <w:color w:val="auto"/>
                <w:szCs w:val="21"/>
                <w:highlight w:val="none"/>
                <w:lang w:eastAsia="zh-CN"/>
              </w:rPr>
              <w:t>（</w:t>
            </w:r>
            <w:r>
              <w:rPr>
                <w:rFonts w:hint="default"/>
                <w:color w:val="auto"/>
                <w:szCs w:val="21"/>
                <w:highlight w:val="none"/>
              </w:rPr>
              <w:t>mg/L</w:t>
            </w:r>
            <w:r>
              <w:rPr>
                <w:rFonts w:hint="eastAsia"/>
                <w:color w:val="auto"/>
                <w:szCs w:val="21"/>
                <w:highlight w:val="none"/>
                <w:lang w:eastAsia="zh-CN"/>
              </w:rPr>
              <w:t>）</w:t>
            </w:r>
          </w:p>
        </w:tc>
        <w:tc>
          <w:tcPr>
            <w:tcW w:w="452" w:type="pct"/>
            <w:tcBorders>
              <w:top w:val="single" w:color="000000" w:sz="2" w:space="0"/>
              <w:left w:val="single" w:color="000000" w:sz="2" w:space="0"/>
              <w:bottom w:val="single" w:color="000000" w:sz="2" w:space="0"/>
              <w:right w:val="single" w:color="000000" w:sz="2" w:space="0"/>
            </w:tcBorders>
            <w:vAlign w:val="center"/>
          </w:tcPr>
          <w:p w14:paraId="137C57E3">
            <w:pPr>
              <w:pStyle w:val="789"/>
              <w:rPr>
                <w:rFonts w:hint="default"/>
                <w:color w:val="auto"/>
                <w:szCs w:val="21"/>
                <w:highlight w:val="none"/>
              </w:rPr>
            </w:pPr>
            <w:r>
              <w:rPr>
                <w:rFonts w:hint="default"/>
                <w:color w:val="auto"/>
                <w:szCs w:val="21"/>
                <w:highlight w:val="none"/>
              </w:rPr>
              <w:t>硬度</w:t>
            </w:r>
          </w:p>
          <w:p w14:paraId="13382A90">
            <w:pPr>
              <w:pStyle w:val="789"/>
              <w:rPr>
                <w:rFonts w:hint="default"/>
                <w:color w:val="auto"/>
                <w:szCs w:val="21"/>
                <w:highlight w:val="none"/>
              </w:rPr>
            </w:pPr>
            <w:r>
              <w:rPr>
                <w:rFonts w:hint="eastAsia"/>
                <w:color w:val="auto"/>
                <w:szCs w:val="21"/>
                <w:highlight w:val="none"/>
                <w:lang w:eastAsia="zh-CN"/>
              </w:rPr>
              <w:t>（</w:t>
            </w:r>
            <w:r>
              <w:rPr>
                <w:rFonts w:hint="default"/>
                <w:color w:val="auto"/>
                <w:szCs w:val="21"/>
                <w:highlight w:val="none"/>
              </w:rPr>
              <w:t>mg/L）</w:t>
            </w:r>
          </w:p>
        </w:tc>
      </w:tr>
      <w:tr w14:paraId="01653681">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5C8A2B5E">
            <w:pPr>
              <w:pStyle w:val="789"/>
              <w:rPr>
                <w:rFonts w:hint="default"/>
                <w:color w:val="auto"/>
                <w:szCs w:val="21"/>
                <w:highlight w:val="none"/>
              </w:rPr>
            </w:pPr>
            <w:r>
              <w:rPr>
                <w:rFonts w:hint="default"/>
                <w:color w:val="auto"/>
                <w:szCs w:val="21"/>
                <w:highlight w:val="none"/>
              </w:rPr>
              <w:t>调节池进水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6F8B1E5C">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55CBD633">
            <w:pPr>
              <w:pStyle w:val="789"/>
              <w:rPr>
                <w:rFonts w:hint="default"/>
                <w:color w:val="auto"/>
                <w:szCs w:val="21"/>
                <w:highlight w:val="none"/>
              </w:rPr>
            </w:pPr>
            <w:r>
              <w:rPr>
                <w:rFonts w:hint="default"/>
                <w:color w:val="auto"/>
                <w:szCs w:val="21"/>
                <w:highlight w:val="none"/>
              </w:rPr>
              <w:t>12904</w:t>
            </w:r>
          </w:p>
        </w:tc>
        <w:tc>
          <w:tcPr>
            <w:tcW w:w="526" w:type="pct"/>
            <w:tcBorders>
              <w:top w:val="single" w:color="000000" w:sz="2" w:space="0"/>
              <w:left w:val="single" w:color="000000" w:sz="2" w:space="0"/>
              <w:bottom w:val="single" w:color="000000" w:sz="2" w:space="0"/>
              <w:right w:val="single" w:color="000000" w:sz="2" w:space="0"/>
            </w:tcBorders>
            <w:vAlign w:val="center"/>
          </w:tcPr>
          <w:p w14:paraId="1E6B29C4">
            <w:pPr>
              <w:pStyle w:val="789"/>
              <w:rPr>
                <w:rFonts w:hint="default"/>
                <w:color w:val="auto"/>
                <w:szCs w:val="21"/>
                <w:highlight w:val="none"/>
              </w:rPr>
            </w:pPr>
            <w:r>
              <w:rPr>
                <w:rFonts w:hint="default"/>
                <w:color w:val="auto"/>
                <w:szCs w:val="21"/>
                <w:highlight w:val="none"/>
              </w:rPr>
              <w:t>309</w:t>
            </w:r>
          </w:p>
        </w:tc>
        <w:tc>
          <w:tcPr>
            <w:tcW w:w="472" w:type="pct"/>
            <w:tcBorders>
              <w:top w:val="single" w:color="000000" w:sz="2" w:space="0"/>
              <w:left w:val="single" w:color="000000" w:sz="2" w:space="0"/>
              <w:bottom w:val="single" w:color="000000" w:sz="2" w:space="0"/>
              <w:right w:val="single" w:color="000000" w:sz="2" w:space="0"/>
            </w:tcBorders>
            <w:vAlign w:val="center"/>
          </w:tcPr>
          <w:p w14:paraId="7008A058">
            <w:pPr>
              <w:pStyle w:val="789"/>
              <w:rPr>
                <w:rFonts w:hint="default"/>
                <w:color w:val="auto"/>
                <w:szCs w:val="21"/>
                <w:highlight w:val="none"/>
              </w:rPr>
            </w:pPr>
            <w:r>
              <w:rPr>
                <w:rFonts w:hint="default"/>
                <w:color w:val="auto"/>
                <w:szCs w:val="21"/>
                <w:highlight w:val="none"/>
              </w:rPr>
              <w:t>361</w:t>
            </w:r>
          </w:p>
        </w:tc>
        <w:tc>
          <w:tcPr>
            <w:tcW w:w="551" w:type="pct"/>
            <w:tcBorders>
              <w:top w:val="single" w:color="000000" w:sz="2" w:space="0"/>
              <w:left w:val="single" w:color="000000" w:sz="2" w:space="0"/>
              <w:bottom w:val="single" w:color="000000" w:sz="2" w:space="0"/>
              <w:right w:val="single" w:color="000000" w:sz="2" w:space="0"/>
            </w:tcBorders>
            <w:vAlign w:val="center"/>
          </w:tcPr>
          <w:p w14:paraId="3B4D0E38">
            <w:pPr>
              <w:pStyle w:val="789"/>
              <w:rPr>
                <w:rFonts w:hint="default"/>
                <w:color w:val="auto"/>
                <w:szCs w:val="21"/>
                <w:highlight w:val="none"/>
              </w:rPr>
            </w:pPr>
            <w:r>
              <w:rPr>
                <w:rFonts w:hint="default"/>
                <w:color w:val="auto"/>
                <w:szCs w:val="21"/>
                <w:highlight w:val="none"/>
              </w:rPr>
              <w:t>271</w:t>
            </w:r>
          </w:p>
        </w:tc>
        <w:tc>
          <w:tcPr>
            <w:tcW w:w="396" w:type="pct"/>
            <w:tcBorders>
              <w:top w:val="single" w:color="000000" w:sz="2" w:space="0"/>
              <w:left w:val="single" w:color="000000" w:sz="2" w:space="0"/>
              <w:bottom w:val="single" w:color="000000" w:sz="2" w:space="0"/>
              <w:right w:val="single" w:color="000000" w:sz="2" w:space="0"/>
            </w:tcBorders>
            <w:vAlign w:val="center"/>
          </w:tcPr>
          <w:p w14:paraId="407BC618">
            <w:pPr>
              <w:pStyle w:val="789"/>
              <w:rPr>
                <w:rFonts w:hint="default"/>
                <w:color w:val="auto"/>
                <w:szCs w:val="21"/>
                <w:highlight w:val="none"/>
              </w:rPr>
            </w:pPr>
            <w:r>
              <w:rPr>
                <w:rFonts w:hint="default"/>
                <w:color w:val="auto"/>
                <w:szCs w:val="21"/>
                <w:highlight w:val="none"/>
              </w:rPr>
              <w:t>2286</w:t>
            </w:r>
          </w:p>
        </w:tc>
        <w:tc>
          <w:tcPr>
            <w:tcW w:w="304" w:type="pct"/>
            <w:tcBorders>
              <w:top w:val="single" w:color="000000" w:sz="2" w:space="0"/>
              <w:left w:val="single" w:color="000000" w:sz="2" w:space="0"/>
              <w:bottom w:val="single" w:color="000000" w:sz="2" w:space="0"/>
              <w:right w:val="single" w:color="000000" w:sz="2" w:space="0"/>
            </w:tcBorders>
            <w:vAlign w:val="center"/>
          </w:tcPr>
          <w:p w14:paraId="6E95B153">
            <w:pPr>
              <w:pStyle w:val="789"/>
              <w:rPr>
                <w:rFonts w:hint="default"/>
                <w:color w:val="auto"/>
                <w:szCs w:val="21"/>
                <w:highlight w:val="none"/>
              </w:rPr>
            </w:pPr>
            <w:r>
              <w:rPr>
                <w:rFonts w:hint="default"/>
                <w:color w:val="auto"/>
                <w:szCs w:val="21"/>
                <w:highlight w:val="none"/>
              </w:rPr>
              <w:t>5</w:t>
            </w:r>
            <w:r>
              <w:rPr>
                <w:color w:val="auto"/>
                <w:szCs w:val="21"/>
                <w:highlight w:val="none"/>
              </w:rPr>
              <w:t>.</w:t>
            </w:r>
            <w:r>
              <w:rPr>
                <w:rFonts w:hint="default"/>
                <w:color w:val="auto"/>
                <w:szCs w:val="21"/>
                <w:highlight w:val="none"/>
              </w:rPr>
              <w:t>9</w:t>
            </w:r>
          </w:p>
        </w:tc>
        <w:tc>
          <w:tcPr>
            <w:tcW w:w="484" w:type="pct"/>
            <w:tcBorders>
              <w:top w:val="single" w:color="000000" w:sz="2" w:space="0"/>
              <w:left w:val="single" w:color="000000" w:sz="2" w:space="0"/>
              <w:bottom w:val="single" w:color="000000" w:sz="2" w:space="0"/>
              <w:right w:val="single" w:color="000000" w:sz="2" w:space="0"/>
            </w:tcBorders>
            <w:vAlign w:val="center"/>
          </w:tcPr>
          <w:p w14:paraId="3FF5FC71">
            <w:pPr>
              <w:pStyle w:val="789"/>
              <w:rPr>
                <w:rFonts w:hint="default"/>
                <w:color w:val="auto"/>
                <w:szCs w:val="21"/>
                <w:highlight w:val="none"/>
              </w:rPr>
            </w:pPr>
            <w:r>
              <w:rPr>
                <w:rFonts w:hint="default"/>
                <w:color w:val="auto"/>
                <w:szCs w:val="21"/>
                <w:highlight w:val="none"/>
              </w:rPr>
              <w:t>10224</w:t>
            </w:r>
          </w:p>
        </w:tc>
        <w:tc>
          <w:tcPr>
            <w:tcW w:w="452" w:type="pct"/>
            <w:tcBorders>
              <w:top w:val="single" w:color="000000" w:sz="2" w:space="0"/>
              <w:left w:val="single" w:color="000000" w:sz="2" w:space="0"/>
              <w:bottom w:val="single" w:color="000000" w:sz="2" w:space="0"/>
              <w:right w:val="single" w:color="000000" w:sz="2" w:space="0"/>
            </w:tcBorders>
            <w:vAlign w:val="center"/>
          </w:tcPr>
          <w:p w14:paraId="0906D7D9">
            <w:pPr>
              <w:pStyle w:val="789"/>
              <w:rPr>
                <w:rFonts w:hint="default"/>
                <w:color w:val="auto"/>
                <w:szCs w:val="21"/>
                <w:highlight w:val="none"/>
              </w:rPr>
            </w:pPr>
            <w:r>
              <w:rPr>
                <w:rFonts w:hint="default"/>
                <w:color w:val="auto"/>
                <w:szCs w:val="21"/>
                <w:highlight w:val="none"/>
              </w:rPr>
              <w:t>2947</w:t>
            </w:r>
          </w:p>
        </w:tc>
      </w:tr>
      <w:tr w14:paraId="3D53F395">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05E89B3C">
            <w:pPr>
              <w:pStyle w:val="789"/>
              <w:rPr>
                <w:rFonts w:hint="default"/>
                <w:color w:val="auto"/>
                <w:szCs w:val="21"/>
                <w:highlight w:val="none"/>
              </w:rPr>
            </w:pPr>
            <w:r>
              <w:rPr>
                <w:rFonts w:hint="default"/>
                <w:color w:val="auto"/>
                <w:szCs w:val="21"/>
                <w:highlight w:val="none"/>
              </w:rPr>
              <w:t>调节池出水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20DA6D59">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524FDF9A">
            <w:pPr>
              <w:pStyle w:val="789"/>
              <w:rPr>
                <w:rFonts w:hint="default"/>
                <w:color w:val="auto"/>
                <w:szCs w:val="21"/>
                <w:highlight w:val="none"/>
              </w:rPr>
            </w:pPr>
            <w:r>
              <w:rPr>
                <w:rFonts w:hint="default"/>
                <w:color w:val="auto"/>
                <w:szCs w:val="21"/>
                <w:highlight w:val="none"/>
              </w:rPr>
              <w:t>12904</w:t>
            </w:r>
          </w:p>
        </w:tc>
        <w:tc>
          <w:tcPr>
            <w:tcW w:w="526" w:type="pct"/>
            <w:tcBorders>
              <w:top w:val="single" w:color="000000" w:sz="2" w:space="0"/>
              <w:left w:val="single" w:color="000000" w:sz="2" w:space="0"/>
              <w:bottom w:val="single" w:color="000000" w:sz="2" w:space="0"/>
              <w:right w:val="single" w:color="000000" w:sz="2" w:space="0"/>
            </w:tcBorders>
            <w:vAlign w:val="center"/>
          </w:tcPr>
          <w:p w14:paraId="72275AD6">
            <w:pPr>
              <w:pStyle w:val="789"/>
              <w:rPr>
                <w:rFonts w:hint="default"/>
                <w:color w:val="auto"/>
                <w:szCs w:val="21"/>
                <w:highlight w:val="none"/>
              </w:rPr>
            </w:pPr>
            <w:r>
              <w:rPr>
                <w:rFonts w:hint="default"/>
                <w:color w:val="auto"/>
                <w:szCs w:val="21"/>
                <w:highlight w:val="none"/>
              </w:rPr>
              <w:t>309</w:t>
            </w:r>
          </w:p>
        </w:tc>
        <w:tc>
          <w:tcPr>
            <w:tcW w:w="472" w:type="pct"/>
            <w:tcBorders>
              <w:top w:val="single" w:color="000000" w:sz="2" w:space="0"/>
              <w:left w:val="single" w:color="000000" w:sz="2" w:space="0"/>
              <w:bottom w:val="single" w:color="000000" w:sz="2" w:space="0"/>
              <w:right w:val="single" w:color="000000" w:sz="2" w:space="0"/>
            </w:tcBorders>
            <w:vAlign w:val="center"/>
          </w:tcPr>
          <w:p w14:paraId="32EC2114">
            <w:pPr>
              <w:pStyle w:val="789"/>
              <w:rPr>
                <w:rFonts w:hint="default"/>
                <w:color w:val="auto"/>
                <w:szCs w:val="21"/>
                <w:highlight w:val="none"/>
              </w:rPr>
            </w:pPr>
            <w:r>
              <w:rPr>
                <w:rFonts w:hint="default"/>
                <w:color w:val="auto"/>
                <w:szCs w:val="21"/>
                <w:highlight w:val="none"/>
              </w:rPr>
              <w:t>361</w:t>
            </w:r>
          </w:p>
        </w:tc>
        <w:tc>
          <w:tcPr>
            <w:tcW w:w="551" w:type="pct"/>
            <w:tcBorders>
              <w:top w:val="single" w:color="000000" w:sz="2" w:space="0"/>
              <w:left w:val="single" w:color="000000" w:sz="2" w:space="0"/>
              <w:bottom w:val="single" w:color="000000" w:sz="2" w:space="0"/>
              <w:right w:val="single" w:color="000000" w:sz="2" w:space="0"/>
            </w:tcBorders>
            <w:vAlign w:val="center"/>
          </w:tcPr>
          <w:p w14:paraId="3A8BB0D5">
            <w:pPr>
              <w:pStyle w:val="789"/>
              <w:rPr>
                <w:rFonts w:hint="default"/>
                <w:color w:val="auto"/>
                <w:szCs w:val="21"/>
                <w:highlight w:val="none"/>
              </w:rPr>
            </w:pPr>
            <w:r>
              <w:rPr>
                <w:rFonts w:hint="default"/>
                <w:color w:val="auto"/>
                <w:szCs w:val="21"/>
                <w:highlight w:val="none"/>
              </w:rPr>
              <w:t>271</w:t>
            </w:r>
          </w:p>
        </w:tc>
        <w:tc>
          <w:tcPr>
            <w:tcW w:w="396" w:type="pct"/>
            <w:tcBorders>
              <w:top w:val="single" w:color="000000" w:sz="2" w:space="0"/>
              <w:left w:val="single" w:color="000000" w:sz="2" w:space="0"/>
              <w:bottom w:val="single" w:color="000000" w:sz="2" w:space="0"/>
              <w:right w:val="single" w:color="000000" w:sz="2" w:space="0"/>
            </w:tcBorders>
            <w:vAlign w:val="center"/>
          </w:tcPr>
          <w:p w14:paraId="3D842CB3">
            <w:pPr>
              <w:pStyle w:val="789"/>
              <w:rPr>
                <w:rFonts w:hint="default"/>
                <w:color w:val="auto"/>
                <w:szCs w:val="21"/>
                <w:highlight w:val="none"/>
              </w:rPr>
            </w:pPr>
            <w:r>
              <w:rPr>
                <w:rFonts w:hint="default"/>
                <w:color w:val="auto"/>
                <w:szCs w:val="21"/>
                <w:highlight w:val="none"/>
              </w:rPr>
              <w:t>2286</w:t>
            </w:r>
          </w:p>
        </w:tc>
        <w:tc>
          <w:tcPr>
            <w:tcW w:w="304" w:type="pct"/>
            <w:tcBorders>
              <w:top w:val="single" w:color="000000" w:sz="2" w:space="0"/>
              <w:left w:val="single" w:color="000000" w:sz="2" w:space="0"/>
              <w:bottom w:val="single" w:color="000000" w:sz="2" w:space="0"/>
              <w:right w:val="single" w:color="000000" w:sz="2" w:space="0"/>
            </w:tcBorders>
            <w:vAlign w:val="center"/>
          </w:tcPr>
          <w:p w14:paraId="6BAD6631">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2A9FE8F3">
            <w:pPr>
              <w:pStyle w:val="789"/>
              <w:rPr>
                <w:rFonts w:hint="default"/>
                <w:color w:val="auto"/>
                <w:szCs w:val="21"/>
                <w:highlight w:val="none"/>
              </w:rPr>
            </w:pPr>
            <w:r>
              <w:rPr>
                <w:rFonts w:hint="default"/>
                <w:color w:val="auto"/>
                <w:szCs w:val="21"/>
                <w:highlight w:val="none"/>
              </w:rPr>
              <w:t>10224</w:t>
            </w:r>
          </w:p>
        </w:tc>
        <w:tc>
          <w:tcPr>
            <w:tcW w:w="452" w:type="pct"/>
            <w:tcBorders>
              <w:top w:val="single" w:color="000000" w:sz="2" w:space="0"/>
              <w:left w:val="single" w:color="000000" w:sz="2" w:space="0"/>
              <w:bottom w:val="single" w:color="000000" w:sz="2" w:space="0"/>
              <w:right w:val="single" w:color="000000" w:sz="2" w:space="0"/>
            </w:tcBorders>
            <w:vAlign w:val="center"/>
          </w:tcPr>
          <w:p w14:paraId="35AF2BC7">
            <w:pPr>
              <w:pStyle w:val="789"/>
              <w:rPr>
                <w:rFonts w:hint="default"/>
                <w:color w:val="auto"/>
                <w:szCs w:val="21"/>
                <w:highlight w:val="none"/>
              </w:rPr>
            </w:pPr>
            <w:r>
              <w:rPr>
                <w:rFonts w:hint="default"/>
                <w:color w:val="auto"/>
                <w:szCs w:val="21"/>
                <w:highlight w:val="none"/>
              </w:rPr>
              <w:t>2947</w:t>
            </w:r>
          </w:p>
        </w:tc>
      </w:tr>
      <w:tr w14:paraId="5040F5CC">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7F12C125">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1221A4EE">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1F96E090">
            <w:pPr>
              <w:pStyle w:val="789"/>
              <w:rPr>
                <w:rFonts w:hint="default"/>
                <w:color w:val="auto"/>
                <w:szCs w:val="21"/>
                <w:highlight w:val="none"/>
              </w:rPr>
            </w:pPr>
            <w:r>
              <w:rPr>
                <w:rFonts w:hint="default"/>
                <w:color w:val="auto"/>
                <w:szCs w:val="21"/>
                <w:highlight w:val="none"/>
              </w:rPr>
              <w:t>0.0%</w:t>
            </w:r>
          </w:p>
        </w:tc>
        <w:tc>
          <w:tcPr>
            <w:tcW w:w="526" w:type="pct"/>
            <w:tcBorders>
              <w:top w:val="single" w:color="000000" w:sz="2" w:space="0"/>
              <w:left w:val="single" w:color="000000" w:sz="2" w:space="0"/>
              <w:bottom w:val="single" w:color="000000" w:sz="2" w:space="0"/>
              <w:right w:val="single" w:color="000000" w:sz="2" w:space="0"/>
            </w:tcBorders>
            <w:vAlign w:val="center"/>
          </w:tcPr>
          <w:p w14:paraId="7FDF7F15">
            <w:pPr>
              <w:pStyle w:val="789"/>
              <w:rPr>
                <w:rFonts w:hint="default"/>
                <w:color w:val="auto"/>
                <w:szCs w:val="21"/>
                <w:highlight w:val="none"/>
              </w:rPr>
            </w:pPr>
            <w:r>
              <w:rPr>
                <w:rFonts w:hint="default"/>
                <w:color w:val="auto"/>
                <w:szCs w:val="21"/>
                <w:highlight w:val="none"/>
              </w:rPr>
              <w:t>0.0%</w:t>
            </w:r>
          </w:p>
        </w:tc>
        <w:tc>
          <w:tcPr>
            <w:tcW w:w="472" w:type="pct"/>
            <w:tcBorders>
              <w:top w:val="single" w:color="000000" w:sz="2" w:space="0"/>
              <w:left w:val="single" w:color="000000" w:sz="2" w:space="0"/>
              <w:bottom w:val="single" w:color="000000" w:sz="2" w:space="0"/>
              <w:right w:val="single" w:color="000000" w:sz="2" w:space="0"/>
            </w:tcBorders>
            <w:vAlign w:val="center"/>
          </w:tcPr>
          <w:p w14:paraId="1207E6AF">
            <w:pPr>
              <w:pStyle w:val="789"/>
              <w:rPr>
                <w:rFonts w:hint="default"/>
                <w:color w:val="auto"/>
                <w:szCs w:val="21"/>
                <w:highlight w:val="none"/>
              </w:rPr>
            </w:pPr>
            <w:r>
              <w:rPr>
                <w:rFonts w:hint="default"/>
                <w:color w:val="auto"/>
                <w:szCs w:val="21"/>
                <w:highlight w:val="none"/>
              </w:rPr>
              <w:t>0.0%</w:t>
            </w:r>
          </w:p>
        </w:tc>
        <w:tc>
          <w:tcPr>
            <w:tcW w:w="551" w:type="pct"/>
            <w:tcBorders>
              <w:top w:val="single" w:color="000000" w:sz="2" w:space="0"/>
              <w:left w:val="single" w:color="000000" w:sz="2" w:space="0"/>
              <w:bottom w:val="single" w:color="000000" w:sz="2" w:space="0"/>
              <w:right w:val="single" w:color="000000" w:sz="2" w:space="0"/>
            </w:tcBorders>
            <w:vAlign w:val="center"/>
          </w:tcPr>
          <w:p w14:paraId="39AB4EA1">
            <w:pPr>
              <w:pStyle w:val="789"/>
              <w:rPr>
                <w:rFonts w:hint="default"/>
                <w:color w:val="auto"/>
                <w:szCs w:val="21"/>
                <w:highlight w:val="none"/>
              </w:rPr>
            </w:pPr>
            <w:r>
              <w:rPr>
                <w:rFonts w:hint="default"/>
                <w:color w:val="auto"/>
                <w:szCs w:val="21"/>
                <w:highlight w:val="none"/>
              </w:rPr>
              <w:t>0.0%</w:t>
            </w:r>
          </w:p>
        </w:tc>
        <w:tc>
          <w:tcPr>
            <w:tcW w:w="396" w:type="pct"/>
            <w:tcBorders>
              <w:top w:val="single" w:color="000000" w:sz="2" w:space="0"/>
              <w:left w:val="single" w:color="000000" w:sz="2" w:space="0"/>
              <w:bottom w:val="single" w:color="000000" w:sz="2" w:space="0"/>
              <w:right w:val="single" w:color="000000" w:sz="2" w:space="0"/>
            </w:tcBorders>
            <w:vAlign w:val="center"/>
          </w:tcPr>
          <w:p w14:paraId="143199FD">
            <w:pPr>
              <w:pStyle w:val="789"/>
              <w:rPr>
                <w:rFonts w:hint="default"/>
                <w:color w:val="auto"/>
                <w:szCs w:val="21"/>
                <w:highlight w:val="none"/>
              </w:rPr>
            </w:pPr>
            <w:r>
              <w:rPr>
                <w:rFonts w:hint="default"/>
                <w:color w:val="auto"/>
                <w:szCs w:val="21"/>
                <w:highlight w:val="none"/>
              </w:rPr>
              <w:t>0.0%</w:t>
            </w:r>
          </w:p>
        </w:tc>
        <w:tc>
          <w:tcPr>
            <w:tcW w:w="304" w:type="pct"/>
            <w:tcBorders>
              <w:top w:val="single" w:color="000000" w:sz="2" w:space="0"/>
              <w:left w:val="single" w:color="000000" w:sz="2" w:space="0"/>
              <w:bottom w:val="single" w:color="000000" w:sz="2" w:space="0"/>
              <w:right w:val="single" w:color="000000" w:sz="2" w:space="0"/>
            </w:tcBorders>
            <w:vAlign w:val="center"/>
          </w:tcPr>
          <w:p w14:paraId="4097A84F">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00A55661">
            <w:pPr>
              <w:pStyle w:val="789"/>
              <w:rPr>
                <w:rFonts w:hint="default"/>
                <w:color w:val="auto"/>
                <w:szCs w:val="21"/>
                <w:highlight w:val="none"/>
              </w:rPr>
            </w:pPr>
            <w:r>
              <w:rPr>
                <w:rFonts w:hint="default"/>
                <w:color w:val="auto"/>
                <w:szCs w:val="21"/>
                <w:highlight w:val="none"/>
              </w:rPr>
              <w:t>0.0%</w:t>
            </w:r>
          </w:p>
        </w:tc>
        <w:tc>
          <w:tcPr>
            <w:tcW w:w="452" w:type="pct"/>
            <w:tcBorders>
              <w:top w:val="single" w:color="000000" w:sz="2" w:space="0"/>
              <w:left w:val="single" w:color="000000" w:sz="2" w:space="0"/>
              <w:bottom w:val="single" w:color="000000" w:sz="2" w:space="0"/>
              <w:right w:val="single" w:color="000000" w:sz="2" w:space="0"/>
            </w:tcBorders>
            <w:vAlign w:val="center"/>
          </w:tcPr>
          <w:p w14:paraId="71788C01">
            <w:pPr>
              <w:pStyle w:val="789"/>
              <w:rPr>
                <w:rFonts w:hint="default"/>
                <w:color w:val="auto"/>
                <w:szCs w:val="21"/>
                <w:highlight w:val="none"/>
              </w:rPr>
            </w:pPr>
            <w:r>
              <w:rPr>
                <w:rFonts w:hint="default"/>
                <w:color w:val="auto"/>
                <w:szCs w:val="21"/>
                <w:highlight w:val="none"/>
              </w:rPr>
              <w:t>0.0%</w:t>
            </w:r>
          </w:p>
        </w:tc>
      </w:tr>
      <w:tr w14:paraId="00231FDD">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0088D1B6">
            <w:pPr>
              <w:pStyle w:val="789"/>
              <w:rPr>
                <w:rFonts w:hint="default"/>
                <w:color w:val="auto"/>
                <w:szCs w:val="21"/>
                <w:highlight w:val="none"/>
              </w:rPr>
            </w:pPr>
            <w:r>
              <w:rPr>
                <w:rFonts w:hint="default"/>
                <w:color w:val="auto"/>
                <w:szCs w:val="21"/>
                <w:highlight w:val="none"/>
              </w:rPr>
              <w:t>一级混凝沉淀池进水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6EAD1F58">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6A580187">
            <w:pPr>
              <w:pStyle w:val="789"/>
              <w:rPr>
                <w:rFonts w:hint="default"/>
                <w:color w:val="auto"/>
                <w:szCs w:val="21"/>
                <w:highlight w:val="none"/>
              </w:rPr>
            </w:pPr>
            <w:r>
              <w:rPr>
                <w:rFonts w:hint="default"/>
                <w:color w:val="auto"/>
                <w:szCs w:val="21"/>
                <w:highlight w:val="none"/>
              </w:rPr>
              <w:t>12904</w:t>
            </w:r>
          </w:p>
        </w:tc>
        <w:tc>
          <w:tcPr>
            <w:tcW w:w="526" w:type="pct"/>
            <w:tcBorders>
              <w:top w:val="single" w:color="000000" w:sz="2" w:space="0"/>
              <w:left w:val="single" w:color="000000" w:sz="2" w:space="0"/>
              <w:bottom w:val="single" w:color="000000" w:sz="2" w:space="0"/>
              <w:right w:val="single" w:color="000000" w:sz="2" w:space="0"/>
            </w:tcBorders>
            <w:vAlign w:val="center"/>
          </w:tcPr>
          <w:p w14:paraId="67607850">
            <w:pPr>
              <w:pStyle w:val="789"/>
              <w:rPr>
                <w:rFonts w:hint="default"/>
                <w:color w:val="auto"/>
                <w:szCs w:val="21"/>
                <w:highlight w:val="none"/>
              </w:rPr>
            </w:pPr>
            <w:r>
              <w:rPr>
                <w:rFonts w:hint="default"/>
                <w:color w:val="auto"/>
                <w:szCs w:val="21"/>
                <w:highlight w:val="none"/>
              </w:rPr>
              <w:t>309</w:t>
            </w:r>
          </w:p>
        </w:tc>
        <w:tc>
          <w:tcPr>
            <w:tcW w:w="472" w:type="pct"/>
            <w:tcBorders>
              <w:top w:val="single" w:color="000000" w:sz="2" w:space="0"/>
              <w:left w:val="single" w:color="000000" w:sz="2" w:space="0"/>
              <w:bottom w:val="single" w:color="000000" w:sz="2" w:space="0"/>
              <w:right w:val="single" w:color="000000" w:sz="2" w:space="0"/>
            </w:tcBorders>
            <w:vAlign w:val="center"/>
          </w:tcPr>
          <w:p w14:paraId="5450F063">
            <w:pPr>
              <w:pStyle w:val="789"/>
              <w:rPr>
                <w:rFonts w:hint="default"/>
                <w:color w:val="auto"/>
                <w:szCs w:val="21"/>
                <w:highlight w:val="none"/>
              </w:rPr>
            </w:pPr>
            <w:r>
              <w:rPr>
                <w:rFonts w:hint="default"/>
                <w:color w:val="auto"/>
                <w:szCs w:val="21"/>
                <w:highlight w:val="none"/>
              </w:rPr>
              <w:t>361</w:t>
            </w:r>
          </w:p>
        </w:tc>
        <w:tc>
          <w:tcPr>
            <w:tcW w:w="551" w:type="pct"/>
            <w:tcBorders>
              <w:top w:val="single" w:color="000000" w:sz="2" w:space="0"/>
              <w:left w:val="single" w:color="000000" w:sz="2" w:space="0"/>
              <w:bottom w:val="single" w:color="000000" w:sz="2" w:space="0"/>
              <w:right w:val="single" w:color="000000" w:sz="2" w:space="0"/>
            </w:tcBorders>
            <w:vAlign w:val="center"/>
          </w:tcPr>
          <w:p w14:paraId="7D61B596">
            <w:pPr>
              <w:pStyle w:val="789"/>
              <w:rPr>
                <w:rFonts w:hint="default"/>
                <w:color w:val="auto"/>
                <w:szCs w:val="21"/>
                <w:highlight w:val="none"/>
              </w:rPr>
            </w:pPr>
            <w:r>
              <w:rPr>
                <w:rFonts w:hint="default"/>
                <w:color w:val="auto"/>
                <w:szCs w:val="21"/>
                <w:highlight w:val="none"/>
              </w:rPr>
              <w:t>271</w:t>
            </w:r>
          </w:p>
        </w:tc>
        <w:tc>
          <w:tcPr>
            <w:tcW w:w="396" w:type="pct"/>
            <w:tcBorders>
              <w:top w:val="single" w:color="000000" w:sz="2" w:space="0"/>
              <w:left w:val="single" w:color="000000" w:sz="2" w:space="0"/>
              <w:bottom w:val="single" w:color="000000" w:sz="2" w:space="0"/>
              <w:right w:val="single" w:color="000000" w:sz="2" w:space="0"/>
            </w:tcBorders>
            <w:vAlign w:val="center"/>
          </w:tcPr>
          <w:p w14:paraId="2D7D6EE4">
            <w:pPr>
              <w:pStyle w:val="789"/>
              <w:rPr>
                <w:rFonts w:hint="default"/>
                <w:color w:val="auto"/>
                <w:szCs w:val="21"/>
                <w:highlight w:val="none"/>
              </w:rPr>
            </w:pPr>
            <w:r>
              <w:rPr>
                <w:rFonts w:hint="default"/>
                <w:color w:val="auto"/>
                <w:szCs w:val="21"/>
                <w:highlight w:val="none"/>
              </w:rPr>
              <w:t>2286</w:t>
            </w:r>
          </w:p>
        </w:tc>
        <w:tc>
          <w:tcPr>
            <w:tcW w:w="304" w:type="pct"/>
            <w:tcBorders>
              <w:top w:val="single" w:color="000000" w:sz="2" w:space="0"/>
              <w:left w:val="single" w:color="000000" w:sz="2" w:space="0"/>
              <w:bottom w:val="single" w:color="000000" w:sz="2" w:space="0"/>
              <w:right w:val="single" w:color="000000" w:sz="2" w:space="0"/>
            </w:tcBorders>
            <w:vAlign w:val="center"/>
          </w:tcPr>
          <w:p w14:paraId="280F6373">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0CFF6B06">
            <w:pPr>
              <w:pStyle w:val="789"/>
              <w:rPr>
                <w:rFonts w:hint="default"/>
                <w:color w:val="auto"/>
                <w:szCs w:val="21"/>
                <w:highlight w:val="none"/>
              </w:rPr>
            </w:pPr>
            <w:r>
              <w:rPr>
                <w:rFonts w:hint="default"/>
                <w:color w:val="auto"/>
                <w:szCs w:val="21"/>
                <w:highlight w:val="none"/>
              </w:rPr>
              <w:t>10224</w:t>
            </w:r>
          </w:p>
        </w:tc>
        <w:tc>
          <w:tcPr>
            <w:tcW w:w="452" w:type="pct"/>
            <w:tcBorders>
              <w:top w:val="single" w:color="000000" w:sz="2" w:space="0"/>
              <w:left w:val="single" w:color="000000" w:sz="2" w:space="0"/>
              <w:bottom w:val="single" w:color="000000" w:sz="2" w:space="0"/>
              <w:right w:val="single" w:color="000000" w:sz="2" w:space="0"/>
            </w:tcBorders>
            <w:vAlign w:val="center"/>
          </w:tcPr>
          <w:p w14:paraId="2694192E">
            <w:pPr>
              <w:pStyle w:val="789"/>
              <w:rPr>
                <w:rFonts w:hint="default"/>
                <w:color w:val="auto"/>
                <w:szCs w:val="21"/>
                <w:highlight w:val="none"/>
              </w:rPr>
            </w:pPr>
            <w:r>
              <w:rPr>
                <w:rFonts w:hint="default"/>
                <w:color w:val="auto"/>
                <w:szCs w:val="21"/>
                <w:highlight w:val="none"/>
              </w:rPr>
              <w:t>2947</w:t>
            </w:r>
          </w:p>
        </w:tc>
      </w:tr>
      <w:tr w14:paraId="574D1A63">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1AAC03B4">
            <w:pPr>
              <w:pStyle w:val="789"/>
              <w:rPr>
                <w:rFonts w:hint="default"/>
                <w:color w:val="auto"/>
                <w:szCs w:val="21"/>
                <w:highlight w:val="none"/>
              </w:rPr>
            </w:pPr>
            <w:r>
              <w:rPr>
                <w:rFonts w:hint="default"/>
                <w:color w:val="auto"/>
                <w:szCs w:val="21"/>
                <w:highlight w:val="none"/>
              </w:rPr>
              <w:t>一级混凝沉淀池出水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2802A8D4">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5BC01559">
            <w:pPr>
              <w:pStyle w:val="789"/>
              <w:rPr>
                <w:rFonts w:hint="default"/>
                <w:color w:val="auto"/>
                <w:szCs w:val="21"/>
                <w:highlight w:val="none"/>
              </w:rPr>
            </w:pPr>
            <w:r>
              <w:rPr>
                <w:rFonts w:hint="default"/>
                <w:color w:val="auto"/>
                <w:szCs w:val="21"/>
                <w:highlight w:val="none"/>
              </w:rPr>
              <w:t>10710</w:t>
            </w:r>
          </w:p>
        </w:tc>
        <w:tc>
          <w:tcPr>
            <w:tcW w:w="526" w:type="pct"/>
            <w:tcBorders>
              <w:top w:val="single" w:color="000000" w:sz="2" w:space="0"/>
              <w:left w:val="single" w:color="000000" w:sz="2" w:space="0"/>
              <w:bottom w:val="single" w:color="000000" w:sz="2" w:space="0"/>
              <w:right w:val="single" w:color="000000" w:sz="2" w:space="0"/>
            </w:tcBorders>
            <w:vAlign w:val="center"/>
          </w:tcPr>
          <w:p w14:paraId="7969AA29">
            <w:pPr>
              <w:pStyle w:val="789"/>
              <w:rPr>
                <w:rFonts w:hint="default"/>
                <w:color w:val="auto"/>
                <w:szCs w:val="21"/>
                <w:highlight w:val="none"/>
              </w:rPr>
            </w:pPr>
            <w:r>
              <w:rPr>
                <w:rFonts w:hint="default"/>
                <w:color w:val="auto"/>
                <w:szCs w:val="21"/>
                <w:highlight w:val="none"/>
              </w:rPr>
              <w:t>309</w:t>
            </w:r>
          </w:p>
        </w:tc>
        <w:tc>
          <w:tcPr>
            <w:tcW w:w="472" w:type="pct"/>
            <w:tcBorders>
              <w:top w:val="single" w:color="000000" w:sz="2" w:space="0"/>
              <w:left w:val="single" w:color="000000" w:sz="2" w:space="0"/>
              <w:bottom w:val="single" w:color="000000" w:sz="2" w:space="0"/>
              <w:right w:val="single" w:color="000000" w:sz="2" w:space="0"/>
            </w:tcBorders>
            <w:vAlign w:val="center"/>
          </w:tcPr>
          <w:p w14:paraId="0EAA9FDF">
            <w:pPr>
              <w:pStyle w:val="789"/>
              <w:rPr>
                <w:rFonts w:hint="default"/>
                <w:color w:val="auto"/>
                <w:szCs w:val="21"/>
                <w:highlight w:val="none"/>
              </w:rPr>
            </w:pPr>
            <w:r>
              <w:rPr>
                <w:rFonts w:hint="default"/>
                <w:color w:val="auto"/>
                <w:szCs w:val="21"/>
                <w:highlight w:val="none"/>
              </w:rPr>
              <w:t>361</w:t>
            </w:r>
          </w:p>
        </w:tc>
        <w:tc>
          <w:tcPr>
            <w:tcW w:w="551" w:type="pct"/>
            <w:tcBorders>
              <w:top w:val="single" w:color="000000" w:sz="2" w:space="0"/>
              <w:left w:val="single" w:color="000000" w:sz="2" w:space="0"/>
              <w:bottom w:val="single" w:color="000000" w:sz="2" w:space="0"/>
              <w:right w:val="single" w:color="000000" w:sz="2" w:space="0"/>
            </w:tcBorders>
            <w:vAlign w:val="center"/>
          </w:tcPr>
          <w:p w14:paraId="629D6BB2">
            <w:pPr>
              <w:pStyle w:val="789"/>
              <w:rPr>
                <w:rFonts w:hint="default"/>
                <w:color w:val="auto"/>
                <w:szCs w:val="21"/>
                <w:highlight w:val="none"/>
              </w:rPr>
            </w:pPr>
            <w:r>
              <w:rPr>
                <w:rFonts w:hint="default"/>
                <w:color w:val="auto"/>
                <w:szCs w:val="21"/>
                <w:highlight w:val="none"/>
              </w:rPr>
              <w:t>54</w:t>
            </w:r>
          </w:p>
        </w:tc>
        <w:tc>
          <w:tcPr>
            <w:tcW w:w="396" w:type="pct"/>
            <w:tcBorders>
              <w:top w:val="single" w:color="000000" w:sz="2" w:space="0"/>
              <w:left w:val="single" w:color="000000" w:sz="2" w:space="0"/>
              <w:bottom w:val="single" w:color="000000" w:sz="2" w:space="0"/>
              <w:right w:val="single" w:color="000000" w:sz="2" w:space="0"/>
            </w:tcBorders>
            <w:vAlign w:val="center"/>
          </w:tcPr>
          <w:p w14:paraId="14424904">
            <w:pPr>
              <w:pStyle w:val="789"/>
              <w:rPr>
                <w:rFonts w:hint="default"/>
                <w:color w:val="auto"/>
                <w:szCs w:val="21"/>
                <w:highlight w:val="none"/>
              </w:rPr>
            </w:pPr>
            <w:r>
              <w:rPr>
                <w:rFonts w:hint="default"/>
                <w:color w:val="auto"/>
                <w:szCs w:val="21"/>
                <w:highlight w:val="none"/>
              </w:rPr>
              <w:t>343</w:t>
            </w:r>
          </w:p>
        </w:tc>
        <w:tc>
          <w:tcPr>
            <w:tcW w:w="304" w:type="pct"/>
            <w:tcBorders>
              <w:top w:val="single" w:color="000000" w:sz="2" w:space="0"/>
              <w:left w:val="single" w:color="000000" w:sz="2" w:space="0"/>
              <w:bottom w:val="single" w:color="000000" w:sz="2" w:space="0"/>
              <w:right w:val="single" w:color="000000" w:sz="2" w:space="0"/>
            </w:tcBorders>
            <w:vAlign w:val="center"/>
          </w:tcPr>
          <w:p w14:paraId="0AAE9B23">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65414510">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2461FC09">
            <w:pPr>
              <w:pStyle w:val="789"/>
              <w:rPr>
                <w:rFonts w:hint="default"/>
                <w:color w:val="auto"/>
                <w:szCs w:val="21"/>
                <w:highlight w:val="none"/>
              </w:rPr>
            </w:pPr>
            <w:r>
              <w:rPr>
                <w:rFonts w:hint="default"/>
                <w:color w:val="auto"/>
                <w:szCs w:val="21"/>
                <w:highlight w:val="none"/>
              </w:rPr>
              <w:t>1179</w:t>
            </w:r>
          </w:p>
        </w:tc>
      </w:tr>
      <w:tr w14:paraId="13E92B04">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3E8481FA">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3527F907">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179721CA">
            <w:pPr>
              <w:pStyle w:val="789"/>
              <w:rPr>
                <w:rFonts w:hint="default"/>
                <w:color w:val="auto"/>
                <w:szCs w:val="21"/>
                <w:highlight w:val="none"/>
              </w:rPr>
            </w:pPr>
            <w:r>
              <w:rPr>
                <w:rFonts w:hint="default"/>
                <w:color w:val="auto"/>
                <w:szCs w:val="21"/>
                <w:highlight w:val="none"/>
              </w:rPr>
              <w:t>17.0%</w:t>
            </w:r>
          </w:p>
        </w:tc>
        <w:tc>
          <w:tcPr>
            <w:tcW w:w="526" w:type="pct"/>
            <w:tcBorders>
              <w:top w:val="single" w:color="000000" w:sz="2" w:space="0"/>
              <w:left w:val="single" w:color="000000" w:sz="2" w:space="0"/>
              <w:bottom w:val="single" w:color="000000" w:sz="2" w:space="0"/>
              <w:right w:val="single" w:color="000000" w:sz="2" w:space="0"/>
            </w:tcBorders>
            <w:vAlign w:val="center"/>
          </w:tcPr>
          <w:p w14:paraId="7C3DBC62">
            <w:pPr>
              <w:pStyle w:val="789"/>
              <w:rPr>
                <w:rFonts w:hint="default"/>
                <w:color w:val="auto"/>
                <w:szCs w:val="21"/>
                <w:highlight w:val="none"/>
              </w:rPr>
            </w:pPr>
            <w:r>
              <w:rPr>
                <w:rFonts w:hint="default"/>
                <w:color w:val="auto"/>
                <w:szCs w:val="21"/>
                <w:highlight w:val="none"/>
              </w:rPr>
              <w:t>0.0%</w:t>
            </w:r>
          </w:p>
        </w:tc>
        <w:tc>
          <w:tcPr>
            <w:tcW w:w="472" w:type="pct"/>
            <w:tcBorders>
              <w:top w:val="single" w:color="000000" w:sz="2" w:space="0"/>
              <w:left w:val="single" w:color="000000" w:sz="2" w:space="0"/>
              <w:bottom w:val="single" w:color="000000" w:sz="2" w:space="0"/>
              <w:right w:val="single" w:color="000000" w:sz="2" w:space="0"/>
            </w:tcBorders>
            <w:vAlign w:val="center"/>
          </w:tcPr>
          <w:p w14:paraId="0D7ADE10">
            <w:pPr>
              <w:pStyle w:val="789"/>
              <w:rPr>
                <w:rFonts w:hint="default"/>
                <w:color w:val="auto"/>
                <w:szCs w:val="21"/>
                <w:highlight w:val="none"/>
              </w:rPr>
            </w:pPr>
            <w:r>
              <w:rPr>
                <w:rFonts w:hint="default"/>
                <w:color w:val="auto"/>
                <w:szCs w:val="21"/>
                <w:highlight w:val="none"/>
              </w:rPr>
              <w:t>0.0%</w:t>
            </w:r>
          </w:p>
        </w:tc>
        <w:tc>
          <w:tcPr>
            <w:tcW w:w="551" w:type="pct"/>
            <w:tcBorders>
              <w:top w:val="single" w:color="000000" w:sz="2" w:space="0"/>
              <w:left w:val="single" w:color="000000" w:sz="2" w:space="0"/>
              <w:bottom w:val="single" w:color="000000" w:sz="2" w:space="0"/>
              <w:right w:val="single" w:color="000000" w:sz="2" w:space="0"/>
            </w:tcBorders>
            <w:vAlign w:val="center"/>
          </w:tcPr>
          <w:p w14:paraId="1253ACF4">
            <w:pPr>
              <w:pStyle w:val="789"/>
              <w:rPr>
                <w:rFonts w:hint="default"/>
                <w:color w:val="auto"/>
                <w:szCs w:val="21"/>
                <w:highlight w:val="none"/>
              </w:rPr>
            </w:pPr>
            <w:r>
              <w:rPr>
                <w:rFonts w:hint="default"/>
                <w:color w:val="auto"/>
                <w:szCs w:val="21"/>
                <w:highlight w:val="none"/>
              </w:rPr>
              <w:t>80.0%</w:t>
            </w:r>
          </w:p>
        </w:tc>
        <w:tc>
          <w:tcPr>
            <w:tcW w:w="396" w:type="pct"/>
            <w:tcBorders>
              <w:top w:val="single" w:color="000000" w:sz="2" w:space="0"/>
              <w:left w:val="single" w:color="000000" w:sz="2" w:space="0"/>
              <w:bottom w:val="single" w:color="000000" w:sz="2" w:space="0"/>
              <w:right w:val="single" w:color="000000" w:sz="2" w:space="0"/>
            </w:tcBorders>
            <w:vAlign w:val="center"/>
          </w:tcPr>
          <w:p w14:paraId="748FB2C3">
            <w:pPr>
              <w:pStyle w:val="789"/>
              <w:rPr>
                <w:rFonts w:hint="default"/>
                <w:color w:val="auto"/>
                <w:szCs w:val="21"/>
                <w:highlight w:val="none"/>
              </w:rPr>
            </w:pPr>
            <w:r>
              <w:rPr>
                <w:rFonts w:hint="default"/>
                <w:color w:val="auto"/>
                <w:szCs w:val="21"/>
                <w:highlight w:val="none"/>
              </w:rPr>
              <w:t>85.0%</w:t>
            </w:r>
          </w:p>
        </w:tc>
        <w:tc>
          <w:tcPr>
            <w:tcW w:w="304" w:type="pct"/>
            <w:tcBorders>
              <w:top w:val="single" w:color="000000" w:sz="2" w:space="0"/>
              <w:left w:val="single" w:color="000000" w:sz="2" w:space="0"/>
              <w:bottom w:val="single" w:color="000000" w:sz="2" w:space="0"/>
              <w:right w:val="single" w:color="000000" w:sz="2" w:space="0"/>
            </w:tcBorders>
            <w:vAlign w:val="center"/>
          </w:tcPr>
          <w:p w14:paraId="1E23E76C">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7288C3C7">
            <w:pPr>
              <w:pStyle w:val="789"/>
              <w:rPr>
                <w:rFonts w:hint="default"/>
                <w:color w:val="auto"/>
                <w:szCs w:val="21"/>
                <w:highlight w:val="none"/>
              </w:rPr>
            </w:pPr>
            <w:r>
              <w:rPr>
                <w:rFonts w:hint="default"/>
                <w:color w:val="auto"/>
                <w:szCs w:val="21"/>
                <w:highlight w:val="none"/>
              </w:rPr>
              <w:t>-1.0%</w:t>
            </w:r>
          </w:p>
        </w:tc>
        <w:tc>
          <w:tcPr>
            <w:tcW w:w="452" w:type="pct"/>
            <w:tcBorders>
              <w:top w:val="single" w:color="000000" w:sz="2" w:space="0"/>
              <w:left w:val="single" w:color="000000" w:sz="2" w:space="0"/>
              <w:bottom w:val="single" w:color="000000" w:sz="2" w:space="0"/>
              <w:right w:val="single" w:color="000000" w:sz="2" w:space="0"/>
            </w:tcBorders>
            <w:vAlign w:val="center"/>
          </w:tcPr>
          <w:p w14:paraId="76A81FE5">
            <w:pPr>
              <w:pStyle w:val="789"/>
              <w:rPr>
                <w:rFonts w:hint="default"/>
                <w:color w:val="auto"/>
                <w:szCs w:val="21"/>
                <w:highlight w:val="none"/>
              </w:rPr>
            </w:pPr>
            <w:r>
              <w:rPr>
                <w:rFonts w:hint="default"/>
                <w:color w:val="auto"/>
                <w:szCs w:val="21"/>
                <w:highlight w:val="none"/>
              </w:rPr>
              <w:t>60.0%</w:t>
            </w:r>
          </w:p>
        </w:tc>
      </w:tr>
      <w:tr w14:paraId="232817CD">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70F5CDCE">
            <w:pPr>
              <w:pStyle w:val="789"/>
              <w:rPr>
                <w:rFonts w:hint="default"/>
                <w:color w:val="auto"/>
                <w:szCs w:val="21"/>
                <w:highlight w:val="none"/>
              </w:rPr>
            </w:pPr>
            <w:r>
              <w:rPr>
                <w:rFonts w:hint="default"/>
                <w:color w:val="auto"/>
                <w:szCs w:val="21"/>
                <w:highlight w:val="none"/>
              </w:rPr>
              <w:t>水解酸化进水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04D03BBF">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3EE090B2">
            <w:pPr>
              <w:pStyle w:val="789"/>
              <w:rPr>
                <w:rFonts w:hint="default"/>
                <w:color w:val="auto"/>
                <w:szCs w:val="21"/>
                <w:highlight w:val="none"/>
              </w:rPr>
            </w:pPr>
            <w:r>
              <w:rPr>
                <w:rFonts w:hint="default"/>
                <w:color w:val="auto"/>
                <w:szCs w:val="21"/>
                <w:highlight w:val="none"/>
              </w:rPr>
              <w:t>10710</w:t>
            </w:r>
          </w:p>
        </w:tc>
        <w:tc>
          <w:tcPr>
            <w:tcW w:w="526" w:type="pct"/>
            <w:tcBorders>
              <w:top w:val="single" w:color="000000" w:sz="2" w:space="0"/>
              <w:left w:val="single" w:color="000000" w:sz="2" w:space="0"/>
              <w:bottom w:val="single" w:color="000000" w:sz="2" w:space="0"/>
              <w:right w:val="single" w:color="000000" w:sz="2" w:space="0"/>
            </w:tcBorders>
            <w:vAlign w:val="center"/>
          </w:tcPr>
          <w:p w14:paraId="634473DC">
            <w:pPr>
              <w:pStyle w:val="789"/>
              <w:rPr>
                <w:rFonts w:hint="default"/>
                <w:color w:val="auto"/>
                <w:szCs w:val="21"/>
                <w:highlight w:val="none"/>
              </w:rPr>
            </w:pPr>
            <w:r>
              <w:rPr>
                <w:rFonts w:hint="default"/>
                <w:color w:val="auto"/>
                <w:szCs w:val="21"/>
                <w:highlight w:val="none"/>
              </w:rPr>
              <w:t>309</w:t>
            </w:r>
          </w:p>
        </w:tc>
        <w:tc>
          <w:tcPr>
            <w:tcW w:w="472" w:type="pct"/>
            <w:tcBorders>
              <w:top w:val="single" w:color="000000" w:sz="2" w:space="0"/>
              <w:left w:val="single" w:color="000000" w:sz="2" w:space="0"/>
              <w:bottom w:val="single" w:color="000000" w:sz="2" w:space="0"/>
              <w:right w:val="single" w:color="000000" w:sz="2" w:space="0"/>
            </w:tcBorders>
            <w:vAlign w:val="center"/>
          </w:tcPr>
          <w:p w14:paraId="01B75D8F">
            <w:pPr>
              <w:pStyle w:val="789"/>
              <w:rPr>
                <w:rFonts w:hint="default"/>
                <w:color w:val="auto"/>
                <w:szCs w:val="21"/>
                <w:highlight w:val="none"/>
              </w:rPr>
            </w:pPr>
            <w:r>
              <w:rPr>
                <w:rFonts w:hint="default"/>
                <w:color w:val="auto"/>
                <w:szCs w:val="21"/>
                <w:highlight w:val="none"/>
              </w:rPr>
              <w:t>361</w:t>
            </w:r>
          </w:p>
        </w:tc>
        <w:tc>
          <w:tcPr>
            <w:tcW w:w="551" w:type="pct"/>
            <w:tcBorders>
              <w:top w:val="single" w:color="000000" w:sz="2" w:space="0"/>
              <w:left w:val="single" w:color="000000" w:sz="2" w:space="0"/>
              <w:bottom w:val="single" w:color="000000" w:sz="2" w:space="0"/>
              <w:right w:val="single" w:color="000000" w:sz="2" w:space="0"/>
            </w:tcBorders>
            <w:vAlign w:val="center"/>
          </w:tcPr>
          <w:p w14:paraId="30D4E1E8">
            <w:pPr>
              <w:pStyle w:val="789"/>
              <w:rPr>
                <w:rFonts w:hint="default"/>
                <w:color w:val="auto"/>
                <w:szCs w:val="21"/>
                <w:highlight w:val="none"/>
              </w:rPr>
            </w:pPr>
            <w:r>
              <w:rPr>
                <w:rFonts w:hint="default"/>
                <w:color w:val="auto"/>
                <w:szCs w:val="21"/>
                <w:highlight w:val="none"/>
              </w:rPr>
              <w:t>54</w:t>
            </w:r>
          </w:p>
        </w:tc>
        <w:tc>
          <w:tcPr>
            <w:tcW w:w="396" w:type="pct"/>
            <w:tcBorders>
              <w:top w:val="single" w:color="000000" w:sz="2" w:space="0"/>
              <w:left w:val="single" w:color="000000" w:sz="2" w:space="0"/>
              <w:bottom w:val="single" w:color="000000" w:sz="2" w:space="0"/>
              <w:right w:val="single" w:color="000000" w:sz="2" w:space="0"/>
            </w:tcBorders>
            <w:vAlign w:val="center"/>
          </w:tcPr>
          <w:p w14:paraId="1CA37E69">
            <w:pPr>
              <w:pStyle w:val="789"/>
              <w:rPr>
                <w:rFonts w:hint="default"/>
                <w:color w:val="auto"/>
                <w:szCs w:val="21"/>
                <w:highlight w:val="none"/>
              </w:rPr>
            </w:pPr>
            <w:r>
              <w:rPr>
                <w:rFonts w:hint="default"/>
                <w:color w:val="auto"/>
                <w:szCs w:val="21"/>
                <w:highlight w:val="none"/>
              </w:rPr>
              <w:t>343</w:t>
            </w:r>
          </w:p>
        </w:tc>
        <w:tc>
          <w:tcPr>
            <w:tcW w:w="304" w:type="pct"/>
            <w:tcBorders>
              <w:top w:val="single" w:color="000000" w:sz="2" w:space="0"/>
              <w:left w:val="single" w:color="000000" w:sz="2" w:space="0"/>
              <w:bottom w:val="single" w:color="000000" w:sz="2" w:space="0"/>
              <w:right w:val="single" w:color="000000" w:sz="2" w:space="0"/>
            </w:tcBorders>
            <w:vAlign w:val="center"/>
          </w:tcPr>
          <w:p w14:paraId="1D4CD3FD">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3D49476F">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65CD4E70">
            <w:pPr>
              <w:pStyle w:val="789"/>
              <w:rPr>
                <w:rFonts w:hint="default"/>
                <w:color w:val="auto"/>
                <w:szCs w:val="21"/>
                <w:highlight w:val="none"/>
              </w:rPr>
            </w:pPr>
            <w:r>
              <w:rPr>
                <w:rFonts w:hint="default"/>
                <w:color w:val="auto"/>
                <w:szCs w:val="21"/>
                <w:highlight w:val="none"/>
              </w:rPr>
              <w:t>1179</w:t>
            </w:r>
          </w:p>
        </w:tc>
      </w:tr>
      <w:tr w14:paraId="5827731E">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3D1411B3">
            <w:pPr>
              <w:pStyle w:val="789"/>
              <w:rPr>
                <w:rFonts w:hint="default"/>
                <w:color w:val="auto"/>
                <w:szCs w:val="21"/>
                <w:highlight w:val="none"/>
              </w:rPr>
            </w:pPr>
            <w:r>
              <w:rPr>
                <w:rFonts w:hint="default"/>
                <w:color w:val="auto"/>
                <w:szCs w:val="21"/>
                <w:highlight w:val="none"/>
              </w:rPr>
              <w:t>水解酸化出水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2847DA38">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1FE114EC">
            <w:pPr>
              <w:pStyle w:val="789"/>
              <w:rPr>
                <w:rFonts w:hint="default"/>
                <w:color w:val="auto"/>
                <w:szCs w:val="21"/>
                <w:highlight w:val="none"/>
              </w:rPr>
            </w:pPr>
            <w:r>
              <w:rPr>
                <w:rFonts w:hint="default"/>
                <w:color w:val="auto"/>
                <w:szCs w:val="21"/>
                <w:highlight w:val="none"/>
              </w:rPr>
              <w:t>10068</w:t>
            </w:r>
          </w:p>
        </w:tc>
        <w:tc>
          <w:tcPr>
            <w:tcW w:w="526" w:type="pct"/>
            <w:tcBorders>
              <w:top w:val="single" w:color="000000" w:sz="2" w:space="0"/>
              <w:left w:val="single" w:color="000000" w:sz="2" w:space="0"/>
              <w:bottom w:val="single" w:color="000000" w:sz="2" w:space="0"/>
              <w:right w:val="single" w:color="000000" w:sz="2" w:space="0"/>
            </w:tcBorders>
            <w:vAlign w:val="center"/>
          </w:tcPr>
          <w:p w14:paraId="7B8DD92E">
            <w:pPr>
              <w:pStyle w:val="789"/>
              <w:rPr>
                <w:rFonts w:hint="default"/>
                <w:color w:val="auto"/>
                <w:szCs w:val="21"/>
                <w:highlight w:val="none"/>
              </w:rPr>
            </w:pPr>
            <w:r>
              <w:rPr>
                <w:rFonts w:hint="default"/>
                <w:color w:val="auto"/>
                <w:szCs w:val="21"/>
                <w:highlight w:val="none"/>
              </w:rPr>
              <w:t>294</w:t>
            </w:r>
          </w:p>
        </w:tc>
        <w:tc>
          <w:tcPr>
            <w:tcW w:w="472" w:type="pct"/>
            <w:tcBorders>
              <w:top w:val="single" w:color="000000" w:sz="2" w:space="0"/>
              <w:left w:val="single" w:color="000000" w:sz="2" w:space="0"/>
              <w:bottom w:val="single" w:color="000000" w:sz="2" w:space="0"/>
              <w:right w:val="single" w:color="000000" w:sz="2" w:space="0"/>
            </w:tcBorders>
            <w:vAlign w:val="center"/>
          </w:tcPr>
          <w:p w14:paraId="44FBAA61">
            <w:pPr>
              <w:pStyle w:val="789"/>
              <w:rPr>
                <w:rFonts w:hint="default"/>
                <w:color w:val="auto"/>
                <w:szCs w:val="21"/>
                <w:highlight w:val="none"/>
              </w:rPr>
            </w:pPr>
            <w:r>
              <w:rPr>
                <w:rFonts w:hint="default"/>
                <w:color w:val="auto"/>
                <w:szCs w:val="21"/>
                <w:highlight w:val="none"/>
              </w:rPr>
              <w:t>343</w:t>
            </w:r>
          </w:p>
        </w:tc>
        <w:tc>
          <w:tcPr>
            <w:tcW w:w="551" w:type="pct"/>
            <w:tcBorders>
              <w:top w:val="single" w:color="000000" w:sz="2" w:space="0"/>
              <w:left w:val="single" w:color="000000" w:sz="2" w:space="0"/>
              <w:bottom w:val="single" w:color="000000" w:sz="2" w:space="0"/>
              <w:right w:val="single" w:color="000000" w:sz="2" w:space="0"/>
            </w:tcBorders>
            <w:vAlign w:val="center"/>
          </w:tcPr>
          <w:p w14:paraId="469126FA">
            <w:pPr>
              <w:pStyle w:val="789"/>
              <w:rPr>
                <w:rFonts w:hint="default"/>
                <w:color w:val="auto"/>
                <w:szCs w:val="21"/>
                <w:highlight w:val="none"/>
              </w:rPr>
            </w:pPr>
            <w:r>
              <w:rPr>
                <w:rFonts w:hint="default"/>
                <w:color w:val="auto"/>
                <w:szCs w:val="21"/>
                <w:highlight w:val="none"/>
              </w:rPr>
              <w:t>54</w:t>
            </w:r>
          </w:p>
        </w:tc>
        <w:tc>
          <w:tcPr>
            <w:tcW w:w="396" w:type="pct"/>
            <w:tcBorders>
              <w:top w:val="single" w:color="000000" w:sz="2" w:space="0"/>
              <w:left w:val="single" w:color="000000" w:sz="2" w:space="0"/>
              <w:bottom w:val="single" w:color="000000" w:sz="2" w:space="0"/>
              <w:right w:val="single" w:color="000000" w:sz="2" w:space="0"/>
            </w:tcBorders>
            <w:vAlign w:val="center"/>
          </w:tcPr>
          <w:p w14:paraId="0DB93CAB">
            <w:pPr>
              <w:pStyle w:val="789"/>
              <w:rPr>
                <w:rFonts w:hint="default"/>
                <w:color w:val="auto"/>
                <w:szCs w:val="21"/>
                <w:highlight w:val="none"/>
              </w:rPr>
            </w:pPr>
            <w:r>
              <w:rPr>
                <w:rFonts w:hint="default"/>
                <w:color w:val="auto"/>
                <w:szCs w:val="21"/>
                <w:highlight w:val="none"/>
              </w:rPr>
              <w:t>343</w:t>
            </w:r>
          </w:p>
        </w:tc>
        <w:tc>
          <w:tcPr>
            <w:tcW w:w="304" w:type="pct"/>
            <w:tcBorders>
              <w:top w:val="single" w:color="000000" w:sz="2" w:space="0"/>
              <w:left w:val="single" w:color="000000" w:sz="2" w:space="0"/>
              <w:bottom w:val="single" w:color="000000" w:sz="2" w:space="0"/>
              <w:right w:val="single" w:color="000000" w:sz="2" w:space="0"/>
            </w:tcBorders>
            <w:vAlign w:val="center"/>
          </w:tcPr>
          <w:p w14:paraId="1224F135">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0DBADC35">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35960AC4">
            <w:pPr>
              <w:pStyle w:val="789"/>
              <w:rPr>
                <w:rFonts w:hint="default"/>
                <w:color w:val="auto"/>
                <w:szCs w:val="21"/>
                <w:highlight w:val="none"/>
              </w:rPr>
            </w:pPr>
            <w:r>
              <w:rPr>
                <w:rFonts w:hint="default"/>
                <w:color w:val="auto"/>
                <w:szCs w:val="21"/>
                <w:highlight w:val="none"/>
              </w:rPr>
              <w:t>1179</w:t>
            </w:r>
          </w:p>
        </w:tc>
      </w:tr>
      <w:tr w14:paraId="211C2881">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667E3607">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553AE82E">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356500BC">
            <w:pPr>
              <w:pStyle w:val="789"/>
              <w:rPr>
                <w:rFonts w:hint="default"/>
                <w:color w:val="auto"/>
                <w:szCs w:val="21"/>
                <w:highlight w:val="none"/>
              </w:rPr>
            </w:pPr>
            <w:r>
              <w:rPr>
                <w:rFonts w:hint="default"/>
                <w:color w:val="auto"/>
                <w:szCs w:val="21"/>
                <w:highlight w:val="none"/>
              </w:rPr>
              <w:t>6.0%</w:t>
            </w:r>
          </w:p>
        </w:tc>
        <w:tc>
          <w:tcPr>
            <w:tcW w:w="526" w:type="pct"/>
            <w:tcBorders>
              <w:top w:val="single" w:color="000000" w:sz="2" w:space="0"/>
              <w:left w:val="single" w:color="000000" w:sz="2" w:space="0"/>
              <w:bottom w:val="single" w:color="000000" w:sz="2" w:space="0"/>
              <w:right w:val="single" w:color="000000" w:sz="2" w:space="0"/>
            </w:tcBorders>
            <w:vAlign w:val="center"/>
          </w:tcPr>
          <w:p w14:paraId="08EA4DE9">
            <w:pPr>
              <w:pStyle w:val="789"/>
              <w:rPr>
                <w:rFonts w:hint="default"/>
                <w:color w:val="auto"/>
                <w:szCs w:val="21"/>
                <w:highlight w:val="none"/>
              </w:rPr>
            </w:pPr>
            <w:r>
              <w:rPr>
                <w:rFonts w:hint="default"/>
                <w:color w:val="auto"/>
                <w:szCs w:val="21"/>
                <w:highlight w:val="none"/>
              </w:rPr>
              <w:t>5.0%</w:t>
            </w:r>
          </w:p>
        </w:tc>
        <w:tc>
          <w:tcPr>
            <w:tcW w:w="472" w:type="pct"/>
            <w:tcBorders>
              <w:top w:val="single" w:color="000000" w:sz="2" w:space="0"/>
              <w:left w:val="single" w:color="000000" w:sz="2" w:space="0"/>
              <w:bottom w:val="single" w:color="000000" w:sz="2" w:space="0"/>
              <w:right w:val="single" w:color="000000" w:sz="2" w:space="0"/>
            </w:tcBorders>
            <w:vAlign w:val="center"/>
          </w:tcPr>
          <w:p w14:paraId="39CD7CBF">
            <w:pPr>
              <w:pStyle w:val="789"/>
              <w:rPr>
                <w:rFonts w:hint="default"/>
                <w:color w:val="auto"/>
                <w:szCs w:val="21"/>
                <w:highlight w:val="none"/>
              </w:rPr>
            </w:pPr>
            <w:r>
              <w:rPr>
                <w:rFonts w:hint="default"/>
                <w:color w:val="auto"/>
                <w:szCs w:val="21"/>
                <w:highlight w:val="none"/>
              </w:rPr>
              <w:t>5.0%</w:t>
            </w:r>
          </w:p>
        </w:tc>
        <w:tc>
          <w:tcPr>
            <w:tcW w:w="551" w:type="pct"/>
            <w:tcBorders>
              <w:top w:val="single" w:color="000000" w:sz="2" w:space="0"/>
              <w:left w:val="single" w:color="000000" w:sz="2" w:space="0"/>
              <w:bottom w:val="single" w:color="000000" w:sz="2" w:space="0"/>
              <w:right w:val="single" w:color="000000" w:sz="2" w:space="0"/>
            </w:tcBorders>
            <w:vAlign w:val="center"/>
          </w:tcPr>
          <w:p w14:paraId="1333CECA">
            <w:pPr>
              <w:pStyle w:val="789"/>
              <w:rPr>
                <w:rFonts w:hint="default"/>
                <w:color w:val="auto"/>
                <w:szCs w:val="21"/>
                <w:highlight w:val="none"/>
              </w:rPr>
            </w:pPr>
            <w:r>
              <w:rPr>
                <w:rFonts w:hint="default"/>
                <w:color w:val="auto"/>
                <w:szCs w:val="21"/>
                <w:highlight w:val="none"/>
              </w:rPr>
              <w:t>0.0%</w:t>
            </w:r>
          </w:p>
        </w:tc>
        <w:tc>
          <w:tcPr>
            <w:tcW w:w="396" w:type="pct"/>
            <w:tcBorders>
              <w:top w:val="single" w:color="000000" w:sz="2" w:space="0"/>
              <w:left w:val="single" w:color="000000" w:sz="2" w:space="0"/>
              <w:bottom w:val="single" w:color="000000" w:sz="2" w:space="0"/>
              <w:right w:val="single" w:color="000000" w:sz="2" w:space="0"/>
            </w:tcBorders>
            <w:vAlign w:val="center"/>
          </w:tcPr>
          <w:p w14:paraId="6AA5ED95">
            <w:pPr>
              <w:pStyle w:val="789"/>
              <w:rPr>
                <w:rFonts w:hint="default"/>
                <w:color w:val="auto"/>
                <w:szCs w:val="21"/>
                <w:highlight w:val="none"/>
              </w:rPr>
            </w:pPr>
            <w:r>
              <w:rPr>
                <w:rFonts w:hint="default"/>
                <w:color w:val="auto"/>
                <w:szCs w:val="21"/>
                <w:highlight w:val="none"/>
              </w:rPr>
              <w:t>0.0%</w:t>
            </w:r>
          </w:p>
        </w:tc>
        <w:tc>
          <w:tcPr>
            <w:tcW w:w="304" w:type="pct"/>
            <w:tcBorders>
              <w:top w:val="single" w:color="000000" w:sz="2" w:space="0"/>
              <w:left w:val="single" w:color="000000" w:sz="2" w:space="0"/>
              <w:bottom w:val="single" w:color="000000" w:sz="2" w:space="0"/>
              <w:right w:val="single" w:color="000000" w:sz="2" w:space="0"/>
            </w:tcBorders>
            <w:vAlign w:val="center"/>
          </w:tcPr>
          <w:p w14:paraId="45D7B2FC">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2A87647D">
            <w:pPr>
              <w:pStyle w:val="789"/>
              <w:rPr>
                <w:rFonts w:hint="default"/>
                <w:color w:val="auto"/>
                <w:szCs w:val="21"/>
                <w:highlight w:val="none"/>
              </w:rPr>
            </w:pPr>
            <w:r>
              <w:rPr>
                <w:rFonts w:hint="default"/>
                <w:color w:val="auto"/>
                <w:szCs w:val="21"/>
                <w:highlight w:val="none"/>
              </w:rPr>
              <w:t>0.0%</w:t>
            </w:r>
          </w:p>
        </w:tc>
        <w:tc>
          <w:tcPr>
            <w:tcW w:w="452" w:type="pct"/>
            <w:tcBorders>
              <w:top w:val="single" w:color="000000" w:sz="2" w:space="0"/>
              <w:left w:val="single" w:color="000000" w:sz="2" w:space="0"/>
              <w:bottom w:val="single" w:color="000000" w:sz="2" w:space="0"/>
              <w:right w:val="single" w:color="000000" w:sz="2" w:space="0"/>
            </w:tcBorders>
            <w:vAlign w:val="center"/>
          </w:tcPr>
          <w:p w14:paraId="41025C01">
            <w:pPr>
              <w:pStyle w:val="789"/>
              <w:rPr>
                <w:rFonts w:hint="default"/>
                <w:color w:val="auto"/>
                <w:szCs w:val="21"/>
                <w:highlight w:val="none"/>
              </w:rPr>
            </w:pPr>
            <w:r>
              <w:rPr>
                <w:rFonts w:hint="default"/>
                <w:color w:val="auto"/>
                <w:szCs w:val="21"/>
                <w:highlight w:val="none"/>
              </w:rPr>
              <w:t>0.0%</w:t>
            </w:r>
          </w:p>
        </w:tc>
      </w:tr>
      <w:tr w14:paraId="3E90A3AD">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4562D4BE">
            <w:pPr>
              <w:pStyle w:val="789"/>
              <w:rPr>
                <w:rFonts w:hint="default"/>
                <w:color w:val="auto"/>
                <w:szCs w:val="21"/>
                <w:highlight w:val="none"/>
              </w:rPr>
            </w:pPr>
            <w:r>
              <w:rPr>
                <w:rFonts w:hint="default"/>
                <w:color w:val="auto"/>
                <w:szCs w:val="21"/>
                <w:highlight w:val="none"/>
              </w:rPr>
              <w:t>一级AAO+沉淀进水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78DEEF01">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4B791EB4">
            <w:pPr>
              <w:pStyle w:val="789"/>
              <w:rPr>
                <w:rFonts w:hint="default"/>
                <w:color w:val="auto"/>
                <w:szCs w:val="21"/>
                <w:highlight w:val="none"/>
              </w:rPr>
            </w:pPr>
            <w:r>
              <w:rPr>
                <w:rFonts w:hint="default"/>
                <w:color w:val="auto"/>
                <w:szCs w:val="21"/>
                <w:highlight w:val="none"/>
              </w:rPr>
              <w:t>10068</w:t>
            </w:r>
          </w:p>
        </w:tc>
        <w:tc>
          <w:tcPr>
            <w:tcW w:w="526" w:type="pct"/>
            <w:tcBorders>
              <w:top w:val="single" w:color="000000" w:sz="2" w:space="0"/>
              <w:left w:val="single" w:color="000000" w:sz="2" w:space="0"/>
              <w:bottom w:val="single" w:color="000000" w:sz="2" w:space="0"/>
              <w:right w:val="single" w:color="000000" w:sz="2" w:space="0"/>
            </w:tcBorders>
            <w:vAlign w:val="center"/>
          </w:tcPr>
          <w:p w14:paraId="2A275059">
            <w:pPr>
              <w:pStyle w:val="789"/>
              <w:rPr>
                <w:rFonts w:hint="default"/>
                <w:color w:val="auto"/>
                <w:szCs w:val="21"/>
                <w:highlight w:val="none"/>
              </w:rPr>
            </w:pPr>
            <w:r>
              <w:rPr>
                <w:rFonts w:hint="default"/>
                <w:color w:val="auto"/>
                <w:szCs w:val="21"/>
                <w:highlight w:val="none"/>
              </w:rPr>
              <w:t>294</w:t>
            </w:r>
          </w:p>
        </w:tc>
        <w:tc>
          <w:tcPr>
            <w:tcW w:w="472" w:type="pct"/>
            <w:tcBorders>
              <w:top w:val="single" w:color="000000" w:sz="2" w:space="0"/>
              <w:left w:val="single" w:color="000000" w:sz="2" w:space="0"/>
              <w:bottom w:val="single" w:color="000000" w:sz="2" w:space="0"/>
              <w:right w:val="single" w:color="000000" w:sz="2" w:space="0"/>
            </w:tcBorders>
            <w:vAlign w:val="center"/>
          </w:tcPr>
          <w:p w14:paraId="198E6780">
            <w:pPr>
              <w:pStyle w:val="789"/>
              <w:rPr>
                <w:rFonts w:hint="default"/>
                <w:color w:val="auto"/>
                <w:szCs w:val="21"/>
                <w:highlight w:val="none"/>
              </w:rPr>
            </w:pPr>
            <w:r>
              <w:rPr>
                <w:rFonts w:hint="default"/>
                <w:color w:val="auto"/>
                <w:szCs w:val="21"/>
                <w:highlight w:val="none"/>
              </w:rPr>
              <w:t>343</w:t>
            </w:r>
          </w:p>
        </w:tc>
        <w:tc>
          <w:tcPr>
            <w:tcW w:w="551" w:type="pct"/>
            <w:tcBorders>
              <w:top w:val="single" w:color="000000" w:sz="2" w:space="0"/>
              <w:left w:val="single" w:color="000000" w:sz="2" w:space="0"/>
              <w:bottom w:val="single" w:color="000000" w:sz="2" w:space="0"/>
              <w:right w:val="single" w:color="000000" w:sz="2" w:space="0"/>
            </w:tcBorders>
            <w:vAlign w:val="center"/>
          </w:tcPr>
          <w:p w14:paraId="356AED97">
            <w:pPr>
              <w:pStyle w:val="789"/>
              <w:rPr>
                <w:rFonts w:hint="default"/>
                <w:color w:val="auto"/>
                <w:szCs w:val="21"/>
                <w:highlight w:val="none"/>
              </w:rPr>
            </w:pPr>
            <w:r>
              <w:rPr>
                <w:rFonts w:hint="default"/>
                <w:color w:val="auto"/>
                <w:szCs w:val="21"/>
                <w:highlight w:val="none"/>
              </w:rPr>
              <w:t>54</w:t>
            </w:r>
          </w:p>
        </w:tc>
        <w:tc>
          <w:tcPr>
            <w:tcW w:w="396" w:type="pct"/>
            <w:tcBorders>
              <w:top w:val="single" w:color="000000" w:sz="2" w:space="0"/>
              <w:left w:val="single" w:color="000000" w:sz="2" w:space="0"/>
              <w:bottom w:val="single" w:color="000000" w:sz="2" w:space="0"/>
              <w:right w:val="single" w:color="000000" w:sz="2" w:space="0"/>
            </w:tcBorders>
            <w:vAlign w:val="center"/>
          </w:tcPr>
          <w:p w14:paraId="289BACA8">
            <w:pPr>
              <w:pStyle w:val="789"/>
              <w:rPr>
                <w:rFonts w:hint="default"/>
                <w:color w:val="auto"/>
                <w:szCs w:val="21"/>
                <w:highlight w:val="none"/>
              </w:rPr>
            </w:pPr>
            <w:r>
              <w:rPr>
                <w:rFonts w:hint="default"/>
                <w:color w:val="auto"/>
                <w:szCs w:val="21"/>
                <w:highlight w:val="none"/>
              </w:rPr>
              <w:t>343</w:t>
            </w:r>
          </w:p>
        </w:tc>
        <w:tc>
          <w:tcPr>
            <w:tcW w:w="304" w:type="pct"/>
            <w:tcBorders>
              <w:top w:val="single" w:color="000000" w:sz="2" w:space="0"/>
              <w:left w:val="single" w:color="000000" w:sz="2" w:space="0"/>
              <w:bottom w:val="single" w:color="000000" w:sz="2" w:space="0"/>
              <w:right w:val="single" w:color="000000" w:sz="2" w:space="0"/>
            </w:tcBorders>
            <w:vAlign w:val="center"/>
          </w:tcPr>
          <w:p w14:paraId="2CB90B16">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214A5B03">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4FA58DD1">
            <w:pPr>
              <w:pStyle w:val="789"/>
              <w:rPr>
                <w:rFonts w:hint="default"/>
                <w:color w:val="auto"/>
                <w:szCs w:val="21"/>
                <w:highlight w:val="none"/>
              </w:rPr>
            </w:pPr>
            <w:r>
              <w:rPr>
                <w:rFonts w:hint="default"/>
                <w:color w:val="auto"/>
                <w:szCs w:val="21"/>
                <w:highlight w:val="none"/>
              </w:rPr>
              <w:t>1179</w:t>
            </w:r>
          </w:p>
        </w:tc>
      </w:tr>
      <w:tr w14:paraId="20A21436">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55B1F4BF">
            <w:pPr>
              <w:pStyle w:val="789"/>
              <w:rPr>
                <w:rFonts w:hint="default"/>
                <w:color w:val="auto"/>
                <w:szCs w:val="21"/>
                <w:highlight w:val="none"/>
              </w:rPr>
            </w:pPr>
            <w:r>
              <w:rPr>
                <w:rFonts w:hint="default"/>
                <w:color w:val="auto"/>
                <w:szCs w:val="21"/>
                <w:highlight w:val="none"/>
              </w:rPr>
              <w:t>一级AAO+沉淀出水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5EC2ABCE">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35FEF1D9">
            <w:pPr>
              <w:pStyle w:val="789"/>
              <w:rPr>
                <w:rFonts w:hint="default"/>
                <w:color w:val="auto"/>
                <w:szCs w:val="21"/>
                <w:highlight w:val="none"/>
              </w:rPr>
            </w:pPr>
            <w:r>
              <w:rPr>
                <w:rFonts w:hint="default"/>
                <w:color w:val="auto"/>
                <w:szCs w:val="21"/>
                <w:highlight w:val="none"/>
              </w:rPr>
              <w:t>705</w:t>
            </w:r>
          </w:p>
        </w:tc>
        <w:tc>
          <w:tcPr>
            <w:tcW w:w="526" w:type="pct"/>
            <w:tcBorders>
              <w:top w:val="single" w:color="000000" w:sz="2" w:space="0"/>
              <w:left w:val="single" w:color="000000" w:sz="2" w:space="0"/>
              <w:bottom w:val="single" w:color="000000" w:sz="2" w:space="0"/>
              <w:right w:val="single" w:color="000000" w:sz="2" w:space="0"/>
            </w:tcBorders>
            <w:vAlign w:val="center"/>
          </w:tcPr>
          <w:p w14:paraId="7A3239F7">
            <w:pPr>
              <w:pStyle w:val="789"/>
              <w:rPr>
                <w:rFonts w:hint="default"/>
                <w:color w:val="auto"/>
                <w:szCs w:val="21"/>
                <w:highlight w:val="none"/>
              </w:rPr>
            </w:pPr>
            <w:r>
              <w:rPr>
                <w:rFonts w:hint="default"/>
                <w:color w:val="auto"/>
                <w:szCs w:val="21"/>
                <w:highlight w:val="none"/>
              </w:rPr>
              <w:t>15</w:t>
            </w:r>
          </w:p>
        </w:tc>
        <w:tc>
          <w:tcPr>
            <w:tcW w:w="472" w:type="pct"/>
            <w:tcBorders>
              <w:top w:val="single" w:color="000000" w:sz="2" w:space="0"/>
              <w:left w:val="single" w:color="000000" w:sz="2" w:space="0"/>
              <w:bottom w:val="single" w:color="000000" w:sz="2" w:space="0"/>
              <w:right w:val="single" w:color="000000" w:sz="2" w:space="0"/>
            </w:tcBorders>
            <w:vAlign w:val="center"/>
          </w:tcPr>
          <w:p w14:paraId="38C0071F">
            <w:pPr>
              <w:pStyle w:val="789"/>
              <w:rPr>
                <w:rFonts w:hint="default"/>
                <w:color w:val="auto"/>
                <w:szCs w:val="21"/>
                <w:highlight w:val="none"/>
              </w:rPr>
            </w:pPr>
            <w:r>
              <w:rPr>
                <w:rFonts w:hint="default"/>
                <w:color w:val="auto"/>
                <w:szCs w:val="21"/>
                <w:highlight w:val="none"/>
              </w:rPr>
              <w:t>51</w:t>
            </w:r>
          </w:p>
        </w:tc>
        <w:tc>
          <w:tcPr>
            <w:tcW w:w="551" w:type="pct"/>
            <w:tcBorders>
              <w:top w:val="single" w:color="000000" w:sz="2" w:space="0"/>
              <w:left w:val="single" w:color="000000" w:sz="2" w:space="0"/>
              <w:bottom w:val="single" w:color="000000" w:sz="2" w:space="0"/>
              <w:right w:val="single" w:color="000000" w:sz="2" w:space="0"/>
            </w:tcBorders>
            <w:vAlign w:val="center"/>
          </w:tcPr>
          <w:p w14:paraId="2871B8E5">
            <w:pPr>
              <w:pStyle w:val="789"/>
              <w:rPr>
                <w:rFonts w:hint="default"/>
                <w:color w:val="auto"/>
                <w:szCs w:val="21"/>
                <w:highlight w:val="none"/>
              </w:rPr>
            </w:pPr>
            <w:r>
              <w:rPr>
                <w:rFonts w:hint="default"/>
                <w:color w:val="auto"/>
                <w:szCs w:val="21"/>
                <w:highlight w:val="none"/>
              </w:rPr>
              <w:t>24</w:t>
            </w:r>
          </w:p>
        </w:tc>
        <w:tc>
          <w:tcPr>
            <w:tcW w:w="396" w:type="pct"/>
            <w:tcBorders>
              <w:top w:val="single" w:color="000000" w:sz="2" w:space="0"/>
              <w:left w:val="single" w:color="000000" w:sz="2" w:space="0"/>
              <w:bottom w:val="single" w:color="000000" w:sz="2" w:space="0"/>
              <w:right w:val="single" w:color="000000" w:sz="2" w:space="0"/>
            </w:tcBorders>
            <w:vAlign w:val="center"/>
          </w:tcPr>
          <w:p w14:paraId="674CBEE5">
            <w:pPr>
              <w:pStyle w:val="789"/>
              <w:rPr>
                <w:rFonts w:hint="default"/>
                <w:color w:val="auto"/>
                <w:szCs w:val="21"/>
                <w:highlight w:val="none"/>
              </w:rPr>
            </w:pPr>
            <w:r>
              <w:rPr>
                <w:rFonts w:hint="default"/>
                <w:color w:val="auto"/>
                <w:szCs w:val="21"/>
                <w:highlight w:val="none"/>
              </w:rPr>
              <w:t>343</w:t>
            </w:r>
          </w:p>
        </w:tc>
        <w:tc>
          <w:tcPr>
            <w:tcW w:w="304" w:type="pct"/>
            <w:tcBorders>
              <w:top w:val="single" w:color="000000" w:sz="2" w:space="0"/>
              <w:left w:val="single" w:color="000000" w:sz="2" w:space="0"/>
              <w:bottom w:val="single" w:color="000000" w:sz="2" w:space="0"/>
              <w:right w:val="single" w:color="000000" w:sz="2" w:space="0"/>
            </w:tcBorders>
            <w:vAlign w:val="center"/>
          </w:tcPr>
          <w:p w14:paraId="2DC36023">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6F051548">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1544D1DB">
            <w:pPr>
              <w:pStyle w:val="789"/>
              <w:rPr>
                <w:rFonts w:hint="default"/>
                <w:color w:val="auto"/>
                <w:szCs w:val="21"/>
                <w:highlight w:val="none"/>
              </w:rPr>
            </w:pPr>
            <w:r>
              <w:rPr>
                <w:rFonts w:hint="default"/>
                <w:color w:val="auto"/>
                <w:szCs w:val="21"/>
                <w:highlight w:val="none"/>
              </w:rPr>
              <w:t>943</w:t>
            </w:r>
          </w:p>
        </w:tc>
      </w:tr>
      <w:tr w14:paraId="62D1720F">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257FDB56">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2722F64D">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2BF77705">
            <w:pPr>
              <w:pStyle w:val="789"/>
              <w:rPr>
                <w:rFonts w:hint="default"/>
                <w:color w:val="auto"/>
                <w:szCs w:val="21"/>
                <w:highlight w:val="none"/>
              </w:rPr>
            </w:pPr>
            <w:r>
              <w:rPr>
                <w:rFonts w:hint="default"/>
                <w:color w:val="auto"/>
                <w:szCs w:val="21"/>
                <w:highlight w:val="none"/>
              </w:rPr>
              <w:t>93.0%</w:t>
            </w:r>
          </w:p>
        </w:tc>
        <w:tc>
          <w:tcPr>
            <w:tcW w:w="526" w:type="pct"/>
            <w:tcBorders>
              <w:top w:val="single" w:color="000000" w:sz="2" w:space="0"/>
              <w:left w:val="single" w:color="000000" w:sz="2" w:space="0"/>
              <w:bottom w:val="single" w:color="000000" w:sz="2" w:space="0"/>
              <w:right w:val="single" w:color="000000" w:sz="2" w:space="0"/>
            </w:tcBorders>
            <w:vAlign w:val="center"/>
          </w:tcPr>
          <w:p w14:paraId="2C65B560">
            <w:pPr>
              <w:pStyle w:val="789"/>
              <w:rPr>
                <w:rFonts w:hint="default"/>
                <w:color w:val="auto"/>
                <w:szCs w:val="21"/>
                <w:highlight w:val="none"/>
              </w:rPr>
            </w:pPr>
            <w:r>
              <w:rPr>
                <w:rFonts w:hint="default"/>
                <w:color w:val="auto"/>
                <w:szCs w:val="21"/>
                <w:highlight w:val="none"/>
              </w:rPr>
              <w:t>95.0%</w:t>
            </w:r>
          </w:p>
        </w:tc>
        <w:tc>
          <w:tcPr>
            <w:tcW w:w="472" w:type="pct"/>
            <w:tcBorders>
              <w:top w:val="single" w:color="000000" w:sz="2" w:space="0"/>
              <w:left w:val="single" w:color="000000" w:sz="2" w:space="0"/>
              <w:bottom w:val="single" w:color="000000" w:sz="2" w:space="0"/>
              <w:right w:val="single" w:color="000000" w:sz="2" w:space="0"/>
            </w:tcBorders>
            <w:vAlign w:val="center"/>
          </w:tcPr>
          <w:p w14:paraId="02331A6B">
            <w:pPr>
              <w:pStyle w:val="789"/>
              <w:rPr>
                <w:rFonts w:hint="default"/>
                <w:color w:val="auto"/>
                <w:szCs w:val="21"/>
                <w:highlight w:val="none"/>
              </w:rPr>
            </w:pPr>
            <w:r>
              <w:rPr>
                <w:rFonts w:hint="default"/>
                <w:color w:val="auto"/>
                <w:szCs w:val="21"/>
                <w:highlight w:val="none"/>
              </w:rPr>
              <w:t>85.0%</w:t>
            </w:r>
          </w:p>
        </w:tc>
        <w:tc>
          <w:tcPr>
            <w:tcW w:w="551" w:type="pct"/>
            <w:tcBorders>
              <w:top w:val="single" w:color="000000" w:sz="2" w:space="0"/>
              <w:left w:val="single" w:color="000000" w:sz="2" w:space="0"/>
              <w:bottom w:val="single" w:color="000000" w:sz="2" w:space="0"/>
              <w:right w:val="single" w:color="000000" w:sz="2" w:space="0"/>
            </w:tcBorders>
            <w:vAlign w:val="center"/>
          </w:tcPr>
          <w:p w14:paraId="254D15E6">
            <w:pPr>
              <w:pStyle w:val="789"/>
              <w:rPr>
                <w:rFonts w:hint="default"/>
                <w:color w:val="auto"/>
                <w:szCs w:val="21"/>
                <w:highlight w:val="none"/>
              </w:rPr>
            </w:pPr>
            <w:r>
              <w:rPr>
                <w:rFonts w:hint="default"/>
                <w:color w:val="auto"/>
                <w:szCs w:val="21"/>
                <w:highlight w:val="none"/>
              </w:rPr>
              <w:t>55.0%</w:t>
            </w:r>
          </w:p>
        </w:tc>
        <w:tc>
          <w:tcPr>
            <w:tcW w:w="396" w:type="pct"/>
            <w:tcBorders>
              <w:top w:val="single" w:color="000000" w:sz="2" w:space="0"/>
              <w:left w:val="single" w:color="000000" w:sz="2" w:space="0"/>
              <w:bottom w:val="single" w:color="000000" w:sz="2" w:space="0"/>
              <w:right w:val="single" w:color="000000" w:sz="2" w:space="0"/>
            </w:tcBorders>
            <w:vAlign w:val="center"/>
          </w:tcPr>
          <w:p w14:paraId="46DBB8E2">
            <w:pPr>
              <w:pStyle w:val="789"/>
              <w:rPr>
                <w:rFonts w:hint="default"/>
                <w:color w:val="auto"/>
                <w:szCs w:val="21"/>
                <w:highlight w:val="none"/>
              </w:rPr>
            </w:pPr>
            <w:r>
              <w:rPr>
                <w:rFonts w:hint="default"/>
                <w:color w:val="auto"/>
                <w:szCs w:val="21"/>
                <w:highlight w:val="none"/>
              </w:rPr>
              <w:t>0.0%</w:t>
            </w:r>
          </w:p>
        </w:tc>
        <w:tc>
          <w:tcPr>
            <w:tcW w:w="304" w:type="pct"/>
            <w:tcBorders>
              <w:top w:val="single" w:color="000000" w:sz="2" w:space="0"/>
              <w:left w:val="single" w:color="000000" w:sz="2" w:space="0"/>
              <w:bottom w:val="single" w:color="000000" w:sz="2" w:space="0"/>
              <w:right w:val="single" w:color="000000" w:sz="2" w:space="0"/>
            </w:tcBorders>
            <w:vAlign w:val="center"/>
          </w:tcPr>
          <w:p w14:paraId="7305E2D1">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4807E376">
            <w:pPr>
              <w:pStyle w:val="789"/>
              <w:rPr>
                <w:rFonts w:hint="default"/>
                <w:color w:val="auto"/>
                <w:szCs w:val="21"/>
                <w:highlight w:val="none"/>
              </w:rPr>
            </w:pPr>
            <w:r>
              <w:rPr>
                <w:rFonts w:hint="default"/>
                <w:color w:val="auto"/>
                <w:szCs w:val="21"/>
                <w:highlight w:val="none"/>
              </w:rPr>
              <w:t>0.0%</w:t>
            </w:r>
          </w:p>
        </w:tc>
        <w:tc>
          <w:tcPr>
            <w:tcW w:w="452" w:type="pct"/>
            <w:tcBorders>
              <w:top w:val="single" w:color="000000" w:sz="2" w:space="0"/>
              <w:left w:val="single" w:color="000000" w:sz="2" w:space="0"/>
              <w:bottom w:val="single" w:color="000000" w:sz="2" w:space="0"/>
              <w:right w:val="single" w:color="000000" w:sz="2" w:space="0"/>
            </w:tcBorders>
            <w:vAlign w:val="center"/>
          </w:tcPr>
          <w:p w14:paraId="2E530676">
            <w:pPr>
              <w:pStyle w:val="789"/>
              <w:rPr>
                <w:rFonts w:hint="default"/>
                <w:color w:val="auto"/>
                <w:szCs w:val="21"/>
                <w:highlight w:val="none"/>
              </w:rPr>
            </w:pPr>
            <w:r>
              <w:rPr>
                <w:rFonts w:hint="default"/>
                <w:color w:val="auto"/>
                <w:szCs w:val="21"/>
                <w:highlight w:val="none"/>
              </w:rPr>
              <w:t>20.0%</w:t>
            </w:r>
          </w:p>
        </w:tc>
      </w:tr>
      <w:tr w14:paraId="5B41DCA5">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590E5C39">
            <w:pPr>
              <w:pStyle w:val="789"/>
              <w:rPr>
                <w:rFonts w:hint="default"/>
                <w:color w:val="auto"/>
                <w:szCs w:val="21"/>
                <w:highlight w:val="none"/>
              </w:rPr>
            </w:pPr>
            <w:r>
              <w:rPr>
                <w:rFonts w:hint="default"/>
                <w:color w:val="auto"/>
                <w:szCs w:val="21"/>
                <w:highlight w:val="none"/>
              </w:rPr>
              <w:t>二级AAO+沉淀进水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2E8DD598">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44934AB1">
            <w:pPr>
              <w:pStyle w:val="789"/>
              <w:rPr>
                <w:rFonts w:hint="default"/>
                <w:color w:val="auto"/>
                <w:szCs w:val="21"/>
                <w:highlight w:val="none"/>
              </w:rPr>
            </w:pPr>
            <w:r>
              <w:rPr>
                <w:rFonts w:hint="default"/>
                <w:color w:val="auto"/>
                <w:szCs w:val="21"/>
                <w:highlight w:val="none"/>
              </w:rPr>
              <w:t>705</w:t>
            </w:r>
          </w:p>
        </w:tc>
        <w:tc>
          <w:tcPr>
            <w:tcW w:w="526" w:type="pct"/>
            <w:tcBorders>
              <w:top w:val="single" w:color="000000" w:sz="2" w:space="0"/>
              <w:left w:val="single" w:color="000000" w:sz="2" w:space="0"/>
              <w:bottom w:val="single" w:color="000000" w:sz="2" w:space="0"/>
              <w:right w:val="single" w:color="000000" w:sz="2" w:space="0"/>
            </w:tcBorders>
            <w:vAlign w:val="center"/>
          </w:tcPr>
          <w:p w14:paraId="51AE16A1">
            <w:pPr>
              <w:pStyle w:val="789"/>
              <w:rPr>
                <w:rFonts w:hint="default"/>
                <w:color w:val="auto"/>
                <w:szCs w:val="21"/>
                <w:highlight w:val="none"/>
              </w:rPr>
            </w:pPr>
            <w:r>
              <w:rPr>
                <w:rFonts w:hint="default"/>
                <w:color w:val="auto"/>
                <w:szCs w:val="21"/>
                <w:highlight w:val="none"/>
              </w:rPr>
              <w:t>15</w:t>
            </w:r>
          </w:p>
        </w:tc>
        <w:tc>
          <w:tcPr>
            <w:tcW w:w="472" w:type="pct"/>
            <w:tcBorders>
              <w:top w:val="single" w:color="000000" w:sz="2" w:space="0"/>
              <w:left w:val="single" w:color="000000" w:sz="2" w:space="0"/>
              <w:bottom w:val="single" w:color="000000" w:sz="2" w:space="0"/>
              <w:right w:val="single" w:color="000000" w:sz="2" w:space="0"/>
            </w:tcBorders>
            <w:vAlign w:val="center"/>
          </w:tcPr>
          <w:p w14:paraId="14C0AD5C">
            <w:pPr>
              <w:pStyle w:val="789"/>
              <w:rPr>
                <w:rFonts w:hint="default"/>
                <w:color w:val="auto"/>
                <w:szCs w:val="21"/>
                <w:highlight w:val="none"/>
              </w:rPr>
            </w:pPr>
            <w:r>
              <w:rPr>
                <w:rFonts w:hint="default"/>
                <w:color w:val="auto"/>
                <w:szCs w:val="21"/>
                <w:highlight w:val="none"/>
              </w:rPr>
              <w:t>51</w:t>
            </w:r>
          </w:p>
        </w:tc>
        <w:tc>
          <w:tcPr>
            <w:tcW w:w="551" w:type="pct"/>
            <w:tcBorders>
              <w:top w:val="single" w:color="000000" w:sz="2" w:space="0"/>
              <w:left w:val="single" w:color="000000" w:sz="2" w:space="0"/>
              <w:bottom w:val="single" w:color="000000" w:sz="2" w:space="0"/>
              <w:right w:val="single" w:color="000000" w:sz="2" w:space="0"/>
            </w:tcBorders>
            <w:vAlign w:val="center"/>
          </w:tcPr>
          <w:p w14:paraId="76FC2963">
            <w:pPr>
              <w:pStyle w:val="789"/>
              <w:rPr>
                <w:rFonts w:hint="default"/>
                <w:color w:val="auto"/>
                <w:szCs w:val="21"/>
                <w:highlight w:val="none"/>
              </w:rPr>
            </w:pPr>
            <w:r>
              <w:rPr>
                <w:rFonts w:hint="default"/>
                <w:color w:val="auto"/>
                <w:szCs w:val="21"/>
                <w:highlight w:val="none"/>
              </w:rPr>
              <w:t>24</w:t>
            </w:r>
          </w:p>
        </w:tc>
        <w:tc>
          <w:tcPr>
            <w:tcW w:w="396" w:type="pct"/>
            <w:tcBorders>
              <w:top w:val="single" w:color="000000" w:sz="2" w:space="0"/>
              <w:left w:val="single" w:color="000000" w:sz="2" w:space="0"/>
              <w:bottom w:val="single" w:color="000000" w:sz="2" w:space="0"/>
              <w:right w:val="single" w:color="000000" w:sz="2" w:space="0"/>
            </w:tcBorders>
            <w:vAlign w:val="center"/>
          </w:tcPr>
          <w:p w14:paraId="4F3BF418">
            <w:pPr>
              <w:pStyle w:val="789"/>
              <w:rPr>
                <w:rFonts w:hint="default"/>
                <w:color w:val="auto"/>
                <w:szCs w:val="21"/>
                <w:highlight w:val="none"/>
              </w:rPr>
            </w:pPr>
            <w:r>
              <w:rPr>
                <w:rFonts w:hint="default"/>
                <w:color w:val="auto"/>
                <w:szCs w:val="21"/>
                <w:highlight w:val="none"/>
              </w:rPr>
              <w:t>343</w:t>
            </w:r>
          </w:p>
        </w:tc>
        <w:tc>
          <w:tcPr>
            <w:tcW w:w="304" w:type="pct"/>
            <w:tcBorders>
              <w:top w:val="single" w:color="000000" w:sz="2" w:space="0"/>
              <w:left w:val="single" w:color="000000" w:sz="2" w:space="0"/>
              <w:bottom w:val="single" w:color="000000" w:sz="2" w:space="0"/>
              <w:right w:val="single" w:color="000000" w:sz="2" w:space="0"/>
            </w:tcBorders>
            <w:vAlign w:val="center"/>
          </w:tcPr>
          <w:p w14:paraId="36F6B44F">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670E019A">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2D7920FE">
            <w:pPr>
              <w:pStyle w:val="789"/>
              <w:rPr>
                <w:rFonts w:hint="default"/>
                <w:color w:val="auto"/>
                <w:szCs w:val="21"/>
                <w:highlight w:val="none"/>
              </w:rPr>
            </w:pPr>
            <w:r>
              <w:rPr>
                <w:rFonts w:hint="default"/>
                <w:color w:val="auto"/>
                <w:szCs w:val="21"/>
                <w:highlight w:val="none"/>
              </w:rPr>
              <w:t>943</w:t>
            </w:r>
          </w:p>
        </w:tc>
      </w:tr>
      <w:tr w14:paraId="5FF9E669">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01FCB464">
            <w:pPr>
              <w:pStyle w:val="789"/>
              <w:rPr>
                <w:rFonts w:hint="default"/>
                <w:color w:val="auto"/>
                <w:szCs w:val="21"/>
                <w:highlight w:val="none"/>
              </w:rPr>
            </w:pPr>
            <w:r>
              <w:rPr>
                <w:rFonts w:hint="default"/>
                <w:color w:val="auto"/>
                <w:szCs w:val="21"/>
                <w:highlight w:val="none"/>
              </w:rPr>
              <w:t>二级AAO+沉淀出水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71A88CAB">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037EADA2">
            <w:pPr>
              <w:pStyle w:val="789"/>
              <w:rPr>
                <w:rFonts w:hint="default"/>
                <w:color w:val="auto"/>
                <w:szCs w:val="21"/>
                <w:highlight w:val="none"/>
              </w:rPr>
            </w:pPr>
            <w:r>
              <w:rPr>
                <w:rFonts w:hint="default"/>
                <w:color w:val="auto"/>
                <w:szCs w:val="21"/>
                <w:highlight w:val="none"/>
              </w:rPr>
              <w:t>141</w:t>
            </w:r>
          </w:p>
        </w:tc>
        <w:tc>
          <w:tcPr>
            <w:tcW w:w="526" w:type="pct"/>
            <w:tcBorders>
              <w:top w:val="single" w:color="000000" w:sz="2" w:space="0"/>
              <w:left w:val="single" w:color="000000" w:sz="2" w:space="0"/>
              <w:bottom w:val="single" w:color="000000" w:sz="2" w:space="0"/>
              <w:right w:val="single" w:color="000000" w:sz="2" w:space="0"/>
            </w:tcBorders>
            <w:vAlign w:val="center"/>
          </w:tcPr>
          <w:p w14:paraId="538794F6">
            <w:pPr>
              <w:pStyle w:val="789"/>
              <w:rPr>
                <w:rFonts w:hint="default"/>
                <w:color w:val="auto"/>
                <w:szCs w:val="21"/>
                <w:highlight w:val="none"/>
              </w:rPr>
            </w:pPr>
            <w:r>
              <w:rPr>
                <w:rFonts w:hint="default"/>
                <w:color w:val="auto"/>
                <w:szCs w:val="21"/>
                <w:highlight w:val="none"/>
              </w:rPr>
              <w:t>1.5</w:t>
            </w:r>
          </w:p>
        </w:tc>
        <w:tc>
          <w:tcPr>
            <w:tcW w:w="472" w:type="pct"/>
            <w:tcBorders>
              <w:top w:val="single" w:color="000000" w:sz="2" w:space="0"/>
              <w:left w:val="single" w:color="000000" w:sz="2" w:space="0"/>
              <w:bottom w:val="single" w:color="000000" w:sz="2" w:space="0"/>
              <w:right w:val="single" w:color="000000" w:sz="2" w:space="0"/>
            </w:tcBorders>
            <w:vAlign w:val="center"/>
          </w:tcPr>
          <w:p w14:paraId="02335950">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70ADA159">
            <w:pPr>
              <w:pStyle w:val="789"/>
              <w:rPr>
                <w:rFonts w:hint="default"/>
                <w:color w:val="auto"/>
                <w:szCs w:val="21"/>
                <w:highlight w:val="none"/>
              </w:rPr>
            </w:pPr>
            <w:r>
              <w:rPr>
                <w:rFonts w:hint="default"/>
                <w:color w:val="auto"/>
                <w:szCs w:val="21"/>
                <w:highlight w:val="none"/>
              </w:rPr>
              <w:t>11</w:t>
            </w:r>
          </w:p>
        </w:tc>
        <w:tc>
          <w:tcPr>
            <w:tcW w:w="396" w:type="pct"/>
            <w:tcBorders>
              <w:top w:val="single" w:color="000000" w:sz="2" w:space="0"/>
              <w:left w:val="single" w:color="000000" w:sz="2" w:space="0"/>
              <w:bottom w:val="single" w:color="000000" w:sz="2" w:space="0"/>
              <w:right w:val="single" w:color="000000" w:sz="2" w:space="0"/>
            </w:tcBorders>
            <w:vAlign w:val="center"/>
          </w:tcPr>
          <w:p w14:paraId="7B96275E">
            <w:pPr>
              <w:pStyle w:val="789"/>
              <w:rPr>
                <w:rFonts w:hint="default"/>
                <w:color w:val="auto"/>
                <w:szCs w:val="21"/>
                <w:highlight w:val="none"/>
              </w:rPr>
            </w:pPr>
            <w:r>
              <w:rPr>
                <w:rFonts w:hint="default"/>
                <w:color w:val="auto"/>
                <w:szCs w:val="21"/>
                <w:highlight w:val="none"/>
              </w:rPr>
              <w:t>137</w:t>
            </w:r>
          </w:p>
        </w:tc>
        <w:tc>
          <w:tcPr>
            <w:tcW w:w="304" w:type="pct"/>
            <w:tcBorders>
              <w:top w:val="single" w:color="000000" w:sz="2" w:space="0"/>
              <w:left w:val="single" w:color="000000" w:sz="2" w:space="0"/>
              <w:bottom w:val="single" w:color="000000" w:sz="2" w:space="0"/>
              <w:right w:val="single" w:color="000000" w:sz="2" w:space="0"/>
            </w:tcBorders>
            <w:vAlign w:val="center"/>
          </w:tcPr>
          <w:p w14:paraId="294177D9">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1778C1F0">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40CBA65A">
            <w:pPr>
              <w:pStyle w:val="789"/>
              <w:rPr>
                <w:rFonts w:hint="default"/>
                <w:color w:val="auto"/>
                <w:szCs w:val="21"/>
                <w:highlight w:val="none"/>
              </w:rPr>
            </w:pPr>
            <w:r>
              <w:rPr>
                <w:rFonts w:hint="default"/>
                <w:color w:val="auto"/>
                <w:szCs w:val="21"/>
                <w:highlight w:val="none"/>
              </w:rPr>
              <w:t>660</w:t>
            </w:r>
          </w:p>
        </w:tc>
      </w:tr>
      <w:tr w14:paraId="7C73D907">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2C00E0DC">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5AB9ADFC">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2A7CA52A">
            <w:pPr>
              <w:pStyle w:val="789"/>
              <w:rPr>
                <w:rFonts w:hint="default"/>
                <w:color w:val="auto"/>
                <w:szCs w:val="21"/>
                <w:highlight w:val="none"/>
              </w:rPr>
            </w:pPr>
            <w:r>
              <w:rPr>
                <w:rFonts w:hint="default"/>
                <w:color w:val="auto"/>
                <w:szCs w:val="21"/>
                <w:highlight w:val="none"/>
              </w:rPr>
              <w:t>80.0%</w:t>
            </w:r>
          </w:p>
        </w:tc>
        <w:tc>
          <w:tcPr>
            <w:tcW w:w="526" w:type="pct"/>
            <w:tcBorders>
              <w:top w:val="single" w:color="000000" w:sz="2" w:space="0"/>
              <w:left w:val="single" w:color="000000" w:sz="2" w:space="0"/>
              <w:bottom w:val="single" w:color="000000" w:sz="2" w:space="0"/>
              <w:right w:val="single" w:color="000000" w:sz="2" w:space="0"/>
            </w:tcBorders>
            <w:vAlign w:val="center"/>
          </w:tcPr>
          <w:p w14:paraId="3F607FB9">
            <w:pPr>
              <w:pStyle w:val="789"/>
              <w:rPr>
                <w:rFonts w:hint="default"/>
                <w:color w:val="auto"/>
                <w:szCs w:val="21"/>
                <w:highlight w:val="none"/>
              </w:rPr>
            </w:pPr>
            <w:r>
              <w:rPr>
                <w:rFonts w:hint="default"/>
                <w:color w:val="auto"/>
                <w:szCs w:val="21"/>
                <w:highlight w:val="none"/>
              </w:rPr>
              <w:t>90.0%</w:t>
            </w:r>
          </w:p>
        </w:tc>
        <w:tc>
          <w:tcPr>
            <w:tcW w:w="472" w:type="pct"/>
            <w:tcBorders>
              <w:top w:val="single" w:color="000000" w:sz="2" w:space="0"/>
              <w:left w:val="single" w:color="000000" w:sz="2" w:space="0"/>
              <w:bottom w:val="single" w:color="000000" w:sz="2" w:space="0"/>
              <w:right w:val="single" w:color="000000" w:sz="2" w:space="0"/>
            </w:tcBorders>
            <w:vAlign w:val="center"/>
          </w:tcPr>
          <w:p w14:paraId="0A8314DA">
            <w:pPr>
              <w:pStyle w:val="789"/>
              <w:rPr>
                <w:rFonts w:hint="default"/>
                <w:color w:val="auto"/>
                <w:szCs w:val="21"/>
                <w:highlight w:val="none"/>
              </w:rPr>
            </w:pPr>
            <w:r>
              <w:rPr>
                <w:rFonts w:hint="default"/>
                <w:color w:val="auto"/>
                <w:szCs w:val="21"/>
                <w:highlight w:val="none"/>
              </w:rPr>
              <w:t>75.0%</w:t>
            </w:r>
          </w:p>
        </w:tc>
        <w:tc>
          <w:tcPr>
            <w:tcW w:w="551" w:type="pct"/>
            <w:tcBorders>
              <w:top w:val="single" w:color="000000" w:sz="2" w:space="0"/>
              <w:left w:val="single" w:color="000000" w:sz="2" w:space="0"/>
              <w:bottom w:val="single" w:color="000000" w:sz="2" w:space="0"/>
              <w:right w:val="single" w:color="000000" w:sz="2" w:space="0"/>
            </w:tcBorders>
            <w:vAlign w:val="center"/>
          </w:tcPr>
          <w:p w14:paraId="5294F2C8">
            <w:pPr>
              <w:pStyle w:val="789"/>
              <w:rPr>
                <w:rFonts w:hint="default"/>
                <w:color w:val="auto"/>
                <w:szCs w:val="21"/>
                <w:highlight w:val="none"/>
              </w:rPr>
            </w:pPr>
            <w:r>
              <w:rPr>
                <w:rFonts w:hint="default"/>
                <w:color w:val="auto"/>
                <w:szCs w:val="21"/>
                <w:highlight w:val="none"/>
              </w:rPr>
              <w:t>55.0%</w:t>
            </w:r>
          </w:p>
        </w:tc>
        <w:tc>
          <w:tcPr>
            <w:tcW w:w="396" w:type="pct"/>
            <w:tcBorders>
              <w:top w:val="single" w:color="000000" w:sz="2" w:space="0"/>
              <w:left w:val="single" w:color="000000" w:sz="2" w:space="0"/>
              <w:bottom w:val="single" w:color="000000" w:sz="2" w:space="0"/>
              <w:right w:val="single" w:color="000000" w:sz="2" w:space="0"/>
            </w:tcBorders>
            <w:vAlign w:val="center"/>
          </w:tcPr>
          <w:p w14:paraId="204ED233">
            <w:pPr>
              <w:pStyle w:val="789"/>
              <w:rPr>
                <w:rFonts w:hint="default"/>
                <w:color w:val="auto"/>
                <w:szCs w:val="21"/>
                <w:highlight w:val="none"/>
              </w:rPr>
            </w:pPr>
            <w:r>
              <w:rPr>
                <w:rFonts w:hint="default"/>
                <w:color w:val="auto"/>
                <w:szCs w:val="21"/>
                <w:highlight w:val="none"/>
              </w:rPr>
              <w:t>60.0%</w:t>
            </w:r>
          </w:p>
        </w:tc>
        <w:tc>
          <w:tcPr>
            <w:tcW w:w="304" w:type="pct"/>
            <w:tcBorders>
              <w:top w:val="single" w:color="000000" w:sz="2" w:space="0"/>
              <w:left w:val="single" w:color="000000" w:sz="2" w:space="0"/>
              <w:bottom w:val="single" w:color="000000" w:sz="2" w:space="0"/>
              <w:right w:val="single" w:color="000000" w:sz="2" w:space="0"/>
            </w:tcBorders>
            <w:vAlign w:val="center"/>
          </w:tcPr>
          <w:p w14:paraId="586CCC33">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7351B454">
            <w:pPr>
              <w:pStyle w:val="789"/>
              <w:rPr>
                <w:rFonts w:hint="default"/>
                <w:color w:val="auto"/>
                <w:szCs w:val="21"/>
                <w:highlight w:val="none"/>
              </w:rPr>
            </w:pPr>
            <w:r>
              <w:rPr>
                <w:rFonts w:hint="default"/>
                <w:color w:val="auto"/>
                <w:szCs w:val="21"/>
                <w:highlight w:val="none"/>
              </w:rPr>
              <w:t>0.0%</w:t>
            </w:r>
          </w:p>
        </w:tc>
        <w:tc>
          <w:tcPr>
            <w:tcW w:w="452" w:type="pct"/>
            <w:tcBorders>
              <w:top w:val="single" w:color="000000" w:sz="2" w:space="0"/>
              <w:left w:val="single" w:color="000000" w:sz="2" w:space="0"/>
              <w:bottom w:val="single" w:color="000000" w:sz="2" w:space="0"/>
              <w:right w:val="single" w:color="000000" w:sz="2" w:space="0"/>
            </w:tcBorders>
            <w:vAlign w:val="center"/>
          </w:tcPr>
          <w:p w14:paraId="5715093A">
            <w:pPr>
              <w:pStyle w:val="789"/>
              <w:rPr>
                <w:rFonts w:hint="default"/>
                <w:color w:val="auto"/>
                <w:szCs w:val="21"/>
                <w:highlight w:val="none"/>
              </w:rPr>
            </w:pPr>
            <w:r>
              <w:rPr>
                <w:rFonts w:hint="default"/>
                <w:color w:val="auto"/>
                <w:szCs w:val="21"/>
                <w:highlight w:val="none"/>
              </w:rPr>
              <w:t>30.0%</w:t>
            </w:r>
          </w:p>
        </w:tc>
      </w:tr>
      <w:tr w14:paraId="29BB5FD8">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7271977E">
            <w:pPr>
              <w:pStyle w:val="789"/>
              <w:rPr>
                <w:rFonts w:hint="default"/>
                <w:color w:val="auto"/>
                <w:szCs w:val="21"/>
                <w:highlight w:val="none"/>
              </w:rPr>
            </w:pPr>
            <w:r>
              <w:rPr>
                <w:rFonts w:hint="default"/>
                <w:color w:val="auto"/>
                <w:szCs w:val="21"/>
                <w:highlight w:val="none"/>
              </w:rPr>
              <w:t>高密池进水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7B841DDD">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78B8BBA7">
            <w:pPr>
              <w:pStyle w:val="789"/>
              <w:rPr>
                <w:rFonts w:hint="default"/>
                <w:color w:val="auto"/>
                <w:szCs w:val="21"/>
                <w:highlight w:val="none"/>
              </w:rPr>
            </w:pPr>
            <w:r>
              <w:rPr>
                <w:rFonts w:hint="default"/>
                <w:color w:val="auto"/>
                <w:szCs w:val="21"/>
                <w:highlight w:val="none"/>
              </w:rPr>
              <w:t>141</w:t>
            </w:r>
          </w:p>
        </w:tc>
        <w:tc>
          <w:tcPr>
            <w:tcW w:w="526" w:type="pct"/>
            <w:tcBorders>
              <w:top w:val="single" w:color="000000" w:sz="2" w:space="0"/>
              <w:left w:val="single" w:color="000000" w:sz="2" w:space="0"/>
              <w:bottom w:val="single" w:color="000000" w:sz="2" w:space="0"/>
              <w:right w:val="single" w:color="000000" w:sz="2" w:space="0"/>
            </w:tcBorders>
            <w:vAlign w:val="center"/>
          </w:tcPr>
          <w:p w14:paraId="2BFCDD5B">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4124F0DA">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7589747B">
            <w:pPr>
              <w:pStyle w:val="789"/>
              <w:rPr>
                <w:rFonts w:hint="default"/>
                <w:color w:val="auto"/>
                <w:szCs w:val="21"/>
                <w:highlight w:val="none"/>
              </w:rPr>
            </w:pPr>
            <w:r>
              <w:rPr>
                <w:rFonts w:hint="default"/>
                <w:color w:val="auto"/>
                <w:szCs w:val="21"/>
                <w:highlight w:val="none"/>
              </w:rPr>
              <w:t>11</w:t>
            </w:r>
          </w:p>
        </w:tc>
        <w:tc>
          <w:tcPr>
            <w:tcW w:w="396" w:type="pct"/>
            <w:tcBorders>
              <w:top w:val="single" w:color="000000" w:sz="2" w:space="0"/>
              <w:left w:val="single" w:color="000000" w:sz="2" w:space="0"/>
              <w:bottom w:val="single" w:color="000000" w:sz="2" w:space="0"/>
              <w:right w:val="single" w:color="000000" w:sz="2" w:space="0"/>
            </w:tcBorders>
            <w:vAlign w:val="center"/>
          </w:tcPr>
          <w:p w14:paraId="0E1715C4">
            <w:pPr>
              <w:pStyle w:val="789"/>
              <w:rPr>
                <w:rFonts w:hint="default"/>
                <w:color w:val="auto"/>
                <w:szCs w:val="21"/>
                <w:highlight w:val="none"/>
              </w:rPr>
            </w:pPr>
            <w:r>
              <w:rPr>
                <w:rFonts w:hint="default"/>
                <w:color w:val="auto"/>
                <w:szCs w:val="21"/>
                <w:highlight w:val="none"/>
              </w:rPr>
              <w:t>137</w:t>
            </w:r>
          </w:p>
        </w:tc>
        <w:tc>
          <w:tcPr>
            <w:tcW w:w="304" w:type="pct"/>
            <w:tcBorders>
              <w:top w:val="single" w:color="000000" w:sz="2" w:space="0"/>
              <w:left w:val="single" w:color="000000" w:sz="2" w:space="0"/>
              <w:bottom w:val="single" w:color="000000" w:sz="2" w:space="0"/>
              <w:right w:val="single" w:color="000000" w:sz="2" w:space="0"/>
            </w:tcBorders>
            <w:vAlign w:val="center"/>
          </w:tcPr>
          <w:p w14:paraId="699D2076">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4B971BA4">
            <w:pPr>
              <w:pStyle w:val="789"/>
              <w:rPr>
                <w:rFonts w:hint="default"/>
                <w:color w:val="auto"/>
                <w:szCs w:val="21"/>
                <w:highlight w:val="none"/>
              </w:rPr>
            </w:pPr>
            <w:r>
              <w:rPr>
                <w:rFonts w:hint="default"/>
                <w:color w:val="auto"/>
                <w:szCs w:val="21"/>
                <w:highlight w:val="none"/>
              </w:rPr>
              <w:t>10327</w:t>
            </w:r>
          </w:p>
        </w:tc>
        <w:tc>
          <w:tcPr>
            <w:tcW w:w="452" w:type="pct"/>
            <w:tcBorders>
              <w:top w:val="single" w:color="000000" w:sz="2" w:space="0"/>
              <w:left w:val="single" w:color="000000" w:sz="2" w:space="0"/>
              <w:bottom w:val="single" w:color="000000" w:sz="2" w:space="0"/>
              <w:right w:val="single" w:color="000000" w:sz="2" w:space="0"/>
            </w:tcBorders>
            <w:vAlign w:val="center"/>
          </w:tcPr>
          <w:p w14:paraId="74F640B9">
            <w:pPr>
              <w:pStyle w:val="789"/>
              <w:rPr>
                <w:rFonts w:hint="default"/>
                <w:color w:val="auto"/>
                <w:szCs w:val="21"/>
                <w:highlight w:val="none"/>
              </w:rPr>
            </w:pPr>
            <w:r>
              <w:rPr>
                <w:rFonts w:hint="default"/>
                <w:color w:val="auto"/>
                <w:szCs w:val="21"/>
                <w:highlight w:val="none"/>
              </w:rPr>
              <w:t>660</w:t>
            </w:r>
          </w:p>
        </w:tc>
      </w:tr>
      <w:tr w14:paraId="0A23C3DF">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7C6AB845">
            <w:pPr>
              <w:pStyle w:val="789"/>
              <w:rPr>
                <w:rFonts w:hint="default"/>
                <w:color w:val="auto"/>
                <w:szCs w:val="21"/>
                <w:highlight w:val="none"/>
              </w:rPr>
            </w:pPr>
            <w:r>
              <w:rPr>
                <w:rFonts w:hint="default"/>
                <w:color w:val="auto"/>
                <w:szCs w:val="21"/>
                <w:highlight w:val="none"/>
              </w:rPr>
              <w:t>高密池</w:t>
            </w:r>
          </w:p>
          <w:p w14:paraId="4595449D">
            <w:pPr>
              <w:pStyle w:val="789"/>
              <w:rPr>
                <w:rFonts w:hint="default"/>
                <w:color w:val="auto"/>
                <w:szCs w:val="21"/>
                <w:highlight w:val="none"/>
              </w:rPr>
            </w:pPr>
            <w:r>
              <w:rPr>
                <w:rFonts w:hint="default"/>
                <w:color w:val="auto"/>
                <w:szCs w:val="21"/>
                <w:highlight w:val="none"/>
              </w:rPr>
              <w:t>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253DE6E9">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6C3BB6AE">
            <w:pPr>
              <w:pStyle w:val="789"/>
              <w:rPr>
                <w:rFonts w:hint="default"/>
                <w:color w:val="auto"/>
                <w:szCs w:val="21"/>
                <w:highlight w:val="none"/>
              </w:rPr>
            </w:pPr>
            <w:r>
              <w:rPr>
                <w:rFonts w:hint="default"/>
                <w:color w:val="auto"/>
                <w:szCs w:val="21"/>
                <w:highlight w:val="none"/>
              </w:rPr>
              <w:t>134</w:t>
            </w:r>
          </w:p>
        </w:tc>
        <w:tc>
          <w:tcPr>
            <w:tcW w:w="526" w:type="pct"/>
            <w:tcBorders>
              <w:top w:val="single" w:color="000000" w:sz="2" w:space="0"/>
              <w:left w:val="single" w:color="000000" w:sz="2" w:space="0"/>
              <w:bottom w:val="single" w:color="000000" w:sz="2" w:space="0"/>
              <w:right w:val="single" w:color="000000" w:sz="2" w:space="0"/>
            </w:tcBorders>
            <w:vAlign w:val="center"/>
          </w:tcPr>
          <w:p w14:paraId="6172A960">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2D64F4E1">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213BC93B">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6F2BC182">
            <w:pPr>
              <w:pStyle w:val="789"/>
              <w:rPr>
                <w:rFonts w:hint="default"/>
                <w:color w:val="auto"/>
                <w:szCs w:val="21"/>
                <w:highlight w:val="none"/>
              </w:rPr>
            </w:pPr>
            <w:r>
              <w:rPr>
                <w:rFonts w:hint="default"/>
                <w:color w:val="auto"/>
                <w:szCs w:val="21"/>
                <w:highlight w:val="none"/>
              </w:rPr>
              <w:t>14</w:t>
            </w:r>
          </w:p>
        </w:tc>
        <w:tc>
          <w:tcPr>
            <w:tcW w:w="304" w:type="pct"/>
            <w:tcBorders>
              <w:top w:val="single" w:color="000000" w:sz="2" w:space="0"/>
              <w:left w:val="single" w:color="000000" w:sz="2" w:space="0"/>
              <w:bottom w:val="single" w:color="000000" w:sz="2" w:space="0"/>
              <w:right w:val="single" w:color="000000" w:sz="2" w:space="0"/>
            </w:tcBorders>
            <w:vAlign w:val="center"/>
          </w:tcPr>
          <w:p w14:paraId="328F670E">
            <w:pPr>
              <w:pStyle w:val="789"/>
              <w:rPr>
                <w:rFonts w:hint="default"/>
                <w:color w:val="auto"/>
                <w:szCs w:val="21"/>
                <w:highlight w:val="none"/>
              </w:rPr>
            </w:pPr>
            <w:r>
              <w:rPr>
                <w:rFonts w:hint="default"/>
                <w:color w:val="auto"/>
                <w:szCs w:val="21"/>
                <w:highlight w:val="none"/>
              </w:rPr>
              <w:t>6</w:t>
            </w:r>
          </w:p>
        </w:tc>
        <w:tc>
          <w:tcPr>
            <w:tcW w:w="484" w:type="pct"/>
            <w:tcBorders>
              <w:top w:val="single" w:color="000000" w:sz="2" w:space="0"/>
              <w:left w:val="single" w:color="000000" w:sz="2" w:space="0"/>
              <w:bottom w:val="single" w:color="000000" w:sz="2" w:space="0"/>
              <w:right w:val="single" w:color="000000" w:sz="2" w:space="0"/>
            </w:tcBorders>
            <w:vAlign w:val="center"/>
          </w:tcPr>
          <w:p w14:paraId="45582D63">
            <w:pPr>
              <w:pStyle w:val="789"/>
              <w:rPr>
                <w:rFonts w:hint="default"/>
                <w:color w:val="auto"/>
                <w:szCs w:val="21"/>
                <w:highlight w:val="none"/>
              </w:rPr>
            </w:pPr>
            <w:r>
              <w:rPr>
                <w:rFonts w:hint="default"/>
                <w:color w:val="auto"/>
                <w:szCs w:val="21"/>
                <w:highlight w:val="none"/>
              </w:rPr>
              <w:t>10533</w:t>
            </w:r>
          </w:p>
        </w:tc>
        <w:tc>
          <w:tcPr>
            <w:tcW w:w="452" w:type="pct"/>
            <w:tcBorders>
              <w:top w:val="single" w:color="000000" w:sz="2" w:space="0"/>
              <w:left w:val="single" w:color="000000" w:sz="2" w:space="0"/>
              <w:bottom w:val="single" w:color="000000" w:sz="2" w:space="0"/>
              <w:right w:val="single" w:color="000000" w:sz="2" w:space="0"/>
            </w:tcBorders>
            <w:vAlign w:val="center"/>
          </w:tcPr>
          <w:p w14:paraId="23B5F7F7">
            <w:pPr>
              <w:pStyle w:val="789"/>
              <w:rPr>
                <w:rFonts w:hint="default"/>
                <w:color w:val="auto"/>
                <w:szCs w:val="21"/>
                <w:highlight w:val="none"/>
              </w:rPr>
            </w:pPr>
            <w:r>
              <w:rPr>
                <w:rFonts w:hint="default"/>
                <w:color w:val="auto"/>
                <w:szCs w:val="21"/>
                <w:highlight w:val="none"/>
              </w:rPr>
              <w:t>198</w:t>
            </w:r>
          </w:p>
        </w:tc>
      </w:tr>
      <w:tr w14:paraId="6E66C4FE">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1AD109EA">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5D2993B1">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2C511715">
            <w:pPr>
              <w:pStyle w:val="789"/>
              <w:rPr>
                <w:rFonts w:hint="default"/>
                <w:color w:val="auto"/>
                <w:szCs w:val="21"/>
                <w:highlight w:val="none"/>
              </w:rPr>
            </w:pPr>
            <w:r>
              <w:rPr>
                <w:rFonts w:hint="default"/>
                <w:color w:val="auto"/>
                <w:szCs w:val="21"/>
                <w:highlight w:val="none"/>
              </w:rPr>
              <w:t>5.0%</w:t>
            </w:r>
          </w:p>
        </w:tc>
        <w:tc>
          <w:tcPr>
            <w:tcW w:w="526" w:type="pct"/>
            <w:tcBorders>
              <w:top w:val="single" w:color="000000" w:sz="2" w:space="0"/>
              <w:left w:val="single" w:color="000000" w:sz="2" w:space="0"/>
              <w:bottom w:val="single" w:color="000000" w:sz="2" w:space="0"/>
              <w:right w:val="single" w:color="000000" w:sz="2" w:space="0"/>
            </w:tcBorders>
            <w:vAlign w:val="center"/>
          </w:tcPr>
          <w:p w14:paraId="338747CC">
            <w:pPr>
              <w:pStyle w:val="789"/>
              <w:rPr>
                <w:rFonts w:hint="default"/>
                <w:color w:val="auto"/>
                <w:szCs w:val="21"/>
                <w:highlight w:val="none"/>
              </w:rPr>
            </w:pPr>
            <w:r>
              <w:rPr>
                <w:rFonts w:hint="default"/>
                <w:color w:val="auto"/>
                <w:szCs w:val="21"/>
                <w:highlight w:val="none"/>
              </w:rPr>
              <w:t>0.0%</w:t>
            </w:r>
          </w:p>
        </w:tc>
        <w:tc>
          <w:tcPr>
            <w:tcW w:w="472" w:type="pct"/>
            <w:tcBorders>
              <w:top w:val="single" w:color="000000" w:sz="2" w:space="0"/>
              <w:left w:val="single" w:color="000000" w:sz="2" w:space="0"/>
              <w:bottom w:val="single" w:color="000000" w:sz="2" w:space="0"/>
              <w:right w:val="single" w:color="000000" w:sz="2" w:space="0"/>
            </w:tcBorders>
            <w:vAlign w:val="center"/>
          </w:tcPr>
          <w:p w14:paraId="5CBC6CD3">
            <w:pPr>
              <w:pStyle w:val="789"/>
              <w:rPr>
                <w:rFonts w:hint="default"/>
                <w:color w:val="auto"/>
                <w:szCs w:val="21"/>
                <w:highlight w:val="none"/>
              </w:rPr>
            </w:pPr>
            <w:r>
              <w:rPr>
                <w:rFonts w:hint="default"/>
                <w:color w:val="auto"/>
                <w:szCs w:val="21"/>
                <w:highlight w:val="none"/>
              </w:rPr>
              <w:t>0.0%</w:t>
            </w:r>
          </w:p>
        </w:tc>
        <w:tc>
          <w:tcPr>
            <w:tcW w:w="551" w:type="pct"/>
            <w:tcBorders>
              <w:top w:val="single" w:color="000000" w:sz="2" w:space="0"/>
              <w:left w:val="single" w:color="000000" w:sz="2" w:space="0"/>
              <w:bottom w:val="single" w:color="000000" w:sz="2" w:space="0"/>
              <w:right w:val="single" w:color="000000" w:sz="2" w:space="0"/>
            </w:tcBorders>
            <w:vAlign w:val="center"/>
          </w:tcPr>
          <w:p w14:paraId="33189948">
            <w:pPr>
              <w:pStyle w:val="789"/>
              <w:rPr>
                <w:rFonts w:hint="default"/>
                <w:color w:val="auto"/>
                <w:szCs w:val="21"/>
                <w:highlight w:val="none"/>
              </w:rPr>
            </w:pPr>
            <w:r>
              <w:rPr>
                <w:rFonts w:hint="default"/>
                <w:color w:val="auto"/>
                <w:szCs w:val="21"/>
                <w:highlight w:val="none"/>
              </w:rPr>
              <w:t>96.0%</w:t>
            </w:r>
          </w:p>
        </w:tc>
        <w:tc>
          <w:tcPr>
            <w:tcW w:w="396" w:type="pct"/>
            <w:tcBorders>
              <w:top w:val="single" w:color="000000" w:sz="2" w:space="0"/>
              <w:left w:val="single" w:color="000000" w:sz="2" w:space="0"/>
              <w:bottom w:val="single" w:color="000000" w:sz="2" w:space="0"/>
              <w:right w:val="single" w:color="000000" w:sz="2" w:space="0"/>
            </w:tcBorders>
            <w:vAlign w:val="center"/>
          </w:tcPr>
          <w:p w14:paraId="22116F5A">
            <w:pPr>
              <w:pStyle w:val="789"/>
              <w:rPr>
                <w:rFonts w:hint="default"/>
                <w:color w:val="auto"/>
                <w:szCs w:val="21"/>
                <w:highlight w:val="none"/>
              </w:rPr>
            </w:pPr>
            <w:r>
              <w:rPr>
                <w:rFonts w:hint="default"/>
                <w:color w:val="auto"/>
                <w:szCs w:val="21"/>
                <w:highlight w:val="none"/>
              </w:rPr>
              <w:t>90.0%</w:t>
            </w:r>
          </w:p>
        </w:tc>
        <w:tc>
          <w:tcPr>
            <w:tcW w:w="304" w:type="pct"/>
            <w:tcBorders>
              <w:top w:val="single" w:color="000000" w:sz="2" w:space="0"/>
              <w:left w:val="single" w:color="000000" w:sz="2" w:space="0"/>
              <w:bottom w:val="single" w:color="000000" w:sz="2" w:space="0"/>
              <w:right w:val="single" w:color="000000" w:sz="2" w:space="0"/>
            </w:tcBorders>
            <w:vAlign w:val="center"/>
          </w:tcPr>
          <w:p w14:paraId="65BD4A96">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0C972D4D">
            <w:pPr>
              <w:pStyle w:val="789"/>
              <w:rPr>
                <w:rFonts w:hint="default"/>
                <w:color w:val="auto"/>
                <w:szCs w:val="21"/>
                <w:highlight w:val="none"/>
              </w:rPr>
            </w:pPr>
            <w:r>
              <w:rPr>
                <w:rFonts w:hint="default"/>
                <w:color w:val="auto"/>
                <w:szCs w:val="21"/>
                <w:highlight w:val="none"/>
              </w:rPr>
              <w:t>-2.0%</w:t>
            </w:r>
          </w:p>
        </w:tc>
        <w:tc>
          <w:tcPr>
            <w:tcW w:w="452" w:type="pct"/>
            <w:tcBorders>
              <w:top w:val="single" w:color="000000" w:sz="2" w:space="0"/>
              <w:left w:val="single" w:color="000000" w:sz="2" w:space="0"/>
              <w:bottom w:val="single" w:color="000000" w:sz="2" w:space="0"/>
              <w:right w:val="single" w:color="000000" w:sz="2" w:space="0"/>
            </w:tcBorders>
            <w:vAlign w:val="center"/>
          </w:tcPr>
          <w:p w14:paraId="1C94D966">
            <w:pPr>
              <w:pStyle w:val="789"/>
              <w:rPr>
                <w:rFonts w:hint="default"/>
                <w:color w:val="auto"/>
                <w:szCs w:val="21"/>
                <w:highlight w:val="none"/>
              </w:rPr>
            </w:pPr>
            <w:r>
              <w:rPr>
                <w:rFonts w:hint="default"/>
                <w:color w:val="auto"/>
                <w:szCs w:val="21"/>
                <w:highlight w:val="none"/>
              </w:rPr>
              <w:t>70.0%</w:t>
            </w:r>
          </w:p>
        </w:tc>
      </w:tr>
      <w:tr w14:paraId="668B12F2">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1BFE75E1">
            <w:pPr>
              <w:pStyle w:val="789"/>
              <w:rPr>
                <w:rFonts w:hint="default"/>
                <w:color w:val="auto"/>
                <w:szCs w:val="21"/>
                <w:highlight w:val="none"/>
              </w:rPr>
            </w:pPr>
            <w:r>
              <w:rPr>
                <w:rFonts w:hint="default"/>
                <w:color w:val="auto"/>
                <w:szCs w:val="21"/>
                <w:highlight w:val="none"/>
              </w:rPr>
              <w:t>臭氧氧化进水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051CC1C8">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7BFBC3F8">
            <w:pPr>
              <w:pStyle w:val="789"/>
              <w:rPr>
                <w:rFonts w:hint="default"/>
                <w:color w:val="auto"/>
                <w:szCs w:val="21"/>
                <w:highlight w:val="none"/>
              </w:rPr>
            </w:pPr>
            <w:r>
              <w:rPr>
                <w:rFonts w:hint="default"/>
                <w:color w:val="auto"/>
                <w:szCs w:val="21"/>
                <w:highlight w:val="none"/>
              </w:rPr>
              <w:t>134</w:t>
            </w:r>
          </w:p>
        </w:tc>
        <w:tc>
          <w:tcPr>
            <w:tcW w:w="526" w:type="pct"/>
            <w:tcBorders>
              <w:top w:val="single" w:color="000000" w:sz="2" w:space="0"/>
              <w:left w:val="single" w:color="000000" w:sz="2" w:space="0"/>
              <w:bottom w:val="single" w:color="000000" w:sz="2" w:space="0"/>
              <w:right w:val="single" w:color="000000" w:sz="2" w:space="0"/>
            </w:tcBorders>
            <w:vAlign w:val="center"/>
          </w:tcPr>
          <w:p w14:paraId="675297CF">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018E6D9C">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5DAB2C3C">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0A86FA49">
            <w:pPr>
              <w:pStyle w:val="789"/>
              <w:rPr>
                <w:rFonts w:hint="default"/>
                <w:color w:val="auto"/>
                <w:szCs w:val="21"/>
                <w:highlight w:val="none"/>
              </w:rPr>
            </w:pPr>
            <w:r>
              <w:rPr>
                <w:rFonts w:hint="default"/>
                <w:color w:val="auto"/>
                <w:szCs w:val="21"/>
                <w:highlight w:val="none"/>
              </w:rPr>
              <w:t>14</w:t>
            </w:r>
          </w:p>
        </w:tc>
        <w:tc>
          <w:tcPr>
            <w:tcW w:w="304" w:type="pct"/>
            <w:tcBorders>
              <w:top w:val="single" w:color="000000" w:sz="2" w:space="0"/>
              <w:left w:val="single" w:color="000000" w:sz="2" w:space="0"/>
              <w:bottom w:val="single" w:color="000000" w:sz="2" w:space="0"/>
              <w:right w:val="single" w:color="000000" w:sz="2" w:space="0"/>
            </w:tcBorders>
            <w:vAlign w:val="center"/>
          </w:tcPr>
          <w:p w14:paraId="7BB41447">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669335AC">
            <w:pPr>
              <w:pStyle w:val="789"/>
              <w:rPr>
                <w:rFonts w:hint="default"/>
                <w:color w:val="auto"/>
                <w:szCs w:val="21"/>
                <w:highlight w:val="none"/>
              </w:rPr>
            </w:pPr>
            <w:r>
              <w:rPr>
                <w:rFonts w:hint="default"/>
                <w:color w:val="auto"/>
                <w:szCs w:val="21"/>
                <w:highlight w:val="none"/>
              </w:rPr>
              <w:t>10533</w:t>
            </w:r>
          </w:p>
        </w:tc>
        <w:tc>
          <w:tcPr>
            <w:tcW w:w="452" w:type="pct"/>
            <w:tcBorders>
              <w:top w:val="single" w:color="000000" w:sz="2" w:space="0"/>
              <w:left w:val="single" w:color="000000" w:sz="2" w:space="0"/>
              <w:bottom w:val="single" w:color="000000" w:sz="2" w:space="0"/>
              <w:right w:val="single" w:color="000000" w:sz="2" w:space="0"/>
            </w:tcBorders>
            <w:vAlign w:val="center"/>
          </w:tcPr>
          <w:p w14:paraId="33547B4D">
            <w:pPr>
              <w:pStyle w:val="789"/>
              <w:rPr>
                <w:rFonts w:hint="default"/>
                <w:color w:val="auto"/>
                <w:szCs w:val="21"/>
                <w:highlight w:val="none"/>
              </w:rPr>
            </w:pPr>
            <w:r>
              <w:rPr>
                <w:rFonts w:hint="default"/>
                <w:color w:val="auto"/>
                <w:szCs w:val="21"/>
                <w:highlight w:val="none"/>
              </w:rPr>
              <w:t>198</w:t>
            </w:r>
          </w:p>
        </w:tc>
      </w:tr>
      <w:tr w14:paraId="0A3FC14D">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56B9B7F1">
            <w:pPr>
              <w:pStyle w:val="789"/>
              <w:rPr>
                <w:rFonts w:hint="default"/>
                <w:color w:val="auto"/>
                <w:szCs w:val="21"/>
                <w:highlight w:val="none"/>
              </w:rPr>
            </w:pPr>
            <w:r>
              <w:rPr>
                <w:rFonts w:hint="default"/>
                <w:color w:val="auto"/>
                <w:szCs w:val="21"/>
                <w:highlight w:val="none"/>
              </w:rPr>
              <w:t>臭氧氧化出水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3D7B8EF1">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7EE11CEB">
            <w:pPr>
              <w:pStyle w:val="789"/>
              <w:rPr>
                <w:rFonts w:hint="default"/>
                <w:color w:val="auto"/>
                <w:szCs w:val="21"/>
                <w:highlight w:val="none"/>
              </w:rPr>
            </w:pPr>
            <w:r>
              <w:rPr>
                <w:rFonts w:hint="default"/>
                <w:color w:val="auto"/>
                <w:szCs w:val="21"/>
                <w:highlight w:val="none"/>
              </w:rPr>
              <w:t>80</w:t>
            </w:r>
          </w:p>
        </w:tc>
        <w:tc>
          <w:tcPr>
            <w:tcW w:w="526" w:type="pct"/>
            <w:tcBorders>
              <w:top w:val="single" w:color="000000" w:sz="2" w:space="0"/>
              <w:left w:val="single" w:color="000000" w:sz="2" w:space="0"/>
              <w:bottom w:val="single" w:color="000000" w:sz="2" w:space="0"/>
              <w:right w:val="single" w:color="000000" w:sz="2" w:space="0"/>
            </w:tcBorders>
            <w:vAlign w:val="center"/>
          </w:tcPr>
          <w:p w14:paraId="039806BF">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492CC203">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31FA25FB">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0BCFC194">
            <w:pPr>
              <w:pStyle w:val="789"/>
              <w:rPr>
                <w:rFonts w:hint="default"/>
                <w:color w:val="auto"/>
                <w:szCs w:val="21"/>
                <w:highlight w:val="none"/>
              </w:rPr>
            </w:pPr>
            <w:r>
              <w:rPr>
                <w:rFonts w:hint="default"/>
                <w:color w:val="auto"/>
                <w:szCs w:val="21"/>
                <w:highlight w:val="none"/>
              </w:rPr>
              <w:t>14</w:t>
            </w:r>
          </w:p>
        </w:tc>
        <w:tc>
          <w:tcPr>
            <w:tcW w:w="304" w:type="pct"/>
            <w:tcBorders>
              <w:top w:val="single" w:color="000000" w:sz="2" w:space="0"/>
              <w:left w:val="single" w:color="000000" w:sz="2" w:space="0"/>
              <w:bottom w:val="single" w:color="000000" w:sz="2" w:space="0"/>
              <w:right w:val="single" w:color="000000" w:sz="2" w:space="0"/>
            </w:tcBorders>
            <w:vAlign w:val="center"/>
          </w:tcPr>
          <w:p w14:paraId="37098010">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4F7C5AD9">
            <w:pPr>
              <w:pStyle w:val="789"/>
              <w:rPr>
                <w:rFonts w:hint="default"/>
                <w:color w:val="auto"/>
                <w:szCs w:val="21"/>
                <w:highlight w:val="none"/>
              </w:rPr>
            </w:pPr>
            <w:r>
              <w:rPr>
                <w:rFonts w:hint="default"/>
                <w:color w:val="auto"/>
                <w:szCs w:val="21"/>
                <w:highlight w:val="none"/>
              </w:rPr>
              <w:t>10533</w:t>
            </w:r>
          </w:p>
        </w:tc>
        <w:tc>
          <w:tcPr>
            <w:tcW w:w="452" w:type="pct"/>
            <w:tcBorders>
              <w:top w:val="single" w:color="000000" w:sz="2" w:space="0"/>
              <w:left w:val="single" w:color="000000" w:sz="2" w:space="0"/>
              <w:bottom w:val="single" w:color="000000" w:sz="2" w:space="0"/>
              <w:right w:val="single" w:color="000000" w:sz="2" w:space="0"/>
            </w:tcBorders>
            <w:vAlign w:val="center"/>
          </w:tcPr>
          <w:p w14:paraId="69C33A5B">
            <w:pPr>
              <w:pStyle w:val="789"/>
              <w:rPr>
                <w:rFonts w:hint="default"/>
                <w:color w:val="auto"/>
                <w:szCs w:val="21"/>
                <w:highlight w:val="none"/>
              </w:rPr>
            </w:pPr>
            <w:r>
              <w:rPr>
                <w:rFonts w:hint="default"/>
                <w:color w:val="auto"/>
                <w:szCs w:val="21"/>
                <w:highlight w:val="none"/>
              </w:rPr>
              <w:t>198</w:t>
            </w:r>
          </w:p>
        </w:tc>
      </w:tr>
      <w:tr w14:paraId="4FDA7A98">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75776C76">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2F0D281D">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4DD2373B">
            <w:pPr>
              <w:pStyle w:val="789"/>
              <w:rPr>
                <w:rFonts w:hint="default"/>
                <w:color w:val="auto"/>
                <w:szCs w:val="21"/>
                <w:highlight w:val="none"/>
              </w:rPr>
            </w:pPr>
            <w:r>
              <w:rPr>
                <w:rFonts w:hint="default"/>
                <w:color w:val="auto"/>
                <w:szCs w:val="21"/>
                <w:highlight w:val="none"/>
              </w:rPr>
              <w:t>40.0%</w:t>
            </w:r>
          </w:p>
        </w:tc>
        <w:tc>
          <w:tcPr>
            <w:tcW w:w="526" w:type="pct"/>
            <w:tcBorders>
              <w:top w:val="single" w:color="000000" w:sz="2" w:space="0"/>
              <w:left w:val="single" w:color="000000" w:sz="2" w:space="0"/>
              <w:bottom w:val="single" w:color="000000" w:sz="2" w:space="0"/>
              <w:right w:val="single" w:color="000000" w:sz="2" w:space="0"/>
            </w:tcBorders>
            <w:vAlign w:val="center"/>
          </w:tcPr>
          <w:p w14:paraId="4AB107DC">
            <w:pPr>
              <w:pStyle w:val="789"/>
              <w:rPr>
                <w:rFonts w:hint="default"/>
                <w:color w:val="auto"/>
                <w:szCs w:val="21"/>
                <w:highlight w:val="none"/>
              </w:rPr>
            </w:pPr>
            <w:r>
              <w:rPr>
                <w:rFonts w:hint="default"/>
                <w:color w:val="auto"/>
                <w:szCs w:val="21"/>
                <w:highlight w:val="none"/>
              </w:rPr>
              <w:t>0.0%</w:t>
            </w:r>
          </w:p>
        </w:tc>
        <w:tc>
          <w:tcPr>
            <w:tcW w:w="472" w:type="pct"/>
            <w:tcBorders>
              <w:top w:val="single" w:color="000000" w:sz="2" w:space="0"/>
              <w:left w:val="single" w:color="000000" w:sz="2" w:space="0"/>
              <w:bottom w:val="single" w:color="000000" w:sz="2" w:space="0"/>
              <w:right w:val="single" w:color="000000" w:sz="2" w:space="0"/>
            </w:tcBorders>
            <w:vAlign w:val="center"/>
          </w:tcPr>
          <w:p w14:paraId="1252D5CC">
            <w:pPr>
              <w:pStyle w:val="789"/>
              <w:rPr>
                <w:rFonts w:hint="default"/>
                <w:color w:val="auto"/>
                <w:szCs w:val="21"/>
                <w:highlight w:val="none"/>
              </w:rPr>
            </w:pPr>
            <w:r>
              <w:rPr>
                <w:rFonts w:hint="default"/>
                <w:color w:val="auto"/>
                <w:szCs w:val="21"/>
                <w:highlight w:val="none"/>
              </w:rPr>
              <w:t>0.0%</w:t>
            </w:r>
          </w:p>
        </w:tc>
        <w:tc>
          <w:tcPr>
            <w:tcW w:w="551" w:type="pct"/>
            <w:tcBorders>
              <w:top w:val="single" w:color="000000" w:sz="2" w:space="0"/>
              <w:left w:val="single" w:color="000000" w:sz="2" w:space="0"/>
              <w:bottom w:val="single" w:color="000000" w:sz="2" w:space="0"/>
              <w:right w:val="single" w:color="000000" w:sz="2" w:space="0"/>
            </w:tcBorders>
            <w:vAlign w:val="center"/>
          </w:tcPr>
          <w:p w14:paraId="3D738839">
            <w:pPr>
              <w:pStyle w:val="789"/>
              <w:rPr>
                <w:rFonts w:hint="default"/>
                <w:color w:val="auto"/>
                <w:szCs w:val="21"/>
                <w:highlight w:val="none"/>
              </w:rPr>
            </w:pPr>
            <w:r>
              <w:rPr>
                <w:rFonts w:hint="default"/>
                <w:color w:val="auto"/>
                <w:szCs w:val="21"/>
                <w:highlight w:val="none"/>
              </w:rPr>
              <w:t>0.0%</w:t>
            </w:r>
          </w:p>
        </w:tc>
        <w:tc>
          <w:tcPr>
            <w:tcW w:w="396" w:type="pct"/>
            <w:tcBorders>
              <w:top w:val="single" w:color="000000" w:sz="2" w:space="0"/>
              <w:left w:val="single" w:color="000000" w:sz="2" w:space="0"/>
              <w:bottom w:val="single" w:color="000000" w:sz="2" w:space="0"/>
              <w:right w:val="single" w:color="000000" w:sz="2" w:space="0"/>
            </w:tcBorders>
            <w:vAlign w:val="center"/>
          </w:tcPr>
          <w:p w14:paraId="13ADF402">
            <w:pPr>
              <w:pStyle w:val="789"/>
              <w:rPr>
                <w:rFonts w:hint="default"/>
                <w:color w:val="auto"/>
                <w:szCs w:val="21"/>
                <w:highlight w:val="none"/>
              </w:rPr>
            </w:pPr>
            <w:r>
              <w:rPr>
                <w:rFonts w:hint="default"/>
                <w:color w:val="auto"/>
                <w:szCs w:val="21"/>
                <w:highlight w:val="none"/>
              </w:rPr>
              <w:t>0.0%</w:t>
            </w:r>
          </w:p>
        </w:tc>
        <w:tc>
          <w:tcPr>
            <w:tcW w:w="304" w:type="pct"/>
            <w:tcBorders>
              <w:top w:val="single" w:color="000000" w:sz="2" w:space="0"/>
              <w:left w:val="single" w:color="000000" w:sz="2" w:space="0"/>
              <w:bottom w:val="single" w:color="000000" w:sz="2" w:space="0"/>
              <w:right w:val="single" w:color="000000" w:sz="2" w:space="0"/>
            </w:tcBorders>
            <w:vAlign w:val="center"/>
          </w:tcPr>
          <w:p w14:paraId="5DBFC312">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6D2DBBA0">
            <w:pPr>
              <w:pStyle w:val="789"/>
              <w:rPr>
                <w:rFonts w:hint="default"/>
                <w:color w:val="auto"/>
                <w:szCs w:val="21"/>
                <w:highlight w:val="none"/>
              </w:rPr>
            </w:pPr>
            <w:r>
              <w:rPr>
                <w:rFonts w:hint="default"/>
                <w:color w:val="auto"/>
                <w:szCs w:val="21"/>
                <w:highlight w:val="none"/>
              </w:rPr>
              <w:t>0.0%</w:t>
            </w:r>
          </w:p>
        </w:tc>
        <w:tc>
          <w:tcPr>
            <w:tcW w:w="452" w:type="pct"/>
            <w:tcBorders>
              <w:top w:val="single" w:color="000000" w:sz="2" w:space="0"/>
              <w:left w:val="single" w:color="000000" w:sz="2" w:space="0"/>
              <w:bottom w:val="single" w:color="000000" w:sz="2" w:space="0"/>
              <w:right w:val="single" w:color="000000" w:sz="2" w:space="0"/>
            </w:tcBorders>
            <w:vAlign w:val="center"/>
          </w:tcPr>
          <w:p w14:paraId="4FD8B5F4">
            <w:pPr>
              <w:pStyle w:val="789"/>
              <w:rPr>
                <w:rFonts w:hint="default"/>
                <w:color w:val="auto"/>
                <w:szCs w:val="21"/>
                <w:highlight w:val="none"/>
              </w:rPr>
            </w:pPr>
            <w:r>
              <w:rPr>
                <w:rFonts w:hint="default"/>
                <w:color w:val="auto"/>
                <w:szCs w:val="21"/>
                <w:highlight w:val="none"/>
              </w:rPr>
              <w:t>0.0%</w:t>
            </w:r>
          </w:p>
        </w:tc>
      </w:tr>
      <w:tr w14:paraId="02B20405">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004BDE7C">
            <w:pPr>
              <w:pStyle w:val="789"/>
              <w:rPr>
                <w:rFonts w:hint="default"/>
                <w:color w:val="auto"/>
                <w:szCs w:val="21"/>
                <w:highlight w:val="none"/>
              </w:rPr>
            </w:pPr>
            <w:r>
              <w:rPr>
                <w:rFonts w:hint="default"/>
                <w:color w:val="auto"/>
                <w:szCs w:val="21"/>
                <w:highlight w:val="none"/>
              </w:rPr>
              <w:t>曝气生物滤池进水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5A3FE1FB">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1059722B">
            <w:pPr>
              <w:pStyle w:val="789"/>
              <w:rPr>
                <w:rFonts w:hint="default"/>
                <w:color w:val="auto"/>
                <w:szCs w:val="21"/>
                <w:highlight w:val="none"/>
              </w:rPr>
            </w:pPr>
            <w:r>
              <w:rPr>
                <w:rFonts w:hint="default"/>
                <w:color w:val="auto"/>
                <w:szCs w:val="21"/>
                <w:highlight w:val="none"/>
              </w:rPr>
              <w:t>80</w:t>
            </w:r>
          </w:p>
        </w:tc>
        <w:tc>
          <w:tcPr>
            <w:tcW w:w="526" w:type="pct"/>
            <w:tcBorders>
              <w:top w:val="single" w:color="000000" w:sz="2" w:space="0"/>
              <w:left w:val="single" w:color="000000" w:sz="2" w:space="0"/>
              <w:bottom w:val="single" w:color="000000" w:sz="2" w:space="0"/>
              <w:right w:val="single" w:color="000000" w:sz="2" w:space="0"/>
            </w:tcBorders>
            <w:vAlign w:val="center"/>
          </w:tcPr>
          <w:p w14:paraId="44DAC4FB">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0559F622">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024E26C6">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347B8DF5">
            <w:pPr>
              <w:pStyle w:val="789"/>
              <w:rPr>
                <w:rFonts w:hint="default"/>
                <w:color w:val="auto"/>
                <w:szCs w:val="21"/>
                <w:highlight w:val="none"/>
              </w:rPr>
            </w:pPr>
            <w:r>
              <w:rPr>
                <w:rFonts w:hint="default"/>
                <w:color w:val="auto"/>
                <w:szCs w:val="21"/>
                <w:highlight w:val="none"/>
              </w:rPr>
              <w:t>14</w:t>
            </w:r>
          </w:p>
        </w:tc>
        <w:tc>
          <w:tcPr>
            <w:tcW w:w="304" w:type="pct"/>
            <w:tcBorders>
              <w:top w:val="single" w:color="000000" w:sz="2" w:space="0"/>
              <w:left w:val="single" w:color="000000" w:sz="2" w:space="0"/>
              <w:bottom w:val="single" w:color="000000" w:sz="2" w:space="0"/>
              <w:right w:val="single" w:color="000000" w:sz="2" w:space="0"/>
            </w:tcBorders>
            <w:vAlign w:val="center"/>
          </w:tcPr>
          <w:p w14:paraId="7FAA205D">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5C3F5F14">
            <w:pPr>
              <w:pStyle w:val="789"/>
              <w:rPr>
                <w:rFonts w:hint="default"/>
                <w:color w:val="auto"/>
                <w:szCs w:val="21"/>
                <w:highlight w:val="none"/>
              </w:rPr>
            </w:pPr>
            <w:r>
              <w:rPr>
                <w:rFonts w:hint="default"/>
                <w:color w:val="auto"/>
                <w:szCs w:val="21"/>
                <w:highlight w:val="none"/>
              </w:rPr>
              <w:t>10533</w:t>
            </w:r>
          </w:p>
        </w:tc>
        <w:tc>
          <w:tcPr>
            <w:tcW w:w="452" w:type="pct"/>
            <w:tcBorders>
              <w:top w:val="single" w:color="000000" w:sz="2" w:space="0"/>
              <w:left w:val="single" w:color="000000" w:sz="2" w:space="0"/>
              <w:bottom w:val="single" w:color="000000" w:sz="2" w:space="0"/>
              <w:right w:val="single" w:color="000000" w:sz="2" w:space="0"/>
            </w:tcBorders>
            <w:vAlign w:val="center"/>
          </w:tcPr>
          <w:p w14:paraId="128C4436">
            <w:pPr>
              <w:pStyle w:val="789"/>
              <w:rPr>
                <w:rFonts w:hint="default"/>
                <w:color w:val="auto"/>
                <w:szCs w:val="21"/>
                <w:highlight w:val="none"/>
              </w:rPr>
            </w:pPr>
            <w:r>
              <w:rPr>
                <w:rFonts w:hint="default"/>
                <w:color w:val="auto"/>
                <w:szCs w:val="21"/>
                <w:highlight w:val="none"/>
              </w:rPr>
              <w:t>198</w:t>
            </w:r>
          </w:p>
        </w:tc>
      </w:tr>
      <w:tr w14:paraId="0DDB08C6">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10FC741C">
            <w:pPr>
              <w:pStyle w:val="789"/>
              <w:rPr>
                <w:rFonts w:hint="default"/>
                <w:color w:val="auto"/>
                <w:szCs w:val="21"/>
                <w:highlight w:val="none"/>
              </w:rPr>
            </w:pPr>
            <w:r>
              <w:rPr>
                <w:rFonts w:hint="default"/>
                <w:color w:val="auto"/>
                <w:szCs w:val="21"/>
                <w:highlight w:val="none"/>
              </w:rPr>
              <w:t>曝气生物滤池出水</w:t>
            </w:r>
          </w:p>
        </w:tc>
        <w:tc>
          <w:tcPr>
            <w:tcW w:w="522" w:type="pct"/>
            <w:tcBorders>
              <w:top w:val="single" w:color="000000" w:sz="2" w:space="0"/>
              <w:left w:val="single" w:color="000000" w:sz="2" w:space="0"/>
              <w:bottom w:val="single" w:color="000000" w:sz="2" w:space="0"/>
              <w:right w:val="single" w:color="000000" w:sz="2" w:space="0"/>
            </w:tcBorders>
            <w:vAlign w:val="center"/>
          </w:tcPr>
          <w:p w14:paraId="64250D8E">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1A5FF424">
            <w:pPr>
              <w:pStyle w:val="789"/>
              <w:rPr>
                <w:rFonts w:hint="default"/>
                <w:color w:val="auto"/>
                <w:szCs w:val="21"/>
                <w:highlight w:val="none"/>
              </w:rPr>
            </w:pPr>
            <w:r>
              <w:rPr>
                <w:rFonts w:hint="default"/>
                <w:color w:val="auto"/>
                <w:szCs w:val="21"/>
                <w:highlight w:val="none"/>
              </w:rPr>
              <w:t>44</w:t>
            </w:r>
          </w:p>
        </w:tc>
        <w:tc>
          <w:tcPr>
            <w:tcW w:w="526" w:type="pct"/>
            <w:tcBorders>
              <w:top w:val="single" w:color="000000" w:sz="2" w:space="0"/>
              <w:left w:val="single" w:color="000000" w:sz="2" w:space="0"/>
              <w:bottom w:val="single" w:color="000000" w:sz="2" w:space="0"/>
              <w:right w:val="single" w:color="000000" w:sz="2" w:space="0"/>
            </w:tcBorders>
            <w:vAlign w:val="center"/>
          </w:tcPr>
          <w:p w14:paraId="0D2A4BB8">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309C7F78">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6139D472">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7AF7580A">
            <w:pPr>
              <w:pStyle w:val="789"/>
              <w:rPr>
                <w:rFonts w:hint="default"/>
                <w:color w:val="auto"/>
                <w:szCs w:val="21"/>
                <w:highlight w:val="none"/>
              </w:rPr>
            </w:pPr>
            <w:r>
              <w:rPr>
                <w:rFonts w:hint="default"/>
                <w:color w:val="auto"/>
                <w:szCs w:val="21"/>
                <w:highlight w:val="none"/>
              </w:rPr>
              <w:t>10</w:t>
            </w:r>
          </w:p>
        </w:tc>
        <w:tc>
          <w:tcPr>
            <w:tcW w:w="304" w:type="pct"/>
            <w:tcBorders>
              <w:top w:val="single" w:color="000000" w:sz="2" w:space="0"/>
              <w:left w:val="single" w:color="000000" w:sz="2" w:space="0"/>
              <w:bottom w:val="single" w:color="000000" w:sz="2" w:space="0"/>
              <w:right w:val="single" w:color="000000" w:sz="2" w:space="0"/>
            </w:tcBorders>
            <w:vAlign w:val="center"/>
          </w:tcPr>
          <w:p w14:paraId="3DD1218F">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24A00A8A">
            <w:pPr>
              <w:pStyle w:val="789"/>
              <w:rPr>
                <w:rFonts w:hint="default"/>
                <w:color w:val="auto"/>
                <w:szCs w:val="21"/>
                <w:highlight w:val="none"/>
              </w:rPr>
            </w:pPr>
            <w:r>
              <w:rPr>
                <w:rFonts w:hint="default"/>
                <w:color w:val="auto"/>
                <w:szCs w:val="21"/>
                <w:highlight w:val="none"/>
              </w:rPr>
              <w:t>10533</w:t>
            </w:r>
          </w:p>
        </w:tc>
        <w:tc>
          <w:tcPr>
            <w:tcW w:w="452" w:type="pct"/>
            <w:tcBorders>
              <w:top w:val="single" w:color="000000" w:sz="2" w:space="0"/>
              <w:left w:val="single" w:color="000000" w:sz="2" w:space="0"/>
              <w:bottom w:val="single" w:color="000000" w:sz="2" w:space="0"/>
              <w:right w:val="single" w:color="000000" w:sz="2" w:space="0"/>
            </w:tcBorders>
            <w:vAlign w:val="center"/>
          </w:tcPr>
          <w:p w14:paraId="6F348BF7">
            <w:pPr>
              <w:pStyle w:val="789"/>
              <w:rPr>
                <w:rFonts w:hint="default"/>
                <w:color w:val="auto"/>
                <w:szCs w:val="21"/>
                <w:highlight w:val="none"/>
              </w:rPr>
            </w:pPr>
            <w:r>
              <w:rPr>
                <w:rFonts w:hint="default"/>
                <w:color w:val="auto"/>
                <w:szCs w:val="21"/>
                <w:highlight w:val="none"/>
              </w:rPr>
              <w:t>198</w:t>
            </w:r>
          </w:p>
        </w:tc>
      </w:tr>
      <w:tr w14:paraId="02B2889D">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662CBF94">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500A8327">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07869682">
            <w:pPr>
              <w:pStyle w:val="789"/>
              <w:rPr>
                <w:rFonts w:hint="default"/>
                <w:color w:val="auto"/>
                <w:szCs w:val="21"/>
                <w:highlight w:val="none"/>
              </w:rPr>
            </w:pPr>
            <w:r>
              <w:rPr>
                <w:rFonts w:hint="default"/>
                <w:color w:val="auto"/>
                <w:szCs w:val="21"/>
                <w:highlight w:val="none"/>
              </w:rPr>
              <w:t>45.0%</w:t>
            </w:r>
          </w:p>
        </w:tc>
        <w:tc>
          <w:tcPr>
            <w:tcW w:w="526" w:type="pct"/>
            <w:tcBorders>
              <w:top w:val="single" w:color="000000" w:sz="2" w:space="0"/>
              <w:left w:val="single" w:color="000000" w:sz="2" w:space="0"/>
              <w:bottom w:val="single" w:color="000000" w:sz="2" w:space="0"/>
              <w:right w:val="single" w:color="000000" w:sz="2" w:space="0"/>
            </w:tcBorders>
            <w:vAlign w:val="center"/>
          </w:tcPr>
          <w:p w14:paraId="4184EFAC">
            <w:pPr>
              <w:pStyle w:val="789"/>
              <w:rPr>
                <w:rFonts w:hint="default"/>
                <w:color w:val="auto"/>
                <w:szCs w:val="21"/>
                <w:highlight w:val="none"/>
              </w:rPr>
            </w:pPr>
            <w:r>
              <w:rPr>
                <w:rFonts w:hint="default"/>
                <w:color w:val="auto"/>
                <w:szCs w:val="21"/>
                <w:highlight w:val="none"/>
              </w:rPr>
              <w:t>0%</w:t>
            </w:r>
          </w:p>
        </w:tc>
        <w:tc>
          <w:tcPr>
            <w:tcW w:w="472" w:type="pct"/>
            <w:tcBorders>
              <w:top w:val="single" w:color="000000" w:sz="2" w:space="0"/>
              <w:left w:val="single" w:color="000000" w:sz="2" w:space="0"/>
              <w:bottom w:val="single" w:color="000000" w:sz="2" w:space="0"/>
              <w:right w:val="single" w:color="000000" w:sz="2" w:space="0"/>
            </w:tcBorders>
            <w:vAlign w:val="center"/>
          </w:tcPr>
          <w:p w14:paraId="4EAE5495">
            <w:pPr>
              <w:pStyle w:val="789"/>
              <w:rPr>
                <w:rFonts w:hint="default"/>
                <w:color w:val="auto"/>
                <w:szCs w:val="21"/>
                <w:highlight w:val="none"/>
              </w:rPr>
            </w:pPr>
            <w:r>
              <w:rPr>
                <w:rFonts w:hint="default"/>
                <w:color w:val="auto"/>
                <w:szCs w:val="21"/>
                <w:highlight w:val="none"/>
              </w:rPr>
              <w:t>0.0%</w:t>
            </w:r>
          </w:p>
        </w:tc>
        <w:tc>
          <w:tcPr>
            <w:tcW w:w="551" w:type="pct"/>
            <w:tcBorders>
              <w:top w:val="single" w:color="000000" w:sz="2" w:space="0"/>
              <w:left w:val="single" w:color="000000" w:sz="2" w:space="0"/>
              <w:bottom w:val="single" w:color="000000" w:sz="2" w:space="0"/>
              <w:right w:val="single" w:color="000000" w:sz="2" w:space="0"/>
            </w:tcBorders>
            <w:vAlign w:val="center"/>
          </w:tcPr>
          <w:p w14:paraId="3973BDD9">
            <w:pPr>
              <w:pStyle w:val="789"/>
              <w:rPr>
                <w:rFonts w:hint="default"/>
                <w:color w:val="auto"/>
                <w:szCs w:val="21"/>
                <w:highlight w:val="none"/>
              </w:rPr>
            </w:pPr>
            <w:r>
              <w:rPr>
                <w:rFonts w:hint="default"/>
                <w:color w:val="auto"/>
                <w:szCs w:val="21"/>
                <w:highlight w:val="none"/>
              </w:rPr>
              <w:t>0.0%</w:t>
            </w:r>
          </w:p>
        </w:tc>
        <w:tc>
          <w:tcPr>
            <w:tcW w:w="396" w:type="pct"/>
            <w:tcBorders>
              <w:top w:val="single" w:color="000000" w:sz="2" w:space="0"/>
              <w:left w:val="single" w:color="000000" w:sz="2" w:space="0"/>
              <w:bottom w:val="single" w:color="000000" w:sz="2" w:space="0"/>
              <w:right w:val="single" w:color="000000" w:sz="2" w:space="0"/>
            </w:tcBorders>
            <w:vAlign w:val="center"/>
          </w:tcPr>
          <w:p w14:paraId="07B36994">
            <w:pPr>
              <w:pStyle w:val="789"/>
              <w:rPr>
                <w:rFonts w:hint="default"/>
                <w:color w:val="auto"/>
                <w:szCs w:val="21"/>
                <w:highlight w:val="none"/>
              </w:rPr>
            </w:pPr>
            <w:r>
              <w:rPr>
                <w:rFonts w:hint="default"/>
                <w:color w:val="auto"/>
                <w:szCs w:val="21"/>
                <w:highlight w:val="none"/>
              </w:rPr>
              <w:t>30.0%</w:t>
            </w:r>
          </w:p>
        </w:tc>
        <w:tc>
          <w:tcPr>
            <w:tcW w:w="304" w:type="pct"/>
            <w:tcBorders>
              <w:top w:val="single" w:color="000000" w:sz="2" w:space="0"/>
              <w:left w:val="single" w:color="000000" w:sz="2" w:space="0"/>
              <w:bottom w:val="single" w:color="000000" w:sz="2" w:space="0"/>
              <w:right w:val="single" w:color="000000" w:sz="2" w:space="0"/>
            </w:tcBorders>
            <w:vAlign w:val="center"/>
          </w:tcPr>
          <w:p w14:paraId="2FBF17F4">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25E9D2E4">
            <w:pPr>
              <w:pStyle w:val="789"/>
              <w:rPr>
                <w:rFonts w:hint="default"/>
                <w:color w:val="auto"/>
                <w:szCs w:val="21"/>
                <w:highlight w:val="none"/>
              </w:rPr>
            </w:pPr>
            <w:r>
              <w:rPr>
                <w:rFonts w:hint="default"/>
                <w:color w:val="auto"/>
                <w:szCs w:val="21"/>
                <w:highlight w:val="none"/>
              </w:rPr>
              <w:t>0.0%</w:t>
            </w:r>
          </w:p>
        </w:tc>
        <w:tc>
          <w:tcPr>
            <w:tcW w:w="452" w:type="pct"/>
            <w:tcBorders>
              <w:top w:val="single" w:color="000000" w:sz="2" w:space="0"/>
              <w:left w:val="single" w:color="000000" w:sz="2" w:space="0"/>
              <w:bottom w:val="single" w:color="000000" w:sz="2" w:space="0"/>
              <w:right w:val="single" w:color="000000" w:sz="2" w:space="0"/>
            </w:tcBorders>
            <w:vAlign w:val="center"/>
          </w:tcPr>
          <w:p w14:paraId="0C13375C">
            <w:pPr>
              <w:pStyle w:val="789"/>
              <w:rPr>
                <w:rFonts w:hint="default"/>
                <w:color w:val="auto"/>
                <w:szCs w:val="21"/>
                <w:highlight w:val="none"/>
              </w:rPr>
            </w:pPr>
            <w:r>
              <w:rPr>
                <w:rFonts w:hint="default"/>
                <w:color w:val="auto"/>
                <w:szCs w:val="21"/>
                <w:highlight w:val="none"/>
              </w:rPr>
              <w:t>0.0%</w:t>
            </w:r>
          </w:p>
        </w:tc>
      </w:tr>
      <w:tr w14:paraId="538FC7D4">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289222CA">
            <w:pPr>
              <w:pStyle w:val="789"/>
              <w:rPr>
                <w:rFonts w:hint="default"/>
                <w:color w:val="auto"/>
                <w:szCs w:val="21"/>
                <w:highlight w:val="none"/>
              </w:rPr>
            </w:pPr>
            <w:r>
              <w:rPr>
                <w:rFonts w:hint="default"/>
                <w:color w:val="auto"/>
                <w:szCs w:val="21"/>
                <w:highlight w:val="none"/>
              </w:rPr>
              <w:t>膜系统进水</w:t>
            </w:r>
          </w:p>
        </w:tc>
        <w:tc>
          <w:tcPr>
            <w:tcW w:w="522" w:type="pct"/>
            <w:tcBorders>
              <w:top w:val="single" w:color="000000" w:sz="2" w:space="0"/>
              <w:left w:val="single" w:color="000000" w:sz="2" w:space="0"/>
              <w:bottom w:val="single" w:color="000000" w:sz="2" w:space="0"/>
              <w:right w:val="single" w:color="000000" w:sz="2" w:space="0"/>
            </w:tcBorders>
            <w:vAlign w:val="center"/>
          </w:tcPr>
          <w:p w14:paraId="7DA56F48">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36E5515B">
            <w:pPr>
              <w:pStyle w:val="789"/>
              <w:rPr>
                <w:rFonts w:hint="default"/>
                <w:color w:val="auto"/>
                <w:szCs w:val="21"/>
                <w:highlight w:val="none"/>
              </w:rPr>
            </w:pPr>
            <w:r>
              <w:rPr>
                <w:rFonts w:hint="default"/>
                <w:color w:val="auto"/>
                <w:szCs w:val="21"/>
                <w:highlight w:val="none"/>
              </w:rPr>
              <w:t>44</w:t>
            </w:r>
          </w:p>
        </w:tc>
        <w:tc>
          <w:tcPr>
            <w:tcW w:w="526" w:type="pct"/>
            <w:tcBorders>
              <w:top w:val="single" w:color="000000" w:sz="2" w:space="0"/>
              <w:left w:val="single" w:color="000000" w:sz="2" w:space="0"/>
              <w:bottom w:val="single" w:color="000000" w:sz="2" w:space="0"/>
              <w:right w:val="single" w:color="000000" w:sz="2" w:space="0"/>
            </w:tcBorders>
            <w:vAlign w:val="center"/>
          </w:tcPr>
          <w:p w14:paraId="4B313BC0">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7340EE63">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08A251B1">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4ABCE461">
            <w:pPr>
              <w:pStyle w:val="789"/>
              <w:rPr>
                <w:rFonts w:hint="default"/>
                <w:color w:val="auto"/>
                <w:szCs w:val="21"/>
                <w:highlight w:val="none"/>
              </w:rPr>
            </w:pPr>
            <w:r>
              <w:rPr>
                <w:rFonts w:hint="default"/>
                <w:color w:val="auto"/>
                <w:szCs w:val="21"/>
                <w:highlight w:val="none"/>
              </w:rPr>
              <w:t>10</w:t>
            </w:r>
          </w:p>
        </w:tc>
        <w:tc>
          <w:tcPr>
            <w:tcW w:w="304" w:type="pct"/>
            <w:tcBorders>
              <w:top w:val="single" w:color="000000" w:sz="2" w:space="0"/>
              <w:left w:val="single" w:color="000000" w:sz="2" w:space="0"/>
              <w:bottom w:val="single" w:color="000000" w:sz="2" w:space="0"/>
              <w:right w:val="single" w:color="000000" w:sz="2" w:space="0"/>
            </w:tcBorders>
            <w:vAlign w:val="center"/>
          </w:tcPr>
          <w:p w14:paraId="38A908ED">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3FDA7A30">
            <w:pPr>
              <w:pStyle w:val="789"/>
              <w:rPr>
                <w:rFonts w:hint="default"/>
                <w:color w:val="auto"/>
                <w:szCs w:val="21"/>
                <w:highlight w:val="none"/>
              </w:rPr>
            </w:pPr>
            <w:r>
              <w:rPr>
                <w:rFonts w:hint="default"/>
                <w:color w:val="auto"/>
                <w:szCs w:val="21"/>
                <w:highlight w:val="none"/>
              </w:rPr>
              <w:t>10533</w:t>
            </w:r>
          </w:p>
        </w:tc>
        <w:tc>
          <w:tcPr>
            <w:tcW w:w="452" w:type="pct"/>
            <w:tcBorders>
              <w:top w:val="single" w:color="000000" w:sz="2" w:space="0"/>
              <w:left w:val="single" w:color="000000" w:sz="2" w:space="0"/>
              <w:bottom w:val="single" w:color="000000" w:sz="2" w:space="0"/>
              <w:right w:val="single" w:color="000000" w:sz="2" w:space="0"/>
            </w:tcBorders>
            <w:vAlign w:val="center"/>
          </w:tcPr>
          <w:p w14:paraId="492F9619">
            <w:pPr>
              <w:pStyle w:val="789"/>
              <w:rPr>
                <w:rFonts w:hint="default"/>
                <w:color w:val="auto"/>
                <w:szCs w:val="21"/>
                <w:highlight w:val="none"/>
              </w:rPr>
            </w:pPr>
            <w:r>
              <w:rPr>
                <w:rFonts w:hint="default"/>
                <w:color w:val="auto"/>
                <w:szCs w:val="21"/>
                <w:highlight w:val="none"/>
              </w:rPr>
              <w:t>198</w:t>
            </w:r>
          </w:p>
        </w:tc>
      </w:tr>
      <w:tr w14:paraId="30000A42">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19C5385C">
            <w:pPr>
              <w:pStyle w:val="789"/>
              <w:rPr>
                <w:rFonts w:hint="default"/>
                <w:color w:val="auto"/>
                <w:szCs w:val="21"/>
                <w:highlight w:val="none"/>
              </w:rPr>
            </w:pPr>
            <w:r>
              <w:rPr>
                <w:rFonts w:hint="default"/>
                <w:color w:val="auto"/>
                <w:szCs w:val="21"/>
                <w:highlight w:val="none"/>
              </w:rPr>
              <w:t>膜系统产水</w:t>
            </w:r>
          </w:p>
        </w:tc>
        <w:tc>
          <w:tcPr>
            <w:tcW w:w="522" w:type="pct"/>
            <w:tcBorders>
              <w:top w:val="single" w:color="000000" w:sz="2" w:space="0"/>
              <w:left w:val="single" w:color="000000" w:sz="2" w:space="0"/>
              <w:bottom w:val="single" w:color="000000" w:sz="2" w:space="0"/>
              <w:right w:val="single" w:color="000000" w:sz="2" w:space="0"/>
            </w:tcBorders>
            <w:vAlign w:val="center"/>
          </w:tcPr>
          <w:p w14:paraId="4C9B06C8">
            <w:pPr>
              <w:pStyle w:val="789"/>
              <w:rPr>
                <w:rFonts w:hint="default"/>
                <w:color w:val="auto"/>
                <w:szCs w:val="21"/>
                <w:highlight w:val="none"/>
              </w:rPr>
            </w:pPr>
            <w:r>
              <w:rPr>
                <w:rFonts w:hint="default"/>
                <w:color w:val="auto"/>
                <w:szCs w:val="21"/>
                <w:highlight w:val="none"/>
              </w:rPr>
              <w:t>7000</w:t>
            </w:r>
          </w:p>
        </w:tc>
        <w:tc>
          <w:tcPr>
            <w:tcW w:w="670" w:type="pct"/>
            <w:tcBorders>
              <w:top w:val="single" w:color="000000" w:sz="2" w:space="0"/>
              <w:left w:val="single" w:color="000000" w:sz="2" w:space="0"/>
              <w:bottom w:val="single" w:color="000000" w:sz="2" w:space="0"/>
              <w:right w:val="single" w:color="000000" w:sz="2" w:space="0"/>
            </w:tcBorders>
            <w:vAlign w:val="center"/>
          </w:tcPr>
          <w:p w14:paraId="7D2AD7A0">
            <w:pPr>
              <w:pStyle w:val="789"/>
              <w:rPr>
                <w:rFonts w:hint="default"/>
                <w:color w:val="auto"/>
                <w:szCs w:val="21"/>
                <w:highlight w:val="none"/>
              </w:rPr>
            </w:pPr>
            <w:r>
              <w:rPr>
                <w:rFonts w:hint="default"/>
                <w:color w:val="auto"/>
                <w:szCs w:val="21"/>
                <w:highlight w:val="none"/>
              </w:rPr>
              <w:t>44</w:t>
            </w:r>
          </w:p>
        </w:tc>
        <w:tc>
          <w:tcPr>
            <w:tcW w:w="526" w:type="pct"/>
            <w:tcBorders>
              <w:top w:val="single" w:color="000000" w:sz="2" w:space="0"/>
              <w:left w:val="single" w:color="000000" w:sz="2" w:space="0"/>
              <w:bottom w:val="single" w:color="000000" w:sz="2" w:space="0"/>
              <w:right w:val="single" w:color="000000" w:sz="2" w:space="0"/>
            </w:tcBorders>
            <w:vAlign w:val="center"/>
          </w:tcPr>
          <w:p w14:paraId="42656D5E">
            <w:pPr>
              <w:pStyle w:val="789"/>
              <w:rPr>
                <w:rFonts w:hint="default"/>
                <w:color w:val="auto"/>
                <w:szCs w:val="21"/>
                <w:highlight w:val="none"/>
              </w:rPr>
            </w:pPr>
            <w:r>
              <w:rPr>
                <w:rFonts w:hint="default"/>
                <w:color w:val="auto"/>
                <w:szCs w:val="21"/>
                <w:highlight w:val="none"/>
              </w:rPr>
              <w:t>1</w:t>
            </w:r>
          </w:p>
        </w:tc>
        <w:tc>
          <w:tcPr>
            <w:tcW w:w="472" w:type="pct"/>
            <w:tcBorders>
              <w:top w:val="single" w:color="000000" w:sz="2" w:space="0"/>
              <w:left w:val="single" w:color="000000" w:sz="2" w:space="0"/>
              <w:bottom w:val="single" w:color="000000" w:sz="2" w:space="0"/>
              <w:right w:val="single" w:color="000000" w:sz="2" w:space="0"/>
            </w:tcBorders>
            <w:vAlign w:val="center"/>
          </w:tcPr>
          <w:p w14:paraId="264DDBEE">
            <w:pPr>
              <w:pStyle w:val="789"/>
              <w:rPr>
                <w:rFonts w:hint="default"/>
                <w:color w:val="auto"/>
                <w:szCs w:val="21"/>
                <w:highlight w:val="none"/>
              </w:rPr>
            </w:pPr>
            <w:r>
              <w:rPr>
                <w:rFonts w:hint="default"/>
                <w:color w:val="auto"/>
                <w:szCs w:val="21"/>
                <w:highlight w:val="none"/>
              </w:rPr>
              <w:t>13</w:t>
            </w:r>
          </w:p>
        </w:tc>
        <w:tc>
          <w:tcPr>
            <w:tcW w:w="551" w:type="pct"/>
            <w:tcBorders>
              <w:top w:val="single" w:color="000000" w:sz="2" w:space="0"/>
              <w:left w:val="single" w:color="000000" w:sz="2" w:space="0"/>
              <w:bottom w:val="single" w:color="000000" w:sz="2" w:space="0"/>
              <w:right w:val="single" w:color="000000" w:sz="2" w:space="0"/>
            </w:tcBorders>
            <w:vAlign w:val="center"/>
          </w:tcPr>
          <w:p w14:paraId="37543E30">
            <w:pPr>
              <w:pStyle w:val="789"/>
              <w:rPr>
                <w:rFonts w:hint="default"/>
                <w:color w:val="auto"/>
                <w:szCs w:val="21"/>
                <w:highlight w:val="none"/>
              </w:rPr>
            </w:pPr>
            <w:r>
              <w:rPr>
                <w:rFonts w:hint="default"/>
                <w:color w:val="auto"/>
                <w:szCs w:val="21"/>
                <w:highlight w:val="none"/>
              </w:rPr>
              <w:t>0.4</w:t>
            </w:r>
          </w:p>
        </w:tc>
        <w:tc>
          <w:tcPr>
            <w:tcW w:w="396" w:type="pct"/>
            <w:tcBorders>
              <w:top w:val="single" w:color="000000" w:sz="2" w:space="0"/>
              <w:left w:val="single" w:color="000000" w:sz="2" w:space="0"/>
              <w:bottom w:val="single" w:color="000000" w:sz="2" w:space="0"/>
              <w:right w:val="single" w:color="000000" w:sz="2" w:space="0"/>
            </w:tcBorders>
            <w:vAlign w:val="center"/>
          </w:tcPr>
          <w:p w14:paraId="194A10FF">
            <w:pPr>
              <w:pStyle w:val="789"/>
              <w:rPr>
                <w:rFonts w:hint="default"/>
                <w:color w:val="auto"/>
                <w:szCs w:val="21"/>
                <w:highlight w:val="none"/>
              </w:rPr>
            </w:pPr>
            <w:r>
              <w:rPr>
                <w:rFonts w:hint="default"/>
                <w:color w:val="auto"/>
                <w:szCs w:val="21"/>
                <w:highlight w:val="none"/>
              </w:rPr>
              <w:t>5</w:t>
            </w:r>
          </w:p>
        </w:tc>
        <w:tc>
          <w:tcPr>
            <w:tcW w:w="304" w:type="pct"/>
            <w:tcBorders>
              <w:top w:val="single" w:color="000000" w:sz="2" w:space="0"/>
              <w:left w:val="single" w:color="000000" w:sz="2" w:space="0"/>
              <w:bottom w:val="single" w:color="000000" w:sz="2" w:space="0"/>
              <w:right w:val="single" w:color="000000" w:sz="2" w:space="0"/>
            </w:tcBorders>
            <w:vAlign w:val="center"/>
          </w:tcPr>
          <w:p w14:paraId="6C5EA88A">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24B1B3ED">
            <w:pPr>
              <w:pStyle w:val="789"/>
              <w:rPr>
                <w:rFonts w:hint="default"/>
                <w:color w:val="auto"/>
                <w:szCs w:val="21"/>
                <w:highlight w:val="none"/>
              </w:rPr>
            </w:pPr>
            <w:r>
              <w:rPr>
                <w:color w:val="auto"/>
                <w:szCs w:val="21"/>
                <w:highlight w:val="none"/>
              </w:rPr>
              <w:t>828</w:t>
            </w:r>
          </w:p>
        </w:tc>
        <w:tc>
          <w:tcPr>
            <w:tcW w:w="452" w:type="pct"/>
            <w:tcBorders>
              <w:top w:val="single" w:color="000000" w:sz="2" w:space="0"/>
              <w:left w:val="single" w:color="000000" w:sz="2" w:space="0"/>
              <w:bottom w:val="single" w:color="000000" w:sz="2" w:space="0"/>
              <w:right w:val="single" w:color="000000" w:sz="2" w:space="0"/>
            </w:tcBorders>
            <w:vAlign w:val="center"/>
          </w:tcPr>
          <w:p w14:paraId="6D90ED51">
            <w:pPr>
              <w:pStyle w:val="789"/>
              <w:rPr>
                <w:rFonts w:hint="default"/>
                <w:color w:val="auto"/>
                <w:szCs w:val="21"/>
                <w:highlight w:val="none"/>
              </w:rPr>
            </w:pPr>
            <w:r>
              <w:rPr>
                <w:rFonts w:hint="default"/>
                <w:color w:val="auto"/>
                <w:szCs w:val="21"/>
                <w:highlight w:val="none"/>
              </w:rPr>
              <w:t>198</w:t>
            </w:r>
          </w:p>
        </w:tc>
      </w:tr>
      <w:tr w14:paraId="0B577B93">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67CF9EDE">
            <w:pPr>
              <w:pStyle w:val="789"/>
              <w:rPr>
                <w:rFonts w:hint="default"/>
                <w:color w:val="auto"/>
                <w:szCs w:val="21"/>
                <w:highlight w:val="none"/>
              </w:rPr>
            </w:pPr>
            <w:r>
              <w:rPr>
                <w:rFonts w:hint="default"/>
                <w:color w:val="auto"/>
                <w:szCs w:val="21"/>
                <w:highlight w:val="none"/>
              </w:rPr>
              <w:t>去除率</w:t>
            </w:r>
          </w:p>
        </w:tc>
        <w:tc>
          <w:tcPr>
            <w:tcW w:w="522" w:type="pct"/>
            <w:tcBorders>
              <w:top w:val="single" w:color="000000" w:sz="2" w:space="0"/>
              <w:left w:val="single" w:color="000000" w:sz="2" w:space="0"/>
              <w:bottom w:val="single" w:color="000000" w:sz="2" w:space="0"/>
              <w:right w:val="single" w:color="000000" w:sz="2" w:space="0"/>
            </w:tcBorders>
            <w:vAlign w:val="center"/>
          </w:tcPr>
          <w:p w14:paraId="097AA887">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1230B297">
            <w:pPr>
              <w:pStyle w:val="789"/>
              <w:rPr>
                <w:rFonts w:hint="default"/>
                <w:color w:val="auto"/>
                <w:szCs w:val="21"/>
                <w:highlight w:val="none"/>
              </w:rPr>
            </w:pPr>
            <w:r>
              <w:rPr>
                <w:rFonts w:hint="default"/>
                <w:color w:val="auto"/>
                <w:szCs w:val="21"/>
                <w:highlight w:val="none"/>
              </w:rPr>
              <w:t>0.0%</w:t>
            </w:r>
          </w:p>
        </w:tc>
        <w:tc>
          <w:tcPr>
            <w:tcW w:w="526" w:type="pct"/>
            <w:tcBorders>
              <w:top w:val="single" w:color="000000" w:sz="2" w:space="0"/>
              <w:left w:val="single" w:color="000000" w:sz="2" w:space="0"/>
              <w:bottom w:val="single" w:color="000000" w:sz="2" w:space="0"/>
              <w:right w:val="single" w:color="000000" w:sz="2" w:space="0"/>
            </w:tcBorders>
            <w:vAlign w:val="center"/>
          </w:tcPr>
          <w:p w14:paraId="78CC2D7B">
            <w:pPr>
              <w:pStyle w:val="789"/>
              <w:rPr>
                <w:rFonts w:hint="default"/>
                <w:color w:val="auto"/>
                <w:szCs w:val="21"/>
                <w:highlight w:val="none"/>
              </w:rPr>
            </w:pPr>
            <w:r>
              <w:rPr>
                <w:rFonts w:hint="default"/>
                <w:color w:val="auto"/>
                <w:szCs w:val="21"/>
                <w:highlight w:val="none"/>
              </w:rPr>
              <w:t>0.0%</w:t>
            </w:r>
          </w:p>
        </w:tc>
        <w:tc>
          <w:tcPr>
            <w:tcW w:w="472" w:type="pct"/>
            <w:tcBorders>
              <w:top w:val="single" w:color="000000" w:sz="2" w:space="0"/>
              <w:left w:val="single" w:color="000000" w:sz="2" w:space="0"/>
              <w:bottom w:val="single" w:color="000000" w:sz="2" w:space="0"/>
              <w:right w:val="single" w:color="000000" w:sz="2" w:space="0"/>
            </w:tcBorders>
            <w:vAlign w:val="center"/>
          </w:tcPr>
          <w:p w14:paraId="7C5398F4">
            <w:pPr>
              <w:pStyle w:val="789"/>
              <w:rPr>
                <w:rFonts w:hint="default"/>
                <w:color w:val="auto"/>
                <w:szCs w:val="21"/>
                <w:highlight w:val="none"/>
              </w:rPr>
            </w:pPr>
            <w:r>
              <w:rPr>
                <w:rFonts w:hint="default"/>
                <w:color w:val="auto"/>
                <w:szCs w:val="21"/>
                <w:highlight w:val="none"/>
              </w:rPr>
              <w:t>0.0%</w:t>
            </w:r>
          </w:p>
        </w:tc>
        <w:tc>
          <w:tcPr>
            <w:tcW w:w="551" w:type="pct"/>
            <w:tcBorders>
              <w:top w:val="single" w:color="000000" w:sz="2" w:space="0"/>
              <w:left w:val="single" w:color="000000" w:sz="2" w:space="0"/>
              <w:bottom w:val="single" w:color="000000" w:sz="2" w:space="0"/>
              <w:right w:val="single" w:color="000000" w:sz="2" w:space="0"/>
            </w:tcBorders>
            <w:vAlign w:val="center"/>
          </w:tcPr>
          <w:p w14:paraId="13A21CA1">
            <w:pPr>
              <w:pStyle w:val="789"/>
              <w:rPr>
                <w:rFonts w:hint="default"/>
                <w:color w:val="auto"/>
                <w:szCs w:val="21"/>
                <w:highlight w:val="none"/>
              </w:rPr>
            </w:pPr>
            <w:r>
              <w:rPr>
                <w:rFonts w:hint="default"/>
                <w:color w:val="auto"/>
                <w:szCs w:val="21"/>
                <w:highlight w:val="none"/>
              </w:rPr>
              <w:t>0.0%</w:t>
            </w:r>
          </w:p>
        </w:tc>
        <w:tc>
          <w:tcPr>
            <w:tcW w:w="396" w:type="pct"/>
            <w:tcBorders>
              <w:top w:val="single" w:color="000000" w:sz="2" w:space="0"/>
              <w:left w:val="single" w:color="000000" w:sz="2" w:space="0"/>
              <w:bottom w:val="single" w:color="000000" w:sz="2" w:space="0"/>
              <w:right w:val="single" w:color="000000" w:sz="2" w:space="0"/>
            </w:tcBorders>
            <w:vAlign w:val="center"/>
          </w:tcPr>
          <w:p w14:paraId="53563332">
            <w:pPr>
              <w:pStyle w:val="789"/>
              <w:rPr>
                <w:rFonts w:hint="default"/>
                <w:color w:val="auto"/>
                <w:szCs w:val="21"/>
                <w:highlight w:val="none"/>
              </w:rPr>
            </w:pPr>
            <w:r>
              <w:rPr>
                <w:rFonts w:hint="default"/>
                <w:color w:val="auto"/>
                <w:szCs w:val="21"/>
                <w:highlight w:val="none"/>
              </w:rPr>
              <w:t>50.0%</w:t>
            </w:r>
          </w:p>
        </w:tc>
        <w:tc>
          <w:tcPr>
            <w:tcW w:w="304" w:type="pct"/>
            <w:tcBorders>
              <w:top w:val="single" w:color="000000" w:sz="2" w:space="0"/>
              <w:left w:val="single" w:color="000000" w:sz="2" w:space="0"/>
              <w:bottom w:val="single" w:color="000000" w:sz="2" w:space="0"/>
              <w:right w:val="single" w:color="000000" w:sz="2" w:space="0"/>
            </w:tcBorders>
            <w:vAlign w:val="center"/>
          </w:tcPr>
          <w:p w14:paraId="07EAB26E">
            <w:pPr>
              <w:pStyle w:val="789"/>
              <w:rPr>
                <w:rFonts w:hint="default"/>
                <w:color w:val="auto"/>
                <w:szCs w:val="21"/>
                <w:highlight w:val="none"/>
              </w:rPr>
            </w:pPr>
            <w:r>
              <w:rPr>
                <w:rFonts w:hint="default"/>
                <w:color w:val="auto"/>
                <w:szCs w:val="21"/>
                <w:highlight w:val="none"/>
              </w:rPr>
              <w:t>/</w:t>
            </w:r>
          </w:p>
        </w:tc>
        <w:tc>
          <w:tcPr>
            <w:tcW w:w="484" w:type="pct"/>
            <w:tcBorders>
              <w:top w:val="single" w:color="000000" w:sz="2" w:space="0"/>
              <w:left w:val="single" w:color="000000" w:sz="2" w:space="0"/>
              <w:bottom w:val="single" w:color="000000" w:sz="2" w:space="0"/>
              <w:right w:val="single" w:color="000000" w:sz="2" w:space="0"/>
            </w:tcBorders>
            <w:vAlign w:val="center"/>
          </w:tcPr>
          <w:p w14:paraId="4DA1DC5A">
            <w:pPr>
              <w:pStyle w:val="789"/>
              <w:rPr>
                <w:rFonts w:hint="default"/>
                <w:color w:val="auto"/>
                <w:szCs w:val="21"/>
                <w:highlight w:val="none"/>
              </w:rPr>
            </w:pPr>
            <w:r>
              <w:rPr>
                <w:rFonts w:hint="default"/>
                <w:color w:val="auto"/>
                <w:szCs w:val="21"/>
                <w:highlight w:val="none"/>
              </w:rPr>
              <w:t>9</w:t>
            </w:r>
            <w:r>
              <w:rPr>
                <w:color w:val="auto"/>
                <w:szCs w:val="21"/>
                <w:highlight w:val="none"/>
              </w:rPr>
              <w:t>2</w:t>
            </w:r>
            <w:r>
              <w:rPr>
                <w:rFonts w:hint="default"/>
                <w:color w:val="auto"/>
                <w:szCs w:val="21"/>
                <w:highlight w:val="none"/>
              </w:rPr>
              <w:t>.</w:t>
            </w:r>
            <w:r>
              <w:rPr>
                <w:color w:val="auto"/>
                <w:szCs w:val="21"/>
                <w:highlight w:val="none"/>
              </w:rPr>
              <w:t>1</w:t>
            </w:r>
            <w:r>
              <w:rPr>
                <w:rFonts w:hint="default"/>
                <w:color w:val="auto"/>
                <w:szCs w:val="21"/>
                <w:highlight w:val="none"/>
              </w:rPr>
              <w:t>%</w:t>
            </w:r>
          </w:p>
        </w:tc>
        <w:tc>
          <w:tcPr>
            <w:tcW w:w="452" w:type="pct"/>
            <w:tcBorders>
              <w:top w:val="single" w:color="000000" w:sz="2" w:space="0"/>
              <w:left w:val="single" w:color="000000" w:sz="2" w:space="0"/>
              <w:bottom w:val="single" w:color="000000" w:sz="2" w:space="0"/>
              <w:right w:val="single" w:color="000000" w:sz="2" w:space="0"/>
            </w:tcBorders>
            <w:vAlign w:val="center"/>
          </w:tcPr>
          <w:p w14:paraId="0EA5AF9E">
            <w:pPr>
              <w:pStyle w:val="789"/>
              <w:rPr>
                <w:rFonts w:hint="default"/>
                <w:color w:val="auto"/>
                <w:szCs w:val="21"/>
                <w:highlight w:val="none"/>
              </w:rPr>
            </w:pPr>
            <w:r>
              <w:rPr>
                <w:rFonts w:hint="default"/>
                <w:color w:val="auto"/>
                <w:szCs w:val="21"/>
                <w:highlight w:val="none"/>
              </w:rPr>
              <w:t>0.0%</w:t>
            </w:r>
          </w:p>
        </w:tc>
      </w:tr>
      <w:tr w14:paraId="18EAAE6E">
        <w:tblPrEx>
          <w:tblCellMar>
            <w:top w:w="0" w:type="dxa"/>
            <w:left w:w="0" w:type="dxa"/>
            <w:bottom w:w="0" w:type="dxa"/>
            <w:right w:w="0" w:type="dxa"/>
          </w:tblCellMar>
        </w:tblPrEx>
        <w:trPr>
          <w:trHeight w:val="283" w:hRule="atLeast"/>
        </w:trPr>
        <w:tc>
          <w:tcPr>
            <w:tcW w:w="618" w:type="pct"/>
            <w:tcBorders>
              <w:top w:val="single" w:color="000000" w:sz="2" w:space="0"/>
              <w:left w:val="single" w:color="000000" w:sz="2" w:space="0"/>
              <w:bottom w:val="single" w:color="000000" w:sz="2" w:space="0"/>
              <w:right w:val="single" w:color="000000" w:sz="2" w:space="0"/>
            </w:tcBorders>
            <w:vAlign w:val="center"/>
          </w:tcPr>
          <w:p w14:paraId="27A535C3">
            <w:pPr>
              <w:pStyle w:val="789"/>
              <w:rPr>
                <w:rFonts w:hint="default"/>
                <w:color w:val="auto"/>
                <w:szCs w:val="21"/>
                <w:highlight w:val="none"/>
              </w:rPr>
            </w:pPr>
            <w:r>
              <w:rPr>
                <w:rFonts w:hint="default"/>
                <w:color w:val="auto"/>
                <w:szCs w:val="21"/>
                <w:highlight w:val="none"/>
              </w:rPr>
              <w:t>出水标准</w:t>
            </w:r>
          </w:p>
        </w:tc>
        <w:tc>
          <w:tcPr>
            <w:tcW w:w="522" w:type="pct"/>
            <w:tcBorders>
              <w:top w:val="single" w:color="000000" w:sz="2" w:space="0"/>
              <w:left w:val="single" w:color="000000" w:sz="2" w:space="0"/>
              <w:bottom w:val="single" w:color="000000" w:sz="2" w:space="0"/>
              <w:right w:val="single" w:color="000000" w:sz="2" w:space="0"/>
            </w:tcBorders>
            <w:vAlign w:val="center"/>
          </w:tcPr>
          <w:p w14:paraId="7A3F08F2">
            <w:pPr>
              <w:pStyle w:val="789"/>
              <w:rPr>
                <w:rFonts w:hint="default"/>
                <w:color w:val="auto"/>
                <w:szCs w:val="21"/>
                <w:highlight w:val="none"/>
              </w:rPr>
            </w:pPr>
            <w:r>
              <w:rPr>
                <w:rFonts w:hint="default"/>
                <w:color w:val="auto"/>
                <w:szCs w:val="21"/>
                <w:highlight w:val="none"/>
              </w:rPr>
              <w:t>/</w:t>
            </w:r>
          </w:p>
        </w:tc>
        <w:tc>
          <w:tcPr>
            <w:tcW w:w="670" w:type="pct"/>
            <w:tcBorders>
              <w:top w:val="single" w:color="000000" w:sz="2" w:space="0"/>
              <w:left w:val="single" w:color="000000" w:sz="2" w:space="0"/>
              <w:bottom w:val="single" w:color="000000" w:sz="2" w:space="0"/>
              <w:right w:val="single" w:color="000000" w:sz="2" w:space="0"/>
            </w:tcBorders>
            <w:vAlign w:val="center"/>
          </w:tcPr>
          <w:p w14:paraId="1F4DB3AE">
            <w:pPr>
              <w:pStyle w:val="789"/>
              <w:rPr>
                <w:rFonts w:hint="default"/>
                <w:color w:val="auto"/>
                <w:szCs w:val="21"/>
                <w:highlight w:val="none"/>
              </w:rPr>
            </w:pPr>
            <w:r>
              <w:rPr>
                <w:rFonts w:hint="default"/>
                <w:color w:val="auto"/>
                <w:szCs w:val="21"/>
                <w:highlight w:val="none"/>
              </w:rPr>
              <w:t>50</w:t>
            </w:r>
          </w:p>
        </w:tc>
        <w:tc>
          <w:tcPr>
            <w:tcW w:w="526" w:type="pct"/>
            <w:tcBorders>
              <w:top w:val="single" w:color="000000" w:sz="2" w:space="0"/>
              <w:left w:val="single" w:color="000000" w:sz="2" w:space="0"/>
              <w:bottom w:val="single" w:color="000000" w:sz="2" w:space="0"/>
              <w:right w:val="single" w:color="000000" w:sz="2" w:space="0"/>
            </w:tcBorders>
            <w:vAlign w:val="center"/>
          </w:tcPr>
          <w:p w14:paraId="7C14678F">
            <w:pPr>
              <w:pStyle w:val="789"/>
              <w:rPr>
                <w:rFonts w:hint="default"/>
                <w:color w:val="auto"/>
                <w:szCs w:val="21"/>
                <w:highlight w:val="none"/>
              </w:rPr>
            </w:pPr>
            <w:r>
              <w:rPr>
                <w:rFonts w:hint="default"/>
                <w:color w:val="auto"/>
                <w:szCs w:val="21"/>
                <w:highlight w:val="none"/>
              </w:rPr>
              <w:t>5</w:t>
            </w:r>
          </w:p>
        </w:tc>
        <w:tc>
          <w:tcPr>
            <w:tcW w:w="472" w:type="pct"/>
            <w:tcBorders>
              <w:top w:val="single" w:color="000000" w:sz="2" w:space="0"/>
              <w:left w:val="single" w:color="000000" w:sz="2" w:space="0"/>
              <w:bottom w:val="single" w:color="000000" w:sz="2" w:space="0"/>
              <w:right w:val="single" w:color="000000" w:sz="2" w:space="0"/>
            </w:tcBorders>
            <w:vAlign w:val="center"/>
          </w:tcPr>
          <w:p w14:paraId="2A6E7945">
            <w:pPr>
              <w:pStyle w:val="789"/>
              <w:rPr>
                <w:rFonts w:hint="default"/>
                <w:color w:val="auto"/>
                <w:szCs w:val="21"/>
                <w:highlight w:val="none"/>
              </w:rPr>
            </w:pPr>
            <w:r>
              <w:rPr>
                <w:rFonts w:hint="default"/>
                <w:color w:val="auto"/>
                <w:szCs w:val="21"/>
                <w:highlight w:val="none"/>
              </w:rPr>
              <w:t>15</w:t>
            </w:r>
          </w:p>
        </w:tc>
        <w:tc>
          <w:tcPr>
            <w:tcW w:w="551" w:type="pct"/>
            <w:tcBorders>
              <w:top w:val="single" w:color="000000" w:sz="2" w:space="0"/>
              <w:left w:val="single" w:color="000000" w:sz="2" w:space="0"/>
              <w:bottom w:val="single" w:color="000000" w:sz="2" w:space="0"/>
              <w:right w:val="single" w:color="000000" w:sz="2" w:space="0"/>
            </w:tcBorders>
            <w:vAlign w:val="center"/>
          </w:tcPr>
          <w:p w14:paraId="24FC6A23">
            <w:pPr>
              <w:pStyle w:val="789"/>
              <w:rPr>
                <w:rFonts w:hint="default"/>
                <w:color w:val="auto"/>
                <w:szCs w:val="21"/>
                <w:highlight w:val="none"/>
              </w:rPr>
            </w:pPr>
            <w:r>
              <w:rPr>
                <w:rFonts w:hint="default"/>
                <w:color w:val="auto"/>
                <w:szCs w:val="21"/>
                <w:highlight w:val="none"/>
              </w:rPr>
              <w:t>0.5</w:t>
            </w:r>
          </w:p>
        </w:tc>
        <w:tc>
          <w:tcPr>
            <w:tcW w:w="396" w:type="pct"/>
            <w:tcBorders>
              <w:top w:val="single" w:color="000000" w:sz="2" w:space="0"/>
              <w:left w:val="single" w:color="000000" w:sz="2" w:space="0"/>
              <w:bottom w:val="single" w:color="000000" w:sz="2" w:space="0"/>
              <w:right w:val="single" w:color="000000" w:sz="2" w:space="0"/>
            </w:tcBorders>
            <w:vAlign w:val="center"/>
          </w:tcPr>
          <w:p w14:paraId="193FF581">
            <w:pPr>
              <w:pStyle w:val="789"/>
              <w:rPr>
                <w:rFonts w:hint="default"/>
                <w:color w:val="auto"/>
                <w:szCs w:val="21"/>
                <w:highlight w:val="none"/>
              </w:rPr>
            </w:pPr>
            <w:r>
              <w:rPr>
                <w:rFonts w:hint="default"/>
                <w:color w:val="auto"/>
                <w:szCs w:val="21"/>
                <w:highlight w:val="none"/>
              </w:rPr>
              <w:t>10</w:t>
            </w:r>
          </w:p>
        </w:tc>
        <w:tc>
          <w:tcPr>
            <w:tcW w:w="304" w:type="pct"/>
            <w:tcBorders>
              <w:top w:val="single" w:color="000000" w:sz="2" w:space="0"/>
              <w:left w:val="single" w:color="000000" w:sz="2" w:space="0"/>
              <w:bottom w:val="single" w:color="000000" w:sz="2" w:space="0"/>
              <w:right w:val="single" w:color="000000" w:sz="2" w:space="0"/>
            </w:tcBorders>
            <w:vAlign w:val="center"/>
          </w:tcPr>
          <w:p w14:paraId="0B7E536B">
            <w:pPr>
              <w:pStyle w:val="789"/>
              <w:rPr>
                <w:rFonts w:hint="default"/>
                <w:color w:val="auto"/>
                <w:szCs w:val="21"/>
                <w:highlight w:val="none"/>
              </w:rPr>
            </w:pPr>
            <w:r>
              <w:rPr>
                <w:rFonts w:hint="default"/>
                <w:color w:val="auto"/>
                <w:szCs w:val="21"/>
                <w:highlight w:val="none"/>
              </w:rPr>
              <w:t>6~9</w:t>
            </w:r>
          </w:p>
        </w:tc>
        <w:tc>
          <w:tcPr>
            <w:tcW w:w="484" w:type="pct"/>
            <w:tcBorders>
              <w:top w:val="single" w:color="000000" w:sz="2" w:space="0"/>
              <w:left w:val="single" w:color="000000" w:sz="2" w:space="0"/>
              <w:bottom w:val="single" w:color="000000" w:sz="2" w:space="0"/>
              <w:right w:val="single" w:color="000000" w:sz="2" w:space="0"/>
            </w:tcBorders>
            <w:vAlign w:val="center"/>
          </w:tcPr>
          <w:p w14:paraId="1EB6112E">
            <w:pPr>
              <w:pStyle w:val="789"/>
              <w:rPr>
                <w:rFonts w:hint="default"/>
                <w:color w:val="auto"/>
                <w:szCs w:val="21"/>
                <w:highlight w:val="none"/>
              </w:rPr>
            </w:pPr>
            <w:r>
              <w:rPr>
                <w:rFonts w:hint="default"/>
                <w:color w:val="auto"/>
                <w:szCs w:val="21"/>
                <w:highlight w:val="none"/>
              </w:rPr>
              <w:t>/</w:t>
            </w:r>
          </w:p>
        </w:tc>
        <w:tc>
          <w:tcPr>
            <w:tcW w:w="452" w:type="pct"/>
            <w:tcBorders>
              <w:top w:val="single" w:color="000000" w:sz="2" w:space="0"/>
              <w:left w:val="single" w:color="000000" w:sz="2" w:space="0"/>
              <w:bottom w:val="single" w:color="000000" w:sz="2" w:space="0"/>
              <w:right w:val="single" w:color="000000" w:sz="2" w:space="0"/>
            </w:tcBorders>
            <w:vAlign w:val="center"/>
          </w:tcPr>
          <w:p w14:paraId="084B76E1">
            <w:pPr>
              <w:pStyle w:val="789"/>
              <w:rPr>
                <w:rFonts w:hint="default"/>
                <w:color w:val="auto"/>
                <w:szCs w:val="21"/>
                <w:highlight w:val="none"/>
              </w:rPr>
            </w:pPr>
            <w:r>
              <w:rPr>
                <w:rFonts w:hint="default"/>
                <w:color w:val="auto"/>
                <w:szCs w:val="21"/>
                <w:highlight w:val="none"/>
              </w:rPr>
              <w:t>/</w:t>
            </w:r>
          </w:p>
        </w:tc>
      </w:tr>
    </w:tbl>
    <w:p w14:paraId="1605D441">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参照《制药工业污染防治可行技术指南原料药（发酵类、化学合成类、提取类）和制剂类》</w:t>
      </w:r>
      <w:r>
        <w:rPr>
          <w:rFonts w:hint="eastAsia"/>
          <w:snapToGrid w:val="0"/>
          <w:color w:val="auto"/>
          <w:kern w:val="0"/>
          <w:sz w:val="24"/>
          <w:highlight w:val="none"/>
        </w:rPr>
        <w:t>（</w:t>
      </w:r>
      <w:r>
        <w:rPr>
          <w:snapToGrid w:val="0"/>
          <w:color w:val="auto"/>
          <w:kern w:val="0"/>
          <w:sz w:val="24"/>
          <w:highlight w:val="none"/>
        </w:rPr>
        <w:t>HJ1305-2023</w:t>
      </w:r>
      <w:r>
        <w:rPr>
          <w:rFonts w:hint="eastAsia"/>
          <w:snapToGrid w:val="0"/>
          <w:color w:val="auto"/>
          <w:kern w:val="0"/>
          <w:sz w:val="24"/>
          <w:highlight w:val="none"/>
        </w:rPr>
        <w:t>）</w:t>
      </w:r>
      <w:r>
        <w:rPr>
          <w:snapToGrid w:val="0"/>
          <w:color w:val="auto"/>
          <w:kern w:val="0"/>
          <w:sz w:val="24"/>
          <w:highlight w:val="none"/>
        </w:rPr>
        <w:t>中表1发酵类制药工业废水污染防治可行技术，见表</w:t>
      </w:r>
      <w:r>
        <w:rPr>
          <w:rFonts w:hint="eastAsia"/>
          <w:snapToGrid w:val="0"/>
          <w:color w:val="auto"/>
          <w:kern w:val="0"/>
          <w:sz w:val="24"/>
          <w:highlight w:val="none"/>
        </w:rPr>
        <w:t>7</w:t>
      </w:r>
      <w:r>
        <w:rPr>
          <w:snapToGrid w:val="0"/>
          <w:color w:val="auto"/>
          <w:kern w:val="0"/>
          <w:sz w:val="24"/>
          <w:highlight w:val="none"/>
        </w:rPr>
        <w:t>.</w:t>
      </w:r>
      <w:r>
        <w:rPr>
          <w:rFonts w:hint="eastAsia"/>
          <w:snapToGrid w:val="0"/>
          <w:color w:val="auto"/>
          <w:kern w:val="0"/>
          <w:sz w:val="24"/>
          <w:highlight w:val="none"/>
        </w:rPr>
        <w:t>2-</w:t>
      </w:r>
      <w:r>
        <w:rPr>
          <w:rFonts w:hint="eastAsia"/>
          <w:snapToGrid w:val="0"/>
          <w:color w:val="auto"/>
          <w:kern w:val="0"/>
          <w:sz w:val="24"/>
          <w:highlight w:val="none"/>
          <w:lang w:val="en-US" w:eastAsia="zh-CN"/>
        </w:rPr>
        <w:t>4</w:t>
      </w:r>
      <w:r>
        <w:rPr>
          <w:snapToGrid w:val="0"/>
          <w:color w:val="auto"/>
          <w:kern w:val="0"/>
          <w:sz w:val="24"/>
          <w:highlight w:val="none"/>
        </w:rPr>
        <w:t>。</w:t>
      </w:r>
    </w:p>
    <w:p w14:paraId="0F91F46A">
      <w:pPr>
        <w:keepNext w:val="0"/>
        <w:keepLines w:val="0"/>
        <w:pageBreakBefore w:val="0"/>
        <w:widowControl w:val="0"/>
        <w:kinsoku/>
        <w:wordWrap/>
        <w:overflowPunct/>
        <w:topLinePunct w:val="0"/>
        <w:autoSpaceDE/>
        <w:autoSpaceDN/>
        <w:bidi w:val="0"/>
        <w:adjustRightInd w:val="0"/>
        <w:snapToGrid w:val="0"/>
        <w:jc w:val="center"/>
        <w:textAlignment w:val="auto"/>
        <w:rPr>
          <w:b/>
          <w:bCs/>
          <w:color w:val="auto"/>
          <w:highlight w:val="none"/>
        </w:rPr>
      </w:pPr>
      <w:bookmarkStart w:id="190" w:name="_Ref74068046"/>
      <w:r>
        <w:rPr>
          <w:b/>
          <w:bCs/>
          <w:color w:val="auto"/>
          <w:highlight w:val="none"/>
        </w:rPr>
        <w:t>表</w:t>
      </w:r>
      <w:bookmarkEnd w:id="190"/>
      <w:r>
        <w:rPr>
          <w:rFonts w:hint="eastAsia"/>
          <w:b/>
          <w:bCs/>
          <w:color w:val="auto"/>
          <w:highlight w:val="none"/>
        </w:rPr>
        <w:t>7</w:t>
      </w:r>
      <w:r>
        <w:rPr>
          <w:b/>
          <w:bCs/>
          <w:color w:val="auto"/>
          <w:highlight w:val="none"/>
        </w:rPr>
        <w:t>.</w:t>
      </w:r>
      <w:r>
        <w:rPr>
          <w:rFonts w:hint="eastAsia"/>
          <w:b/>
          <w:bCs/>
          <w:color w:val="auto"/>
          <w:highlight w:val="none"/>
        </w:rPr>
        <w:t>2-</w:t>
      </w:r>
      <w:r>
        <w:rPr>
          <w:rFonts w:hint="eastAsia"/>
          <w:b/>
          <w:bCs/>
          <w:color w:val="auto"/>
          <w:highlight w:val="none"/>
          <w:lang w:val="en-US" w:eastAsia="zh-CN"/>
        </w:rPr>
        <w:t>4</w:t>
      </w:r>
      <w:r>
        <w:rPr>
          <w:b/>
          <w:bCs/>
          <w:color w:val="auto"/>
          <w:highlight w:val="none"/>
        </w:rPr>
        <w:t xml:space="preserve"> 废水处理可行技术参照表</w:t>
      </w:r>
    </w:p>
    <w:tbl>
      <w:tblPr>
        <w:tblStyle w:val="56"/>
        <w:tblW w:w="4996" w:type="pct"/>
        <w:jc w:val="center"/>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tblLayout w:type="autofit"/>
        <w:tblCellMar>
          <w:top w:w="0" w:type="dxa"/>
          <w:left w:w="28" w:type="dxa"/>
          <w:bottom w:w="0" w:type="dxa"/>
          <w:right w:w="28" w:type="dxa"/>
        </w:tblCellMar>
      </w:tblPr>
      <w:tblGrid>
        <w:gridCol w:w="820"/>
        <w:gridCol w:w="548"/>
        <w:gridCol w:w="3276"/>
        <w:gridCol w:w="3625"/>
      </w:tblGrid>
      <w:tr w14:paraId="4C1020E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10DDCA5F">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类别</w:t>
            </w:r>
          </w:p>
        </w:tc>
        <w:tc>
          <w:tcPr>
            <w:tcW w:w="331" w:type="pct"/>
            <w:tcBorders>
              <w:top w:val="single" w:color="auto" w:sz="4" w:space="0"/>
              <w:left w:val="single" w:color="auto" w:sz="4" w:space="0"/>
              <w:bottom w:val="single" w:color="auto" w:sz="4" w:space="0"/>
              <w:right w:val="single" w:color="auto" w:sz="4" w:space="0"/>
            </w:tcBorders>
            <w:vAlign w:val="center"/>
          </w:tcPr>
          <w:p w14:paraId="3007FEFD">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废水类型</w:t>
            </w:r>
          </w:p>
        </w:tc>
        <w:tc>
          <w:tcPr>
            <w:tcW w:w="1980" w:type="pct"/>
            <w:tcBorders>
              <w:top w:val="single" w:color="auto" w:sz="4" w:space="0"/>
              <w:left w:val="single" w:color="auto" w:sz="4" w:space="0"/>
              <w:bottom w:val="single" w:color="auto" w:sz="4" w:space="0"/>
              <w:right w:val="single" w:color="auto" w:sz="4" w:space="0"/>
            </w:tcBorders>
            <w:vAlign w:val="center"/>
          </w:tcPr>
          <w:p w14:paraId="519C064F">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可行技术</w:t>
            </w:r>
          </w:p>
        </w:tc>
        <w:tc>
          <w:tcPr>
            <w:tcW w:w="2191" w:type="pct"/>
            <w:tcBorders>
              <w:top w:val="single" w:color="auto" w:sz="4" w:space="0"/>
              <w:left w:val="single" w:color="auto" w:sz="4" w:space="0"/>
              <w:bottom w:val="single" w:color="auto" w:sz="4" w:space="0"/>
              <w:right w:val="single" w:color="auto" w:sz="4" w:space="0"/>
            </w:tcBorders>
            <w:vAlign w:val="center"/>
          </w:tcPr>
          <w:p w14:paraId="25384ECB">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采取的技术</w:t>
            </w:r>
          </w:p>
        </w:tc>
      </w:tr>
      <w:tr w14:paraId="39C802E9">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3B694AD8">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外排或回用废水</w:t>
            </w:r>
          </w:p>
        </w:tc>
        <w:tc>
          <w:tcPr>
            <w:tcW w:w="331" w:type="pct"/>
            <w:tcBorders>
              <w:top w:val="single" w:color="auto" w:sz="4" w:space="0"/>
              <w:left w:val="single" w:color="auto" w:sz="4" w:space="0"/>
              <w:bottom w:val="single" w:color="auto" w:sz="4" w:space="0"/>
              <w:right w:val="single" w:color="auto" w:sz="4" w:space="0"/>
            </w:tcBorders>
            <w:vAlign w:val="center"/>
          </w:tcPr>
          <w:p w14:paraId="59827303">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工艺废水</w:t>
            </w:r>
          </w:p>
        </w:tc>
        <w:tc>
          <w:tcPr>
            <w:tcW w:w="1980" w:type="pct"/>
            <w:tcBorders>
              <w:top w:val="single" w:color="auto" w:sz="4" w:space="0"/>
              <w:left w:val="single" w:color="auto" w:sz="4" w:space="0"/>
              <w:bottom w:val="single" w:color="auto" w:sz="4" w:space="0"/>
              <w:right w:val="single" w:color="auto" w:sz="4" w:space="0"/>
            </w:tcBorders>
            <w:vAlign w:val="center"/>
          </w:tcPr>
          <w:p w14:paraId="02984FBD">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①预处理技术（多效蒸发或MVR/吹脱或汽提/混凝沉淀或气浮/强化水解）+②厌氧（水解酸化/UASB/EGSB/IC/UBF厌氧生物膜反应器）+③多级AO+④混凝沉淀/气浮</w:t>
            </w:r>
          </w:p>
        </w:tc>
        <w:tc>
          <w:tcPr>
            <w:tcW w:w="2191" w:type="pct"/>
            <w:tcBorders>
              <w:top w:val="single" w:color="auto" w:sz="4" w:space="0"/>
              <w:left w:val="single" w:color="auto" w:sz="4" w:space="0"/>
              <w:bottom w:val="single" w:color="auto" w:sz="4" w:space="0"/>
              <w:right w:val="single" w:color="auto" w:sz="4" w:space="0"/>
            </w:tcBorders>
            <w:vAlign w:val="center"/>
          </w:tcPr>
          <w:p w14:paraId="2DAA4F80">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污水预处理包含格栅调节池、初沉池、水解酸化池；二级处理采用传统AA</w:t>
            </w:r>
            <w:r>
              <w:rPr>
                <w:rFonts w:hint="eastAsia" w:cs="Times New Roman"/>
                <w:snapToGrid w:val="0"/>
                <w:color w:val="auto"/>
                <w:kern w:val="0"/>
                <w:szCs w:val="21"/>
                <w:highlight w:val="none"/>
              </w:rPr>
              <w:t>O</w:t>
            </w:r>
            <w:r>
              <w:rPr>
                <w:rFonts w:cs="Times New Roman"/>
                <w:snapToGrid w:val="0"/>
                <w:color w:val="auto"/>
                <w:kern w:val="0"/>
                <w:szCs w:val="21"/>
                <w:highlight w:val="none"/>
              </w:rPr>
              <w:t>及改良型AAO工艺；深度处理采用除硬软化（高效沉淀池+造粒流化床）+臭氧+BAF+石英砂过滤工艺；脱盐处理采用RO+MVR工艺。</w:t>
            </w:r>
          </w:p>
        </w:tc>
      </w:tr>
    </w:tbl>
    <w:p w14:paraId="1F9D5FEF">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通过</w:t>
      </w:r>
      <w:r>
        <w:rPr>
          <w:rFonts w:hint="eastAsia"/>
          <w:snapToGrid w:val="0"/>
          <w:color w:val="auto"/>
          <w:kern w:val="0"/>
          <w:sz w:val="24"/>
          <w:highlight w:val="none"/>
        </w:rPr>
        <w:t>上表</w:t>
      </w:r>
      <w:r>
        <w:rPr>
          <w:snapToGrid w:val="0"/>
          <w:color w:val="auto"/>
          <w:kern w:val="0"/>
          <w:sz w:val="24"/>
          <w:highlight w:val="none"/>
        </w:rPr>
        <w:t>可以看出，</w:t>
      </w:r>
      <w:r>
        <w:rPr>
          <w:rFonts w:hint="eastAsia"/>
          <w:snapToGrid w:val="0"/>
          <w:color w:val="auto"/>
          <w:kern w:val="0"/>
          <w:sz w:val="24"/>
          <w:highlight w:val="none"/>
          <w:lang w:val="en-US" w:eastAsia="zh-CN"/>
        </w:rPr>
        <w:t>乌苏市</w:t>
      </w:r>
      <w:r>
        <w:rPr>
          <w:rFonts w:hint="eastAsia"/>
          <w:snapToGrid w:val="0"/>
          <w:color w:val="auto"/>
          <w:kern w:val="0"/>
          <w:sz w:val="24"/>
          <w:highlight w:val="none"/>
        </w:rPr>
        <w:t>西区</w:t>
      </w:r>
      <w:r>
        <w:rPr>
          <w:snapToGrid w:val="0"/>
          <w:color w:val="auto"/>
          <w:kern w:val="0"/>
          <w:sz w:val="24"/>
          <w:highlight w:val="none"/>
        </w:rPr>
        <w:t>污水处理</w:t>
      </w:r>
      <w:r>
        <w:rPr>
          <w:rFonts w:hint="eastAsia"/>
          <w:snapToGrid w:val="0"/>
          <w:color w:val="auto"/>
          <w:kern w:val="0"/>
          <w:sz w:val="24"/>
          <w:highlight w:val="none"/>
        </w:rPr>
        <w:t>厂</w:t>
      </w:r>
      <w:r>
        <w:rPr>
          <w:snapToGrid w:val="0"/>
          <w:color w:val="auto"/>
          <w:kern w:val="0"/>
          <w:sz w:val="24"/>
          <w:highlight w:val="none"/>
        </w:rPr>
        <w:t>采用的废水处理工艺为《制药工业污染防治可行技术指南原料药（发酵类、化学合成类、提取类）和制剂类》</w:t>
      </w:r>
      <w:r>
        <w:rPr>
          <w:rFonts w:hint="eastAsia"/>
          <w:snapToGrid w:val="0"/>
          <w:color w:val="auto"/>
          <w:kern w:val="0"/>
          <w:sz w:val="24"/>
          <w:highlight w:val="none"/>
        </w:rPr>
        <w:t>（</w:t>
      </w:r>
      <w:r>
        <w:rPr>
          <w:snapToGrid w:val="0"/>
          <w:color w:val="auto"/>
          <w:kern w:val="0"/>
          <w:sz w:val="24"/>
          <w:highlight w:val="none"/>
        </w:rPr>
        <w:t>HJ1305-2023</w:t>
      </w:r>
      <w:r>
        <w:rPr>
          <w:rFonts w:hint="eastAsia"/>
          <w:snapToGrid w:val="0"/>
          <w:color w:val="auto"/>
          <w:kern w:val="0"/>
          <w:sz w:val="24"/>
          <w:highlight w:val="none"/>
        </w:rPr>
        <w:t>）</w:t>
      </w:r>
      <w:r>
        <w:rPr>
          <w:snapToGrid w:val="0"/>
          <w:color w:val="auto"/>
          <w:kern w:val="0"/>
          <w:sz w:val="24"/>
          <w:highlight w:val="none"/>
        </w:rPr>
        <w:t>中可行技术。</w:t>
      </w:r>
    </w:p>
    <w:p w14:paraId="06522AB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7.2.2.4依托污水处理站废水去向</w:t>
      </w:r>
    </w:p>
    <w:p w14:paraId="440D04E4">
      <w:pPr>
        <w:adjustRightInd w:val="0"/>
        <w:snapToGrid w:val="0"/>
        <w:spacing w:line="360" w:lineRule="auto"/>
        <w:ind w:firstLine="480" w:firstLineChars="200"/>
        <w:rPr>
          <w:color w:val="auto"/>
          <w:kern w:val="0"/>
          <w:sz w:val="24"/>
          <w:highlight w:val="none"/>
        </w:rPr>
      </w:pPr>
      <w:r>
        <w:rPr>
          <w:color w:val="auto"/>
          <w:kern w:val="0"/>
          <w:sz w:val="24"/>
          <w:highlight w:val="none"/>
        </w:rPr>
        <w:t>污水处理厂出水水质达到《城镇污水处理厂污染物排放标准》（GB18918-2002）一级A标准后，排入西区污水处理厂尾水输水管，尾水输水管线由</w:t>
      </w:r>
      <w:r>
        <w:rPr>
          <w:rFonts w:hint="eastAsia"/>
          <w:color w:val="auto"/>
          <w:kern w:val="0"/>
          <w:sz w:val="24"/>
          <w:highlight w:val="none"/>
        </w:rPr>
        <w:t>污水处理厂</w:t>
      </w:r>
      <w:r>
        <w:rPr>
          <w:color w:val="auto"/>
          <w:kern w:val="0"/>
          <w:sz w:val="24"/>
          <w:highlight w:val="none"/>
        </w:rPr>
        <w:t>至四棵树镇哈勒干布拉格村向北沿乡镇道路，途经特格里克布拉格村北侧，沿柳沟水库西侧进入360万m</w:t>
      </w:r>
      <w:r>
        <w:rPr>
          <w:color w:val="auto"/>
          <w:kern w:val="0"/>
          <w:sz w:val="24"/>
          <w:highlight w:val="none"/>
          <w:vertAlign w:val="superscript"/>
        </w:rPr>
        <w:t>3</w:t>
      </w:r>
      <w:r>
        <w:rPr>
          <w:color w:val="auto"/>
          <w:kern w:val="0"/>
          <w:sz w:val="24"/>
          <w:highlight w:val="none"/>
        </w:rPr>
        <w:t>的尾水库（用于冬季非灌溉季尾水的储存），污水不进入地表水体，不会对项目区东侧的四棵树河造成影响。</w:t>
      </w:r>
    </w:p>
    <w:p w14:paraId="5C2A3E53">
      <w:pPr>
        <w:adjustRightInd w:val="0"/>
        <w:snapToGrid w:val="0"/>
        <w:spacing w:line="360" w:lineRule="auto"/>
        <w:ind w:firstLine="480" w:firstLineChars="200"/>
        <w:rPr>
          <w:color w:val="auto"/>
          <w:kern w:val="0"/>
          <w:sz w:val="24"/>
          <w:highlight w:val="none"/>
        </w:rPr>
      </w:pPr>
      <w:r>
        <w:rPr>
          <w:color w:val="auto"/>
          <w:kern w:val="0"/>
          <w:sz w:val="24"/>
          <w:highlight w:val="none"/>
        </w:rPr>
        <w:t>尾水库位于古尔班通古特沙漠的西北部边缘，四周均为山坡沟谷，中心地理坐标为：44°4355.4"N，84°13'49.2"E。尾水管道全长45km，设计管径DN600-DN800，管材选用钢骨架塑料复合管。根据《乌苏市西区污水厂建设工程环境影响报告书》，污水库位于西区污水处理厂北侧下游45km处，采用钢骨架塑料复合管尾水管道连接，设计池容360万m</w:t>
      </w:r>
      <w:r>
        <w:rPr>
          <w:color w:val="auto"/>
          <w:kern w:val="0"/>
          <w:sz w:val="24"/>
          <w:highlight w:val="none"/>
          <w:vertAlign w:val="superscript"/>
        </w:rPr>
        <w:t>3</w:t>
      </w:r>
      <w:r>
        <w:rPr>
          <w:color w:val="auto"/>
          <w:kern w:val="0"/>
          <w:sz w:val="24"/>
          <w:highlight w:val="none"/>
        </w:rPr>
        <w:t>，设计占地面积960亩，设计最大水深8.5m。目前，</w:t>
      </w:r>
      <w:r>
        <w:rPr>
          <w:rFonts w:hint="eastAsia"/>
          <w:color w:val="auto"/>
          <w:kern w:val="0"/>
          <w:sz w:val="24"/>
          <w:highlight w:val="none"/>
        </w:rPr>
        <w:t>中水库</w:t>
      </w:r>
      <w:r>
        <w:rPr>
          <w:color w:val="auto"/>
          <w:kern w:val="0"/>
          <w:sz w:val="24"/>
          <w:highlight w:val="none"/>
        </w:rPr>
        <w:t>已建设一期170万m</w:t>
      </w:r>
      <w:r>
        <w:rPr>
          <w:color w:val="auto"/>
          <w:kern w:val="0"/>
          <w:sz w:val="24"/>
          <w:highlight w:val="none"/>
          <w:vertAlign w:val="superscript"/>
        </w:rPr>
        <w:t>3</w:t>
      </w:r>
      <w:r>
        <w:rPr>
          <w:color w:val="auto"/>
          <w:kern w:val="0"/>
          <w:sz w:val="24"/>
          <w:highlight w:val="none"/>
        </w:rPr>
        <w:t>，并通过竣工环保验收工作。</w:t>
      </w:r>
      <w:r>
        <w:rPr>
          <w:rFonts w:hint="eastAsia"/>
          <w:color w:val="auto"/>
          <w:kern w:val="0"/>
          <w:sz w:val="24"/>
          <w:highlight w:val="none"/>
        </w:rPr>
        <w:t>目前二期19</w:t>
      </w:r>
      <w:r>
        <w:rPr>
          <w:rFonts w:hint="eastAsia"/>
          <w:color w:val="auto"/>
          <w:kern w:val="0"/>
          <w:sz w:val="24"/>
          <w:highlight w:val="none"/>
          <w:u w:val="dotted"/>
        </w:rPr>
        <w:t>0万m</w:t>
      </w:r>
      <w:r>
        <w:rPr>
          <w:rFonts w:hint="eastAsia"/>
          <w:color w:val="auto"/>
          <w:kern w:val="0"/>
          <w:sz w:val="24"/>
          <w:highlight w:val="none"/>
          <w:u w:val="dotted"/>
          <w:vertAlign w:val="superscript"/>
        </w:rPr>
        <w:t>3</w:t>
      </w:r>
      <w:r>
        <w:rPr>
          <w:rFonts w:hint="eastAsia"/>
          <w:color w:val="auto"/>
          <w:kern w:val="0"/>
          <w:sz w:val="24"/>
          <w:highlight w:val="none"/>
          <w:u w:val="dotted"/>
        </w:rPr>
        <w:t>中水库已立项，于2025年8月19日取得</w:t>
      </w:r>
      <w:r>
        <w:rPr>
          <w:rFonts w:hint="eastAsia"/>
          <w:color w:val="auto"/>
          <w:kern w:val="0"/>
          <w:sz w:val="24"/>
          <w:highlight w:val="none"/>
        </w:rPr>
        <w:t>《关于塔城地区乌苏市合成生物集聚区污水厂中水库建设项目二期工程可行性研究报告的批复》，</w:t>
      </w:r>
      <w:r>
        <w:rPr>
          <w:color w:val="auto"/>
          <w:kern w:val="0"/>
          <w:sz w:val="24"/>
          <w:highlight w:val="none"/>
        </w:rPr>
        <w:t>本工程依托该尾水库进行冬储夏灌可行。</w:t>
      </w:r>
      <w:r>
        <w:rPr>
          <w:rFonts w:hint="eastAsia"/>
          <w:color w:val="auto"/>
          <w:kern w:val="0"/>
          <w:sz w:val="24"/>
          <w:highlight w:val="none"/>
        </w:rPr>
        <w:t>本环评要求做好本项目排水与该中水库的衔接，保证末端储水库可满足本项目的储水需求。</w:t>
      </w:r>
    </w:p>
    <w:p w14:paraId="1F844747">
      <w:pPr>
        <w:adjustRightInd w:val="0"/>
        <w:snapToGrid w:val="0"/>
        <w:spacing w:line="360" w:lineRule="auto"/>
        <w:ind w:firstLine="480" w:firstLineChars="200"/>
        <w:rPr>
          <w:color w:val="auto"/>
          <w:kern w:val="0"/>
          <w:sz w:val="24"/>
          <w:highlight w:val="none"/>
        </w:rPr>
      </w:pPr>
      <w:r>
        <w:rPr>
          <w:rFonts w:hint="eastAsia"/>
          <w:color w:val="auto"/>
          <w:kern w:val="0"/>
          <w:sz w:val="24"/>
          <w:highlight w:val="none"/>
        </w:rPr>
        <w:t>根据当地林草局种植计划，拟新增4000亩生态林，主要包括胡杨、梭梭、柽柳等。根据《关于推进污水处理减污降碳协同增效的实施意见》（发改环资〔2023〕1714号）等文件要求，工业园区</w:t>
      </w:r>
      <w:r>
        <w:rPr>
          <w:rFonts w:hint="eastAsia"/>
          <w:color w:val="auto"/>
          <w:kern w:val="0"/>
          <w:sz w:val="24"/>
          <w:highlight w:val="none"/>
          <w:lang w:eastAsia="zh-CN"/>
        </w:rPr>
        <w:t>污水处理厂</w:t>
      </w:r>
      <w:r>
        <w:rPr>
          <w:rFonts w:hint="eastAsia"/>
          <w:color w:val="auto"/>
          <w:kern w:val="0"/>
          <w:sz w:val="24"/>
          <w:highlight w:val="none"/>
        </w:rPr>
        <w:t>污水优先回用园区企业，本次排放中水按照总处理量的60%排放核算，为153.3万m</w:t>
      </w:r>
      <w:r>
        <w:rPr>
          <w:rFonts w:hint="eastAsia"/>
          <w:color w:val="auto"/>
          <w:kern w:val="0"/>
          <w:sz w:val="24"/>
          <w:highlight w:val="none"/>
          <w:vertAlign w:val="superscript"/>
        </w:rPr>
        <w:t>3</w:t>
      </w:r>
      <w:r>
        <w:rPr>
          <w:rFonts w:hint="eastAsia"/>
          <w:color w:val="auto"/>
          <w:kern w:val="0"/>
          <w:sz w:val="24"/>
          <w:highlight w:val="none"/>
        </w:rPr>
        <w:t>，夏季灌溉期可完全消纳，冬季排水</w:t>
      </w:r>
      <w:r>
        <w:rPr>
          <w:rFonts w:hint="eastAsia"/>
          <w:color w:val="auto"/>
          <w:kern w:val="0"/>
          <w:sz w:val="24"/>
          <w:highlight w:val="none"/>
          <w:lang w:eastAsia="zh-CN"/>
        </w:rPr>
        <w:t>在</w:t>
      </w:r>
      <w:r>
        <w:rPr>
          <w:rFonts w:hint="eastAsia"/>
          <w:color w:val="auto"/>
          <w:kern w:val="0"/>
          <w:sz w:val="24"/>
          <w:highlight w:val="none"/>
        </w:rPr>
        <w:t>尾水库中贮存。</w:t>
      </w:r>
    </w:p>
    <w:p w14:paraId="57D92B2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7.2.2.5小结</w:t>
      </w:r>
    </w:p>
    <w:p w14:paraId="16A765AD">
      <w:pPr>
        <w:pStyle w:val="504"/>
        <w:adjustRightInd w:val="0"/>
        <w:snapToGrid w:val="0"/>
        <w:spacing w:line="360" w:lineRule="auto"/>
        <w:ind w:firstLine="480"/>
        <w:rPr>
          <w:rFonts w:ascii="Times New Roman" w:hAnsi="Times New Roman" w:eastAsia="宋体" w:cs="Times New Roman"/>
          <w:snapToGrid w:val="0"/>
          <w:color w:val="auto"/>
          <w:kern w:val="0"/>
          <w:highlight w:val="none"/>
        </w:rPr>
      </w:pPr>
      <w:r>
        <w:rPr>
          <w:rFonts w:hint="eastAsia" w:ascii="Times New Roman" w:hAnsi="Times New Roman" w:eastAsia="宋体" w:cs="Times New Roman"/>
          <w:snapToGrid w:val="0"/>
          <w:color w:val="auto"/>
          <w:kern w:val="0"/>
          <w:highlight w:val="none"/>
        </w:rPr>
        <w:t>本项目</w:t>
      </w:r>
      <w:r>
        <w:rPr>
          <w:rFonts w:hint="eastAsia"/>
          <w:snapToGrid w:val="0"/>
          <w:color w:val="auto"/>
          <w:kern w:val="0"/>
          <w:sz w:val="24"/>
          <w:highlight w:val="none"/>
        </w:rPr>
        <w:t>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snapToGrid w:val="0"/>
          <w:color w:val="auto"/>
          <w:kern w:val="0"/>
          <w:sz w:val="24"/>
          <w:highlight w:val="none"/>
          <w:lang w:val="en-US" w:eastAsia="zh-CN"/>
        </w:rPr>
        <w:t>排入</w:t>
      </w:r>
      <w:r>
        <w:rPr>
          <w:rFonts w:hint="eastAsia"/>
          <w:snapToGrid w:val="0"/>
          <w:color w:val="auto"/>
          <w:kern w:val="0"/>
          <w:sz w:val="24"/>
          <w:highlight w:val="none"/>
        </w:rPr>
        <w:t>西区污水处理厂</w:t>
      </w:r>
      <w:r>
        <w:rPr>
          <w:rFonts w:hint="eastAsia"/>
          <w:snapToGrid w:val="0"/>
          <w:color w:val="auto"/>
          <w:kern w:val="0"/>
          <w:sz w:val="24"/>
          <w:highlight w:val="none"/>
          <w:lang w:val="en-US" w:eastAsia="zh-CN"/>
        </w:rPr>
        <w:t>二</w:t>
      </w:r>
      <w:r>
        <w:rPr>
          <w:rFonts w:hint="eastAsia"/>
          <w:snapToGrid w:val="0"/>
          <w:color w:val="auto"/>
          <w:kern w:val="0"/>
          <w:sz w:val="24"/>
          <w:highlight w:val="none"/>
        </w:rPr>
        <w:t>期工程</w:t>
      </w:r>
      <w:r>
        <w:rPr>
          <w:rFonts w:hint="eastAsia"/>
          <w:snapToGrid w:val="0"/>
          <w:color w:val="auto"/>
          <w:kern w:val="0"/>
          <w:sz w:val="24"/>
          <w:highlight w:val="none"/>
          <w:lang w:eastAsia="zh-CN"/>
        </w:rPr>
        <w:t>；</w:t>
      </w:r>
      <w:r>
        <w:rPr>
          <w:rFonts w:hint="eastAsia"/>
          <w:snapToGrid w:val="0"/>
          <w:color w:val="auto"/>
          <w:kern w:val="0"/>
          <w:sz w:val="24"/>
          <w:highlight w:val="none"/>
        </w:rPr>
        <w:t>循环水排污依托现有污水处理站中水段</w:t>
      </w:r>
      <w:r>
        <w:rPr>
          <w:rFonts w:hint="eastAsia"/>
          <w:snapToGrid w:val="0"/>
          <w:color w:val="auto"/>
          <w:kern w:val="0"/>
          <w:sz w:val="24"/>
          <w:highlight w:val="none"/>
          <w:lang w:val="en-US" w:eastAsia="zh-CN"/>
        </w:rPr>
        <w:t>处理；</w:t>
      </w:r>
      <w:r>
        <w:rPr>
          <w:rFonts w:hint="eastAsia"/>
          <w:snapToGrid w:val="0"/>
          <w:color w:val="auto"/>
          <w:kern w:val="0"/>
          <w:sz w:val="24"/>
          <w:highlight w:val="none"/>
        </w:rPr>
        <w:t>生活污水</w:t>
      </w:r>
      <w:r>
        <w:rPr>
          <w:rFonts w:hint="eastAsia"/>
          <w:snapToGrid w:val="0"/>
          <w:color w:val="auto"/>
          <w:kern w:val="0"/>
          <w:sz w:val="24"/>
          <w:highlight w:val="none"/>
          <w:lang w:eastAsia="zh-CN"/>
        </w:rPr>
        <w:t>、</w:t>
      </w:r>
      <w:r>
        <w:rPr>
          <w:rFonts w:hint="eastAsia"/>
          <w:snapToGrid w:val="0"/>
          <w:color w:val="auto"/>
          <w:kern w:val="0"/>
          <w:sz w:val="24"/>
          <w:highlight w:val="none"/>
        </w:rPr>
        <w:t>水洗塔定排和碱洗塔定排</w:t>
      </w:r>
      <w:r>
        <w:rPr>
          <w:rFonts w:hint="eastAsia"/>
          <w:snapToGrid w:val="0"/>
          <w:color w:val="auto"/>
          <w:kern w:val="0"/>
          <w:sz w:val="24"/>
          <w:highlight w:val="none"/>
          <w:lang w:val="en-US" w:eastAsia="zh-CN"/>
        </w:rPr>
        <w:t>依托现有污水处理站生化段处理后</w:t>
      </w:r>
      <w:r>
        <w:rPr>
          <w:rFonts w:hint="eastAsia"/>
          <w:snapToGrid w:val="0"/>
          <w:color w:val="auto"/>
          <w:kern w:val="0"/>
          <w:sz w:val="24"/>
          <w:highlight w:val="none"/>
        </w:rPr>
        <w:t>排入西区污水处理厂</w:t>
      </w:r>
      <w:r>
        <w:rPr>
          <w:rFonts w:hint="eastAsia"/>
          <w:snapToGrid w:val="0"/>
          <w:color w:val="auto"/>
          <w:kern w:val="0"/>
          <w:sz w:val="24"/>
          <w:highlight w:val="none"/>
          <w:lang w:val="en-US" w:eastAsia="zh-CN"/>
        </w:rPr>
        <w:t>一</w:t>
      </w:r>
      <w:r>
        <w:rPr>
          <w:rFonts w:hint="eastAsia"/>
          <w:snapToGrid w:val="0"/>
          <w:color w:val="auto"/>
          <w:kern w:val="0"/>
          <w:sz w:val="24"/>
          <w:highlight w:val="none"/>
        </w:rPr>
        <w:t>期</w:t>
      </w:r>
      <w:r>
        <w:rPr>
          <w:rFonts w:hint="eastAsia" w:ascii="Times New Roman" w:hAnsi="Times New Roman" w:eastAsia="宋体" w:cs="Times New Roman"/>
          <w:snapToGrid w:val="0"/>
          <w:color w:val="auto"/>
          <w:kern w:val="0"/>
          <w:highlight w:val="none"/>
        </w:rPr>
        <w:t>，依托污水处理设施处理可行。</w:t>
      </w:r>
    </w:p>
    <w:bookmarkEnd w:id="184"/>
    <w:p w14:paraId="73A36A5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7.2.3运营期噪声污染防治措施</w:t>
      </w:r>
    </w:p>
    <w:p w14:paraId="1266ACD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7.2.3.1平面布置措施</w:t>
      </w:r>
    </w:p>
    <w:p w14:paraId="74D39BC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（1）优化工艺流程，减少噪声污染源，如选用低噪声设备，减少各种气体排放等。</w:t>
      </w:r>
    </w:p>
    <w:p w14:paraId="3C7AE1E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平面布置上，充分利用各种自然因素，如地形、建筑物、绿化带等使厂区与噪声敏感区隔开。在工艺流程允许的情况下，生产装置可按其噪声强度分区布置，噪声较高的装置应尽量置于远离厂外噪声敏感区的一侧，或用不含声源的建筑物如不产生噪声的塔、罐和容器等大型设备作为屏障与噪声敏感区隔开。</w:t>
      </w:r>
    </w:p>
    <w:p w14:paraId="19C41C3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（3）噪声辐射指向性较强的声源，例如气体放空等，要背向噪声敏感区及厂内噪声敏感工作岗位，如综合楼、中央化验室等。</w:t>
      </w:r>
    </w:p>
    <w:p w14:paraId="6810CCE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7.2.3.2噪声源控制措施</w:t>
      </w:r>
    </w:p>
    <w:p w14:paraId="56C23FF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（1）压缩机</w:t>
      </w:r>
    </w:p>
    <w:p w14:paraId="577B1F4E">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压缩机噪声主要由空气动力噪声和机械振动噪声构成。空气动力性噪声是由旋转叶片引起气体介质的涡流和紊流产生的噪声，以及叶片对介质周期性的压力产生的脉冲噪声。机械振动噪声是由轴承噪声及旋转部件的不平衡所产生的振动噪声。这些噪声主要由风机壳体以及基础的振动等形式向外辐射。压缩机噪声控制方法有：</w:t>
      </w:r>
    </w:p>
    <w:p w14:paraId="34953B3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①进（排）气管道安装消声器，消声量在25dB（A）以上。</w:t>
      </w:r>
    </w:p>
    <w:p w14:paraId="476EC155">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②设备与底座之间设置减振措施。</w:t>
      </w:r>
    </w:p>
    <w:p w14:paraId="7AFDA1FA">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③设隔声罩。</w:t>
      </w:r>
    </w:p>
    <w:p w14:paraId="2F513F4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（2）电机-泵</w:t>
      </w:r>
    </w:p>
    <w:p w14:paraId="743CE6F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电机-泵简称“机泵”，是化工生产过程中使用量最多的设备，其噪声主要在电机侧，电机噪声一般比泵噪声大5dB（A）左右。所以机泵噪声的治理主要是对电机噪声的控制。大多数电机均为空气冷却，其噪声主要来源于冷却风扇产生的空气动力噪声，其次为旋转机械噪声等。电机的噪声强度与其功率、转速等参数有关。电机噪声主要控制措施有：</w:t>
      </w:r>
    </w:p>
    <w:p w14:paraId="5762519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①设置电机隔声罩。对电机空气动力噪声可进行有效控制，一般降噪效果可达8~10dB（A）。</w:t>
      </w:r>
    </w:p>
    <w:p w14:paraId="0F71866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②对机泵与基础间的隔振或减振处理。</w:t>
      </w:r>
    </w:p>
    <w:p w14:paraId="36067F6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（3）阀门及管道噪声</w:t>
      </w:r>
    </w:p>
    <w:p w14:paraId="727D0E66">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节流阀、压力调节阀与管道是生产过程中的主要噪声源之一。其中：阀门噪声产生的原因有：①空气动力噪声；②流体动力噪声；③机械振动噪声。管道噪声产生的原因有：一是管道系统中高速气流的冲击、摩擦或在弯头、阀门和其它变径处所产生噪声，二是与之相连的机械振动激发管壁振动而产生的噪声。</w:t>
      </w:r>
    </w:p>
    <w:p w14:paraId="6C421C8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阀门及管道噪声主要控制方法有：</w:t>
      </w:r>
    </w:p>
    <w:p w14:paraId="321192A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①选用低噪声阀门。</w:t>
      </w:r>
    </w:p>
    <w:p w14:paraId="21E0910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②管道的合理设计，控制介质的流速，避免介质流向的急剧变化，管径的变化设有光滑的过渡段等。</w:t>
      </w:r>
    </w:p>
    <w:p w14:paraId="7787386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③管道与振动设备的连接由刚性连接改为弹性连接，避免机械设备激发管道振动。</w:t>
      </w:r>
    </w:p>
    <w:p w14:paraId="2E48509B">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④设消声器或结合管道保温进行管道隔声包扎。</w:t>
      </w:r>
    </w:p>
    <w:p w14:paraId="15CEDCC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（4）气体放空</w:t>
      </w:r>
    </w:p>
    <w:p w14:paraId="0D5579C7">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在生产装置开、停气时，或生产过程非正常状态，常常出现气（汽）体排放过程。当气体从排放口排出时具有较高速度，一旦排入大气，便与周围空气发生强烈混合而产生高频噪声，随其逐渐扩散、混合形成紊流，产生低频噪声。</w:t>
      </w:r>
    </w:p>
    <w:p w14:paraId="34372D9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放空噪声的主要控制方法是在气体排放口安装消声器。对于介质排放压力≥0.4MPa时，可采用小孔喷注结构消声器。这种消声器结构简单，重量轻，消声效果好，一般消声效果可达35dB（A）以上。对于排放量大，介质压力较低的情况，可采用阻抗复合型消声器。阻抗复合结构消声器，一般体积和重量较小孔喷注结构消声器要大，消声效果一般可达25~30dB（A）。</w:t>
      </w:r>
    </w:p>
    <w:p w14:paraId="73BA567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7.2.3.3传输途径方面</w:t>
      </w:r>
    </w:p>
    <w:p w14:paraId="2477352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噪声强度较大机械设备，例如大型机泵、空气动力机械、回转机械、成型包装机械等，尽量安装于厂房内；设备和管道之间采用软管和柔性接头连接；穿墙的管道与墙壁接触的地方均应用弹性材料包扎，减少噪声对厂内、外环境的影响。</w:t>
      </w:r>
    </w:p>
    <w:p w14:paraId="4DF1057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（2）对含有噪声源的车间、厂房，进行声学处理，如室内吸声处理、门窗隔声、设置隔声屏障等措施，降低其室内混响噪声和对周围环境的影响。</w:t>
      </w:r>
    </w:p>
    <w:p w14:paraId="6881A0A2">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7.2.3.4受体保护</w:t>
      </w:r>
    </w:p>
    <w:p w14:paraId="7230E1B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（1）减少噪声接触时间。对于非脑力劳动的强噪声工作岗位，及时组织工种轮换等措施，降低噪声对工作人员听力及其他方面的不良影响。</w:t>
      </w:r>
    </w:p>
    <w:p w14:paraId="4F41764D">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（2）对噪声控制设备、防噪设施加强管理、维修，对失效的设备及时更换。</w:t>
      </w:r>
    </w:p>
    <w:p w14:paraId="67E046F4">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（3）加强有关噪声防治法规的学习、宣传，健全企业噪声防治制度，</w:t>
      </w:r>
      <w:r>
        <w:rPr>
          <w:rFonts w:hint="eastAsia"/>
          <w:snapToGrid w:val="0"/>
          <w:color w:val="auto"/>
          <w:kern w:val="0"/>
          <w:sz w:val="24"/>
          <w:highlight w:val="none"/>
          <w:lang w:eastAsia="zh-CN"/>
        </w:rPr>
        <w:t>增强</w:t>
      </w:r>
      <w:r>
        <w:rPr>
          <w:rFonts w:hint="eastAsia"/>
          <w:snapToGrid w:val="0"/>
          <w:color w:val="auto"/>
          <w:kern w:val="0"/>
          <w:sz w:val="24"/>
          <w:highlight w:val="none"/>
        </w:rPr>
        <w:t>全员噪声防治意识。</w:t>
      </w:r>
    </w:p>
    <w:p w14:paraId="69BC54AF">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（4）对噪声接触人员定期进行听力和有关噪声影响系统的体检，以提高噪声危害的预防和治疗能力。</w:t>
      </w:r>
    </w:p>
    <w:p w14:paraId="7A46363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7.2.3.5措施有效性</w:t>
      </w:r>
    </w:p>
    <w:p w14:paraId="378DF530">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根据预测结果可知，采取上述措施后，厂界噪声可满足《工业企业厂界环境噪声排放标准》（GB12348-2008）3类区标准限值，环境影响可接受。</w:t>
      </w:r>
    </w:p>
    <w:p w14:paraId="20254C34">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7.2.4运营期固体废弃物防治措施</w:t>
      </w:r>
    </w:p>
    <w:p w14:paraId="015267B0">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项目生产过程产生的固体废物（工艺固废）包括：菌体污泥、</w:t>
      </w:r>
      <w:r>
        <w:rPr>
          <w:rFonts w:hint="eastAsia"/>
          <w:snapToGrid w:val="0"/>
          <w:color w:val="auto"/>
          <w:kern w:val="0"/>
          <w:sz w:val="24"/>
          <w:highlight w:val="none"/>
          <w:lang w:eastAsia="zh-CN"/>
        </w:rPr>
        <w:t>化验室废液</w:t>
      </w:r>
      <w:r>
        <w:rPr>
          <w:rFonts w:hint="eastAsia"/>
          <w:snapToGrid w:val="0"/>
          <w:color w:val="auto"/>
          <w:kern w:val="0"/>
          <w:sz w:val="24"/>
          <w:highlight w:val="none"/>
        </w:rPr>
        <w:t>、</w:t>
      </w:r>
      <w:r>
        <w:rPr>
          <w:rFonts w:hint="eastAsia"/>
          <w:snapToGrid w:val="0"/>
          <w:color w:val="auto"/>
          <w:kern w:val="0"/>
          <w:sz w:val="24"/>
          <w:highlight w:val="none"/>
          <w:lang w:eastAsia="zh-CN"/>
        </w:rPr>
        <w:t>废矿物油</w:t>
      </w:r>
      <w:r>
        <w:rPr>
          <w:rFonts w:hint="eastAsia"/>
          <w:snapToGrid w:val="0"/>
          <w:color w:val="auto"/>
          <w:kern w:val="0"/>
          <w:sz w:val="24"/>
          <w:highlight w:val="none"/>
        </w:rPr>
        <w:t>、</w:t>
      </w:r>
      <w:r>
        <w:rPr>
          <w:rFonts w:hint="eastAsia"/>
          <w:color w:val="auto"/>
          <w:kern w:val="0"/>
          <w:sz w:val="24"/>
          <w:highlight w:val="none"/>
          <w:lang w:bidi="ar"/>
        </w:rPr>
        <w:t>废铅蓄电池</w:t>
      </w:r>
      <w:r>
        <w:rPr>
          <w:rFonts w:hint="eastAsia"/>
          <w:snapToGrid w:val="0"/>
          <w:color w:val="auto"/>
          <w:kern w:val="0"/>
          <w:sz w:val="24"/>
          <w:highlight w:val="none"/>
        </w:rPr>
        <w:t>、生活垃圾等。菌体污泥为一般工业固体废物；</w:t>
      </w:r>
      <w:r>
        <w:rPr>
          <w:rFonts w:hint="eastAsia"/>
          <w:snapToGrid w:val="0"/>
          <w:color w:val="auto"/>
          <w:kern w:val="0"/>
          <w:sz w:val="24"/>
          <w:highlight w:val="none"/>
          <w:lang w:eastAsia="zh-CN"/>
        </w:rPr>
        <w:t>化验室废液</w:t>
      </w:r>
      <w:r>
        <w:rPr>
          <w:rFonts w:hint="eastAsia"/>
          <w:snapToGrid w:val="0"/>
          <w:color w:val="auto"/>
          <w:kern w:val="0"/>
          <w:sz w:val="24"/>
          <w:highlight w:val="none"/>
        </w:rPr>
        <w:t>、</w:t>
      </w:r>
      <w:r>
        <w:rPr>
          <w:rFonts w:hint="eastAsia"/>
          <w:snapToGrid w:val="0"/>
          <w:color w:val="auto"/>
          <w:kern w:val="0"/>
          <w:sz w:val="24"/>
          <w:highlight w:val="none"/>
          <w:lang w:eastAsia="zh-CN"/>
        </w:rPr>
        <w:t>废矿物油</w:t>
      </w:r>
      <w:r>
        <w:rPr>
          <w:rFonts w:hint="eastAsia"/>
          <w:snapToGrid w:val="0"/>
          <w:color w:val="auto"/>
          <w:kern w:val="0"/>
          <w:sz w:val="24"/>
          <w:highlight w:val="none"/>
        </w:rPr>
        <w:t>、</w:t>
      </w:r>
      <w:r>
        <w:rPr>
          <w:rFonts w:hint="eastAsia"/>
          <w:color w:val="auto"/>
          <w:kern w:val="0"/>
          <w:sz w:val="24"/>
          <w:highlight w:val="none"/>
          <w:lang w:bidi="ar"/>
        </w:rPr>
        <w:t>废铅蓄电池</w:t>
      </w:r>
      <w:r>
        <w:rPr>
          <w:rFonts w:hint="eastAsia"/>
          <w:snapToGrid w:val="0"/>
          <w:color w:val="auto"/>
          <w:kern w:val="0"/>
          <w:sz w:val="24"/>
          <w:highlight w:val="none"/>
        </w:rPr>
        <w:t>为危险废物；其他废物为人员生活产生的生活垃圾。</w:t>
      </w:r>
    </w:p>
    <w:p w14:paraId="3411BC53">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7.2.4.1一般固体废物</w:t>
      </w:r>
    </w:p>
    <w:p w14:paraId="7CC84A1A">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提取工序产生的固废为菌体污泥，产生量约24320t/a，定期清运至新疆融兴盛景城市服务有限公司填埋处置。</w:t>
      </w:r>
    </w:p>
    <w:p w14:paraId="7647827C">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7.2.4.2危险废物</w:t>
      </w:r>
    </w:p>
    <w:p w14:paraId="06248F1D">
      <w:pPr>
        <w:adjustRightInd w:val="0"/>
        <w:snapToGrid w:val="0"/>
        <w:spacing w:line="360" w:lineRule="auto"/>
        <w:ind w:firstLine="480" w:firstLineChars="200"/>
        <w:rPr>
          <w:snapToGrid w:val="0"/>
          <w:color w:val="auto"/>
          <w:kern w:val="0"/>
          <w:sz w:val="24"/>
          <w:highlight w:val="none"/>
          <w:lang w:bidi="ar"/>
        </w:rPr>
      </w:pPr>
      <w:r>
        <w:rPr>
          <w:rFonts w:hint="eastAsia"/>
          <w:snapToGrid w:val="0"/>
          <w:color w:val="auto"/>
          <w:kern w:val="0"/>
          <w:sz w:val="24"/>
          <w:highlight w:val="none"/>
          <w:lang w:bidi="ar"/>
        </w:rPr>
        <w:t>本项目机械设备维修、保养会产生</w:t>
      </w:r>
      <w:r>
        <w:rPr>
          <w:rFonts w:hint="eastAsia"/>
          <w:snapToGrid w:val="0"/>
          <w:color w:val="auto"/>
          <w:kern w:val="0"/>
          <w:sz w:val="24"/>
          <w:highlight w:val="none"/>
          <w:lang w:eastAsia="zh-CN" w:bidi="ar"/>
        </w:rPr>
        <w:t>废矿物油</w:t>
      </w:r>
      <w:r>
        <w:rPr>
          <w:rFonts w:hint="eastAsia"/>
          <w:snapToGrid w:val="0"/>
          <w:color w:val="auto"/>
          <w:kern w:val="0"/>
          <w:sz w:val="24"/>
          <w:highlight w:val="none"/>
          <w:lang w:bidi="ar"/>
        </w:rPr>
        <w:t>，主要成分为矿物油，</w:t>
      </w:r>
      <w:r>
        <w:rPr>
          <w:rFonts w:hint="eastAsia"/>
          <w:snapToGrid w:val="0"/>
          <w:color w:val="auto"/>
          <w:kern w:val="0"/>
          <w:sz w:val="24"/>
          <w:highlight w:val="none"/>
          <w:lang w:eastAsia="zh-CN" w:bidi="ar"/>
        </w:rPr>
        <w:t>废矿物油</w:t>
      </w:r>
      <w:r>
        <w:rPr>
          <w:rFonts w:hint="eastAsia"/>
          <w:snapToGrid w:val="0"/>
          <w:color w:val="auto"/>
          <w:kern w:val="0"/>
          <w:sz w:val="24"/>
          <w:highlight w:val="none"/>
          <w:lang w:bidi="ar"/>
        </w:rPr>
        <w:t>产生量为5t/a</w:t>
      </w:r>
      <w:r>
        <w:rPr>
          <w:rFonts w:hint="eastAsia"/>
          <w:snapToGrid w:val="0"/>
          <w:color w:val="auto"/>
          <w:kern w:val="0"/>
          <w:sz w:val="24"/>
          <w:highlight w:val="none"/>
          <w:lang w:eastAsia="zh-CN" w:bidi="ar"/>
        </w:rPr>
        <w:t>，</w:t>
      </w:r>
      <w:r>
        <w:rPr>
          <w:rFonts w:hint="eastAsia"/>
          <w:snapToGrid w:val="0"/>
          <w:color w:val="auto"/>
          <w:kern w:val="0"/>
          <w:sz w:val="24"/>
          <w:highlight w:val="none"/>
          <w:lang w:bidi="ar"/>
        </w:rPr>
        <w:t>委托新疆金派环保科技有限公司进行安全处置。</w:t>
      </w:r>
    </w:p>
    <w:p w14:paraId="1CADE501">
      <w:pPr>
        <w:adjustRightInd w:val="0"/>
        <w:snapToGrid w:val="0"/>
        <w:spacing w:line="360" w:lineRule="auto"/>
        <w:ind w:firstLine="480" w:firstLineChars="200"/>
        <w:rPr>
          <w:snapToGrid w:val="0"/>
          <w:color w:val="auto"/>
          <w:kern w:val="0"/>
          <w:sz w:val="24"/>
          <w:highlight w:val="none"/>
          <w:lang w:bidi="ar"/>
        </w:rPr>
      </w:pPr>
      <w:r>
        <w:rPr>
          <w:rFonts w:hint="eastAsia"/>
          <w:snapToGrid w:val="0"/>
          <w:color w:val="auto"/>
          <w:kern w:val="0"/>
          <w:sz w:val="24"/>
          <w:highlight w:val="none"/>
          <w:lang w:bidi="ar"/>
        </w:rPr>
        <w:t>本项目化验依托技术公司，但需增加部分设备及检测频次，会导致实验废液量增加，约1</w:t>
      </w:r>
      <w:r>
        <w:rPr>
          <w:snapToGrid w:val="0"/>
          <w:color w:val="auto"/>
          <w:kern w:val="0"/>
          <w:sz w:val="24"/>
          <w:highlight w:val="none"/>
          <w:lang w:bidi="ar"/>
        </w:rPr>
        <w:t>t/a</w:t>
      </w:r>
      <w:r>
        <w:rPr>
          <w:rFonts w:hint="eastAsia"/>
          <w:snapToGrid w:val="0"/>
          <w:color w:val="auto"/>
          <w:kern w:val="0"/>
          <w:sz w:val="24"/>
          <w:highlight w:val="none"/>
          <w:lang w:bidi="ar"/>
        </w:rPr>
        <w:t>。</w:t>
      </w:r>
    </w:p>
    <w:p w14:paraId="7210402E">
      <w:pPr>
        <w:wordWrap w:val="0"/>
        <w:adjustRightInd w:val="0"/>
        <w:snapToGrid w:val="0"/>
        <w:spacing w:line="360" w:lineRule="auto"/>
        <w:ind w:firstLine="480" w:firstLineChars="200"/>
        <w:rPr>
          <w:snapToGrid w:val="0"/>
          <w:color w:val="auto"/>
          <w:kern w:val="0"/>
          <w:sz w:val="24"/>
          <w:highlight w:val="none"/>
        </w:rPr>
      </w:pPr>
      <w:r>
        <w:rPr>
          <w:rFonts w:hint="eastAsia"/>
          <w:color w:val="auto"/>
          <w:kern w:val="0"/>
          <w:sz w:val="24"/>
          <w:highlight w:val="none"/>
          <w:lang w:bidi="ar"/>
        </w:rPr>
        <w:t>应急灯和UPS电源的电池为铅锌蓄电池，由于不同品牌的潜心蓄电池使用寿命不尽相同，且是作为应急使用，产生量也只能估算，暂按5t/a。</w:t>
      </w:r>
    </w:p>
    <w:p w14:paraId="2694CFB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7.2.4.3生活垃圾</w:t>
      </w:r>
    </w:p>
    <w:p w14:paraId="68CA21D9">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本项目生活垃圾产生量</w:t>
      </w:r>
      <w:r>
        <w:rPr>
          <w:rFonts w:hint="eastAsia"/>
          <w:snapToGrid w:val="0"/>
          <w:color w:val="auto"/>
          <w:kern w:val="0"/>
          <w:sz w:val="24"/>
          <w:highlight w:val="none"/>
          <w:lang w:eastAsia="zh-CN"/>
        </w:rPr>
        <w:t>12</w:t>
      </w:r>
      <w:r>
        <w:rPr>
          <w:rFonts w:hint="eastAsia"/>
          <w:snapToGrid w:val="0"/>
          <w:color w:val="auto"/>
          <w:kern w:val="0"/>
          <w:sz w:val="24"/>
          <w:highlight w:val="none"/>
        </w:rPr>
        <w:t>t/a，由西区环卫部门统一收集处理。</w:t>
      </w:r>
    </w:p>
    <w:p w14:paraId="7A12FDAF">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7.2.4.4危险废物贮存和转移控制措施</w:t>
      </w:r>
    </w:p>
    <w:p w14:paraId="60372851">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危险废物贮存污染控制标准》（GB18597-2001）（2013年修订）《危险废物转移管理办法》（部令第23号）和《新疆维吾尔自治区危险废物污染环境防治办法》（2010年5月1日），企业按照国家有关规定办理危险废物申报转移的“五联单”手续，并在贮运过程中严格执行危险化学品贮存、运输和监管的有关规定：</w:t>
      </w:r>
    </w:p>
    <w:p w14:paraId="091A73E8">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①所有废物按类在专用密闭容器中储存，没有混装；</w:t>
      </w:r>
    </w:p>
    <w:p w14:paraId="366AA28E">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②危险废物</w:t>
      </w:r>
      <w:r>
        <w:rPr>
          <w:rFonts w:hint="eastAsia"/>
          <w:snapToGrid w:val="0"/>
          <w:color w:val="auto"/>
          <w:kern w:val="0"/>
          <w:sz w:val="24"/>
          <w:highlight w:val="none"/>
          <w:lang w:eastAsia="zh-CN"/>
        </w:rPr>
        <w:t>接收</w:t>
      </w:r>
      <w:r>
        <w:rPr>
          <w:rFonts w:hint="eastAsia"/>
          <w:snapToGrid w:val="0"/>
          <w:color w:val="auto"/>
          <w:kern w:val="0"/>
          <w:sz w:val="24"/>
          <w:highlight w:val="none"/>
        </w:rPr>
        <w:t>企业有相应的危险废物经营资质；</w:t>
      </w:r>
    </w:p>
    <w:p w14:paraId="7CCE25D1">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③废物收集和封装容器得到</w:t>
      </w:r>
      <w:r>
        <w:rPr>
          <w:rFonts w:hint="eastAsia"/>
          <w:snapToGrid w:val="0"/>
          <w:color w:val="auto"/>
          <w:kern w:val="0"/>
          <w:sz w:val="24"/>
          <w:highlight w:val="none"/>
          <w:lang w:eastAsia="zh-CN"/>
        </w:rPr>
        <w:t>接收</w:t>
      </w:r>
      <w:r>
        <w:rPr>
          <w:rFonts w:hint="eastAsia"/>
          <w:snapToGrid w:val="0"/>
          <w:color w:val="auto"/>
          <w:kern w:val="0"/>
          <w:sz w:val="24"/>
          <w:highlight w:val="none"/>
        </w:rPr>
        <w:t>企业和监管部门的认可；</w:t>
      </w:r>
    </w:p>
    <w:p w14:paraId="4968D568">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④收集的固废详细列出数量和成分，并填写有关材料；</w:t>
      </w:r>
    </w:p>
    <w:p w14:paraId="6BAA8388">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⑤专人负责固废和残液的收集、贮运管理工作；</w:t>
      </w:r>
    </w:p>
    <w:p w14:paraId="46196E48">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⑥危险废物的运输车辆须经主管单位检查，并持有有关单位签发的许可证，负责运输的司机应通过培训，持有证明文件；</w:t>
      </w:r>
    </w:p>
    <w:p w14:paraId="01204E27">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⑦承载危险废物的车辆须有明显的标志或适当的危险符号，以引起注意；</w:t>
      </w:r>
    </w:p>
    <w:p w14:paraId="52003B83">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⑧载有危险废物的车辆在公路上行驶时，需持有运输许可证，其上应注明废物来源、性质和运往地点；</w:t>
      </w:r>
    </w:p>
    <w:p w14:paraId="11DFF7DC">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⑨在运输过程中发生事故，单位主要负责人应当按照本单位制定的应急救援预案，立即组织救援。</w:t>
      </w:r>
    </w:p>
    <w:p w14:paraId="54550D9E">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本项目危险废物依托材料公司厂区已建危废暂存库进行暂存，危废暂存库占地面积800m</w:t>
      </w:r>
      <w:r>
        <w:rPr>
          <w:rFonts w:hint="eastAsia"/>
          <w:snapToGrid w:val="0"/>
          <w:color w:val="auto"/>
          <w:kern w:val="0"/>
          <w:sz w:val="24"/>
          <w:highlight w:val="none"/>
          <w:vertAlign w:val="superscript"/>
        </w:rPr>
        <w:t>2</w:t>
      </w:r>
      <w:r>
        <w:rPr>
          <w:rFonts w:hint="eastAsia"/>
          <w:snapToGrid w:val="0"/>
          <w:color w:val="auto"/>
          <w:kern w:val="0"/>
          <w:sz w:val="24"/>
          <w:highlight w:val="none"/>
        </w:rPr>
        <w:t>。危废暂存库地面采用混凝土地基，各贮存间墙内侧设高20cm防渗墙裙。防渗层位土工布+2mm厚高密度聚乙烯+土工布+150mm厚混凝土，渗透系数≤10</w:t>
      </w:r>
      <w:r>
        <w:rPr>
          <w:rFonts w:hint="eastAsia"/>
          <w:snapToGrid w:val="0"/>
          <w:color w:val="auto"/>
          <w:kern w:val="0"/>
          <w:sz w:val="24"/>
          <w:highlight w:val="none"/>
          <w:vertAlign w:val="superscript"/>
        </w:rPr>
        <w:t>-10</w:t>
      </w:r>
      <w:r>
        <w:rPr>
          <w:rFonts w:hint="eastAsia"/>
          <w:snapToGrid w:val="0"/>
          <w:color w:val="auto"/>
          <w:kern w:val="0"/>
          <w:sz w:val="24"/>
          <w:highlight w:val="none"/>
        </w:rPr>
        <w:t>cm/s。按照设计储存规模达500吨</w:t>
      </w:r>
      <w:r>
        <w:rPr>
          <w:rFonts w:hint="eastAsia"/>
          <w:snapToGrid w:val="0"/>
          <w:color w:val="auto"/>
          <w:kern w:val="0"/>
          <w:sz w:val="24"/>
          <w:highlight w:val="none"/>
          <w:lang w:eastAsia="zh-CN"/>
        </w:rPr>
        <w:t>，</w:t>
      </w:r>
      <w:r>
        <w:rPr>
          <w:rFonts w:hint="eastAsia"/>
          <w:snapToGrid w:val="0"/>
          <w:color w:val="auto"/>
          <w:kern w:val="0"/>
          <w:sz w:val="24"/>
          <w:highlight w:val="none"/>
        </w:rPr>
        <w:t>危废暂存库分3间独立建设，每间内设置排水地沟一条，将库内异常</w:t>
      </w:r>
      <w:r>
        <w:rPr>
          <w:rFonts w:hint="eastAsia"/>
          <w:snapToGrid w:val="0"/>
          <w:color w:val="auto"/>
          <w:kern w:val="0"/>
          <w:sz w:val="24"/>
          <w:highlight w:val="none"/>
          <w:lang w:eastAsia="zh-CN"/>
        </w:rPr>
        <w:t>泄漏</w:t>
      </w:r>
      <w:r>
        <w:rPr>
          <w:rFonts w:hint="eastAsia"/>
          <w:snapToGrid w:val="0"/>
          <w:color w:val="auto"/>
          <w:kern w:val="0"/>
          <w:sz w:val="24"/>
          <w:highlight w:val="none"/>
        </w:rPr>
        <w:t>液体及冲洗水收集至厂区事故池（7000m</w:t>
      </w:r>
      <w:r>
        <w:rPr>
          <w:rFonts w:hint="eastAsia"/>
          <w:snapToGrid w:val="0"/>
          <w:color w:val="auto"/>
          <w:kern w:val="0"/>
          <w:sz w:val="24"/>
          <w:highlight w:val="none"/>
          <w:vertAlign w:val="superscript"/>
        </w:rPr>
        <w:t>3</w:t>
      </w:r>
      <w:r>
        <w:rPr>
          <w:rFonts w:hint="eastAsia"/>
          <w:snapToGrid w:val="0"/>
          <w:color w:val="auto"/>
          <w:kern w:val="0"/>
          <w:sz w:val="24"/>
          <w:highlight w:val="none"/>
        </w:rPr>
        <w:t>），最终进入厂区污水处理站处理。危废暂存库能够满足《危险废物贮存污染控制标准》（GB18597-2001）的相关要求。</w:t>
      </w:r>
    </w:p>
    <w:p w14:paraId="01925303">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现有危废暂存库运行正常，储存的危废包括：废矿物油、化验室废试剂及在线监测试剂、废催化剂等，暂存量达70吨，尚余450吨容量，本次新增项目危废产生量约11t/a，因此现有危废暂存库完全有能力储存本项目产生的危险废物。</w:t>
      </w:r>
    </w:p>
    <w:p w14:paraId="418504AB">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7.2.4.5小结</w:t>
      </w:r>
    </w:p>
    <w:p w14:paraId="4734C493">
      <w:pPr>
        <w:wordWrap w:val="0"/>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综上所述，本项目产生的各类固体废物均得到合理利用或妥善处置，评价认为本项目固体废物的处理处置措施可行。</w:t>
      </w:r>
    </w:p>
    <w:p w14:paraId="2399034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7.2.5运营期地下水污染防治措施可行性分析</w:t>
      </w:r>
    </w:p>
    <w:p w14:paraId="622AE92C">
      <w:pPr>
        <w:spacing w:line="360" w:lineRule="auto"/>
        <w:ind w:firstLine="480" w:firstLineChars="200"/>
        <w:rPr>
          <w:color w:val="auto"/>
          <w:sz w:val="24"/>
          <w:highlight w:val="none"/>
        </w:rPr>
      </w:pPr>
      <w:r>
        <w:rPr>
          <w:rFonts w:hint="eastAsia"/>
          <w:color w:val="auto"/>
          <w:sz w:val="24"/>
          <w:highlight w:val="none"/>
        </w:rPr>
        <w:t>本项目地下水污染防治措施应按照“源头控制、分区防治”相结合的原则，从污染物的产生、入渗、扩散、应急响应进行控制。</w:t>
      </w:r>
    </w:p>
    <w:p w14:paraId="37316C5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7.2.5.1源头控制措施</w:t>
      </w:r>
    </w:p>
    <w:p w14:paraId="029FB2F5">
      <w:pPr>
        <w:spacing w:line="360" w:lineRule="auto"/>
        <w:ind w:firstLine="480" w:firstLineChars="200"/>
        <w:rPr>
          <w:color w:val="auto"/>
          <w:sz w:val="24"/>
          <w:highlight w:val="none"/>
        </w:rPr>
      </w:pPr>
      <w:r>
        <w:rPr>
          <w:rFonts w:hint="eastAsia"/>
          <w:color w:val="auto"/>
          <w:sz w:val="24"/>
          <w:highlight w:val="none"/>
        </w:rPr>
        <w:t>（1）为了防止本项目对地下水造成污染，结合建设项目建筑物的特点，建设时选择了先进、成熟、可靠的工艺技术，并对产生的废水、污水进行了合理的治理，从源头上减少污染物排放；严格按照国家相关规范要求，对工艺、管道、设备、污水储存及处理构筑物采取相应的措施，防止和降低污染物的跑、冒、滴、漏，将污染物泄漏的环境风险事故降低到最低程度。</w:t>
      </w:r>
    </w:p>
    <w:p w14:paraId="7BD0990E">
      <w:pPr>
        <w:spacing w:line="360" w:lineRule="auto"/>
        <w:ind w:firstLine="480" w:firstLineChars="200"/>
        <w:rPr>
          <w:color w:val="auto"/>
          <w:sz w:val="24"/>
          <w:highlight w:val="none"/>
        </w:rPr>
      </w:pPr>
      <w:r>
        <w:rPr>
          <w:rFonts w:hint="eastAsia"/>
          <w:color w:val="auto"/>
          <w:sz w:val="24"/>
          <w:highlight w:val="none"/>
        </w:rPr>
        <w:t>（2）针对本项目地下水污染防治的重点是对污染物存贮建筑物采取相应的防渗措施，并建立完善的风险应急预案、设置合理有效的监测井，加强地下水环境监测，把地下水污染控制在源头或起始阶段，防止有害物质渗入地下水中。</w:t>
      </w:r>
    </w:p>
    <w:p w14:paraId="77670C6C">
      <w:pPr>
        <w:spacing w:line="360" w:lineRule="auto"/>
        <w:ind w:firstLine="480" w:firstLineChars="200"/>
        <w:rPr>
          <w:color w:val="auto"/>
          <w:sz w:val="24"/>
          <w:highlight w:val="none"/>
        </w:rPr>
      </w:pPr>
      <w:r>
        <w:rPr>
          <w:rFonts w:hint="eastAsia"/>
          <w:color w:val="auto"/>
          <w:sz w:val="24"/>
          <w:highlight w:val="none"/>
        </w:rPr>
        <w:t>（3）定期对地下水开展监测工作。</w:t>
      </w:r>
    </w:p>
    <w:p w14:paraId="0D04AF57">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7.2.5.2分区防渗措施</w:t>
      </w:r>
    </w:p>
    <w:p w14:paraId="5B6DBD03">
      <w:pPr>
        <w:spacing w:line="360" w:lineRule="auto"/>
        <w:ind w:firstLine="480" w:firstLineChars="200"/>
        <w:rPr>
          <w:color w:val="auto"/>
          <w:sz w:val="24"/>
          <w:highlight w:val="none"/>
        </w:rPr>
      </w:pPr>
      <w:r>
        <w:rPr>
          <w:rFonts w:hint="eastAsia"/>
          <w:color w:val="auto"/>
          <w:sz w:val="24"/>
          <w:highlight w:val="none"/>
        </w:rPr>
        <w:t>根据本项目场地天然包气带的防污性能、污染控制难易程度及污染物的类型，将厂区划分为一般防渗区、简单防渗区和重点防渗区。由前述分析可知，厂区包气带的防污性能微弱，污染物中含有其他类污染物，再根据各区的污染控制难易程度，对全厂可能会影响地下水的区域进行防渗处理。本项目厂内防渗工程参照《环境影响评价技术导则 地下水环境》（HJ610-2016）和《石油化工工程防渗技术规范》（GB/T50934-2013）标准要求设计。</w:t>
      </w:r>
    </w:p>
    <w:p w14:paraId="71DEF122">
      <w:p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lang w:val="en-US" w:eastAsia="zh-CN"/>
        </w:rPr>
        <w:t>重点防渗区</w:t>
      </w:r>
    </w:p>
    <w:p w14:paraId="04B1865A">
      <w:pPr>
        <w:spacing w:line="360" w:lineRule="auto"/>
        <w:ind w:firstLine="480" w:firstLineChars="200"/>
        <w:rPr>
          <w:rFonts w:hint="eastAsia"/>
          <w:color w:val="auto"/>
          <w:sz w:val="24"/>
          <w:highlight w:val="none"/>
        </w:rPr>
      </w:pPr>
      <w:r>
        <w:rPr>
          <w:rFonts w:hint="eastAsia"/>
          <w:color w:val="auto"/>
          <w:sz w:val="24"/>
          <w:highlight w:val="none"/>
        </w:rPr>
        <w:t>重点防渗区是指事故风险危险区、位于地下或者半地下的生产功能单元，污染地下水环境的污染物泄漏后不容易被及时发现和处理的区域或部位。本项目重点防渗区主要包括发酵装置区、提取装置区、罐区、活性炭再生装置区等。</w:t>
      </w:r>
    </w:p>
    <w:p w14:paraId="773D3D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napToGrid w:val="0"/>
          <w:color w:val="auto"/>
          <w:kern w:val="0"/>
          <w:sz w:val="24"/>
          <w:highlight w:val="none"/>
        </w:rPr>
      </w:pPr>
      <w:r>
        <w:rPr>
          <w:rFonts w:hint="eastAsia" w:ascii="Times New Roman" w:hAnsi="Times New Roman"/>
          <w:snapToGrid w:val="0"/>
          <w:color w:val="auto"/>
          <w:kern w:val="0"/>
          <w:sz w:val="24"/>
          <w:highlight w:val="none"/>
          <w:lang w:val="en-US" w:eastAsia="zh-CN"/>
        </w:rPr>
        <w:t>1）</w:t>
      </w:r>
      <w:r>
        <w:rPr>
          <w:rFonts w:hint="eastAsia" w:ascii="Times New Roman" w:hAnsi="Times New Roman"/>
          <w:snapToGrid w:val="0"/>
          <w:color w:val="auto"/>
          <w:kern w:val="0"/>
          <w:sz w:val="24"/>
          <w:highlight w:val="none"/>
        </w:rPr>
        <w:t>罐区</w:t>
      </w:r>
    </w:p>
    <w:p w14:paraId="147BFC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snapToGrid w:val="0"/>
          <w:color w:val="auto"/>
          <w:kern w:val="0"/>
          <w:sz w:val="24"/>
          <w:highlight w:val="none"/>
        </w:rPr>
      </w:pPr>
      <w:r>
        <w:rPr>
          <w:rFonts w:hint="eastAsia" w:ascii="Times New Roman" w:hAnsi="Times New Roman"/>
          <w:snapToGrid w:val="0"/>
          <w:color w:val="auto"/>
          <w:kern w:val="0"/>
          <w:sz w:val="24"/>
          <w:highlight w:val="none"/>
        </w:rPr>
        <w:t>罐区地面采用水泥硬化和严格防渗、防腐措施，罐区周围设置具有强防渗的围堰和集水沟。储罐基础进行重点防渗。罐区基础的防渗，需要从上至下依次采用“防渗层+砂垫层+长丝无纺土工布+2mm厚的HDPE防渗膜（渗透系数不大于1.0×10</w:t>
      </w:r>
      <w:r>
        <w:rPr>
          <w:rFonts w:hint="eastAsia" w:ascii="Times New Roman" w:hAnsi="Times New Roman"/>
          <w:snapToGrid w:val="0"/>
          <w:color w:val="auto"/>
          <w:kern w:val="0"/>
          <w:sz w:val="24"/>
          <w:highlight w:val="none"/>
          <w:vertAlign w:val="superscript"/>
        </w:rPr>
        <w:t>-7</w:t>
      </w:r>
      <w:r>
        <w:rPr>
          <w:rFonts w:hint="eastAsia" w:ascii="Times New Roman" w:hAnsi="Times New Roman"/>
          <w:snapToGrid w:val="0"/>
          <w:color w:val="auto"/>
          <w:kern w:val="0"/>
          <w:sz w:val="24"/>
          <w:highlight w:val="none"/>
        </w:rPr>
        <w:t>cm/s）+1.0m厚度黏土或原土夯实”的防渗方式。</w:t>
      </w:r>
    </w:p>
    <w:p w14:paraId="019177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napToGrid w:val="0"/>
          <w:color w:val="auto"/>
          <w:kern w:val="0"/>
          <w:sz w:val="24"/>
          <w:highlight w:val="none"/>
        </w:rPr>
      </w:pPr>
      <w:r>
        <w:rPr>
          <w:rFonts w:hint="eastAsia" w:ascii="Times New Roman" w:hAnsi="Times New Roman"/>
          <w:snapToGrid w:val="0"/>
          <w:color w:val="auto"/>
          <w:kern w:val="0"/>
          <w:sz w:val="24"/>
          <w:highlight w:val="none"/>
          <w:lang w:val="en-US" w:eastAsia="zh-CN"/>
        </w:rPr>
        <w:t>2）</w:t>
      </w:r>
      <w:r>
        <w:rPr>
          <w:rFonts w:hint="eastAsia" w:ascii="Times New Roman" w:hAnsi="Times New Roman"/>
          <w:snapToGrid w:val="0"/>
          <w:color w:val="auto"/>
          <w:kern w:val="0"/>
          <w:sz w:val="24"/>
          <w:highlight w:val="none"/>
        </w:rPr>
        <w:t>生产车间地面防渗</w:t>
      </w:r>
    </w:p>
    <w:p w14:paraId="3298AC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napToGrid w:val="0"/>
          <w:color w:val="auto"/>
          <w:kern w:val="0"/>
          <w:sz w:val="24"/>
          <w:highlight w:val="none"/>
        </w:rPr>
      </w:pPr>
      <w:r>
        <w:rPr>
          <w:rFonts w:hint="eastAsia" w:ascii="Times New Roman" w:hAnsi="Times New Roman"/>
          <w:snapToGrid w:val="0"/>
          <w:color w:val="auto"/>
          <w:kern w:val="0"/>
          <w:sz w:val="24"/>
          <w:highlight w:val="none"/>
          <w:lang w:val="zh-CN"/>
        </w:rPr>
        <w:t>重点</w:t>
      </w:r>
      <w:r>
        <w:rPr>
          <w:rFonts w:hint="eastAsia" w:ascii="Times New Roman" w:hAnsi="Times New Roman"/>
          <w:snapToGrid w:val="0"/>
          <w:color w:val="auto"/>
          <w:kern w:val="0"/>
          <w:sz w:val="24"/>
          <w:highlight w:val="none"/>
        </w:rPr>
        <w:t>防渗</w:t>
      </w:r>
      <w:r>
        <w:rPr>
          <w:rFonts w:hint="eastAsia" w:ascii="Times New Roman" w:hAnsi="Times New Roman"/>
          <w:snapToGrid w:val="0"/>
          <w:color w:val="auto"/>
          <w:kern w:val="0"/>
          <w:sz w:val="24"/>
          <w:highlight w:val="none"/>
          <w:lang w:val="zh-CN"/>
        </w:rPr>
        <w:t>区防渗性能不应低于6m厚渗透系数为1.0×</w:t>
      </w:r>
      <w:r>
        <w:rPr>
          <w:rFonts w:ascii="Times New Roman" w:hAnsi="Times New Roman"/>
          <w:snapToGrid w:val="0"/>
          <w:color w:val="auto"/>
          <w:kern w:val="0"/>
          <w:sz w:val="24"/>
          <w:highlight w:val="none"/>
          <w:lang w:val="zh-CN"/>
        </w:rPr>
        <w:t>10</w:t>
      </w:r>
      <w:r>
        <w:rPr>
          <w:rFonts w:ascii="Times New Roman" w:hAnsi="Times New Roman"/>
          <w:snapToGrid w:val="0"/>
          <w:color w:val="auto"/>
          <w:kern w:val="0"/>
          <w:sz w:val="24"/>
          <w:highlight w:val="none"/>
          <w:vertAlign w:val="superscript"/>
          <w:lang w:val="zh-CN"/>
        </w:rPr>
        <w:t>-7</w:t>
      </w:r>
      <w:r>
        <w:rPr>
          <w:rFonts w:ascii="Times New Roman" w:hAnsi="Times New Roman"/>
          <w:snapToGrid w:val="0"/>
          <w:color w:val="auto"/>
          <w:kern w:val="0"/>
          <w:sz w:val="24"/>
          <w:highlight w:val="none"/>
          <w:lang w:val="zh-CN"/>
        </w:rPr>
        <w:t>cm/s</w:t>
      </w:r>
      <w:r>
        <w:rPr>
          <w:rFonts w:hint="eastAsia" w:ascii="Times New Roman" w:hAnsi="Times New Roman"/>
          <w:snapToGrid w:val="0"/>
          <w:color w:val="auto"/>
          <w:kern w:val="0"/>
          <w:sz w:val="24"/>
          <w:highlight w:val="none"/>
          <w:lang w:val="zh-CN"/>
        </w:rPr>
        <w:t>的黏土层防渗性能。防渗设计应满足《石油化工工程防渗技术规范》(GB/T50934-2013)中“5设计”要求</w:t>
      </w:r>
      <w:r>
        <w:rPr>
          <w:rFonts w:hint="eastAsia" w:ascii="Times New Roman" w:hAnsi="Times New Roman"/>
          <w:snapToGrid w:val="0"/>
          <w:color w:val="auto"/>
          <w:kern w:val="0"/>
          <w:sz w:val="24"/>
          <w:highlight w:val="none"/>
        </w:rPr>
        <w:t>。地面防渗一般做法：砂土垫层（压平夯实）+垫层+砂砾卵石保护层+钢筋混凝土面层（混凝土防渗等级不小于P8）渗透系数不大于1×10</w:t>
      </w:r>
      <w:r>
        <w:rPr>
          <w:rFonts w:hint="eastAsia" w:ascii="Times New Roman" w:hAnsi="Times New Roman"/>
          <w:snapToGrid w:val="0"/>
          <w:color w:val="auto"/>
          <w:kern w:val="0"/>
          <w:sz w:val="24"/>
          <w:highlight w:val="none"/>
          <w:vertAlign w:val="superscript"/>
        </w:rPr>
        <w:t>-7</w:t>
      </w:r>
      <w:r>
        <w:rPr>
          <w:rFonts w:hint="eastAsia" w:ascii="Times New Roman" w:hAnsi="Times New Roman"/>
          <w:snapToGrid w:val="0"/>
          <w:color w:val="auto"/>
          <w:kern w:val="0"/>
          <w:sz w:val="24"/>
          <w:highlight w:val="none"/>
        </w:rPr>
        <w:t>cm/s</w:t>
      </w:r>
      <w:r>
        <w:rPr>
          <w:rFonts w:hint="eastAsia" w:ascii="Times New Roman" w:hAnsi="Times New Roman"/>
          <w:snapToGrid w:val="0"/>
          <w:color w:val="auto"/>
          <w:kern w:val="0"/>
          <w:sz w:val="24"/>
          <w:highlight w:val="none"/>
          <w:lang w:val="zh-CN"/>
        </w:rPr>
        <w:t>。</w:t>
      </w:r>
    </w:p>
    <w:p w14:paraId="1B5ED6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snapToGrid w:val="0"/>
          <w:color w:val="auto"/>
          <w:kern w:val="0"/>
          <w:sz w:val="24"/>
          <w:highlight w:val="none"/>
        </w:rPr>
      </w:pPr>
      <w:r>
        <w:rPr>
          <w:rFonts w:hint="eastAsia" w:ascii="Times New Roman" w:hAnsi="Times New Roman"/>
          <w:snapToGrid w:val="0"/>
          <w:color w:val="auto"/>
          <w:kern w:val="0"/>
          <w:sz w:val="24"/>
          <w:highlight w:val="none"/>
          <w:lang w:val="en-US" w:eastAsia="zh-CN"/>
        </w:rPr>
        <w:t>3）</w:t>
      </w:r>
      <w:r>
        <w:rPr>
          <w:rFonts w:hint="eastAsia" w:ascii="Times New Roman" w:hAnsi="Times New Roman"/>
          <w:snapToGrid w:val="0"/>
          <w:color w:val="auto"/>
          <w:kern w:val="0"/>
          <w:sz w:val="24"/>
          <w:highlight w:val="none"/>
        </w:rPr>
        <w:t>管沟、截水沟防渗</w:t>
      </w:r>
    </w:p>
    <w:p w14:paraId="74E963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highlight w:val="none"/>
        </w:rPr>
      </w:pPr>
      <w:r>
        <w:rPr>
          <w:rFonts w:hint="eastAsia" w:ascii="Times New Roman" w:hAnsi="Times New Roman"/>
          <w:snapToGrid w:val="0"/>
          <w:color w:val="auto"/>
          <w:kern w:val="0"/>
          <w:sz w:val="24"/>
          <w:highlight w:val="none"/>
        </w:rPr>
        <w:t>防渗管沟、截水沟等要求均设置钢筋砼防渗沟，防渗层的防渗性能不应低于6m厚渗透系数为1.0×10</w:t>
      </w:r>
      <w:r>
        <w:rPr>
          <w:rFonts w:hint="eastAsia" w:ascii="Times New Roman" w:hAnsi="Times New Roman"/>
          <w:snapToGrid w:val="0"/>
          <w:color w:val="auto"/>
          <w:kern w:val="0"/>
          <w:sz w:val="24"/>
          <w:highlight w:val="none"/>
          <w:vertAlign w:val="superscript"/>
        </w:rPr>
        <w:t>-7</w:t>
      </w:r>
      <w:r>
        <w:rPr>
          <w:rFonts w:hint="eastAsia" w:ascii="Times New Roman" w:hAnsi="Times New Roman"/>
          <w:snapToGrid w:val="0"/>
          <w:color w:val="auto"/>
          <w:kern w:val="0"/>
          <w:sz w:val="24"/>
          <w:highlight w:val="none"/>
        </w:rPr>
        <w:t>cm/s的黏土层的防渗性能。</w:t>
      </w:r>
      <w:r>
        <w:rPr>
          <w:rFonts w:hint="eastAsia" w:ascii="Times New Roman" w:hAnsi="Times New Roman"/>
          <w:snapToGrid w:val="0"/>
          <w:color w:val="auto"/>
          <w:kern w:val="0"/>
          <w:sz w:val="24"/>
          <w:highlight w:val="none"/>
          <w:lang w:eastAsia="zh-CN"/>
        </w:rPr>
        <w:t>防渗</w:t>
      </w:r>
      <w:r>
        <w:rPr>
          <w:rFonts w:hint="eastAsia" w:ascii="Times New Roman" w:hAnsi="Times New Roman"/>
          <w:snapToGrid w:val="0"/>
          <w:color w:val="auto"/>
          <w:kern w:val="0"/>
          <w:sz w:val="24"/>
          <w:highlight w:val="none"/>
        </w:rPr>
        <w:t>设计应满足《石油化工工程防渗技术规范》（GB/T50934-2013）中“5设计”相应要求。沟顶设钢筋砼盖板；要求沟顶标高低于所在地坪面0.2m，防止地面雨水渗入管沟内，穿过沟壁的含油污水管在沟壁部位均设防水钢套管，钢套管内壁与沟壁平，外壁突出300mm，方便管道焊接。</w:t>
      </w:r>
    </w:p>
    <w:p w14:paraId="030508BA">
      <w:p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lang w:val="en-US" w:eastAsia="zh-CN"/>
        </w:rPr>
        <w:t>一般防渗区</w:t>
      </w:r>
    </w:p>
    <w:p w14:paraId="3532B61F">
      <w:pPr>
        <w:spacing w:line="360" w:lineRule="auto"/>
        <w:ind w:firstLine="480" w:firstLineChars="200"/>
        <w:rPr>
          <w:rFonts w:hint="eastAsia"/>
          <w:color w:val="auto"/>
          <w:kern w:val="0"/>
          <w:sz w:val="24"/>
          <w:highlight w:val="none"/>
          <w:lang w:bidi="ar"/>
        </w:rPr>
      </w:pPr>
      <w:r>
        <w:rPr>
          <w:rFonts w:hint="eastAsia"/>
          <w:color w:val="auto"/>
          <w:sz w:val="24"/>
          <w:highlight w:val="none"/>
        </w:rPr>
        <w:t>一般防渗区</w:t>
      </w:r>
      <w:r>
        <w:rPr>
          <w:rFonts w:hint="eastAsia" w:hAnsi="宋体"/>
          <w:color w:val="auto"/>
          <w:sz w:val="24"/>
          <w:highlight w:val="none"/>
        </w:rPr>
        <w:t>是指对地下水环境有污染的物料或污染物泄漏后，可及时发现和处理的区域或部位。根据项目特点，</w:t>
      </w:r>
      <w:r>
        <w:rPr>
          <w:rFonts w:hint="eastAsia"/>
          <w:color w:val="auto"/>
          <w:sz w:val="24"/>
          <w:highlight w:val="none"/>
        </w:rPr>
        <w:t>本项目一般防渗区主要包括循环水泵房</w:t>
      </w:r>
      <w:r>
        <w:rPr>
          <w:rFonts w:hint="eastAsia"/>
          <w:color w:val="auto"/>
          <w:kern w:val="0"/>
          <w:sz w:val="24"/>
          <w:highlight w:val="none"/>
          <w:lang w:bidi="ar"/>
        </w:rPr>
        <w:t>等。</w:t>
      </w:r>
    </w:p>
    <w:p w14:paraId="516D0E6A">
      <w:pPr>
        <w:spacing w:line="360" w:lineRule="auto"/>
        <w:ind w:firstLine="480" w:firstLineChars="200"/>
        <w:rPr>
          <w:rFonts w:hint="default" w:eastAsia="宋体"/>
          <w:color w:val="auto"/>
          <w:kern w:val="0"/>
          <w:sz w:val="24"/>
          <w:highlight w:val="none"/>
          <w:lang w:val="en-US" w:eastAsia="zh-CN" w:bidi="ar"/>
        </w:rPr>
      </w:pPr>
      <w:r>
        <w:rPr>
          <w:rFonts w:hint="eastAsia"/>
          <w:color w:val="auto"/>
          <w:kern w:val="0"/>
          <w:sz w:val="24"/>
          <w:highlight w:val="none"/>
          <w:lang w:eastAsia="zh-CN" w:bidi="ar"/>
        </w:rPr>
        <w:t>（</w:t>
      </w:r>
      <w:r>
        <w:rPr>
          <w:rFonts w:hint="eastAsia"/>
          <w:color w:val="auto"/>
          <w:kern w:val="0"/>
          <w:sz w:val="24"/>
          <w:highlight w:val="none"/>
          <w:lang w:val="en-US" w:eastAsia="zh-CN" w:bidi="ar"/>
        </w:rPr>
        <w:t>3</w:t>
      </w:r>
      <w:r>
        <w:rPr>
          <w:rFonts w:hint="eastAsia"/>
          <w:color w:val="auto"/>
          <w:kern w:val="0"/>
          <w:sz w:val="24"/>
          <w:highlight w:val="none"/>
          <w:lang w:eastAsia="zh-CN" w:bidi="ar"/>
        </w:rPr>
        <w:t>）</w:t>
      </w:r>
      <w:r>
        <w:rPr>
          <w:rFonts w:hint="eastAsia"/>
          <w:color w:val="auto"/>
          <w:kern w:val="0"/>
          <w:sz w:val="24"/>
          <w:highlight w:val="none"/>
          <w:lang w:val="en-US" w:eastAsia="zh-CN" w:bidi="ar"/>
        </w:rPr>
        <w:t>简单防渗区</w:t>
      </w:r>
    </w:p>
    <w:p w14:paraId="2019746F">
      <w:pPr>
        <w:spacing w:line="360" w:lineRule="auto"/>
        <w:ind w:firstLine="480" w:firstLineChars="200"/>
        <w:rPr>
          <w:color w:val="auto"/>
          <w:sz w:val="24"/>
          <w:highlight w:val="none"/>
        </w:rPr>
      </w:pPr>
      <w:r>
        <w:rPr>
          <w:color w:val="auto"/>
          <w:sz w:val="24"/>
          <w:highlight w:val="none"/>
        </w:rPr>
        <w:t>简单防渗区</w:t>
      </w:r>
      <w:r>
        <w:rPr>
          <w:rFonts w:hint="eastAsia"/>
          <w:color w:val="auto"/>
          <w:sz w:val="24"/>
          <w:highlight w:val="none"/>
        </w:rPr>
        <w:t>主要</w:t>
      </w:r>
      <w:r>
        <w:rPr>
          <w:color w:val="auto"/>
          <w:sz w:val="24"/>
          <w:highlight w:val="none"/>
        </w:rPr>
        <w:t>指不会对地下水环境造成污染的区域。按通常的工程要求进行夯实、地面硬化/绿化</w:t>
      </w:r>
      <w:r>
        <w:rPr>
          <w:rFonts w:hint="eastAsia"/>
          <w:color w:val="auto"/>
          <w:sz w:val="24"/>
          <w:highlight w:val="none"/>
        </w:rPr>
        <w:t>。本项目简单防渗区主要为动力站、中控室、配电室、厂区道路。</w:t>
      </w:r>
    </w:p>
    <w:p w14:paraId="65476BBC">
      <w:pPr>
        <w:spacing w:line="360" w:lineRule="auto"/>
        <w:ind w:firstLine="480" w:firstLineChars="200"/>
        <w:rPr>
          <w:color w:val="auto"/>
          <w:sz w:val="24"/>
          <w:highlight w:val="none"/>
        </w:rPr>
      </w:pPr>
      <w:r>
        <w:rPr>
          <w:rFonts w:hint="eastAsia"/>
          <w:color w:val="auto"/>
          <w:sz w:val="24"/>
          <w:highlight w:val="none"/>
        </w:rPr>
        <w:t>根据《环境影响评价技术导则 地下水环境》（HJ610-2016）中关于地下水污染分区防渗的要求，对这些区域的地面采用相应的措施进行防渗处理，以达到各防渗区的防渗技术要求，防止污染物下渗造成地下水污染。具体的防渗要求参照《石油化工工程防渗技术规范》（GB/T50934）和《环境影响评价技术导则 地下水环境》（HJ610-2016）实施。</w:t>
      </w:r>
    </w:p>
    <w:p w14:paraId="63F62ED9">
      <w:pPr>
        <w:pStyle w:val="412"/>
        <w:keepNext w:val="0"/>
        <w:keepLines w:val="0"/>
        <w:pageBreakBefore w:val="0"/>
        <w:widowControl w:val="0"/>
        <w:tabs>
          <w:tab w:val="left" w:pos="0"/>
          <w:tab w:val="clear" w:pos="6840"/>
        </w:tabs>
        <w:kinsoku/>
        <w:wordWrap/>
        <w:overflowPunct/>
        <w:topLinePunct w:val="0"/>
        <w:autoSpaceDE w:val="0"/>
        <w:autoSpaceDN w:val="0"/>
        <w:bidi w:val="0"/>
        <w:adjustRightInd w:val="0"/>
        <w:snapToGrid w:val="0"/>
        <w:spacing w:line="240" w:lineRule="auto"/>
        <w:ind w:left="0" w:hanging="422"/>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7.2-</w:t>
      </w:r>
      <w:r>
        <w:rPr>
          <w:rFonts w:hint="eastAsia" w:ascii="Times New Roman" w:hAnsi="Times New Roman" w:cs="Times New Roman"/>
          <w:color w:val="auto"/>
          <w:sz w:val="21"/>
          <w:szCs w:val="21"/>
          <w:highlight w:val="none"/>
          <w:lang w:val="en-US" w:eastAsia="zh-CN"/>
        </w:rPr>
        <w:t>5</w:t>
      </w:r>
      <w:r>
        <w:rPr>
          <w:rFonts w:hint="eastAsia" w:ascii="Times New Roman" w:hAnsi="Times New Roman" w:cs="Times New Roman"/>
          <w:color w:val="auto"/>
          <w:sz w:val="21"/>
          <w:szCs w:val="21"/>
          <w:highlight w:val="none"/>
        </w:rPr>
        <w:t xml:space="preserve"> 企业分区防渗表</w:t>
      </w:r>
    </w:p>
    <w:tbl>
      <w:tblPr>
        <w:tblStyle w:val="56"/>
        <w:tblW w:w="506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03"/>
        <w:gridCol w:w="3548"/>
        <w:gridCol w:w="3579"/>
      </w:tblGrid>
      <w:tr w14:paraId="7EB7C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 w:hRule="atLeast"/>
          <w:jc w:val="center"/>
        </w:trPr>
        <w:tc>
          <w:tcPr>
            <w:tcW w:w="722" w:type="pct"/>
            <w:shd w:val="clear" w:color="auto" w:fill="auto"/>
            <w:vAlign w:val="center"/>
          </w:tcPr>
          <w:p w14:paraId="6428EC70">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bCs/>
                <w:color w:val="auto"/>
                <w:szCs w:val="21"/>
                <w:highlight w:val="none"/>
              </w:rPr>
              <w:t>防渗分区</w:t>
            </w:r>
          </w:p>
        </w:tc>
        <w:tc>
          <w:tcPr>
            <w:tcW w:w="2129" w:type="pct"/>
            <w:shd w:val="clear" w:color="auto" w:fill="auto"/>
            <w:vAlign w:val="center"/>
          </w:tcPr>
          <w:p w14:paraId="441CA603">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bCs/>
                <w:color w:val="auto"/>
                <w:szCs w:val="21"/>
                <w:highlight w:val="none"/>
              </w:rPr>
              <w:t>区域或构筑物名称</w:t>
            </w:r>
          </w:p>
        </w:tc>
        <w:tc>
          <w:tcPr>
            <w:tcW w:w="2147" w:type="pct"/>
            <w:shd w:val="clear" w:color="auto" w:fill="auto"/>
            <w:vAlign w:val="center"/>
          </w:tcPr>
          <w:p w14:paraId="618ACB9C">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bCs/>
                <w:color w:val="auto"/>
                <w:szCs w:val="21"/>
                <w:highlight w:val="none"/>
              </w:rPr>
              <w:t>防渗技术要求</w:t>
            </w:r>
          </w:p>
        </w:tc>
      </w:tr>
      <w:tr w14:paraId="6A558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restart"/>
            <w:shd w:val="clear" w:color="auto" w:fill="auto"/>
            <w:vAlign w:val="center"/>
          </w:tcPr>
          <w:p w14:paraId="3A53E178">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bCs/>
                <w:color w:val="auto"/>
                <w:szCs w:val="21"/>
                <w:highlight w:val="none"/>
              </w:rPr>
              <w:t>重点防渗区</w:t>
            </w:r>
          </w:p>
        </w:tc>
        <w:tc>
          <w:tcPr>
            <w:tcW w:w="2129" w:type="pct"/>
            <w:shd w:val="clear" w:color="auto" w:fill="auto"/>
            <w:vAlign w:val="center"/>
          </w:tcPr>
          <w:p w14:paraId="4BB8449F">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ascii="Times New Roman" w:hAnsi="Times New Roman" w:eastAsia="宋体" w:cs="Times New Roman"/>
                <w:bCs/>
                <w:color w:val="auto"/>
                <w:szCs w:val="21"/>
                <w:highlight w:val="none"/>
                <w:lang w:val="en-US"/>
              </w:rPr>
              <w:t>发酵装置区</w:t>
            </w:r>
          </w:p>
        </w:tc>
        <w:tc>
          <w:tcPr>
            <w:tcW w:w="2147" w:type="pct"/>
            <w:vMerge w:val="restart"/>
            <w:shd w:val="clear" w:color="auto" w:fill="auto"/>
            <w:vAlign w:val="center"/>
          </w:tcPr>
          <w:p w14:paraId="5BFA4D92">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color w:val="auto"/>
                <w:kern w:val="0"/>
                <w:szCs w:val="21"/>
                <w:highlight w:val="none"/>
                <w:lang w:val="en-US" w:bidi="ar"/>
              </w:rPr>
              <w:t>等效</w:t>
            </w:r>
            <w:r>
              <w:rPr>
                <w:rFonts w:hint="eastAsia" w:ascii="Times New Roman" w:hAnsi="Times New Roman" w:eastAsia="宋体" w:cs="Times New Roman"/>
                <w:color w:val="auto"/>
                <w:kern w:val="0"/>
                <w:szCs w:val="21"/>
                <w:highlight w:val="none"/>
                <w:lang w:val="en-US" w:bidi="ar"/>
              </w:rPr>
              <w:t>粘土</w:t>
            </w:r>
            <w:r>
              <w:rPr>
                <w:rFonts w:ascii="Times New Roman" w:hAnsi="Times New Roman" w:eastAsia="宋体" w:cs="Times New Roman"/>
                <w:color w:val="auto"/>
                <w:kern w:val="0"/>
                <w:szCs w:val="21"/>
                <w:highlight w:val="none"/>
                <w:lang w:val="en-US" w:bidi="ar"/>
              </w:rPr>
              <w:t>防渗层M</w:t>
            </w:r>
            <w:r>
              <w:rPr>
                <w:rFonts w:hint="eastAsia" w:ascii="Times New Roman" w:hAnsi="Times New Roman" w:eastAsia="宋体" w:cs="Times New Roman"/>
                <w:color w:val="auto"/>
                <w:kern w:val="0"/>
                <w:szCs w:val="21"/>
                <w:highlight w:val="none"/>
                <w:lang w:val="en-US" w:bidi="ar"/>
              </w:rPr>
              <w:t>≥</w:t>
            </w:r>
            <w:r>
              <w:rPr>
                <w:rFonts w:ascii="Times New Roman" w:hAnsi="Times New Roman" w:eastAsia="宋体" w:cs="Times New Roman"/>
                <w:color w:val="auto"/>
                <w:kern w:val="0"/>
                <w:szCs w:val="21"/>
                <w:highlight w:val="none"/>
                <w:lang w:val="en-US" w:bidi="ar"/>
              </w:rPr>
              <w:t>6.0m，K≤1.0×10</w:t>
            </w:r>
            <w:r>
              <w:rPr>
                <w:rFonts w:hint="eastAsia" w:ascii="Times New Roman" w:hAnsi="Times New Roman" w:eastAsia="宋体" w:cs="Times New Roman"/>
                <w:color w:val="auto"/>
                <w:kern w:val="0"/>
                <w:szCs w:val="21"/>
                <w:highlight w:val="none"/>
                <w:vertAlign w:val="superscript"/>
                <w:lang w:val="en-US" w:bidi="ar"/>
              </w:rPr>
              <w:t>-10</w:t>
            </w:r>
            <w:r>
              <w:rPr>
                <w:rFonts w:ascii="Times New Roman" w:hAnsi="Times New Roman" w:eastAsia="宋体" w:cs="Times New Roman"/>
                <w:color w:val="auto"/>
                <w:kern w:val="0"/>
                <w:szCs w:val="21"/>
                <w:highlight w:val="none"/>
                <w:lang w:val="en-US" w:bidi="ar"/>
              </w:rPr>
              <w:t>cm/s</w:t>
            </w:r>
            <w:r>
              <w:rPr>
                <w:rFonts w:hint="eastAsia" w:ascii="Times New Roman" w:hAnsi="Times New Roman" w:eastAsia="宋体" w:cs="Times New Roman"/>
                <w:color w:val="auto"/>
                <w:kern w:val="0"/>
                <w:szCs w:val="21"/>
                <w:highlight w:val="none"/>
                <w:lang w:val="en-US" w:bidi="ar"/>
              </w:rPr>
              <w:t>；</w:t>
            </w:r>
            <w:r>
              <w:rPr>
                <w:rFonts w:ascii="Times New Roman" w:hAnsi="Times New Roman" w:eastAsia="宋体" w:cs="Times New Roman"/>
                <w:color w:val="auto"/>
                <w:kern w:val="0"/>
                <w:szCs w:val="21"/>
                <w:highlight w:val="none"/>
                <w:lang w:val="en-US" w:bidi="ar"/>
              </w:rPr>
              <w:t>或参照GB 18598执行</w:t>
            </w:r>
          </w:p>
        </w:tc>
      </w:tr>
      <w:tr w14:paraId="302A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continue"/>
            <w:shd w:val="clear" w:color="auto" w:fill="auto"/>
            <w:vAlign w:val="center"/>
          </w:tcPr>
          <w:p w14:paraId="00724DF0">
            <w:pPr>
              <w:pStyle w:val="680"/>
              <w:autoSpaceDE w:val="0"/>
              <w:autoSpaceDN w:val="0"/>
              <w:adjustRightInd w:val="0"/>
              <w:snapToGrid w:val="0"/>
              <w:jc w:val="center"/>
              <w:rPr>
                <w:rFonts w:ascii="Times New Roman" w:hAnsi="Times New Roman" w:eastAsia="宋体" w:cs="Times New Roman"/>
                <w:bCs/>
                <w:color w:val="auto"/>
                <w:szCs w:val="21"/>
                <w:highlight w:val="none"/>
              </w:rPr>
            </w:pPr>
          </w:p>
        </w:tc>
        <w:tc>
          <w:tcPr>
            <w:tcW w:w="2129" w:type="pct"/>
            <w:shd w:val="clear" w:color="auto" w:fill="auto"/>
            <w:vAlign w:val="center"/>
          </w:tcPr>
          <w:p w14:paraId="73548A41">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ascii="Times New Roman" w:hAnsi="Times New Roman" w:eastAsia="宋体" w:cs="Times New Roman"/>
                <w:bCs/>
                <w:color w:val="auto"/>
                <w:szCs w:val="21"/>
                <w:highlight w:val="none"/>
                <w:lang w:val="en-US"/>
              </w:rPr>
              <w:t>提取装置区</w:t>
            </w:r>
          </w:p>
        </w:tc>
        <w:tc>
          <w:tcPr>
            <w:tcW w:w="2147" w:type="pct"/>
            <w:vMerge w:val="continue"/>
            <w:shd w:val="clear" w:color="auto" w:fill="auto"/>
            <w:vAlign w:val="center"/>
          </w:tcPr>
          <w:p w14:paraId="17193D78">
            <w:pPr>
              <w:pStyle w:val="680"/>
              <w:autoSpaceDE w:val="0"/>
              <w:autoSpaceDN w:val="0"/>
              <w:adjustRightInd w:val="0"/>
              <w:snapToGrid w:val="0"/>
              <w:jc w:val="center"/>
              <w:rPr>
                <w:rFonts w:ascii="Times New Roman" w:hAnsi="Times New Roman" w:eastAsia="宋体" w:cs="Times New Roman"/>
                <w:color w:val="auto"/>
                <w:kern w:val="0"/>
                <w:szCs w:val="21"/>
                <w:highlight w:val="none"/>
                <w:lang w:val="en-US" w:bidi="ar"/>
              </w:rPr>
            </w:pPr>
          </w:p>
        </w:tc>
      </w:tr>
      <w:tr w14:paraId="7B04B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continue"/>
            <w:shd w:val="clear" w:color="auto" w:fill="auto"/>
            <w:vAlign w:val="center"/>
          </w:tcPr>
          <w:p w14:paraId="23216D78">
            <w:pPr>
              <w:pStyle w:val="680"/>
              <w:autoSpaceDE w:val="0"/>
              <w:autoSpaceDN w:val="0"/>
              <w:adjustRightInd w:val="0"/>
              <w:snapToGrid w:val="0"/>
              <w:jc w:val="center"/>
              <w:rPr>
                <w:rFonts w:ascii="Times New Roman" w:hAnsi="Times New Roman" w:eastAsia="宋体" w:cs="Times New Roman"/>
                <w:bCs/>
                <w:color w:val="auto"/>
                <w:szCs w:val="21"/>
                <w:highlight w:val="none"/>
              </w:rPr>
            </w:pPr>
          </w:p>
        </w:tc>
        <w:tc>
          <w:tcPr>
            <w:tcW w:w="2129" w:type="pct"/>
            <w:shd w:val="clear" w:color="auto" w:fill="auto"/>
            <w:vAlign w:val="center"/>
          </w:tcPr>
          <w:p w14:paraId="0727BE52">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ascii="Times New Roman" w:hAnsi="Times New Roman" w:eastAsia="宋体" w:cs="Times New Roman"/>
                <w:bCs/>
                <w:color w:val="auto"/>
                <w:szCs w:val="21"/>
                <w:highlight w:val="none"/>
                <w:lang w:val="en-US"/>
              </w:rPr>
              <w:t>罐区</w:t>
            </w:r>
          </w:p>
        </w:tc>
        <w:tc>
          <w:tcPr>
            <w:tcW w:w="2147" w:type="pct"/>
            <w:vMerge w:val="continue"/>
            <w:shd w:val="clear" w:color="auto" w:fill="auto"/>
            <w:vAlign w:val="center"/>
          </w:tcPr>
          <w:p w14:paraId="6F1DB685">
            <w:pPr>
              <w:pStyle w:val="680"/>
              <w:autoSpaceDE w:val="0"/>
              <w:autoSpaceDN w:val="0"/>
              <w:adjustRightInd w:val="0"/>
              <w:snapToGrid w:val="0"/>
              <w:jc w:val="center"/>
              <w:rPr>
                <w:rFonts w:ascii="Times New Roman" w:hAnsi="Times New Roman" w:eastAsia="宋体" w:cs="Times New Roman"/>
                <w:color w:val="auto"/>
                <w:kern w:val="0"/>
                <w:szCs w:val="21"/>
                <w:highlight w:val="none"/>
                <w:lang w:val="en-US" w:bidi="ar"/>
              </w:rPr>
            </w:pPr>
          </w:p>
        </w:tc>
      </w:tr>
      <w:tr w14:paraId="45695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continue"/>
            <w:shd w:val="clear" w:color="auto" w:fill="auto"/>
            <w:vAlign w:val="center"/>
          </w:tcPr>
          <w:p w14:paraId="42D6CA60">
            <w:pPr>
              <w:pStyle w:val="680"/>
              <w:autoSpaceDE w:val="0"/>
              <w:autoSpaceDN w:val="0"/>
              <w:adjustRightInd w:val="0"/>
              <w:snapToGrid w:val="0"/>
              <w:jc w:val="center"/>
              <w:rPr>
                <w:rFonts w:ascii="Times New Roman" w:hAnsi="Times New Roman" w:eastAsia="宋体" w:cs="Times New Roman"/>
                <w:bCs/>
                <w:color w:val="auto"/>
                <w:szCs w:val="21"/>
                <w:highlight w:val="none"/>
              </w:rPr>
            </w:pPr>
          </w:p>
        </w:tc>
        <w:tc>
          <w:tcPr>
            <w:tcW w:w="2129" w:type="pct"/>
            <w:shd w:val="clear" w:color="auto" w:fill="auto"/>
            <w:vAlign w:val="center"/>
          </w:tcPr>
          <w:p w14:paraId="4EC5C03A">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ascii="Times New Roman" w:hAnsi="Times New Roman" w:eastAsia="宋体" w:cs="Times New Roman"/>
                <w:bCs/>
                <w:color w:val="auto"/>
                <w:szCs w:val="21"/>
                <w:highlight w:val="none"/>
                <w:lang w:val="en-US"/>
              </w:rPr>
              <w:t>活性炭再生装置区</w:t>
            </w:r>
          </w:p>
        </w:tc>
        <w:tc>
          <w:tcPr>
            <w:tcW w:w="2147" w:type="pct"/>
            <w:vMerge w:val="continue"/>
            <w:shd w:val="clear" w:color="auto" w:fill="auto"/>
            <w:vAlign w:val="center"/>
          </w:tcPr>
          <w:p w14:paraId="1A543B0F">
            <w:pPr>
              <w:pStyle w:val="680"/>
              <w:autoSpaceDE w:val="0"/>
              <w:autoSpaceDN w:val="0"/>
              <w:adjustRightInd w:val="0"/>
              <w:snapToGrid w:val="0"/>
              <w:jc w:val="center"/>
              <w:rPr>
                <w:rFonts w:ascii="Times New Roman" w:hAnsi="Times New Roman" w:eastAsia="宋体" w:cs="Times New Roman"/>
                <w:color w:val="auto"/>
                <w:kern w:val="0"/>
                <w:szCs w:val="21"/>
                <w:highlight w:val="none"/>
                <w:lang w:val="en-US" w:bidi="ar"/>
              </w:rPr>
            </w:pPr>
          </w:p>
        </w:tc>
      </w:tr>
      <w:tr w14:paraId="5CE52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shd w:val="clear" w:color="auto" w:fill="auto"/>
            <w:vAlign w:val="center"/>
          </w:tcPr>
          <w:p w14:paraId="59B298CC">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bCs/>
                <w:color w:val="auto"/>
                <w:szCs w:val="21"/>
                <w:highlight w:val="none"/>
              </w:rPr>
              <w:t>一般防渗区</w:t>
            </w:r>
          </w:p>
        </w:tc>
        <w:tc>
          <w:tcPr>
            <w:tcW w:w="2129" w:type="pct"/>
            <w:shd w:val="clear" w:color="auto" w:fill="auto"/>
            <w:vAlign w:val="center"/>
          </w:tcPr>
          <w:p w14:paraId="40834261">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ascii="Times New Roman" w:hAnsi="Times New Roman" w:eastAsia="宋体" w:cs="Times New Roman"/>
                <w:bCs/>
                <w:color w:val="auto"/>
                <w:szCs w:val="21"/>
                <w:highlight w:val="none"/>
                <w:lang w:val="en-US"/>
              </w:rPr>
              <w:t>循环水泵房</w:t>
            </w:r>
          </w:p>
        </w:tc>
        <w:tc>
          <w:tcPr>
            <w:tcW w:w="2147" w:type="pct"/>
            <w:shd w:val="clear" w:color="auto" w:fill="auto"/>
            <w:vAlign w:val="center"/>
          </w:tcPr>
          <w:p w14:paraId="53C558CA">
            <w:pPr>
              <w:pStyle w:val="680"/>
              <w:autoSpaceDE w:val="0"/>
              <w:autoSpaceDN w:val="0"/>
              <w:adjustRightInd w:val="0"/>
              <w:snapToGrid w:val="0"/>
              <w:jc w:val="center"/>
              <w:rPr>
                <w:rFonts w:ascii="Times New Roman" w:hAnsi="Times New Roman" w:eastAsia="宋体" w:cs="Times New Roman"/>
                <w:bCs/>
                <w:color w:val="auto"/>
                <w:szCs w:val="21"/>
                <w:highlight w:val="none"/>
              </w:rPr>
            </w:pPr>
            <w:r>
              <w:rPr>
                <w:rFonts w:ascii="Times New Roman" w:hAnsi="Times New Roman" w:eastAsia="宋体" w:cs="Times New Roman"/>
                <w:color w:val="auto"/>
                <w:kern w:val="0"/>
                <w:szCs w:val="21"/>
                <w:highlight w:val="none"/>
                <w:lang w:val="en-US" w:bidi="ar"/>
              </w:rPr>
              <w:t>等效黏土防渗层M</w:t>
            </w:r>
            <w:r>
              <w:rPr>
                <w:rFonts w:hint="eastAsia" w:ascii="Times New Roman" w:hAnsi="Times New Roman" w:eastAsia="宋体" w:cs="Times New Roman"/>
                <w:color w:val="auto"/>
                <w:kern w:val="0"/>
                <w:szCs w:val="21"/>
                <w:highlight w:val="none"/>
                <w:lang w:val="en-US" w:bidi="ar"/>
              </w:rPr>
              <w:t>≥</w:t>
            </w:r>
            <w:r>
              <w:rPr>
                <w:rFonts w:ascii="Times New Roman" w:hAnsi="Times New Roman" w:eastAsia="宋体" w:cs="Times New Roman"/>
                <w:color w:val="auto"/>
                <w:kern w:val="0"/>
                <w:szCs w:val="21"/>
                <w:highlight w:val="none"/>
                <w:lang w:val="en-US" w:bidi="ar"/>
              </w:rPr>
              <w:t>1.5m，K≤1.0×10</w:t>
            </w:r>
            <w:r>
              <w:rPr>
                <w:rFonts w:hint="eastAsia" w:ascii="Times New Roman" w:hAnsi="Times New Roman" w:eastAsia="宋体" w:cs="Times New Roman"/>
                <w:color w:val="auto"/>
                <w:kern w:val="0"/>
                <w:szCs w:val="21"/>
                <w:highlight w:val="none"/>
                <w:vertAlign w:val="superscript"/>
                <w:lang w:val="en-US" w:bidi="ar"/>
              </w:rPr>
              <w:t>-7</w:t>
            </w:r>
            <w:r>
              <w:rPr>
                <w:rFonts w:ascii="Times New Roman" w:hAnsi="Times New Roman" w:eastAsia="宋体" w:cs="Times New Roman"/>
                <w:color w:val="auto"/>
                <w:kern w:val="0"/>
                <w:szCs w:val="21"/>
                <w:highlight w:val="none"/>
                <w:lang w:val="en-US" w:bidi="ar"/>
              </w:rPr>
              <w:t>cm/s</w:t>
            </w:r>
            <w:r>
              <w:rPr>
                <w:rFonts w:hint="eastAsia" w:ascii="Times New Roman" w:hAnsi="Times New Roman" w:eastAsia="宋体" w:cs="Times New Roman"/>
                <w:color w:val="auto"/>
                <w:kern w:val="0"/>
                <w:szCs w:val="21"/>
                <w:highlight w:val="none"/>
                <w:lang w:val="en-US" w:bidi="ar"/>
              </w:rPr>
              <w:t>；</w:t>
            </w:r>
            <w:r>
              <w:rPr>
                <w:rFonts w:ascii="Times New Roman" w:hAnsi="Times New Roman" w:eastAsia="宋体" w:cs="Times New Roman"/>
                <w:color w:val="auto"/>
                <w:kern w:val="0"/>
                <w:szCs w:val="21"/>
                <w:highlight w:val="none"/>
                <w:lang w:val="en-US" w:bidi="ar"/>
              </w:rPr>
              <w:t>或参照GB 16889执行</w:t>
            </w:r>
          </w:p>
        </w:tc>
      </w:tr>
      <w:tr w14:paraId="147FC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restart"/>
            <w:shd w:val="clear" w:color="auto" w:fill="auto"/>
            <w:vAlign w:val="center"/>
          </w:tcPr>
          <w:p w14:paraId="4216CC61">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ascii="Times New Roman" w:hAnsi="Times New Roman" w:cs="Times New Roman"/>
                <w:bCs/>
                <w:color w:val="auto"/>
                <w:szCs w:val="21"/>
                <w:highlight w:val="none"/>
                <w:lang w:val="en-US"/>
              </w:rPr>
              <w:t>简单防渗</w:t>
            </w:r>
            <w:r>
              <w:rPr>
                <w:rFonts w:ascii="Times New Roman" w:hAnsi="Times New Roman" w:eastAsia="宋体" w:cs="Times New Roman"/>
                <w:bCs/>
                <w:color w:val="auto"/>
                <w:szCs w:val="21"/>
                <w:highlight w:val="none"/>
              </w:rPr>
              <w:t>区</w:t>
            </w:r>
          </w:p>
        </w:tc>
        <w:tc>
          <w:tcPr>
            <w:tcW w:w="2129" w:type="pct"/>
            <w:shd w:val="clear" w:color="auto" w:fill="auto"/>
            <w:vAlign w:val="center"/>
          </w:tcPr>
          <w:p w14:paraId="59F4B8AD">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hint="eastAsia" w:ascii="Times New Roman" w:hAnsi="Times New Roman" w:eastAsia="宋体" w:cs="Times New Roman"/>
                <w:bCs/>
                <w:color w:val="auto"/>
                <w:szCs w:val="21"/>
                <w:highlight w:val="none"/>
                <w:lang w:val="en-US"/>
              </w:rPr>
              <w:t>厂区道路</w:t>
            </w:r>
          </w:p>
        </w:tc>
        <w:tc>
          <w:tcPr>
            <w:tcW w:w="2147" w:type="pct"/>
            <w:vMerge w:val="restart"/>
            <w:shd w:val="clear" w:color="auto" w:fill="auto"/>
            <w:vAlign w:val="center"/>
          </w:tcPr>
          <w:p w14:paraId="20C663F6">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hint="eastAsia" w:ascii="Times New Roman" w:hAnsi="Times New Roman" w:cs="Times New Roman"/>
                <w:bCs/>
                <w:color w:val="auto"/>
                <w:szCs w:val="21"/>
                <w:highlight w:val="none"/>
                <w:lang w:val="en-US"/>
              </w:rPr>
              <w:t>一般地面硬化</w:t>
            </w:r>
          </w:p>
        </w:tc>
      </w:tr>
      <w:tr w14:paraId="7230C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continue"/>
            <w:shd w:val="clear" w:color="auto" w:fill="auto"/>
            <w:vAlign w:val="center"/>
          </w:tcPr>
          <w:p w14:paraId="369F5FEA">
            <w:pPr>
              <w:pStyle w:val="680"/>
              <w:autoSpaceDE w:val="0"/>
              <w:autoSpaceDN w:val="0"/>
              <w:adjustRightInd w:val="0"/>
              <w:snapToGrid w:val="0"/>
              <w:jc w:val="center"/>
              <w:rPr>
                <w:rFonts w:ascii="Times New Roman" w:hAnsi="Times New Roman" w:cs="Times New Roman"/>
                <w:bCs/>
                <w:color w:val="auto"/>
                <w:szCs w:val="21"/>
                <w:highlight w:val="none"/>
                <w:lang w:val="en-US"/>
              </w:rPr>
            </w:pPr>
          </w:p>
        </w:tc>
        <w:tc>
          <w:tcPr>
            <w:tcW w:w="2129" w:type="pct"/>
            <w:shd w:val="clear" w:color="auto" w:fill="auto"/>
            <w:vAlign w:val="center"/>
          </w:tcPr>
          <w:p w14:paraId="1B1446AA">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hint="eastAsia" w:ascii="Times New Roman" w:hAnsi="Times New Roman" w:eastAsia="宋体" w:cs="Times New Roman"/>
                <w:bCs/>
                <w:color w:val="auto"/>
                <w:szCs w:val="21"/>
                <w:highlight w:val="none"/>
                <w:lang w:val="en-US"/>
              </w:rPr>
              <w:t>动力站</w:t>
            </w:r>
          </w:p>
        </w:tc>
        <w:tc>
          <w:tcPr>
            <w:tcW w:w="2147" w:type="pct"/>
            <w:vMerge w:val="continue"/>
            <w:shd w:val="clear" w:color="auto" w:fill="auto"/>
            <w:vAlign w:val="center"/>
          </w:tcPr>
          <w:p w14:paraId="64594331">
            <w:pPr>
              <w:pStyle w:val="680"/>
              <w:autoSpaceDE w:val="0"/>
              <w:autoSpaceDN w:val="0"/>
              <w:adjustRightInd w:val="0"/>
              <w:snapToGrid w:val="0"/>
              <w:jc w:val="center"/>
              <w:rPr>
                <w:rFonts w:ascii="Times New Roman" w:hAnsi="Times New Roman" w:cs="Times New Roman"/>
                <w:bCs/>
                <w:color w:val="auto"/>
                <w:szCs w:val="21"/>
                <w:highlight w:val="none"/>
                <w:lang w:val="en-US"/>
              </w:rPr>
            </w:pPr>
          </w:p>
        </w:tc>
      </w:tr>
      <w:tr w14:paraId="796D7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continue"/>
            <w:shd w:val="clear" w:color="auto" w:fill="auto"/>
            <w:vAlign w:val="center"/>
          </w:tcPr>
          <w:p w14:paraId="75B1453B">
            <w:pPr>
              <w:pStyle w:val="680"/>
              <w:autoSpaceDE w:val="0"/>
              <w:autoSpaceDN w:val="0"/>
              <w:adjustRightInd w:val="0"/>
              <w:snapToGrid w:val="0"/>
              <w:jc w:val="center"/>
              <w:rPr>
                <w:rFonts w:ascii="Times New Roman" w:hAnsi="Times New Roman" w:cs="Times New Roman"/>
                <w:bCs/>
                <w:color w:val="auto"/>
                <w:szCs w:val="21"/>
                <w:highlight w:val="none"/>
                <w:lang w:val="en-US"/>
              </w:rPr>
            </w:pPr>
          </w:p>
        </w:tc>
        <w:tc>
          <w:tcPr>
            <w:tcW w:w="2129" w:type="pct"/>
            <w:shd w:val="clear" w:color="auto" w:fill="auto"/>
            <w:vAlign w:val="center"/>
          </w:tcPr>
          <w:p w14:paraId="67F8410E">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hint="eastAsia" w:ascii="Times New Roman" w:hAnsi="Times New Roman" w:eastAsia="宋体" w:cs="Times New Roman"/>
                <w:bCs/>
                <w:color w:val="auto"/>
                <w:szCs w:val="21"/>
                <w:highlight w:val="none"/>
                <w:lang w:val="en-US"/>
              </w:rPr>
              <w:t>中控室</w:t>
            </w:r>
          </w:p>
        </w:tc>
        <w:tc>
          <w:tcPr>
            <w:tcW w:w="2147" w:type="pct"/>
            <w:vMerge w:val="continue"/>
            <w:shd w:val="clear" w:color="auto" w:fill="auto"/>
            <w:vAlign w:val="center"/>
          </w:tcPr>
          <w:p w14:paraId="601011CC">
            <w:pPr>
              <w:pStyle w:val="680"/>
              <w:autoSpaceDE w:val="0"/>
              <w:autoSpaceDN w:val="0"/>
              <w:adjustRightInd w:val="0"/>
              <w:snapToGrid w:val="0"/>
              <w:jc w:val="center"/>
              <w:rPr>
                <w:rFonts w:ascii="Times New Roman" w:hAnsi="Times New Roman" w:cs="Times New Roman"/>
                <w:bCs/>
                <w:color w:val="auto"/>
                <w:szCs w:val="21"/>
                <w:highlight w:val="none"/>
                <w:lang w:val="en-US"/>
              </w:rPr>
            </w:pPr>
          </w:p>
        </w:tc>
      </w:tr>
      <w:tr w14:paraId="278B1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22" w:type="pct"/>
            <w:vMerge w:val="continue"/>
            <w:shd w:val="clear" w:color="auto" w:fill="auto"/>
            <w:vAlign w:val="center"/>
          </w:tcPr>
          <w:p w14:paraId="75DEABB5">
            <w:pPr>
              <w:pStyle w:val="680"/>
              <w:autoSpaceDE w:val="0"/>
              <w:autoSpaceDN w:val="0"/>
              <w:adjustRightInd w:val="0"/>
              <w:snapToGrid w:val="0"/>
              <w:jc w:val="center"/>
              <w:rPr>
                <w:rFonts w:ascii="Times New Roman" w:hAnsi="Times New Roman" w:cs="Times New Roman"/>
                <w:bCs/>
                <w:color w:val="auto"/>
                <w:szCs w:val="21"/>
                <w:highlight w:val="none"/>
                <w:lang w:val="en-US"/>
              </w:rPr>
            </w:pPr>
          </w:p>
        </w:tc>
        <w:tc>
          <w:tcPr>
            <w:tcW w:w="2129" w:type="pct"/>
            <w:shd w:val="clear" w:color="auto" w:fill="auto"/>
            <w:vAlign w:val="center"/>
          </w:tcPr>
          <w:p w14:paraId="3104BF89">
            <w:pPr>
              <w:pStyle w:val="680"/>
              <w:autoSpaceDE w:val="0"/>
              <w:autoSpaceDN w:val="0"/>
              <w:adjustRightInd w:val="0"/>
              <w:snapToGrid w:val="0"/>
              <w:jc w:val="center"/>
              <w:rPr>
                <w:rFonts w:ascii="Times New Roman" w:hAnsi="Times New Roman" w:eastAsia="宋体" w:cs="Times New Roman"/>
                <w:bCs/>
                <w:color w:val="auto"/>
                <w:szCs w:val="21"/>
                <w:highlight w:val="none"/>
                <w:lang w:val="en-US"/>
              </w:rPr>
            </w:pPr>
            <w:r>
              <w:rPr>
                <w:rFonts w:hint="eastAsia" w:ascii="Times New Roman" w:hAnsi="Times New Roman" w:eastAsia="宋体" w:cs="Times New Roman"/>
                <w:bCs/>
                <w:color w:val="auto"/>
                <w:szCs w:val="21"/>
                <w:highlight w:val="none"/>
                <w:lang w:val="en-US"/>
              </w:rPr>
              <w:t>配电室</w:t>
            </w:r>
          </w:p>
        </w:tc>
        <w:tc>
          <w:tcPr>
            <w:tcW w:w="2147" w:type="pct"/>
            <w:vMerge w:val="continue"/>
            <w:shd w:val="clear" w:color="auto" w:fill="auto"/>
            <w:vAlign w:val="center"/>
          </w:tcPr>
          <w:p w14:paraId="23B2886F">
            <w:pPr>
              <w:pStyle w:val="680"/>
              <w:autoSpaceDE w:val="0"/>
              <w:autoSpaceDN w:val="0"/>
              <w:adjustRightInd w:val="0"/>
              <w:snapToGrid w:val="0"/>
              <w:jc w:val="center"/>
              <w:rPr>
                <w:rFonts w:ascii="Times New Roman" w:hAnsi="Times New Roman" w:cs="Times New Roman"/>
                <w:bCs/>
                <w:color w:val="auto"/>
                <w:szCs w:val="21"/>
                <w:highlight w:val="none"/>
                <w:lang w:val="en-US"/>
              </w:rPr>
            </w:pPr>
          </w:p>
        </w:tc>
      </w:tr>
    </w:tbl>
    <w:p w14:paraId="16ACF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典型的防渗结构参考见表</w:t>
      </w:r>
      <w:r>
        <w:rPr>
          <w:rFonts w:hint="eastAsia" w:ascii="Times New Roman" w:hAnsi="Times New Roman" w:eastAsia="宋体" w:cs="Times New Roman"/>
          <w:color w:val="auto"/>
          <w:sz w:val="24"/>
          <w:highlight w:val="none"/>
          <w:lang w:val="en-US" w:eastAsia="zh-CN"/>
        </w:rPr>
        <w:t>7.2-6</w:t>
      </w:r>
      <w:r>
        <w:rPr>
          <w:rFonts w:hint="eastAsia" w:ascii="Times New Roman" w:hAnsi="Times New Roman" w:eastAsia="宋体" w:cs="Times New Roman"/>
          <w:color w:val="auto"/>
          <w:sz w:val="24"/>
          <w:highlight w:val="none"/>
        </w:rPr>
        <w:t>。</w:t>
      </w:r>
    </w:p>
    <w:p w14:paraId="18AFB852">
      <w:pPr>
        <w:pStyle w:val="412"/>
        <w:keepNext w:val="0"/>
        <w:keepLines w:val="0"/>
        <w:pageBreakBefore w:val="0"/>
        <w:widowControl w:val="0"/>
        <w:tabs>
          <w:tab w:val="left" w:pos="0"/>
          <w:tab w:val="clear" w:pos="6840"/>
        </w:tabs>
        <w:kinsoku/>
        <w:wordWrap/>
        <w:overflowPunct/>
        <w:topLinePunct w:val="0"/>
        <w:autoSpaceDE w:val="0"/>
        <w:autoSpaceDN w:val="0"/>
        <w:bidi w:val="0"/>
        <w:adjustRightInd w:val="0"/>
        <w:snapToGrid w:val="0"/>
        <w:spacing w:line="240" w:lineRule="auto"/>
        <w:ind w:left="0" w:hanging="422"/>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lang w:val="en-US" w:eastAsia="zh-CN"/>
        </w:rPr>
        <w:t>7.2-6</w:t>
      </w:r>
      <w:r>
        <w:rPr>
          <w:rFonts w:hint="eastAsia" w:ascii="Times New Roman" w:hAnsi="Times New Roman" w:cs="Times New Roman"/>
          <w:color w:val="auto"/>
          <w:sz w:val="21"/>
          <w:szCs w:val="21"/>
          <w:highlight w:val="none"/>
        </w:rPr>
        <w:t xml:space="preserve"> 典型防渗结构参考</w:t>
      </w:r>
    </w:p>
    <w:tbl>
      <w:tblPr>
        <w:tblStyle w:val="56"/>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735"/>
        <w:gridCol w:w="6665"/>
      </w:tblGrid>
      <w:tr w14:paraId="0C45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4" w:type="pct"/>
            <w:gridSpan w:val="2"/>
            <w:noWrap w:val="0"/>
            <w:tcMar>
              <w:left w:w="0" w:type="dxa"/>
              <w:right w:w="0" w:type="dxa"/>
            </w:tcMar>
            <w:vAlign w:val="center"/>
          </w:tcPr>
          <w:p w14:paraId="7878C7EB">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型式</w:t>
            </w:r>
          </w:p>
        </w:tc>
        <w:tc>
          <w:tcPr>
            <w:tcW w:w="4045" w:type="pct"/>
            <w:noWrap w:val="0"/>
            <w:tcMar>
              <w:left w:w="0" w:type="dxa"/>
              <w:right w:w="0" w:type="dxa"/>
            </w:tcMar>
            <w:vAlign w:val="center"/>
          </w:tcPr>
          <w:p w14:paraId="60406241">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说  明</w:t>
            </w:r>
          </w:p>
        </w:tc>
      </w:tr>
      <w:tr w14:paraId="6EC8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8" w:type="pct"/>
            <w:vMerge w:val="restart"/>
            <w:noWrap w:val="0"/>
            <w:tcMar>
              <w:left w:w="0" w:type="dxa"/>
              <w:right w:w="0" w:type="dxa"/>
            </w:tcMar>
            <w:vAlign w:val="center"/>
          </w:tcPr>
          <w:p w14:paraId="1AE16B7C">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重点</w:t>
            </w:r>
            <w:r>
              <w:rPr>
                <w:rFonts w:hint="eastAsia" w:ascii="Times New Roman" w:hAnsi="Times New Roman" w:eastAsia="宋体" w:cs="Times New Roman"/>
                <w:b w:val="0"/>
                <w:bCs w:val="0"/>
                <w:snapToGrid w:val="0"/>
                <w:color w:val="auto"/>
                <w:kern w:val="0"/>
                <w:sz w:val="21"/>
                <w:szCs w:val="21"/>
                <w:highlight w:val="none"/>
                <w:lang w:val="en-US" w:eastAsia="zh-CN"/>
              </w:rPr>
              <w:t>防渗</w:t>
            </w:r>
            <w:r>
              <w:rPr>
                <w:rFonts w:hint="eastAsia" w:ascii="Times New Roman" w:hAnsi="Times New Roman" w:eastAsia="宋体" w:cs="Times New Roman"/>
                <w:b w:val="0"/>
                <w:bCs w:val="0"/>
                <w:snapToGrid w:val="0"/>
                <w:color w:val="auto"/>
                <w:kern w:val="0"/>
                <w:sz w:val="21"/>
                <w:szCs w:val="21"/>
                <w:highlight w:val="none"/>
              </w:rPr>
              <w:t>区</w:t>
            </w:r>
          </w:p>
        </w:tc>
        <w:tc>
          <w:tcPr>
            <w:tcW w:w="446" w:type="pct"/>
            <w:noWrap w:val="0"/>
            <w:tcMar>
              <w:left w:w="0" w:type="dxa"/>
              <w:right w:w="0" w:type="dxa"/>
            </w:tcMar>
            <w:vAlign w:val="center"/>
          </w:tcPr>
          <w:p w14:paraId="0A58DC4E">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刚性防渗结构</w:t>
            </w:r>
          </w:p>
        </w:tc>
        <w:tc>
          <w:tcPr>
            <w:tcW w:w="4045" w:type="pct"/>
            <w:noWrap w:val="0"/>
            <w:tcMar>
              <w:left w:w="0" w:type="dxa"/>
              <w:right w:w="0" w:type="dxa"/>
            </w:tcMar>
            <w:vAlign w:val="center"/>
          </w:tcPr>
          <w:p w14:paraId="4CF9FBEA">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厚度不小于150mm水泥基渗透结晶型抗渗混凝土（抗渗等级不小于P10）+厚度不低于0</w:t>
            </w:r>
            <w:r>
              <w:rPr>
                <w:rFonts w:hint="eastAsia" w:ascii="Times New Roman" w:hAnsi="Times New Roman" w:eastAsia="宋体" w:cs="Times New Roman"/>
                <w:b w:val="0"/>
                <w:bCs w:val="0"/>
                <w:snapToGrid w:val="0"/>
                <w:color w:val="auto"/>
                <w:kern w:val="0"/>
                <w:sz w:val="21"/>
                <w:szCs w:val="21"/>
                <w:highlight w:val="none"/>
                <w:lang w:val="en-US" w:eastAsia="zh-CN"/>
              </w:rPr>
              <w:t>.</w:t>
            </w:r>
            <w:r>
              <w:rPr>
                <w:rFonts w:hint="eastAsia" w:ascii="Times New Roman" w:hAnsi="Times New Roman" w:eastAsia="宋体" w:cs="Times New Roman"/>
                <w:b w:val="0"/>
                <w:bCs w:val="0"/>
                <w:snapToGrid w:val="0"/>
                <w:color w:val="auto"/>
                <w:kern w:val="0"/>
                <w:sz w:val="21"/>
                <w:szCs w:val="21"/>
                <w:highlight w:val="none"/>
              </w:rPr>
              <w:t>8mm水泥基渗透结晶型抗渗涂层。</w:t>
            </w:r>
          </w:p>
        </w:tc>
      </w:tr>
      <w:tr w14:paraId="6892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8" w:type="pct"/>
            <w:vMerge w:val="continue"/>
            <w:noWrap w:val="0"/>
            <w:tcMar>
              <w:left w:w="0" w:type="dxa"/>
              <w:right w:w="0" w:type="dxa"/>
            </w:tcMar>
            <w:vAlign w:val="center"/>
          </w:tcPr>
          <w:p w14:paraId="03E6865F">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46" w:type="pct"/>
            <w:noWrap w:val="0"/>
            <w:tcMar>
              <w:left w:w="0" w:type="dxa"/>
              <w:right w:w="0" w:type="dxa"/>
            </w:tcMar>
            <w:vAlign w:val="center"/>
          </w:tcPr>
          <w:p w14:paraId="22580E4D">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复合防渗结构</w:t>
            </w:r>
          </w:p>
        </w:tc>
        <w:tc>
          <w:tcPr>
            <w:tcW w:w="4045" w:type="pct"/>
            <w:noWrap w:val="0"/>
            <w:tcMar>
              <w:left w:w="0" w:type="dxa"/>
              <w:right w:w="0" w:type="dxa"/>
            </w:tcMar>
            <w:vAlign w:val="center"/>
          </w:tcPr>
          <w:p w14:paraId="5057403B">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厚度不低于1.5mm土工膜+厚度不小于100mm水泥基渗透结晶型抗渗混凝土，抗渗混凝土渗漏系数不大于1</w:t>
            </w:r>
            <w:r>
              <w:rPr>
                <w:rFonts w:ascii="Times New Roman" w:hAnsi="Times New Roman" w:eastAsia="宋体" w:cs="Times New Roman"/>
                <w:b w:val="0"/>
                <w:bCs w:val="0"/>
                <w:snapToGrid w:val="0"/>
                <w:color w:val="auto"/>
                <w:kern w:val="0"/>
                <w:sz w:val="21"/>
                <w:szCs w:val="21"/>
                <w:highlight w:val="none"/>
              </w:rPr>
              <w:t>×</w:t>
            </w:r>
            <w:r>
              <w:rPr>
                <w:rFonts w:hint="eastAsia" w:ascii="Times New Roman" w:hAnsi="Times New Roman" w:eastAsia="宋体" w:cs="Times New Roman"/>
                <w:b w:val="0"/>
                <w:bCs w:val="0"/>
                <w:snapToGrid w:val="0"/>
                <w:color w:val="auto"/>
                <w:kern w:val="0"/>
                <w:sz w:val="21"/>
                <w:szCs w:val="21"/>
                <w:highlight w:val="none"/>
              </w:rPr>
              <w:t>10</w:t>
            </w:r>
            <w:r>
              <w:rPr>
                <w:rFonts w:hint="eastAsia" w:ascii="Times New Roman" w:hAnsi="Times New Roman" w:eastAsia="宋体" w:cs="Times New Roman"/>
                <w:b w:val="0"/>
                <w:bCs w:val="0"/>
                <w:snapToGrid w:val="0"/>
                <w:color w:val="auto"/>
                <w:kern w:val="0"/>
                <w:sz w:val="21"/>
                <w:szCs w:val="21"/>
                <w:highlight w:val="none"/>
                <w:vertAlign w:val="superscript"/>
              </w:rPr>
              <w:t>-6</w:t>
            </w:r>
            <w:r>
              <w:rPr>
                <w:rFonts w:hint="eastAsia" w:ascii="Times New Roman" w:hAnsi="Times New Roman" w:eastAsia="宋体" w:cs="Times New Roman"/>
                <w:b w:val="0"/>
                <w:bCs w:val="0"/>
                <w:snapToGrid w:val="0"/>
                <w:color w:val="auto"/>
                <w:kern w:val="0"/>
                <w:sz w:val="21"/>
                <w:szCs w:val="21"/>
                <w:highlight w:val="none"/>
              </w:rPr>
              <w:t>cm</w:t>
            </w:r>
            <w:r>
              <w:rPr>
                <w:rFonts w:hint="eastAsia" w:ascii="Times New Roman" w:hAnsi="Times New Roman" w:eastAsia="宋体" w:cs="Times New Roman"/>
                <w:b w:val="0"/>
                <w:bCs w:val="0"/>
                <w:snapToGrid w:val="0"/>
                <w:color w:val="auto"/>
                <w:kern w:val="0"/>
                <w:sz w:val="21"/>
                <w:szCs w:val="21"/>
                <w:highlight w:val="none"/>
                <w:lang w:val="en-US" w:eastAsia="zh-CN"/>
              </w:rPr>
              <w:t>/s。</w:t>
            </w:r>
          </w:p>
        </w:tc>
      </w:tr>
      <w:tr w14:paraId="7B7E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8" w:type="pct"/>
            <w:vMerge w:val="restart"/>
            <w:noWrap w:val="0"/>
            <w:tcMar>
              <w:left w:w="0" w:type="dxa"/>
              <w:right w:w="0" w:type="dxa"/>
            </w:tcMar>
            <w:vAlign w:val="center"/>
          </w:tcPr>
          <w:p w14:paraId="3A4F278A">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一般</w:t>
            </w:r>
            <w:r>
              <w:rPr>
                <w:rFonts w:hint="eastAsia" w:ascii="Times New Roman" w:hAnsi="Times New Roman" w:eastAsia="宋体" w:cs="Times New Roman"/>
                <w:b w:val="0"/>
                <w:bCs w:val="0"/>
                <w:snapToGrid w:val="0"/>
                <w:color w:val="auto"/>
                <w:kern w:val="0"/>
                <w:sz w:val="21"/>
                <w:szCs w:val="21"/>
                <w:highlight w:val="none"/>
                <w:lang w:val="en-US" w:eastAsia="zh-CN"/>
              </w:rPr>
              <w:t>防渗</w:t>
            </w:r>
            <w:r>
              <w:rPr>
                <w:rFonts w:hint="eastAsia" w:ascii="Times New Roman" w:hAnsi="Times New Roman" w:eastAsia="宋体" w:cs="Times New Roman"/>
                <w:b w:val="0"/>
                <w:bCs w:val="0"/>
                <w:snapToGrid w:val="0"/>
                <w:color w:val="auto"/>
                <w:kern w:val="0"/>
                <w:sz w:val="21"/>
                <w:szCs w:val="21"/>
                <w:highlight w:val="none"/>
              </w:rPr>
              <w:t>区</w:t>
            </w:r>
          </w:p>
        </w:tc>
        <w:tc>
          <w:tcPr>
            <w:tcW w:w="446" w:type="pct"/>
            <w:noWrap w:val="0"/>
            <w:tcMar>
              <w:left w:w="0" w:type="dxa"/>
              <w:right w:w="0" w:type="dxa"/>
            </w:tcMar>
            <w:vAlign w:val="center"/>
          </w:tcPr>
          <w:p w14:paraId="40062C02">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刚性防渗结构</w:t>
            </w:r>
          </w:p>
        </w:tc>
        <w:tc>
          <w:tcPr>
            <w:tcW w:w="4045" w:type="pct"/>
            <w:noWrap w:val="0"/>
            <w:tcMar>
              <w:left w:w="0" w:type="dxa"/>
              <w:right w:w="0" w:type="dxa"/>
            </w:tcMar>
            <w:vAlign w:val="center"/>
          </w:tcPr>
          <w:p w14:paraId="0A0F64DB">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rPr>
              <w:t>厚度不小于100mm水泥基渗透结晶型抗渗混凝，防渗结构层</w:t>
            </w:r>
            <w:r>
              <w:rPr>
                <w:rFonts w:hint="eastAsia" w:ascii="Times New Roman" w:hAnsi="Times New Roman" w:eastAsia="宋体" w:cs="Times New Roman"/>
                <w:b w:val="0"/>
                <w:bCs w:val="0"/>
                <w:snapToGrid w:val="0"/>
                <w:color w:val="auto"/>
                <w:kern w:val="0"/>
                <w:sz w:val="21"/>
                <w:szCs w:val="21"/>
                <w:highlight w:val="none"/>
                <w:lang w:eastAsia="zh-CN"/>
              </w:rPr>
              <w:t>渗漏系数</w:t>
            </w:r>
            <w:r>
              <w:rPr>
                <w:rFonts w:hint="eastAsia" w:ascii="Times New Roman" w:hAnsi="Times New Roman" w:eastAsia="宋体" w:cs="Times New Roman"/>
                <w:b w:val="0"/>
                <w:bCs w:val="0"/>
                <w:snapToGrid w:val="0"/>
                <w:color w:val="auto"/>
                <w:kern w:val="0"/>
                <w:sz w:val="21"/>
                <w:szCs w:val="21"/>
                <w:highlight w:val="none"/>
              </w:rPr>
              <w:t>不大于1</w:t>
            </w:r>
            <w:r>
              <w:rPr>
                <w:rFonts w:ascii="Times New Roman" w:hAnsi="Times New Roman" w:eastAsia="宋体" w:cs="Times New Roman"/>
                <w:b w:val="0"/>
                <w:bCs w:val="0"/>
                <w:snapToGrid w:val="0"/>
                <w:color w:val="auto"/>
                <w:kern w:val="0"/>
                <w:sz w:val="21"/>
                <w:szCs w:val="21"/>
                <w:highlight w:val="none"/>
              </w:rPr>
              <w:t>×</w:t>
            </w:r>
            <w:r>
              <w:rPr>
                <w:rFonts w:hint="eastAsia" w:ascii="Times New Roman" w:hAnsi="Times New Roman" w:eastAsia="宋体" w:cs="Times New Roman"/>
                <w:b w:val="0"/>
                <w:bCs w:val="0"/>
                <w:snapToGrid w:val="0"/>
                <w:color w:val="auto"/>
                <w:kern w:val="0"/>
                <w:sz w:val="21"/>
                <w:szCs w:val="21"/>
                <w:highlight w:val="none"/>
              </w:rPr>
              <w:t>10</w:t>
            </w:r>
            <w:r>
              <w:rPr>
                <w:rFonts w:hint="eastAsia" w:ascii="Times New Roman" w:hAnsi="Times New Roman" w:eastAsia="宋体" w:cs="Times New Roman"/>
                <w:b w:val="0"/>
                <w:bCs w:val="0"/>
                <w:snapToGrid w:val="0"/>
                <w:color w:val="auto"/>
                <w:kern w:val="0"/>
                <w:sz w:val="21"/>
                <w:szCs w:val="21"/>
                <w:highlight w:val="none"/>
                <w:vertAlign w:val="superscript"/>
              </w:rPr>
              <w:t>-8</w:t>
            </w:r>
            <w:r>
              <w:rPr>
                <w:rFonts w:hint="eastAsia" w:ascii="Times New Roman" w:hAnsi="Times New Roman" w:eastAsia="宋体" w:cs="Times New Roman"/>
                <w:b w:val="0"/>
                <w:bCs w:val="0"/>
                <w:snapToGrid w:val="0"/>
                <w:color w:val="auto"/>
                <w:kern w:val="0"/>
                <w:sz w:val="21"/>
                <w:szCs w:val="21"/>
                <w:highlight w:val="none"/>
              </w:rPr>
              <w:t>cm</w:t>
            </w:r>
            <w:r>
              <w:rPr>
                <w:rFonts w:hint="eastAsia" w:ascii="Times New Roman" w:hAnsi="Times New Roman" w:eastAsia="宋体" w:cs="Times New Roman"/>
                <w:b w:val="0"/>
                <w:bCs w:val="0"/>
                <w:snapToGrid w:val="0"/>
                <w:color w:val="auto"/>
                <w:kern w:val="0"/>
                <w:sz w:val="21"/>
                <w:szCs w:val="21"/>
                <w:highlight w:val="none"/>
                <w:lang w:val="en-US" w:eastAsia="zh-CN"/>
              </w:rPr>
              <w:t>/s。</w:t>
            </w:r>
          </w:p>
        </w:tc>
      </w:tr>
      <w:tr w14:paraId="6D5B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8" w:type="pct"/>
            <w:vMerge w:val="continue"/>
            <w:noWrap w:val="0"/>
            <w:tcMar>
              <w:left w:w="0" w:type="dxa"/>
              <w:right w:w="0" w:type="dxa"/>
            </w:tcMar>
            <w:vAlign w:val="center"/>
          </w:tcPr>
          <w:p w14:paraId="72D7D847">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p>
        </w:tc>
        <w:tc>
          <w:tcPr>
            <w:tcW w:w="446" w:type="pct"/>
            <w:noWrap w:val="0"/>
            <w:tcMar>
              <w:left w:w="0" w:type="dxa"/>
              <w:right w:w="0" w:type="dxa"/>
            </w:tcMar>
            <w:vAlign w:val="center"/>
          </w:tcPr>
          <w:p w14:paraId="566129C7">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b w:val="0"/>
                <w:bCs w:val="0"/>
                <w:snapToGrid w:val="0"/>
                <w:color w:val="auto"/>
                <w:kern w:val="0"/>
                <w:sz w:val="21"/>
                <w:szCs w:val="21"/>
                <w:highlight w:val="none"/>
              </w:rPr>
              <w:t>柔性防渗结构</w:t>
            </w:r>
          </w:p>
        </w:tc>
        <w:tc>
          <w:tcPr>
            <w:tcW w:w="4045" w:type="pct"/>
            <w:noWrap w:val="0"/>
            <w:tcMar>
              <w:left w:w="0" w:type="dxa"/>
              <w:right w:w="0" w:type="dxa"/>
            </w:tcMar>
            <w:vAlign w:val="center"/>
          </w:tcPr>
          <w:p w14:paraId="5A315778">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b w:val="0"/>
                <w:bCs w:val="0"/>
                <w:snapToGrid w:val="0"/>
                <w:color w:val="auto"/>
                <w:kern w:val="0"/>
                <w:sz w:val="21"/>
                <w:szCs w:val="21"/>
                <w:highlight w:val="none"/>
                <w:lang w:eastAsia="zh-CN"/>
              </w:rPr>
            </w:pPr>
            <w:r>
              <w:rPr>
                <w:rFonts w:hint="eastAsia" w:ascii="Times New Roman" w:hAnsi="Times New Roman" w:eastAsia="宋体" w:cs="Times New Roman"/>
                <w:b w:val="0"/>
                <w:bCs w:val="0"/>
                <w:snapToGrid w:val="0"/>
                <w:color w:val="auto"/>
                <w:kern w:val="0"/>
                <w:sz w:val="21"/>
                <w:szCs w:val="21"/>
                <w:highlight w:val="none"/>
              </w:rPr>
              <w:t>土工膜及上下保护层结构，土工膜厚度不低于1.5mm，土工布保护层规格不低于600</w:t>
            </w:r>
            <w:r>
              <w:rPr>
                <w:rFonts w:hint="default" w:ascii="Times New Roman" w:hAnsi="Times New Roman" w:eastAsia="宋体" w:cs="Times New Roman"/>
                <w:b w:val="0"/>
                <w:bCs w:val="0"/>
                <w:snapToGrid w:val="0"/>
                <w:color w:val="auto"/>
                <w:kern w:val="0"/>
                <w:sz w:val="21"/>
                <w:szCs w:val="21"/>
                <w:highlight w:val="none"/>
              </w:rPr>
              <w:t>g</w:t>
            </w:r>
            <w:r>
              <w:rPr>
                <w:rFonts w:hint="eastAsia" w:ascii="Times New Roman" w:hAnsi="Times New Roman" w:eastAsia="宋体" w:cs="Times New Roman"/>
                <w:b w:val="0"/>
                <w:bCs w:val="0"/>
                <w:snapToGrid w:val="0"/>
                <w:color w:val="auto"/>
                <w:kern w:val="0"/>
                <w:sz w:val="21"/>
                <w:szCs w:val="21"/>
                <w:highlight w:val="none"/>
                <w:lang w:val="en-US" w:eastAsia="zh-CN"/>
              </w:rPr>
              <w:t>/m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rPr>
              <w:t>2</w:t>
            </w:r>
            <w:r>
              <w:rPr>
                <w:rFonts w:hint="eastAsia" w:ascii="Times New Roman" w:hAnsi="Times New Roman" w:eastAsia="宋体" w:cs="Times New Roman"/>
                <w:b w:val="0"/>
                <w:bCs w:val="0"/>
                <w:snapToGrid w:val="0"/>
                <w:color w:val="auto"/>
                <w:kern w:val="0"/>
                <w:sz w:val="21"/>
                <w:szCs w:val="21"/>
                <w:highlight w:val="none"/>
              </w:rPr>
              <w:t>，中细砂或土层做保护层时，厚度不低于20cm</w:t>
            </w:r>
            <w:r>
              <w:rPr>
                <w:rFonts w:hint="eastAsia" w:ascii="Times New Roman" w:hAnsi="Times New Roman" w:eastAsia="宋体" w:cs="Times New Roman"/>
                <w:b w:val="0"/>
                <w:bCs w:val="0"/>
                <w:snapToGrid w:val="0"/>
                <w:color w:val="auto"/>
                <w:kern w:val="0"/>
                <w:sz w:val="21"/>
                <w:szCs w:val="21"/>
                <w:highlight w:val="none"/>
                <w:lang w:eastAsia="zh-CN"/>
              </w:rPr>
              <w:t>。</w:t>
            </w:r>
          </w:p>
        </w:tc>
      </w:tr>
      <w:tr w14:paraId="403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8" w:type="pct"/>
            <w:noWrap w:val="0"/>
            <w:tcMar>
              <w:left w:w="0" w:type="dxa"/>
              <w:right w:w="0" w:type="dxa"/>
            </w:tcMar>
            <w:vAlign w:val="center"/>
          </w:tcPr>
          <w:p w14:paraId="1F29024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简单防渗区</w:t>
            </w:r>
          </w:p>
        </w:tc>
        <w:tc>
          <w:tcPr>
            <w:tcW w:w="4491" w:type="pct"/>
            <w:gridSpan w:val="2"/>
            <w:noWrap w:val="0"/>
            <w:tcMar>
              <w:left w:w="0" w:type="dxa"/>
              <w:right w:w="0" w:type="dxa"/>
            </w:tcMar>
            <w:vAlign w:val="center"/>
          </w:tcPr>
          <w:p w14:paraId="6ECBB607">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cs="Times New Roman"/>
                <w:bCs/>
                <w:color w:val="auto"/>
                <w:szCs w:val="21"/>
                <w:highlight w:val="none"/>
                <w:lang w:val="en-US"/>
              </w:rPr>
              <w:t>一般</w:t>
            </w:r>
            <w:r>
              <w:rPr>
                <w:rFonts w:hint="eastAsia" w:ascii="Times New Roman" w:hAnsi="Times New Roman" w:eastAsia="宋体" w:cs="Times New Roman"/>
                <w:b w:val="0"/>
                <w:bCs w:val="0"/>
                <w:snapToGrid w:val="0"/>
                <w:color w:val="auto"/>
                <w:kern w:val="0"/>
                <w:sz w:val="21"/>
                <w:szCs w:val="21"/>
                <w:highlight w:val="none"/>
                <w:lang w:val="en-US" w:eastAsia="zh-CN"/>
              </w:rPr>
              <w:t>地面硬化</w:t>
            </w:r>
          </w:p>
        </w:tc>
      </w:tr>
    </w:tbl>
    <w:p w14:paraId="523E25F8">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7.2.5.3地下水污染监控</w:t>
      </w:r>
    </w:p>
    <w:p w14:paraId="065B1B22">
      <w:pPr>
        <w:spacing w:line="360" w:lineRule="auto"/>
        <w:ind w:firstLine="480" w:firstLineChars="200"/>
        <w:rPr>
          <w:rFonts w:hint="eastAsia"/>
          <w:color w:val="auto"/>
          <w:sz w:val="24"/>
          <w:highlight w:val="none"/>
        </w:rPr>
      </w:pPr>
      <w:r>
        <w:rPr>
          <w:rFonts w:hint="eastAsia"/>
          <w:color w:val="auto"/>
          <w:sz w:val="24"/>
          <w:highlight w:val="none"/>
        </w:rPr>
        <w:t>根据《环境影响评价技术导则 地下水环境》（HJ610-2016），并参照《工业企业土壤和地下水自行监测技术指南（试行）》（HJ1209-2021）和《工业企业周边土壤和地下水监测技术指南（试行）》（总站土字〔2024〕73号）相关要求，布设地下水监测井。</w:t>
      </w:r>
    </w:p>
    <w:p w14:paraId="71B492B5">
      <w:pPr>
        <w:spacing w:line="360" w:lineRule="auto"/>
        <w:ind w:firstLine="480" w:firstLineChars="200"/>
        <w:rPr>
          <w:color w:val="auto"/>
          <w:sz w:val="24"/>
          <w:highlight w:val="none"/>
        </w:rPr>
      </w:pPr>
      <w:r>
        <w:rPr>
          <w:rFonts w:hint="eastAsia"/>
          <w:color w:val="auto"/>
          <w:sz w:val="24"/>
          <w:highlight w:val="none"/>
          <w:lang w:val="en-US" w:eastAsia="zh-CN"/>
        </w:rPr>
        <w:t>凯赛厂区已设置了跟踪监测井，本项目不再单独设置监测井，建议监测计划中新增石油类，</w:t>
      </w:r>
      <w:r>
        <w:rPr>
          <w:rFonts w:hint="eastAsia"/>
          <w:color w:val="auto"/>
          <w:sz w:val="24"/>
          <w:highlight w:val="none"/>
        </w:rPr>
        <w:t>地下水监测计划见表7.2-</w:t>
      </w:r>
      <w:r>
        <w:rPr>
          <w:rFonts w:hint="eastAsia"/>
          <w:color w:val="auto"/>
          <w:sz w:val="24"/>
          <w:highlight w:val="none"/>
          <w:lang w:val="en-US" w:eastAsia="zh-CN"/>
        </w:rPr>
        <w:t>7</w:t>
      </w:r>
      <w:r>
        <w:rPr>
          <w:rFonts w:hint="eastAsia"/>
          <w:color w:val="auto"/>
          <w:sz w:val="24"/>
          <w:highlight w:val="none"/>
        </w:rPr>
        <w:t>。</w:t>
      </w:r>
    </w:p>
    <w:p w14:paraId="07A37B48">
      <w:pPr>
        <w:pStyle w:val="412"/>
        <w:tabs>
          <w:tab w:val="left" w:pos="0"/>
          <w:tab w:val="clear" w:pos="6840"/>
        </w:tabs>
        <w:topLinePunct w:val="0"/>
        <w:autoSpaceDE w:val="0"/>
        <w:autoSpaceDN w:val="0"/>
        <w:adjustRightInd w:val="0"/>
        <w:spacing w:before="120" w:beforeLines="50" w:line="240" w:lineRule="auto"/>
        <w:ind w:left="422" w:hanging="422"/>
        <w:textAlignment w:val="center"/>
        <w:rPr>
          <w:color w:val="auto"/>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7.2-</w:t>
      </w:r>
      <w:r>
        <w:rPr>
          <w:rFonts w:hint="eastAsia" w:ascii="Times New Roman" w:hAnsi="Times New Roman" w:cs="Times New Roman"/>
          <w:color w:val="auto"/>
          <w:sz w:val="21"/>
          <w:szCs w:val="21"/>
          <w:highlight w:val="none"/>
          <w:lang w:val="en-US" w:eastAsia="zh-CN"/>
        </w:rPr>
        <w:t>7</w:t>
      </w:r>
      <w:r>
        <w:rPr>
          <w:rFonts w:hint="eastAsia" w:ascii="Times New Roman" w:hAnsi="Times New Roman" w:cs="Times New Roman"/>
          <w:color w:val="auto"/>
          <w:sz w:val="21"/>
          <w:szCs w:val="21"/>
          <w:highlight w:val="none"/>
        </w:rPr>
        <w:t xml:space="preserve"> 地下水跟踪监测计划一览表</w:t>
      </w:r>
    </w:p>
    <w:tbl>
      <w:tblPr>
        <w:tblStyle w:val="5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6"/>
        <w:gridCol w:w="3869"/>
        <w:gridCol w:w="3869"/>
      </w:tblGrid>
      <w:tr w14:paraId="2B30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3" w:hRule="atLeast"/>
        </w:trPr>
        <w:tc>
          <w:tcPr>
            <w:tcW w:w="413" w:type="pct"/>
            <w:shd w:val="clear" w:color="auto" w:fill="auto"/>
            <w:noWrap w:val="0"/>
            <w:vAlign w:val="center"/>
          </w:tcPr>
          <w:p w14:paraId="7ED8C3AB">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项目</w:t>
            </w:r>
          </w:p>
        </w:tc>
        <w:tc>
          <w:tcPr>
            <w:tcW w:w="2293" w:type="pct"/>
            <w:shd w:val="clear" w:color="auto" w:fill="auto"/>
            <w:noWrap w:val="0"/>
            <w:vAlign w:val="center"/>
          </w:tcPr>
          <w:p w14:paraId="27094079">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现有工程全厂监测情况</w:t>
            </w:r>
          </w:p>
        </w:tc>
        <w:tc>
          <w:tcPr>
            <w:tcW w:w="2293" w:type="pct"/>
            <w:shd w:val="clear" w:color="auto" w:fill="auto"/>
            <w:noWrap w:val="0"/>
            <w:vAlign w:val="center"/>
          </w:tcPr>
          <w:p w14:paraId="4480BFE8">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本项目建成后全厂监测情况</w:t>
            </w:r>
          </w:p>
        </w:tc>
      </w:tr>
      <w:tr w14:paraId="7F07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3" w:type="pct"/>
            <w:shd w:val="clear" w:color="auto" w:fill="auto"/>
            <w:noWrap w:val="0"/>
            <w:vAlign w:val="center"/>
          </w:tcPr>
          <w:p w14:paraId="3A3D1807">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位置关系</w:t>
            </w:r>
          </w:p>
        </w:tc>
        <w:tc>
          <w:tcPr>
            <w:tcW w:w="2293" w:type="pct"/>
            <w:shd w:val="clear" w:color="auto" w:fill="auto"/>
            <w:noWrap w:val="0"/>
            <w:vAlign w:val="center"/>
          </w:tcPr>
          <w:p w14:paraId="2C2D82E1">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场地</w:t>
            </w:r>
            <w:r>
              <w:rPr>
                <w:rFonts w:hint="eastAsia" w:cs="Times New Roman"/>
                <w:color w:val="auto"/>
                <w:highlight w:val="none"/>
                <w:lang w:val="en-US" w:eastAsia="zh-CN"/>
              </w:rPr>
              <w:t>上游、厂区内、场地</w:t>
            </w:r>
            <w:r>
              <w:rPr>
                <w:rFonts w:hint="default" w:ascii="Times New Roman" w:hAnsi="Times New Roman" w:cs="Times New Roman"/>
                <w:color w:val="auto"/>
                <w:highlight w:val="none"/>
              </w:rPr>
              <w:t>下游</w:t>
            </w:r>
          </w:p>
        </w:tc>
        <w:tc>
          <w:tcPr>
            <w:tcW w:w="2293" w:type="pct"/>
            <w:shd w:val="clear" w:color="auto" w:fill="auto"/>
            <w:noWrap w:val="0"/>
            <w:vAlign w:val="center"/>
          </w:tcPr>
          <w:p w14:paraId="48C347C5">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场地</w:t>
            </w:r>
            <w:r>
              <w:rPr>
                <w:rFonts w:hint="eastAsia" w:cs="Times New Roman"/>
                <w:color w:val="auto"/>
                <w:highlight w:val="none"/>
                <w:lang w:val="en-US" w:eastAsia="zh-CN"/>
              </w:rPr>
              <w:t>上游、厂区内、场地</w:t>
            </w:r>
            <w:r>
              <w:rPr>
                <w:rFonts w:hint="default" w:ascii="Times New Roman" w:hAnsi="Times New Roman" w:cs="Times New Roman"/>
                <w:color w:val="auto"/>
                <w:highlight w:val="none"/>
              </w:rPr>
              <w:t>下游</w:t>
            </w:r>
          </w:p>
        </w:tc>
      </w:tr>
      <w:tr w14:paraId="4DFF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3" w:type="pct"/>
            <w:shd w:val="clear" w:color="auto" w:fill="auto"/>
            <w:noWrap w:val="0"/>
            <w:vAlign w:val="center"/>
          </w:tcPr>
          <w:p w14:paraId="31CB0273">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功能</w:t>
            </w:r>
          </w:p>
        </w:tc>
        <w:tc>
          <w:tcPr>
            <w:tcW w:w="2293" w:type="pct"/>
            <w:shd w:val="clear" w:color="auto" w:fill="auto"/>
            <w:noWrap w:val="0"/>
            <w:vAlign w:val="center"/>
          </w:tcPr>
          <w:p w14:paraId="0A93BC96">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snapToGrid w:val="0"/>
                <w:color w:val="auto"/>
                <w:kern w:val="0"/>
                <w:szCs w:val="21"/>
                <w:highlight w:val="none"/>
                <w:lang w:bidi="ar"/>
              </w:rPr>
              <w:t>背景监测井</w:t>
            </w:r>
            <w:r>
              <w:rPr>
                <w:rFonts w:hint="eastAsia"/>
                <w:snapToGrid w:val="0"/>
                <w:color w:val="auto"/>
                <w:kern w:val="0"/>
                <w:szCs w:val="21"/>
                <w:highlight w:val="none"/>
                <w:lang w:eastAsia="zh-CN" w:bidi="ar"/>
              </w:rPr>
              <w:t>、</w:t>
            </w:r>
            <w:r>
              <w:rPr>
                <w:rFonts w:hint="default" w:ascii="Times New Roman" w:hAnsi="Times New Roman" w:cs="Times New Roman"/>
                <w:color w:val="auto"/>
                <w:highlight w:val="none"/>
              </w:rPr>
              <w:t>跟踪监测</w:t>
            </w:r>
            <w:r>
              <w:rPr>
                <w:rFonts w:hint="eastAsia" w:cs="Times New Roman"/>
                <w:color w:val="auto"/>
                <w:highlight w:val="none"/>
                <w:lang w:val="en-US" w:eastAsia="zh-CN"/>
              </w:rPr>
              <w:t>井、</w:t>
            </w:r>
            <w:r>
              <w:rPr>
                <w:snapToGrid w:val="0"/>
                <w:color w:val="auto"/>
                <w:kern w:val="0"/>
                <w:szCs w:val="21"/>
                <w:highlight w:val="none"/>
                <w:lang w:bidi="ar"/>
              </w:rPr>
              <w:t>扩散监测井</w:t>
            </w:r>
          </w:p>
        </w:tc>
        <w:tc>
          <w:tcPr>
            <w:tcW w:w="2293" w:type="pct"/>
            <w:shd w:val="clear" w:color="auto" w:fill="auto"/>
            <w:noWrap w:val="0"/>
            <w:vAlign w:val="center"/>
          </w:tcPr>
          <w:p w14:paraId="09995937">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snapToGrid w:val="0"/>
                <w:color w:val="auto"/>
                <w:kern w:val="0"/>
                <w:szCs w:val="21"/>
                <w:highlight w:val="none"/>
                <w:lang w:bidi="ar"/>
              </w:rPr>
              <w:t>背景监测井</w:t>
            </w:r>
            <w:r>
              <w:rPr>
                <w:rFonts w:hint="eastAsia"/>
                <w:snapToGrid w:val="0"/>
                <w:color w:val="auto"/>
                <w:kern w:val="0"/>
                <w:szCs w:val="21"/>
                <w:highlight w:val="none"/>
                <w:lang w:eastAsia="zh-CN" w:bidi="ar"/>
              </w:rPr>
              <w:t>、</w:t>
            </w:r>
            <w:r>
              <w:rPr>
                <w:rFonts w:hint="default" w:ascii="Times New Roman" w:hAnsi="Times New Roman" w:cs="Times New Roman"/>
                <w:color w:val="auto"/>
                <w:highlight w:val="none"/>
              </w:rPr>
              <w:t>跟踪监测</w:t>
            </w:r>
            <w:r>
              <w:rPr>
                <w:rFonts w:hint="eastAsia" w:cs="Times New Roman"/>
                <w:color w:val="auto"/>
                <w:highlight w:val="none"/>
                <w:lang w:val="en-US" w:eastAsia="zh-CN"/>
              </w:rPr>
              <w:t>井、</w:t>
            </w:r>
            <w:r>
              <w:rPr>
                <w:snapToGrid w:val="0"/>
                <w:color w:val="auto"/>
                <w:kern w:val="0"/>
                <w:szCs w:val="21"/>
                <w:highlight w:val="none"/>
                <w:lang w:bidi="ar"/>
              </w:rPr>
              <w:t>扩散监测井</w:t>
            </w:r>
          </w:p>
        </w:tc>
      </w:tr>
      <w:tr w14:paraId="7C05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3" w:type="pct"/>
            <w:shd w:val="clear" w:color="auto" w:fill="auto"/>
            <w:noWrap w:val="0"/>
            <w:vAlign w:val="center"/>
          </w:tcPr>
          <w:p w14:paraId="547897B5">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监测频率</w:t>
            </w:r>
          </w:p>
        </w:tc>
        <w:tc>
          <w:tcPr>
            <w:tcW w:w="2293" w:type="pct"/>
            <w:shd w:val="clear" w:color="auto" w:fill="auto"/>
            <w:noWrap w:val="0"/>
            <w:vAlign w:val="center"/>
          </w:tcPr>
          <w:p w14:paraId="420C64F6">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eastAsia" w:cs="Times New Roman"/>
                <w:color w:val="auto"/>
                <w:highlight w:val="none"/>
                <w:lang w:val="en-US" w:eastAsia="zh-CN"/>
              </w:rPr>
              <w:t>每季度</w:t>
            </w:r>
            <w:r>
              <w:rPr>
                <w:rFonts w:hint="eastAsia" w:ascii="Times New Roman" w:hAnsi="Times New Roman" w:cs="Times New Roman"/>
                <w:color w:val="auto"/>
                <w:highlight w:val="none"/>
                <w:lang w:val="en-US" w:eastAsia="zh-CN"/>
              </w:rPr>
              <w:t>一次</w:t>
            </w:r>
          </w:p>
        </w:tc>
        <w:tc>
          <w:tcPr>
            <w:tcW w:w="2293" w:type="pct"/>
            <w:shd w:val="clear" w:color="auto" w:fill="auto"/>
            <w:noWrap w:val="0"/>
            <w:vAlign w:val="center"/>
          </w:tcPr>
          <w:p w14:paraId="259AAF60">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每季度</w:t>
            </w:r>
            <w:r>
              <w:rPr>
                <w:rFonts w:hint="eastAsia" w:ascii="Times New Roman" w:hAnsi="Times New Roman" w:cs="Times New Roman"/>
                <w:color w:val="auto"/>
                <w:highlight w:val="none"/>
                <w:lang w:val="en-US" w:eastAsia="zh-CN"/>
              </w:rPr>
              <w:t>一次</w:t>
            </w:r>
          </w:p>
        </w:tc>
      </w:tr>
      <w:tr w14:paraId="696B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413" w:type="pct"/>
            <w:shd w:val="clear" w:color="auto" w:fill="auto"/>
            <w:noWrap w:val="0"/>
            <w:vAlign w:val="center"/>
          </w:tcPr>
          <w:p w14:paraId="60F32084">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监测井类型</w:t>
            </w:r>
          </w:p>
        </w:tc>
        <w:tc>
          <w:tcPr>
            <w:tcW w:w="2293" w:type="pct"/>
            <w:shd w:val="clear" w:color="auto" w:fill="auto"/>
            <w:noWrap w:val="0"/>
            <w:vAlign w:val="center"/>
          </w:tcPr>
          <w:p w14:paraId="7274579E">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套管固井，按照地下水监测井的要求固井</w:t>
            </w:r>
          </w:p>
        </w:tc>
        <w:tc>
          <w:tcPr>
            <w:tcW w:w="2293" w:type="pct"/>
            <w:shd w:val="clear" w:color="auto" w:fill="auto"/>
            <w:noWrap w:val="0"/>
            <w:vAlign w:val="center"/>
          </w:tcPr>
          <w:p w14:paraId="590D9952">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套管固井，按照地下水监测井的要求固井</w:t>
            </w:r>
          </w:p>
        </w:tc>
      </w:tr>
      <w:tr w14:paraId="7803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3" w:type="pct"/>
            <w:shd w:val="clear" w:color="auto" w:fill="auto"/>
            <w:noWrap w:val="0"/>
            <w:vAlign w:val="center"/>
          </w:tcPr>
          <w:p w14:paraId="159B21CA">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监测层位</w:t>
            </w:r>
          </w:p>
        </w:tc>
        <w:tc>
          <w:tcPr>
            <w:tcW w:w="2293" w:type="pct"/>
            <w:shd w:val="clear" w:color="auto" w:fill="auto"/>
            <w:noWrap w:val="0"/>
            <w:vAlign w:val="center"/>
          </w:tcPr>
          <w:p w14:paraId="7E5F8F14">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潜水含水层</w:t>
            </w:r>
          </w:p>
        </w:tc>
        <w:tc>
          <w:tcPr>
            <w:tcW w:w="2293" w:type="pct"/>
            <w:shd w:val="clear" w:color="auto" w:fill="auto"/>
            <w:noWrap w:val="0"/>
            <w:vAlign w:val="center"/>
          </w:tcPr>
          <w:p w14:paraId="0C4099D6">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潜水含水层</w:t>
            </w:r>
          </w:p>
        </w:tc>
      </w:tr>
      <w:tr w14:paraId="4BC4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3" w:type="pct"/>
            <w:shd w:val="clear" w:color="auto" w:fill="auto"/>
            <w:noWrap w:val="0"/>
            <w:vAlign w:val="center"/>
          </w:tcPr>
          <w:p w14:paraId="2562571C">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p>
        </w:tc>
        <w:tc>
          <w:tcPr>
            <w:tcW w:w="2293" w:type="pct"/>
            <w:shd w:val="clear" w:color="auto" w:fill="auto"/>
            <w:noWrap w:val="0"/>
            <w:vAlign w:val="center"/>
          </w:tcPr>
          <w:p w14:paraId="5FCDD528">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eastAsia="宋体"/>
                <w:color w:val="auto"/>
                <w:highlight w:val="none"/>
                <w:lang w:val="en-US" w:eastAsia="zh-CN"/>
              </w:rPr>
            </w:pPr>
            <w:r>
              <w:rPr>
                <w:rFonts w:hint="eastAsia" w:cs="Times New Roman"/>
                <w:color w:val="auto"/>
                <w:highlight w:val="none"/>
                <w:lang w:val="en-US" w:eastAsia="zh-CN"/>
              </w:rPr>
              <w:t>现有工程地下水监测因子：</w:t>
            </w:r>
            <w:r>
              <w:rPr>
                <w:rFonts w:hint="default" w:ascii="Times New Roman" w:hAnsi="Times New Roman" w:cs="Times New Roman"/>
                <w:color w:val="auto"/>
                <w:highlight w:val="none"/>
              </w:rPr>
              <w:t>pH、溶解性总固体、总硬度、总大肠菌群、阴离子表面活性剂、总汞、总镉、六价铬、总砷、总铅、总铜、总锌、总锰、总铁、总硒、氨氮、硝酸盐、氰化物、氟化物、硫化物、氯化物、硫酸盐、耗氧量</w:t>
            </w:r>
          </w:p>
        </w:tc>
        <w:tc>
          <w:tcPr>
            <w:tcW w:w="2293" w:type="pct"/>
            <w:shd w:val="clear" w:color="auto" w:fill="auto"/>
            <w:noWrap w:val="0"/>
            <w:vAlign w:val="center"/>
          </w:tcPr>
          <w:p w14:paraId="2F4C79BC">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color w:val="auto"/>
                <w:highlight w:val="none"/>
              </w:rPr>
            </w:pPr>
            <w:r>
              <w:rPr>
                <w:rFonts w:hint="eastAsia" w:cs="Times New Roman"/>
                <w:color w:val="auto"/>
                <w:highlight w:val="none"/>
                <w:lang w:val="en-US" w:eastAsia="zh-CN"/>
              </w:rPr>
              <w:t>现有工程地下水监测因子：</w:t>
            </w:r>
            <w:r>
              <w:rPr>
                <w:rFonts w:hint="default" w:ascii="Times New Roman" w:hAnsi="Times New Roman" w:cs="Times New Roman"/>
                <w:color w:val="auto"/>
                <w:highlight w:val="none"/>
              </w:rPr>
              <w:t>pH、溶解性总固体、总硬度、总大肠菌群、阴离子表面活性剂、总汞、总镉、六价铬、总砷、总铅、总铜、总锌、总锰、总铁、总硒、氨氮、硝酸盐、氰化物、氟化物、硫化物、氯化物、硫酸盐、耗氧量</w:t>
            </w:r>
          </w:p>
          <w:p w14:paraId="08701CE3">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新增监测因子：石油类</w:t>
            </w:r>
          </w:p>
        </w:tc>
      </w:tr>
      <w:tr w14:paraId="58F4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413" w:type="pct"/>
            <w:shd w:val="clear" w:color="auto" w:fill="auto"/>
            <w:noWrap w:val="0"/>
            <w:vAlign w:val="center"/>
          </w:tcPr>
          <w:p w14:paraId="6B3F6BBB">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c>
          <w:tcPr>
            <w:tcW w:w="2293" w:type="pct"/>
            <w:shd w:val="clear" w:color="auto" w:fill="auto"/>
            <w:noWrap w:val="0"/>
            <w:vAlign w:val="center"/>
          </w:tcPr>
          <w:p w14:paraId="08353824">
            <w:pPr>
              <w:pStyle w:val="42"/>
              <w:keepNext w:val="0"/>
              <w:keepLines w:val="0"/>
              <w:pageBreakBefore w:val="0"/>
              <w:widowControl w:val="0"/>
              <w:tabs>
                <w:tab w:val="left" w:pos="0"/>
              </w:tabs>
              <w:kinsoku/>
              <w:wordWrap/>
              <w:overflowPunct/>
              <w:topLinePunct w:val="0"/>
              <w:autoSpaceDE/>
              <w:autoSpaceDN/>
              <w:bidi w:val="0"/>
              <w:adjustRightInd/>
              <w:snapToGrid/>
              <w:ind w:lef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发现泄漏采取截断措施后应加强监测频率</w:t>
            </w:r>
          </w:p>
        </w:tc>
        <w:tc>
          <w:tcPr>
            <w:tcW w:w="2293" w:type="pct"/>
            <w:shd w:val="clear" w:color="auto" w:fill="auto"/>
            <w:noWrap w:val="0"/>
            <w:vAlign w:val="center"/>
          </w:tcPr>
          <w:p w14:paraId="6B60F948">
            <w:pPr>
              <w:pStyle w:val="42"/>
              <w:keepNext w:val="0"/>
              <w:keepLines w:val="0"/>
              <w:pageBreakBefore w:val="0"/>
              <w:widowControl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发现泄漏采取截断措施后应加强监测频率</w:t>
            </w:r>
          </w:p>
        </w:tc>
      </w:tr>
    </w:tbl>
    <w:p w14:paraId="51C3C0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ascii="Times New Roman" w:hAnsi="Times New Roman"/>
          <w:color w:val="auto"/>
          <w:kern w:val="2"/>
          <w:sz w:val="24"/>
          <w:szCs w:val="24"/>
          <w:highlight w:val="none"/>
        </w:rPr>
      </w:pPr>
      <w:r>
        <w:rPr>
          <w:rFonts w:hint="eastAsia"/>
          <w:color w:val="auto"/>
          <w:sz w:val="24"/>
          <w:highlight w:val="none"/>
        </w:rPr>
        <w:t>上述检测结果应按项目有关规定及时建立档案，并定期向公司安全环保部门汇报，对于常规检测数据应该进行公开，特别是对项目所在区域的居民进行公开，满足法律中关于知情权的要求。如发现异常或发生事故，加密检测频次，并分析污染原因，确定泄漏污染源，及时采取应急措施。项目建成后，建议由项目所在地的生态环境局对项目的环境管理及监测的具体执行情况加以监督。</w:t>
      </w:r>
    </w:p>
    <w:p w14:paraId="1F763E3E">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rPr>
          <w:rFonts w:hint="default" w:ascii="Times New Roman" w:hAnsi="Times New Roman" w:eastAsia="黑体" w:cs="Times New Roman"/>
          <w:b w:val="0"/>
          <w:snapToGrid w:val="0"/>
          <w:color w:val="auto"/>
          <w:kern w:val="0"/>
          <w:sz w:val="21"/>
          <w:szCs w:val="24"/>
          <w:highlight w:val="none"/>
          <w:lang w:eastAsia="zh-CN"/>
        </w:rPr>
      </w:pPr>
      <w:r>
        <w:rPr>
          <w:rFonts w:hint="default" w:ascii="Times New Roman" w:hAnsi="Times New Roman" w:eastAsia="黑体" w:cs="Times New Roman"/>
          <w:b w:val="0"/>
          <w:snapToGrid w:val="0"/>
          <w:color w:val="auto"/>
          <w:kern w:val="0"/>
          <w:sz w:val="21"/>
          <w:szCs w:val="24"/>
          <w:highlight w:val="none"/>
          <w:lang w:eastAsia="zh-CN"/>
        </w:rPr>
        <w:t>图</w:t>
      </w:r>
      <w:r>
        <w:rPr>
          <w:rFonts w:hint="eastAsia" w:ascii="Times New Roman" w:hAnsi="Times New Roman" w:eastAsia="黑体" w:cs="Times New Roman"/>
          <w:b w:val="0"/>
          <w:snapToGrid w:val="0"/>
          <w:color w:val="auto"/>
          <w:kern w:val="0"/>
          <w:sz w:val="21"/>
          <w:szCs w:val="24"/>
          <w:highlight w:val="none"/>
          <w:lang w:val="en-US" w:eastAsia="zh-CN"/>
        </w:rPr>
        <w:t>7.2-2</w:t>
      </w:r>
      <w:r>
        <w:rPr>
          <w:rFonts w:hint="default" w:ascii="Times New Roman" w:hAnsi="Times New Roman" w:eastAsia="黑体" w:cs="Times New Roman"/>
          <w:b w:val="0"/>
          <w:snapToGrid w:val="0"/>
          <w:color w:val="auto"/>
          <w:kern w:val="0"/>
          <w:sz w:val="21"/>
          <w:szCs w:val="24"/>
          <w:highlight w:val="none"/>
          <w:lang w:eastAsia="zh-CN"/>
        </w:rPr>
        <w:t xml:space="preserve"> </w:t>
      </w:r>
      <w:r>
        <w:rPr>
          <w:rFonts w:hint="eastAsia" w:ascii="Times New Roman" w:hAnsi="Times New Roman" w:eastAsia="黑体" w:cs="Times New Roman"/>
          <w:b w:val="0"/>
          <w:snapToGrid w:val="0"/>
          <w:color w:val="auto"/>
          <w:kern w:val="0"/>
          <w:sz w:val="21"/>
          <w:szCs w:val="24"/>
          <w:highlight w:val="none"/>
          <w:lang w:eastAsia="zh-CN"/>
        </w:rPr>
        <w:t>地下水跟踪</w:t>
      </w:r>
      <w:r>
        <w:rPr>
          <w:rFonts w:hint="default" w:ascii="Times New Roman" w:hAnsi="Times New Roman" w:eastAsia="黑体" w:cs="Times New Roman"/>
          <w:b w:val="0"/>
          <w:snapToGrid w:val="0"/>
          <w:color w:val="auto"/>
          <w:kern w:val="0"/>
          <w:sz w:val="21"/>
          <w:szCs w:val="24"/>
          <w:highlight w:val="none"/>
          <w:lang w:eastAsia="zh-CN"/>
        </w:rPr>
        <w:t>监测</w:t>
      </w:r>
      <w:r>
        <w:rPr>
          <w:rFonts w:hint="eastAsia" w:ascii="Times New Roman" w:hAnsi="Times New Roman" w:eastAsia="黑体" w:cs="Times New Roman"/>
          <w:b w:val="0"/>
          <w:snapToGrid w:val="0"/>
          <w:color w:val="auto"/>
          <w:kern w:val="0"/>
          <w:sz w:val="21"/>
          <w:szCs w:val="24"/>
          <w:highlight w:val="none"/>
          <w:lang w:eastAsia="zh-CN"/>
        </w:rPr>
        <w:t>布点图</w:t>
      </w:r>
    </w:p>
    <w:p w14:paraId="7B864CED">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7.2.5.4小结</w:t>
      </w:r>
    </w:p>
    <w:p w14:paraId="6E8B294F">
      <w:pPr>
        <w:spacing w:line="360" w:lineRule="auto"/>
        <w:ind w:firstLine="480" w:firstLineChars="200"/>
        <w:rPr>
          <w:color w:val="auto"/>
          <w:sz w:val="24"/>
          <w:highlight w:val="none"/>
        </w:rPr>
      </w:pPr>
      <w:r>
        <w:rPr>
          <w:rFonts w:hint="eastAsia"/>
          <w:color w:val="auto"/>
          <w:sz w:val="24"/>
          <w:highlight w:val="none"/>
        </w:rPr>
        <w:t>本项目生产装置区等关键区域要求严格按照相关技术规范要求，采取地下水污染防渗措施，物料及废水输送管网尽可能采用“可视化”设计的架空管线，确保在正常运行情况下，不存在物料或废水渗漏至地下水的风险；同时企业定期对易渗漏部位进行检查，及时更换腐蚀、老化设备，修补破损防渗设施，减少“跑、冒、滴、漏”现象发生；定期对地下水开展监测工作。项目建设后，废水产生量基本不发生变化，不会新增对地下水环境的污染风险。</w:t>
      </w:r>
    </w:p>
    <w:bookmarkEnd w:id="131"/>
    <w:bookmarkEnd w:id="132"/>
    <w:bookmarkEnd w:id="133"/>
    <w:bookmarkEnd w:id="134"/>
    <w:bookmarkEnd w:id="135"/>
    <w:bookmarkEnd w:id="136"/>
    <w:p w14:paraId="3F397D21">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191" w:name="_Toc2374"/>
      <w:bookmarkStart w:id="192" w:name="_Toc26758"/>
      <w:bookmarkStart w:id="193" w:name="_Toc146967282"/>
      <w:bookmarkStart w:id="194" w:name="_Toc146967278"/>
      <w:bookmarkStart w:id="195" w:name="_Toc188349484"/>
      <w:bookmarkStart w:id="196" w:name="_Toc26384"/>
      <w:bookmarkStart w:id="197" w:name="_Toc149705177"/>
      <w:bookmarkStart w:id="198" w:name="_Toc327365518"/>
      <w:bookmarkStart w:id="199" w:name="_Toc188349480"/>
      <w:bookmarkStart w:id="200" w:name="_Toc149705181"/>
      <w:r>
        <w:rPr>
          <w:rFonts w:hint="eastAsia" w:ascii="Times New Roman" w:hAnsi="Times New Roman" w:cs="Times New Roman"/>
          <w:snapToGrid w:val="0"/>
          <w:color w:val="auto"/>
          <w:spacing w:val="0"/>
          <w:kern w:val="0"/>
          <w:szCs w:val="24"/>
          <w:highlight w:val="none"/>
          <w:lang w:val="en-US" w:eastAsia="zh-CN"/>
        </w:rPr>
        <w:t>7.2.6运营期土壤污染防治措施可行性</w:t>
      </w:r>
      <w:bookmarkEnd w:id="191"/>
      <w:bookmarkEnd w:id="192"/>
      <w:r>
        <w:rPr>
          <w:rFonts w:hint="eastAsia" w:ascii="Times New Roman" w:hAnsi="Times New Roman" w:cs="Times New Roman"/>
          <w:snapToGrid w:val="0"/>
          <w:color w:val="auto"/>
          <w:spacing w:val="0"/>
          <w:kern w:val="0"/>
          <w:szCs w:val="24"/>
          <w:highlight w:val="none"/>
          <w:lang w:val="en-US" w:eastAsia="zh-CN"/>
        </w:rPr>
        <w:t>分析</w:t>
      </w:r>
    </w:p>
    <w:p w14:paraId="2C0862B1">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7.2.6.1源头控制措施</w:t>
      </w:r>
    </w:p>
    <w:p w14:paraId="3EB66FA8">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（1）施工期</w:t>
      </w:r>
    </w:p>
    <w:p w14:paraId="3CB509A9">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施工过程中产生的含油废水的排放应严格控制。施工机械维修时，应把产生的油污收集，集中处理，避免污染环境；平时使用中要注意施工机械的维护，防止漏油事故的发生。</w:t>
      </w:r>
    </w:p>
    <w:p w14:paraId="782A4ED7">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（2）运行期</w:t>
      </w:r>
    </w:p>
    <w:p w14:paraId="73562B9F">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拟建项目工艺废水和生活污水依托</w:t>
      </w:r>
      <w:r>
        <w:rPr>
          <w:rFonts w:hint="eastAsia"/>
          <w:snapToGrid w:val="0"/>
          <w:color w:val="auto"/>
          <w:kern w:val="0"/>
          <w:sz w:val="24"/>
          <w:highlight w:val="none"/>
          <w:lang w:eastAsia="zh-CN"/>
        </w:rPr>
        <w:t>“</w:t>
      </w:r>
      <w:r>
        <w:rPr>
          <w:rFonts w:hint="eastAsia"/>
          <w:snapToGrid w:val="0"/>
          <w:color w:val="auto"/>
          <w:kern w:val="0"/>
          <w:sz w:val="24"/>
          <w:highlight w:val="none"/>
        </w:rPr>
        <w:t>材料公司</w:t>
      </w:r>
      <w:r>
        <w:rPr>
          <w:rFonts w:hint="eastAsia"/>
          <w:snapToGrid w:val="0"/>
          <w:color w:val="auto"/>
          <w:kern w:val="0"/>
          <w:sz w:val="24"/>
          <w:highlight w:val="none"/>
          <w:lang w:eastAsia="zh-CN"/>
        </w:rPr>
        <w:t>”</w:t>
      </w:r>
      <w:r>
        <w:rPr>
          <w:snapToGrid w:val="0"/>
          <w:color w:val="auto"/>
          <w:kern w:val="0"/>
          <w:sz w:val="24"/>
          <w:highlight w:val="none"/>
        </w:rPr>
        <w:t>污水处理站处理，经处理后达到《污水综合排放标准》（GB8978-1996）级标准后进入</w:t>
      </w:r>
      <w:r>
        <w:rPr>
          <w:rFonts w:hint="eastAsia"/>
          <w:snapToGrid w:val="0"/>
          <w:color w:val="auto"/>
          <w:kern w:val="0"/>
          <w:sz w:val="24"/>
          <w:highlight w:val="none"/>
          <w:lang w:eastAsia="zh-CN"/>
        </w:rPr>
        <w:t>“</w:t>
      </w:r>
      <w:r>
        <w:rPr>
          <w:rFonts w:hint="eastAsia"/>
          <w:snapToGrid w:val="0"/>
          <w:color w:val="auto"/>
          <w:kern w:val="0"/>
          <w:sz w:val="24"/>
          <w:highlight w:val="none"/>
        </w:rPr>
        <w:t>材料公司</w:t>
      </w:r>
      <w:r>
        <w:rPr>
          <w:rFonts w:hint="eastAsia"/>
          <w:snapToGrid w:val="0"/>
          <w:color w:val="auto"/>
          <w:kern w:val="0"/>
          <w:sz w:val="24"/>
          <w:highlight w:val="none"/>
          <w:lang w:eastAsia="zh-CN"/>
        </w:rPr>
        <w:t>”</w:t>
      </w:r>
      <w:r>
        <w:rPr>
          <w:snapToGrid w:val="0"/>
          <w:color w:val="auto"/>
          <w:kern w:val="0"/>
          <w:sz w:val="24"/>
          <w:highlight w:val="none"/>
        </w:rPr>
        <w:t>回用水站，处理后作为循环水站补充水。循环冷却排污水进入</w:t>
      </w:r>
      <w:r>
        <w:rPr>
          <w:rFonts w:hint="eastAsia"/>
          <w:snapToGrid w:val="0"/>
          <w:color w:val="auto"/>
          <w:kern w:val="0"/>
          <w:sz w:val="24"/>
          <w:highlight w:val="none"/>
          <w:lang w:eastAsia="zh-CN"/>
        </w:rPr>
        <w:t>“</w:t>
      </w:r>
      <w:r>
        <w:rPr>
          <w:rFonts w:hint="eastAsia"/>
          <w:snapToGrid w:val="0"/>
          <w:color w:val="auto"/>
          <w:kern w:val="0"/>
          <w:sz w:val="24"/>
          <w:highlight w:val="none"/>
        </w:rPr>
        <w:t>材料公司</w:t>
      </w:r>
      <w:r>
        <w:rPr>
          <w:rFonts w:hint="eastAsia"/>
          <w:snapToGrid w:val="0"/>
          <w:color w:val="auto"/>
          <w:kern w:val="0"/>
          <w:sz w:val="24"/>
          <w:highlight w:val="none"/>
          <w:lang w:eastAsia="zh-CN"/>
        </w:rPr>
        <w:t>”</w:t>
      </w:r>
      <w:r>
        <w:rPr>
          <w:snapToGrid w:val="0"/>
          <w:color w:val="auto"/>
          <w:kern w:val="0"/>
          <w:sz w:val="24"/>
          <w:highlight w:val="none"/>
        </w:rPr>
        <w:t>回用水站进行处理，处理后作为循环水站补充水。回用水站新增废水排入园区污水处理厂进一步处理。</w:t>
      </w:r>
    </w:p>
    <w:p w14:paraId="606B6E52">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项目运行过程中，要对工业污水排水系统的功能性及可靠性进行经常性检查，对于污水干管要周期性检查，确保不发生裂缝及锈蚀，同时对污水计量、水质监测仪表及取样设施也要进行周期性检查，确保整个系统运行平稳、可靠，防止渗漏产生。危险废物存放于危废暂存库。</w:t>
      </w:r>
    </w:p>
    <w:p w14:paraId="3D84ADCA">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7.2.6.2过程防控措施</w:t>
      </w:r>
    </w:p>
    <w:p w14:paraId="5EDA699F">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本项目为土壤污染型项目，根据《环境影响评价技术导则 土壤环境（试行）》（HJ964-2018）过程控制措施，结合本项目污染特征，从以下几方面加强过程控制：</w:t>
      </w:r>
    </w:p>
    <w:p w14:paraId="05EA6AB4">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（1）占地范围内应加强绿化措施，以种植具有较强吸附能力的植物为主，根据本项目所处区域自然地理特征，该地区可选择易于在该地区生长且富集能力较强、生物量较大的植物种植。通过乔、</w:t>
      </w:r>
      <w:r>
        <w:rPr>
          <w:rFonts w:hint="eastAsia"/>
          <w:snapToGrid w:val="0"/>
          <w:color w:val="auto"/>
          <w:kern w:val="0"/>
          <w:sz w:val="24"/>
          <w:highlight w:val="none"/>
          <w:lang w:eastAsia="zh-CN"/>
        </w:rPr>
        <w:t>灌</w:t>
      </w:r>
      <w:r>
        <w:rPr>
          <w:snapToGrid w:val="0"/>
          <w:color w:val="auto"/>
          <w:kern w:val="0"/>
          <w:sz w:val="24"/>
          <w:highlight w:val="none"/>
        </w:rPr>
        <w:t>、草结合，有效减少地面裸露，增强污染物吸附阻隔功能。</w:t>
      </w:r>
    </w:p>
    <w:p w14:paraId="2E5BB3F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（2）根据建设项目所在地的地形特点优化地面布局，必要时设置地面硬化、围堰或围墙，以防止土壤环境污染。</w:t>
      </w:r>
    </w:p>
    <w:p w14:paraId="1E40704E">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（3）涉及入渗途径影响的，应根据相关标</w:t>
      </w:r>
      <w:r>
        <w:rPr>
          <w:rFonts w:hint="eastAsia"/>
          <w:snapToGrid w:val="0"/>
          <w:color w:val="auto"/>
          <w:kern w:val="0"/>
          <w:sz w:val="24"/>
          <w:highlight w:val="none"/>
          <w:lang w:eastAsia="zh-CN"/>
        </w:rPr>
        <w:t>准和</w:t>
      </w:r>
      <w:r>
        <w:rPr>
          <w:snapToGrid w:val="0"/>
          <w:color w:val="auto"/>
          <w:kern w:val="0"/>
          <w:sz w:val="24"/>
          <w:highlight w:val="none"/>
        </w:rPr>
        <w:t>规范要求，对设备设施采取相应的土壤污染保护措施，以防止土壤环境污染。</w:t>
      </w:r>
    </w:p>
    <w:p w14:paraId="5A9171F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本项目执行《石油化工工程防渗技术规范》（GB/T50934-2013），采取地下水防渗措施。具体防渗分区详见表</w:t>
      </w:r>
      <w:r>
        <w:rPr>
          <w:rFonts w:hint="eastAsia"/>
          <w:snapToGrid w:val="0"/>
          <w:color w:val="auto"/>
          <w:kern w:val="0"/>
          <w:sz w:val="24"/>
          <w:highlight w:val="none"/>
          <w:lang w:val="en-US" w:eastAsia="zh-CN"/>
        </w:rPr>
        <w:t>7.2-5</w:t>
      </w:r>
      <w:r>
        <w:rPr>
          <w:snapToGrid w:val="0"/>
          <w:color w:val="auto"/>
          <w:kern w:val="0"/>
          <w:sz w:val="24"/>
          <w:highlight w:val="none"/>
        </w:rPr>
        <w:t>。</w:t>
      </w:r>
    </w:p>
    <w:p w14:paraId="36E4AE5E">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项目管线敷设尽量采用可视化原则，做到早发现、早处理，生产废水全部采用地上管廊或管沟敷设，导流槽、污水管沟和其他生产车间导流沟渠严格按照要求进行防渗。</w:t>
      </w:r>
    </w:p>
    <w:p w14:paraId="53859CFD">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建立有关规章制度和岗位责任制，</w:t>
      </w:r>
      <w:r>
        <w:rPr>
          <w:rFonts w:hint="eastAsia"/>
          <w:snapToGrid w:val="0"/>
          <w:color w:val="auto"/>
          <w:kern w:val="0"/>
          <w:sz w:val="24"/>
          <w:highlight w:val="none"/>
          <w:lang w:val="en-US" w:eastAsia="zh-CN"/>
        </w:rPr>
        <w:t>定期</w:t>
      </w:r>
      <w:r>
        <w:rPr>
          <w:snapToGrid w:val="0"/>
          <w:color w:val="auto"/>
          <w:kern w:val="0"/>
          <w:sz w:val="24"/>
          <w:highlight w:val="none"/>
        </w:rPr>
        <w:t>巡检。制定风险预警方案，设立应急设施，一旦发生物料泄漏应及时收集、清理，妥善处置。避免发生土壤环境污染事故。</w:t>
      </w:r>
    </w:p>
    <w:p w14:paraId="2C7E3299">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7.2.6.3跟踪监测</w:t>
      </w:r>
    </w:p>
    <w:p w14:paraId="328A1F42">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根据《环境影响评价技术导则 土壤环境（试行）》（HJ964-2018），土壤环境跟踪监测计划应明确监测点位、监测指标、监测频次以及执行标准等。</w:t>
      </w:r>
    </w:p>
    <w:p w14:paraId="6BC5675C">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凯赛（乌苏）生物材料有限公司</w:t>
      </w:r>
      <w:r>
        <w:rPr>
          <w:snapToGrid w:val="0"/>
          <w:color w:val="auto"/>
          <w:kern w:val="0"/>
          <w:sz w:val="24"/>
          <w:highlight w:val="none"/>
        </w:rPr>
        <w:t>已开展土壤跟踪监测，监测频次为</w:t>
      </w:r>
      <w:r>
        <w:rPr>
          <w:rFonts w:hint="eastAsia"/>
          <w:snapToGrid w:val="0"/>
          <w:color w:val="auto"/>
          <w:kern w:val="0"/>
          <w:sz w:val="24"/>
          <w:highlight w:val="none"/>
          <w:lang w:val="en-US" w:eastAsia="zh-CN"/>
        </w:rPr>
        <w:t>半</w:t>
      </w:r>
      <w:r>
        <w:rPr>
          <w:snapToGrid w:val="0"/>
          <w:color w:val="auto"/>
          <w:kern w:val="0"/>
          <w:sz w:val="24"/>
          <w:highlight w:val="none"/>
        </w:rPr>
        <w:t>年一次，于202</w:t>
      </w:r>
      <w:r>
        <w:rPr>
          <w:rFonts w:hint="eastAsia"/>
          <w:snapToGrid w:val="0"/>
          <w:color w:val="auto"/>
          <w:kern w:val="0"/>
          <w:sz w:val="24"/>
          <w:highlight w:val="none"/>
          <w:lang w:val="en-US" w:eastAsia="zh-CN"/>
        </w:rPr>
        <w:t>5</w:t>
      </w:r>
      <w:r>
        <w:rPr>
          <w:snapToGrid w:val="0"/>
          <w:color w:val="auto"/>
          <w:kern w:val="0"/>
          <w:sz w:val="24"/>
          <w:highlight w:val="none"/>
        </w:rPr>
        <w:t>年开展了监测，监测点位于厂区本项目建设区域南侧。</w:t>
      </w:r>
    </w:p>
    <w:p w14:paraId="5F8F073A">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监测项目包括：</w:t>
      </w:r>
      <w:r>
        <w:rPr>
          <w:rFonts w:ascii="Times New Roman" w:hAnsi="Times New Roman" w:cs="Times New Roman"/>
          <w:color w:val="auto"/>
          <w:kern w:val="2"/>
          <w:sz w:val="24"/>
          <w:szCs w:val="24"/>
          <w:highlight w:val="none"/>
        </w:rPr>
        <w:t>pH、铬（六价）、铜、镍、镉、铅、汞、砷</w:t>
      </w:r>
      <w:r>
        <w:rPr>
          <w:snapToGrid w:val="0"/>
          <w:color w:val="auto"/>
          <w:kern w:val="0"/>
          <w:sz w:val="24"/>
          <w:highlight w:val="none"/>
        </w:rPr>
        <w:t>。</w:t>
      </w:r>
    </w:p>
    <w:p w14:paraId="3C2E28DD">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建议在后续土壤环境跟踪监测工作中</w:t>
      </w:r>
      <w:r>
        <w:rPr>
          <w:rFonts w:hint="eastAsia"/>
          <w:snapToGrid w:val="0"/>
          <w:color w:val="auto"/>
          <w:kern w:val="0"/>
          <w:sz w:val="24"/>
          <w:highlight w:val="none"/>
          <w:lang w:val="en-US" w:eastAsia="zh-CN"/>
        </w:rPr>
        <w:t>每年监测1次</w:t>
      </w:r>
      <w:r>
        <w:rPr>
          <w:snapToGrid w:val="0"/>
          <w:color w:val="auto"/>
          <w:kern w:val="0"/>
          <w:sz w:val="24"/>
          <w:highlight w:val="none"/>
        </w:rPr>
        <w:t>特征因子石油烃</w:t>
      </w:r>
      <w:r>
        <w:rPr>
          <w:rFonts w:hint="eastAsia"/>
          <w:color w:val="auto"/>
          <w:sz w:val="24"/>
          <w:szCs w:val="24"/>
          <w:highlight w:val="none"/>
          <w:lang w:eastAsia="zh-CN"/>
        </w:rPr>
        <w:t>（</w:t>
      </w:r>
      <w:r>
        <w:rPr>
          <w:rFonts w:hint="eastAsia"/>
          <w:color w:val="auto"/>
          <w:sz w:val="24"/>
          <w:szCs w:val="24"/>
          <w:highlight w:val="none"/>
          <w:lang w:val="en-US" w:eastAsia="zh-CN"/>
        </w:rPr>
        <w:t>C</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~C</w:t>
      </w:r>
      <w:r>
        <w:rPr>
          <w:rFonts w:hint="eastAsia"/>
          <w:color w:val="auto"/>
          <w:sz w:val="24"/>
          <w:szCs w:val="24"/>
          <w:highlight w:val="none"/>
          <w:vertAlign w:val="subscript"/>
          <w:lang w:val="en-US" w:eastAsia="zh-CN"/>
        </w:rPr>
        <w:t>40</w:t>
      </w:r>
      <w:r>
        <w:rPr>
          <w:rFonts w:hint="eastAsia"/>
          <w:color w:val="auto"/>
          <w:sz w:val="24"/>
          <w:szCs w:val="24"/>
          <w:highlight w:val="none"/>
          <w:lang w:eastAsia="zh-CN"/>
        </w:rPr>
        <w:t>）</w:t>
      </w:r>
      <w:r>
        <w:rPr>
          <w:snapToGrid w:val="0"/>
          <w:color w:val="auto"/>
          <w:kern w:val="0"/>
          <w:sz w:val="24"/>
          <w:highlight w:val="none"/>
        </w:rPr>
        <w:t>。</w:t>
      </w:r>
    </w:p>
    <w:p w14:paraId="38C02F28">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建设单位要对监测数据存档备查，并根据土壤环境跟踪监测情况定期编制监测报告并向社会公开。</w:t>
      </w:r>
    </w:p>
    <w:p w14:paraId="44AF738C">
      <w:pPr>
        <w:adjustRightInd w:val="0"/>
        <w:snapToGrid w:val="0"/>
        <w:spacing w:line="360" w:lineRule="auto"/>
        <w:ind w:firstLine="480" w:firstLineChars="200"/>
        <w:rPr>
          <w:snapToGrid w:val="0"/>
          <w:color w:val="auto"/>
          <w:kern w:val="0"/>
          <w:sz w:val="24"/>
          <w:highlight w:val="none"/>
        </w:rPr>
      </w:pPr>
      <w:r>
        <w:rPr>
          <w:snapToGrid w:val="0"/>
          <w:color w:val="auto"/>
          <w:kern w:val="0"/>
          <w:sz w:val="24"/>
          <w:highlight w:val="none"/>
        </w:rPr>
        <w:t>在采取以上措施后，项目对占地范围及周围土壤环境的影响较小，其影响可以接受，采取的措施是可行的。</w:t>
      </w:r>
    </w:p>
    <w:p w14:paraId="09FA71E5">
      <w:pPr>
        <w:adjustRightInd w:val="0"/>
        <w:snapToGrid w:val="0"/>
        <w:spacing w:line="360" w:lineRule="auto"/>
        <w:ind w:firstLine="480" w:firstLineChars="200"/>
        <w:rPr>
          <w:color w:val="auto"/>
          <w:sz w:val="44"/>
          <w:szCs w:val="22"/>
          <w:highlight w:val="none"/>
        </w:rPr>
      </w:pPr>
      <w:r>
        <w:rPr>
          <w:snapToGrid w:val="0"/>
          <w:color w:val="auto"/>
          <w:kern w:val="0"/>
          <w:sz w:val="24"/>
          <w:highlight w:val="none"/>
        </w:rPr>
        <w:t>综上，</w:t>
      </w:r>
      <w:r>
        <w:rPr>
          <w:rFonts w:hint="eastAsia"/>
          <w:snapToGrid w:val="0"/>
          <w:color w:val="auto"/>
          <w:kern w:val="0"/>
          <w:sz w:val="24"/>
          <w:highlight w:val="none"/>
        </w:rPr>
        <w:t>凯赛（乌苏）生物材料有限公司</w:t>
      </w:r>
      <w:r>
        <w:rPr>
          <w:snapToGrid w:val="0"/>
          <w:color w:val="auto"/>
          <w:kern w:val="0"/>
          <w:sz w:val="24"/>
          <w:highlight w:val="none"/>
        </w:rPr>
        <w:t>须严格落实上述防渗措施，确保本项目投产后不对区域土壤环境造成影响。</w:t>
      </w:r>
      <w:r>
        <w:rPr>
          <w:color w:val="auto"/>
          <w:szCs w:val="22"/>
          <w:highlight w:val="none"/>
        </w:rPr>
        <w:br w:type="page"/>
      </w:r>
    </w:p>
    <w:bookmarkEnd w:id="193"/>
    <w:bookmarkEnd w:id="194"/>
    <w:bookmarkEnd w:id="195"/>
    <w:bookmarkEnd w:id="196"/>
    <w:bookmarkEnd w:id="197"/>
    <w:bookmarkEnd w:id="198"/>
    <w:bookmarkEnd w:id="199"/>
    <w:bookmarkEnd w:id="200"/>
    <w:p w14:paraId="46740909">
      <w:pPr>
        <w:pStyle w:val="2"/>
        <w:spacing w:before="100" w:beforeAutospacing="1" w:after="100" w:afterAutospacing="1"/>
        <w:ind w:firstLine="883"/>
        <w:rPr>
          <w:color w:val="auto"/>
          <w:highlight w:val="none"/>
        </w:rPr>
      </w:pPr>
      <w:bookmarkStart w:id="201" w:name="_Toc30626"/>
      <w:bookmarkStart w:id="202" w:name="_Toc2470"/>
      <w:bookmarkStart w:id="203" w:name="_Toc454899407"/>
      <w:r>
        <w:rPr>
          <w:rFonts w:hint="eastAsia"/>
          <w:color w:val="auto"/>
          <w:highlight w:val="none"/>
        </w:rPr>
        <w:t xml:space="preserve">8  </w:t>
      </w:r>
      <w:r>
        <w:rPr>
          <w:rFonts w:hint="eastAsia"/>
          <w:color w:val="auto"/>
          <w:highlight w:val="none"/>
          <w:lang w:val="en-US" w:eastAsia="zh-CN"/>
        </w:rPr>
        <w:t>生态</w:t>
      </w:r>
      <w:r>
        <w:rPr>
          <w:rFonts w:hint="eastAsia"/>
          <w:color w:val="auto"/>
          <w:highlight w:val="none"/>
        </w:rPr>
        <w:t>环境</w:t>
      </w:r>
      <w:r>
        <w:rPr>
          <w:rFonts w:hint="eastAsia"/>
          <w:color w:val="auto"/>
          <w:highlight w:val="none"/>
          <w:lang w:val="en-US" w:eastAsia="zh-CN"/>
        </w:rPr>
        <w:t>影响</w:t>
      </w:r>
      <w:r>
        <w:rPr>
          <w:rFonts w:hint="eastAsia"/>
          <w:color w:val="auto"/>
          <w:highlight w:val="none"/>
        </w:rPr>
        <w:t>经济损益分析</w:t>
      </w:r>
      <w:bookmarkEnd w:id="201"/>
      <w:bookmarkEnd w:id="202"/>
    </w:p>
    <w:p w14:paraId="19E829E7">
      <w:pPr>
        <w:spacing w:line="360" w:lineRule="auto"/>
        <w:ind w:firstLine="480" w:firstLineChars="200"/>
        <w:rPr>
          <w:color w:val="auto"/>
          <w:sz w:val="24"/>
          <w:highlight w:val="none"/>
        </w:rPr>
      </w:pPr>
      <w:r>
        <w:rPr>
          <w:rFonts w:hint="eastAsia" w:eastAsiaTheme="minorEastAsia"/>
          <w:snapToGrid w:val="0"/>
          <w:color w:val="auto"/>
          <w:kern w:val="0"/>
          <w:sz w:val="24"/>
          <w:highlight w:val="none"/>
          <w:lang w:val="en-US" w:eastAsia="zh-CN"/>
        </w:rPr>
        <w:t>生态</w:t>
      </w:r>
      <w:r>
        <w:rPr>
          <w:rFonts w:hint="eastAsia"/>
          <w:color w:val="auto"/>
          <w:sz w:val="24"/>
          <w:highlight w:val="none"/>
        </w:rPr>
        <w:t>环境经济损益分析是从经济学的角度来分析、预测工程建设项目的</w:t>
      </w:r>
      <w:r>
        <w:rPr>
          <w:rFonts w:hint="eastAsia" w:eastAsiaTheme="minorEastAsia"/>
          <w:snapToGrid w:val="0"/>
          <w:color w:val="auto"/>
          <w:kern w:val="0"/>
          <w:sz w:val="24"/>
          <w:highlight w:val="none"/>
          <w:lang w:val="en-US" w:eastAsia="zh-CN"/>
        </w:rPr>
        <w:t>生态</w:t>
      </w:r>
      <w:r>
        <w:rPr>
          <w:rFonts w:hint="eastAsia"/>
          <w:color w:val="auto"/>
          <w:sz w:val="24"/>
          <w:highlight w:val="none"/>
        </w:rPr>
        <w:t>环境损益，应体现经济效益、社会效益和</w:t>
      </w:r>
      <w:r>
        <w:rPr>
          <w:rFonts w:hint="eastAsia" w:eastAsiaTheme="minorEastAsia"/>
          <w:snapToGrid w:val="0"/>
          <w:color w:val="auto"/>
          <w:kern w:val="0"/>
          <w:sz w:val="24"/>
          <w:highlight w:val="none"/>
          <w:lang w:val="en-US" w:eastAsia="zh-CN"/>
        </w:rPr>
        <w:t>生态</w:t>
      </w:r>
      <w:r>
        <w:rPr>
          <w:rFonts w:hint="eastAsia"/>
          <w:color w:val="auto"/>
          <w:sz w:val="24"/>
          <w:highlight w:val="none"/>
        </w:rPr>
        <w:t>环境效益对立统一的辩证关系，</w:t>
      </w:r>
      <w:r>
        <w:rPr>
          <w:rFonts w:hint="eastAsia" w:eastAsiaTheme="minorEastAsia"/>
          <w:snapToGrid w:val="0"/>
          <w:color w:val="auto"/>
          <w:kern w:val="0"/>
          <w:sz w:val="24"/>
          <w:highlight w:val="none"/>
          <w:lang w:val="en-US" w:eastAsia="zh-CN"/>
        </w:rPr>
        <w:t>生态</w:t>
      </w:r>
      <w:r>
        <w:rPr>
          <w:rFonts w:hint="eastAsia"/>
          <w:color w:val="auto"/>
          <w:sz w:val="24"/>
          <w:highlight w:val="none"/>
        </w:rPr>
        <w:t>环境经济损益分析的工作内容是确定环保措施的项目内容，通过统计分析环保措施投入的资金及环保投资占工程总投资的比例，环保设施的运转费用，削减污染物量的情况，综合利用的效益等，说明建设项目环保投资比例的合理性，环保措施的可行性，经济效益以及建设项目生产活动对社会环境的影响等。</w:t>
      </w:r>
    </w:p>
    <w:p w14:paraId="212285BF">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04" w:name="_Toc21704"/>
      <w:bookmarkStart w:id="205" w:name="_Toc15433"/>
      <w:r>
        <w:rPr>
          <w:rFonts w:hint="eastAsia" w:ascii="Times New Roman" w:hAnsi="Times New Roman" w:cs="Times New Roman"/>
          <w:b w:val="0"/>
          <w:bCs w:val="0"/>
          <w:snapToGrid w:val="0"/>
          <w:color w:val="auto"/>
          <w:kern w:val="0"/>
          <w:sz w:val="28"/>
          <w:szCs w:val="28"/>
          <w:highlight w:val="none"/>
          <w:lang w:val="en-US" w:eastAsia="zh-CN"/>
        </w:rPr>
        <w:t>8.1环保设施内容及投资估算</w:t>
      </w:r>
      <w:bookmarkEnd w:id="204"/>
      <w:bookmarkEnd w:id="205"/>
    </w:p>
    <w:p w14:paraId="7C7E0644">
      <w:pPr>
        <w:spacing w:line="360" w:lineRule="auto"/>
        <w:ind w:firstLine="480" w:firstLineChars="200"/>
        <w:rPr>
          <w:color w:val="auto"/>
          <w:sz w:val="24"/>
          <w:highlight w:val="none"/>
        </w:rPr>
      </w:pPr>
      <w:r>
        <w:rPr>
          <w:rFonts w:hint="eastAsia"/>
          <w:color w:val="auto"/>
          <w:sz w:val="24"/>
          <w:highlight w:val="none"/>
        </w:rPr>
        <w:t>本项目计划总投资123665万元，环保投资</w:t>
      </w:r>
      <w:r>
        <w:rPr>
          <w:rFonts w:hint="eastAsia"/>
          <w:color w:val="auto"/>
          <w:sz w:val="24"/>
          <w:highlight w:val="none"/>
          <w:lang w:eastAsia="zh-CN"/>
        </w:rPr>
        <w:t>1423</w:t>
      </w:r>
      <w:r>
        <w:rPr>
          <w:rFonts w:hint="eastAsia"/>
          <w:color w:val="auto"/>
          <w:sz w:val="24"/>
          <w:highlight w:val="none"/>
        </w:rPr>
        <w:t>万元，占总投资1.</w:t>
      </w:r>
      <w:r>
        <w:rPr>
          <w:rFonts w:hint="eastAsia"/>
          <w:color w:val="auto"/>
          <w:sz w:val="24"/>
          <w:highlight w:val="none"/>
          <w:lang w:val="en-US" w:eastAsia="zh-CN"/>
        </w:rPr>
        <w:t>15</w:t>
      </w:r>
      <w:r>
        <w:rPr>
          <w:rFonts w:hint="eastAsia"/>
          <w:color w:val="auto"/>
          <w:sz w:val="24"/>
          <w:highlight w:val="none"/>
        </w:rPr>
        <w:t>%。本项目环境保护投资见表8.1-1。</w:t>
      </w:r>
    </w:p>
    <w:p w14:paraId="4C04DC17">
      <w:pPr>
        <w:pStyle w:val="412"/>
        <w:tabs>
          <w:tab w:val="left" w:pos="0"/>
          <w:tab w:val="clear" w:pos="6840"/>
        </w:tabs>
        <w:topLinePunct w:val="0"/>
        <w:autoSpaceDE w:val="0"/>
        <w:autoSpaceDN w:val="0"/>
        <w:adjustRightInd w:val="0"/>
        <w:spacing w:before="120" w:beforeLines="50" w:line="240" w:lineRule="auto"/>
        <w:ind w:left="422" w:hanging="422"/>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8.1-1 环保投资情况一览表</w:t>
      </w:r>
    </w:p>
    <w:tbl>
      <w:tblPr>
        <w:tblStyle w:val="77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04"/>
        <w:gridCol w:w="981"/>
        <w:gridCol w:w="1688"/>
        <w:gridCol w:w="4081"/>
        <w:gridCol w:w="1119"/>
      </w:tblGrid>
      <w:tr w14:paraId="2B12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837" w:type="pct"/>
            <w:gridSpan w:val="2"/>
            <w:vAlign w:val="center"/>
          </w:tcPr>
          <w:p w14:paraId="4B8A88C9">
            <w:pPr>
              <w:adjustRightInd w:val="0"/>
              <w:snapToGrid w:val="0"/>
              <w:jc w:val="center"/>
              <w:rPr>
                <w:snapToGrid w:val="0"/>
                <w:color w:val="auto"/>
                <w:kern w:val="0"/>
                <w:szCs w:val="21"/>
                <w:highlight w:val="none"/>
              </w:rPr>
            </w:pPr>
            <w:r>
              <w:rPr>
                <w:snapToGrid w:val="0"/>
                <w:color w:val="auto"/>
                <w:kern w:val="0"/>
                <w:szCs w:val="21"/>
                <w:highlight w:val="none"/>
              </w:rPr>
              <w:t>类别</w:t>
            </w:r>
          </w:p>
        </w:tc>
        <w:tc>
          <w:tcPr>
            <w:tcW w:w="3486" w:type="pct"/>
            <w:gridSpan w:val="2"/>
            <w:vAlign w:val="center"/>
          </w:tcPr>
          <w:p w14:paraId="36B7ED40">
            <w:pPr>
              <w:adjustRightInd w:val="0"/>
              <w:snapToGrid w:val="0"/>
              <w:jc w:val="center"/>
              <w:rPr>
                <w:snapToGrid w:val="0"/>
                <w:color w:val="auto"/>
                <w:kern w:val="0"/>
                <w:szCs w:val="21"/>
                <w:highlight w:val="none"/>
              </w:rPr>
            </w:pPr>
            <w:r>
              <w:rPr>
                <w:snapToGrid w:val="0"/>
                <w:color w:val="auto"/>
                <w:kern w:val="0"/>
                <w:szCs w:val="21"/>
                <w:highlight w:val="none"/>
              </w:rPr>
              <w:t>环保设施</w:t>
            </w:r>
          </w:p>
        </w:tc>
        <w:tc>
          <w:tcPr>
            <w:tcW w:w="676" w:type="pct"/>
            <w:vAlign w:val="center"/>
          </w:tcPr>
          <w:p w14:paraId="30BED9A7">
            <w:pPr>
              <w:adjustRightInd w:val="0"/>
              <w:snapToGrid w:val="0"/>
              <w:jc w:val="center"/>
              <w:rPr>
                <w:snapToGrid w:val="0"/>
                <w:color w:val="auto"/>
                <w:kern w:val="0"/>
                <w:szCs w:val="21"/>
                <w:highlight w:val="none"/>
              </w:rPr>
            </w:pPr>
            <w:r>
              <w:rPr>
                <w:snapToGrid w:val="0"/>
                <w:color w:val="auto"/>
                <w:kern w:val="0"/>
                <w:szCs w:val="21"/>
                <w:highlight w:val="none"/>
              </w:rPr>
              <w:t>环保投资（万元）</w:t>
            </w:r>
          </w:p>
        </w:tc>
      </w:tr>
      <w:tr w14:paraId="7F95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restart"/>
            <w:vAlign w:val="center"/>
          </w:tcPr>
          <w:p w14:paraId="0193F082">
            <w:pPr>
              <w:adjustRightInd w:val="0"/>
              <w:snapToGrid w:val="0"/>
              <w:jc w:val="center"/>
              <w:rPr>
                <w:snapToGrid w:val="0"/>
                <w:color w:val="auto"/>
                <w:kern w:val="0"/>
                <w:szCs w:val="21"/>
                <w:highlight w:val="none"/>
              </w:rPr>
            </w:pPr>
            <w:r>
              <w:rPr>
                <w:snapToGrid w:val="0"/>
                <w:color w:val="auto"/>
                <w:kern w:val="0"/>
                <w:szCs w:val="21"/>
                <w:highlight w:val="none"/>
              </w:rPr>
              <w:t>施工期</w:t>
            </w:r>
          </w:p>
        </w:tc>
        <w:tc>
          <w:tcPr>
            <w:tcW w:w="592" w:type="pct"/>
            <w:vAlign w:val="center"/>
          </w:tcPr>
          <w:p w14:paraId="23E68350">
            <w:pPr>
              <w:adjustRightInd w:val="0"/>
              <w:snapToGrid w:val="0"/>
              <w:jc w:val="center"/>
              <w:rPr>
                <w:snapToGrid w:val="0"/>
                <w:color w:val="auto"/>
                <w:kern w:val="0"/>
                <w:szCs w:val="21"/>
                <w:highlight w:val="none"/>
              </w:rPr>
            </w:pPr>
            <w:r>
              <w:rPr>
                <w:snapToGrid w:val="0"/>
                <w:color w:val="auto"/>
                <w:kern w:val="0"/>
                <w:szCs w:val="21"/>
                <w:highlight w:val="none"/>
              </w:rPr>
              <w:t>废气</w:t>
            </w:r>
          </w:p>
        </w:tc>
        <w:tc>
          <w:tcPr>
            <w:tcW w:w="3486" w:type="pct"/>
            <w:gridSpan w:val="2"/>
            <w:vAlign w:val="center"/>
          </w:tcPr>
          <w:p w14:paraId="4B3ADB74">
            <w:pPr>
              <w:adjustRightInd w:val="0"/>
              <w:snapToGrid w:val="0"/>
              <w:jc w:val="center"/>
              <w:rPr>
                <w:snapToGrid w:val="0"/>
                <w:color w:val="auto"/>
                <w:kern w:val="0"/>
                <w:szCs w:val="21"/>
                <w:highlight w:val="none"/>
              </w:rPr>
            </w:pPr>
            <w:r>
              <w:rPr>
                <w:snapToGrid w:val="0"/>
                <w:color w:val="auto"/>
                <w:kern w:val="0"/>
                <w:szCs w:val="21"/>
                <w:highlight w:val="none"/>
              </w:rPr>
              <w:t>洒水抑尘、设置围栏、建筑材料遮盖处理等</w:t>
            </w:r>
          </w:p>
        </w:tc>
        <w:tc>
          <w:tcPr>
            <w:tcW w:w="676" w:type="pct"/>
            <w:vAlign w:val="center"/>
          </w:tcPr>
          <w:p w14:paraId="6CA3B43A">
            <w:pPr>
              <w:adjustRightInd w:val="0"/>
              <w:snapToGrid w:val="0"/>
              <w:jc w:val="center"/>
              <w:rPr>
                <w:snapToGrid w:val="0"/>
                <w:color w:val="auto"/>
                <w:kern w:val="0"/>
                <w:szCs w:val="21"/>
                <w:highlight w:val="none"/>
              </w:rPr>
            </w:pPr>
            <w:r>
              <w:rPr>
                <w:rFonts w:hint="eastAsia"/>
                <w:snapToGrid w:val="0"/>
                <w:color w:val="auto"/>
                <w:kern w:val="0"/>
                <w:szCs w:val="21"/>
                <w:highlight w:val="none"/>
              </w:rPr>
              <w:t>15</w:t>
            </w:r>
          </w:p>
        </w:tc>
      </w:tr>
      <w:tr w14:paraId="23DE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18E0174A">
            <w:pPr>
              <w:adjustRightInd w:val="0"/>
              <w:snapToGrid w:val="0"/>
              <w:jc w:val="center"/>
              <w:rPr>
                <w:snapToGrid w:val="0"/>
                <w:color w:val="auto"/>
                <w:kern w:val="0"/>
                <w:szCs w:val="21"/>
                <w:highlight w:val="none"/>
              </w:rPr>
            </w:pPr>
          </w:p>
        </w:tc>
        <w:tc>
          <w:tcPr>
            <w:tcW w:w="592" w:type="pct"/>
            <w:vAlign w:val="center"/>
          </w:tcPr>
          <w:p w14:paraId="664E0675">
            <w:pPr>
              <w:adjustRightInd w:val="0"/>
              <w:snapToGrid w:val="0"/>
              <w:jc w:val="center"/>
              <w:rPr>
                <w:snapToGrid w:val="0"/>
                <w:color w:val="auto"/>
                <w:kern w:val="0"/>
                <w:szCs w:val="21"/>
                <w:highlight w:val="none"/>
              </w:rPr>
            </w:pPr>
            <w:r>
              <w:rPr>
                <w:snapToGrid w:val="0"/>
                <w:color w:val="auto"/>
                <w:kern w:val="0"/>
                <w:szCs w:val="21"/>
                <w:highlight w:val="none"/>
              </w:rPr>
              <w:t>废水</w:t>
            </w:r>
          </w:p>
        </w:tc>
        <w:tc>
          <w:tcPr>
            <w:tcW w:w="3486" w:type="pct"/>
            <w:gridSpan w:val="2"/>
            <w:vAlign w:val="center"/>
          </w:tcPr>
          <w:p w14:paraId="3D223060">
            <w:pPr>
              <w:adjustRightInd w:val="0"/>
              <w:snapToGrid w:val="0"/>
              <w:jc w:val="center"/>
              <w:rPr>
                <w:snapToGrid w:val="0"/>
                <w:color w:val="auto"/>
                <w:kern w:val="0"/>
                <w:szCs w:val="21"/>
                <w:highlight w:val="none"/>
              </w:rPr>
            </w:pPr>
            <w:r>
              <w:rPr>
                <w:snapToGrid w:val="0"/>
                <w:color w:val="auto"/>
                <w:kern w:val="0"/>
                <w:szCs w:val="21"/>
                <w:highlight w:val="none"/>
              </w:rPr>
              <w:t>临时沉淀池</w:t>
            </w:r>
          </w:p>
        </w:tc>
        <w:tc>
          <w:tcPr>
            <w:tcW w:w="676" w:type="pct"/>
            <w:vAlign w:val="center"/>
          </w:tcPr>
          <w:p w14:paraId="185DAB67">
            <w:pPr>
              <w:adjustRightInd w:val="0"/>
              <w:snapToGrid w:val="0"/>
              <w:jc w:val="center"/>
              <w:rPr>
                <w:snapToGrid w:val="0"/>
                <w:color w:val="auto"/>
                <w:kern w:val="0"/>
                <w:szCs w:val="21"/>
                <w:highlight w:val="none"/>
              </w:rPr>
            </w:pPr>
            <w:r>
              <w:rPr>
                <w:snapToGrid w:val="0"/>
                <w:color w:val="auto"/>
                <w:kern w:val="0"/>
                <w:szCs w:val="21"/>
                <w:highlight w:val="none"/>
              </w:rPr>
              <w:t>5</w:t>
            </w:r>
          </w:p>
        </w:tc>
      </w:tr>
      <w:tr w14:paraId="5755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0715208F">
            <w:pPr>
              <w:adjustRightInd w:val="0"/>
              <w:snapToGrid w:val="0"/>
              <w:jc w:val="center"/>
              <w:rPr>
                <w:snapToGrid w:val="0"/>
                <w:color w:val="auto"/>
                <w:kern w:val="0"/>
                <w:szCs w:val="21"/>
                <w:highlight w:val="none"/>
              </w:rPr>
            </w:pPr>
          </w:p>
        </w:tc>
        <w:tc>
          <w:tcPr>
            <w:tcW w:w="592" w:type="pct"/>
            <w:vAlign w:val="center"/>
          </w:tcPr>
          <w:p w14:paraId="305DE794">
            <w:pPr>
              <w:adjustRightInd w:val="0"/>
              <w:snapToGrid w:val="0"/>
              <w:jc w:val="center"/>
              <w:rPr>
                <w:snapToGrid w:val="0"/>
                <w:color w:val="auto"/>
                <w:kern w:val="0"/>
                <w:szCs w:val="21"/>
                <w:highlight w:val="none"/>
              </w:rPr>
            </w:pPr>
            <w:r>
              <w:rPr>
                <w:snapToGrid w:val="0"/>
                <w:color w:val="auto"/>
                <w:kern w:val="0"/>
                <w:szCs w:val="21"/>
                <w:highlight w:val="none"/>
              </w:rPr>
              <w:t>噪声</w:t>
            </w:r>
          </w:p>
        </w:tc>
        <w:tc>
          <w:tcPr>
            <w:tcW w:w="3486" w:type="pct"/>
            <w:gridSpan w:val="2"/>
            <w:vAlign w:val="center"/>
          </w:tcPr>
          <w:p w14:paraId="1CDBB5A6">
            <w:pPr>
              <w:adjustRightInd w:val="0"/>
              <w:snapToGrid w:val="0"/>
              <w:jc w:val="center"/>
              <w:rPr>
                <w:snapToGrid w:val="0"/>
                <w:color w:val="auto"/>
                <w:kern w:val="0"/>
                <w:szCs w:val="21"/>
                <w:highlight w:val="none"/>
              </w:rPr>
            </w:pPr>
            <w:r>
              <w:rPr>
                <w:snapToGrid w:val="0"/>
                <w:color w:val="auto"/>
                <w:kern w:val="0"/>
                <w:szCs w:val="21"/>
                <w:highlight w:val="none"/>
              </w:rPr>
              <w:t>合理安排施工时间、高噪声设备周围设置遮蔽物</w:t>
            </w:r>
          </w:p>
        </w:tc>
        <w:tc>
          <w:tcPr>
            <w:tcW w:w="676" w:type="pct"/>
            <w:vAlign w:val="center"/>
          </w:tcPr>
          <w:p w14:paraId="14937F83">
            <w:pPr>
              <w:adjustRightInd w:val="0"/>
              <w:snapToGrid w:val="0"/>
              <w:jc w:val="center"/>
              <w:rPr>
                <w:snapToGrid w:val="0"/>
                <w:color w:val="auto"/>
                <w:kern w:val="0"/>
                <w:szCs w:val="21"/>
                <w:highlight w:val="none"/>
              </w:rPr>
            </w:pPr>
            <w:r>
              <w:rPr>
                <w:rFonts w:hint="eastAsia"/>
                <w:snapToGrid w:val="0"/>
                <w:color w:val="auto"/>
                <w:kern w:val="0"/>
                <w:szCs w:val="21"/>
                <w:highlight w:val="none"/>
              </w:rPr>
              <w:t>5</w:t>
            </w:r>
          </w:p>
        </w:tc>
      </w:tr>
      <w:tr w14:paraId="09F2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1684B4D6">
            <w:pPr>
              <w:adjustRightInd w:val="0"/>
              <w:snapToGrid w:val="0"/>
              <w:jc w:val="center"/>
              <w:rPr>
                <w:snapToGrid w:val="0"/>
                <w:color w:val="auto"/>
                <w:kern w:val="0"/>
                <w:szCs w:val="21"/>
                <w:highlight w:val="none"/>
              </w:rPr>
            </w:pPr>
          </w:p>
        </w:tc>
        <w:tc>
          <w:tcPr>
            <w:tcW w:w="592" w:type="pct"/>
            <w:vAlign w:val="center"/>
          </w:tcPr>
          <w:p w14:paraId="4D314EB6">
            <w:pPr>
              <w:adjustRightInd w:val="0"/>
              <w:snapToGrid w:val="0"/>
              <w:jc w:val="center"/>
              <w:rPr>
                <w:snapToGrid w:val="0"/>
                <w:color w:val="auto"/>
                <w:kern w:val="0"/>
                <w:szCs w:val="21"/>
                <w:highlight w:val="none"/>
              </w:rPr>
            </w:pPr>
            <w:r>
              <w:rPr>
                <w:snapToGrid w:val="0"/>
                <w:color w:val="auto"/>
                <w:kern w:val="0"/>
                <w:szCs w:val="21"/>
                <w:highlight w:val="none"/>
              </w:rPr>
              <w:t>固废</w:t>
            </w:r>
          </w:p>
        </w:tc>
        <w:tc>
          <w:tcPr>
            <w:tcW w:w="3486" w:type="pct"/>
            <w:gridSpan w:val="2"/>
            <w:vAlign w:val="center"/>
          </w:tcPr>
          <w:p w14:paraId="5DB8E619">
            <w:pPr>
              <w:adjustRightInd w:val="0"/>
              <w:snapToGrid w:val="0"/>
              <w:jc w:val="center"/>
              <w:rPr>
                <w:snapToGrid w:val="0"/>
                <w:color w:val="auto"/>
                <w:kern w:val="0"/>
                <w:szCs w:val="21"/>
                <w:highlight w:val="none"/>
              </w:rPr>
            </w:pPr>
            <w:r>
              <w:rPr>
                <w:snapToGrid w:val="0"/>
                <w:color w:val="auto"/>
                <w:kern w:val="0"/>
                <w:szCs w:val="21"/>
                <w:highlight w:val="none"/>
              </w:rPr>
              <w:t>建筑垃圾及时清运</w:t>
            </w:r>
          </w:p>
        </w:tc>
        <w:tc>
          <w:tcPr>
            <w:tcW w:w="676" w:type="pct"/>
            <w:vAlign w:val="center"/>
          </w:tcPr>
          <w:p w14:paraId="2452A2F9">
            <w:pPr>
              <w:adjustRightInd w:val="0"/>
              <w:snapToGrid w:val="0"/>
              <w:jc w:val="center"/>
              <w:rPr>
                <w:snapToGrid w:val="0"/>
                <w:color w:val="auto"/>
                <w:kern w:val="0"/>
                <w:szCs w:val="21"/>
                <w:highlight w:val="none"/>
              </w:rPr>
            </w:pPr>
            <w:r>
              <w:rPr>
                <w:rFonts w:hint="eastAsia"/>
                <w:snapToGrid w:val="0"/>
                <w:color w:val="auto"/>
                <w:kern w:val="0"/>
                <w:szCs w:val="21"/>
                <w:highlight w:val="none"/>
              </w:rPr>
              <w:t>10</w:t>
            </w:r>
          </w:p>
        </w:tc>
      </w:tr>
      <w:tr w14:paraId="59D2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restart"/>
            <w:vAlign w:val="center"/>
          </w:tcPr>
          <w:p w14:paraId="1BE18BFC">
            <w:pPr>
              <w:adjustRightInd w:val="0"/>
              <w:snapToGrid w:val="0"/>
              <w:jc w:val="center"/>
              <w:rPr>
                <w:snapToGrid w:val="0"/>
                <w:color w:val="auto"/>
                <w:kern w:val="0"/>
                <w:szCs w:val="21"/>
                <w:highlight w:val="none"/>
              </w:rPr>
            </w:pPr>
            <w:r>
              <w:rPr>
                <w:snapToGrid w:val="0"/>
                <w:color w:val="auto"/>
                <w:kern w:val="0"/>
                <w:szCs w:val="21"/>
                <w:highlight w:val="none"/>
              </w:rPr>
              <w:t>运营期</w:t>
            </w:r>
          </w:p>
        </w:tc>
        <w:tc>
          <w:tcPr>
            <w:tcW w:w="592" w:type="pct"/>
            <w:vMerge w:val="restart"/>
            <w:vAlign w:val="center"/>
          </w:tcPr>
          <w:p w14:paraId="2A73C38C">
            <w:pPr>
              <w:adjustRightInd w:val="0"/>
              <w:snapToGrid w:val="0"/>
              <w:jc w:val="center"/>
              <w:rPr>
                <w:snapToGrid w:val="0"/>
                <w:color w:val="auto"/>
                <w:kern w:val="0"/>
                <w:szCs w:val="21"/>
                <w:highlight w:val="none"/>
              </w:rPr>
            </w:pPr>
            <w:r>
              <w:rPr>
                <w:snapToGrid w:val="0"/>
                <w:color w:val="auto"/>
                <w:kern w:val="0"/>
                <w:szCs w:val="21"/>
                <w:highlight w:val="none"/>
              </w:rPr>
              <w:t>废气</w:t>
            </w:r>
          </w:p>
        </w:tc>
        <w:tc>
          <w:tcPr>
            <w:tcW w:w="1020" w:type="pct"/>
            <w:vAlign w:val="center"/>
          </w:tcPr>
          <w:p w14:paraId="5526D648">
            <w:pPr>
              <w:adjustRightInd w:val="0"/>
              <w:snapToGrid w:val="0"/>
              <w:jc w:val="center"/>
              <w:rPr>
                <w:rFonts w:cs="Times New Roman"/>
                <w:snapToGrid w:val="0"/>
                <w:color w:val="auto"/>
                <w:kern w:val="0"/>
                <w:szCs w:val="21"/>
                <w:highlight w:val="none"/>
              </w:rPr>
            </w:pPr>
            <w:r>
              <w:rPr>
                <w:rFonts w:hint="eastAsia"/>
                <w:snapToGrid w:val="0"/>
                <w:color w:val="auto"/>
                <w:kern w:val="0"/>
                <w:szCs w:val="21"/>
                <w:highlight w:val="none"/>
              </w:rPr>
              <w:t>发酵废气</w:t>
            </w:r>
          </w:p>
        </w:tc>
        <w:tc>
          <w:tcPr>
            <w:tcW w:w="2466" w:type="pct"/>
            <w:vAlign w:val="center"/>
          </w:tcPr>
          <w:p w14:paraId="0F0610EC">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color w:val="auto"/>
                <w:kern w:val="0"/>
                <w:szCs w:val="21"/>
                <w:highlight w:val="none"/>
                <w:lang w:eastAsia="zh-CN"/>
              </w:rPr>
              <w:t>旋风分离器</w:t>
            </w:r>
            <w:r>
              <w:rPr>
                <w:color w:val="auto"/>
                <w:kern w:val="0"/>
                <w:szCs w:val="21"/>
                <w:highlight w:val="none"/>
              </w:rPr>
              <w:t>+活性炭吸附</w:t>
            </w:r>
            <w:r>
              <w:rPr>
                <w:rFonts w:hint="eastAsia"/>
                <w:color w:val="auto"/>
                <w:kern w:val="0"/>
                <w:szCs w:val="21"/>
                <w:highlight w:val="none"/>
              </w:rPr>
              <w:t>+</w:t>
            </w:r>
            <w:r>
              <w:rPr>
                <w:rFonts w:hint="eastAsia"/>
                <w:color w:val="auto"/>
                <w:kern w:val="0"/>
                <w:szCs w:val="21"/>
                <w:highlight w:val="none"/>
                <w:lang w:val="en-US" w:eastAsia="zh-CN"/>
              </w:rPr>
              <w:t>39</w:t>
            </w:r>
            <w:r>
              <w:rPr>
                <w:rFonts w:hint="eastAsia"/>
                <w:color w:val="auto"/>
                <w:kern w:val="0"/>
                <w:szCs w:val="21"/>
                <w:highlight w:val="none"/>
              </w:rPr>
              <w:t>m高排气筒</w:t>
            </w:r>
          </w:p>
        </w:tc>
        <w:tc>
          <w:tcPr>
            <w:tcW w:w="676" w:type="pct"/>
            <w:vAlign w:val="center"/>
          </w:tcPr>
          <w:p w14:paraId="3849028E">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20</w:t>
            </w:r>
            <w:r>
              <w:rPr>
                <w:rFonts w:hint="eastAsia"/>
                <w:snapToGrid w:val="0"/>
                <w:color w:val="auto"/>
                <w:kern w:val="0"/>
                <w:szCs w:val="21"/>
                <w:highlight w:val="none"/>
              </w:rPr>
              <w:t>0</w:t>
            </w:r>
          </w:p>
        </w:tc>
      </w:tr>
      <w:tr w14:paraId="39EB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44A3A919">
            <w:pPr>
              <w:adjustRightInd w:val="0"/>
              <w:snapToGrid w:val="0"/>
              <w:jc w:val="center"/>
              <w:rPr>
                <w:snapToGrid w:val="0"/>
                <w:color w:val="auto"/>
                <w:kern w:val="0"/>
                <w:szCs w:val="21"/>
                <w:highlight w:val="none"/>
              </w:rPr>
            </w:pPr>
          </w:p>
        </w:tc>
        <w:tc>
          <w:tcPr>
            <w:tcW w:w="592" w:type="pct"/>
            <w:vMerge w:val="continue"/>
            <w:vAlign w:val="center"/>
          </w:tcPr>
          <w:p w14:paraId="6DA7F174">
            <w:pPr>
              <w:adjustRightInd w:val="0"/>
              <w:snapToGrid w:val="0"/>
              <w:jc w:val="center"/>
              <w:rPr>
                <w:snapToGrid w:val="0"/>
                <w:color w:val="auto"/>
                <w:kern w:val="0"/>
                <w:szCs w:val="21"/>
                <w:highlight w:val="none"/>
              </w:rPr>
            </w:pPr>
          </w:p>
        </w:tc>
        <w:tc>
          <w:tcPr>
            <w:tcW w:w="1020" w:type="pct"/>
            <w:shd w:val="clear" w:color="auto" w:fill="auto"/>
            <w:vAlign w:val="center"/>
          </w:tcPr>
          <w:p w14:paraId="3AD38C2E">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酸化废气</w:t>
            </w:r>
          </w:p>
        </w:tc>
        <w:tc>
          <w:tcPr>
            <w:tcW w:w="2466" w:type="pct"/>
            <w:vAlign w:val="center"/>
          </w:tcPr>
          <w:p w14:paraId="6B3DBB8A">
            <w:pPr>
              <w:adjustRightInd w:val="0"/>
              <w:snapToGrid w:val="0"/>
              <w:jc w:val="center"/>
              <w:rPr>
                <w:snapToGrid w:val="0"/>
                <w:color w:val="auto"/>
                <w:kern w:val="0"/>
                <w:szCs w:val="21"/>
                <w:highlight w:val="none"/>
              </w:rPr>
            </w:pPr>
            <w:r>
              <w:rPr>
                <w:rFonts w:hint="eastAsia"/>
                <w:snapToGrid w:val="0"/>
                <w:color w:val="auto"/>
                <w:kern w:val="0"/>
                <w:szCs w:val="21"/>
                <w:highlight w:val="none"/>
              </w:rPr>
              <w:t>采用一级水吸收+一级碱吸收处理工艺+25m高排气筒</w:t>
            </w:r>
          </w:p>
        </w:tc>
        <w:tc>
          <w:tcPr>
            <w:tcW w:w="676" w:type="pct"/>
            <w:vAlign w:val="center"/>
          </w:tcPr>
          <w:p w14:paraId="15333FB3">
            <w:pPr>
              <w:adjustRightInd w:val="0"/>
              <w:snapToGrid w:val="0"/>
              <w:jc w:val="center"/>
              <w:rPr>
                <w:snapToGrid w:val="0"/>
                <w:color w:val="auto"/>
                <w:kern w:val="0"/>
                <w:szCs w:val="21"/>
                <w:highlight w:val="none"/>
              </w:rPr>
            </w:pPr>
            <w:r>
              <w:rPr>
                <w:rFonts w:hint="eastAsia"/>
                <w:snapToGrid w:val="0"/>
                <w:color w:val="auto"/>
                <w:kern w:val="0"/>
                <w:szCs w:val="21"/>
                <w:highlight w:val="none"/>
              </w:rPr>
              <w:t>150</w:t>
            </w:r>
          </w:p>
        </w:tc>
      </w:tr>
      <w:tr w14:paraId="10FA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27FADD58">
            <w:pPr>
              <w:adjustRightInd w:val="0"/>
              <w:snapToGrid w:val="0"/>
              <w:jc w:val="center"/>
              <w:rPr>
                <w:snapToGrid w:val="0"/>
                <w:color w:val="auto"/>
                <w:kern w:val="0"/>
                <w:szCs w:val="21"/>
                <w:highlight w:val="none"/>
              </w:rPr>
            </w:pPr>
          </w:p>
        </w:tc>
        <w:tc>
          <w:tcPr>
            <w:tcW w:w="592" w:type="pct"/>
            <w:vMerge w:val="continue"/>
            <w:vAlign w:val="center"/>
          </w:tcPr>
          <w:p w14:paraId="357B0375">
            <w:pPr>
              <w:adjustRightInd w:val="0"/>
              <w:snapToGrid w:val="0"/>
              <w:jc w:val="center"/>
              <w:rPr>
                <w:snapToGrid w:val="0"/>
                <w:color w:val="auto"/>
                <w:kern w:val="0"/>
                <w:szCs w:val="21"/>
                <w:highlight w:val="none"/>
              </w:rPr>
            </w:pPr>
          </w:p>
        </w:tc>
        <w:tc>
          <w:tcPr>
            <w:tcW w:w="1020" w:type="pct"/>
            <w:shd w:val="clear" w:color="auto" w:fill="auto"/>
            <w:vAlign w:val="center"/>
          </w:tcPr>
          <w:p w14:paraId="0694E48F">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粗品干燥废气</w:t>
            </w:r>
          </w:p>
        </w:tc>
        <w:tc>
          <w:tcPr>
            <w:tcW w:w="2466" w:type="pct"/>
            <w:vAlign w:val="center"/>
          </w:tcPr>
          <w:p w14:paraId="5EDF996F">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采用袋式除尘+一级水吸收</w:t>
            </w:r>
            <w:r>
              <w:rPr>
                <w:snapToGrid w:val="0"/>
                <w:color w:val="auto"/>
                <w:kern w:val="0"/>
                <w:szCs w:val="21"/>
                <w:highlight w:val="none"/>
              </w:rPr>
              <w:t>+</w:t>
            </w:r>
            <w:r>
              <w:rPr>
                <w:rFonts w:hint="eastAsia"/>
                <w:snapToGrid w:val="0"/>
                <w:color w:val="auto"/>
                <w:kern w:val="0"/>
                <w:szCs w:val="21"/>
                <w:highlight w:val="none"/>
              </w:rPr>
              <w:t>一级碱吸收处理工艺+25m高排气筒</w:t>
            </w:r>
          </w:p>
        </w:tc>
        <w:tc>
          <w:tcPr>
            <w:tcW w:w="676" w:type="pct"/>
            <w:vAlign w:val="center"/>
          </w:tcPr>
          <w:p w14:paraId="14E31640">
            <w:pPr>
              <w:adjustRightInd w:val="0"/>
              <w:snapToGrid w:val="0"/>
              <w:jc w:val="center"/>
              <w:rPr>
                <w:snapToGrid w:val="0"/>
                <w:color w:val="auto"/>
                <w:kern w:val="0"/>
                <w:szCs w:val="21"/>
                <w:highlight w:val="none"/>
              </w:rPr>
            </w:pPr>
            <w:r>
              <w:rPr>
                <w:rFonts w:hint="eastAsia"/>
                <w:snapToGrid w:val="0"/>
                <w:color w:val="auto"/>
                <w:kern w:val="0"/>
                <w:szCs w:val="21"/>
                <w:highlight w:val="none"/>
              </w:rPr>
              <w:t>2</w:t>
            </w:r>
            <w:r>
              <w:rPr>
                <w:rFonts w:hint="eastAsia"/>
                <w:snapToGrid w:val="0"/>
                <w:color w:val="auto"/>
                <w:kern w:val="0"/>
                <w:szCs w:val="21"/>
                <w:highlight w:val="none"/>
                <w:lang w:val="en-US" w:eastAsia="zh-CN"/>
              </w:rPr>
              <w:t>0</w:t>
            </w:r>
            <w:r>
              <w:rPr>
                <w:rFonts w:hint="eastAsia"/>
                <w:snapToGrid w:val="0"/>
                <w:color w:val="auto"/>
                <w:kern w:val="0"/>
                <w:szCs w:val="21"/>
                <w:highlight w:val="none"/>
              </w:rPr>
              <w:t>0</w:t>
            </w:r>
          </w:p>
        </w:tc>
      </w:tr>
      <w:tr w14:paraId="6FF3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0D563C23">
            <w:pPr>
              <w:adjustRightInd w:val="0"/>
              <w:snapToGrid w:val="0"/>
              <w:jc w:val="center"/>
              <w:rPr>
                <w:snapToGrid w:val="0"/>
                <w:color w:val="auto"/>
                <w:kern w:val="0"/>
                <w:szCs w:val="21"/>
                <w:highlight w:val="none"/>
              </w:rPr>
            </w:pPr>
          </w:p>
        </w:tc>
        <w:tc>
          <w:tcPr>
            <w:tcW w:w="592" w:type="pct"/>
            <w:vMerge w:val="continue"/>
            <w:vAlign w:val="center"/>
          </w:tcPr>
          <w:p w14:paraId="32BC3D7D">
            <w:pPr>
              <w:adjustRightInd w:val="0"/>
              <w:snapToGrid w:val="0"/>
              <w:jc w:val="center"/>
              <w:rPr>
                <w:snapToGrid w:val="0"/>
                <w:color w:val="auto"/>
                <w:kern w:val="0"/>
                <w:szCs w:val="21"/>
                <w:highlight w:val="none"/>
              </w:rPr>
            </w:pPr>
          </w:p>
        </w:tc>
        <w:tc>
          <w:tcPr>
            <w:tcW w:w="1020" w:type="pct"/>
            <w:shd w:val="clear" w:color="auto" w:fill="auto"/>
            <w:vAlign w:val="center"/>
          </w:tcPr>
          <w:p w14:paraId="70A62987">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成品干燥废气</w:t>
            </w:r>
          </w:p>
        </w:tc>
        <w:tc>
          <w:tcPr>
            <w:tcW w:w="2466" w:type="pct"/>
            <w:vAlign w:val="center"/>
          </w:tcPr>
          <w:p w14:paraId="3A26DC5B">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采用袋式除尘+二级水吸收+一级碱吸收处理工艺+25m高排气筒</w:t>
            </w:r>
          </w:p>
        </w:tc>
        <w:tc>
          <w:tcPr>
            <w:tcW w:w="676" w:type="pct"/>
            <w:vAlign w:val="center"/>
          </w:tcPr>
          <w:p w14:paraId="70982A45">
            <w:pPr>
              <w:adjustRightInd w:val="0"/>
              <w:snapToGrid w:val="0"/>
              <w:jc w:val="center"/>
              <w:rPr>
                <w:snapToGrid w:val="0"/>
                <w:color w:val="auto"/>
                <w:kern w:val="0"/>
                <w:szCs w:val="21"/>
                <w:highlight w:val="none"/>
              </w:rPr>
            </w:pPr>
            <w:r>
              <w:rPr>
                <w:rFonts w:hint="eastAsia"/>
                <w:snapToGrid w:val="0"/>
                <w:color w:val="auto"/>
                <w:kern w:val="0"/>
                <w:szCs w:val="21"/>
                <w:highlight w:val="none"/>
              </w:rPr>
              <w:t>200</w:t>
            </w:r>
          </w:p>
        </w:tc>
      </w:tr>
      <w:tr w14:paraId="2BE2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54B6EED0">
            <w:pPr>
              <w:adjustRightInd w:val="0"/>
              <w:snapToGrid w:val="0"/>
              <w:jc w:val="center"/>
              <w:rPr>
                <w:snapToGrid w:val="0"/>
                <w:color w:val="auto"/>
                <w:kern w:val="0"/>
                <w:szCs w:val="21"/>
                <w:highlight w:val="none"/>
              </w:rPr>
            </w:pPr>
          </w:p>
        </w:tc>
        <w:tc>
          <w:tcPr>
            <w:tcW w:w="592" w:type="pct"/>
            <w:vMerge w:val="continue"/>
            <w:vAlign w:val="center"/>
          </w:tcPr>
          <w:p w14:paraId="785931FE">
            <w:pPr>
              <w:adjustRightInd w:val="0"/>
              <w:snapToGrid w:val="0"/>
              <w:jc w:val="center"/>
              <w:rPr>
                <w:snapToGrid w:val="0"/>
                <w:color w:val="auto"/>
                <w:kern w:val="0"/>
                <w:szCs w:val="21"/>
                <w:highlight w:val="none"/>
              </w:rPr>
            </w:pPr>
          </w:p>
        </w:tc>
        <w:tc>
          <w:tcPr>
            <w:tcW w:w="1020" w:type="pct"/>
            <w:shd w:val="clear" w:color="auto" w:fill="auto"/>
            <w:vAlign w:val="center"/>
          </w:tcPr>
          <w:p w14:paraId="6DD14384">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Cs w:val="21"/>
                <w:highlight w:val="none"/>
              </w:rPr>
              <w:t>活性炭再生炉烟气</w:t>
            </w:r>
          </w:p>
        </w:tc>
        <w:tc>
          <w:tcPr>
            <w:tcW w:w="2466" w:type="pct"/>
            <w:vAlign w:val="center"/>
          </w:tcPr>
          <w:p w14:paraId="66132852">
            <w:pPr>
              <w:pStyle w:val="42"/>
              <w:tabs>
                <w:tab w:val="left" w:pos="0"/>
              </w:tabs>
              <w:adjustRightInd w:val="0"/>
              <w:snapToGrid w:val="0"/>
              <w:ind w:left="0" w:leftChars="0" w:firstLine="0" w:firstLineChars="0"/>
              <w:jc w:val="center"/>
              <w:rPr>
                <w:snapToGrid w:val="0"/>
                <w:color w:val="auto"/>
                <w:kern w:val="0"/>
                <w:szCs w:val="21"/>
                <w:highlight w:val="none"/>
              </w:rPr>
            </w:pPr>
            <w:r>
              <w:rPr>
                <w:rFonts w:hint="eastAsia"/>
                <w:snapToGrid w:val="0"/>
                <w:color w:val="auto"/>
                <w:kern w:val="0"/>
                <w:sz w:val="21"/>
                <w:szCs w:val="21"/>
                <w:highlight w:val="none"/>
              </w:rPr>
              <w:t>采用</w:t>
            </w:r>
            <w:r>
              <w:rPr>
                <w:rFonts w:hint="eastAsia" w:eastAsia="宋体"/>
                <w:color w:val="auto"/>
                <w:kern w:val="0"/>
                <w:szCs w:val="21"/>
                <w:highlight w:val="none"/>
              </w:rPr>
              <w:t>R</w:t>
            </w:r>
            <w:r>
              <w:rPr>
                <w:rFonts w:eastAsia="宋体"/>
                <w:color w:val="auto"/>
                <w:kern w:val="0"/>
                <w:szCs w:val="21"/>
                <w:highlight w:val="none"/>
              </w:rPr>
              <w:t>TO</w:t>
            </w:r>
            <w:r>
              <w:rPr>
                <w:rFonts w:hint="eastAsia" w:eastAsia="宋体"/>
                <w:color w:val="auto"/>
                <w:kern w:val="0"/>
                <w:szCs w:val="21"/>
                <w:highlight w:val="none"/>
              </w:rPr>
              <w:t>焚烧+余热回收</w:t>
            </w:r>
            <w:r>
              <w:rPr>
                <w:rFonts w:hint="eastAsia"/>
                <w:color w:val="auto"/>
                <w:kern w:val="0"/>
                <w:szCs w:val="21"/>
                <w:highlight w:val="none"/>
                <w:lang w:val="en-US" w:eastAsia="zh-CN"/>
              </w:rPr>
              <w:t>+</w:t>
            </w:r>
            <w:r>
              <w:rPr>
                <w:rFonts w:hint="eastAsia"/>
                <w:snapToGrid w:val="0"/>
                <w:color w:val="auto"/>
                <w:kern w:val="0"/>
                <w:sz w:val="21"/>
                <w:szCs w:val="21"/>
                <w:highlight w:val="none"/>
                <w:lang w:val="en-US" w:eastAsia="zh-CN"/>
              </w:rPr>
              <w:t>二</w:t>
            </w:r>
            <w:r>
              <w:rPr>
                <w:rFonts w:hint="eastAsia"/>
                <w:snapToGrid w:val="0"/>
                <w:color w:val="auto"/>
                <w:kern w:val="0"/>
                <w:sz w:val="21"/>
                <w:szCs w:val="21"/>
                <w:highlight w:val="none"/>
              </w:rPr>
              <w:t>级水吸收</w:t>
            </w:r>
            <w:r>
              <w:rPr>
                <w:snapToGrid w:val="0"/>
                <w:color w:val="auto"/>
                <w:kern w:val="0"/>
                <w:sz w:val="21"/>
                <w:szCs w:val="21"/>
                <w:highlight w:val="none"/>
              </w:rPr>
              <w:t>+</w:t>
            </w:r>
            <w:r>
              <w:rPr>
                <w:rFonts w:hint="eastAsia"/>
                <w:snapToGrid w:val="0"/>
                <w:color w:val="auto"/>
                <w:kern w:val="0"/>
                <w:sz w:val="21"/>
                <w:szCs w:val="21"/>
                <w:highlight w:val="none"/>
              </w:rPr>
              <w:t>一级碱吸收处理工艺+25m高排气筒</w:t>
            </w:r>
          </w:p>
        </w:tc>
        <w:tc>
          <w:tcPr>
            <w:tcW w:w="676" w:type="pct"/>
            <w:vAlign w:val="center"/>
          </w:tcPr>
          <w:p w14:paraId="0B7DB625">
            <w:pPr>
              <w:adjustRightInd w:val="0"/>
              <w:snapToGrid w:val="0"/>
              <w:jc w:val="center"/>
              <w:rPr>
                <w:snapToGrid w:val="0"/>
                <w:color w:val="auto"/>
                <w:kern w:val="0"/>
                <w:szCs w:val="21"/>
                <w:highlight w:val="none"/>
              </w:rPr>
            </w:pPr>
            <w:r>
              <w:rPr>
                <w:rFonts w:hint="eastAsia"/>
                <w:snapToGrid w:val="0"/>
                <w:color w:val="auto"/>
                <w:kern w:val="0"/>
                <w:szCs w:val="21"/>
                <w:highlight w:val="none"/>
              </w:rPr>
              <w:t>200</w:t>
            </w:r>
          </w:p>
        </w:tc>
      </w:tr>
      <w:tr w14:paraId="6C91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26A62273">
            <w:pPr>
              <w:adjustRightInd w:val="0"/>
              <w:snapToGrid w:val="0"/>
              <w:jc w:val="center"/>
              <w:rPr>
                <w:snapToGrid w:val="0"/>
                <w:color w:val="auto"/>
                <w:kern w:val="0"/>
                <w:szCs w:val="21"/>
                <w:highlight w:val="none"/>
              </w:rPr>
            </w:pPr>
          </w:p>
        </w:tc>
        <w:tc>
          <w:tcPr>
            <w:tcW w:w="592" w:type="pct"/>
            <w:vMerge w:val="continue"/>
            <w:vAlign w:val="center"/>
          </w:tcPr>
          <w:p w14:paraId="739DB1DA">
            <w:pPr>
              <w:adjustRightInd w:val="0"/>
              <w:snapToGrid w:val="0"/>
              <w:jc w:val="center"/>
              <w:rPr>
                <w:snapToGrid w:val="0"/>
                <w:color w:val="auto"/>
                <w:kern w:val="0"/>
                <w:szCs w:val="21"/>
                <w:highlight w:val="none"/>
              </w:rPr>
            </w:pPr>
          </w:p>
        </w:tc>
        <w:tc>
          <w:tcPr>
            <w:tcW w:w="1020" w:type="pct"/>
            <w:shd w:val="clear" w:color="auto" w:fill="auto"/>
            <w:vAlign w:val="center"/>
          </w:tcPr>
          <w:p w14:paraId="568B4C21">
            <w:pPr>
              <w:adjustRightInd w:val="0"/>
              <w:snapToGrid w:val="0"/>
              <w:jc w:val="center"/>
              <w:rPr>
                <w:snapToGrid w:val="0"/>
                <w:color w:val="auto"/>
                <w:kern w:val="0"/>
                <w:szCs w:val="21"/>
                <w:highlight w:val="none"/>
              </w:rPr>
            </w:pPr>
            <w:r>
              <w:rPr>
                <w:rFonts w:hint="eastAsia"/>
                <w:snapToGrid w:val="0"/>
                <w:color w:val="auto"/>
                <w:kern w:val="0"/>
                <w:szCs w:val="21"/>
                <w:highlight w:val="none"/>
              </w:rPr>
              <w:t>罐区废气</w:t>
            </w:r>
          </w:p>
        </w:tc>
        <w:tc>
          <w:tcPr>
            <w:tcW w:w="2466" w:type="pct"/>
            <w:vAlign w:val="center"/>
          </w:tcPr>
          <w:p w14:paraId="4D6C346A">
            <w:pPr>
              <w:adjustRightInd w:val="0"/>
              <w:snapToGrid w:val="0"/>
              <w:jc w:val="center"/>
              <w:rPr>
                <w:snapToGrid w:val="0"/>
                <w:color w:val="auto"/>
                <w:kern w:val="0"/>
                <w:szCs w:val="21"/>
                <w:highlight w:val="none"/>
              </w:rPr>
            </w:pPr>
            <w:r>
              <w:rPr>
                <w:rFonts w:hint="eastAsia"/>
                <w:snapToGrid w:val="0"/>
                <w:color w:val="auto"/>
                <w:kern w:val="0"/>
                <w:szCs w:val="21"/>
                <w:highlight w:val="none"/>
              </w:rPr>
              <w:t>冷凝+</w:t>
            </w:r>
            <w:r>
              <w:rPr>
                <w:snapToGrid w:val="0"/>
                <w:color w:val="auto"/>
                <w:kern w:val="0"/>
                <w:szCs w:val="21"/>
                <w:highlight w:val="none"/>
              </w:rPr>
              <w:t>活性炭吸附</w:t>
            </w:r>
            <w:r>
              <w:rPr>
                <w:rFonts w:hint="eastAsia"/>
                <w:snapToGrid w:val="0"/>
                <w:color w:val="auto"/>
                <w:kern w:val="0"/>
                <w:szCs w:val="21"/>
                <w:highlight w:val="none"/>
              </w:rPr>
              <w:t>+20m</w:t>
            </w:r>
            <w:r>
              <w:rPr>
                <w:snapToGrid w:val="0"/>
                <w:color w:val="auto"/>
                <w:kern w:val="0"/>
                <w:szCs w:val="21"/>
                <w:highlight w:val="none"/>
              </w:rPr>
              <w:t>排气筒达标排</w:t>
            </w:r>
            <w:r>
              <w:rPr>
                <w:rFonts w:hint="eastAsia"/>
                <w:snapToGrid w:val="0"/>
                <w:color w:val="auto"/>
                <w:kern w:val="0"/>
                <w:szCs w:val="21"/>
                <w:highlight w:val="none"/>
              </w:rPr>
              <w:t>放</w:t>
            </w:r>
          </w:p>
        </w:tc>
        <w:tc>
          <w:tcPr>
            <w:tcW w:w="676" w:type="pct"/>
            <w:vAlign w:val="center"/>
          </w:tcPr>
          <w:p w14:paraId="51FDA29A">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10</w:t>
            </w:r>
            <w:r>
              <w:rPr>
                <w:rFonts w:hint="eastAsia"/>
                <w:snapToGrid w:val="0"/>
                <w:color w:val="auto"/>
                <w:kern w:val="0"/>
                <w:szCs w:val="21"/>
                <w:highlight w:val="none"/>
              </w:rPr>
              <w:t>0</w:t>
            </w:r>
          </w:p>
        </w:tc>
      </w:tr>
      <w:tr w14:paraId="11D6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19C92653">
            <w:pPr>
              <w:adjustRightInd w:val="0"/>
              <w:snapToGrid w:val="0"/>
              <w:jc w:val="center"/>
              <w:rPr>
                <w:snapToGrid w:val="0"/>
                <w:color w:val="auto"/>
                <w:kern w:val="0"/>
                <w:szCs w:val="21"/>
                <w:highlight w:val="none"/>
              </w:rPr>
            </w:pPr>
          </w:p>
        </w:tc>
        <w:tc>
          <w:tcPr>
            <w:tcW w:w="592" w:type="pct"/>
            <w:vAlign w:val="center"/>
          </w:tcPr>
          <w:p w14:paraId="619550DF">
            <w:pPr>
              <w:adjustRightInd w:val="0"/>
              <w:snapToGrid w:val="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废水</w:t>
            </w:r>
          </w:p>
        </w:tc>
        <w:tc>
          <w:tcPr>
            <w:tcW w:w="1020" w:type="pct"/>
            <w:shd w:val="clear" w:color="auto" w:fill="auto"/>
            <w:vAlign w:val="center"/>
          </w:tcPr>
          <w:p w14:paraId="059A0027">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生产及生活废水</w:t>
            </w:r>
          </w:p>
        </w:tc>
        <w:tc>
          <w:tcPr>
            <w:tcW w:w="2466" w:type="pct"/>
            <w:vAlign w:val="center"/>
          </w:tcPr>
          <w:p w14:paraId="04A41440">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发酵清洗废水、分离废水经调节池调节后排入西区污水处理厂二期工程处理；循环水排污依托现有污水处理站中水段处理；生活污水、水洗塔定排和碱洗塔定排依托现有污水处理站生化段处理后排入西区污水处理厂一期工程处理；本项目仅新增部分废水管线</w:t>
            </w:r>
          </w:p>
        </w:tc>
        <w:tc>
          <w:tcPr>
            <w:tcW w:w="676" w:type="pct"/>
            <w:vAlign w:val="center"/>
          </w:tcPr>
          <w:p w14:paraId="37ED1956">
            <w:pPr>
              <w:adjustRightInd w:val="0"/>
              <w:snapToGrid w:val="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30</w:t>
            </w:r>
          </w:p>
        </w:tc>
      </w:tr>
      <w:tr w14:paraId="1706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08D07B43">
            <w:pPr>
              <w:adjustRightInd w:val="0"/>
              <w:snapToGrid w:val="0"/>
              <w:jc w:val="center"/>
              <w:rPr>
                <w:snapToGrid w:val="0"/>
                <w:color w:val="auto"/>
                <w:kern w:val="0"/>
                <w:szCs w:val="21"/>
                <w:highlight w:val="none"/>
              </w:rPr>
            </w:pPr>
          </w:p>
        </w:tc>
        <w:tc>
          <w:tcPr>
            <w:tcW w:w="592" w:type="pct"/>
            <w:vAlign w:val="center"/>
          </w:tcPr>
          <w:p w14:paraId="4856250C">
            <w:pPr>
              <w:adjustRightInd w:val="0"/>
              <w:snapToGrid w:val="0"/>
              <w:jc w:val="center"/>
              <w:rPr>
                <w:snapToGrid w:val="0"/>
                <w:color w:val="auto"/>
                <w:kern w:val="0"/>
                <w:szCs w:val="21"/>
                <w:highlight w:val="none"/>
              </w:rPr>
            </w:pPr>
            <w:r>
              <w:rPr>
                <w:snapToGrid w:val="0"/>
                <w:color w:val="auto"/>
                <w:kern w:val="0"/>
                <w:szCs w:val="21"/>
                <w:highlight w:val="none"/>
              </w:rPr>
              <w:t>噪声</w:t>
            </w:r>
          </w:p>
        </w:tc>
        <w:tc>
          <w:tcPr>
            <w:tcW w:w="3486" w:type="pct"/>
            <w:gridSpan w:val="2"/>
            <w:vAlign w:val="center"/>
          </w:tcPr>
          <w:p w14:paraId="2532C844">
            <w:pPr>
              <w:adjustRightInd w:val="0"/>
              <w:snapToGrid w:val="0"/>
              <w:jc w:val="center"/>
              <w:rPr>
                <w:snapToGrid w:val="0"/>
                <w:color w:val="auto"/>
                <w:kern w:val="0"/>
                <w:szCs w:val="21"/>
                <w:highlight w:val="none"/>
              </w:rPr>
            </w:pPr>
            <w:r>
              <w:rPr>
                <w:snapToGrid w:val="0"/>
                <w:color w:val="auto"/>
                <w:kern w:val="0"/>
                <w:szCs w:val="21"/>
                <w:highlight w:val="none"/>
              </w:rPr>
              <w:t>对高噪声设备采用减振、隔声、消声等措施。</w:t>
            </w:r>
          </w:p>
        </w:tc>
        <w:tc>
          <w:tcPr>
            <w:tcW w:w="676" w:type="pct"/>
            <w:vAlign w:val="center"/>
          </w:tcPr>
          <w:p w14:paraId="7AB39A73">
            <w:pPr>
              <w:adjustRightInd w:val="0"/>
              <w:snapToGrid w:val="0"/>
              <w:jc w:val="center"/>
              <w:rPr>
                <w:snapToGrid w:val="0"/>
                <w:color w:val="auto"/>
                <w:kern w:val="0"/>
                <w:szCs w:val="21"/>
                <w:highlight w:val="none"/>
              </w:rPr>
            </w:pPr>
            <w:r>
              <w:rPr>
                <w:snapToGrid w:val="0"/>
                <w:color w:val="auto"/>
                <w:kern w:val="0"/>
                <w:szCs w:val="21"/>
                <w:highlight w:val="none"/>
              </w:rPr>
              <w:t>50</w:t>
            </w:r>
          </w:p>
        </w:tc>
      </w:tr>
      <w:tr w14:paraId="178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5486C432">
            <w:pPr>
              <w:adjustRightInd w:val="0"/>
              <w:snapToGrid w:val="0"/>
              <w:jc w:val="center"/>
              <w:rPr>
                <w:snapToGrid w:val="0"/>
                <w:color w:val="auto"/>
                <w:kern w:val="0"/>
                <w:szCs w:val="21"/>
                <w:highlight w:val="none"/>
              </w:rPr>
            </w:pPr>
          </w:p>
        </w:tc>
        <w:tc>
          <w:tcPr>
            <w:tcW w:w="592" w:type="pct"/>
            <w:vAlign w:val="center"/>
          </w:tcPr>
          <w:p w14:paraId="06194B59">
            <w:pPr>
              <w:adjustRightInd w:val="0"/>
              <w:snapToGrid w:val="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固废</w:t>
            </w:r>
          </w:p>
        </w:tc>
        <w:tc>
          <w:tcPr>
            <w:tcW w:w="3486" w:type="pct"/>
            <w:gridSpan w:val="2"/>
            <w:vAlign w:val="center"/>
          </w:tcPr>
          <w:p w14:paraId="333B12A6">
            <w:pPr>
              <w:adjustRightInd w:val="0"/>
              <w:snapToGrid w:val="0"/>
              <w:jc w:val="center"/>
              <w:rPr>
                <w:rFonts w:hint="eastAsia" w:eastAsia="宋体"/>
                <w:snapToGrid w:val="0"/>
                <w:color w:val="auto"/>
                <w:kern w:val="0"/>
                <w:szCs w:val="21"/>
                <w:highlight w:val="none"/>
                <w:lang w:val="en-US" w:eastAsia="zh-CN"/>
              </w:rPr>
            </w:pPr>
            <w:r>
              <w:rPr>
                <w:rFonts w:hint="eastAsia" w:ascii="Times New Roman" w:hAnsi="Times New Roman" w:eastAsia="宋体" w:cs="Times New Roman"/>
                <w:snapToGrid w:val="0"/>
                <w:color w:val="auto"/>
                <w:kern w:val="0"/>
                <w:sz w:val="21"/>
                <w:szCs w:val="21"/>
                <w:highlight w:val="none"/>
              </w:rPr>
              <w:t>菌体污泥</w:t>
            </w:r>
            <w:r>
              <w:rPr>
                <w:rFonts w:hint="eastAsia" w:ascii="Times New Roman" w:hAnsi="Times New Roman" w:eastAsia="宋体" w:cs="Times New Roman"/>
                <w:snapToGrid w:val="0"/>
                <w:color w:val="auto"/>
                <w:kern w:val="0"/>
                <w:sz w:val="21"/>
                <w:szCs w:val="21"/>
                <w:highlight w:val="none"/>
                <w:lang w:val="en-US" w:eastAsia="zh-CN"/>
              </w:rPr>
              <w:t>储存依托</w:t>
            </w:r>
            <w:r>
              <w:rPr>
                <w:rFonts w:hint="eastAsia" w:ascii="Times New Roman" w:hAnsi="Times New Roman" w:eastAsia="宋体" w:cs="Times New Roman"/>
                <w:snapToGrid w:val="0"/>
                <w:color w:val="auto"/>
                <w:kern w:val="0"/>
                <w:sz w:val="21"/>
                <w:szCs w:val="21"/>
                <w:highlight w:val="none"/>
              </w:rPr>
              <w:t>现有工程一般固废库</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危险废物储存</w:t>
            </w:r>
            <w:r>
              <w:rPr>
                <w:rFonts w:hint="eastAsia" w:ascii="Times New Roman" w:hAnsi="Times New Roman" w:eastAsia="宋体" w:cs="Times New Roman"/>
                <w:snapToGrid w:val="0"/>
                <w:color w:val="auto"/>
                <w:kern w:val="0"/>
                <w:sz w:val="21"/>
                <w:szCs w:val="21"/>
                <w:highlight w:val="none"/>
              </w:rPr>
              <w:t>依托现有危废库房</w:t>
            </w:r>
            <w:r>
              <w:rPr>
                <w:rFonts w:hint="eastAsia" w:ascii="Times New Roman" w:hAnsi="Times New Roman" w:eastAsia="宋体" w:cs="Times New Roman"/>
                <w:snapToGrid w:val="0"/>
                <w:color w:val="auto"/>
                <w:kern w:val="0"/>
                <w:sz w:val="21"/>
                <w:szCs w:val="21"/>
                <w:highlight w:val="none"/>
                <w:lang w:eastAsia="zh-CN"/>
              </w:rPr>
              <w:t>。</w:t>
            </w:r>
          </w:p>
        </w:tc>
        <w:tc>
          <w:tcPr>
            <w:tcW w:w="676" w:type="pct"/>
            <w:vAlign w:val="center"/>
          </w:tcPr>
          <w:p w14:paraId="779CBD1F">
            <w:pPr>
              <w:adjustRightInd w:val="0"/>
              <w:snapToGrid w:val="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依托</w:t>
            </w:r>
          </w:p>
        </w:tc>
      </w:tr>
      <w:tr w14:paraId="517D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0CBD1411">
            <w:pPr>
              <w:adjustRightInd w:val="0"/>
              <w:snapToGrid w:val="0"/>
              <w:jc w:val="center"/>
              <w:rPr>
                <w:snapToGrid w:val="0"/>
                <w:color w:val="auto"/>
                <w:kern w:val="0"/>
                <w:szCs w:val="21"/>
                <w:highlight w:val="none"/>
              </w:rPr>
            </w:pPr>
          </w:p>
        </w:tc>
        <w:tc>
          <w:tcPr>
            <w:tcW w:w="592" w:type="pct"/>
            <w:vMerge w:val="restart"/>
            <w:vAlign w:val="center"/>
          </w:tcPr>
          <w:p w14:paraId="5F5280C9">
            <w:pPr>
              <w:adjustRightInd w:val="0"/>
              <w:snapToGrid w:val="0"/>
              <w:jc w:val="center"/>
              <w:rPr>
                <w:snapToGrid w:val="0"/>
                <w:color w:val="auto"/>
                <w:kern w:val="0"/>
                <w:szCs w:val="21"/>
                <w:highlight w:val="none"/>
              </w:rPr>
            </w:pPr>
            <w:r>
              <w:rPr>
                <w:snapToGrid w:val="0"/>
                <w:color w:val="auto"/>
                <w:kern w:val="0"/>
                <w:szCs w:val="21"/>
                <w:highlight w:val="none"/>
              </w:rPr>
              <w:t>环境风险</w:t>
            </w:r>
          </w:p>
        </w:tc>
        <w:tc>
          <w:tcPr>
            <w:tcW w:w="1020" w:type="pct"/>
            <w:vAlign w:val="center"/>
          </w:tcPr>
          <w:p w14:paraId="1D15DE6A">
            <w:pPr>
              <w:adjustRightInd w:val="0"/>
              <w:snapToGrid w:val="0"/>
              <w:jc w:val="center"/>
              <w:rPr>
                <w:snapToGrid w:val="0"/>
                <w:color w:val="auto"/>
                <w:kern w:val="0"/>
                <w:szCs w:val="21"/>
                <w:highlight w:val="none"/>
              </w:rPr>
            </w:pPr>
            <w:r>
              <w:rPr>
                <w:snapToGrid w:val="0"/>
                <w:color w:val="auto"/>
                <w:kern w:val="0"/>
                <w:szCs w:val="21"/>
                <w:highlight w:val="none"/>
              </w:rPr>
              <w:t>地下水</w:t>
            </w:r>
          </w:p>
        </w:tc>
        <w:tc>
          <w:tcPr>
            <w:tcW w:w="2466" w:type="pct"/>
            <w:vAlign w:val="center"/>
          </w:tcPr>
          <w:p w14:paraId="034DF914">
            <w:pPr>
              <w:adjustRightInd w:val="0"/>
              <w:snapToGrid w:val="0"/>
              <w:jc w:val="center"/>
              <w:rPr>
                <w:snapToGrid w:val="0"/>
                <w:color w:val="auto"/>
                <w:kern w:val="0"/>
                <w:szCs w:val="21"/>
                <w:highlight w:val="none"/>
              </w:rPr>
            </w:pPr>
            <w:r>
              <w:rPr>
                <w:snapToGrid w:val="0"/>
                <w:color w:val="auto"/>
                <w:kern w:val="0"/>
                <w:szCs w:val="21"/>
                <w:highlight w:val="none"/>
              </w:rPr>
              <w:t>分区防渗</w:t>
            </w:r>
          </w:p>
        </w:tc>
        <w:tc>
          <w:tcPr>
            <w:tcW w:w="676" w:type="pct"/>
            <w:vAlign w:val="center"/>
          </w:tcPr>
          <w:p w14:paraId="5955D98A">
            <w:pPr>
              <w:adjustRightInd w:val="0"/>
              <w:snapToGrid w:val="0"/>
              <w:jc w:val="center"/>
              <w:rPr>
                <w:rFonts w:hint="default"/>
                <w:snapToGrid w:val="0"/>
                <w:color w:val="auto"/>
                <w:kern w:val="0"/>
                <w:szCs w:val="21"/>
                <w:highlight w:val="none"/>
                <w:lang w:val="en-US"/>
              </w:rPr>
            </w:pPr>
            <w:r>
              <w:rPr>
                <w:rFonts w:hint="eastAsia"/>
                <w:snapToGrid w:val="0"/>
                <w:color w:val="auto"/>
                <w:kern w:val="0"/>
                <w:szCs w:val="21"/>
                <w:highlight w:val="none"/>
                <w:lang w:val="en-US" w:eastAsia="zh-CN"/>
              </w:rPr>
              <w:t>100</w:t>
            </w:r>
          </w:p>
        </w:tc>
      </w:tr>
      <w:tr w14:paraId="10F0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0E8CA62D">
            <w:pPr>
              <w:adjustRightInd w:val="0"/>
              <w:snapToGrid w:val="0"/>
              <w:jc w:val="center"/>
              <w:rPr>
                <w:snapToGrid w:val="0"/>
                <w:color w:val="auto"/>
                <w:kern w:val="0"/>
                <w:szCs w:val="21"/>
                <w:highlight w:val="none"/>
              </w:rPr>
            </w:pPr>
          </w:p>
        </w:tc>
        <w:tc>
          <w:tcPr>
            <w:tcW w:w="592" w:type="pct"/>
            <w:vMerge w:val="continue"/>
            <w:vAlign w:val="center"/>
          </w:tcPr>
          <w:p w14:paraId="2AD766B1">
            <w:pPr>
              <w:adjustRightInd w:val="0"/>
              <w:snapToGrid w:val="0"/>
              <w:jc w:val="center"/>
              <w:rPr>
                <w:snapToGrid w:val="0"/>
                <w:color w:val="auto"/>
                <w:kern w:val="0"/>
                <w:szCs w:val="21"/>
                <w:highlight w:val="none"/>
              </w:rPr>
            </w:pPr>
          </w:p>
        </w:tc>
        <w:tc>
          <w:tcPr>
            <w:tcW w:w="1020" w:type="pct"/>
            <w:vAlign w:val="center"/>
          </w:tcPr>
          <w:p w14:paraId="24D6C1A8">
            <w:pPr>
              <w:adjustRightInd w:val="0"/>
              <w:snapToGrid w:val="0"/>
              <w:jc w:val="center"/>
              <w:rPr>
                <w:snapToGrid w:val="0"/>
                <w:color w:val="auto"/>
                <w:kern w:val="0"/>
                <w:szCs w:val="21"/>
                <w:highlight w:val="none"/>
              </w:rPr>
            </w:pPr>
            <w:r>
              <w:rPr>
                <w:snapToGrid w:val="0"/>
                <w:color w:val="auto"/>
                <w:kern w:val="0"/>
                <w:szCs w:val="21"/>
                <w:highlight w:val="none"/>
              </w:rPr>
              <w:t>风险防范</w:t>
            </w:r>
          </w:p>
        </w:tc>
        <w:tc>
          <w:tcPr>
            <w:tcW w:w="2466" w:type="pct"/>
            <w:vAlign w:val="center"/>
          </w:tcPr>
          <w:p w14:paraId="1F16683A">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应急管线、</w:t>
            </w:r>
            <w:r>
              <w:rPr>
                <w:snapToGrid w:val="0"/>
                <w:color w:val="auto"/>
                <w:kern w:val="0"/>
                <w:szCs w:val="21"/>
                <w:highlight w:val="none"/>
              </w:rPr>
              <w:t>防护设施、消防设施、预警监测系统等</w:t>
            </w:r>
          </w:p>
        </w:tc>
        <w:tc>
          <w:tcPr>
            <w:tcW w:w="676" w:type="pct"/>
            <w:vAlign w:val="center"/>
          </w:tcPr>
          <w:p w14:paraId="3FB5C362">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130</w:t>
            </w:r>
          </w:p>
        </w:tc>
      </w:tr>
      <w:tr w14:paraId="6B4D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4" w:hRule="atLeast"/>
        </w:trPr>
        <w:tc>
          <w:tcPr>
            <w:tcW w:w="244" w:type="pct"/>
            <w:vMerge w:val="continue"/>
            <w:vAlign w:val="center"/>
          </w:tcPr>
          <w:p w14:paraId="679EC386">
            <w:pPr>
              <w:adjustRightInd w:val="0"/>
              <w:snapToGrid w:val="0"/>
              <w:jc w:val="center"/>
              <w:rPr>
                <w:snapToGrid w:val="0"/>
                <w:color w:val="auto"/>
                <w:kern w:val="0"/>
                <w:szCs w:val="21"/>
                <w:highlight w:val="none"/>
              </w:rPr>
            </w:pPr>
          </w:p>
        </w:tc>
        <w:tc>
          <w:tcPr>
            <w:tcW w:w="592" w:type="pct"/>
            <w:vAlign w:val="center"/>
          </w:tcPr>
          <w:p w14:paraId="1C401143">
            <w:pPr>
              <w:adjustRightInd w:val="0"/>
              <w:snapToGrid w:val="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应急预案</w:t>
            </w:r>
          </w:p>
        </w:tc>
        <w:tc>
          <w:tcPr>
            <w:tcW w:w="3486" w:type="pct"/>
            <w:gridSpan w:val="2"/>
            <w:vAlign w:val="center"/>
          </w:tcPr>
          <w:p w14:paraId="53AFC0E5">
            <w:pPr>
              <w:adjustRightInd w:val="0"/>
              <w:snapToGrid w:val="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突发生态环境事件应急预案编制费用</w:t>
            </w:r>
          </w:p>
        </w:tc>
        <w:tc>
          <w:tcPr>
            <w:tcW w:w="676" w:type="pct"/>
            <w:vAlign w:val="center"/>
          </w:tcPr>
          <w:p w14:paraId="44050595">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8</w:t>
            </w:r>
          </w:p>
        </w:tc>
      </w:tr>
      <w:tr w14:paraId="3738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44" w:type="pct"/>
            <w:vMerge w:val="continue"/>
            <w:vAlign w:val="center"/>
          </w:tcPr>
          <w:p w14:paraId="25BBAE74">
            <w:pPr>
              <w:adjustRightInd w:val="0"/>
              <w:snapToGrid w:val="0"/>
              <w:jc w:val="center"/>
              <w:rPr>
                <w:snapToGrid w:val="0"/>
                <w:color w:val="auto"/>
                <w:kern w:val="0"/>
                <w:szCs w:val="21"/>
                <w:highlight w:val="none"/>
              </w:rPr>
            </w:pPr>
          </w:p>
        </w:tc>
        <w:tc>
          <w:tcPr>
            <w:tcW w:w="592" w:type="pct"/>
            <w:vAlign w:val="center"/>
          </w:tcPr>
          <w:p w14:paraId="040508B2">
            <w:pPr>
              <w:adjustRightInd w:val="0"/>
              <w:snapToGrid w:val="0"/>
              <w:jc w:val="center"/>
              <w:rPr>
                <w:snapToGrid w:val="0"/>
                <w:color w:val="auto"/>
                <w:kern w:val="0"/>
                <w:szCs w:val="21"/>
                <w:highlight w:val="none"/>
              </w:rPr>
            </w:pPr>
            <w:r>
              <w:rPr>
                <w:rFonts w:hint="eastAsia"/>
                <w:snapToGrid w:val="0"/>
                <w:color w:val="auto"/>
                <w:kern w:val="0"/>
                <w:szCs w:val="21"/>
                <w:highlight w:val="none"/>
                <w:lang w:val="en-US" w:eastAsia="zh-CN"/>
              </w:rPr>
              <w:t>环境监测</w:t>
            </w:r>
          </w:p>
        </w:tc>
        <w:tc>
          <w:tcPr>
            <w:tcW w:w="3486" w:type="pct"/>
            <w:gridSpan w:val="2"/>
            <w:vAlign w:val="center"/>
          </w:tcPr>
          <w:p w14:paraId="763179AA">
            <w:pPr>
              <w:adjustRightInd w:val="0"/>
              <w:snapToGrid w:val="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环境自行监测</w:t>
            </w:r>
          </w:p>
        </w:tc>
        <w:tc>
          <w:tcPr>
            <w:tcW w:w="676" w:type="pct"/>
            <w:vAlign w:val="center"/>
          </w:tcPr>
          <w:p w14:paraId="38B5E026">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20</w:t>
            </w:r>
          </w:p>
        </w:tc>
      </w:tr>
      <w:tr w14:paraId="08AE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323" w:type="pct"/>
            <w:gridSpan w:val="4"/>
            <w:vAlign w:val="center"/>
          </w:tcPr>
          <w:p w14:paraId="5D2185C7">
            <w:pPr>
              <w:adjustRightInd w:val="0"/>
              <w:snapToGrid w:val="0"/>
              <w:jc w:val="center"/>
              <w:rPr>
                <w:snapToGrid w:val="0"/>
                <w:color w:val="auto"/>
                <w:kern w:val="0"/>
                <w:szCs w:val="21"/>
                <w:highlight w:val="none"/>
              </w:rPr>
            </w:pPr>
            <w:r>
              <w:rPr>
                <w:snapToGrid w:val="0"/>
                <w:color w:val="auto"/>
                <w:kern w:val="0"/>
                <w:szCs w:val="21"/>
                <w:highlight w:val="none"/>
              </w:rPr>
              <w:t>合计</w:t>
            </w:r>
          </w:p>
        </w:tc>
        <w:tc>
          <w:tcPr>
            <w:tcW w:w="676" w:type="pct"/>
            <w:vAlign w:val="center"/>
          </w:tcPr>
          <w:p w14:paraId="18383740">
            <w:pPr>
              <w:adjustRightInd w:val="0"/>
              <w:snapToGrid w:val="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1423</w:t>
            </w:r>
          </w:p>
        </w:tc>
      </w:tr>
    </w:tbl>
    <w:p w14:paraId="3444AB04">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06" w:name="_Toc9058"/>
      <w:bookmarkStart w:id="207" w:name="_Toc9760"/>
      <w:r>
        <w:rPr>
          <w:rFonts w:hint="eastAsia" w:ascii="Times New Roman" w:hAnsi="Times New Roman" w:cs="Times New Roman"/>
          <w:b w:val="0"/>
          <w:bCs w:val="0"/>
          <w:snapToGrid w:val="0"/>
          <w:color w:val="auto"/>
          <w:kern w:val="0"/>
          <w:sz w:val="28"/>
          <w:szCs w:val="28"/>
          <w:highlight w:val="none"/>
          <w:lang w:val="en-US" w:eastAsia="zh-CN"/>
        </w:rPr>
        <w:t>8.2 生态环境效益分析</w:t>
      </w:r>
      <w:bookmarkEnd w:id="206"/>
      <w:bookmarkEnd w:id="207"/>
    </w:p>
    <w:p w14:paraId="2A0FD16F">
      <w:pPr>
        <w:spacing w:line="360" w:lineRule="auto"/>
        <w:ind w:firstLine="480" w:firstLineChars="200"/>
        <w:rPr>
          <w:color w:val="auto"/>
          <w:sz w:val="24"/>
          <w:highlight w:val="none"/>
        </w:rPr>
      </w:pPr>
      <w:r>
        <w:rPr>
          <w:rFonts w:hint="eastAsia"/>
          <w:color w:val="auto"/>
          <w:sz w:val="24"/>
          <w:highlight w:val="none"/>
        </w:rPr>
        <w:t>项目环保投资为</w:t>
      </w:r>
      <w:r>
        <w:rPr>
          <w:rFonts w:hint="eastAsia"/>
          <w:color w:val="auto"/>
          <w:sz w:val="24"/>
          <w:highlight w:val="none"/>
          <w:lang w:val="en-US" w:eastAsia="zh-CN"/>
        </w:rPr>
        <w:t>1423</w:t>
      </w:r>
      <w:r>
        <w:rPr>
          <w:rFonts w:hint="eastAsia"/>
          <w:color w:val="auto"/>
          <w:sz w:val="24"/>
          <w:highlight w:val="none"/>
        </w:rPr>
        <w:t>万元，投入资金用于环境保护后，取得如下</w:t>
      </w:r>
      <w:r>
        <w:rPr>
          <w:rFonts w:hint="eastAsia" w:eastAsiaTheme="minorEastAsia"/>
          <w:snapToGrid w:val="0"/>
          <w:color w:val="auto"/>
          <w:kern w:val="0"/>
          <w:sz w:val="24"/>
          <w:highlight w:val="none"/>
          <w:lang w:val="en-US" w:eastAsia="zh-CN"/>
        </w:rPr>
        <w:t>生态</w:t>
      </w:r>
      <w:r>
        <w:rPr>
          <w:rFonts w:hint="eastAsia"/>
          <w:color w:val="auto"/>
          <w:sz w:val="24"/>
          <w:highlight w:val="none"/>
        </w:rPr>
        <w:t>环境效益：</w:t>
      </w:r>
    </w:p>
    <w:p w14:paraId="7F605A4D">
      <w:pPr>
        <w:spacing w:line="360" w:lineRule="auto"/>
        <w:ind w:firstLine="480" w:firstLineChars="200"/>
        <w:rPr>
          <w:color w:val="auto"/>
          <w:sz w:val="24"/>
          <w:highlight w:val="none"/>
        </w:rPr>
      </w:pPr>
      <w:r>
        <w:rPr>
          <w:rFonts w:hint="eastAsia"/>
          <w:color w:val="auto"/>
          <w:sz w:val="24"/>
          <w:highlight w:val="none"/>
        </w:rPr>
        <w:t>（1）废气处理设施投入使用后，减少废气污染物的排放量，确保达标排放。</w:t>
      </w:r>
    </w:p>
    <w:p w14:paraId="05593C65">
      <w:pPr>
        <w:spacing w:line="360" w:lineRule="auto"/>
        <w:ind w:firstLine="480" w:firstLineChars="200"/>
        <w:rPr>
          <w:color w:val="auto"/>
          <w:sz w:val="24"/>
          <w:highlight w:val="none"/>
        </w:rPr>
      </w:pPr>
      <w:r>
        <w:rPr>
          <w:rFonts w:hint="eastAsia"/>
          <w:color w:val="auto"/>
          <w:sz w:val="24"/>
          <w:highlight w:val="none"/>
        </w:rPr>
        <w:t>（2）减少了无组织废气的排放量。</w:t>
      </w:r>
    </w:p>
    <w:p w14:paraId="3AC221B4">
      <w:pPr>
        <w:spacing w:line="360" w:lineRule="auto"/>
        <w:ind w:firstLine="480" w:firstLineChars="200"/>
        <w:rPr>
          <w:color w:val="auto"/>
          <w:sz w:val="24"/>
          <w:highlight w:val="none"/>
        </w:rPr>
      </w:pPr>
      <w:r>
        <w:rPr>
          <w:rFonts w:hint="eastAsia"/>
          <w:color w:val="auto"/>
          <w:sz w:val="24"/>
          <w:highlight w:val="none"/>
        </w:rPr>
        <w:t>（3）固体废物得到了合理处置，处置率为100%。</w:t>
      </w:r>
    </w:p>
    <w:p w14:paraId="0FBCE523">
      <w:pPr>
        <w:spacing w:line="360" w:lineRule="auto"/>
        <w:ind w:firstLine="480" w:firstLineChars="200"/>
        <w:rPr>
          <w:color w:val="auto"/>
          <w:sz w:val="24"/>
          <w:highlight w:val="none"/>
        </w:rPr>
      </w:pPr>
      <w:r>
        <w:rPr>
          <w:rFonts w:hint="eastAsia"/>
          <w:color w:val="auto"/>
          <w:sz w:val="24"/>
          <w:highlight w:val="none"/>
        </w:rPr>
        <w:t>（4）噪声污染治理设施降低了噪声排放。</w:t>
      </w:r>
    </w:p>
    <w:p w14:paraId="6B726FBE">
      <w:pPr>
        <w:spacing w:line="360" w:lineRule="auto"/>
        <w:ind w:firstLine="480" w:firstLineChars="200"/>
        <w:rPr>
          <w:color w:val="auto"/>
          <w:sz w:val="24"/>
          <w:highlight w:val="none"/>
        </w:rPr>
      </w:pPr>
      <w:r>
        <w:rPr>
          <w:rFonts w:hint="eastAsia"/>
          <w:color w:val="auto"/>
          <w:sz w:val="24"/>
          <w:highlight w:val="none"/>
        </w:rPr>
        <w:t>（5）环境风险防范及应急措施降低了环境风险。</w:t>
      </w:r>
    </w:p>
    <w:p w14:paraId="4BB96A42">
      <w:pPr>
        <w:spacing w:line="360" w:lineRule="auto"/>
        <w:ind w:firstLine="480" w:firstLineChars="200"/>
        <w:rPr>
          <w:color w:val="auto"/>
          <w:sz w:val="24"/>
          <w:highlight w:val="none"/>
        </w:rPr>
      </w:pPr>
      <w:r>
        <w:rPr>
          <w:rFonts w:hint="eastAsia"/>
          <w:color w:val="auto"/>
          <w:sz w:val="24"/>
          <w:highlight w:val="none"/>
        </w:rPr>
        <w:t>项目通过资源循环利用模式，从源头上减少了污染物的产生，降低了对环境的压力。本项目环保综合整治的实施，可确保污染物达标排放，符合国家环保政策要求。环保综合整治工作可将本项目的污染降低到最低限度，产生的环境效益较明显。</w:t>
      </w:r>
    </w:p>
    <w:p w14:paraId="4DFC9F7C">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08" w:name="_Toc11804"/>
      <w:bookmarkStart w:id="209" w:name="_Toc6547"/>
      <w:r>
        <w:rPr>
          <w:rFonts w:hint="eastAsia" w:ascii="Times New Roman" w:hAnsi="Times New Roman" w:cs="Times New Roman"/>
          <w:b w:val="0"/>
          <w:bCs w:val="0"/>
          <w:snapToGrid w:val="0"/>
          <w:color w:val="auto"/>
          <w:kern w:val="0"/>
          <w:sz w:val="28"/>
          <w:szCs w:val="28"/>
          <w:highlight w:val="none"/>
          <w:lang w:val="en-US" w:eastAsia="zh-CN"/>
        </w:rPr>
        <w:t>8.3 社会效益分析</w:t>
      </w:r>
      <w:bookmarkEnd w:id="208"/>
      <w:bookmarkEnd w:id="209"/>
    </w:p>
    <w:p w14:paraId="420B39A1">
      <w:pPr>
        <w:spacing w:line="360" w:lineRule="auto"/>
        <w:ind w:firstLine="480" w:firstLineChars="200"/>
        <w:rPr>
          <w:color w:val="auto"/>
          <w:sz w:val="24"/>
          <w:highlight w:val="none"/>
        </w:rPr>
      </w:pPr>
      <w:r>
        <w:rPr>
          <w:rFonts w:hint="eastAsia"/>
          <w:color w:val="auto"/>
          <w:sz w:val="24"/>
          <w:highlight w:val="none"/>
        </w:rPr>
        <w:t>社会效益是指项目对实现地方社会发展目标所作贡献与影响。社会效益分析作为一种评价方法，它包括对项目与当地社会环境相互影响的分析，以考察项目的社会可行性，保证项目顺利实施，提高投资效益，促进社会发展。</w:t>
      </w:r>
    </w:p>
    <w:p w14:paraId="79BDC0FD">
      <w:pPr>
        <w:spacing w:line="360" w:lineRule="auto"/>
        <w:ind w:firstLine="480" w:firstLineChars="200"/>
        <w:rPr>
          <w:color w:val="auto"/>
          <w:sz w:val="24"/>
          <w:highlight w:val="none"/>
        </w:rPr>
      </w:pPr>
      <w:r>
        <w:rPr>
          <w:rFonts w:hint="eastAsia"/>
          <w:color w:val="auto"/>
          <w:sz w:val="24"/>
          <w:highlight w:val="none"/>
        </w:rPr>
        <w:t>本项目社会效益十分明显，具有良好的竞争能力和发展前景，符合国家的产业政策和环保政策，特别是对地方经济促进作用突出，对推动地方工业结构调整，促进地区经济可持续发展具有重要意义。</w:t>
      </w:r>
    </w:p>
    <w:p w14:paraId="38D2DC9D">
      <w:pPr>
        <w:spacing w:line="360" w:lineRule="auto"/>
        <w:ind w:firstLine="480" w:firstLineChars="200"/>
        <w:rPr>
          <w:color w:val="auto"/>
          <w:sz w:val="24"/>
          <w:highlight w:val="none"/>
        </w:rPr>
      </w:pPr>
      <w:r>
        <w:rPr>
          <w:rFonts w:hint="eastAsia"/>
          <w:color w:val="auto"/>
          <w:sz w:val="24"/>
          <w:highlight w:val="none"/>
        </w:rPr>
        <w:t>项目的社会效益主要表现在：</w:t>
      </w:r>
    </w:p>
    <w:p w14:paraId="2F78EA88">
      <w:pPr>
        <w:spacing w:line="360" w:lineRule="auto"/>
        <w:ind w:firstLine="480" w:firstLineChars="200"/>
        <w:rPr>
          <w:color w:val="auto"/>
          <w:sz w:val="24"/>
          <w:highlight w:val="none"/>
        </w:rPr>
      </w:pPr>
      <w:r>
        <w:rPr>
          <w:rFonts w:hint="eastAsia"/>
          <w:color w:val="auto"/>
          <w:sz w:val="24"/>
          <w:highlight w:val="none"/>
        </w:rPr>
        <w:t>（1）项目建成后，可充分利用周边优势资源拓宽市场，实现资源利用的效益最大化，提高产品质量，带动相关产业的发展。为当地增加了新的经济增长点。</w:t>
      </w:r>
    </w:p>
    <w:p w14:paraId="3F7A6827">
      <w:pPr>
        <w:spacing w:line="360" w:lineRule="auto"/>
        <w:ind w:firstLine="480" w:firstLineChars="200"/>
        <w:rPr>
          <w:color w:val="auto"/>
          <w:sz w:val="24"/>
          <w:highlight w:val="none"/>
        </w:rPr>
      </w:pPr>
      <w:r>
        <w:rPr>
          <w:rFonts w:hint="eastAsia"/>
          <w:color w:val="auto"/>
          <w:sz w:val="24"/>
          <w:highlight w:val="none"/>
        </w:rPr>
        <w:t>（2）本项目促进本地相关产业结构的调整和进一步优化，对周边企业有极大的促进作用，对改善当地经济结构优化及向规模效益型经济发展提供机遇。</w:t>
      </w:r>
    </w:p>
    <w:p w14:paraId="565A3AF1">
      <w:pPr>
        <w:spacing w:line="360" w:lineRule="auto"/>
        <w:ind w:firstLine="480" w:firstLineChars="200"/>
        <w:rPr>
          <w:color w:val="auto"/>
          <w:sz w:val="24"/>
          <w:highlight w:val="none"/>
        </w:rPr>
      </w:pPr>
      <w:r>
        <w:rPr>
          <w:rFonts w:hint="eastAsia"/>
          <w:color w:val="auto"/>
          <w:sz w:val="24"/>
          <w:highlight w:val="none"/>
        </w:rPr>
        <w:t>（3）此建设项目的实施，在一定程度上增加当地税收，改善了当地居民的收入水平，为减少或降低贫富收入差距起到一定的效果。</w:t>
      </w:r>
    </w:p>
    <w:p w14:paraId="09DA32C8">
      <w:pPr>
        <w:spacing w:line="360" w:lineRule="auto"/>
        <w:ind w:firstLine="480" w:firstLineChars="200"/>
        <w:rPr>
          <w:color w:val="auto"/>
          <w:sz w:val="24"/>
          <w:highlight w:val="none"/>
        </w:rPr>
      </w:pPr>
      <w:r>
        <w:rPr>
          <w:rFonts w:hint="eastAsia"/>
          <w:color w:val="auto"/>
          <w:sz w:val="24"/>
          <w:highlight w:val="none"/>
        </w:rPr>
        <w:t>（4）项目可给当地提供就业岗位，改善当地居民的生活水平。同时促进当地经济建设发展和繁荣，促进社会安定。</w:t>
      </w:r>
    </w:p>
    <w:p w14:paraId="582C67A0">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10" w:name="_Toc28748"/>
      <w:bookmarkStart w:id="211" w:name="_Toc18872"/>
      <w:r>
        <w:rPr>
          <w:rFonts w:hint="eastAsia" w:ascii="Times New Roman" w:hAnsi="Times New Roman" w:cs="Times New Roman"/>
          <w:b w:val="0"/>
          <w:bCs w:val="0"/>
          <w:snapToGrid w:val="0"/>
          <w:color w:val="auto"/>
          <w:kern w:val="0"/>
          <w:sz w:val="28"/>
          <w:szCs w:val="28"/>
          <w:highlight w:val="none"/>
          <w:lang w:val="en-US" w:eastAsia="zh-CN"/>
        </w:rPr>
        <w:t>8.4 生态环境经济损益分析结论</w:t>
      </w:r>
      <w:bookmarkEnd w:id="210"/>
      <w:bookmarkEnd w:id="211"/>
    </w:p>
    <w:p w14:paraId="4A27AB6A">
      <w:pPr>
        <w:spacing w:line="360" w:lineRule="auto"/>
        <w:ind w:firstLine="480" w:firstLineChars="200"/>
        <w:rPr>
          <w:color w:val="auto"/>
          <w:sz w:val="24"/>
          <w:highlight w:val="none"/>
        </w:rPr>
      </w:pPr>
      <w:r>
        <w:rPr>
          <w:rFonts w:hint="eastAsia"/>
          <w:color w:val="auto"/>
          <w:sz w:val="24"/>
          <w:highlight w:val="none"/>
        </w:rPr>
        <w:t>本项目环保投资为</w:t>
      </w:r>
      <w:r>
        <w:rPr>
          <w:rFonts w:hint="eastAsia"/>
          <w:color w:val="auto"/>
          <w:sz w:val="24"/>
          <w:highlight w:val="none"/>
          <w:lang w:val="en-US" w:eastAsia="zh-CN"/>
        </w:rPr>
        <w:t>1423</w:t>
      </w:r>
      <w:r>
        <w:rPr>
          <w:rFonts w:hint="eastAsia"/>
          <w:color w:val="auto"/>
          <w:sz w:val="24"/>
          <w:highlight w:val="none"/>
        </w:rPr>
        <w:t>万元，约占工程总投资的</w:t>
      </w:r>
      <w:r>
        <w:rPr>
          <w:rFonts w:hint="eastAsia"/>
          <w:color w:val="auto"/>
          <w:sz w:val="24"/>
          <w:highlight w:val="none"/>
          <w:lang w:eastAsia="zh-CN"/>
        </w:rPr>
        <w:t>1.15</w:t>
      </w:r>
      <w:r>
        <w:rPr>
          <w:rFonts w:hint="eastAsia"/>
          <w:color w:val="auto"/>
          <w:sz w:val="24"/>
          <w:highlight w:val="none"/>
        </w:rPr>
        <w:t>%。由于项目建设对</w:t>
      </w:r>
      <w:r>
        <w:rPr>
          <w:rFonts w:hint="eastAsia" w:eastAsiaTheme="minorEastAsia"/>
          <w:snapToGrid w:val="0"/>
          <w:color w:val="auto"/>
          <w:kern w:val="0"/>
          <w:sz w:val="24"/>
          <w:highlight w:val="none"/>
          <w:lang w:val="en-US" w:eastAsia="zh-CN"/>
        </w:rPr>
        <w:t>生态</w:t>
      </w:r>
      <w:r>
        <w:rPr>
          <w:rFonts w:hint="eastAsia"/>
          <w:color w:val="auto"/>
          <w:sz w:val="24"/>
          <w:highlight w:val="none"/>
        </w:rPr>
        <w:t>环境影响是复杂的，造成的</w:t>
      </w:r>
      <w:r>
        <w:rPr>
          <w:rFonts w:hint="eastAsia" w:eastAsiaTheme="minorEastAsia"/>
          <w:snapToGrid w:val="0"/>
          <w:color w:val="auto"/>
          <w:kern w:val="0"/>
          <w:sz w:val="24"/>
          <w:highlight w:val="none"/>
          <w:lang w:val="en-US" w:eastAsia="zh-CN"/>
        </w:rPr>
        <w:t>生态</w:t>
      </w:r>
      <w:r>
        <w:rPr>
          <w:rFonts w:hint="eastAsia"/>
          <w:color w:val="auto"/>
          <w:sz w:val="24"/>
          <w:highlight w:val="none"/>
        </w:rPr>
        <w:t>环境损失是多方面的，有些损失是直接可以量化计算，有些损失是难以将其货币化的。</w:t>
      </w:r>
    </w:p>
    <w:p w14:paraId="7FD76616">
      <w:pPr>
        <w:spacing w:line="360" w:lineRule="auto"/>
        <w:ind w:firstLine="480" w:firstLineChars="200"/>
        <w:rPr>
          <w:color w:val="auto"/>
          <w:sz w:val="24"/>
          <w:highlight w:val="none"/>
        </w:rPr>
      </w:pPr>
      <w:r>
        <w:rPr>
          <w:rFonts w:hint="eastAsia"/>
          <w:color w:val="auto"/>
          <w:sz w:val="24"/>
          <w:highlight w:val="none"/>
        </w:rPr>
        <w:t>随着企业环保设施的落实，项目废气、废水、厂界噪声、固废都能实现达标排放，通过场内小循环经济的实现，有效减少了污染物的排放量，在落实“三同时”后，污染治理设施的运行使污染物排放量大大降低，项目环保投入的环境效益显著，可以保证项目投产后，厂址周围的大气环境和区域水环境不致恶化，促进了企业生产的良性循环，为企业发展的长期稳定提供了可靠的保证。</w:t>
      </w:r>
    </w:p>
    <w:p w14:paraId="54C1E72D">
      <w:pPr>
        <w:spacing w:line="360" w:lineRule="auto"/>
        <w:ind w:firstLine="480" w:firstLineChars="200"/>
        <w:rPr>
          <w:color w:val="auto"/>
          <w:sz w:val="24"/>
          <w:highlight w:val="none"/>
        </w:rPr>
      </w:pPr>
      <w:r>
        <w:rPr>
          <w:rFonts w:hint="eastAsia"/>
          <w:color w:val="auto"/>
          <w:sz w:val="24"/>
          <w:highlight w:val="none"/>
        </w:rPr>
        <w:t>项目环保投资经济效益较为明显，同时具有较好的</w:t>
      </w:r>
      <w:r>
        <w:rPr>
          <w:rFonts w:hint="eastAsia" w:eastAsiaTheme="minorEastAsia"/>
          <w:snapToGrid w:val="0"/>
          <w:color w:val="auto"/>
          <w:kern w:val="0"/>
          <w:sz w:val="24"/>
          <w:highlight w:val="none"/>
          <w:lang w:val="en-US" w:eastAsia="zh-CN"/>
        </w:rPr>
        <w:t>生态</w:t>
      </w:r>
      <w:r>
        <w:rPr>
          <w:rFonts w:hint="eastAsia"/>
          <w:color w:val="auto"/>
          <w:sz w:val="24"/>
          <w:highlight w:val="none"/>
        </w:rPr>
        <w:t>环境效益和社会效益，做到了污染物达标排放，减轻了对</w:t>
      </w:r>
      <w:r>
        <w:rPr>
          <w:rFonts w:hint="eastAsia" w:eastAsiaTheme="minorEastAsia"/>
          <w:snapToGrid w:val="0"/>
          <w:color w:val="auto"/>
          <w:kern w:val="0"/>
          <w:sz w:val="24"/>
          <w:highlight w:val="none"/>
          <w:lang w:val="en-US" w:eastAsia="zh-CN"/>
        </w:rPr>
        <w:t>生态</w:t>
      </w:r>
      <w:r>
        <w:rPr>
          <w:rFonts w:hint="eastAsia"/>
          <w:color w:val="auto"/>
          <w:sz w:val="24"/>
          <w:highlight w:val="none"/>
        </w:rPr>
        <w:t>环境的污染，保护了人群健康。因此，本评价认为建设项目环保投资产生的</w:t>
      </w:r>
      <w:r>
        <w:rPr>
          <w:rFonts w:hint="eastAsia" w:eastAsiaTheme="minorEastAsia"/>
          <w:snapToGrid w:val="0"/>
          <w:color w:val="auto"/>
          <w:kern w:val="0"/>
          <w:sz w:val="24"/>
          <w:highlight w:val="none"/>
          <w:lang w:val="en-US" w:eastAsia="zh-CN"/>
        </w:rPr>
        <w:t>生态</w:t>
      </w:r>
      <w:r>
        <w:rPr>
          <w:rFonts w:hint="eastAsia"/>
          <w:color w:val="auto"/>
          <w:sz w:val="24"/>
          <w:highlight w:val="none"/>
        </w:rPr>
        <w:t>环境效益和社会效益较为明显，环保投资是可行、合理和有价值的。</w:t>
      </w:r>
      <w:r>
        <w:rPr>
          <w:color w:val="auto"/>
          <w:sz w:val="24"/>
          <w:highlight w:val="none"/>
        </w:rPr>
        <w:br w:type="page"/>
      </w:r>
    </w:p>
    <w:p w14:paraId="28A4FD49">
      <w:pPr>
        <w:pStyle w:val="2"/>
        <w:spacing w:before="100" w:beforeAutospacing="1" w:after="100" w:afterAutospacing="1"/>
        <w:ind w:firstLine="0" w:firstLineChars="0"/>
        <w:rPr>
          <w:rFonts w:ascii="Times New Roman" w:hAnsi="Times New Roman" w:cs="Times New Roman"/>
          <w:color w:val="auto"/>
          <w:highlight w:val="none"/>
        </w:rPr>
      </w:pPr>
      <w:bookmarkStart w:id="212" w:name="_Toc23378"/>
      <w:bookmarkStart w:id="213" w:name="_Toc5886"/>
      <w:r>
        <w:rPr>
          <w:rFonts w:hint="eastAsia" w:ascii="Times New Roman" w:hAnsi="Times New Roman" w:cs="Times New Roman"/>
          <w:color w:val="auto"/>
          <w:highlight w:val="none"/>
        </w:rPr>
        <w:t xml:space="preserve">9 </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生态</w:t>
      </w:r>
      <w:r>
        <w:rPr>
          <w:rFonts w:ascii="Times New Roman" w:hAnsi="Times New Roman" w:cs="Times New Roman"/>
          <w:color w:val="auto"/>
          <w:highlight w:val="none"/>
        </w:rPr>
        <w:t>环境管理与</w:t>
      </w:r>
      <w:bookmarkEnd w:id="203"/>
      <w:r>
        <w:rPr>
          <w:rFonts w:ascii="Times New Roman" w:hAnsi="Times New Roman" w:cs="Times New Roman"/>
          <w:color w:val="auto"/>
          <w:highlight w:val="none"/>
        </w:rPr>
        <w:t>监测计划</w:t>
      </w:r>
      <w:bookmarkEnd w:id="212"/>
      <w:bookmarkEnd w:id="213"/>
    </w:p>
    <w:p w14:paraId="6033471B">
      <w:pPr>
        <w:spacing w:line="360" w:lineRule="auto"/>
        <w:ind w:firstLine="480" w:firstLineChars="200"/>
        <w:rPr>
          <w:color w:val="auto"/>
          <w:sz w:val="24"/>
          <w:highlight w:val="none"/>
        </w:rPr>
      </w:pPr>
      <w:bookmarkStart w:id="214" w:name="_Toc309715436"/>
      <w:bookmarkStart w:id="215" w:name="_Toc454899408"/>
      <w:r>
        <w:rPr>
          <w:rFonts w:hint="eastAsia"/>
          <w:color w:val="auto"/>
          <w:sz w:val="24"/>
          <w:highlight w:val="none"/>
        </w:rPr>
        <w:t>加强企业</w:t>
      </w:r>
      <w:r>
        <w:rPr>
          <w:rFonts w:hint="eastAsia"/>
          <w:color w:val="auto"/>
          <w:sz w:val="24"/>
          <w:highlight w:val="none"/>
          <w:lang w:val="en-US" w:eastAsia="zh-CN"/>
        </w:rPr>
        <w:t>生态</w:t>
      </w:r>
      <w:r>
        <w:rPr>
          <w:rFonts w:hint="eastAsia"/>
          <w:color w:val="auto"/>
          <w:sz w:val="24"/>
          <w:highlight w:val="none"/>
        </w:rPr>
        <w:t>环境管理，加大企业</w:t>
      </w:r>
      <w:r>
        <w:rPr>
          <w:rFonts w:hint="eastAsia"/>
          <w:color w:val="auto"/>
          <w:sz w:val="24"/>
          <w:highlight w:val="none"/>
          <w:lang w:val="en-US" w:eastAsia="zh-CN"/>
        </w:rPr>
        <w:t>生态</w:t>
      </w:r>
      <w:r>
        <w:rPr>
          <w:rFonts w:hint="eastAsia"/>
          <w:color w:val="auto"/>
          <w:sz w:val="24"/>
          <w:highlight w:val="none"/>
        </w:rPr>
        <w:t>环境监测力度，严格执行建设项目</w:t>
      </w:r>
      <w:r>
        <w:rPr>
          <w:rFonts w:hint="eastAsia"/>
          <w:color w:val="auto"/>
          <w:sz w:val="24"/>
          <w:highlight w:val="none"/>
          <w:lang w:val="en-US" w:eastAsia="zh-CN"/>
        </w:rPr>
        <w:t>生态</w:t>
      </w:r>
      <w:r>
        <w:rPr>
          <w:rFonts w:hint="eastAsia"/>
          <w:color w:val="auto"/>
          <w:sz w:val="24"/>
          <w:highlight w:val="none"/>
        </w:rPr>
        <w:t>环境影响评价制度和“三同时”制度，切实落实</w:t>
      </w:r>
      <w:r>
        <w:rPr>
          <w:rFonts w:hint="eastAsia"/>
          <w:color w:val="auto"/>
          <w:sz w:val="24"/>
          <w:highlight w:val="none"/>
          <w:lang w:val="en-US" w:eastAsia="zh-CN"/>
        </w:rPr>
        <w:t>生态</w:t>
      </w:r>
      <w:r>
        <w:rPr>
          <w:rFonts w:hint="eastAsia"/>
          <w:color w:val="auto"/>
          <w:sz w:val="24"/>
          <w:highlight w:val="none"/>
        </w:rPr>
        <w:t>环境保护措施，严格控制污染物排放总量，是有效改善生态环境的重要举措之一。因此，根据该项目污染物排放特征，污染物治理情况，有针对性地制定环境保护管理与监测计划是非常必要的。</w:t>
      </w:r>
    </w:p>
    <w:p w14:paraId="3494402B">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16" w:name="_Toc15217"/>
      <w:bookmarkStart w:id="217" w:name="_Toc24183"/>
      <w:r>
        <w:rPr>
          <w:rFonts w:hint="eastAsia" w:ascii="Times New Roman" w:hAnsi="Times New Roman" w:cs="Times New Roman"/>
          <w:b w:val="0"/>
          <w:bCs w:val="0"/>
          <w:snapToGrid w:val="0"/>
          <w:color w:val="auto"/>
          <w:kern w:val="0"/>
          <w:sz w:val="28"/>
          <w:szCs w:val="28"/>
          <w:highlight w:val="none"/>
          <w:lang w:val="en-US" w:eastAsia="zh-CN"/>
        </w:rPr>
        <w:t>9.1 生态环境管理</w:t>
      </w:r>
      <w:bookmarkEnd w:id="214"/>
      <w:bookmarkEnd w:id="215"/>
      <w:bookmarkEnd w:id="216"/>
      <w:bookmarkEnd w:id="217"/>
    </w:p>
    <w:p w14:paraId="2DA2BD9D">
      <w:pPr>
        <w:spacing w:line="360" w:lineRule="auto"/>
        <w:ind w:firstLine="480" w:firstLineChars="200"/>
        <w:rPr>
          <w:color w:val="auto"/>
          <w:sz w:val="24"/>
          <w:highlight w:val="none"/>
        </w:rPr>
      </w:pPr>
      <w:r>
        <w:rPr>
          <w:color w:val="auto"/>
          <w:sz w:val="24"/>
          <w:highlight w:val="none"/>
        </w:rPr>
        <w:t>根据《</w:t>
      </w:r>
      <w:r>
        <w:rPr>
          <w:rFonts w:hint="eastAsia"/>
          <w:color w:val="auto"/>
          <w:sz w:val="24"/>
          <w:highlight w:val="none"/>
        </w:rPr>
        <w:t>中华人民共和国生态环境法典</w:t>
      </w:r>
      <w:r>
        <w:rPr>
          <w:color w:val="auto"/>
          <w:sz w:val="24"/>
          <w:highlight w:val="none"/>
        </w:rPr>
        <w:t>》和《建设项目环境保护管理条例》，建设单位必须把</w:t>
      </w:r>
      <w:r>
        <w:rPr>
          <w:rFonts w:hint="eastAsia"/>
          <w:color w:val="auto"/>
          <w:sz w:val="24"/>
          <w:highlight w:val="none"/>
          <w:lang w:val="en-US" w:eastAsia="zh-CN"/>
        </w:rPr>
        <w:t>生态</w:t>
      </w:r>
      <w:r>
        <w:rPr>
          <w:color w:val="auto"/>
          <w:sz w:val="24"/>
          <w:highlight w:val="none"/>
        </w:rPr>
        <w:t>环境保护工作纳入工作计划，建立</w:t>
      </w:r>
      <w:r>
        <w:rPr>
          <w:rFonts w:hint="eastAsia"/>
          <w:color w:val="auto"/>
          <w:sz w:val="24"/>
          <w:highlight w:val="none"/>
          <w:lang w:val="en-US" w:eastAsia="zh-CN"/>
        </w:rPr>
        <w:t>生态</w:t>
      </w:r>
      <w:r>
        <w:rPr>
          <w:color w:val="auto"/>
          <w:sz w:val="24"/>
          <w:highlight w:val="none"/>
        </w:rPr>
        <w:t>环境保护责任制度，采取有效措施，防止</w:t>
      </w:r>
      <w:r>
        <w:rPr>
          <w:rFonts w:hint="eastAsia"/>
          <w:color w:val="auto"/>
          <w:sz w:val="24"/>
          <w:highlight w:val="none"/>
          <w:lang w:val="en-US" w:eastAsia="zh-CN"/>
        </w:rPr>
        <w:t>生态</w:t>
      </w:r>
      <w:r>
        <w:rPr>
          <w:color w:val="auto"/>
          <w:sz w:val="24"/>
          <w:highlight w:val="none"/>
        </w:rPr>
        <w:t>环境破坏。</w:t>
      </w:r>
    </w:p>
    <w:p w14:paraId="5AA567C9">
      <w:pPr>
        <w:spacing w:line="360" w:lineRule="auto"/>
        <w:ind w:firstLine="480" w:firstLineChars="200"/>
        <w:rPr>
          <w:color w:val="auto"/>
          <w:sz w:val="24"/>
          <w:highlight w:val="none"/>
        </w:rPr>
      </w:pPr>
      <w:r>
        <w:rPr>
          <w:rFonts w:hint="eastAsia"/>
          <w:color w:val="auto"/>
          <w:sz w:val="24"/>
          <w:highlight w:val="none"/>
          <w:lang w:val="en-US" w:eastAsia="zh-CN"/>
        </w:rPr>
        <w:t>生态</w:t>
      </w:r>
      <w:r>
        <w:rPr>
          <w:color w:val="auto"/>
          <w:sz w:val="24"/>
          <w:highlight w:val="none"/>
        </w:rPr>
        <w:t>环境管理是以环境科学理论为基础，运用经济、法律、技术、行政、教育等手段对经济、社会发展过程中施加给</w:t>
      </w:r>
      <w:r>
        <w:rPr>
          <w:rFonts w:hint="eastAsia"/>
          <w:color w:val="auto"/>
          <w:sz w:val="24"/>
          <w:highlight w:val="none"/>
          <w:lang w:val="en-US" w:eastAsia="zh-CN"/>
        </w:rPr>
        <w:t>生态</w:t>
      </w:r>
      <w:r>
        <w:rPr>
          <w:color w:val="auto"/>
          <w:sz w:val="24"/>
          <w:highlight w:val="none"/>
        </w:rPr>
        <w:t>环境的污染和破坏影响进行调节控制，实现经济、社会和</w:t>
      </w:r>
      <w:r>
        <w:rPr>
          <w:rFonts w:hint="eastAsia"/>
          <w:color w:val="auto"/>
          <w:sz w:val="24"/>
          <w:highlight w:val="none"/>
          <w:lang w:val="en-US" w:eastAsia="zh-CN"/>
        </w:rPr>
        <w:t>生态</w:t>
      </w:r>
      <w:r>
        <w:rPr>
          <w:color w:val="auto"/>
          <w:sz w:val="24"/>
          <w:highlight w:val="none"/>
        </w:rPr>
        <w:t>环境效益的和谐统一。</w:t>
      </w:r>
    </w:p>
    <w:p w14:paraId="7293F28A">
      <w:pPr>
        <w:spacing w:line="360" w:lineRule="auto"/>
        <w:ind w:firstLine="480" w:firstLineChars="200"/>
        <w:rPr>
          <w:color w:val="auto"/>
          <w:sz w:val="24"/>
          <w:highlight w:val="none"/>
        </w:rPr>
      </w:pPr>
      <w:r>
        <w:rPr>
          <w:color w:val="auto"/>
          <w:sz w:val="24"/>
          <w:highlight w:val="none"/>
        </w:rPr>
        <w:t>为全面贯彻和落实国家</w:t>
      </w:r>
      <w:r>
        <w:rPr>
          <w:rFonts w:hint="eastAsia"/>
          <w:color w:val="auto"/>
          <w:sz w:val="24"/>
          <w:highlight w:val="none"/>
          <w:lang w:eastAsia="zh-CN"/>
        </w:rPr>
        <w:t>及</w:t>
      </w:r>
      <w:r>
        <w:rPr>
          <w:color w:val="auto"/>
          <w:sz w:val="24"/>
          <w:highlight w:val="none"/>
        </w:rPr>
        <w:t>地方环保</w:t>
      </w:r>
      <w:r>
        <w:rPr>
          <w:rFonts w:hint="eastAsia"/>
          <w:color w:val="auto"/>
          <w:sz w:val="24"/>
          <w:highlight w:val="none"/>
        </w:rPr>
        <w:t>法律法规</w:t>
      </w:r>
      <w:r>
        <w:rPr>
          <w:color w:val="auto"/>
          <w:sz w:val="24"/>
          <w:highlight w:val="none"/>
        </w:rPr>
        <w:t>，加强企业内部污染物排放监督控制，有效控制、减轻施工期以及运营期间</w:t>
      </w:r>
      <w:r>
        <w:rPr>
          <w:rFonts w:hint="eastAsia"/>
          <w:color w:val="auto"/>
          <w:sz w:val="24"/>
          <w:highlight w:val="none"/>
          <w:lang w:val="en-US" w:eastAsia="zh-CN"/>
        </w:rPr>
        <w:t>生态</w:t>
      </w:r>
      <w:r>
        <w:rPr>
          <w:color w:val="auto"/>
          <w:sz w:val="24"/>
          <w:highlight w:val="none"/>
        </w:rPr>
        <w:t>环境污染影响，保护项目所在地的</w:t>
      </w:r>
      <w:r>
        <w:rPr>
          <w:rFonts w:hint="eastAsia"/>
          <w:color w:val="auto"/>
          <w:sz w:val="24"/>
          <w:highlight w:val="none"/>
          <w:lang w:val="en-US" w:eastAsia="zh-CN"/>
        </w:rPr>
        <w:t>生态</w:t>
      </w:r>
      <w:r>
        <w:rPr>
          <w:color w:val="auto"/>
          <w:sz w:val="24"/>
          <w:highlight w:val="none"/>
        </w:rPr>
        <w:t>环境质量，企业内部必须建立行之有效的</w:t>
      </w:r>
      <w:r>
        <w:rPr>
          <w:rFonts w:hint="eastAsia"/>
          <w:color w:val="auto"/>
          <w:sz w:val="24"/>
          <w:highlight w:val="none"/>
          <w:lang w:val="en-US" w:eastAsia="zh-CN"/>
        </w:rPr>
        <w:t>生态</w:t>
      </w:r>
      <w:r>
        <w:rPr>
          <w:color w:val="auto"/>
          <w:sz w:val="24"/>
          <w:highlight w:val="none"/>
        </w:rPr>
        <w:t>环境管理机构。</w:t>
      </w:r>
    </w:p>
    <w:p w14:paraId="159FFEBA">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218" w:name="_Toc309715437"/>
      <w:r>
        <w:rPr>
          <w:rFonts w:hint="eastAsia" w:ascii="Times New Roman" w:hAnsi="Times New Roman" w:cs="Times New Roman"/>
          <w:snapToGrid w:val="0"/>
          <w:color w:val="auto"/>
          <w:spacing w:val="0"/>
          <w:kern w:val="0"/>
          <w:szCs w:val="24"/>
          <w:highlight w:val="none"/>
          <w:lang w:val="en-US" w:eastAsia="zh-CN"/>
        </w:rPr>
        <w:t>9.1.1</w:t>
      </w:r>
      <w:r>
        <w:rPr>
          <w:rFonts w:hint="eastAsia" w:asci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lang w:val="en-US" w:eastAsia="zh-CN"/>
        </w:rPr>
        <w:t>环境管理</w:t>
      </w:r>
      <w:bookmarkEnd w:id="218"/>
      <w:r>
        <w:rPr>
          <w:rFonts w:hint="eastAsia" w:ascii="Times New Roman" w:hAnsi="Times New Roman" w:cs="Times New Roman"/>
          <w:snapToGrid w:val="0"/>
          <w:color w:val="auto"/>
          <w:spacing w:val="0"/>
          <w:kern w:val="0"/>
          <w:szCs w:val="24"/>
          <w:highlight w:val="none"/>
          <w:lang w:val="en-US" w:eastAsia="zh-CN"/>
        </w:rPr>
        <w:t>基本任务</w:t>
      </w:r>
    </w:p>
    <w:p w14:paraId="2D9A2C91">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lang w:val="en-US" w:eastAsia="zh-CN"/>
        </w:rPr>
        <w:t>生态</w:t>
      </w:r>
      <w:r>
        <w:rPr>
          <w:rFonts w:hint="eastAsia" w:eastAsiaTheme="minorEastAsia"/>
          <w:color w:val="auto"/>
          <w:sz w:val="24"/>
          <w:highlight w:val="none"/>
        </w:rPr>
        <w:t>环境管理基本任务有二：一是控制污染物的排放量；二是避免污染物排放对</w:t>
      </w:r>
      <w:r>
        <w:rPr>
          <w:rFonts w:hint="eastAsia" w:eastAsiaTheme="minorEastAsia"/>
          <w:color w:val="auto"/>
          <w:sz w:val="24"/>
          <w:highlight w:val="none"/>
          <w:lang w:val="en-US" w:eastAsia="zh-CN"/>
        </w:rPr>
        <w:t>生态</w:t>
      </w:r>
      <w:r>
        <w:rPr>
          <w:rFonts w:hint="eastAsia" w:eastAsiaTheme="minorEastAsia"/>
          <w:color w:val="auto"/>
          <w:sz w:val="24"/>
          <w:highlight w:val="none"/>
        </w:rPr>
        <w:t>环境质量损害。建设单位应将本企业</w:t>
      </w:r>
      <w:r>
        <w:rPr>
          <w:rFonts w:hint="eastAsia" w:eastAsiaTheme="minorEastAsia"/>
          <w:color w:val="auto"/>
          <w:sz w:val="24"/>
          <w:highlight w:val="none"/>
          <w:lang w:val="en-US" w:eastAsia="zh-CN"/>
        </w:rPr>
        <w:t>生态</w:t>
      </w:r>
      <w:r>
        <w:rPr>
          <w:rFonts w:hint="eastAsia" w:eastAsiaTheme="minorEastAsia"/>
          <w:color w:val="auto"/>
          <w:sz w:val="24"/>
          <w:highlight w:val="none"/>
        </w:rPr>
        <w:t>环境管理作为企业管理重要组成部分，建立</w:t>
      </w:r>
      <w:r>
        <w:rPr>
          <w:rFonts w:hint="eastAsia" w:eastAsiaTheme="minorEastAsia"/>
          <w:color w:val="auto"/>
          <w:sz w:val="24"/>
          <w:highlight w:val="none"/>
          <w:lang w:val="en-US" w:eastAsia="zh-CN"/>
        </w:rPr>
        <w:t>生态</w:t>
      </w:r>
      <w:r>
        <w:rPr>
          <w:rFonts w:hint="eastAsia" w:eastAsiaTheme="minorEastAsia"/>
          <w:color w:val="auto"/>
          <w:sz w:val="24"/>
          <w:highlight w:val="none"/>
        </w:rPr>
        <w:t>环境质量管理系统，协调发展生产经营与</w:t>
      </w:r>
      <w:r>
        <w:rPr>
          <w:rFonts w:hint="eastAsia" w:eastAsiaTheme="minorEastAsia"/>
          <w:color w:val="auto"/>
          <w:sz w:val="24"/>
          <w:highlight w:val="none"/>
          <w:lang w:val="en-US" w:eastAsia="zh-CN"/>
        </w:rPr>
        <w:t>生态</w:t>
      </w:r>
      <w:r>
        <w:rPr>
          <w:rFonts w:hint="eastAsia" w:eastAsiaTheme="minorEastAsia"/>
          <w:color w:val="auto"/>
          <w:sz w:val="24"/>
          <w:highlight w:val="none"/>
        </w:rPr>
        <w:t>环境保护的关系而达到生产目标与</w:t>
      </w:r>
      <w:r>
        <w:rPr>
          <w:rFonts w:hint="eastAsia" w:eastAsiaTheme="minorEastAsia"/>
          <w:color w:val="auto"/>
          <w:sz w:val="24"/>
          <w:highlight w:val="none"/>
          <w:lang w:val="en-US" w:eastAsia="zh-CN"/>
        </w:rPr>
        <w:t>生态</w:t>
      </w:r>
      <w:r>
        <w:rPr>
          <w:rFonts w:hint="eastAsia" w:eastAsiaTheme="minorEastAsia"/>
          <w:color w:val="auto"/>
          <w:sz w:val="24"/>
          <w:highlight w:val="none"/>
        </w:rPr>
        <w:t>环境目标统一及经济效益与</w:t>
      </w:r>
      <w:r>
        <w:rPr>
          <w:rFonts w:hint="eastAsia" w:eastAsiaTheme="minorEastAsia"/>
          <w:color w:val="auto"/>
          <w:sz w:val="24"/>
          <w:highlight w:val="none"/>
          <w:lang w:val="en-US" w:eastAsia="zh-CN"/>
        </w:rPr>
        <w:t>生态</w:t>
      </w:r>
      <w:r>
        <w:rPr>
          <w:rFonts w:hint="eastAsia" w:eastAsiaTheme="minorEastAsia"/>
          <w:color w:val="auto"/>
          <w:sz w:val="24"/>
          <w:highlight w:val="none"/>
        </w:rPr>
        <w:t>环境效益统一。</w:t>
      </w:r>
    </w:p>
    <w:p w14:paraId="172F5EB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9.1.2</w:t>
      </w:r>
      <w:r>
        <w:rPr>
          <w:rFonts w:hint="eastAsia" w:asci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lang w:val="en-US" w:eastAsia="zh-CN"/>
        </w:rPr>
        <w:t>环境管理基本原则</w:t>
      </w:r>
    </w:p>
    <w:p w14:paraId="7BB64748">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项目</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环境管理遵循以下原则：</w:t>
      </w:r>
    </w:p>
    <w:p w14:paraId="211C33CF">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（1）正确处理生产经营与</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环境保护的关系，在生产经营中做好</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w:t>
      </w:r>
      <w:r>
        <w:rPr>
          <w:rFonts w:hint="eastAsia" w:eastAsiaTheme="minorEastAsia"/>
          <w:snapToGrid w:val="0"/>
          <w:color w:val="auto"/>
          <w:kern w:val="0"/>
          <w:sz w:val="24"/>
          <w:highlight w:val="none"/>
          <w:lang w:eastAsia="zh-CN"/>
        </w:rPr>
        <w:t>、</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环境教育等都是协调企业生产经营与</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环境保护的重要手段，在本企业</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环境管理工作中掌握和充分运用这些手段促使生产经营与</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环境保护协调发展。</w:t>
      </w:r>
    </w:p>
    <w:p w14:paraId="70E91A3D">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（2）正确处理</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环境管理与污染防治的关系，管治结合，以管促治，把</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环境管理放在企业</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环境保护工作首位。</w:t>
      </w:r>
    </w:p>
    <w:p w14:paraId="753F4294">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（3）专业</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环境管理与群众</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环境管理结合，企业</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环境管理与生产管理结合，产品质量控制与</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环境质量控制结合。</w:t>
      </w:r>
    </w:p>
    <w:p w14:paraId="717D94C4">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（4）企业</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环境管理渗透到整个生产经营活动中，贯彻在过程始终。</w:t>
      </w:r>
    </w:p>
    <w:p w14:paraId="7F77012D">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（5）坚持“谁污染，谁治理”原则，企业内部领导和职工都要对本企业污染与治理负责，收费、罚款、赔偿损失、行政处分等处罚都要落实，实行分片包干，各负其责。</w:t>
      </w:r>
    </w:p>
    <w:p w14:paraId="6995C61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9.1.3</w:t>
      </w:r>
      <w:r>
        <w:rPr>
          <w:rFonts w:hint="eastAsia" w:ascii="Times New Roman" w:cs="Times New Roman"/>
          <w:snapToGrid w:val="0"/>
          <w:color w:val="auto"/>
          <w:spacing w:val="0"/>
          <w:kern w:val="0"/>
          <w:szCs w:val="24"/>
          <w:highlight w:val="none"/>
          <w:lang w:val="en-US" w:eastAsia="zh-CN"/>
        </w:rPr>
        <w:t>生态</w:t>
      </w:r>
      <w:r>
        <w:rPr>
          <w:rFonts w:hint="eastAsia" w:ascii="Times New Roman" w:hAnsi="Times New Roman" w:cs="Times New Roman"/>
          <w:snapToGrid w:val="0"/>
          <w:color w:val="auto"/>
          <w:spacing w:val="0"/>
          <w:kern w:val="0"/>
          <w:szCs w:val="24"/>
          <w:highlight w:val="none"/>
          <w:lang w:val="en-US" w:eastAsia="zh-CN"/>
        </w:rPr>
        <w:t>环境管理机构</w:t>
      </w:r>
    </w:p>
    <w:p w14:paraId="49033574">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企业已设置安全环保部，本次建设后</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环境管理机构不发生变化，企业安全环保部负责本公司的安全及环保管理。企业现有</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w:t>
      </w:r>
      <w:r>
        <w:rPr>
          <w:rFonts w:hint="eastAsia" w:eastAsiaTheme="minorEastAsia"/>
          <w:snapToGrid w:val="0"/>
          <w:color w:val="auto"/>
          <w:kern w:val="0"/>
          <w:sz w:val="24"/>
          <w:highlight w:val="none"/>
          <w:lang w:eastAsia="zh-CN"/>
        </w:rPr>
        <w:t>管理制度</w:t>
      </w:r>
      <w:r>
        <w:rPr>
          <w:rFonts w:hint="eastAsia" w:eastAsiaTheme="minorEastAsia"/>
          <w:snapToGrid w:val="0"/>
          <w:color w:val="auto"/>
          <w:kern w:val="0"/>
          <w:sz w:val="24"/>
          <w:highlight w:val="none"/>
        </w:rPr>
        <w:t>见表9.1-1。从现有制度内容来看，范围较完整，内容较全面。</w:t>
      </w:r>
    </w:p>
    <w:p w14:paraId="6E735910">
      <w:pPr>
        <w:pStyle w:val="412"/>
        <w:tabs>
          <w:tab w:val="left" w:pos="0"/>
          <w:tab w:val="clear" w:pos="6840"/>
        </w:tabs>
        <w:topLinePunct w:val="0"/>
        <w:autoSpaceDE w:val="0"/>
        <w:autoSpaceDN w:val="0"/>
        <w:adjustRightInd w:val="0"/>
        <w:spacing w:before="120" w:beforeLines="50" w:line="240" w:lineRule="auto"/>
        <w:ind w:left="422" w:hanging="422"/>
        <w:textAlignment w:val="center"/>
        <w:rPr>
          <w:rFonts w:ascii="Times New Roman" w:hAnsi="Times New Roman" w:cs="Times New Roman"/>
          <w:color w:val="auto"/>
          <w:sz w:val="21"/>
          <w:szCs w:val="21"/>
          <w:highlight w:val="none"/>
          <w:lang w:val="zh-CN"/>
        </w:rPr>
      </w:pPr>
      <w:r>
        <w:rPr>
          <w:rFonts w:hint="eastAsia" w:ascii="Times New Roman" w:hAnsi="Times New Roman" w:cs="Times New Roman"/>
          <w:color w:val="auto"/>
          <w:sz w:val="21"/>
          <w:szCs w:val="21"/>
          <w:highlight w:val="none"/>
          <w:lang w:val="zh-CN"/>
        </w:rPr>
        <w:t>表</w:t>
      </w:r>
      <w:r>
        <w:rPr>
          <w:rFonts w:hint="eastAsia" w:ascii="Times New Roman" w:hAnsi="Times New Roman" w:cs="Times New Roman"/>
          <w:color w:val="auto"/>
          <w:sz w:val="21"/>
          <w:szCs w:val="21"/>
          <w:highlight w:val="none"/>
        </w:rPr>
        <w:t>9.1.1 企业</w:t>
      </w:r>
      <w:r>
        <w:rPr>
          <w:rFonts w:ascii="Times New Roman" w:hAnsi="Times New Roman" w:cs="Times New Roman"/>
          <w:color w:val="auto"/>
          <w:sz w:val="21"/>
          <w:szCs w:val="21"/>
          <w:highlight w:val="none"/>
          <w:lang w:val="zh-CN"/>
        </w:rPr>
        <w:t>现有</w:t>
      </w:r>
      <w:r>
        <w:rPr>
          <w:rFonts w:hint="eastAsia" w:ascii="Times New Roman" w:hAnsi="Times New Roman" w:cs="Times New Roman"/>
          <w:color w:val="auto"/>
          <w:sz w:val="21"/>
          <w:szCs w:val="21"/>
          <w:highlight w:val="none"/>
          <w:lang w:val="en-US" w:eastAsia="zh-CN"/>
        </w:rPr>
        <w:t>生态</w:t>
      </w:r>
      <w:r>
        <w:rPr>
          <w:rFonts w:ascii="Times New Roman" w:hAnsi="Times New Roman" w:cs="Times New Roman"/>
          <w:color w:val="auto"/>
          <w:sz w:val="21"/>
          <w:szCs w:val="21"/>
          <w:highlight w:val="none"/>
          <w:lang w:val="zh-CN"/>
        </w:rPr>
        <w:t>环境保护管理制度一览表</w:t>
      </w:r>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8"/>
        <w:gridCol w:w="4328"/>
      </w:tblGrid>
      <w:tr w14:paraId="2FC3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vAlign w:val="center"/>
          </w:tcPr>
          <w:p w14:paraId="6133E168">
            <w:pPr>
              <w:pStyle w:val="768"/>
              <w:adjustRightInd w:val="0"/>
              <w:snapToGrid w:val="0"/>
              <w:rPr>
                <w:rFonts w:cs="Times New Roman"/>
                <w:snapToGrid w:val="0"/>
                <w:color w:val="auto"/>
                <w:kern w:val="0"/>
                <w:szCs w:val="21"/>
                <w:highlight w:val="none"/>
              </w:rPr>
            </w:pPr>
            <w:r>
              <w:rPr>
                <w:rFonts w:cs="Times New Roman"/>
                <w:snapToGrid w:val="0"/>
                <w:color w:val="auto"/>
                <w:kern w:val="0"/>
                <w:szCs w:val="21"/>
                <w:highlight w:val="none"/>
              </w:rPr>
              <w:t>环境保护制度</w:t>
            </w:r>
          </w:p>
        </w:tc>
      </w:tr>
      <w:tr w14:paraId="1123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pct"/>
            <w:vAlign w:val="center"/>
          </w:tcPr>
          <w:p w14:paraId="22D8860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环保考核制度</w:t>
            </w:r>
          </w:p>
        </w:tc>
        <w:tc>
          <w:tcPr>
            <w:tcW w:w="2564" w:type="pct"/>
            <w:vAlign w:val="center"/>
          </w:tcPr>
          <w:p w14:paraId="02D7FD2D">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固体废物拉运制度</w:t>
            </w:r>
          </w:p>
        </w:tc>
      </w:tr>
      <w:tr w14:paraId="2690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pct"/>
            <w:vAlign w:val="center"/>
          </w:tcPr>
          <w:p w14:paraId="638BF7BA">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污染物排放制度</w:t>
            </w:r>
          </w:p>
        </w:tc>
        <w:tc>
          <w:tcPr>
            <w:tcW w:w="2564" w:type="pct"/>
            <w:vAlign w:val="center"/>
          </w:tcPr>
          <w:p w14:paraId="4D3A4427">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环保教育培训制度</w:t>
            </w:r>
          </w:p>
        </w:tc>
      </w:tr>
      <w:tr w14:paraId="746C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pct"/>
            <w:vAlign w:val="center"/>
          </w:tcPr>
          <w:p w14:paraId="2582B082">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环保措施培训制度</w:t>
            </w:r>
          </w:p>
        </w:tc>
        <w:tc>
          <w:tcPr>
            <w:tcW w:w="2564" w:type="pct"/>
            <w:vAlign w:val="center"/>
          </w:tcPr>
          <w:p w14:paraId="328D5D81">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季节性监测制度</w:t>
            </w:r>
          </w:p>
        </w:tc>
      </w:tr>
      <w:tr w14:paraId="2D33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pct"/>
            <w:vAlign w:val="center"/>
          </w:tcPr>
          <w:p w14:paraId="7A885AD0">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环保责任制度</w:t>
            </w:r>
          </w:p>
        </w:tc>
        <w:tc>
          <w:tcPr>
            <w:tcW w:w="2564" w:type="pct"/>
            <w:vAlign w:val="center"/>
          </w:tcPr>
          <w:p w14:paraId="07647068">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生产环保管理制度</w:t>
            </w:r>
          </w:p>
        </w:tc>
      </w:tr>
      <w:tr w14:paraId="6C3D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pct"/>
            <w:vAlign w:val="center"/>
          </w:tcPr>
          <w:p w14:paraId="6E85393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重污染天气应急预案</w:t>
            </w:r>
          </w:p>
        </w:tc>
        <w:tc>
          <w:tcPr>
            <w:tcW w:w="2564" w:type="pct"/>
            <w:vAlign w:val="center"/>
          </w:tcPr>
          <w:p w14:paraId="7C8C5CE4">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环保应急预案</w:t>
            </w:r>
          </w:p>
        </w:tc>
      </w:tr>
      <w:tr w14:paraId="154A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pct"/>
            <w:vAlign w:val="center"/>
          </w:tcPr>
          <w:p w14:paraId="5CA0631C">
            <w:pPr>
              <w:pStyle w:val="768"/>
              <w:adjustRightInd w:val="0"/>
              <w:snapToGrid w:val="0"/>
              <w:rPr>
                <w:rFonts w:cs="Times New Roman"/>
                <w:snapToGrid w:val="0"/>
                <w:color w:val="auto"/>
                <w:kern w:val="0"/>
                <w:szCs w:val="21"/>
                <w:highlight w:val="none"/>
              </w:rPr>
            </w:pPr>
            <w:r>
              <w:rPr>
                <w:rFonts w:hint="eastAsia" w:cs="Times New Roman"/>
                <w:snapToGrid w:val="0"/>
                <w:color w:val="auto"/>
                <w:kern w:val="0"/>
                <w:szCs w:val="21"/>
                <w:highlight w:val="none"/>
              </w:rPr>
              <w:t>环境因素辨识及评价制度</w:t>
            </w:r>
          </w:p>
        </w:tc>
        <w:tc>
          <w:tcPr>
            <w:tcW w:w="2564" w:type="pct"/>
            <w:vAlign w:val="center"/>
          </w:tcPr>
          <w:p w14:paraId="172CEABF">
            <w:pPr>
              <w:pStyle w:val="768"/>
              <w:adjustRightInd w:val="0"/>
              <w:snapToGrid w:val="0"/>
              <w:rPr>
                <w:rFonts w:cs="Times New Roman"/>
                <w:snapToGrid w:val="0"/>
                <w:color w:val="auto"/>
                <w:kern w:val="0"/>
                <w:szCs w:val="21"/>
                <w:highlight w:val="none"/>
              </w:rPr>
            </w:pPr>
          </w:p>
        </w:tc>
      </w:tr>
    </w:tbl>
    <w:p w14:paraId="13D89F9E">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在此基础上，评价提出企业现有</w:t>
      </w:r>
      <w:r>
        <w:rPr>
          <w:rFonts w:hint="eastAsia" w:eastAsiaTheme="minorEastAsia"/>
          <w:color w:val="auto"/>
          <w:sz w:val="24"/>
          <w:highlight w:val="none"/>
          <w:lang w:val="en-US" w:eastAsia="zh-CN"/>
        </w:rPr>
        <w:t>生态</w:t>
      </w:r>
      <w:r>
        <w:rPr>
          <w:rFonts w:hint="eastAsia" w:eastAsiaTheme="minorEastAsia"/>
          <w:color w:val="auto"/>
          <w:sz w:val="24"/>
          <w:highlight w:val="none"/>
        </w:rPr>
        <w:t>环境管理机构应履行以下职责：</w:t>
      </w:r>
    </w:p>
    <w:p w14:paraId="2A988D9C">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①贯彻执行国家和自治区现行各项环保方针、政策、法律法规和标准，认真执行当地生态环境部门下达各项任务；</w:t>
      </w:r>
    </w:p>
    <w:p w14:paraId="71C500D7">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②组织编制本企业环境保护计划，建立本企业各项</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环境保护规章制度，并经常进行监督检查；</w:t>
      </w:r>
    </w:p>
    <w:p w14:paraId="73BEB612">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③参与本企业环保设施设计论证，监督环保设施安装调试，落实“三同时”措施；</w:t>
      </w:r>
    </w:p>
    <w:p w14:paraId="48BA6C1E">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④定期对本企业各污染源进行检查，请有资质的专业环境监测单位对本企业污染源的排放情况进行监测，了解各污染源动态，建立健全污染源档案，并做好环境统计工作，及时发现和掌握企业污染变化情况，从而制定相应处理措施；</w:t>
      </w:r>
    </w:p>
    <w:p w14:paraId="4AF93EF3">
      <w:pPr>
        <w:spacing w:line="360" w:lineRule="auto"/>
        <w:ind w:firstLine="480" w:firstLineChars="200"/>
        <w:rPr>
          <w:rFonts w:eastAsiaTheme="minorEastAsia"/>
          <w:color w:val="auto"/>
          <w:sz w:val="24"/>
          <w:highlight w:val="none"/>
        </w:rPr>
      </w:pPr>
      <w:r>
        <w:rPr>
          <w:rFonts w:hint="eastAsia" w:eastAsiaTheme="minorEastAsia"/>
          <w:snapToGrid w:val="0"/>
          <w:color w:val="auto"/>
          <w:kern w:val="0"/>
          <w:sz w:val="24"/>
          <w:highlight w:val="none"/>
        </w:rPr>
        <w:t>⑤加强对污染治理设施的管理、检查及维护，确保污染治理设施正常</w:t>
      </w:r>
      <w:r>
        <w:rPr>
          <w:rFonts w:hint="eastAsia" w:eastAsiaTheme="minorEastAsia"/>
          <w:color w:val="auto"/>
          <w:sz w:val="24"/>
          <w:highlight w:val="none"/>
        </w:rPr>
        <w:t>运行，并将污染治理设施治理效率按照生产指标一样进行考核，防止污染事故发生；</w:t>
      </w:r>
    </w:p>
    <w:p w14:paraId="78CBCCF5">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⑥学习并推广应用先进环保技术和经验，推行清洁生产，组织污染治理设施操作人员进行岗前专业技术培训；</w:t>
      </w:r>
    </w:p>
    <w:p w14:paraId="723FE79B">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⑦加强对职工进行环保法律法规的宣传、教育和学习，增强职工环保意识。</w:t>
      </w:r>
    </w:p>
    <w:p w14:paraId="3B22C54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9.1.4</w:t>
      </w:r>
      <w:r>
        <w:rPr>
          <w:rFonts w:hint="eastAsia" w:eastAsiaTheme="minorEastAsia"/>
          <w:snapToGrid w:val="0"/>
          <w:color w:val="auto"/>
          <w:kern w:val="0"/>
          <w:sz w:val="24"/>
          <w:highlight w:val="none"/>
          <w:lang w:val="en-US" w:eastAsia="zh-CN"/>
        </w:rPr>
        <w:t>生态</w:t>
      </w:r>
      <w:r>
        <w:rPr>
          <w:rFonts w:hint="eastAsia" w:ascii="Times New Roman" w:hAnsi="Times New Roman" w:cs="Times New Roman"/>
          <w:snapToGrid w:val="0"/>
          <w:color w:val="auto"/>
          <w:spacing w:val="0"/>
          <w:kern w:val="0"/>
          <w:szCs w:val="24"/>
          <w:highlight w:val="none"/>
          <w:lang w:val="en-US" w:eastAsia="zh-CN"/>
        </w:rPr>
        <w:t>环境管理规章制度</w:t>
      </w:r>
    </w:p>
    <w:p w14:paraId="3F1B3385">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（1）严格执行“三同时”制度</w:t>
      </w:r>
    </w:p>
    <w:p w14:paraId="34972ADD">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根据《建设项目环境保护管理条例》，建设项目需要配套建设的</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环境保护设施，必须与主体工程同时设计、同时施工、同时投产使用。项目竣工后，建设单位应当按照国务院生态环境行政主管部门规定的标准和程序，对配套建设的</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环境保护设施进行验收，编制验收报告。建设单位在</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环境保护设施验收过程中，应当如实查验、监测、记载建设项目</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环境保护设施的建设和调试情况，不得弄虚作假，验收报告应依法向社会公开。本项目配套建设的</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环境保护设施经验收合格，方可投入生产或者使用。</w:t>
      </w:r>
    </w:p>
    <w:p w14:paraId="74F88B51">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（2）排污许可制度</w:t>
      </w:r>
    </w:p>
    <w:p w14:paraId="5CEAE918">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建设单位应当在项目投入生产或使用并产生实际排污行为之前重新申请领取排污许可证。依法按照排污许可证申请与核发技术规范提交排污许可申请，申报排放污染物种类、排放浓度等，测算并申报污染物排放量。建设单位应当严格执行排污许可证的规定，禁止无证排污或不按证排污。</w:t>
      </w:r>
    </w:p>
    <w:p w14:paraId="0C6AB329">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（3）环保台账制度</w:t>
      </w:r>
    </w:p>
    <w:p w14:paraId="66CD6E16">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场内需完善记录制度和档案保存制度，有利于</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管理质量、追踪和持续改进；记录和台账包括设施运行和维护记录、废水、废气污染物监测台账，所有化学品使用台账、突发性事件的处理、调查记录等，妥善保存所有记录、台账及污染物排放监测资料、环境管理档案资料等。</w:t>
      </w:r>
    </w:p>
    <w:p w14:paraId="637C78DA">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（4）污染治理设施的管理制度</w:t>
      </w:r>
    </w:p>
    <w:p w14:paraId="7BFA25A3">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项目建成后，必须确保污染治理设施长期、稳定、有效地运行，不得擅自拆除或者闲置污染处理设施，不得故意不正常使用污染治理设施。污染治理设施的管理必须与生产经营活动一起纳入单位日常管理工作的范畴，落实责任人、操作人员、维修人员、运行经费、设备的备品备件、化学药品和其他原辅材料，同时要建立岗位责任制、操作规程和管理台账。企业应制定并逐步完善对各类生产和消防安全事故的环保处置预案、建设环保应急处置设施。报当地</w:t>
      </w:r>
      <w:r>
        <w:rPr>
          <w:rFonts w:hint="eastAsia" w:eastAsiaTheme="minorEastAsia"/>
          <w:color w:val="auto"/>
          <w:sz w:val="24"/>
          <w:highlight w:val="none"/>
          <w:lang w:val="en-US" w:eastAsia="zh-CN"/>
        </w:rPr>
        <w:t>生态环境局</w:t>
      </w:r>
      <w:r>
        <w:rPr>
          <w:rFonts w:hint="eastAsia" w:eastAsiaTheme="minorEastAsia"/>
          <w:color w:val="auto"/>
          <w:sz w:val="24"/>
          <w:highlight w:val="none"/>
        </w:rPr>
        <w:t>备案，并定期组织演练。</w:t>
      </w:r>
    </w:p>
    <w:p w14:paraId="0D288E99">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（5）报告制度</w:t>
      </w:r>
    </w:p>
    <w:p w14:paraId="572647CD">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要定期向当地生态环境管理部门报告污染治理设施运行情况，污染物排放情况以及污染事故、污染纠纷等情况。厂内</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环境保护相关所有记录、台账及污染物排放监测资料、</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环境管理档案资料应妥善保存并定期上报，发现污染因子超标，要在监测数据出来以后以书面形式上报公司管理层，快速采取果断应对措施。</w:t>
      </w:r>
    </w:p>
    <w:p w14:paraId="6C9C85A7">
      <w:pPr>
        <w:spacing w:line="360" w:lineRule="auto"/>
        <w:ind w:firstLine="480" w:firstLineChars="200"/>
        <w:rPr>
          <w:rFonts w:eastAsiaTheme="minorEastAsia"/>
          <w:snapToGrid w:val="0"/>
          <w:color w:val="auto"/>
          <w:kern w:val="0"/>
          <w:sz w:val="24"/>
          <w:highlight w:val="none"/>
        </w:rPr>
      </w:pPr>
      <w:r>
        <w:rPr>
          <w:rFonts w:hint="eastAsia" w:eastAsiaTheme="minorEastAsia"/>
          <w:snapToGrid w:val="0"/>
          <w:color w:val="auto"/>
          <w:kern w:val="0"/>
          <w:sz w:val="24"/>
          <w:highlight w:val="none"/>
        </w:rPr>
        <w:t>建设单位应定期向属地生态环境管理部门报告污染治理设施运行情况、污染物排放情况以及污染事故、污染纠纷等情况，便于政府部门及时了解污染动态，以利于采取相应的对策措施。本项目的性质、规模、地点、生产工艺和</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环境保护措施等发生变动的，必须向生态环境管理部门报告，并履行相关手续，如发生重大变动并且可能导致</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环境影响显著变化（特别是不利</w:t>
      </w:r>
      <w:r>
        <w:rPr>
          <w:rFonts w:hint="eastAsia" w:eastAsiaTheme="minorEastAsia"/>
          <w:snapToGrid w:val="0"/>
          <w:color w:val="auto"/>
          <w:kern w:val="0"/>
          <w:sz w:val="24"/>
          <w:highlight w:val="none"/>
          <w:lang w:val="en-US" w:eastAsia="zh-CN"/>
        </w:rPr>
        <w:t>生态</w:t>
      </w:r>
      <w:r>
        <w:rPr>
          <w:rFonts w:hint="eastAsia" w:eastAsiaTheme="minorEastAsia"/>
          <w:snapToGrid w:val="0"/>
          <w:color w:val="auto"/>
          <w:kern w:val="0"/>
          <w:sz w:val="24"/>
          <w:highlight w:val="none"/>
        </w:rPr>
        <w:t>环境影响加重）的，应当重新报批环评。</w:t>
      </w:r>
    </w:p>
    <w:p w14:paraId="515DACC8">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（6）环保奖惩条例</w:t>
      </w:r>
    </w:p>
    <w:p w14:paraId="606382B2">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企业应加强宣传教育，增强员工的污染隐患意识和环境风险意识；制定员工参与环保技术培训的计划，提高员工技术素质水平；设立岗位职责制，制定严格的奖、罚制度。建议企业设置</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环境保护奖励条例，纳入人员考核体系。</w:t>
      </w:r>
    </w:p>
    <w:p w14:paraId="11F19F52">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（7）与通过相关计量认可认证的环境监测机构签订监测合同，定期开展监测，并将监测结果通过网络平台上传及公示。</w:t>
      </w:r>
    </w:p>
    <w:p w14:paraId="376697B0">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（8）信息公开制度</w:t>
      </w:r>
    </w:p>
    <w:p w14:paraId="44B172CC">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建设单位在环评编制、审批、排污许可证申请、竣工环保验收、正常运行等各阶段均应按照有关要求，通过网站或者其他便于公众知悉的方式，依法向社会公开项目污染物排放清单，明确污染物排放的管理要求。包括工程组成及原辅材料组分要求，建设项目拟采取的</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环境保护措施及主要运行参数，排放的污染物种类、排放浓度和总量指标，排污口信息，执行的环境标准，</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环境风险防范措施以及</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环境监测等内容。</w:t>
      </w:r>
    </w:p>
    <w:p w14:paraId="6670421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9.1.5生态环境管理计划</w:t>
      </w:r>
    </w:p>
    <w:p w14:paraId="6DD26C61">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本项目</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环境管理计划见表9.1-2。</w:t>
      </w:r>
    </w:p>
    <w:p w14:paraId="2B95A71B">
      <w:pPr>
        <w:pStyle w:val="412"/>
        <w:tabs>
          <w:tab w:val="left" w:pos="0"/>
          <w:tab w:val="clear" w:pos="6840"/>
        </w:tabs>
        <w:topLinePunct w:val="0"/>
        <w:autoSpaceDE w:val="0"/>
        <w:autoSpaceDN w:val="0"/>
        <w:adjustRightInd w:val="0"/>
        <w:spacing w:before="120" w:beforeLines="50" w:line="240" w:lineRule="auto"/>
        <w:ind w:left="422" w:hanging="422"/>
        <w:textAlignment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 xml:space="preserve">9.1-2 </w:t>
      </w:r>
      <w:r>
        <w:rPr>
          <w:rFonts w:hint="eastAsia" w:ascii="Times New Roman" w:hAnsi="Times New Roman" w:cs="Times New Roman"/>
          <w:color w:val="auto"/>
          <w:sz w:val="21"/>
          <w:szCs w:val="21"/>
          <w:highlight w:val="none"/>
          <w:lang w:val="en-US" w:eastAsia="zh-CN"/>
        </w:rPr>
        <w:t>生态</w:t>
      </w:r>
      <w:r>
        <w:rPr>
          <w:rFonts w:hint="eastAsia" w:ascii="Times New Roman" w:hAnsi="Times New Roman" w:cs="Times New Roman"/>
          <w:color w:val="auto"/>
          <w:sz w:val="21"/>
          <w:szCs w:val="21"/>
          <w:highlight w:val="none"/>
        </w:rPr>
        <w:t>环境管理计划</w:t>
      </w:r>
    </w:p>
    <w:tbl>
      <w:tblPr>
        <w:tblStyle w:val="57"/>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6237"/>
        <w:gridCol w:w="815"/>
      </w:tblGrid>
      <w:tr w14:paraId="52A7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shd w:val="clear" w:color="auto" w:fill="auto"/>
            <w:vAlign w:val="center"/>
          </w:tcPr>
          <w:p w14:paraId="601B9581">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时期</w:t>
            </w:r>
          </w:p>
        </w:tc>
        <w:tc>
          <w:tcPr>
            <w:tcW w:w="6237" w:type="dxa"/>
            <w:shd w:val="clear" w:color="auto" w:fill="auto"/>
            <w:vAlign w:val="center"/>
          </w:tcPr>
          <w:p w14:paraId="34662BFC">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管理要求</w:t>
            </w:r>
          </w:p>
        </w:tc>
        <w:tc>
          <w:tcPr>
            <w:tcW w:w="815" w:type="dxa"/>
            <w:shd w:val="clear" w:color="auto" w:fill="auto"/>
            <w:vAlign w:val="center"/>
          </w:tcPr>
          <w:p w14:paraId="75D87E8E">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实施机构</w:t>
            </w:r>
          </w:p>
        </w:tc>
      </w:tr>
      <w:tr w14:paraId="22C7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shd w:val="clear" w:color="auto" w:fill="auto"/>
            <w:vAlign w:val="center"/>
          </w:tcPr>
          <w:p w14:paraId="6DC1BE2E">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施工期</w:t>
            </w:r>
          </w:p>
        </w:tc>
        <w:tc>
          <w:tcPr>
            <w:tcW w:w="6237" w:type="dxa"/>
            <w:shd w:val="clear" w:color="auto" w:fill="auto"/>
            <w:vAlign w:val="center"/>
          </w:tcPr>
          <w:p w14:paraId="592241C6">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1</w:t>
            </w:r>
            <w:r>
              <w:rPr>
                <w:rFonts w:hint="eastAsia" w:ascii="Times New Roman" w:hAnsi="Times New Roman" w:eastAsia="Times New Roman" w:cs="Times New Roman"/>
                <w:color w:val="auto"/>
                <w:kern w:val="0"/>
                <w:sz w:val="21"/>
                <w:szCs w:val="21"/>
                <w:highlight w:val="none"/>
              </w:rPr>
              <w:t>、环保设施严格按设计要求，环保工程与总体工程同步施工；</w:t>
            </w:r>
          </w:p>
          <w:p w14:paraId="15F3C755">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2</w:t>
            </w:r>
            <w:r>
              <w:rPr>
                <w:rFonts w:hint="eastAsia" w:ascii="Times New Roman" w:hAnsi="Times New Roman" w:eastAsia="Times New Roman" w:cs="Times New Roman"/>
                <w:color w:val="auto"/>
                <w:kern w:val="0"/>
                <w:sz w:val="21"/>
                <w:szCs w:val="21"/>
                <w:highlight w:val="none"/>
              </w:rPr>
              <w:t>、</w:t>
            </w:r>
            <w:r>
              <w:rPr>
                <w:rFonts w:hint="eastAsia" w:ascii="Times New Roman" w:hAnsi="Times New Roman" w:eastAsia="Times New Roman" w:cs="Times New Roman"/>
                <w:color w:val="auto"/>
                <w:kern w:val="0"/>
                <w:sz w:val="21"/>
                <w:szCs w:val="21"/>
                <w:highlight w:val="none"/>
                <w:lang w:val="en-US" w:eastAsia="zh-CN"/>
              </w:rPr>
              <w:t>生态</w:t>
            </w:r>
            <w:r>
              <w:rPr>
                <w:rFonts w:hint="eastAsia" w:ascii="Times New Roman" w:hAnsi="Times New Roman" w:eastAsia="Times New Roman" w:cs="Times New Roman"/>
                <w:color w:val="auto"/>
                <w:kern w:val="0"/>
                <w:sz w:val="21"/>
                <w:szCs w:val="21"/>
                <w:highlight w:val="none"/>
              </w:rPr>
              <w:t>环境管理机构对施工期环境保护工作全面负责，履行施工期各阶段环境管理职责；</w:t>
            </w:r>
          </w:p>
          <w:p w14:paraId="0BE70AC5">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3</w:t>
            </w:r>
            <w:r>
              <w:rPr>
                <w:rFonts w:hint="eastAsia" w:ascii="Times New Roman" w:hAnsi="Times New Roman" w:eastAsia="Times New Roman" w:cs="Times New Roman"/>
                <w:color w:val="auto"/>
                <w:kern w:val="0"/>
                <w:sz w:val="21"/>
                <w:szCs w:val="21"/>
                <w:highlight w:val="none"/>
              </w:rPr>
              <w:t>、对施工队伍实行职责管理，要求施工队伍按要求文明施工，并做好监督、检查和教育工作；</w:t>
            </w:r>
          </w:p>
          <w:p w14:paraId="0520B181">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4</w:t>
            </w:r>
            <w:r>
              <w:rPr>
                <w:rFonts w:hint="eastAsia" w:ascii="Times New Roman" w:hAnsi="Times New Roman" w:eastAsia="Times New Roman" w:cs="Times New Roman"/>
                <w:color w:val="auto"/>
                <w:kern w:val="0"/>
                <w:sz w:val="21"/>
                <w:szCs w:val="21"/>
                <w:highlight w:val="none"/>
              </w:rPr>
              <w:t>、按照生态环境主管部门的要求和本报告书中有关</w:t>
            </w:r>
            <w:r>
              <w:rPr>
                <w:rFonts w:hint="eastAsia" w:ascii="Times New Roman" w:hAnsi="Times New Roman" w:eastAsia="Times New Roman" w:cs="Times New Roman"/>
                <w:color w:val="auto"/>
                <w:kern w:val="0"/>
                <w:sz w:val="21"/>
                <w:szCs w:val="21"/>
                <w:highlight w:val="none"/>
                <w:lang w:val="en-US" w:eastAsia="zh-CN"/>
              </w:rPr>
              <w:t>生态</w:t>
            </w:r>
            <w:r>
              <w:rPr>
                <w:rFonts w:hint="eastAsia" w:ascii="Times New Roman" w:hAnsi="Times New Roman" w:eastAsia="Times New Roman" w:cs="Times New Roman"/>
                <w:color w:val="auto"/>
                <w:kern w:val="0"/>
                <w:sz w:val="21"/>
                <w:szCs w:val="21"/>
                <w:highlight w:val="none"/>
              </w:rPr>
              <w:t>环境保护对策措施对施工程序和场地布置实施统一安排；</w:t>
            </w:r>
          </w:p>
          <w:p w14:paraId="21F32ADF">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5</w:t>
            </w:r>
            <w:r>
              <w:rPr>
                <w:rFonts w:hint="eastAsia" w:ascii="Times New Roman" w:hAnsi="Times New Roman" w:eastAsia="Times New Roman" w:cs="Times New Roman"/>
                <w:color w:val="auto"/>
                <w:kern w:val="0"/>
                <w:sz w:val="21"/>
                <w:szCs w:val="21"/>
                <w:highlight w:val="none"/>
              </w:rPr>
              <w:t>、土建工程需要土石方的挖掘与运输、管道挖沟、施工建材机械等占地，对产生的扬尘应及时洒水，土石方回填，避免二次扬尘；</w:t>
            </w:r>
          </w:p>
          <w:p w14:paraId="3192DA7F">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6</w:t>
            </w:r>
            <w:r>
              <w:rPr>
                <w:rFonts w:hint="eastAsia" w:ascii="Times New Roman" w:hAnsi="Times New Roman" w:eastAsia="Times New Roman" w:cs="Times New Roman"/>
                <w:color w:val="auto"/>
                <w:kern w:val="0"/>
                <w:sz w:val="21"/>
                <w:szCs w:val="21"/>
                <w:highlight w:val="none"/>
              </w:rPr>
              <w:t>、合理布置施工场内的机械和设备，合理安排施工时间；</w:t>
            </w:r>
          </w:p>
          <w:p w14:paraId="35EA2DE3">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7</w:t>
            </w:r>
            <w:r>
              <w:rPr>
                <w:rFonts w:hint="eastAsia" w:ascii="Times New Roman" w:hAnsi="Times New Roman" w:eastAsia="Times New Roman" w:cs="Times New Roman"/>
                <w:color w:val="auto"/>
                <w:kern w:val="0"/>
                <w:sz w:val="21"/>
                <w:szCs w:val="21"/>
                <w:highlight w:val="none"/>
              </w:rPr>
              <w:t>、项目防渗工程施工时需留有影像资料备查，且项目防渗工程单独出具施工监理报告。</w:t>
            </w:r>
          </w:p>
        </w:tc>
        <w:tc>
          <w:tcPr>
            <w:tcW w:w="815" w:type="dxa"/>
            <w:shd w:val="clear" w:color="auto" w:fill="auto"/>
            <w:vAlign w:val="center"/>
          </w:tcPr>
          <w:p w14:paraId="34A535A5">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建设单位</w:t>
            </w:r>
          </w:p>
        </w:tc>
      </w:tr>
      <w:tr w14:paraId="670B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shd w:val="clear" w:color="auto" w:fill="auto"/>
            <w:vAlign w:val="center"/>
          </w:tcPr>
          <w:p w14:paraId="2A322A1B">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运营期</w:t>
            </w:r>
          </w:p>
        </w:tc>
        <w:tc>
          <w:tcPr>
            <w:tcW w:w="6237" w:type="dxa"/>
            <w:shd w:val="clear" w:color="auto" w:fill="auto"/>
            <w:vAlign w:val="center"/>
          </w:tcPr>
          <w:p w14:paraId="1A4DEBDD">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1</w:t>
            </w:r>
            <w:r>
              <w:rPr>
                <w:rFonts w:hint="eastAsia" w:ascii="Times New Roman" w:hAnsi="Times New Roman" w:eastAsia="Times New Roman" w:cs="Times New Roman"/>
                <w:color w:val="auto"/>
                <w:kern w:val="0"/>
                <w:sz w:val="21"/>
                <w:szCs w:val="21"/>
                <w:highlight w:val="none"/>
              </w:rPr>
              <w:t>、项目建设单位设置环保专职人员对各环保设施进行环保设备的正常运行管理、维护及维修；</w:t>
            </w:r>
          </w:p>
          <w:p w14:paraId="7EC967B8">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2</w:t>
            </w:r>
            <w:r>
              <w:rPr>
                <w:rFonts w:hint="eastAsia" w:ascii="Times New Roman" w:hAnsi="Times New Roman" w:eastAsia="Times New Roman" w:cs="Times New Roman"/>
                <w:color w:val="auto"/>
                <w:kern w:val="0"/>
                <w:sz w:val="21"/>
                <w:szCs w:val="21"/>
                <w:highlight w:val="none"/>
              </w:rPr>
              <w:t>、根据国家环保政策、标准及环境监测要求，制定该项目运行期</w:t>
            </w:r>
            <w:r>
              <w:rPr>
                <w:rFonts w:hint="eastAsia" w:ascii="Times New Roman" w:hAnsi="Times New Roman" w:eastAsia="Times New Roman" w:cs="Times New Roman"/>
                <w:color w:val="auto"/>
                <w:kern w:val="0"/>
                <w:sz w:val="21"/>
                <w:szCs w:val="21"/>
                <w:highlight w:val="none"/>
                <w:lang w:val="en-US" w:eastAsia="zh-CN"/>
              </w:rPr>
              <w:t>生态</w:t>
            </w:r>
            <w:r>
              <w:rPr>
                <w:rFonts w:hint="eastAsia" w:ascii="Times New Roman" w:hAnsi="Times New Roman" w:eastAsia="Times New Roman" w:cs="Times New Roman"/>
                <w:color w:val="auto"/>
                <w:kern w:val="0"/>
                <w:sz w:val="21"/>
                <w:szCs w:val="21"/>
                <w:highlight w:val="none"/>
              </w:rPr>
              <w:t>环境管理规章制度、各种污染物排放指标；</w:t>
            </w:r>
          </w:p>
          <w:p w14:paraId="24733C54">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ascii="Times New Roman" w:hAnsi="Times New Roman" w:eastAsia="Times New Roman" w:cs="Times New Roman"/>
                <w:color w:val="auto"/>
                <w:kern w:val="0"/>
                <w:sz w:val="21"/>
                <w:szCs w:val="21"/>
                <w:highlight w:val="none"/>
              </w:rPr>
              <w:t>3</w:t>
            </w:r>
            <w:r>
              <w:rPr>
                <w:rFonts w:hint="eastAsia" w:ascii="Times New Roman" w:hAnsi="Times New Roman" w:eastAsia="Times New Roman" w:cs="Times New Roman"/>
                <w:color w:val="auto"/>
                <w:kern w:val="0"/>
                <w:sz w:val="21"/>
                <w:szCs w:val="21"/>
                <w:highlight w:val="none"/>
              </w:rPr>
              <w:t>、对厂区内的公建设施给水管网、生产设备进行定期维护和检修，确保设施的正常运行及管网畅通；</w:t>
            </w:r>
          </w:p>
          <w:p w14:paraId="1DCDB799">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4、原料危险废物及运行产生的危险废物设置专人负责，并制定相关管理制度及考核要求；</w:t>
            </w:r>
          </w:p>
          <w:p w14:paraId="1E140B2A">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5、生活垃圾的收集管理应由专人负责，交由环卫部门运走，妥善处置；</w:t>
            </w:r>
          </w:p>
          <w:p w14:paraId="435E7FA1">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6、绿化能改善区域小气候和起到降噪除异味的作用，对厂区内的绿地必须有专人管理、养护；</w:t>
            </w:r>
          </w:p>
          <w:p w14:paraId="439CCC18">
            <w:pPr>
              <w:pStyle w:val="242"/>
              <w:adjustRightInd w:val="0"/>
              <w:snapToGrid w:val="0"/>
              <w:spacing w:line="240" w:lineRule="auto"/>
              <w:ind w:firstLine="0" w:firstLineChars="0"/>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7、建设单位每年向其划拨环保设施运行维护费用，企业效益较好，可保障其环保设施运行维护经费。</w:t>
            </w:r>
          </w:p>
        </w:tc>
        <w:tc>
          <w:tcPr>
            <w:tcW w:w="815" w:type="dxa"/>
            <w:shd w:val="clear" w:color="auto" w:fill="auto"/>
            <w:vAlign w:val="center"/>
          </w:tcPr>
          <w:p w14:paraId="165BCEFD">
            <w:pPr>
              <w:pStyle w:val="242"/>
              <w:adjustRightInd w:val="0"/>
              <w:snapToGrid w:val="0"/>
              <w:spacing w:line="240" w:lineRule="auto"/>
              <w:ind w:firstLine="0" w:firstLineChars="0"/>
              <w:jc w:val="center"/>
              <w:rPr>
                <w:rFonts w:ascii="Times New Roman" w:hAnsi="Times New Roman" w:eastAsia="Times New Roman" w:cs="Times New Roman"/>
                <w:color w:val="auto"/>
                <w:kern w:val="0"/>
                <w:sz w:val="21"/>
                <w:szCs w:val="21"/>
                <w:highlight w:val="none"/>
              </w:rPr>
            </w:pPr>
            <w:r>
              <w:rPr>
                <w:rFonts w:hint="eastAsia" w:ascii="Times New Roman" w:hAnsi="Times New Roman" w:eastAsia="Times New Roman" w:cs="Times New Roman"/>
                <w:color w:val="auto"/>
                <w:kern w:val="0"/>
                <w:sz w:val="21"/>
                <w:szCs w:val="21"/>
                <w:highlight w:val="none"/>
              </w:rPr>
              <w:t>建设单位</w:t>
            </w:r>
          </w:p>
        </w:tc>
      </w:tr>
    </w:tbl>
    <w:p w14:paraId="45F6CEB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9.1.6生态环境管理措施</w:t>
      </w:r>
    </w:p>
    <w:p w14:paraId="07DE10E9">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为使</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环境管理工作科学化、规范化、合理化，确保各项环保措施落实到位，在管理方面采取以下措施：</w:t>
      </w:r>
    </w:p>
    <w:p w14:paraId="48390514">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（1）强化对环保设施运行监督管理职能，建立完善的环保设施运行、维护、维修等技术档案，加强对环保设施操作人员技术培训，确保环保设施处于正常的运行情况，污染物排放连续达标。</w:t>
      </w:r>
    </w:p>
    <w:p w14:paraId="425471CD">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（2）加强</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环境监测数据统计工作，建立完善的污染源及物料流失档案，确保污染物排放指标达到设计要求。</w:t>
      </w:r>
    </w:p>
    <w:p w14:paraId="037D1947">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（3）制订</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环境保护岗位目标责任制，将</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环境管理纳入生产管理体系，将</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环境评估与经济效益评估相结合，建立严格奖惩机制。</w:t>
      </w:r>
    </w:p>
    <w:p w14:paraId="22A48213">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（4）加强对职工进行环保法律法规的宣传、教育和学习，进行岗位培训，使职工意识到</w:t>
      </w:r>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rPr>
        <w:t>环境保护的重要意义，包括与企业生产、生存和发展的关系，企业应具有危机感和责任感，把环保工作落到实处，落实到每一位职工。</w:t>
      </w:r>
    </w:p>
    <w:p w14:paraId="18682E92">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19" w:name="_Toc309715440"/>
      <w:bookmarkStart w:id="220" w:name="_Toc454899410"/>
      <w:bookmarkStart w:id="221" w:name="_Toc21934"/>
      <w:bookmarkStart w:id="222" w:name="_Toc24798"/>
      <w:r>
        <w:rPr>
          <w:rFonts w:hint="eastAsia" w:ascii="Times New Roman" w:hAnsi="Times New Roman" w:cs="Times New Roman"/>
          <w:b w:val="0"/>
          <w:bCs w:val="0"/>
          <w:snapToGrid w:val="0"/>
          <w:color w:val="auto"/>
          <w:kern w:val="0"/>
          <w:sz w:val="28"/>
          <w:szCs w:val="28"/>
          <w:highlight w:val="none"/>
          <w:lang w:val="en-US" w:eastAsia="zh-CN"/>
        </w:rPr>
        <w:t>9.2 生态环境</w:t>
      </w:r>
      <w:bookmarkEnd w:id="219"/>
      <w:bookmarkEnd w:id="220"/>
      <w:r>
        <w:rPr>
          <w:rFonts w:hint="eastAsia" w:ascii="Times New Roman" w:hAnsi="Times New Roman" w:cs="Times New Roman"/>
          <w:b w:val="0"/>
          <w:bCs w:val="0"/>
          <w:snapToGrid w:val="0"/>
          <w:color w:val="auto"/>
          <w:kern w:val="0"/>
          <w:sz w:val="28"/>
          <w:szCs w:val="28"/>
          <w:highlight w:val="none"/>
          <w:lang w:val="en-US" w:eastAsia="zh-CN"/>
        </w:rPr>
        <w:t>监测</w:t>
      </w:r>
      <w:bookmarkEnd w:id="221"/>
      <w:bookmarkEnd w:id="222"/>
    </w:p>
    <w:p w14:paraId="4D09E4F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bookmarkStart w:id="223" w:name="_Toc309715441"/>
      <w:r>
        <w:rPr>
          <w:rFonts w:hint="eastAsia" w:ascii="Times New Roman" w:hAnsi="Times New Roman" w:cs="Times New Roman"/>
          <w:snapToGrid w:val="0"/>
          <w:color w:val="auto"/>
          <w:spacing w:val="0"/>
          <w:kern w:val="0"/>
          <w:szCs w:val="24"/>
          <w:highlight w:val="none"/>
          <w:lang w:val="en-US" w:eastAsia="zh-CN"/>
        </w:rPr>
        <w:t>9.2.1</w:t>
      </w:r>
      <w:bookmarkEnd w:id="223"/>
      <w:r>
        <w:rPr>
          <w:rFonts w:hint="eastAsia" w:ascii="Times New Roman" w:hAnsi="Times New Roman" w:cs="Times New Roman"/>
          <w:snapToGrid w:val="0"/>
          <w:color w:val="auto"/>
          <w:spacing w:val="0"/>
          <w:kern w:val="0"/>
          <w:szCs w:val="24"/>
          <w:highlight w:val="none"/>
          <w:lang w:val="en-US" w:eastAsia="zh-CN"/>
        </w:rPr>
        <w:t>生态环境监测目的</w:t>
      </w:r>
    </w:p>
    <w:p w14:paraId="66B4A5C4">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通过对工程运行中环保设施进行监控，掌握废气、废水、噪声等污染源排放是否符合国家或地方排放标准的要求，做到达标排放，同时对废气、废水、固体废物及噪声防治设施进行监督检查，保证正常运行。</w:t>
      </w:r>
    </w:p>
    <w:p w14:paraId="4E8B1654">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9.2.2生态监测计划</w:t>
      </w:r>
    </w:p>
    <w:p w14:paraId="3A73A448">
      <w:pPr>
        <w:spacing w:line="360" w:lineRule="auto"/>
        <w:ind w:firstLine="480" w:firstLineChars="200"/>
        <w:rPr>
          <w:rFonts w:eastAsiaTheme="minorEastAsia"/>
          <w:color w:val="auto"/>
          <w:sz w:val="24"/>
          <w:highlight w:val="none"/>
          <w:lang w:val="zh-CN"/>
        </w:rPr>
      </w:pPr>
      <w:bookmarkStart w:id="224" w:name="_Toc309715442"/>
      <w:r>
        <w:rPr>
          <w:rFonts w:hint="eastAsia" w:eastAsiaTheme="minorEastAsia"/>
          <w:snapToGrid w:val="0"/>
          <w:color w:val="auto"/>
          <w:kern w:val="0"/>
          <w:sz w:val="24"/>
          <w:highlight w:val="none"/>
          <w:lang w:val="en-US" w:eastAsia="zh-CN"/>
        </w:rPr>
        <w:t>生态</w:t>
      </w:r>
      <w:r>
        <w:rPr>
          <w:rFonts w:hint="eastAsia" w:eastAsiaTheme="minorEastAsia"/>
          <w:color w:val="auto"/>
          <w:sz w:val="24"/>
          <w:highlight w:val="none"/>
          <w:lang w:val="zh-CN"/>
        </w:rPr>
        <w:t>环境管理部门监督性监测由</w:t>
      </w:r>
      <w:r>
        <w:rPr>
          <w:rFonts w:hint="eastAsia" w:eastAsiaTheme="minorEastAsia"/>
          <w:color w:val="auto"/>
          <w:sz w:val="24"/>
          <w:highlight w:val="none"/>
        </w:rPr>
        <w:t>乌苏市</w:t>
      </w:r>
      <w:r>
        <w:rPr>
          <w:rFonts w:hint="eastAsia" w:eastAsiaTheme="minorEastAsia"/>
          <w:color w:val="auto"/>
          <w:sz w:val="24"/>
          <w:highlight w:val="none"/>
          <w:lang w:val="zh-CN"/>
        </w:rPr>
        <w:t>环境监测站组织实施。项目建成投产验收时的污染监测和正常运营期间的定期污染监测工作可委托相应的有资质的监测单位或部门定期进行监测。</w:t>
      </w:r>
    </w:p>
    <w:p w14:paraId="112EC6A9">
      <w:pPr>
        <w:spacing w:line="360" w:lineRule="auto"/>
        <w:ind w:firstLine="480" w:firstLineChars="200"/>
        <w:rPr>
          <w:rFonts w:hint="eastAsia" w:eastAsiaTheme="minorEastAsia"/>
          <w:color w:val="auto"/>
          <w:sz w:val="24"/>
          <w:highlight w:val="none"/>
          <w:lang w:val="zh-CN"/>
        </w:rPr>
        <w:sectPr>
          <w:footerReference r:id="rId15" w:type="default"/>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eastAsiaTheme="minorEastAsia"/>
          <w:color w:val="auto"/>
          <w:sz w:val="24"/>
          <w:highlight w:val="none"/>
        </w:rPr>
        <w:t>参照</w:t>
      </w:r>
      <w:r>
        <w:rPr>
          <w:rFonts w:hint="eastAsia" w:eastAsiaTheme="minorEastAsia"/>
          <w:color w:val="auto"/>
          <w:sz w:val="24"/>
          <w:highlight w:val="none"/>
          <w:lang w:val="zh-CN"/>
        </w:rPr>
        <w:t>《排污单位自行监测技术指南</w:t>
      </w:r>
      <w:r>
        <w:rPr>
          <w:rFonts w:hint="eastAsia" w:eastAsiaTheme="minorEastAsia"/>
          <w:color w:val="auto"/>
          <w:sz w:val="24"/>
          <w:highlight w:val="none"/>
          <w:lang w:val="en-US" w:eastAsia="zh-CN"/>
        </w:rPr>
        <w:t xml:space="preserve"> </w:t>
      </w:r>
      <w:r>
        <w:rPr>
          <w:rFonts w:hint="eastAsia" w:eastAsiaTheme="minorEastAsia"/>
          <w:color w:val="auto"/>
          <w:sz w:val="24"/>
          <w:highlight w:val="none"/>
          <w:lang w:val="zh-CN"/>
        </w:rPr>
        <w:t>总则》（HJ</w:t>
      </w:r>
      <w:r>
        <w:rPr>
          <w:rFonts w:hint="eastAsia" w:eastAsiaTheme="minorEastAsia"/>
          <w:color w:val="auto"/>
          <w:sz w:val="24"/>
          <w:highlight w:val="none"/>
        </w:rPr>
        <w:t xml:space="preserve"> </w:t>
      </w:r>
      <w:r>
        <w:rPr>
          <w:rFonts w:hint="eastAsia" w:eastAsiaTheme="minorEastAsia"/>
          <w:color w:val="auto"/>
          <w:sz w:val="24"/>
          <w:highlight w:val="none"/>
          <w:lang w:val="zh-CN"/>
        </w:rPr>
        <w:t>819-2017）、《排污</w:t>
      </w:r>
      <w:r>
        <w:rPr>
          <w:rFonts w:hint="eastAsia" w:eastAsiaTheme="minorEastAsia"/>
          <w:color w:val="auto"/>
          <w:sz w:val="24"/>
          <w:highlight w:val="none"/>
        </w:rPr>
        <w:t>单位自行监测技术指南</w:t>
      </w:r>
      <w:r>
        <w:rPr>
          <w:rFonts w:hint="eastAsia" w:eastAsiaTheme="minorEastAsia"/>
          <w:color w:val="auto"/>
          <w:sz w:val="24"/>
          <w:highlight w:val="none"/>
          <w:lang w:val="en-US" w:eastAsia="zh-CN"/>
        </w:rPr>
        <w:t xml:space="preserve"> </w:t>
      </w:r>
      <w:r>
        <w:rPr>
          <w:rFonts w:hint="eastAsia" w:eastAsiaTheme="minorEastAsia"/>
          <w:color w:val="auto"/>
          <w:sz w:val="24"/>
          <w:highlight w:val="none"/>
        </w:rPr>
        <w:t>发酵类制药工业</w:t>
      </w:r>
      <w:r>
        <w:rPr>
          <w:rFonts w:hint="eastAsia" w:eastAsiaTheme="minorEastAsia"/>
          <w:color w:val="auto"/>
          <w:sz w:val="24"/>
          <w:highlight w:val="none"/>
          <w:lang w:val="zh-CN"/>
        </w:rPr>
        <w:t>》（HJ</w:t>
      </w:r>
      <w:r>
        <w:rPr>
          <w:rFonts w:hint="eastAsia" w:eastAsiaTheme="minorEastAsia"/>
          <w:color w:val="auto"/>
          <w:sz w:val="24"/>
          <w:highlight w:val="none"/>
        </w:rPr>
        <w:t xml:space="preserve"> 822</w:t>
      </w:r>
      <w:r>
        <w:rPr>
          <w:rFonts w:hint="eastAsia" w:eastAsiaTheme="minorEastAsia"/>
          <w:color w:val="auto"/>
          <w:sz w:val="24"/>
          <w:highlight w:val="none"/>
          <w:lang w:val="zh-CN"/>
        </w:rPr>
        <w:t>-</w:t>
      </w:r>
      <w:r>
        <w:rPr>
          <w:rFonts w:hint="eastAsia" w:eastAsiaTheme="minorEastAsia"/>
          <w:color w:val="auto"/>
          <w:sz w:val="24"/>
          <w:highlight w:val="none"/>
        </w:rPr>
        <w:t>2017</w:t>
      </w:r>
      <w:r>
        <w:rPr>
          <w:rFonts w:hint="eastAsia" w:eastAsiaTheme="minorEastAsia"/>
          <w:color w:val="auto"/>
          <w:sz w:val="24"/>
          <w:highlight w:val="none"/>
          <w:lang w:val="zh-CN"/>
        </w:rPr>
        <w:t>）</w:t>
      </w:r>
      <w:r>
        <w:rPr>
          <w:rFonts w:ascii="Times New Roman" w:hAnsi="Times New Roman"/>
          <w:color w:val="auto"/>
          <w:kern w:val="2"/>
          <w:sz w:val="24"/>
          <w:szCs w:val="24"/>
          <w:highlight w:val="none"/>
          <w:lang w:val="zh-CN"/>
        </w:rPr>
        <w:t>、《排污</w:t>
      </w:r>
      <w:r>
        <w:rPr>
          <w:rFonts w:hint="eastAsia" w:ascii="Times New Roman" w:hAnsi="Times New Roman"/>
          <w:color w:val="auto"/>
          <w:kern w:val="2"/>
          <w:sz w:val="24"/>
          <w:szCs w:val="24"/>
          <w:highlight w:val="none"/>
        </w:rPr>
        <w:t xml:space="preserve">单位自行监测技术指南 </w:t>
      </w:r>
      <w:r>
        <w:rPr>
          <w:rFonts w:hint="eastAsia" w:ascii="Times New Roman" w:hAnsi="Times New Roman"/>
          <w:color w:val="auto"/>
          <w:kern w:val="2"/>
          <w:sz w:val="24"/>
          <w:szCs w:val="24"/>
          <w:highlight w:val="none"/>
          <w:lang w:val="en-US" w:eastAsia="zh-CN"/>
        </w:rPr>
        <w:t>石油化学工业</w:t>
      </w:r>
      <w:r>
        <w:rPr>
          <w:rFonts w:ascii="Times New Roman" w:hAnsi="Times New Roman"/>
          <w:color w:val="auto"/>
          <w:kern w:val="2"/>
          <w:sz w:val="24"/>
          <w:szCs w:val="24"/>
          <w:highlight w:val="none"/>
          <w:lang w:val="zh-CN"/>
        </w:rPr>
        <w:t>》（HJ</w:t>
      </w:r>
      <w:r>
        <w:rPr>
          <w:rFonts w:hint="eastAsia"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lang w:val="en-US" w:eastAsia="zh-CN"/>
        </w:rPr>
        <w:t>947-2018</w:t>
      </w:r>
      <w:r>
        <w:rPr>
          <w:rFonts w:ascii="Times New Roman" w:hAnsi="Times New Roman"/>
          <w:color w:val="auto"/>
          <w:kern w:val="2"/>
          <w:sz w:val="24"/>
          <w:szCs w:val="24"/>
          <w:highlight w:val="none"/>
          <w:lang w:val="zh-CN"/>
        </w:rPr>
        <w:t>）</w:t>
      </w:r>
      <w:r>
        <w:rPr>
          <w:rFonts w:hint="eastAsia" w:eastAsiaTheme="minorEastAsia"/>
          <w:color w:val="auto"/>
          <w:sz w:val="24"/>
          <w:highlight w:val="none"/>
          <w:lang w:val="zh-CN"/>
        </w:rPr>
        <w:t>、《工业企业土壤和地下水自行监测技术指南（试行）》（HJ</w:t>
      </w:r>
      <w:r>
        <w:rPr>
          <w:rFonts w:hint="eastAsia" w:eastAsiaTheme="minorEastAsia"/>
          <w:color w:val="auto"/>
          <w:sz w:val="24"/>
          <w:highlight w:val="none"/>
        </w:rPr>
        <w:t xml:space="preserve"> </w:t>
      </w:r>
      <w:r>
        <w:rPr>
          <w:rFonts w:hint="eastAsia" w:eastAsiaTheme="minorEastAsia"/>
          <w:color w:val="auto"/>
          <w:sz w:val="24"/>
          <w:highlight w:val="none"/>
          <w:lang w:val="zh-CN"/>
        </w:rPr>
        <w:t>1209-2021）等规范要求和建设项目生产工艺特点，营运期污染源自行监测工作内容见</w:t>
      </w:r>
      <w:r>
        <w:rPr>
          <w:rFonts w:hint="eastAsia" w:eastAsiaTheme="minorEastAsia"/>
          <w:color w:val="auto"/>
          <w:sz w:val="24"/>
          <w:highlight w:val="none"/>
        </w:rPr>
        <w:t>表9.2-1</w:t>
      </w:r>
      <w:r>
        <w:rPr>
          <w:rFonts w:hint="eastAsia" w:eastAsiaTheme="minorEastAsia"/>
          <w:color w:val="auto"/>
          <w:sz w:val="24"/>
          <w:highlight w:val="none"/>
          <w:lang w:val="zh-CN"/>
        </w:rPr>
        <w:t>。</w:t>
      </w:r>
    </w:p>
    <w:p w14:paraId="2E7F5058">
      <w:pPr>
        <w:pStyle w:val="412"/>
        <w:keepNext w:val="0"/>
        <w:keepLines w:val="0"/>
        <w:pageBreakBefore w:val="0"/>
        <w:widowControl w:val="0"/>
        <w:tabs>
          <w:tab w:val="left" w:pos="0"/>
          <w:tab w:val="clear" w:pos="6840"/>
        </w:tabs>
        <w:kinsoku/>
        <w:wordWrap/>
        <w:overflowPunct/>
        <w:topLinePunct w:val="0"/>
        <w:autoSpaceDE w:val="0"/>
        <w:autoSpaceDN w:val="0"/>
        <w:bidi w:val="0"/>
        <w:adjustRightInd w:val="0"/>
        <w:snapToGrid w:val="0"/>
        <w:spacing w:line="240" w:lineRule="auto"/>
        <w:ind w:left="0" w:hanging="422"/>
        <w:textAlignment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表9.2-1</w:t>
      </w:r>
      <w:r>
        <w:rPr>
          <w:rFonts w:ascii="Times New Roman" w:hAnsi="Times New Roman" w:cs="Times New Roman"/>
          <w:color w:val="auto"/>
          <w:sz w:val="21"/>
          <w:szCs w:val="21"/>
          <w:highlight w:val="none"/>
        </w:rPr>
        <w:t xml:space="preserve"> 污染源自行监测计划一览表</w:t>
      </w:r>
    </w:p>
    <w:tbl>
      <w:tblPr>
        <w:tblStyle w:val="777"/>
        <w:tblW w:w="13968"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254"/>
        <w:gridCol w:w="1113"/>
        <w:gridCol w:w="2955"/>
        <w:gridCol w:w="1733"/>
        <w:gridCol w:w="322"/>
        <w:gridCol w:w="3115"/>
        <w:gridCol w:w="967"/>
        <w:gridCol w:w="1113"/>
        <w:gridCol w:w="2396"/>
      </w:tblGrid>
      <w:tr w14:paraId="4935668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4A2ED95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编号</w:t>
            </w:r>
          </w:p>
        </w:tc>
        <w:tc>
          <w:tcPr>
            <w:tcW w:w="0" w:type="auto"/>
            <w:tcBorders>
              <w:top w:val="single" w:color="auto" w:sz="4" w:space="0"/>
              <w:left w:val="single" w:color="auto" w:sz="4" w:space="0"/>
              <w:bottom w:val="single" w:color="auto" w:sz="4" w:space="0"/>
              <w:right w:val="single" w:color="auto" w:sz="4" w:space="0"/>
            </w:tcBorders>
            <w:vAlign w:val="center"/>
          </w:tcPr>
          <w:p w14:paraId="76F7F18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名称</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0E2C936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监测指标</w:t>
            </w:r>
          </w:p>
        </w:tc>
        <w:tc>
          <w:tcPr>
            <w:tcW w:w="0" w:type="auto"/>
            <w:tcBorders>
              <w:top w:val="single" w:color="auto" w:sz="4" w:space="0"/>
              <w:left w:val="single" w:color="auto" w:sz="4" w:space="0"/>
              <w:bottom w:val="single" w:color="auto" w:sz="4" w:space="0"/>
              <w:right w:val="single" w:color="auto" w:sz="4" w:space="0"/>
            </w:tcBorders>
            <w:vAlign w:val="center"/>
          </w:tcPr>
          <w:p w14:paraId="43E5EB9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监测频次</w:t>
            </w:r>
          </w:p>
        </w:tc>
        <w:tc>
          <w:tcPr>
            <w:tcW w:w="0" w:type="auto"/>
            <w:tcBorders>
              <w:top w:val="single" w:color="auto" w:sz="4" w:space="0"/>
              <w:left w:val="single" w:color="auto" w:sz="4" w:space="0"/>
              <w:bottom w:val="single" w:color="auto" w:sz="4" w:space="0"/>
              <w:right w:val="single" w:color="auto" w:sz="4" w:space="0"/>
            </w:tcBorders>
            <w:vAlign w:val="center"/>
          </w:tcPr>
          <w:p w14:paraId="2203DF3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执行标准</w:t>
            </w:r>
          </w:p>
        </w:tc>
        <w:tc>
          <w:tcPr>
            <w:tcW w:w="0" w:type="auto"/>
            <w:tcBorders>
              <w:top w:val="single" w:color="auto" w:sz="4" w:space="0"/>
              <w:left w:val="single" w:color="auto" w:sz="4" w:space="0"/>
              <w:bottom w:val="single" w:color="auto" w:sz="4" w:space="0"/>
              <w:right w:val="single" w:color="auto" w:sz="4" w:space="0"/>
            </w:tcBorders>
            <w:vAlign w:val="center"/>
          </w:tcPr>
          <w:p w14:paraId="1B8BA38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监测指南</w:t>
            </w:r>
          </w:p>
        </w:tc>
        <w:tc>
          <w:tcPr>
            <w:tcW w:w="0" w:type="auto"/>
            <w:tcBorders>
              <w:top w:val="single" w:color="auto" w:sz="4" w:space="0"/>
              <w:left w:val="single" w:color="auto" w:sz="4" w:space="0"/>
              <w:bottom w:val="single" w:color="auto" w:sz="4" w:space="0"/>
              <w:right w:val="single" w:color="auto" w:sz="4" w:space="0"/>
            </w:tcBorders>
            <w:vAlign w:val="center"/>
          </w:tcPr>
          <w:p w14:paraId="4993A88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布点</w:t>
            </w:r>
          </w:p>
        </w:tc>
        <w:tc>
          <w:tcPr>
            <w:tcW w:w="0" w:type="auto"/>
            <w:tcBorders>
              <w:top w:val="single" w:color="auto" w:sz="4" w:space="0"/>
              <w:left w:val="single" w:color="auto" w:sz="4" w:space="0"/>
              <w:bottom w:val="single" w:color="auto" w:sz="4" w:space="0"/>
              <w:right w:val="single" w:color="auto" w:sz="4" w:space="0"/>
            </w:tcBorders>
            <w:vAlign w:val="center"/>
          </w:tcPr>
          <w:p w14:paraId="5702B02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监测方法与技术</w:t>
            </w:r>
          </w:p>
        </w:tc>
      </w:tr>
      <w:tr w14:paraId="1D41C340">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0C1A71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有组织废气</w:t>
            </w:r>
          </w:p>
        </w:tc>
      </w:tr>
      <w:tr w14:paraId="16A7759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single" w:color="auto" w:sz="4" w:space="0"/>
              <w:left w:val="single" w:color="auto" w:sz="4" w:space="0"/>
              <w:right w:val="single" w:color="auto" w:sz="4" w:space="0"/>
            </w:tcBorders>
            <w:vAlign w:val="center"/>
          </w:tcPr>
          <w:p w14:paraId="6DCDDE4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1</w:t>
            </w:r>
          </w:p>
        </w:tc>
        <w:tc>
          <w:tcPr>
            <w:tcW w:w="0" w:type="auto"/>
            <w:vMerge w:val="restart"/>
            <w:tcBorders>
              <w:top w:val="single" w:color="auto" w:sz="4" w:space="0"/>
              <w:left w:val="single" w:color="auto" w:sz="4" w:space="0"/>
              <w:right w:val="single" w:color="auto" w:sz="4" w:space="0"/>
            </w:tcBorders>
            <w:vAlign w:val="center"/>
          </w:tcPr>
          <w:p w14:paraId="75D2708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发酵废气</w:t>
            </w:r>
          </w:p>
        </w:tc>
        <w:tc>
          <w:tcPr>
            <w:tcW w:w="0" w:type="auto"/>
            <w:vMerge w:val="restart"/>
            <w:tcBorders>
              <w:top w:val="single" w:color="auto" w:sz="4" w:space="0"/>
              <w:left w:val="single" w:color="auto" w:sz="4" w:space="0"/>
              <w:right w:val="single" w:color="auto" w:sz="4" w:space="0"/>
            </w:tcBorders>
            <w:vAlign w:val="center"/>
          </w:tcPr>
          <w:p w14:paraId="36F59ED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DA055-DA056</w:t>
            </w:r>
          </w:p>
        </w:tc>
        <w:tc>
          <w:tcPr>
            <w:tcW w:w="0" w:type="auto"/>
            <w:tcBorders>
              <w:left w:val="single" w:color="auto" w:sz="4" w:space="0"/>
              <w:bottom w:val="single" w:color="auto" w:sz="4" w:space="0"/>
              <w:right w:val="single" w:color="auto" w:sz="4" w:space="0"/>
            </w:tcBorders>
            <w:vAlign w:val="center"/>
          </w:tcPr>
          <w:p w14:paraId="51A5476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颗粒物</w:t>
            </w:r>
          </w:p>
        </w:tc>
        <w:tc>
          <w:tcPr>
            <w:tcW w:w="0" w:type="auto"/>
            <w:tcBorders>
              <w:top w:val="single" w:color="auto" w:sz="4" w:space="0"/>
              <w:left w:val="single" w:color="auto" w:sz="4" w:space="0"/>
              <w:bottom w:val="single" w:color="auto" w:sz="4" w:space="0"/>
              <w:right w:val="single" w:color="auto" w:sz="4" w:space="0"/>
            </w:tcBorders>
            <w:vAlign w:val="center"/>
          </w:tcPr>
          <w:p w14:paraId="3763A2C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restart"/>
            <w:tcBorders>
              <w:left w:val="single" w:color="auto" w:sz="4" w:space="0"/>
              <w:right w:val="single" w:color="auto" w:sz="4" w:space="0"/>
            </w:tcBorders>
            <w:shd w:val="clear" w:color="auto" w:fill="auto"/>
            <w:vAlign w:val="center"/>
          </w:tcPr>
          <w:p w14:paraId="4ECB3716">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《制药工业大气污染物排放标准》（GB37823-2019）表2</w:t>
            </w:r>
          </w:p>
        </w:tc>
        <w:tc>
          <w:tcPr>
            <w:tcW w:w="0" w:type="auto"/>
            <w:vMerge w:val="restart"/>
            <w:tcBorders>
              <w:left w:val="single" w:color="auto" w:sz="4" w:space="0"/>
              <w:right w:val="single" w:color="auto" w:sz="4" w:space="0"/>
            </w:tcBorders>
            <w:vAlign w:val="center"/>
          </w:tcPr>
          <w:p w14:paraId="22F22E3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lang w:val="zh-CN"/>
              </w:rPr>
              <w:t>HJ</w:t>
            </w:r>
            <w:r>
              <w:rPr>
                <w:rFonts w:hint="eastAsia" w:ascii="Times New Roman" w:hAnsi="Times New Roman" w:eastAsia="宋体" w:cs="Times New Roman"/>
                <w:snapToGrid w:val="0"/>
                <w:color w:val="auto"/>
                <w:kern w:val="0"/>
                <w:sz w:val="21"/>
                <w:szCs w:val="21"/>
                <w:highlight w:val="none"/>
              </w:rPr>
              <w:t xml:space="preserve"> 882-2017</w:t>
            </w:r>
          </w:p>
        </w:tc>
        <w:tc>
          <w:tcPr>
            <w:tcW w:w="0" w:type="auto"/>
            <w:vMerge w:val="restart"/>
            <w:tcBorders>
              <w:left w:val="single" w:color="auto" w:sz="4" w:space="0"/>
              <w:right w:val="single" w:color="auto" w:sz="4" w:space="0"/>
            </w:tcBorders>
            <w:vAlign w:val="center"/>
          </w:tcPr>
          <w:p w14:paraId="4E8E24A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发酵废气排口</w:t>
            </w:r>
          </w:p>
        </w:tc>
        <w:tc>
          <w:tcPr>
            <w:tcW w:w="0" w:type="auto"/>
            <w:tcBorders>
              <w:left w:val="single" w:color="auto" w:sz="4" w:space="0"/>
              <w:right w:val="single" w:color="auto" w:sz="4" w:space="0"/>
            </w:tcBorders>
            <w:vAlign w:val="center"/>
          </w:tcPr>
          <w:p w14:paraId="4B0C6A7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固定污染源废气 低浓度颗粒物的测定</w:t>
            </w:r>
          </w:p>
          <w:p w14:paraId="224D8CF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重量法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zh-CN"/>
              </w:rPr>
              <w:t>HJ 836-2017</w:t>
            </w:r>
          </w:p>
        </w:tc>
      </w:tr>
      <w:tr w14:paraId="56B4FB7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73678A9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3E3E39B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4D5E0EC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414DF48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w:t>
            </w:r>
            <w:r>
              <w:rPr>
                <w:rFonts w:ascii="Times New Roman" w:hAnsi="Times New Roman" w:eastAsia="宋体" w:cs="Times New Roman"/>
                <w:snapToGrid w:val="0"/>
                <w:color w:val="auto"/>
                <w:kern w:val="0"/>
                <w:sz w:val="21"/>
                <w:szCs w:val="21"/>
                <w:highlight w:val="none"/>
              </w:rPr>
              <w:t>MHC</w:t>
            </w:r>
          </w:p>
        </w:tc>
        <w:tc>
          <w:tcPr>
            <w:tcW w:w="0" w:type="auto"/>
            <w:tcBorders>
              <w:top w:val="single" w:color="auto" w:sz="4" w:space="0"/>
              <w:left w:val="single" w:color="auto" w:sz="4" w:space="0"/>
              <w:bottom w:val="single" w:color="auto" w:sz="4" w:space="0"/>
              <w:right w:val="single" w:color="auto" w:sz="4" w:space="0"/>
            </w:tcBorders>
            <w:vAlign w:val="center"/>
          </w:tcPr>
          <w:p w14:paraId="33CA4EB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continue"/>
            <w:tcBorders>
              <w:left w:val="single" w:color="auto" w:sz="4" w:space="0"/>
              <w:bottom w:val="single" w:color="auto" w:sz="4" w:space="0"/>
              <w:right w:val="single" w:color="auto" w:sz="4" w:space="0"/>
            </w:tcBorders>
            <w:vAlign w:val="center"/>
          </w:tcPr>
          <w:p w14:paraId="3D054FC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733C5D8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7B8085E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1EF09C2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固定污染源废气总烃、甲烷和非甲烷总烃的测定</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气相色谱法HJ38-2017</w:t>
            </w:r>
          </w:p>
        </w:tc>
      </w:tr>
      <w:tr w14:paraId="2B6C47B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01D9EEA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419ED26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699180E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0285946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w:t>
            </w:r>
            <w:r>
              <w:rPr>
                <w:rFonts w:ascii="Times New Roman" w:hAnsi="Times New Roman" w:eastAsia="宋体" w:cs="Times New Roman"/>
                <w:snapToGrid w:val="0"/>
                <w:color w:val="auto"/>
                <w:kern w:val="0"/>
                <w:sz w:val="21"/>
                <w:szCs w:val="21"/>
                <w:highlight w:val="none"/>
              </w:rPr>
              <w:t>H</w:t>
            </w:r>
            <w:r>
              <w:rPr>
                <w:rFonts w:ascii="Times New Roman" w:hAnsi="Times New Roman" w:eastAsia="宋体" w:cs="Times New Roman"/>
                <w:snapToGrid w:val="0"/>
                <w:color w:val="auto"/>
                <w:kern w:val="0"/>
                <w:sz w:val="21"/>
                <w:szCs w:val="21"/>
                <w:highlight w:val="none"/>
                <w:vertAlign w:val="subscript"/>
              </w:rPr>
              <w:t>3</w:t>
            </w:r>
          </w:p>
        </w:tc>
        <w:tc>
          <w:tcPr>
            <w:tcW w:w="0" w:type="auto"/>
            <w:tcBorders>
              <w:top w:val="single" w:color="auto" w:sz="4" w:space="0"/>
              <w:left w:val="single" w:color="auto" w:sz="4" w:space="0"/>
              <w:bottom w:val="single" w:color="auto" w:sz="4" w:space="0"/>
              <w:right w:val="single" w:color="auto" w:sz="4" w:space="0"/>
            </w:tcBorders>
            <w:vAlign w:val="center"/>
          </w:tcPr>
          <w:p w14:paraId="214A92D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年</w:t>
            </w:r>
          </w:p>
        </w:tc>
        <w:tc>
          <w:tcPr>
            <w:tcW w:w="0" w:type="auto"/>
            <w:vMerge w:val="restart"/>
            <w:tcBorders>
              <w:left w:val="single" w:color="auto" w:sz="4" w:space="0"/>
              <w:right w:val="single" w:color="auto" w:sz="4" w:space="0"/>
            </w:tcBorders>
            <w:shd w:val="clear" w:color="auto" w:fill="auto"/>
            <w:vAlign w:val="center"/>
          </w:tcPr>
          <w:p w14:paraId="127A295A">
            <w:pPr>
              <w:pStyle w:val="740"/>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《恶臭污染物排放标准》（‌GB14554-93）表2</w:t>
            </w:r>
          </w:p>
        </w:tc>
        <w:tc>
          <w:tcPr>
            <w:tcW w:w="0" w:type="auto"/>
            <w:vMerge w:val="continue"/>
            <w:tcBorders>
              <w:left w:val="single" w:color="auto" w:sz="4" w:space="0"/>
              <w:right w:val="single" w:color="auto" w:sz="4" w:space="0"/>
            </w:tcBorders>
            <w:vAlign w:val="center"/>
          </w:tcPr>
          <w:p w14:paraId="4E8EBB0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046678D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4E70DD5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环境空气和废气</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氨的测定</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纳氏试剂分光光度法HJ 533-2009</w:t>
            </w:r>
          </w:p>
        </w:tc>
      </w:tr>
      <w:tr w14:paraId="77C375B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3C81BC9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30EB664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108C5F6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60BEC5D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w:t>
            </w:r>
            <w:r>
              <w:rPr>
                <w:rFonts w:ascii="Times New Roman" w:hAnsi="Times New Roman" w:eastAsia="宋体" w:cs="Times New Roman"/>
                <w:snapToGrid w:val="0"/>
                <w:color w:val="auto"/>
                <w:kern w:val="0"/>
                <w:sz w:val="21"/>
                <w:szCs w:val="21"/>
                <w:highlight w:val="none"/>
                <w:vertAlign w:val="subscript"/>
              </w:rPr>
              <w:t>2</w:t>
            </w:r>
            <w:r>
              <w:rPr>
                <w:rFonts w:ascii="Times New Roman" w:hAnsi="Times New Roman" w:eastAsia="宋体" w:cs="Times New Roman"/>
                <w:snapToGrid w:val="0"/>
                <w:color w:val="auto"/>
                <w:kern w:val="0"/>
                <w:sz w:val="21"/>
                <w:szCs w:val="21"/>
                <w:highlight w:val="none"/>
              </w:rPr>
              <w:t>S</w:t>
            </w:r>
          </w:p>
        </w:tc>
        <w:tc>
          <w:tcPr>
            <w:tcW w:w="0" w:type="auto"/>
            <w:tcBorders>
              <w:top w:val="single" w:color="auto" w:sz="4" w:space="0"/>
              <w:left w:val="single" w:color="auto" w:sz="4" w:space="0"/>
              <w:bottom w:val="single" w:color="auto" w:sz="4" w:space="0"/>
              <w:right w:val="single" w:color="auto" w:sz="4" w:space="0"/>
            </w:tcBorders>
            <w:vAlign w:val="center"/>
          </w:tcPr>
          <w:p w14:paraId="113C004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年</w:t>
            </w:r>
          </w:p>
        </w:tc>
        <w:tc>
          <w:tcPr>
            <w:tcW w:w="0" w:type="auto"/>
            <w:vMerge w:val="continue"/>
            <w:tcBorders>
              <w:left w:val="single" w:color="auto" w:sz="4" w:space="0"/>
              <w:right w:val="single" w:color="auto" w:sz="4" w:space="0"/>
            </w:tcBorders>
            <w:vAlign w:val="center"/>
          </w:tcPr>
          <w:p w14:paraId="4055C20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088723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6CD3D25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68349A9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fldChar w:fldCharType="begin"/>
            </w:r>
            <w:r>
              <w:rPr>
                <w:rFonts w:hint="default" w:ascii="Times New Roman" w:hAnsi="Times New Roman" w:eastAsia="宋体" w:cs="Times New Roman"/>
                <w:snapToGrid w:val="0"/>
                <w:color w:val="auto"/>
                <w:kern w:val="0"/>
                <w:sz w:val="21"/>
                <w:szCs w:val="21"/>
                <w:highlight w:val="none"/>
              </w:rPr>
              <w:instrText xml:space="preserve"> HYPERLINK "https://www.baidu.com/s?rsv_idx=1&amp;tn=15007414_5_dg&amp;wd=%E3%80%8A%E5%9B%BA%E5%AE%9A%E6%B1%A1%E6%9F%93%E6%BA%90%E5%BA%9F%E6%B0%94 %E7%A1%AB%E5%8C%96%E6%B0%A2%E7%9A%84%E6%B5%8B%E5%AE%9A %E4%BA%9A%E7%94%B2%E5%9F%BA%E8%93%9D%E5%88%86%E5%85%89%E5%85%89%E5%BA%A6%E6%B3%95%E3%80%8B&amp;fenlei=256&amp;usm=4&amp;ie=utf-8&amp;rsv_pq=d99340f1001918bb&amp;oq=%E6%9C%89%E7%BB%84%E7%BB%87%E5%BA%9F%E6%B0%94%E7%A1%AB%E5%8C%96%E6%B0%A2%E7%9A%84%E7%9B%91%E6%B5%8B%E6%96%B9%E6%B3%95&amp;rsv_t=5d3d+d5tiaBk2hIOukyXilFPTOjPtkVR1ZxuGlue2AaDqsufB5QWxO4qLLcQZXZvYQicDw&amp;rsv_dl=re_dqa_generate&amp;sa=re_dqa_generate" \t "https://www.baidu.com/_blank" </w:instrText>
            </w:r>
            <w:r>
              <w:rPr>
                <w:rFonts w:hint="default" w:ascii="Times New Roman" w:hAnsi="Times New Roman" w:eastAsia="宋体" w:cs="Times New Roman"/>
                <w:snapToGrid w:val="0"/>
                <w:color w:val="auto"/>
                <w:kern w:val="0"/>
                <w:sz w:val="21"/>
                <w:szCs w:val="21"/>
                <w:highlight w:val="none"/>
              </w:rPr>
              <w:fldChar w:fldCharType="separate"/>
            </w:r>
            <w:r>
              <w:rPr>
                <w:rFonts w:hint="default" w:ascii="Times New Roman" w:hAnsi="Times New Roman" w:eastAsia="宋体" w:cs="Times New Roman"/>
                <w:snapToGrid w:val="0"/>
                <w:color w:val="auto"/>
                <w:kern w:val="0"/>
                <w:sz w:val="21"/>
                <w:szCs w:val="21"/>
                <w:highlight w:val="none"/>
              </w:rPr>
              <w:t>固定污染源废气 硫化氢的测定 亚甲基蓝分光光度法</w:t>
            </w:r>
            <w:r>
              <w:rPr>
                <w:rFonts w:hint="eastAsia" w:cs="Times New Roman"/>
                <w:snapToGrid w:val="0"/>
                <w:color w:val="auto"/>
                <w:kern w:val="0"/>
                <w:sz w:val="21"/>
                <w:szCs w:val="21"/>
                <w:highlight w:val="none"/>
                <w:lang w:val="en-US" w:eastAsia="zh-CN"/>
              </w:rPr>
              <w:t xml:space="preserve"> </w:t>
            </w:r>
            <w:r>
              <w:rPr>
                <w:rFonts w:hint="default" w:ascii="Times New Roman" w:hAnsi="Times New Roman" w:eastAsia="宋体" w:cs="Times New Roman"/>
                <w:snapToGrid w:val="0"/>
                <w:color w:val="auto"/>
                <w:kern w:val="0"/>
                <w:sz w:val="21"/>
                <w:szCs w:val="21"/>
                <w:highlight w:val="none"/>
              </w:rPr>
              <w:fldChar w:fldCharType="end"/>
            </w:r>
            <w:r>
              <w:rPr>
                <w:rFonts w:ascii="Times New Roman" w:hAnsi="Times New Roman" w:eastAsia="宋体" w:cs="Times New Roman"/>
                <w:snapToGrid w:val="0"/>
                <w:color w:val="auto"/>
                <w:kern w:val="0"/>
                <w:sz w:val="21"/>
                <w:szCs w:val="21"/>
                <w:highlight w:val="none"/>
              </w:rPr>
              <w:fldChar w:fldCharType="begin"/>
            </w:r>
            <w:r>
              <w:rPr>
                <w:rFonts w:ascii="Times New Roman" w:hAnsi="Times New Roman" w:eastAsia="宋体" w:cs="Times New Roman"/>
                <w:snapToGrid w:val="0"/>
                <w:color w:val="auto"/>
                <w:kern w:val="0"/>
                <w:sz w:val="21"/>
                <w:szCs w:val="21"/>
                <w:highlight w:val="none"/>
              </w:rPr>
              <w:instrText xml:space="preserve"> HYPERLINK "https://www.baidu.com/s?rsv_idx=1&amp;tn=15007414_5_dg&amp;wd=HJ 1388%E2%80%942024 %E5%9B%BA%E5%AE%9A%E6%B1%A1%E6%9F%93%E6%BA%90%E5%BA%9F%E6%B0%94 %E7%A1%AB%E5%8C%96%E6%B0%A2&amp;fenlei=256&amp;usm=4&amp;ie=utf-8&amp;rsv_pq=d99340f1001918bb&amp;oq=%E6%9C%89%E7%BB%84%E7%BB%87%E5%BA%9F%E6%B0%94%E7%A1%AB%E5%8C%96%E6%B0%A2%E7%9A%84%E7%9B%91%E6%B5%8B%E6%96%B9%E6%B3%95&amp;rsv_t=2aa4CKbJgBAmGvddZ5NwZJQAwwQjxkHQjl1h9EnbJHTra/jsDHU5smrevoD4PSq1OS0xVA&amp;rsv_dl=re_dqa_generate&amp;sa=re_dqa_generate" \t "https://www.baidu.com/_blank" </w:instrText>
            </w:r>
            <w:r>
              <w:rPr>
                <w:rFonts w:ascii="Times New Roman" w:hAnsi="Times New Roman" w:eastAsia="宋体" w:cs="Times New Roman"/>
                <w:snapToGrid w:val="0"/>
                <w:color w:val="auto"/>
                <w:kern w:val="0"/>
                <w:sz w:val="21"/>
                <w:szCs w:val="21"/>
                <w:highlight w:val="none"/>
              </w:rPr>
              <w:fldChar w:fldCharType="separate"/>
            </w:r>
            <w:r>
              <w:rPr>
                <w:rFonts w:hint="default" w:ascii="Times New Roman" w:hAnsi="Times New Roman" w:eastAsia="宋体" w:cs="Times New Roman"/>
                <w:snapToGrid w:val="0"/>
                <w:color w:val="auto"/>
                <w:kern w:val="0"/>
                <w:sz w:val="21"/>
                <w:szCs w:val="21"/>
                <w:highlight w:val="none"/>
              </w:rPr>
              <w:t>HJ 1388</w:t>
            </w:r>
            <w:r>
              <w:rPr>
                <w:rFonts w:hint="eastAsia" w:cs="Times New Roman"/>
                <w:snapToGrid w:val="0"/>
                <w:color w:val="auto"/>
                <w:kern w:val="0"/>
                <w:sz w:val="21"/>
                <w:szCs w:val="21"/>
                <w:highlight w:val="none"/>
                <w:lang w:val="en-US" w:eastAsia="zh-CN"/>
              </w:rPr>
              <w:t>-</w:t>
            </w:r>
            <w:r>
              <w:rPr>
                <w:rFonts w:hint="default" w:ascii="Times New Roman" w:hAnsi="Times New Roman" w:eastAsia="宋体" w:cs="Times New Roman"/>
                <w:snapToGrid w:val="0"/>
                <w:color w:val="auto"/>
                <w:kern w:val="0"/>
                <w:sz w:val="21"/>
                <w:szCs w:val="21"/>
                <w:highlight w:val="none"/>
              </w:rPr>
              <w:t>2024</w:t>
            </w:r>
            <w:r>
              <w:rPr>
                <w:rFonts w:hint="default" w:ascii="Times New Roman" w:hAnsi="Times New Roman" w:eastAsia="宋体" w:cs="Times New Roman"/>
                <w:snapToGrid w:val="0"/>
                <w:color w:val="auto"/>
                <w:kern w:val="0"/>
                <w:sz w:val="21"/>
                <w:szCs w:val="21"/>
                <w:highlight w:val="none"/>
              </w:rPr>
              <w:fldChar w:fldCharType="end"/>
            </w:r>
          </w:p>
        </w:tc>
      </w:tr>
      <w:tr w14:paraId="4E418CE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bottom w:val="single" w:color="auto" w:sz="4" w:space="0"/>
              <w:right w:val="single" w:color="auto" w:sz="4" w:space="0"/>
            </w:tcBorders>
            <w:vAlign w:val="center"/>
          </w:tcPr>
          <w:p w14:paraId="1EF25CC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412D953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543181A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27B7A72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臭气浓度</w:t>
            </w:r>
          </w:p>
        </w:tc>
        <w:tc>
          <w:tcPr>
            <w:tcW w:w="0" w:type="auto"/>
            <w:tcBorders>
              <w:top w:val="single" w:color="auto" w:sz="4" w:space="0"/>
              <w:left w:val="single" w:color="auto" w:sz="4" w:space="0"/>
              <w:bottom w:val="single" w:color="auto" w:sz="4" w:space="0"/>
              <w:right w:val="single" w:color="auto" w:sz="4" w:space="0"/>
            </w:tcBorders>
            <w:vAlign w:val="center"/>
          </w:tcPr>
          <w:p w14:paraId="4D8DC4A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年</w:t>
            </w:r>
          </w:p>
        </w:tc>
        <w:tc>
          <w:tcPr>
            <w:tcW w:w="0" w:type="auto"/>
            <w:vMerge w:val="continue"/>
            <w:tcBorders>
              <w:left w:val="single" w:color="auto" w:sz="4" w:space="0"/>
              <w:bottom w:val="single" w:color="auto" w:sz="4" w:space="0"/>
              <w:right w:val="single" w:color="auto" w:sz="4" w:space="0"/>
            </w:tcBorders>
            <w:vAlign w:val="center"/>
          </w:tcPr>
          <w:p w14:paraId="1E26E81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7693B33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2D885AC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1A1CF5E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环境空气和废气</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臭气的测定</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 xml:space="preserve"> 三点比较式臭袋法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HJ 1262-2022</w:t>
            </w:r>
          </w:p>
        </w:tc>
      </w:tr>
      <w:tr w14:paraId="63BB4576">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single" w:color="auto" w:sz="4" w:space="0"/>
              <w:left w:val="single" w:color="auto" w:sz="4" w:space="0"/>
              <w:right w:val="single" w:color="auto" w:sz="4" w:space="0"/>
            </w:tcBorders>
            <w:vAlign w:val="center"/>
          </w:tcPr>
          <w:p w14:paraId="0E6AF5C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w:t>
            </w:r>
          </w:p>
        </w:tc>
        <w:tc>
          <w:tcPr>
            <w:tcW w:w="0" w:type="auto"/>
            <w:vMerge w:val="restart"/>
            <w:tcBorders>
              <w:top w:val="single" w:color="auto" w:sz="4" w:space="0"/>
              <w:left w:val="single" w:color="auto" w:sz="4" w:space="0"/>
              <w:right w:val="single" w:color="auto" w:sz="4" w:space="0"/>
            </w:tcBorders>
            <w:vAlign w:val="center"/>
          </w:tcPr>
          <w:p w14:paraId="005A7771">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酸化废气</w:t>
            </w:r>
          </w:p>
        </w:tc>
        <w:tc>
          <w:tcPr>
            <w:tcW w:w="0" w:type="auto"/>
            <w:vMerge w:val="restart"/>
            <w:tcBorders>
              <w:top w:val="single" w:color="auto" w:sz="4" w:space="0"/>
              <w:left w:val="single" w:color="auto" w:sz="4" w:space="0"/>
              <w:right w:val="single" w:color="auto" w:sz="4" w:space="0"/>
            </w:tcBorders>
            <w:vAlign w:val="center"/>
          </w:tcPr>
          <w:p w14:paraId="35E07B4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DA057</w:t>
            </w:r>
          </w:p>
        </w:tc>
        <w:tc>
          <w:tcPr>
            <w:tcW w:w="0" w:type="auto"/>
            <w:tcBorders>
              <w:left w:val="single" w:color="auto" w:sz="4" w:space="0"/>
              <w:bottom w:val="single" w:color="auto" w:sz="4" w:space="0"/>
              <w:right w:val="single" w:color="auto" w:sz="4" w:space="0"/>
            </w:tcBorders>
            <w:vAlign w:val="center"/>
          </w:tcPr>
          <w:p w14:paraId="6780F49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硫酸雾</w:t>
            </w:r>
          </w:p>
        </w:tc>
        <w:tc>
          <w:tcPr>
            <w:tcW w:w="0" w:type="auto"/>
            <w:tcBorders>
              <w:top w:val="single" w:color="auto" w:sz="4" w:space="0"/>
              <w:left w:val="single" w:color="auto" w:sz="4" w:space="0"/>
              <w:bottom w:val="single" w:color="auto" w:sz="4" w:space="0"/>
              <w:right w:val="single" w:color="auto" w:sz="4" w:space="0"/>
            </w:tcBorders>
            <w:vAlign w:val="center"/>
          </w:tcPr>
          <w:p w14:paraId="7CAE5BC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半</w:t>
            </w:r>
            <w:r>
              <w:rPr>
                <w:rFonts w:hint="eastAsia" w:ascii="Times New Roman" w:hAnsi="Times New Roman" w:eastAsia="宋体" w:cs="Times New Roman"/>
                <w:snapToGrid w:val="0"/>
                <w:color w:val="auto"/>
                <w:kern w:val="0"/>
                <w:sz w:val="21"/>
                <w:szCs w:val="21"/>
                <w:highlight w:val="none"/>
              </w:rPr>
              <w:t>年</w:t>
            </w:r>
          </w:p>
        </w:tc>
        <w:tc>
          <w:tcPr>
            <w:tcW w:w="0" w:type="auto"/>
            <w:tcBorders>
              <w:left w:val="single" w:color="auto" w:sz="4" w:space="0"/>
              <w:bottom w:val="single" w:color="auto" w:sz="4" w:space="0"/>
              <w:right w:val="single" w:color="auto" w:sz="4" w:space="0"/>
            </w:tcBorders>
            <w:vAlign w:val="center"/>
          </w:tcPr>
          <w:p w14:paraId="3D0AEAE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《大气污染物综合排放标准》（GB 26132-2010）表</w:t>
            </w:r>
            <w:r>
              <w:rPr>
                <w:rFonts w:hint="eastAsia" w:ascii="Times New Roman" w:hAnsi="Times New Roman" w:eastAsia="宋体" w:cs="Times New Roman"/>
                <w:snapToGrid w:val="0"/>
                <w:color w:val="auto"/>
                <w:kern w:val="0"/>
                <w:sz w:val="21"/>
                <w:szCs w:val="21"/>
                <w:highlight w:val="none"/>
              </w:rPr>
              <w:t>2</w:t>
            </w:r>
          </w:p>
        </w:tc>
        <w:tc>
          <w:tcPr>
            <w:tcW w:w="0" w:type="auto"/>
            <w:vMerge w:val="restart"/>
            <w:tcBorders>
              <w:left w:val="single" w:color="auto" w:sz="4" w:space="0"/>
              <w:right w:val="single" w:color="auto" w:sz="4" w:space="0"/>
            </w:tcBorders>
            <w:vAlign w:val="center"/>
          </w:tcPr>
          <w:p w14:paraId="1499238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lang w:val="zh-CN"/>
              </w:rPr>
              <w:t>HJ</w:t>
            </w:r>
            <w:r>
              <w:rPr>
                <w:rFonts w:hint="eastAsia" w:ascii="Times New Roman" w:hAnsi="Times New Roman" w:eastAsia="宋体" w:cs="Times New Roman"/>
                <w:snapToGrid w:val="0"/>
                <w:color w:val="auto"/>
                <w:kern w:val="0"/>
                <w:sz w:val="21"/>
                <w:szCs w:val="21"/>
                <w:highlight w:val="none"/>
              </w:rPr>
              <w:t xml:space="preserve"> </w:t>
            </w:r>
            <w:r>
              <w:rPr>
                <w:rFonts w:hint="eastAsia" w:cs="Times New Roman"/>
                <w:snapToGrid w:val="0"/>
                <w:color w:val="auto"/>
                <w:kern w:val="0"/>
                <w:sz w:val="21"/>
                <w:szCs w:val="21"/>
                <w:highlight w:val="none"/>
                <w:lang w:val="en-US" w:eastAsia="zh-CN"/>
              </w:rPr>
              <w:t>947</w:t>
            </w:r>
            <w:r>
              <w:rPr>
                <w:rFonts w:hint="eastAsia" w:ascii="Times New Roman" w:hAnsi="Times New Roman" w:eastAsia="宋体" w:cs="Times New Roman"/>
                <w:snapToGrid w:val="0"/>
                <w:color w:val="auto"/>
                <w:kern w:val="0"/>
                <w:sz w:val="21"/>
                <w:szCs w:val="21"/>
                <w:highlight w:val="none"/>
              </w:rPr>
              <w:t>-2017</w:t>
            </w:r>
          </w:p>
        </w:tc>
        <w:tc>
          <w:tcPr>
            <w:tcW w:w="0" w:type="auto"/>
            <w:vMerge w:val="restart"/>
            <w:tcBorders>
              <w:left w:val="single" w:color="auto" w:sz="4" w:space="0"/>
              <w:right w:val="single" w:color="auto" w:sz="4" w:space="0"/>
            </w:tcBorders>
            <w:vAlign w:val="center"/>
          </w:tcPr>
          <w:p w14:paraId="38B633A1">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lang w:val="zh-CN"/>
              </w:rPr>
            </w:pPr>
            <w:r>
              <w:rPr>
                <w:rFonts w:ascii="Times New Roman" w:hAnsi="Times New Roman" w:eastAsia="宋体" w:cs="Times New Roman"/>
                <w:snapToGrid w:val="0"/>
                <w:color w:val="auto"/>
                <w:kern w:val="0"/>
                <w:sz w:val="21"/>
                <w:szCs w:val="21"/>
                <w:highlight w:val="none"/>
              </w:rPr>
              <w:t>酸化废气</w:t>
            </w:r>
            <w:r>
              <w:rPr>
                <w:rFonts w:hint="eastAsia" w:cs="Times New Roman"/>
                <w:snapToGrid w:val="0"/>
                <w:color w:val="auto"/>
                <w:kern w:val="0"/>
                <w:sz w:val="21"/>
                <w:szCs w:val="21"/>
                <w:highlight w:val="none"/>
                <w:lang w:val="en-US" w:eastAsia="zh-CN"/>
              </w:rPr>
              <w:t>排口</w:t>
            </w:r>
          </w:p>
        </w:tc>
        <w:tc>
          <w:tcPr>
            <w:tcW w:w="0" w:type="auto"/>
            <w:tcBorders>
              <w:left w:val="single" w:color="auto" w:sz="4" w:space="0"/>
              <w:right w:val="single" w:color="auto" w:sz="4" w:space="0"/>
            </w:tcBorders>
            <w:vAlign w:val="center"/>
          </w:tcPr>
          <w:p w14:paraId="4BF26D4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固定污染源废气硫酸雾的测定 离子色谱法</w:t>
            </w:r>
          </w:p>
          <w:p w14:paraId="422913C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H544-2016</w:t>
            </w:r>
          </w:p>
        </w:tc>
      </w:tr>
      <w:tr w14:paraId="4836965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63109B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69D06152">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1B55BAC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shd w:val="clear" w:color="auto" w:fill="auto"/>
            <w:vAlign w:val="center"/>
          </w:tcPr>
          <w:p w14:paraId="18B4D13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NMHC</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44CDC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tcBorders>
              <w:left w:val="single" w:color="auto" w:sz="4" w:space="0"/>
              <w:right w:val="single" w:color="auto" w:sz="4" w:space="0"/>
            </w:tcBorders>
            <w:shd w:val="clear" w:color="auto" w:fill="auto"/>
            <w:vAlign w:val="center"/>
          </w:tcPr>
          <w:p w14:paraId="10677BD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合成树脂工业污染物排放标准</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GB31572-2015，含2024年修改单</w:t>
            </w:r>
            <w:r>
              <w:rPr>
                <w:rFonts w:hint="eastAsia" w:ascii="Times New Roman" w:hAnsi="Times New Roman" w:eastAsia="宋体" w:cs="Times New Roman"/>
                <w:snapToGrid w:val="0"/>
                <w:color w:val="auto"/>
                <w:kern w:val="0"/>
                <w:sz w:val="21"/>
                <w:szCs w:val="21"/>
                <w:highlight w:val="none"/>
              </w:rPr>
              <w:t>）表5</w:t>
            </w:r>
          </w:p>
        </w:tc>
        <w:tc>
          <w:tcPr>
            <w:tcW w:w="0" w:type="auto"/>
            <w:vMerge w:val="continue"/>
            <w:tcBorders>
              <w:left w:val="single" w:color="auto" w:sz="4" w:space="0"/>
              <w:right w:val="single" w:color="auto" w:sz="4" w:space="0"/>
            </w:tcBorders>
            <w:vAlign w:val="center"/>
          </w:tcPr>
          <w:p w14:paraId="74F8B68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lang w:val="zh-CN"/>
              </w:rPr>
            </w:pPr>
          </w:p>
        </w:tc>
        <w:tc>
          <w:tcPr>
            <w:tcW w:w="0" w:type="auto"/>
            <w:vMerge w:val="continue"/>
            <w:tcBorders>
              <w:left w:val="single" w:color="auto" w:sz="4" w:space="0"/>
              <w:right w:val="single" w:color="auto" w:sz="4" w:space="0"/>
            </w:tcBorders>
            <w:vAlign w:val="center"/>
          </w:tcPr>
          <w:p w14:paraId="59B1B35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lang w:val="zh-CN"/>
              </w:rPr>
            </w:pPr>
          </w:p>
        </w:tc>
        <w:tc>
          <w:tcPr>
            <w:tcW w:w="0" w:type="auto"/>
            <w:tcBorders>
              <w:left w:val="single" w:color="auto" w:sz="4" w:space="0"/>
              <w:right w:val="single" w:color="auto" w:sz="4" w:space="0"/>
            </w:tcBorders>
            <w:vAlign w:val="center"/>
          </w:tcPr>
          <w:p w14:paraId="03F14B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固定污染源废气总烃、甲烷和非甲烷总烃的测定气相色谱法HJ38-2017</w:t>
            </w:r>
          </w:p>
        </w:tc>
      </w:tr>
      <w:tr w14:paraId="030962C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single" w:color="auto" w:sz="4" w:space="0"/>
              <w:left w:val="single" w:color="auto" w:sz="4" w:space="0"/>
              <w:right w:val="single" w:color="auto" w:sz="4" w:space="0"/>
            </w:tcBorders>
            <w:vAlign w:val="center"/>
          </w:tcPr>
          <w:p w14:paraId="4F01BE9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3</w:t>
            </w:r>
          </w:p>
        </w:tc>
        <w:tc>
          <w:tcPr>
            <w:tcW w:w="0" w:type="auto"/>
            <w:vMerge w:val="restart"/>
            <w:tcBorders>
              <w:top w:val="single" w:color="auto" w:sz="4" w:space="0"/>
              <w:left w:val="single" w:color="auto" w:sz="4" w:space="0"/>
              <w:right w:val="single" w:color="auto" w:sz="4" w:space="0"/>
            </w:tcBorders>
            <w:vAlign w:val="center"/>
          </w:tcPr>
          <w:p w14:paraId="111C8252">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粗品</w:t>
            </w:r>
            <w:r>
              <w:rPr>
                <w:rFonts w:ascii="Times New Roman" w:hAnsi="Times New Roman" w:eastAsia="宋体" w:cs="Times New Roman"/>
                <w:snapToGrid w:val="0"/>
                <w:color w:val="auto"/>
                <w:kern w:val="0"/>
                <w:sz w:val="21"/>
                <w:szCs w:val="21"/>
                <w:highlight w:val="none"/>
              </w:rPr>
              <w:t>干燥废气</w:t>
            </w:r>
          </w:p>
        </w:tc>
        <w:tc>
          <w:tcPr>
            <w:tcW w:w="0" w:type="auto"/>
            <w:vMerge w:val="restart"/>
            <w:tcBorders>
              <w:top w:val="single" w:color="auto" w:sz="4" w:space="0"/>
              <w:left w:val="single" w:color="auto" w:sz="4" w:space="0"/>
              <w:right w:val="single" w:color="auto" w:sz="4" w:space="0"/>
            </w:tcBorders>
            <w:vAlign w:val="center"/>
          </w:tcPr>
          <w:p w14:paraId="1A78AB2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DA058</w:t>
            </w:r>
          </w:p>
        </w:tc>
        <w:tc>
          <w:tcPr>
            <w:tcW w:w="0" w:type="auto"/>
            <w:tcBorders>
              <w:left w:val="single" w:color="auto" w:sz="4" w:space="0"/>
              <w:bottom w:val="single" w:color="auto" w:sz="4" w:space="0"/>
              <w:right w:val="single" w:color="auto" w:sz="4" w:space="0"/>
            </w:tcBorders>
            <w:vAlign w:val="center"/>
          </w:tcPr>
          <w:p w14:paraId="30E5951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w:t>
            </w:r>
          </w:p>
        </w:tc>
        <w:tc>
          <w:tcPr>
            <w:tcW w:w="0" w:type="auto"/>
            <w:tcBorders>
              <w:top w:val="single" w:color="auto" w:sz="4" w:space="0"/>
              <w:left w:val="single" w:color="auto" w:sz="4" w:space="0"/>
              <w:bottom w:val="single" w:color="auto" w:sz="4" w:space="0"/>
              <w:right w:val="single" w:color="auto" w:sz="4" w:space="0"/>
            </w:tcBorders>
            <w:vAlign w:val="center"/>
          </w:tcPr>
          <w:p w14:paraId="30C00AA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restart"/>
            <w:tcBorders>
              <w:left w:val="single" w:color="auto" w:sz="4" w:space="0"/>
              <w:right w:val="single" w:color="auto" w:sz="4" w:space="0"/>
            </w:tcBorders>
            <w:vAlign w:val="center"/>
          </w:tcPr>
          <w:p w14:paraId="6996B70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合成树脂工业污染物排放标准</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w:t>
            </w:r>
            <w:r>
              <w:rPr>
                <w:rFonts w:hint="eastAsia" w:ascii="Times New Roman" w:hAnsi="Times New Roman" w:eastAsia="宋体" w:cs="Times New Roman"/>
                <w:snapToGrid w:val="0"/>
                <w:color w:val="auto"/>
                <w:kern w:val="0"/>
                <w:sz w:val="21"/>
                <w:szCs w:val="21"/>
                <w:highlight w:val="none"/>
                <w:lang w:val="en-US" w:eastAsia="zh-CN"/>
              </w:rPr>
              <w:t>GB31572-2015，含2024年修改单</w:t>
            </w:r>
            <w:r>
              <w:rPr>
                <w:rFonts w:hint="eastAsia" w:ascii="Times New Roman" w:hAnsi="Times New Roman" w:eastAsia="宋体" w:cs="Times New Roman"/>
                <w:snapToGrid w:val="0"/>
                <w:color w:val="auto"/>
                <w:kern w:val="0"/>
                <w:sz w:val="21"/>
                <w:szCs w:val="21"/>
                <w:highlight w:val="none"/>
              </w:rPr>
              <w:t>）表5</w:t>
            </w:r>
          </w:p>
        </w:tc>
        <w:tc>
          <w:tcPr>
            <w:tcW w:w="0" w:type="auto"/>
            <w:vMerge w:val="continue"/>
            <w:tcBorders>
              <w:left w:val="single" w:color="auto" w:sz="4" w:space="0"/>
              <w:right w:val="single" w:color="auto" w:sz="4" w:space="0"/>
            </w:tcBorders>
            <w:vAlign w:val="center"/>
          </w:tcPr>
          <w:p w14:paraId="42F8FF8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restart"/>
            <w:tcBorders>
              <w:left w:val="single" w:color="auto" w:sz="4" w:space="0"/>
              <w:right w:val="single" w:color="auto" w:sz="4" w:space="0"/>
            </w:tcBorders>
            <w:vAlign w:val="center"/>
          </w:tcPr>
          <w:p w14:paraId="1710EA3E">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粗品</w:t>
            </w:r>
            <w:r>
              <w:rPr>
                <w:rFonts w:ascii="Times New Roman" w:hAnsi="Times New Roman" w:eastAsia="宋体" w:cs="Times New Roman"/>
                <w:snapToGrid w:val="0"/>
                <w:color w:val="auto"/>
                <w:kern w:val="0"/>
                <w:sz w:val="21"/>
                <w:szCs w:val="21"/>
                <w:highlight w:val="none"/>
              </w:rPr>
              <w:t>干燥废气</w:t>
            </w:r>
            <w:r>
              <w:rPr>
                <w:rFonts w:hint="eastAsia" w:cs="Times New Roman"/>
                <w:snapToGrid w:val="0"/>
                <w:color w:val="auto"/>
                <w:kern w:val="0"/>
                <w:sz w:val="21"/>
                <w:szCs w:val="21"/>
                <w:highlight w:val="none"/>
                <w:lang w:val="en-US" w:eastAsia="zh-CN"/>
              </w:rPr>
              <w:t>排口</w:t>
            </w:r>
          </w:p>
        </w:tc>
        <w:tc>
          <w:tcPr>
            <w:tcW w:w="0" w:type="auto"/>
            <w:tcBorders>
              <w:left w:val="single" w:color="auto" w:sz="4" w:space="0"/>
              <w:right w:val="single" w:color="auto" w:sz="4" w:space="0"/>
            </w:tcBorders>
            <w:vAlign w:val="center"/>
          </w:tcPr>
          <w:p w14:paraId="337ADE9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固定污染源废气总烃、甲烷和非甲烷总烃的测定气相色谱法HJ38-2017</w:t>
            </w:r>
          </w:p>
        </w:tc>
      </w:tr>
      <w:tr w14:paraId="78D9E11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bottom w:val="single" w:color="auto" w:sz="4" w:space="0"/>
              <w:right w:val="single" w:color="auto" w:sz="4" w:space="0"/>
            </w:tcBorders>
            <w:vAlign w:val="center"/>
          </w:tcPr>
          <w:p w14:paraId="21DE15F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35317A90">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42E9A93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14AD3B6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颗粒物</w:t>
            </w:r>
          </w:p>
        </w:tc>
        <w:tc>
          <w:tcPr>
            <w:tcW w:w="0" w:type="auto"/>
            <w:tcBorders>
              <w:top w:val="single" w:color="auto" w:sz="4" w:space="0"/>
              <w:left w:val="single" w:color="auto" w:sz="4" w:space="0"/>
              <w:bottom w:val="single" w:color="auto" w:sz="4" w:space="0"/>
              <w:right w:val="single" w:color="auto" w:sz="4" w:space="0"/>
            </w:tcBorders>
            <w:vAlign w:val="center"/>
          </w:tcPr>
          <w:p w14:paraId="6F5A28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continue"/>
            <w:tcBorders>
              <w:left w:val="single" w:color="auto" w:sz="4" w:space="0"/>
              <w:right w:val="single" w:color="auto" w:sz="4" w:space="0"/>
            </w:tcBorders>
            <w:vAlign w:val="center"/>
          </w:tcPr>
          <w:p w14:paraId="7A8A5F4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49229FB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06CA268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44548E1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固定污染源废气 低浓度颗粒物的测定</w:t>
            </w:r>
          </w:p>
          <w:p w14:paraId="65A4031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zh-CN"/>
              </w:rPr>
              <w:t>重量法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zh-CN"/>
              </w:rPr>
              <w:t>HJ 836-2017</w:t>
            </w:r>
          </w:p>
        </w:tc>
      </w:tr>
      <w:tr w14:paraId="43A6673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right w:val="single" w:color="auto" w:sz="4" w:space="0"/>
            </w:tcBorders>
            <w:vAlign w:val="center"/>
          </w:tcPr>
          <w:p w14:paraId="220C9BA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4</w:t>
            </w:r>
          </w:p>
        </w:tc>
        <w:tc>
          <w:tcPr>
            <w:tcW w:w="0" w:type="auto"/>
            <w:tcBorders>
              <w:top w:val="single" w:color="auto" w:sz="4" w:space="0"/>
              <w:left w:val="single" w:color="auto" w:sz="4" w:space="0"/>
              <w:right w:val="single" w:color="auto" w:sz="4" w:space="0"/>
            </w:tcBorders>
            <w:vAlign w:val="center"/>
          </w:tcPr>
          <w:p w14:paraId="5AE09209">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成品干燥废气</w:t>
            </w:r>
          </w:p>
        </w:tc>
        <w:tc>
          <w:tcPr>
            <w:tcW w:w="0" w:type="auto"/>
            <w:tcBorders>
              <w:top w:val="single" w:color="auto" w:sz="4" w:space="0"/>
              <w:left w:val="single" w:color="auto" w:sz="4" w:space="0"/>
              <w:right w:val="single" w:color="auto" w:sz="4" w:space="0"/>
            </w:tcBorders>
            <w:vAlign w:val="center"/>
          </w:tcPr>
          <w:p w14:paraId="201CFB3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rPr>
              <w:t>DA0</w:t>
            </w:r>
            <w:r>
              <w:rPr>
                <w:rFonts w:hint="eastAsia" w:ascii="Times New Roman" w:hAnsi="Times New Roman" w:eastAsia="宋体" w:cs="Times New Roman"/>
                <w:snapToGrid w:val="0"/>
                <w:color w:val="auto"/>
                <w:kern w:val="0"/>
                <w:sz w:val="21"/>
                <w:szCs w:val="21"/>
                <w:highlight w:val="none"/>
                <w:lang w:val="en-US" w:eastAsia="zh-CN"/>
              </w:rPr>
              <w:t>59</w:t>
            </w:r>
          </w:p>
        </w:tc>
        <w:tc>
          <w:tcPr>
            <w:tcW w:w="0" w:type="auto"/>
            <w:tcBorders>
              <w:left w:val="single" w:color="auto" w:sz="4" w:space="0"/>
              <w:bottom w:val="single" w:color="auto" w:sz="4" w:space="0"/>
              <w:right w:val="single" w:color="auto" w:sz="4" w:space="0"/>
            </w:tcBorders>
            <w:vAlign w:val="center"/>
          </w:tcPr>
          <w:p w14:paraId="6FFB004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颗粒物</w:t>
            </w:r>
          </w:p>
        </w:tc>
        <w:tc>
          <w:tcPr>
            <w:tcW w:w="0" w:type="auto"/>
            <w:tcBorders>
              <w:top w:val="single" w:color="auto" w:sz="4" w:space="0"/>
              <w:left w:val="single" w:color="auto" w:sz="4" w:space="0"/>
              <w:bottom w:val="single" w:color="auto" w:sz="4" w:space="0"/>
              <w:right w:val="single" w:color="auto" w:sz="4" w:space="0"/>
            </w:tcBorders>
            <w:vAlign w:val="center"/>
          </w:tcPr>
          <w:p w14:paraId="3379B89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continue"/>
            <w:tcBorders>
              <w:left w:val="single" w:color="auto" w:sz="4" w:space="0"/>
              <w:right w:val="single" w:color="auto" w:sz="4" w:space="0"/>
            </w:tcBorders>
            <w:vAlign w:val="center"/>
          </w:tcPr>
          <w:p w14:paraId="16BCA1D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02C1D05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53E5C28C">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成品干燥废气</w:t>
            </w:r>
            <w:r>
              <w:rPr>
                <w:rFonts w:hint="eastAsia" w:cs="Times New Roman"/>
                <w:snapToGrid w:val="0"/>
                <w:color w:val="auto"/>
                <w:kern w:val="0"/>
                <w:sz w:val="21"/>
                <w:szCs w:val="21"/>
                <w:highlight w:val="none"/>
                <w:lang w:val="en-US" w:eastAsia="zh-CN"/>
              </w:rPr>
              <w:t>排口</w:t>
            </w:r>
          </w:p>
        </w:tc>
        <w:tc>
          <w:tcPr>
            <w:tcW w:w="0" w:type="auto"/>
            <w:tcBorders>
              <w:left w:val="single" w:color="auto" w:sz="4" w:space="0"/>
              <w:right w:val="single" w:color="auto" w:sz="4" w:space="0"/>
            </w:tcBorders>
            <w:vAlign w:val="center"/>
          </w:tcPr>
          <w:p w14:paraId="5F30C12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固定污染源废气 低浓度颗粒物的测定</w:t>
            </w:r>
          </w:p>
          <w:p w14:paraId="2ADB961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zh-CN"/>
              </w:rPr>
              <w:t>重量法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zh-CN"/>
              </w:rPr>
              <w:t>HJ 836-2017</w:t>
            </w:r>
          </w:p>
        </w:tc>
      </w:tr>
      <w:tr w14:paraId="5E725EB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single" w:color="auto" w:sz="4" w:space="0"/>
              <w:left w:val="single" w:color="auto" w:sz="4" w:space="0"/>
              <w:right w:val="single" w:color="auto" w:sz="4" w:space="0"/>
            </w:tcBorders>
            <w:vAlign w:val="center"/>
          </w:tcPr>
          <w:p w14:paraId="734236D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5</w:t>
            </w:r>
          </w:p>
        </w:tc>
        <w:tc>
          <w:tcPr>
            <w:tcW w:w="0" w:type="auto"/>
            <w:vMerge w:val="restart"/>
            <w:tcBorders>
              <w:top w:val="single" w:color="auto" w:sz="4" w:space="0"/>
              <w:left w:val="single" w:color="auto" w:sz="4" w:space="0"/>
              <w:right w:val="single" w:color="auto" w:sz="4" w:space="0"/>
            </w:tcBorders>
            <w:vAlign w:val="center"/>
          </w:tcPr>
          <w:p w14:paraId="38C3FB2E">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活性炭再生废气</w:t>
            </w:r>
          </w:p>
        </w:tc>
        <w:tc>
          <w:tcPr>
            <w:tcW w:w="0" w:type="auto"/>
            <w:vMerge w:val="restart"/>
            <w:tcBorders>
              <w:top w:val="single" w:color="auto" w:sz="4" w:space="0"/>
              <w:left w:val="single" w:color="auto" w:sz="4" w:space="0"/>
              <w:right w:val="single" w:color="auto" w:sz="4" w:space="0"/>
            </w:tcBorders>
            <w:vAlign w:val="center"/>
          </w:tcPr>
          <w:p w14:paraId="5403A76C">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DA0</w:t>
            </w:r>
            <w:r>
              <w:rPr>
                <w:rFonts w:hint="eastAsia" w:ascii="Times New Roman" w:hAnsi="Times New Roman" w:eastAsia="宋体" w:cs="Times New Roman"/>
                <w:snapToGrid w:val="0"/>
                <w:color w:val="auto"/>
                <w:kern w:val="0"/>
                <w:sz w:val="21"/>
                <w:szCs w:val="21"/>
                <w:highlight w:val="none"/>
              </w:rPr>
              <w:t>6</w:t>
            </w:r>
            <w:r>
              <w:rPr>
                <w:rFonts w:hint="eastAsia" w:ascii="Times New Roman" w:hAnsi="Times New Roman" w:eastAsia="宋体" w:cs="Times New Roman"/>
                <w:snapToGrid w:val="0"/>
                <w:color w:val="auto"/>
                <w:kern w:val="0"/>
                <w:sz w:val="21"/>
                <w:szCs w:val="21"/>
                <w:highlight w:val="none"/>
                <w:lang w:val="en-US" w:eastAsia="zh-CN"/>
              </w:rPr>
              <w:t>0</w:t>
            </w:r>
          </w:p>
        </w:tc>
        <w:tc>
          <w:tcPr>
            <w:tcW w:w="0" w:type="auto"/>
            <w:tcBorders>
              <w:left w:val="single" w:color="auto" w:sz="4" w:space="0"/>
              <w:bottom w:val="single" w:color="auto" w:sz="4" w:space="0"/>
              <w:right w:val="single" w:color="auto" w:sz="4" w:space="0"/>
            </w:tcBorders>
            <w:vAlign w:val="center"/>
          </w:tcPr>
          <w:p w14:paraId="5EDDB66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颗粒物</w:t>
            </w:r>
          </w:p>
        </w:tc>
        <w:tc>
          <w:tcPr>
            <w:tcW w:w="0" w:type="auto"/>
            <w:tcBorders>
              <w:top w:val="single" w:color="auto" w:sz="4" w:space="0"/>
              <w:left w:val="single" w:color="auto" w:sz="4" w:space="0"/>
              <w:bottom w:val="single" w:color="auto" w:sz="4" w:space="0"/>
              <w:right w:val="single" w:color="auto" w:sz="4" w:space="0"/>
            </w:tcBorders>
            <w:vAlign w:val="center"/>
          </w:tcPr>
          <w:p w14:paraId="1855F9E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tcBorders>
              <w:left w:val="single" w:color="auto" w:sz="4" w:space="0"/>
              <w:right w:val="single" w:color="auto" w:sz="4" w:space="0"/>
            </w:tcBorders>
            <w:vAlign w:val="center"/>
          </w:tcPr>
          <w:p w14:paraId="27BD99E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含2024年修改单）表5</w:t>
            </w:r>
          </w:p>
        </w:tc>
        <w:tc>
          <w:tcPr>
            <w:tcW w:w="0" w:type="auto"/>
            <w:vMerge w:val="continue"/>
            <w:tcBorders>
              <w:left w:val="single" w:color="auto" w:sz="4" w:space="0"/>
              <w:right w:val="single" w:color="auto" w:sz="4" w:space="0"/>
            </w:tcBorders>
            <w:vAlign w:val="center"/>
          </w:tcPr>
          <w:p w14:paraId="6790681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restart"/>
            <w:tcBorders>
              <w:left w:val="single" w:color="auto" w:sz="4" w:space="0"/>
              <w:right w:val="single" w:color="auto" w:sz="4" w:space="0"/>
            </w:tcBorders>
            <w:vAlign w:val="center"/>
          </w:tcPr>
          <w:p w14:paraId="448CFC5C">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活性炭再生废气</w:t>
            </w:r>
            <w:r>
              <w:rPr>
                <w:rFonts w:hint="eastAsia" w:cs="Times New Roman"/>
                <w:snapToGrid w:val="0"/>
                <w:color w:val="auto"/>
                <w:kern w:val="0"/>
                <w:sz w:val="21"/>
                <w:szCs w:val="21"/>
                <w:highlight w:val="none"/>
                <w:lang w:val="en-US" w:eastAsia="zh-CN"/>
              </w:rPr>
              <w:t>排口</w:t>
            </w:r>
          </w:p>
        </w:tc>
        <w:tc>
          <w:tcPr>
            <w:tcW w:w="0" w:type="auto"/>
            <w:tcBorders>
              <w:left w:val="single" w:color="auto" w:sz="4" w:space="0"/>
              <w:right w:val="single" w:color="auto" w:sz="4" w:space="0"/>
            </w:tcBorders>
            <w:vAlign w:val="center"/>
          </w:tcPr>
          <w:p w14:paraId="1B4AF97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固定污染源废气 低浓度颗粒物的测定</w:t>
            </w:r>
          </w:p>
          <w:p w14:paraId="74D0AD3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lang w:val="zh-CN"/>
              </w:rPr>
              <w:t>重量法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zh-CN"/>
              </w:rPr>
              <w:t>HJ 836-2017</w:t>
            </w:r>
          </w:p>
        </w:tc>
      </w:tr>
      <w:tr w14:paraId="649A15F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1833F5F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022E6A40">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59EB40E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45189F3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二氧化硫</w:t>
            </w:r>
          </w:p>
        </w:tc>
        <w:tc>
          <w:tcPr>
            <w:tcW w:w="0" w:type="auto"/>
            <w:tcBorders>
              <w:top w:val="single" w:color="auto" w:sz="4" w:space="0"/>
              <w:left w:val="single" w:color="auto" w:sz="4" w:space="0"/>
              <w:bottom w:val="single" w:color="auto" w:sz="4" w:space="0"/>
              <w:right w:val="single" w:color="auto" w:sz="4" w:space="0"/>
            </w:tcBorders>
            <w:vAlign w:val="center"/>
          </w:tcPr>
          <w:p w14:paraId="6DCE2EB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restart"/>
            <w:tcBorders>
              <w:left w:val="single" w:color="auto" w:sz="4" w:space="0"/>
              <w:right w:val="single" w:color="auto" w:sz="4" w:space="0"/>
            </w:tcBorders>
            <w:vAlign w:val="center"/>
          </w:tcPr>
          <w:p w14:paraId="62B0F3A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含2024年修改单）表</w:t>
            </w:r>
            <w:r>
              <w:rPr>
                <w:rFonts w:hint="eastAsia" w:ascii="Times New Roman" w:hAnsi="Times New Roman" w:eastAsia="宋体" w:cs="Times New Roman"/>
                <w:snapToGrid w:val="0"/>
                <w:color w:val="auto"/>
                <w:kern w:val="0"/>
                <w:sz w:val="21"/>
                <w:szCs w:val="21"/>
                <w:highlight w:val="none"/>
                <w:lang w:val="en-US" w:eastAsia="zh-CN"/>
              </w:rPr>
              <w:t>6特别排放限值</w:t>
            </w:r>
          </w:p>
        </w:tc>
        <w:tc>
          <w:tcPr>
            <w:tcW w:w="0" w:type="auto"/>
            <w:vMerge w:val="continue"/>
            <w:tcBorders>
              <w:left w:val="single" w:color="auto" w:sz="4" w:space="0"/>
              <w:right w:val="single" w:color="auto" w:sz="4" w:space="0"/>
            </w:tcBorders>
            <w:vAlign w:val="center"/>
          </w:tcPr>
          <w:p w14:paraId="441D8B2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5D4D2FB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74C33CA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固定污染源废气二氧化硫的测定 定电位电解法</w:t>
            </w:r>
          </w:p>
          <w:p w14:paraId="55E9345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HJ 57-2017</w:t>
            </w:r>
          </w:p>
        </w:tc>
      </w:tr>
      <w:tr w14:paraId="4706EF3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bottom w:val="single" w:color="auto" w:sz="4" w:space="0"/>
              <w:right w:val="single" w:color="auto" w:sz="4" w:space="0"/>
            </w:tcBorders>
            <w:vAlign w:val="center"/>
          </w:tcPr>
          <w:p w14:paraId="4B92088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0B11878F">
            <w:pPr>
              <w:pStyle w:val="76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6513144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3EE7CF2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氮氧化物</w:t>
            </w:r>
          </w:p>
        </w:tc>
        <w:tc>
          <w:tcPr>
            <w:tcW w:w="0" w:type="auto"/>
            <w:tcBorders>
              <w:top w:val="single" w:color="auto" w:sz="4" w:space="0"/>
              <w:left w:val="single" w:color="auto" w:sz="4" w:space="0"/>
              <w:bottom w:val="single" w:color="auto" w:sz="4" w:space="0"/>
              <w:right w:val="single" w:color="auto" w:sz="4" w:space="0"/>
            </w:tcBorders>
            <w:vAlign w:val="center"/>
          </w:tcPr>
          <w:p w14:paraId="54C898E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月</w:t>
            </w:r>
          </w:p>
        </w:tc>
        <w:tc>
          <w:tcPr>
            <w:tcW w:w="0" w:type="auto"/>
            <w:vMerge w:val="continue"/>
            <w:tcBorders>
              <w:left w:val="single" w:color="auto" w:sz="4" w:space="0"/>
              <w:bottom w:val="single" w:color="auto" w:sz="4" w:space="0"/>
              <w:right w:val="single" w:color="auto" w:sz="4" w:space="0"/>
            </w:tcBorders>
            <w:vAlign w:val="center"/>
          </w:tcPr>
          <w:p w14:paraId="616DE47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59506D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407DC6E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1E07733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固定污染源废气氮氧化物的测定 定电位电解法</w:t>
            </w:r>
          </w:p>
          <w:p w14:paraId="41DCF4F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HJ 693-2014</w:t>
            </w:r>
          </w:p>
        </w:tc>
      </w:tr>
      <w:tr w14:paraId="216B099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23F9547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无组织废气</w:t>
            </w:r>
          </w:p>
        </w:tc>
      </w:tr>
      <w:tr w14:paraId="5697CB3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9666D6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5D4BA89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厂界</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0607A5A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w:t>
            </w:r>
          </w:p>
        </w:tc>
        <w:tc>
          <w:tcPr>
            <w:tcW w:w="0" w:type="auto"/>
            <w:tcBorders>
              <w:top w:val="single" w:color="auto" w:sz="4" w:space="0"/>
              <w:left w:val="single" w:color="auto" w:sz="4" w:space="0"/>
              <w:bottom w:val="single" w:color="auto" w:sz="4" w:space="0"/>
              <w:right w:val="single" w:color="auto" w:sz="4" w:space="0"/>
            </w:tcBorders>
            <w:vAlign w:val="center"/>
          </w:tcPr>
          <w:p w14:paraId="6EEE4E0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季度</w:t>
            </w:r>
          </w:p>
        </w:tc>
        <w:tc>
          <w:tcPr>
            <w:tcW w:w="0" w:type="auto"/>
            <w:tcBorders>
              <w:top w:val="single" w:color="auto" w:sz="4" w:space="0"/>
              <w:left w:val="single" w:color="auto" w:sz="4" w:space="0"/>
              <w:right w:val="single" w:color="auto" w:sz="4" w:space="0"/>
            </w:tcBorders>
            <w:shd w:val="clear" w:color="auto" w:fill="auto"/>
            <w:vAlign w:val="center"/>
          </w:tcPr>
          <w:p w14:paraId="3B2937B6">
            <w:pPr>
              <w:pStyle w:val="738"/>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rPr>
              <w:t>《合成树脂工业污染物排放标准》（GB31572-2015</w:t>
            </w:r>
            <w:r>
              <w:rPr>
                <w:rFonts w:hint="eastAsia"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含2024年修改单）表9</w:t>
            </w:r>
          </w:p>
        </w:tc>
        <w:tc>
          <w:tcPr>
            <w:tcW w:w="0" w:type="auto"/>
            <w:vMerge w:val="restart"/>
            <w:tcBorders>
              <w:top w:val="single" w:color="auto" w:sz="4" w:space="0"/>
              <w:left w:val="single" w:color="auto" w:sz="4" w:space="0"/>
              <w:right w:val="single" w:color="auto" w:sz="4" w:space="0"/>
            </w:tcBorders>
            <w:vAlign w:val="center"/>
          </w:tcPr>
          <w:p w14:paraId="60D7A8A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lang w:val="zh-CN"/>
              </w:rPr>
              <w:t>HJ</w:t>
            </w:r>
            <w:r>
              <w:rPr>
                <w:rFonts w:hint="eastAsia" w:ascii="Times New Roman" w:hAnsi="Times New Roman" w:eastAsia="宋体" w:cs="Times New Roman"/>
                <w:snapToGrid w:val="0"/>
                <w:color w:val="auto"/>
                <w:kern w:val="0"/>
                <w:sz w:val="21"/>
                <w:szCs w:val="21"/>
                <w:highlight w:val="none"/>
              </w:rPr>
              <w:t xml:space="preserve"> </w:t>
            </w:r>
            <w:r>
              <w:rPr>
                <w:rFonts w:hint="eastAsia" w:cs="Times New Roman"/>
                <w:snapToGrid w:val="0"/>
                <w:color w:val="auto"/>
                <w:kern w:val="0"/>
                <w:sz w:val="21"/>
                <w:szCs w:val="21"/>
                <w:highlight w:val="none"/>
                <w:lang w:val="en-US" w:eastAsia="zh-CN"/>
              </w:rPr>
              <w:t>947</w:t>
            </w:r>
            <w:r>
              <w:rPr>
                <w:rFonts w:hint="eastAsia" w:ascii="Times New Roman" w:hAnsi="Times New Roman" w:eastAsia="宋体" w:cs="Times New Roman"/>
                <w:snapToGrid w:val="0"/>
                <w:color w:val="auto"/>
                <w:kern w:val="0"/>
                <w:sz w:val="21"/>
                <w:szCs w:val="21"/>
                <w:highlight w:val="none"/>
              </w:rPr>
              <w:t>-2017</w:t>
            </w:r>
          </w:p>
        </w:tc>
        <w:tc>
          <w:tcPr>
            <w:tcW w:w="0" w:type="auto"/>
            <w:tcBorders>
              <w:top w:val="single" w:color="auto" w:sz="4" w:space="0"/>
              <w:left w:val="single" w:color="auto" w:sz="4" w:space="0"/>
              <w:right w:val="single" w:color="auto" w:sz="4" w:space="0"/>
            </w:tcBorders>
            <w:vAlign w:val="center"/>
          </w:tcPr>
          <w:p w14:paraId="4819356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厂界上风向1个监测点，下风向3个监测点</w:t>
            </w:r>
          </w:p>
        </w:tc>
        <w:tc>
          <w:tcPr>
            <w:tcW w:w="0" w:type="auto"/>
            <w:tcBorders>
              <w:top w:val="single" w:color="auto" w:sz="4" w:space="0"/>
              <w:left w:val="single" w:color="auto" w:sz="4" w:space="0"/>
              <w:right w:val="single" w:color="auto" w:sz="4" w:space="0"/>
            </w:tcBorders>
            <w:vAlign w:val="center"/>
          </w:tcPr>
          <w:p w14:paraId="5A2DA84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lang w:val="zh-CN"/>
              </w:rPr>
            </w:pPr>
            <w:r>
              <w:rPr>
                <w:rFonts w:hint="eastAsia" w:ascii="Times New Roman" w:hAnsi="Times New Roman" w:eastAsia="宋体" w:cs="Times New Roman"/>
                <w:snapToGrid w:val="0"/>
                <w:color w:val="auto"/>
                <w:kern w:val="0"/>
                <w:sz w:val="21"/>
                <w:szCs w:val="21"/>
                <w:highlight w:val="none"/>
                <w:lang w:val="zh-CN"/>
              </w:rPr>
              <w:t>环境空气总烃、甲烷和非甲烷总烃的测定</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zh-CN"/>
              </w:rPr>
              <w:t>直接进样-气相色谱法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zh-CN"/>
              </w:rPr>
              <w:t>HJ604-2017</w:t>
            </w:r>
          </w:p>
        </w:tc>
      </w:tr>
      <w:tr w14:paraId="5EBA565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AD5F71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2</w:t>
            </w:r>
          </w:p>
        </w:tc>
        <w:tc>
          <w:tcPr>
            <w:tcW w:w="0" w:type="auto"/>
            <w:tcBorders>
              <w:top w:val="single" w:color="auto" w:sz="4" w:space="0"/>
              <w:left w:val="single" w:color="auto" w:sz="4" w:space="0"/>
              <w:bottom w:val="single" w:color="auto" w:sz="4" w:space="0"/>
              <w:right w:val="single" w:color="auto" w:sz="4" w:space="0"/>
            </w:tcBorders>
            <w:vAlign w:val="center"/>
          </w:tcPr>
          <w:p w14:paraId="7E36599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厂区内</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14D7834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NMHC</w:t>
            </w:r>
          </w:p>
        </w:tc>
        <w:tc>
          <w:tcPr>
            <w:tcW w:w="0" w:type="auto"/>
            <w:tcBorders>
              <w:top w:val="single" w:color="auto" w:sz="4" w:space="0"/>
              <w:left w:val="single" w:color="auto" w:sz="4" w:space="0"/>
              <w:bottom w:val="single" w:color="auto" w:sz="4" w:space="0"/>
              <w:right w:val="single" w:color="auto" w:sz="4" w:space="0"/>
            </w:tcBorders>
            <w:vAlign w:val="center"/>
          </w:tcPr>
          <w:p w14:paraId="547625C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季度</w:t>
            </w:r>
          </w:p>
        </w:tc>
        <w:tc>
          <w:tcPr>
            <w:tcW w:w="0" w:type="auto"/>
            <w:tcBorders>
              <w:left w:val="single" w:color="auto" w:sz="4" w:space="0"/>
              <w:bottom w:val="single" w:color="auto" w:sz="4" w:space="0"/>
              <w:right w:val="single" w:color="auto" w:sz="4" w:space="0"/>
            </w:tcBorders>
            <w:vAlign w:val="center"/>
          </w:tcPr>
          <w:p w14:paraId="6407957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《挥发性有机物无组织排放控制标准》（GB37822-2019）表A.1</w:t>
            </w:r>
            <w:r>
              <w:rPr>
                <w:rFonts w:hint="eastAsia" w:ascii="Times New Roman" w:hAnsi="Times New Roman" w:eastAsia="宋体" w:cs="Times New Roman"/>
                <w:snapToGrid w:val="0"/>
                <w:color w:val="auto"/>
                <w:kern w:val="0"/>
                <w:sz w:val="21"/>
                <w:szCs w:val="21"/>
                <w:highlight w:val="none"/>
                <w:lang w:val="en-US" w:eastAsia="zh-CN"/>
              </w:rPr>
              <w:t>特别排放限值</w:t>
            </w:r>
          </w:p>
        </w:tc>
        <w:tc>
          <w:tcPr>
            <w:tcW w:w="0" w:type="auto"/>
            <w:vMerge w:val="continue"/>
            <w:tcBorders>
              <w:left w:val="single" w:color="auto" w:sz="4" w:space="0"/>
              <w:right w:val="single" w:color="auto" w:sz="4" w:space="0"/>
            </w:tcBorders>
            <w:vAlign w:val="center"/>
          </w:tcPr>
          <w:p w14:paraId="0341DAF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0CCC40B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烷烃罐区</w:t>
            </w:r>
          </w:p>
        </w:tc>
        <w:tc>
          <w:tcPr>
            <w:tcW w:w="0" w:type="auto"/>
            <w:tcBorders>
              <w:left w:val="single" w:color="auto" w:sz="4" w:space="0"/>
              <w:right w:val="single" w:color="auto" w:sz="4" w:space="0"/>
            </w:tcBorders>
            <w:vAlign w:val="center"/>
          </w:tcPr>
          <w:p w14:paraId="54AD2C2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环境空气总烃、甲烷和非甲烷总烃的测定</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直接进样-气相色谱法</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rPr>
              <w:t>HJ604-2017</w:t>
            </w:r>
          </w:p>
        </w:tc>
      </w:tr>
      <w:tr w14:paraId="4D5FA8A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11FCE0EE">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注：凯赛厂区已有厂界</w:t>
            </w:r>
            <w:r>
              <w:rPr>
                <w:rFonts w:ascii="Times New Roman" w:hAnsi="Times New Roman" w:eastAsia="宋体" w:cs="Times New Roman"/>
                <w:snapToGrid w:val="0"/>
                <w:color w:val="auto"/>
                <w:kern w:val="0"/>
                <w:sz w:val="21"/>
                <w:szCs w:val="21"/>
                <w:highlight w:val="none"/>
              </w:rPr>
              <w:t>NMHC</w:t>
            </w:r>
            <w:r>
              <w:rPr>
                <w:rFonts w:hint="eastAsia" w:ascii="Times New Roman" w:hAnsi="Times New Roman" w:eastAsia="宋体" w:cs="Times New Roman"/>
                <w:snapToGrid w:val="0"/>
                <w:color w:val="auto"/>
                <w:kern w:val="0"/>
                <w:sz w:val="21"/>
                <w:szCs w:val="21"/>
                <w:highlight w:val="none"/>
                <w:lang w:val="en-US" w:eastAsia="zh-CN"/>
              </w:rPr>
              <w:t>每季度</w:t>
            </w:r>
            <w:r>
              <w:rPr>
                <w:rFonts w:hint="eastAsia" w:cs="Times New Roman"/>
                <w:snapToGrid w:val="0"/>
                <w:color w:val="auto"/>
                <w:kern w:val="0"/>
                <w:sz w:val="21"/>
                <w:szCs w:val="21"/>
                <w:highlight w:val="none"/>
                <w:lang w:val="en-US" w:eastAsia="zh-CN"/>
              </w:rPr>
              <w:t>监测1次计划</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本项目不需要新增厂界</w:t>
            </w:r>
            <w:r>
              <w:rPr>
                <w:rFonts w:ascii="Times New Roman" w:hAnsi="Times New Roman" w:eastAsia="宋体" w:cs="Times New Roman"/>
                <w:snapToGrid w:val="0"/>
                <w:color w:val="auto"/>
                <w:kern w:val="0"/>
                <w:sz w:val="21"/>
                <w:szCs w:val="21"/>
                <w:highlight w:val="none"/>
              </w:rPr>
              <w:t>NMHC</w:t>
            </w:r>
            <w:r>
              <w:rPr>
                <w:rFonts w:hint="eastAsia" w:ascii="Times New Roman" w:hAnsi="Times New Roman" w:eastAsia="宋体" w:cs="Times New Roman"/>
                <w:snapToGrid w:val="0"/>
                <w:color w:val="auto"/>
                <w:kern w:val="0"/>
                <w:sz w:val="21"/>
                <w:szCs w:val="21"/>
                <w:highlight w:val="none"/>
                <w:lang w:val="en-US" w:eastAsia="zh-CN"/>
              </w:rPr>
              <w:t>监测计划。</w:t>
            </w:r>
          </w:p>
        </w:tc>
      </w:tr>
      <w:tr w14:paraId="299B8F6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5548594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废水</w:t>
            </w:r>
          </w:p>
        </w:tc>
      </w:tr>
      <w:tr w14:paraId="104E202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single" w:color="auto" w:sz="4" w:space="0"/>
              <w:left w:val="single" w:color="auto" w:sz="4" w:space="0"/>
              <w:right w:val="single" w:color="auto" w:sz="4" w:space="0"/>
            </w:tcBorders>
            <w:vAlign w:val="center"/>
          </w:tcPr>
          <w:p w14:paraId="00BFF16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1</w:t>
            </w:r>
          </w:p>
        </w:tc>
        <w:tc>
          <w:tcPr>
            <w:tcW w:w="0" w:type="auto"/>
            <w:vMerge w:val="restart"/>
            <w:tcBorders>
              <w:top w:val="single" w:color="auto" w:sz="4" w:space="0"/>
              <w:left w:val="single" w:color="auto" w:sz="4" w:space="0"/>
              <w:right w:val="single" w:color="auto" w:sz="4" w:space="0"/>
            </w:tcBorders>
            <w:vAlign w:val="center"/>
          </w:tcPr>
          <w:p w14:paraId="2CB4242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送至</w:t>
            </w:r>
            <w:r>
              <w:rPr>
                <w:rFonts w:hint="eastAsia" w:ascii="Times New Roman" w:hAnsi="Times New Roman" w:eastAsia="宋体" w:cs="Times New Roman"/>
                <w:snapToGrid w:val="0"/>
                <w:color w:val="auto"/>
                <w:kern w:val="0"/>
                <w:sz w:val="21"/>
                <w:szCs w:val="21"/>
                <w:highlight w:val="none"/>
                <w:lang w:val="en-US" w:eastAsia="zh-CN"/>
              </w:rPr>
              <w:t>乌苏市</w:t>
            </w:r>
            <w:r>
              <w:rPr>
                <w:rFonts w:hint="eastAsia" w:ascii="Times New Roman" w:hAnsi="Times New Roman" w:eastAsia="宋体" w:cs="Times New Roman"/>
                <w:snapToGrid w:val="0"/>
                <w:color w:val="auto"/>
                <w:kern w:val="0"/>
                <w:sz w:val="21"/>
                <w:szCs w:val="21"/>
                <w:highlight w:val="none"/>
              </w:rPr>
              <w:t>西区污水处理厂</w:t>
            </w:r>
            <w:r>
              <w:rPr>
                <w:rFonts w:hint="eastAsia" w:cs="Times New Roman"/>
                <w:snapToGrid w:val="0"/>
                <w:color w:val="auto"/>
                <w:kern w:val="0"/>
                <w:sz w:val="21"/>
                <w:szCs w:val="21"/>
                <w:highlight w:val="none"/>
                <w:lang w:val="en-US" w:eastAsia="zh-CN"/>
              </w:rPr>
              <w:t>一期工程厂区</w:t>
            </w:r>
            <w:r>
              <w:rPr>
                <w:rFonts w:ascii="Times New Roman" w:hAnsi="Times New Roman" w:eastAsia="宋体" w:cs="Times New Roman"/>
                <w:snapToGrid w:val="0"/>
                <w:color w:val="auto"/>
                <w:kern w:val="0"/>
                <w:sz w:val="21"/>
                <w:szCs w:val="21"/>
                <w:highlight w:val="none"/>
              </w:rPr>
              <w:t>总排放口</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189A245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流量、pH值、化学需氧量、氨氮</w:t>
            </w:r>
            <w:r>
              <w:rPr>
                <w:rFonts w:hint="eastAsia" w:cs="Times New Roman"/>
                <w:snapToGrid w:val="0"/>
                <w:color w:val="auto"/>
                <w:kern w:val="0"/>
                <w:sz w:val="21"/>
                <w:szCs w:val="21"/>
                <w:highlight w:val="none"/>
                <w:lang w:eastAsia="zh-CN"/>
              </w:rPr>
              <w:t>、</w:t>
            </w:r>
            <w:r>
              <w:rPr>
                <w:rFonts w:ascii="Times New Roman" w:hAnsi="Times New Roman" w:eastAsia="宋体" w:cs="Times New Roman"/>
                <w:snapToGrid w:val="0"/>
                <w:color w:val="auto"/>
                <w:kern w:val="0"/>
                <w:sz w:val="21"/>
                <w:szCs w:val="21"/>
                <w:highlight w:val="none"/>
              </w:rPr>
              <w:t>总磷、总氮</w:t>
            </w:r>
          </w:p>
        </w:tc>
        <w:tc>
          <w:tcPr>
            <w:tcW w:w="0" w:type="auto"/>
            <w:tcBorders>
              <w:top w:val="single" w:color="auto" w:sz="4" w:space="0"/>
              <w:left w:val="single" w:color="auto" w:sz="4" w:space="0"/>
              <w:bottom w:val="single" w:color="auto" w:sz="4" w:space="0"/>
              <w:right w:val="single" w:color="auto" w:sz="4" w:space="0"/>
            </w:tcBorders>
            <w:vAlign w:val="center"/>
          </w:tcPr>
          <w:p w14:paraId="6E3D44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自动监测</w:t>
            </w:r>
          </w:p>
        </w:tc>
        <w:tc>
          <w:tcPr>
            <w:tcW w:w="0" w:type="auto"/>
            <w:vMerge w:val="restart"/>
            <w:tcBorders>
              <w:top w:val="single" w:color="auto" w:sz="4" w:space="0"/>
              <w:left w:val="single" w:color="auto" w:sz="4" w:space="0"/>
              <w:right w:val="single" w:color="auto" w:sz="4" w:space="0"/>
            </w:tcBorders>
            <w:vAlign w:val="center"/>
          </w:tcPr>
          <w:p w14:paraId="6DCE92F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《污水排入城镇下水道水质标准》（GB/T3</w:t>
            </w:r>
            <w:r>
              <w:rPr>
                <w:rFonts w:hint="eastAsia" w:cs="Times New Roman"/>
                <w:snapToGrid w:val="0"/>
                <w:color w:val="auto"/>
                <w:kern w:val="0"/>
                <w:sz w:val="21"/>
                <w:szCs w:val="21"/>
                <w:highlight w:val="none"/>
                <w:lang w:val="en-US" w:eastAsia="zh-CN"/>
              </w:rPr>
              <w:t>1</w:t>
            </w:r>
            <w:r>
              <w:rPr>
                <w:rFonts w:hint="eastAsia" w:ascii="Times New Roman" w:hAnsi="Times New Roman" w:eastAsia="宋体" w:cs="Times New Roman"/>
                <w:snapToGrid w:val="0"/>
                <w:color w:val="auto"/>
                <w:kern w:val="0"/>
                <w:sz w:val="21"/>
                <w:szCs w:val="21"/>
                <w:highlight w:val="none"/>
                <w:lang w:val="en-US" w:eastAsia="zh-CN"/>
              </w:rPr>
              <w:t>962-2015）中表1A级标准</w:t>
            </w:r>
          </w:p>
        </w:tc>
        <w:tc>
          <w:tcPr>
            <w:tcW w:w="0" w:type="auto"/>
            <w:vMerge w:val="restart"/>
            <w:tcBorders>
              <w:top w:val="single" w:color="auto" w:sz="4" w:space="0"/>
              <w:left w:val="single" w:color="auto" w:sz="4" w:space="0"/>
              <w:right w:val="single" w:color="auto" w:sz="4" w:space="0"/>
            </w:tcBorders>
            <w:vAlign w:val="center"/>
          </w:tcPr>
          <w:p w14:paraId="25F880A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kern w:val="2"/>
                <w:sz w:val="21"/>
                <w:szCs w:val="21"/>
                <w:highlight w:val="none"/>
                <w:lang w:val="zh-CN" w:eastAsia="zh-CN" w:bidi="ar-SA"/>
              </w:rPr>
              <w:t>HJ</w:t>
            </w:r>
            <w:r>
              <w:rPr>
                <w:rFonts w:hint="default" w:ascii="Times New Roman" w:hAnsi="Times New Roman" w:eastAsia="宋体" w:cs="Times New Roman"/>
                <w:color w:val="auto"/>
                <w:kern w:val="2"/>
                <w:sz w:val="21"/>
                <w:szCs w:val="21"/>
                <w:highlight w:val="none"/>
                <w:lang w:val="en-US" w:eastAsia="zh-CN" w:bidi="ar-SA"/>
              </w:rPr>
              <w:t xml:space="preserve"> 947-2018</w:t>
            </w:r>
          </w:p>
        </w:tc>
        <w:tc>
          <w:tcPr>
            <w:tcW w:w="0" w:type="auto"/>
            <w:vMerge w:val="restart"/>
            <w:tcBorders>
              <w:top w:val="single" w:color="auto" w:sz="4" w:space="0"/>
              <w:left w:val="single" w:color="auto" w:sz="4" w:space="0"/>
              <w:right w:val="single" w:color="auto" w:sz="4" w:space="0"/>
            </w:tcBorders>
            <w:vAlign w:val="center"/>
          </w:tcPr>
          <w:p w14:paraId="2800C39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eastAsia" w:cs="Times New Roman"/>
                <w:snapToGrid w:val="0"/>
                <w:color w:val="auto"/>
                <w:kern w:val="0"/>
                <w:sz w:val="21"/>
                <w:szCs w:val="21"/>
                <w:highlight w:val="none"/>
                <w:lang w:val="en-US" w:eastAsia="zh-CN"/>
              </w:rPr>
              <w:t>送至</w:t>
            </w:r>
            <w:r>
              <w:rPr>
                <w:rFonts w:hint="eastAsia" w:ascii="Times New Roman" w:hAnsi="Times New Roman" w:eastAsia="宋体" w:cs="Times New Roman"/>
                <w:snapToGrid w:val="0"/>
                <w:color w:val="auto"/>
                <w:kern w:val="0"/>
                <w:sz w:val="21"/>
                <w:szCs w:val="21"/>
                <w:highlight w:val="none"/>
                <w:lang w:val="en-US" w:eastAsia="zh-CN"/>
              </w:rPr>
              <w:t>乌苏市</w:t>
            </w:r>
            <w:r>
              <w:rPr>
                <w:rFonts w:hint="eastAsia" w:ascii="Times New Roman" w:hAnsi="Times New Roman" w:eastAsia="宋体" w:cs="Times New Roman"/>
                <w:snapToGrid w:val="0"/>
                <w:color w:val="auto"/>
                <w:kern w:val="0"/>
                <w:sz w:val="21"/>
                <w:szCs w:val="21"/>
                <w:highlight w:val="none"/>
              </w:rPr>
              <w:t>西区污水处理厂</w:t>
            </w:r>
            <w:r>
              <w:rPr>
                <w:rFonts w:hint="eastAsia" w:cs="Times New Roman"/>
                <w:snapToGrid w:val="0"/>
                <w:color w:val="auto"/>
                <w:kern w:val="0"/>
                <w:sz w:val="21"/>
                <w:szCs w:val="21"/>
                <w:highlight w:val="none"/>
                <w:lang w:val="en-US" w:eastAsia="zh-CN"/>
              </w:rPr>
              <w:t>一期工程厂区</w:t>
            </w:r>
            <w:r>
              <w:rPr>
                <w:rFonts w:ascii="Times New Roman" w:hAnsi="Times New Roman" w:eastAsia="宋体" w:cs="Times New Roman"/>
                <w:snapToGrid w:val="0"/>
                <w:color w:val="auto"/>
                <w:kern w:val="0"/>
                <w:sz w:val="21"/>
                <w:szCs w:val="21"/>
                <w:highlight w:val="none"/>
              </w:rPr>
              <w:t>总排放口</w:t>
            </w:r>
          </w:p>
        </w:tc>
        <w:tc>
          <w:tcPr>
            <w:tcW w:w="0" w:type="auto"/>
            <w:tcBorders>
              <w:top w:val="single" w:color="auto" w:sz="4" w:space="0"/>
              <w:left w:val="single" w:color="auto" w:sz="4" w:space="0"/>
              <w:right w:val="single" w:color="auto" w:sz="4" w:space="0"/>
            </w:tcBorders>
            <w:vAlign w:val="center"/>
          </w:tcPr>
          <w:p w14:paraId="4FFE044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r w14:paraId="3598270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57F39AD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062DDE0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p>
        </w:tc>
        <w:tc>
          <w:tcPr>
            <w:tcW w:w="0" w:type="auto"/>
            <w:gridSpan w:val="2"/>
            <w:tcBorders>
              <w:top w:val="single" w:color="auto" w:sz="4" w:space="0"/>
              <w:left w:val="single" w:color="auto" w:sz="4" w:space="0"/>
              <w:bottom w:val="single" w:color="auto" w:sz="4" w:space="0"/>
              <w:right w:val="single" w:color="auto" w:sz="4" w:space="0"/>
            </w:tcBorders>
            <w:vAlign w:val="center"/>
          </w:tcPr>
          <w:p w14:paraId="3E1749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悬浮物</w:t>
            </w:r>
          </w:p>
        </w:tc>
        <w:tc>
          <w:tcPr>
            <w:tcW w:w="0" w:type="auto"/>
            <w:tcBorders>
              <w:top w:val="single" w:color="auto" w:sz="4" w:space="0"/>
              <w:left w:val="single" w:color="auto" w:sz="4" w:space="0"/>
              <w:bottom w:val="single" w:color="auto" w:sz="4" w:space="0"/>
              <w:right w:val="single" w:color="auto" w:sz="4" w:space="0"/>
            </w:tcBorders>
            <w:vAlign w:val="center"/>
          </w:tcPr>
          <w:p w14:paraId="549DD3B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月</w:t>
            </w:r>
          </w:p>
        </w:tc>
        <w:tc>
          <w:tcPr>
            <w:tcW w:w="0" w:type="auto"/>
            <w:vMerge w:val="continue"/>
            <w:tcBorders>
              <w:left w:val="single" w:color="auto" w:sz="4" w:space="0"/>
              <w:right w:val="single" w:color="auto" w:sz="4" w:space="0"/>
            </w:tcBorders>
            <w:vAlign w:val="center"/>
          </w:tcPr>
          <w:p w14:paraId="549F19C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p>
        </w:tc>
        <w:tc>
          <w:tcPr>
            <w:tcW w:w="0" w:type="auto"/>
            <w:vMerge w:val="continue"/>
            <w:tcBorders>
              <w:left w:val="single" w:color="auto" w:sz="4" w:space="0"/>
              <w:right w:val="single" w:color="auto" w:sz="4" w:space="0"/>
            </w:tcBorders>
            <w:vAlign w:val="center"/>
          </w:tcPr>
          <w:p w14:paraId="3636D89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zh-CN" w:eastAsia="zh-CN" w:bidi="ar-SA"/>
              </w:rPr>
            </w:pPr>
          </w:p>
        </w:tc>
        <w:tc>
          <w:tcPr>
            <w:tcW w:w="0" w:type="auto"/>
            <w:vMerge w:val="continue"/>
            <w:tcBorders>
              <w:left w:val="single" w:color="auto" w:sz="4" w:space="0"/>
              <w:right w:val="single" w:color="auto" w:sz="4" w:space="0"/>
            </w:tcBorders>
            <w:vAlign w:val="center"/>
          </w:tcPr>
          <w:p w14:paraId="73ECD7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zh-CN" w:eastAsia="zh-CN" w:bidi="ar-SA"/>
              </w:rPr>
            </w:pPr>
          </w:p>
        </w:tc>
        <w:tc>
          <w:tcPr>
            <w:tcW w:w="0" w:type="auto"/>
            <w:tcBorders>
              <w:left w:val="single" w:color="auto" w:sz="4" w:space="0"/>
              <w:right w:val="single" w:color="auto" w:sz="4" w:space="0"/>
            </w:tcBorders>
            <w:vAlign w:val="center"/>
          </w:tcPr>
          <w:p w14:paraId="2648F3A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r w14:paraId="0EDE873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bottom w:val="single" w:color="auto" w:sz="4" w:space="0"/>
              <w:right w:val="single" w:color="auto" w:sz="4" w:space="0"/>
            </w:tcBorders>
            <w:vAlign w:val="center"/>
          </w:tcPr>
          <w:p w14:paraId="546A416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2EACBBC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gridSpan w:val="2"/>
            <w:tcBorders>
              <w:top w:val="single" w:color="auto" w:sz="4" w:space="0"/>
              <w:left w:val="single" w:color="auto" w:sz="4" w:space="0"/>
              <w:bottom w:val="single" w:color="auto" w:sz="4" w:space="0"/>
              <w:right w:val="single" w:color="auto" w:sz="4" w:space="0"/>
            </w:tcBorders>
            <w:vAlign w:val="center"/>
          </w:tcPr>
          <w:p w14:paraId="2C15559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五日生化需氧量</w:t>
            </w:r>
            <w:r>
              <w:rPr>
                <w:rFonts w:hint="eastAsia" w:cs="Times New Roman"/>
                <w:snapToGrid w:val="0"/>
                <w:color w:val="auto"/>
                <w:kern w:val="0"/>
                <w:sz w:val="21"/>
                <w:szCs w:val="21"/>
                <w:highlight w:val="none"/>
                <w:lang w:eastAsia="zh-CN"/>
              </w:rPr>
              <w:t>、</w:t>
            </w:r>
            <w:r>
              <w:rPr>
                <w:rFonts w:hint="eastAsia" w:cs="Times New Roman"/>
                <w:snapToGrid w:val="0"/>
                <w:color w:val="auto"/>
                <w:kern w:val="0"/>
                <w:sz w:val="21"/>
                <w:szCs w:val="21"/>
                <w:highlight w:val="none"/>
                <w:lang w:val="en-US" w:eastAsia="zh-CN"/>
              </w:rPr>
              <w:t>TDS</w:t>
            </w:r>
          </w:p>
        </w:tc>
        <w:tc>
          <w:tcPr>
            <w:tcW w:w="0" w:type="auto"/>
            <w:tcBorders>
              <w:top w:val="single" w:color="auto" w:sz="4" w:space="0"/>
              <w:left w:val="single" w:color="auto" w:sz="4" w:space="0"/>
              <w:bottom w:val="single" w:color="auto" w:sz="4" w:space="0"/>
              <w:right w:val="single" w:color="auto" w:sz="4" w:space="0"/>
            </w:tcBorders>
            <w:vAlign w:val="center"/>
          </w:tcPr>
          <w:p w14:paraId="51BD676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季度</w:t>
            </w:r>
          </w:p>
        </w:tc>
        <w:tc>
          <w:tcPr>
            <w:tcW w:w="0" w:type="auto"/>
            <w:vMerge w:val="continue"/>
            <w:tcBorders>
              <w:left w:val="single" w:color="auto" w:sz="4" w:space="0"/>
              <w:bottom w:val="single" w:color="auto" w:sz="4" w:space="0"/>
              <w:right w:val="single" w:color="auto" w:sz="4" w:space="0"/>
            </w:tcBorders>
            <w:vAlign w:val="center"/>
          </w:tcPr>
          <w:p w14:paraId="50C6797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1D6D999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2B318C3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right w:val="single" w:color="auto" w:sz="4" w:space="0"/>
            </w:tcBorders>
            <w:vAlign w:val="center"/>
          </w:tcPr>
          <w:p w14:paraId="6026F7B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w:t>
            </w:r>
          </w:p>
        </w:tc>
      </w:tr>
      <w:tr w14:paraId="7AC7D02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left w:val="single" w:color="auto" w:sz="4" w:space="0"/>
              <w:right w:val="single" w:color="auto" w:sz="4" w:space="0"/>
            </w:tcBorders>
            <w:vAlign w:val="center"/>
          </w:tcPr>
          <w:p w14:paraId="3C180C7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2</w:t>
            </w:r>
          </w:p>
        </w:tc>
        <w:tc>
          <w:tcPr>
            <w:tcW w:w="0" w:type="auto"/>
            <w:vMerge w:val="restart"/>
            <w:tcBorders>
              <w:left w:val="single" w:color="auto" w:sz="4" w:space="0"/>
              <w:right w:val="single" w:color="auto" w:sz="4" w:space="0"/>
            </w:tcBorders>
            <w:vAlign w:val="center"/>
          </w:tcPr>
          <w:p w14:paraId="1E1FDF2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送至</w:t>
            </w:r>
            <w:r>
              <w:rPr>
                <w:rFonts w:hint="eastAsia" w:ascii="Times New Roman" w:hAnsi="Times New Roman" w:eastAsia="宋体" w:cs="Times New Roman"/>
                <w:snapToGrid w:val="0"/>
                <w:color w:val="auto"/>
                <w:kern w:val="0"/>
                <w:sz w:val="21"/>
                <w:szCs w:val="21"/>
                <w:highlight w:val="none"/>
                <w:lang w:val="en-US" w:eastAsia="zh-CN"/>
              </w:rPr>
              <w:t>乌苏市</w:t>
            </w:r>
            <w:r>
              <w:rPr>
                <w:rFonts w:hint="eastAsia" w:ascii="Times New Roman" w:hAnsi="Times New Roman" w:eastAsia="宋体" w:cs="Times New Roman"/>
                <w:snapToGrid w:val="0"/>
                <w:color w:val="auto"/>
                <w:kern w:val="0"/>
                <w:sz w:val="21"/>
                <w:szCs w:val="21"/>
                <w:highlight w:val="none"/>
              </w:rPr>
              <w:t>西区污水处理厂</w:t>
            </w:r>
            <w:r>
              <w:rPr>
                <w:rFonts w:hint="eastAsia" w:cs="Times New Roman"/>
                <w:snapToGrid w:val="0"/>
                <w:color w:val="auto"/>
                <w:kern w:val="0"/>
                <w:sz w:val="21"/>
                <w:szCs w:val="21"/>
                <w:highlight w:val="none"/>
                <w:lang w:val="en-US" w:eastAsia="zh-CN"/>
              </w:rPr>
              <w:t>二期</w:t>
            </w:r>
            <w:r>
              <w:rPr>
                <w:rFonts w:ascii="Times New Roman" w:hAnsi="Times New Roman" w:eastAsia="宋体" w:cs="Times New Roman"/>
                <w:snapToGrid w:val="0"/>
                <w:color w:val="auto"/>
                <w:kern w:val="0"/>
                <w:sz w:val="21"/>
                <w:szCs w:val="21"/>
                <w:highlight w:val="none"/>
              </w:rPr>
              <w:t>总排放口</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583ECA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流量、化学需氧量、氨氮</w:t>
            </w:r>
          </w:p>
        </w:tc>
        <w:tc>
          <w:tcPr>
            <w:tcW w:w="0" w:type="auto"/>
            <w:tcBorders>
              <w:top w:val="single" w:color="auto" w:sz="4" w:space="0"/>
              <w:left w:val="single" w:color="auto" w:sz="4" w:space="0"/>
              <w:bottom w:val="single" w:color="auto" w:sz="4" w:space="0"/>
              <w:right w:val="single" w:color="auto" w:sz="4" w:space="0"/>
            </w:tcBorders>
            <w:vAlign w:val="center"/>
          </w:tcPr>
          <w:p w14:paraId="53D331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自动监测</w:t>
            </w:r>
          </w:p>
        </w:tc>
        <w:tc>
          <w:tcPr>
            <w:tcW w:w="0" w:type="auto"/>
            <w:vMerge w:val="restart"/>
            <w:tcBorders>
              <w:left w:val="single" w:color="auto" w:sz="4" w:space="0"/>
              <w:right w:val="single" w:color="auto" w:sz="4" w:space="0"/>
            </w:tcBorders>
            <w:vAlign w:val="center"/>
          </w:tcPr>
          <w:p w14:paraId="29D34EC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企业与园区污水处理厂商定的协议标准限值</w:t>
            </w:r>
          </w:p>
        </w:tc>
        <w:tc>
          <w:tcPr>
            <w:tcW w:w="0" w:type="auto"/>
            <w:vMerge w:val="continue"/>
            <w:tcBorders>
              <w:left w:val="single" w:color="auto" w:sz="4" w:space="0"/>
              <w:right w:val="single" w:color="auto" w:sz="4" w:space="0"/>
            </w:tcBorders>
            <w:vAlign w:val="center"/>
          </w:tcPr>
          <w:p w14:paraId="67AF9E6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restart"/>
            <w:tcBorders>
              <w:left w:val="single" w:color="auto" w:sz="4" w:space="0"/>
              <w:right w:val="single" w:color="auto" w:sz="4" w:space="0"/>
            </w:tcBorders>
            <w:vAlign w:val="center"/>
          </w:tcPr>
          <w:p w14:paraId="3C93BC6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送至</w:t>
            </w:r>
            <w:r>
              <w:rPr>
                <w:rFonts w:hint="eastAsia" w:ascii="Times New Roman" w:hAnsi="Times New Roman" w:eastAsia="宋体" w:cs="Times New Roman"/>
                <w:snapToGrid w:val="0"/>
                <w:color w:val="auto"/>
                <w:kern w:val="0"/>
                <w:sz w:val="21"/>
                <w:szCs w:val="21"/>
                <w:highlight w:val="none"/>
                <w:lang w:val="en-US" w:eastAsia="zh-CN"/>
              </w:rPr>
              <w:t>乌苏市</w:t>
            </w:r>
            <w:r>
              <w:rPr>
                <w:rFonts w:hint="eastAsia" w:ascii="Times New Roman" w:hAnsi="Times New Roman" w:eastAsia="宋体" w:cs="Times New Roman"/>
                <w:snapToGrid w:val="0"/>
                <w:color w:val="auto"/>
                <w:kern w:val="0"/>
                <w:sz w:val="21"/>
                <w:szCs w:val="21"/>
                <w:highlight w:val="none"/>
              </w:rPr>
              <w:t>西区污水处理厂</w:t>
            </w:r>
            <w:r>
              <w:rPr>
                <w:rFonts w:hint="eastAsia" w:cs="Times New Roman"/>
                <w:snapToGrid w:val="0"/>
                <w:color w:val="auto"/>
                <w:kern w:val="0"/>
                <w:sz w:val="21"/>
                <w:szCs w:val="21"/>
                <w:highlight w:val="none"/>
                <w:lang w:val="en-US" w:eastAsia="zh-CN"/>
              </w:rPr>
              <w:t>二期</w:t>
            </w:r>
            <w:r>
              <w:rPr>
                <w:rFonts w:ascii="Times New Roman" w:hAnsi="Times New Roman" w:eastAsia="宋体" w:cs="Times New Roman"/>
                <w:snapToGrid w:val="0"/>
                <w:color w:val="auto"/>
                <w:kern w:val="0"/>
                <w:sz w:val="21"/>
                <w:szCs w:val="21"/>
                <w:highlight w:val="none"/>
              </w:rPr>
              <w:t>总排放口</w:t>
            </w:r>
          </w:p>
        </w:tc>
        <w:tc>
          <w:tcPr>
            <w:tcW w:w="0" w:type="auto"/>
            <w:tcBorders>
              <w:left w:val="single" w:color="auto" w:sz="4" w:space="0"/>
              <w:right w:val="single" w:color="auto" w:sz="4" w:space="0"/>
            </w:tcBorders>
            <w:vAlign w:val="center"/>
          </w:tcPr>
          <w:p w14:paraId="6C8D77D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化学需氧量</w:t>
            </w:r>
            <w:r>
              <w:rPr>
                <w:rFonts w:hint="eastAsia" w:cs="Times New Roman"/>
                <w:snapToGrid w:val="0"/>
                <w:color w:val="auto"/>
                <w:kern w:val="0"/>
                <w:sz w:val="21"/>
                <w:szCs w:val="21"/>
                <w:highlight w:val="none"/>
                <w:lang w:eastAsia="zh-CN"/>
              </w:rPr>
              <w:t>：水质</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化学需氧量的测定 重铬酸盐法</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HJ828-2017</w:t>
            </w:r>
          </w:p>
          <w:p w14:paraId="3C631C7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氨氮</w:t>
            </w:r>
            <w:r>
              <w:rPr>
                <w:rFonts w:hint="eastAsia" w:cs="Times New Roman"/>
                <w:snapToGrid w:val="0"/>
                <w:color w:val="auto"/>
                <w:kern w:val="0"/>
                <w:sz w:val="21"/>
                <w:szCs w:val="21"/>
                <w:highlight w:val="none"/>
                <w:lang w:eastAsia="zh-CN"/>
              </w:rPr>
              <w:t>：水质氨氮的测定</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纳氏试剂分光光度法</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HJ535-2009</w:t>
            </w:r>
          </w:p>
        </w:tc>
      </w:tr>
      <w:tr w14:paraId="205F673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right w:val="single" w:color="auto" w:sz="4" w:space="0"/>
            </w:tcBorders>
            <w:vAlign w:val="center"/>
          </w:tcPr>
          <w:p w14:paraId="5CD76F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p>
        </w:tc>
        <w:tc>
          <w:tcPr>
            <w:tcW w:w="0" w:type="auto"/>
            <w:vMerge w:val="continue"/>
            <w:tcBorders>
              <w:left w:val="single" w:color="auto" w:sz="4" w:space="0"/>
              <w:right w:val="single" w:color="auto" w:sz="4" w:space="0"/>
            </w:tcBorders>
            <w:vAlign w:val="center"/>
          </w:tcPr>
          <w:p w14:paraId="3DFB73F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p>
        </w:tc>
        <w:tc>
          <w:tcPr>
            <w:tcW w:w="0" w:type="auto"/>
            <w:gridSpan w:val="2"/>
            <w:tcBorders>
              <w:top w:val="single" w:color="auto" w:sz="4" w:space="0"/>
              <w:left w:val="single" w:color="auto" w:sz="4" w:space="0"/>
              <w:bottom w:val="single" w:color="auto" w:sz="4" w:space="0"/>
              <w:right w:val="single" w:color="auto" w:sz="4" w:space="0"/>
            </w:tcBorders>
            <w:vAlign w:val="center"/>
          </w:tcPr>
          <w:p w14:paraId="79B7D7B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pH值、总磷、总氮、悬浮物</w:t>
            </w:r>
          </w:p>
        </w:tc>
        <w:tc>
          <w:tcPr>
            <w:tcW w:w="0" w:type="auto"/>
            <w:tcBorders>
              <w:top w:val="single" w:color="auto" w:sz="4" w:space="0"/>
              <w:left w:val="single" w:color="auto" w:sz="4" w:space="0"/>
              <w:bottom w:val="single" w:color="auto" w:sz="4" w:space="0"/>
              <w:right w:val="single" w:color="auto" w:sz="4" w:space="0"/>
            </w:tcBorders>
            <w:vAlign w:val="center"/>
          </w:tcPr>
          <w:p w14:paraId="540FF5E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月</w:t>
            </w:r>
          </w:p>
        </w:tc>
        <w:tc>
          <w:tcPr>
            <w:tcW w:w="0" w:type="auto"/>
            <w:vMerge w:val="continue"/>
            <w:tcBorders>
              <w:left w:val="single" w:color="auto" w:sz="4" w:space="0"/>
              <w:right w:val="single" w:color="auto" w:sz="4" w:space="0"/>
            </w:tcBorders>
            <w:vAlign w:val="center"/>
          </w:tcPr>
          <w:p w14:paraId="6600B06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right w:val="single" w:color="auto" w:sz="4" w:space="0"/>
            </w:tcBorders>
            <w:vAlign w:val="center"/>
          </w:tcPr>
          <w:p w14:paraId="73FB386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zh-CN" w:eastAsia="zh-CN" w:bidi="ar-SA"/>
              </w:rPr>
            </w:pPr>
          </w:p>
        </w:tc>
        <w:tc>
          <w:tcPr>
            <w:tcW w:w="0" w:type="auto"/>
            <w:vMerge w:val="continue"/>
            <w:tcBorders>
              <w:left w:val="single" w:color="auto" w:sz="4" w:space="0"/>
              <w:right w:val="single" w:color="auto" w:sz="4" w:space="0"/>
            </w:tcBorders>
            <w:vAlign w:val="center"/>
          </w:tcPr>
          <w:p w14:paraId="16CDAC6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zh-CN" w:eastAsia="zh-CN" w:bidi="ar-SA"/>
              </w:rPr>
            </w:pPr>
          </w:p>
        </w:tc>
        <w:tc>
          <w:tcPr>
            <w:tcW w:w="0" w:type="auto"/>
            <w:tcBorders>
              <w:left w:val="single" w:color="auto" w:sz="4" w:space="0"/>
              <w:right w:val="single" w:color="auto" w:sz="4" w:space="0"/>
            </w:tcBorders>
            <w:vAlign w:val="center"/>
          </w:tcPr>
          <w:p w14:paraId="33A518B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pH值</w:t>
            </w:r>
            <w:r>
              <w:rPr>
                <w:rFonts w:hint="eastAsia" w:cs="Times New Roman"/>
                <w:snapToGrid w:val="0"/>
                <w:color w:val="auto"/>
                <w:kern w:val="0"/>
                <w:sz w:val="21"/>
                <w:szCs w:val="21"/>
                <w:highlight w:val="none"/>
                <w:lang w:eastAsia="zh-CN"/>
              </w:rPr>
              <w:t>：水质 pH值的测定电极法</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HJ1147-2020</w:t>
            </w:r>
          </w:p>
          <w:p w14:paraId="6A7AAF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总磷</w:t>
            </w:r>
            <w:r>
              <w:rPr>
                <w:rFonts w:hint="eastAsia" w:cs="Times New Roman"/>
                <w:snapToGrid w:val="0"/>
                <w:color w:val="auto"/>
                <w:kern w:val="0"/>
                <w:sz w:val="21"/>
                <w:szCs w:val="21"/>
                <w:highlight w:val="none"/>
                <w:lang w:eastAsia="zh-CN"/>
              </w:rPr>
              <w:t>：水质总磷的测定</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钼酸铵分光光度法</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GB11893-1989</w:t>
            </w:r>
          </w:p>
          <w:p w14:paraId="25F46A9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eastAsia="zh-CN"/>
              </w:rPr>
            </w:pPr>
            <w:r>
              <w:rPr>
                <w:rFonts w:ascii="Times New Roman" w:hAnsi="Times New Roman" w:eastAsia="宋体" w:cs="Times New Roman"/>
                <w:snapToGrid w:val="0"/>
                <w:color w:val="auto"/>
                <w:kern w:val="0"/>
                <w:sz w:val="21"/>
                <w:szCs w:val="21"/>
                <w:highlight w:val="none"/>
              </w:rPr>
              <w:t>总氮</w:t>
            </w:r>
            <w:r>
              <w:rPr>
                <w:rFonts w:hint="eastAsia" w:cs="Times New Roman"/>
                <w:snapToGrid w:val="0"/>
                <w:color w:val="auto"/>
                <w:kern w:val="0"/>
                <w:sz w:val="21"/>
                <w:szCs w:val="21"/>
                <w:highlight w:val="none"/>
                <w:lang w:eastAsia="zh-CN"/>
              </w:rPr>
              <w:t>：水质总氮的测定</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碱性过硫酸钾消解紫外分光光度法</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HJ636-2012</w:t>
            </w:r>
          </w:p>
          <w:p w14:paraId="3DC4403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rPr>
              <w:t>悬浮物</w:t>
            </w:r>
            <w:r>
              <w:rPr>
                <w:rFonts w:hint="eastAsia" w:cs="Times New Roman"/>
                <w:snapToGrid w:val="0"/>
                <w:color w:val="auto"/>
                <w:kern w:val="0"/>
                <w:sz w:val="21"/>
                <w:szCs w:val="21"/>
                <w:highlight w:val="none"/>
                <w:lang w:eastAsia="zh-CN"/>
              </w:rPr>
              <w:t>：水质</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悬浮物的测定 重量法</w:t>
            </w:r>
            <w:r>
              <w:rPr>
                <w:rFonts w:hint="eastAsia" w:cs="Times New Roman"/>
                <w:snapToGrid w:val="0"/>
                <w:color w:val="auto"/>
                <w:kern w:val="0"/>
                <w:sz w:val="21"/>
                <w:szCs w:val="21"/>
                <w:highlight w:val="none"/>
                <w:lang w:val="en-US" w:eastAsia="zh-CN"/>
              </w:rPr>
              <w:t xml:space="preserve"> </w:t>
            </w:r>
            <w:r>
              <w:rPr>
                <w:rFonts w:hint="eastAsia" w:cs="Times New Roman"/>
                <w:snapToGrid w:val="0"/>
                <w:color w:val="auto"/>
                <w:kern w:val="0"/>
                <w:sz w:val="21"/>
                <w:szCs w:val="21"/>
                <w:highlight w:val="none"/>
                <w:lang w:eastAsia="zh-CN"/>
              </w:rPr>
              <w:t>GB11901-1989</w:t>
            </w:r>
          </w:p>
        </w:tc>
      </w:tr>
      <w:tr w14:paraId="371CEEB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left w:val="single" w:color="auto" w:sz="4" w:space="0"/>
              <w:bottom w:val="single" w:color="auto" w:sz="4" w:space="0"/>
              <w:right w:val="single" w:color="auto" w:sz="4" w:space="0"/>
            </w:tcBorders>
            <w:vAlign w:val="center"/>
          </w:tcPr>
          <w:p w14:paraId="695F3F6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p>
        </w:tc>
        <w:tc>
          <w:tcPr>
            <w:tcW w:w="0" w:type="auto"/>
            <w:vMerge w:val="continue"/>
            <w:tcBorders>
              <w:left w:val="single" w:color="auto" w:sz="4" w:space="0"/>
              <w:bottom w:val="single" w:color="auto" w:sz="4" w:space="0"/>
              <w:right w:val="single" w:color="auto" w:sz="4" w:space="0"/>
            </w:tcBorders>
            <w:vAlign w:val="center"/>
          </w:tcPr>
          <w:p w14:paraId="2D6C895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p>
        </w:tc>
        <w:tc>
          <w:tcPr>
            <w:tcW w:w="0" w:type="auto"/>
            <w:gridSpan w:val="2"/>
            <w:tcBorders>
              <w:top w:val="single" w:color="auto" w:sz="4" w:space="0"/>
              <w:left w:val="single" w:color="auto" w:sz="4" w:space="0"/>
              <w:bottom w:val="single" w:color="auto" w:sz="4" w:space="0"/>
              <w:right w:val="single" w:color="auto" w:sz="4" w:space="0"/>
            </w:tcBorders>
            <w:vAlign w:val="center"/>
          </w:tcPr>
          <w:p w14:paraId="1168209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五日生化需氧量</w:t>
            </w:r>
          </w:p>
        </w:tc>
        <w:tc>
          <w:tcPr>
            <w:tcW w:w="0" w:type="auto"/>
            <w:tcBorders>
              <w:top w:val="single" w:color="auto" w:sz="4" w:space="0"/>
              <w:left w:val="single" w:color="auto" w:sz="4" w:space="0"/>
              <w:bottom w:val="single" w:color="auto" w:sz="4" w:space="0"/>
              <w:right w:val="single" w:color="auto" w:sz="4" w:space="0"/>
            </w:tcBorders>
            <w:vAlign w:val="center"/>
          </w:tcPr>
          <w:p w14:paraId="28AB1A9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季度</w:t>
            </w:r>
          </w:p>
        </w:tc>
        <w:tc>
          <w:tcPr>
            <w:tcW w:w="0" w:type="auto"/>
            <w:vMerge w:val="continue"/>
            <w:tcBorders>
              <w:left w:val="single" w:color="auto" w:sz="4" w:space="0"/>
              <w:bottom w:val="single" w:color="auto" w:sz="4" w:space="0"/>
              <w:right w:val="single" w:color="auto" w:sz="4" w:space="0"/>
            </w:tcBorders>
            <w:vAlign w:val="center"/>
          </w:tcPr>
          <w:p w14:paraId="6F2CC63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7FE16C4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4C876EE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p>
        </w:tc>
        <w:tc>
          <w:tcPr>
            <w:tcW w:w="0" w:type="auto"/>
            <w:tcBorders>
              <w:left w:val="single" w:color="auto" w:sz="4" w:space="0"/>
              <w:bottom w:val="single" w:color="auto" w:sz="4" w:space="0"/>
              <w:right w:val="single" w:color="auto" w:sz="4" w:space="0"/>
            </w:tcBorders>
            <w:vAlign w:val="center"/>
          </w:tcPr>
          <w:p w14:paraId="7064C18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水质 五日生化需氧量(B0D</w:t>
            </w:r>
            <w:r>
              <w:rPr>
                <w:rFonts w:hint="eastAsia" w:cs="Times New Roman"/>
                <w:snapToGrid w:val="0"/>
                <w:color w:val="auto"/>
                <w:kern w:val="0"/>
                <w:sz w:val="21"/>
                <w:szCs w:val="21"/>
                <w:highlight w:val="none"/>
                <w:vertAlign w:val="subscript"/>
                <w:lang w:val="en-US" w:eastAsia="zh-CN"/>
              </w:rPr>
              <w:t>5</w:t>
            </w:r>
            <w:r>
              <w:rPr>
                <w:rFonts w:hint="eastAsia" w:ascii="Times New Roman" w:hAnsi="Times New Roman" w:eastAsia="宋体" w:cs="Times New Roman"/>
                <w:snapToGrid w:val="0"/>
                <w:color w:val="auto"/>
                <w:kern w:val="0"/>
                <w:sz w:val="21"/>
                <w:szCs w:val="21"/>
                <w:highlight w:val="none"/>
                <w:lang w:val="en-US" w:eastAsia="zh-CN"/>
              </w:rPr>
              <w:t>)的测定</w:t>
            </w:r>
            <w:r>
              <w:rPr>
                <w:rFonts w:hint="eastAsia" w:cs="Times New Roman"/>
                <w:snapToGrid w:val="0"/>
                <w:color w:val="auto"/>
                <w:kern w:val="0"/>
                <w:sz w:val="21"/>
                <w:szCs w:val="21"/>
                <w:highlight w:val="none"/>
                <w:lang w:val="en-US" w:eastAsia="zh-CN"/>
              </w:rPr>
              <w:t xml:space="preserve"> </w:t>
            </w:r>
            <w:r>
              <w:rPr>
                <w:rFonts w:hint="eastAsia" w:ascii="Times New Roman" w:hAnsi="Times New Roman" w:eastAsia="宋体" w:cs="Times New Roman"/>
                <w:snapToGrid w:val="0"/>
                <w:color w:val="auto"/>
                <w:kern w:val="0"/>
                <w:sz w:val="21"/>
                <w:szCs w:val="21"/>
                <w:highlight w:val="none"/>
                <w:lang w:val="en-US" w:eastAsia="zh-CN"/>
              </w:rPr>
              <w:t>稀释与接种法 HJ505-2009</w:t>
            </w:r>
          </w:p>
        </w:tc>
      </w:tr>
      <w:tr w14:paraId="12C9C316">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left w:val="single" w:color="auto" w:sz="4" w:space="0"/>
              <w:bottom w:val="single" w:color="auto" w:sz="4" w:space="0"/>
              <w:right w:val="single" w:color="auto" w:sz="4" w:space="0"/>
            </w:tcBorders>
            <w:vAlign w:val="center"/>
          </w:tcPr>
          <w:p w14:paraId="5589D49F">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注：凯赛厂区已有送至</w:t>
            </w:r>
            <w:r>
              <w:rPr>
                <w:rFonts w:hint="eastAsia" w:ascii="Times New Roman" w:hAnsi="Times New Roman" w:eastAsia="宋体" w:cs="Times New Roman"/>
                <w:snapToGrid w:val="0"/>
                <w:color w:val="auto"/>
                <w:kern w:val="0"/>
                <w:sz w:val="21"/>
                <w:szCs w:val="21"/>
                <w:highlight w:val="none"/>
                <w:lang w:val="en-US" w:eastAsia="zh-CN"/>
              </w:rPr>
              <w:t>乌苏市</w:t>
            </w:r>
            <w:r>
              <w:rPr>
                <w:rFonts w:hint="eastAsia" w:ascii="Times New Roman" w:hAnsi="Times New Roman" w:eastAsia="宋体" w:cs="Times New Roman"/>
                <w:snapToGrid w:val="0"/>
                <w:color w:val="auto"/>
                <w:kern w:val="0"/>
                <w:sz w:val="21"/>
                <w:szCs w:val="21"/>
                <w:highlight w:val="none"/>
              </w:rPr>
              <w:t>西区污水处理厂</w:t>
            </w:r>
            <w:r>
              <w:rPr>
                <w:rFonts w:hint="eastAsia" w:cs="Times New Roman"/>
                <w:snapToGrid w:val="0"/>
                <w:color w:val="auto"/>
                <w:kern w:val="0"/>
                <w:sz w:val="21"/>
                <w:szCs w:val="21"/>
                <w:highlight w:val="none"/>
                <w:lang w:val="en-US" w:eastAsia="zh-CN"/>
              </w:rPr>
              <w:t>一期工程厂区</w:t>
            </w:r>
            <w:r>
              <w:rPr>
                <w:rFonts w:ascii="Times New Roman" w:hAnsi="Times New Roman" w:eastAsia="宋体" w:cs="Times New Roman"/>
                <w:snapToGrid w:val="0"/>
                <w:color w:val="auto"/>
                <w:kern w:val="0"/>
                <w:sz w:val="21"/>
                <w:szCs w:val="21"/>
                <w:highlight w:val="none"/>
              </w:rPr>
              <w:t>总排放口</w:t>
            </w:r>
            <w:r>
              <w:rPr>
                <w:rFonts w:hint="eastAsia" w:ascii="Times New Roman" w:hAnsi="Times New Roman" w:eastAsia="宋体" w:cs="Times New Roman"/>
                <w:snapToGrid w:val="0"/>
                <w:color w:val="auto"/>
                <w:kern w:val="0"/>
                <w:sz w:val="21"/>
                <w:szCs w:val="21"/>
                <w:highlight w:val="none"/>
                <w:lang w:val="en-US" w:eastAsia="zh-CN"/>
              </w:rPr>
              <w:t>废水</w:t>
            </w:r>
            <w:r>
              <w:rPr>
                <w:rFonts w:hint="eastAsia" w:cs="Times New Roman"/>
                <w:snapToGrid w:val="0"/>
                <w:color w:val="auto"/>
                <w:kern w:val="0"/>
                <w:sz w:val="21"/>
                <w:szCs w:val="21"/>
                <w:highlight w:val="none"/>
                <w:lang w:val="en-US" w:eastAsia="zh-CN"/>
              </w:rPr>
              <w:t>监测计划</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本项目不需要新增</w:t>
            </w:r>
            <w:r>
              <w:rPr>
                <w:rFonts w:hint="eastAsia" w:cs="Times New Roman"/>
                <w:snapToGrid w:val="0"/>
                <w:color w:val="auto"/>
                <w:kern w:val="0"/>
                <w:sz w:val="21"/>
                <w:szCs w:val="21"/>
                <w:highlight w:val="none"/>
                <w:lang w:val="en-US" w:eastAsia="zh-CN"/>
              </w:rPr>
              <w:t>此</w:t>
            </w:r>
            <w:r>
              <w:rPr>
                <w:rFonts w:hint="eastAsia" w:ascii="Times New Roman" w:hAnsi="Times New Roman" w:eastAsia="宋体" w:cs="Times New Roman"/>
                <w:snapToGrid w:val="0"/>
                <w:color w:val="auto"/>
                <w:kern w:val="0"/>
                <w:sz w:val="21"/>
                <w:szCs w:val="21"/>
                <w:highlight w:val="none"/>
                <w:lang w:val="en-US" w:eastAsia="zh-CN"/>
              </w:rPr>
              <w:t>排口监测计划。</w:t>
            </w:r>
          </w:p>
        </w:tc>
      </w:tr>
      <w:tr w14:paraId="65DA3C7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3972E4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噪声</w:t>
            </w:r>
          </w:p>
        </w:tc>
      </w:tr>
      <w:tr w14:paraId="248B692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56EC97F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2EF976B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企业边界</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06D61D0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等效</w:t>
            </w:r>
            <w:r>
              <w:rPr>
                <w:rFonts w:hint="eastAsia" w:cs="Times New Roman"/>
                <w:snapToGrid w:val="0"/>
                <w:color w:val="auto"/>
                <w:kern w:val="0"/>
                <w:sz w:val="21"/>
                <w:szCs w:val="21"/>
                <w:highlight w:val="none"/>
                <w:lang w:val="en-US" w:eastAsia="zh-CN"/>
              </w:rPr>
              <w:t>连续</w:t>
            </w:r>
            <w:r>
              <w:rPr>
                <w:rFonts w:ascii="Times New Roman" w:hAnsi="Times New Roman" w:eastAsia="宋体" w:cs="Times New Roman"/>
                <w:snapToGrid w:val="0"/>
                <w:color w:val="auto"/>
                <w:kern w:val="0"/>
                <w:sz w:val="21"/>
                <w:szCs w:val="21"/>
                <w:highlight w:val="none"/>
              </w:rPr>
              <w:t>A声级</w:t>
            </w:r>
          </w:p>
        </w:tc>
        <w:tc>
          <w:tcPr>
            <w:tcW w:w="0" w:type="auto"/>
            <w:tcBorders>
              <w:top w:val="single" w:color="auto" w:sz="4" w:space="0"/>
              <w:left w:val="single" w:color="auto" w:sz="4" w:space="0"/>
              <w:bottom w:val="single" w:color="auto" w:sz="4" w:space="0"/>
              <w:right w:val="single" w:color="auto" w:sz="4" w:space="0"/>
            </w:tcBorders>
            <w:vAlign w:val="center"/>
          </w:tcPr>
          <w:p w14:paraId="620F009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季度</w:t>
            </w:r>
          </w:p>
        </w:tc>
        <w:tc>
          <w:tcPr>
            <w:tcW w:w="0" w:type="auto"/>
            <w:tcBorders>
              <w:top w:val="single" w:color="auto" w:sz="4" w:space="0"/>
              <w:left w:val="single" w:color="auto" w:sz="4" w:space="0"/>
              <w:bottom w:val="single" w:color="auto" w:sz="4" w:space="0"/>
              <w:right w:val="single" w:color="auto" w:sz="4" w:space="0"/>
            </w:tcBorders>
            <w:vAlign w:val="center"/>
          </w:tcPr>
          <w:p w14:paraId="543C9B2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《工业企业厂界环境噪声排放标准》（GB</w:t>
            </w:r>
            <w:r>
              <w:rPr>
                <w:rFonts w:hint="eastAsia" w:ascii="Times New Roman" w:hAnsi="Times New Roman" w:eastAsia="宋体" w:cs="Times New Roman"/>
                <w:snapToGrid w:val="0"/>
                <w:color w:val="auto"/>
                <w:kern w:val="0"/>
                <w:sz w:val="21"/>
                <w:szCs w:val="21"/>
                <w:highlight w:val="none"/>
              </w:rPr>
              <w:t xml:space="preserve"> </w:t>
            </w:r>
            <w:r>
              <w:rPr>
                <w:rFonts w:ascii="Times New Roman" w:hAnsi="Times New Roman" w:eastAsia="宋体" w:cs="Times New Roman"/>
                <w:snapToGrid w:val="0"/>
                <w:color w:val="auto"/>
                <w:kern w:val="0"/>
                <w:sz w:val="21"/>
                <w:szCs w:val="21"/>
                <w:highlight w:val="none"/>
              </w:rPr>
              <w:t>12348-2008）3类标准</w:t>
            </w:r>
          </w:p>
        </w:tc>
        <w:tc>
          <w:tcPr>
            <w:tcW w:w="0" w:type="auto"/>
            <w:tcBorders>
              <w:top w:val="single" w:color="auto" w:sz="4" w:space="0"/>
              <w:left w:val="single" w:color="auto" w:sz="4" w:space="0"/>
              <w:bottom w:val="single" w:color="auto" w:sz="4" w:space="0"/>
              <w:right w:val="single" w:color="auto" w:sz="4" w:space="0"/>
            </w:tcBorders>
            <w:vAlign w:val="center"/>
          </w:tcPr>
          <w:p w14:paraId="4A08572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lang w:val="zh-CN"/>
              </w:rPr>
              <w:t>HJ</w:t>
            </w:r>
            <w:r>
              <w:rPr>
                <w:rFonts w:hint="eastAsia" w:ascii="Times New Roman" w:hAnsi="Times New Roman" w:eastAsia="宋体" w:cs="Times New Roman"/>
                <w:snapToGrid w:val="0"/>
                <w:color w:val="auto"/>
                <w:kern w:val="0"/>
                <w:sz w:val="21"/>
                <w:szCs w:val="21"/>
                <w:highlight w:val="none"/>
              </w:rPr>
              <w:t xml:space="preserve"> </w:t>
            </w:r>
            <w:r>
              <w:rPr>
                <w:rFonts w:hint="eastAsia" w:cs="Times New Roman"/>
                <w:snapToGrid w:val="0"/>
                <w:color w:val="auto"/>
                <w:kern w:val="0"/>
                <w:sz w:val="21"/>
                <w:szCs w:val="21"/>
                <w:highlight w:val="none"/>
                <w:lang w:val="en-US" w:eastAsia="zh-CN"/>
              </w:rPr>
              <w:t>819</w:t>
            </w:r>
            <w:r>
              <w:rPr>
                <w:rFonts w:hint="eastAsia" w:ascii="Times New Roman" w:hAnsi="Times New Roman" w:eastAsia="宋体" w:cs="Times New Roman"/>
                <w:snapToGrid w:val="0"/>
                <w:color w:val="auto"/>
                <w:kern w:val="0"/>
                <w:sz w:val="21"/>
                <w:szCs w:val="21"/>
                <w:highlight w:val="none"/>
              </w:rPr>
              <w:t>-2017</w:t>
            </w:r>
          </w:p>
        </w:tc>
        <w:tc>
          <w:tcPr>
            <w:tcW w:w="0" w:type="auto"/>
            <w:tcBorders>
              <w:top w:val="single" w:color="auto" w:sz="4" w:space="0"/>
              <w:left w:val="single" w:color="auto" w:sz="4" w:space="0"/>
              <w:bottom w:val="single" w:color="auto" w:sz="4" w:space="0"/>
              <w:right w:val="single" w:color="auto" w:sz="4" w:space="0"/>
            </w:tcBorders>
            <w:vAlign w:val="center"/>
          </w:tcPr>
          <w:p w14:paraId="045B733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厂界四周1m处各1个监测点</w:t>
            </w:r>
          </w:p>
        </w:tc>
        <w:tc>
          <w:tcPr>
            <w:tcW w:w="0" w:type="auto"/>
            <w:tcBorders>
              <w:top w:val="single" w:color="auto" w:sz="4" w:space="0"/>
              <w:left w:val="single" w:color="auto" w:sz="4" w:space="0"/>
              <w:bottom w:val="single" w:color="auto" w:sz="4" w:space="0"/>
              <w:right w:val="single" w:color="auto" w:sz="4" w:space="0"/>
            </w:tcBorders>
            <w:vAlign w:val="center"/>
          </w:tcPr>
          <w:p w14:paraId="294383D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w:t>
            </w:r>
          </w:p>
        </w:tc>
      </w:tr>
      <w:tr w14:paraId="30CBDE4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4091594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注：凯赛厂区已有厂界</w:t>
            </w:r>
            <w:r>
              <w:rPr>
                <w:rFonts w:hint="eastAsia" w:ascii="Times New Roman" w:hAnsi="Times New Roman" w:eastAsia="宋体" w:cs="Times New Roman"/>
                <w:snapToGrid w:val="0"/>
                <w:color w:val="auto"/>
                <w:kern w:val="0"/>
                <w:sz w:val="21"/>
                <w:szCs w:val="21"/>
                <w:highlight w:val="none"/>
                <w:lang w:val="en-US" w:eastAsia="zh-CN"/>
              </w:rPr>
              <w:t>噪声每</w:t>
            </w:r>
            <w:r>
              <w:rPr>
                <w:rFonts w:hint="eastAsia" w:cs="Times New Roman"/>
                <w:snapToGrid w:val="0"/>
                <w:color w:val="auto"/>
                <w:kern w:val="0"/>
                <w:sz w:val="21"/>
                <w:szCs w:val="21"/>
                <w:highlight w:val="none"/>
                <w:lang w:val="en-US" w:eastAsia="zh-CN"/>
              </w:rPr>
              <w:t>季度监测1次计划</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本项目不需要新增厂界噪声监测计划。</w:t>
            </w:r>
          </w:p>
        </w:tc>
      </w:tr>
      <w:tr w14:paraId="743469D3">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669D90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地下水</w:t>
            </w:r>
          </w:p>
        </w:tc>
      </w:tr>
      <w:tr w14:paraId="66A6FCD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239234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14:paraId="4E16A99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地下水（三个监控井）</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290B8DD9">
            <w:pPr>
              <w:pStyle w:val="42"/>
              <w:keepNext w:val="0"/>
              <w:keepLines w:val="0"/>
              <w:pageBreakBefore w:val="0"/>
              <w:widowControl w:val="0"/>
              <w:tabs>
                <w:tab w:val="left" w:pos="0"/>
              </w:tabs>
              <w:kinsoku/>
              <w:wordWrap/>
              <w:overflowPunct/>
              <w:topLinePunct w:val="0"/>
              <w:autoSpaceDE/>
              <w:autoSpaceDN/>
              <w:bidi w:val="0"/>
              <w:adjustRightInd/>
              <w:snapToGrid/>
              <w:spacing w:line="240" w:lineRule="auto"/>
              <w:ind w:left="0" w:firstLine="0" w:firstLineChars="0"/>
              <w:jc w:val="center"/>
              <w:textAlignment w:val="auto"/>
              <w:rPr>
                <w:color w:val="auto"/>
                <w:highlight w:val="none"/>
              </w:rPr>
            </w:pPr>
            <w:r>
              <w:rPr>
                <w:rFonts w:hint="default" w:ascii="Times New Roman" w:hAnsi="Times New Roman" w:cs="Times New Roman"/>
                <w:color w:val="auto"/>
                <w:highlight w:val="none"/>
              </w:rPr>
              <w:t>pH、溶解性总固体、总硬度、总大肠菌群、阴离子表面活性剂、总汞、总镉、六价铬、总砷、总铅、总铜、总锌、总锰、总铁、总硒、氨氮、硝酸盐、氰化物、氟化物、硫化物、氯化物、硫酸盐、耗氧量</w:t>
            </w:r>
          </w:p>
          <w:p w14:paraId="097D2A9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color w:val="auto"/>
                <w:highlight w:val="none"/>
                <w:lang w:val="en-US" w:eastAsia="zh-CN"/>
              </w:rPr>
              <w:t>新增监测因子：石油类</w:t>
            </w:r>
          </w:p>
        </w:tc>
        <w:tc>
          <w:tcPr>
            <w:tcW w:w="0" w:type="auto"/>
            <w:tcBorders>
              <w:top w:val="single" w:color="auto" w:sz="4" w:space="0"/>
              <w:left w:val="single" w:color="auto" w:sz="4" w:space="0"/>
              <w:bottom w:val="single" w:color="auto" w:sz="4" w:space="0"/>
              <w:right w:val="single" w:color="auto" w:sz="4" w:space="0"/>
            </w:tcBorders>
            <w:vAlign w:val="center"/>
          </w:tcPr>
          <w:p w14:paraId="5E6EB7F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季度</w:t>
            </w:r>
          </w:p>
        </w:tc>
        <w:tc>
          <w:tcPr>
            <w:tcW w:w="0" w:type="auto"/>
            <w:tcBorders>
              <w:top w:val="single" w:color="auto" w:sz="4" w:space="0"/>
              <w:left w:val="single" w:color="auto" w:sz="4" w:space="0"/>
              <w:bottom w:val="single" w:color="auto" w:sz="4" w:space="0"/>
              <w:right w:val="single" w:color="auto" w:sz="4" w:space="0"/>
            </w:tcBorders>
            <w:vAlign w:val="center"/>
          </w:tcPr>
          <w:p w14:paraId="3F38F8F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《地下水质量标准》（GB/T14848-2017）中的Ⅲ类标准</w:t>
            </w:r>
          </w:p>
        </w:tc>
        <w:tc>
          <w:tcPr>
            <w:tcW w:w="0" w:type="auto"/>
            <w:tcBorders>
              <w:top w:val="single" w:color="auto" w:sz="4" w:space="0"/>
              <w:left w:val="single" w:color="auto" w:sz="4" w:space="0"/>
              <w:bottom w:val="single" w:color="auto" w:sz="4" w:space="0"/>
              <w:right w:val="single" w:color="auto" w:sz="4" w:space="0"/>
            </w:tcBorders>
            <w:vAlign w:val="center"/>
          </w:tcPr>
          <w:p w14:paraId="686BDE2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zh-CN"/>
              </w:rPr>
              <w:t>HJ 1209</w:t>
            </w:r>
            <w:r>
              <w:rPr>
                <w:rFonts w:hint="eastAsia" w:cs="Times New Roman"/>
                <w:snapToGrid w:val="0"/>
                <w:color w:val="auto"/>
                <w:kern w:val="0"/>
                <w:sz w:val="21"/>
                <w:szCs w:val="21"/>
                <w:highlight w:val="none"/>
                <w:lang w:val="en-US" w:eastAsia="zh-CN"/>
              </w:rPr>
              <w:t>-2021</w:t>
            </w:r>
          </w:p>
        </w:tc>
        <w:tc>
          <w:tcPr>
            <w:tcW w:w="0" w:type="auto"/>
            <w:tcBorders>
              <w:top w:val="single" w:color="auto" w:sz="4" w:space="0"/>
              <w:left w:val="single" w:color="auto" w:sz="4" w:space="0"/>
              <w:bottom w:val="single" w:color="auto" w:sz="4" w:space="0"/>
              <w:right w:val="single" w:color="auto" w:sz="4" w:space="0"/>
            </w:tcBorders>
            <w:vAlign w:val="center"/>
          </w:tcPr>
          <w:p w14:paraId="0473D05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cs="Times New Roman"/>
                <w:snapToGrid w:val="0"/>
                <w:color w:val="auto"/>
                <w:kern w:val="0"/>
                <w:sz w:val="21"/>
                <w:szCs w:val="21"/>
                <w:highlight w:val="none"/>
                <w:lang w:val="en-US" w:eastAsia="zh-CN"/>
              </w:rPr>
              <w:t>现有上游监控井、厂区内监控井、下游监控井</w:t>
            </w:r>
          </w:p>
        </w:tc>
        <w:tc>
          <w:tcPr>
            <w:tcW w:w="0" w:type="auto"/>
            <w:tcBorders>
              <w:top w:val="single" w:color="auto" w:sz="4" w:space="0"/>
              <w:left w:val="single" w:color="auto" w:sz="4" w:space="0"/>
              <w:bottom w:val="single" w:color="auto" w:sz="4" w:space="0"/>
              <w:right w:val="single" w:color="auto" w:sz="4" w:space="0"/>
            </w:tcBorders>
            <w:vAlign w:val="center"/>
          </w:tcPr>
          <w:p w14:paraId="1E8004C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color w:val="auto"/>
                <w:highlight w:val="none"/>
                <w:lang w:val="en-US" w:eastAsia="zh-CN"/>
              </w:rPr>
            </w:pPr>
            <w:r>
              <w:rPr>
                <w:rFonts w:hint="eastAsia"/>
                <w:color w:val="auto"/>
                <w:highlight w:val="none"/>
                <w:lang w:val="en-US" w:eastAsia="zh-CN"/>
              </w:rPr>
              <w:t>石油类：水质 石油类的测定紫外分光光度法</w:t>
            </w:r>
          </w:p>
          <w:p w14:paraId="6A1567B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rFonts w:hint="eastAsia"/>
                <w:color w:val="auto"/>
                <w:highlight w:val="none"/>
                <w:lang w:val="en-US" w:eastAsia="zh-CN"/>
              </w:rPr>
              <w:t>HJ970-2018</w:t>
            </w:r>
          </w:p>
        </w:tc>
      </w:tr>
      <w:tr w14:paraId="65583B5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4E172993">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注：凯赛厂区已有地下水（上游监控井、厂区内监控井、下游监控井）</w:t>
            </w:r>
            <w:r>
              <w:rPr>
                <w:rFonts w:hint="eastAsia" w:ascii="Times New Roman" w:hAnsi="Times New Roman" w:eastAsia="宋体" w:cs="Times New Roman"/>
                <w:snapToGrid w:val="0"/>
                <w:color w:val="auto"/>
                <w:kern w:val="0"/>
                <w:sz w:val="21"/>
                <w:szCs w:val="21"/>
                <w:highlight w:val="none"/>
                <w:lang w:val="en-US" w:eastAsia="zh-CN"/>
              </w:rPr>
              <w:t>每季度</w:t>
            </w:r>
            <w:r>
              <w:rPr>
                <w:rFonts w:hint="eastAsia" w:cs="Times New Roman"/>
                <w:snapToGrid w:val="0"/>
                <w:color w:val="auto"/>
                <w:kern w:val="0"/>
                <w:sz w:val="21"/>
                <w:szCs w:val="21"/>
                <w:highlight w:val="none"/>
                <w:lang w:val="en-US" w:eastAsia="zh-CN"/>
              </w:rPr>
              <w:t>监测计划</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本项目仅需要新增监测因子石油类。</w:t>
            </w:r>
          </w:p>
        </w:tc>
      </w:tr>
      <w:tr w14:paraId="099974E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989754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14:paraId="3A76E55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土壤监测点</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6E1C794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rPr>
              <w:t>pH</w:t>
            </w:r>
            <w:r>
              <w:rPr>
                <w:rFonts w:hint="eastAsia" w:cs="Times New Roman"/>
                <w:snapToGrid w:val="0"/>
                <w:color w:val="auto"/>
                <w:kern w:val="0"/>
                <w:sz w:val="21"/>
                <w:szCs w:val="21"/>
                <w:highlight w:val="none"/>
                <w:lang w:eastAsia="zh-CN"/>
              </w:rPr>
              <w:t>、</w:t>
            </w:r>
            <w:r>
              <w:rPr>
                <w:snapToGrid w:val="0"/>
                <w:color w:val="auto"/>
                <w:kern w:val="0"/>
                <w:sz w:val="21"/>
                <w:szCs w:val="21"/>
                <w:highlight w:val="none"/>
                <w:vertAlign w:val="baseline"/>
              </w:rPr>
              <w:t>石油烃</w:t>
            </w:r>
            <w:r>
              <w:rPr>
                <w:rFonts w:hint="eastAsia"/>
                <w:color w:val="auto"/>
                <w:sz w:val="21"/>
                <w:szCs w:val="21"/>
                <w:highlight w:val="none"/>
                <w:vertAlign w:val="baseline"/>
                <w:lang w:eastAsia="zh-CN"/>
              </w:rPr>
              <w:t>（</w:t>
            </w:r>
            <w:r>
              <w:rPr>
                <w:rFonts w:hint="eastAsia"/>
                <w:color w:val="auto"/>
                <w:sz w:val="21"/>
                <w:szCs w:val="21"/>
                <w:highlight w:val="none"/>
                <w:vertAlign w:val="baseline"/>
                <w:lang w:val="en-US" w:eastAsia="zh-CN"/>
              </w:rPr>
              <w:t>C</w:t>
            </w:r>
            <w:r>
              <w:rPr>
                <w:rFonts w:hint="eastAsia"/>
                <w:color w:val="auto"/>
                <w:sz w:val="21"/>
                <w:szCs w:val="21"/>
                <w:highlight w:val="none"/>
                <w:vertAlign w:val="subscript"/>
                <w:lang w:val="en-US" w:eastAsia="zh-CN"/>
              </w:rPr>
              <w:t>10</w:t>
            </w:r>
            <w:r>
              <w:rPr>
                <w:rFonts w:hint="eastAsia"/>
                <w:color w:val="auto"/>
                <w:sz w:val="21"/>
                <w:szCs w:val="21"/>
                <w:highlight w:val="none"/>
                <w:vertAlign w:val="baseline"/>
                <w:lang w:val="en-US" w:eastAsia="zh-CN"/>
              </w:rPr>
              <w:t>~C</w:t>
            </w:r>
            <w:r>
              <w:rPr>
                <w:rFonts w:hint="eastAsia"/>
                <w:color w:val="auto"/>
                <w:sz w:val="21"/>
                <w:szCs w:val="21"/>
                <w:highlight w:val="none"/>
                <w:vertAlign w:val="subscript"/>
                <w:lang w:val="en-US" w:eastAsia="zh-CN"/>
              </w:rPr>
              <w:t>40</w:t>
            </w:r>
            <w:r>
              <w:rPr>
                <w:rFonts w:hint="eastAsia"/>
                <w:color w:val="auto"/>
                <w:sz w:val="21"/>
                <w:szCs w:val="21"/>
                <w:highlight w:val="none"/>
                <w:vertAlign w:val="baseline"/>
                <w:lang w:eastAsia="zh-CN"/>
              </w:rPr>
              <w:t>）</w:t>
            </w:r>
          </w:p>
        </w:tc>
        <w:tc>
          <w:tcPr>
            <w:tcW w:w="0" w:type="auto"/>
            <w:tcBorders>
              <w:top w:val="single" w:color="auto" w:sz="4" w:space="0"/>
              <w:left w:val="single" w:color="auto" w:sz="4" w:space="0"/>
              <w:bottom w:val="single" w:color="auto" w:sz="4" w:space="0"/>
              <w:right w:val="single" w:color="auto" w:sz="4" w:space="0"/>
            </w:tcBorders>
            <w:vAlign w:val="center"/>
          </w:tcPr>
          <w:p w14:paraId="27B9F79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年</w:t>
            </w:r>
          </w:p>
        </w:tc>
        <w:tc>
          <w:tcPr>
            <w:tcW w:w="0" w:type="auto"/>
            <w:tcBorders>
              <w:top w:val="single" w:color="auto" w:sz="4" w:space="0"/>
              <w:left w:val="single" w:color="auto" w:sz="4" w:space="0"/>
              <w:bottom w:val="single" w:color="auto" w:sz="4" w:space="0"/>
              <w:right w:val="single" w:color="auto" w:sz="4" w:space="0"/>
            </w:tcBorders>
            <w:vAlign w:val="center"/>
          </w:tcPr>
          <w:p w14:paraId="1EBD3F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napToGrid w:val="0"/>
                <w:color w:val="auto"/>
                <w:kern w:val="0"/>
                <w:sz w:val="21"/>
                <w:szCs w:val="21"/>
                <w:highlight w:val="none"/>
              </w:rPr>
            </w:pPr>
            <w:r>
              <w:rPr>
                <w:rFonts w:hint="eastAsia" w:ascii="Times New Roman" w:hAnsi="Times New Roman" w:eastAsia="宋体" w:cs="Times New Roman"/>
                <w:snapToGrid w:val="0"/>
                <w:color w:val="auto"/>
                <w:kern w:val="0"/>
                <w:sz w:val="21"/>
                <w:szCs w:val="21"/>
                <w:highlight w:val="none"/>
              </w:rPr>
              <w:t>《土壤环境质量 建设用地土壤污染风险管控标准（试行）》（</w:t>
            </w:r>
            <w:r>
              <w:rPr>
                <w:rFonts w:hint="eastAsia" w:ascii="Times New Roman" w:hAnsi="Times New Roman" w:eastAsia="宋体" w:cs="Times New Roman"/>
                <w:snapToGrid w:val="0"/>
                <w:color w:val="auto"/>
                <w:kern w:val="0"/>
                <w:sz w:val="21"/>
                <w:szCs w:val="21"/>
                <w:highlight w:val="none"/>
                <w:lang w:eastAsia="zh-CN"/>
              </w:rPr>
              <w:t>GB 36600</w:t>
            </w:r>
            <w:r>
              <w:rPr>
                <w:rFonts w:hint="eastAsia" w:ascii="Times New Roman" w:hAnsi="Times New Roman" w:eastAsia="宋体" w:cs="Times New Roman"/>
                <w:snapToGrid w:val="0"/>
                <w:color w:val="auto"/>
                <w:kern w:val="0"/>
                <w:sz w:val="21"/>
                <w:szCs w:val="21"/>
                <w:highlight w:val="none"/>
              </w:rPr>
              <w:t>-2018）中第二类用地筛选值</w:t>
            </w:r>
          </w:p>
        </w:tc>
        <w:tc>
          <w:tcPr>
            <w:tcW w:w="0" w:type="auto"/>
            <w:tcBorders>
              <w:top w:val="single" w:color="auto" w:sz="4" w:space="0"/>
              <w:left w:val="single" w:color="auto" w:sz="4" w:space="0"/>
              <w:bottom w:val="single" w:color="auto" w:sz="4" w:space="0"/>
              <w:right w:val="single" w:color="auto" w:sz="4" w:space="0"/>
            </w:tcBorders>
            <w:vAlign w:val="center"/>
          </w:tcPr>
          <w:p w14:paraId="4CDCC2B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zh-CN"/>
              </w:rPr>
              <w:t>HJ 1209</w:t>
            </w:r>
            <w:r>
              <w:rPr>
                <w:rFonts w:hint="eastAsia" w:cs="Times New Roman"/>
                <w:snapToGrid w:val="0"/>
                <w:color w:val="auto"/>
                <w:kern w:val="0"/>
                <w:sz w:val="21"/>
                <w:szCs w:val="21"/>
                <w:highlight w:val="none"/>
                <w:lang w:val="en-US" w:eastAsia="zh-CN"/>
              </w:rPr>
              <w:t>-2021</w:t>
            </w:r>
          </w:p>
        </w:tc>
        <w:tc>
          <w:tcPr>
            <w:tcW w:w="0" w:type="auto"/>
            <w:tcBorders>
              <w:top w:val="single" w:color="auto" w:sz="4" w:space="0"/>
              <w:left w:val="single" w:color="auto" w:sz="4" w:space="0"/>
              <w:bottom w:val="single" w:color="auto" w:sz="4" w:space="0"/>
              <w:right w:val="single" w:color="auto" w:sz="4" w:space="0"/>
            </w:tcBorders>
            <w:vAlign w:val="center"/>
          </w:tcPr>
          <w:p w14:paraId="22CD2AD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烷烃罐区附近</w:t>
            </w:r>
          </w:p>
        </w:tc>
        <w:tc>
          <w:tcPr>
            <w:tcW w:w="0" w:type="auto"/>
            <w:tcBorders>
              <w:top w:val="single" w:color="auto" w:sz="4" w:space="0"/>
              <w:left w:val="single" w:color="auto" w:sz="4" w:space="0"/>
              <w:bottom w:val="single" w:color="auto" w:sz="4" w:space="0"/>
              <w:right w:val="single" w:color="auto" w:sz="4" w:space="0"/>
            </w:tcBorders>
            <w:vAlign w:val="center"/>
          </w:tcPr>
          <w:p w14:paraId="198A399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zh-CN"/>
              </w:rPr>
            </w:pPr>
            <w:r>
              <w:rPr>
                <w:snapToGrid w:val="0"/>
                <w:color w:val="auto"/>
                <w:kern w:val="0"/>
                <w:sz w:val="21"/>
                <w:szCs w:val="21"/>
                <w:highlight w:val="none"/>
                <w:vertAlign w:val="baseline"/>
              </w:rPr>
              <w:t>石油烃</w:t>
            </w:r>
            <w:r>
              <w:rPr>
                <w:rFonts w:hint="eastAsia"/>
                <w:color w:val="auto"/>
                <w:sz w:val="21"/>
                <w:szCs w:val="21"/>
                <w:highlight w:val="none"/>
                <w:vertAlign w:val="baseline"/>
                <w:lang w:eastAsia="zh-CN"/>
              </w:rPr>
              <w:t>（</w:t>
            </w:r>
            <w:r>
              <w:rPr>
                <w:rFonts w:hint="eastAsia"/>
                <w:color w:val="auto"/>
                <w:sz w:val="21"/>
                <w:szCs w:val="21"/>
                <w:highlight w:val="none"/>
                <w:vertAlign w:val="baseline"/>
                <w:lang w:val="en-US" w:eastAsia="zh-CN"/>
              </w:rPr>
              <w:t>C</w:t>
            </w:r>
            <w:r>
              <w:rPr>
                <w:rFonts w:hint="eastAsia"/>
                <w:color w:val="auto"/>
                <w:sz w:val="21"/>
                <w:szCs w:val="21"/>
                <w:highlight w:val="none"/>
                <w:vertAlign w:val="subscript"/>
                <w:lang w:val="en-US" w:eastAsia="zh-CN"/>
              </w:rPr>
              <w:t>10</w:t>
            </w:r>
            <w:r>
              <w:rPr>
                <w:rFonts w:hint="eastAsia"/>
                <w:color w:val="auto"/>
                <w:sz w:val="21"/>
                <w:szCs w:val="21"/>
                <w:highlight w:val="none"/>
                <w:vertAlign w:val="baseline"/>
                <w:lang w:val="en-US" w:eastAsia="zh-CN"/>
              </w:rPr>
              <w:t>~C</w:t>
            </w:r>
            <w:r>
              <w:rPr>
                <w:rFonts w:hint="eastAsia"/>
                <w:color w:val="auto"/>
                <w:sz w:val="21"/>
                <w:szCs w:val="21"/>
                <w:highlight w:val="none"/>
                <w:vertAlign w:val="subscript"/>
                <w:lang w:val="en-US" w:eastAsia="zh-CN"/>
              </w:rPr>
              <w:t>40</w:t>
            </w:r>
            <w:r>
              <w:rPr>
                <w:rFonts w:hint="eastAsia"/>
                <w:color w:val="auto"/>
                <w:sz w:val="21"/>
                <w:szCs w:val="21"/>
                <w:highlight w:val="none"/>
                <w:vertAlign w:val="baseline"/>
                <w:lang w:eastAsia="zh-CN"/>
              </w:rPr>
              <w:t>）：</w:t>
            </w:r>
            <w:r>
              <w:rPr>
                <w:rFonts w:hint="eastAsia" w:ascii="Times New Roman" w:hAnsi="Times New Roman" w:eastAsia="宋体" w:cs="Times New Roman"/>
                <w:bCs w:val="0"/>
                <w:snapToGrid w:val="0"/>
                <w:color w:val="auto"/>
                <w:kern w:val="0"/>
                <w:sz w:val="21"/>
                <w:szCs w:val="21"/>
                <w:highlight w:val="none"/>
              </w:rPr>
              <w:t>土壤和沉积物 石油烃（C</w:t>
            </w:r>
            <w:r>
              <w:rPr>
                <w:rFonts w:hint="eastAsia" w:ascii="Times New Roman" w:hAnsi="Times New Roman" w:eastAsia="宋体" w:cs="Times New Roman"/>
                <w:bCs w:val="0"/>
                <w:snapToGrid w:val="0"/>
                <w:color w:val="auto"/>
                <w:kern w:val="0"/>
                <w:sz w:val="21"/>
                <w:szCs w:val="21"/>
                <w:highlight w:val="none"/>
                <w:vertAlign w:val="subscript"/>
              </w:rPr>
              <w:t>10</w:t>
            </w:r>
            <w:r>
              <w:rPr>
                <w:rFonts w:hint="eastAsia" w:ascii="Times New Roman" w:hAnsi="Times New Roman" w:eastAsia="宋体" w:cs="Times New Roman"/>
                <w:bCs w:val="0"/>
                <w:snapToGrid w:val="0"/>
                <w:color w:val="auto"/>
                <w:kern w:val="0"/>
                <w:sz w:val="21"/>
                <w:szCs w:val="21"/>
                <w:highlight w:val="none"/>
              </w:rPr>
              <w:t>-C</w:t>
            </w:r>
            <w:r>
              <w:rPr>
                <w:rFonts w:hint="eastAsia" w:ascii="Times New Roman" w:hAnsi="Times New Roman" w:eastAsia="宋体" w:cs="Times New Roman"/>
                <w:bCs w:val="0"/>
                <w:snapToGrid w:val="0"/>
                <w:color w:val="auto"/>
                <w:kern w:val="0"/>
                <w:sz w:val="21"/>
                <w:szCs w:val="21"/>
                <w:highlight w:val="none"/>
                <w:vertAlign w:val="subscript"/>
              </w:rPr>
              <w:t>40</w:t>
            </w:r>
            <w:r>
              <w:rPr>
                <w:rFonts w:hint="eastAsia" w:ascii="Times New Roman" w:hAnsi="Times New Roman" w:eastAsia="宋体" w:cs="Times New Roman"/>
                <w:bCs w:val="0"/>
                <w:snapToGrid w:val="0"/>
                <w:color w:val="auto"/>
                <w:kern w:val="0"/>
                <w:sz w:val="21"/>
                <w:szCs w:val="21"/>
                <w:highlight w:val="none"/>
              </w:rPr>
              <w:t>）的测定 气相色谱法</w:t>
            </w:r>
            <w:r>
              <w:rPr>
                <w:rFonts w:ascii="Times New Roman" w:hAnsi="Times New Roman" w:eastAsia="宋体" w:cs="Times New Roman"/>
                <w:bCs w:val="0"/>
                <w:snapToGrid w:val="0"/>
                <w:color w:val="auto"/>
                <w:kern w:val="0"/>
                <w:sz w:val="21"/>
                <w:szCs w:val="21"/>
                <w:highlight w:val="none"/>
              </w:rPr>
              <w:t>HJ</w:t>
            </w:r>
            <w:r>
              <w:rPr>
                <w:rFonts w:hint="eastAsia" w:ascii="Times New Roman" w:hAnsi="Times New Roman" w:eastAsia="宋体" w:cs="Times New Roman"/>
                <w:bCs w:val="0"/>
                <w:snapToGrid w:val="0"/>
                <w:color w:val="auto"/>
                <w:kern w:val="0"/>
                <w:sz w:val="21"/>
                <w:szCs w:val="21"/>
                <w:highlight w:val="none"/>
              </w:rPr>
              <w:t>1021-2019</w:t>
            </w:r>
          </w:p>
        </w:tc>
      </w:tr>
      <w:tr w14:paraId="6523941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gridSpan w:val="9"/>
            <w:tcBorders>
              <w:top w:val="single" w:color="auto" w:sz="4" w:space="0"/>
              <w:left w:val="single" w:color="auto" w:sz="4" w:space="0"/>
              <w:bottom w:val="single" w:color="auto" w:sz="4" w:space="0"/>
              <w:right w:val="single" w:color="auto" w:sz="4" w:space="0"/>
            </w:tcBorders>
            <w:vAlign w:val="center"/>
          </w:tcPr>
          <w:p w14:paraId="28AED0EF">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注：凯赛厂区土壤</w:t>
            </w:r>
            <w:r>
              <w:rPr>
                <w:rFonts w:ascii="Times New Roman" w:hAnsi="Times New Roman" w:eastAsia="宋体" w:cs="Times New Roman"/>
                <w:snapToGrid w:val="0"/>
                <w:color w:val="auto"/>
                <w:kern w:val="0"/>
                <w:sz w:val="21"/>
                <w:szCs w:val="21"/>
                <w:highlight w:val="none"/>
              </w:rPr>
              <w:t>pH</w:t>
            </w:r>
            <w:r>
              <w:rPr>
                <w:rFonts w:hint="eastAsia" w:ascii="Times New Roman" w:hAnsi="Times New Roman" w:eastAsia="宋体" w:cs="Times New Roman"/>
                <w:snapToGrid w:val="0"/>
                <w:color w:val="auto"/>
                <w:kern w:val="0"/>
                <w:sz w:val="21"/>
                <w:szCs w:val="21"/>
                <w:highlight w:val="none"/>
                <w:lang w:val="en-US" w:eastAsia="zh-CN"/>
              </w:rPr>
              <w:t>每半年</w:t>
            </w:r>
            <w:r>
              <w:rPr>
                <w:rFonts w:hint="eastAsia" w:cs="Times New Roman"/>
                <w:snapToGrid w:val="0"/>
                <w:color w:val="auto"/>
                <w:kern w:val="0"/>
                <w:sz w:val="21"/>
                <w:szCs w:val="21"/>
                <w:highlight w:val="none"/>
                <w:lang w:val="en-US" w:eastAsia="zh-CN"/>
              </w:rPr>
              <w:t>监测1次计划</w:t>
            </w:r>
            <w:r>
              <w:rPr>
                <w:rFonts w:hint="eastAsia" w:ascii="Times New Roman" w:hAnsi="Times New Roman" w:eastAsia="宋体" w:cs="Times New Roman"/>
                <w:snapToGrid w:val="0"/>
                <w:color w:val="auto"/>
                <w:kern w:val="0"/>
                <w:sz w:val="21"/>
                <w:szCs w:val="21"/>
                <w:highlight w:val="none"/>
                <w:lang w:eastAsia="zh-CN"/>
              </w:rPr>
              <w:t>，</w:t>
            </w:r>
            <w:r>
              <w:rPr>
                <w:rFonts w:hint="eastAsia" w:ascii="Times New Roman" w:hAnsi="Times New Roman" w:eastAsia="宋体" w:cs="Times New Roman"/>
                <w:snapToGrid w:val="0"/>
                <w:color w:val="auto"/>
                <w:kern w:val="0"/>
                <w:sz w:val="21"/>
                <w:szCs w:val="21"/>
                <w:highlight w:val="none"/>
                <w:lang w:val="en-US" w:eastAsia="zh-CN"/>
              </w:rPr>
              <w:t>本项目仅需新增</w:t>
            </w:r>
            <w:r>
              <w:rPr>
                <w:rFonts w:hint="eastAsia" w:cs="Times New Roman"/>
                <w:snapToGrid w:val="0"/>
                <w:color w:val="auto"/>
                <w:kern w:val="0"/>
                <w:sz w:val="21"/>
                <w:szCs w:val="21"/>
                <w:highlight w:val="none"/>
                <w:lang w:val="en-US" w:eastAsia="zh-CN"/>
              </w:rPr>
              <w:t>1年监测一次</w:t>
            </w:r>
            <w:r>
              <w:rPr>
                <w:snapToGrid w:val="0"/>
                <w:color w:val="auto"/>
                <w:kern w:val="0"/>
                <w:sz w:val="21"/>
                <w:szCs w:val="21"/>
                <w:highlight w:val="none"/>
                <w:vertAlign w:val="baseline"/>
              </w:rPr>
              <w:t>石油烃</w:t>
            </w:r>
            <w:r>
              <w:rPr>
                <w:rFonts w:hint="eastAsia"/>
                <w:color w:val="auto"/>
                <w:sz w:val="21"/>
                <w:szCs w:val="21"/>
                <w:highlight w:val="none"/>
                <w:vertAlign w:val="baseline"/>
                <w:lang w:eastAsia="zh-CN"/>
              </w:rPr>
              <w:t>（</w:t>
            </w:r>
            <w:r>
              <w:rPr>
                <w:rFonts w:hint="eastAsia"/>
                <w:color w:val="auto"/>
                <w:sz w:val="21"/>
                <w:szCs w:val="21"/>
                <w:highlight w:val="none"/>
                <w:vertAlign w:val="baseline"/>
                <w:lang w:val="en-US" w:eastAsia="zh-CN"/>
              </w:rPr>
              <w:t>C</w:t>
            </w:r>
            <w:r>
              <w:rPr>
                <w:rFonts w:hint="eastAsia"/>
                <w:color w:val="auto"/>
                <w:sz w:val="21"/>
                <w:szCs w:val="21"/>
                <w:highlight w:val="none"/>
                <w:vertAlign w:val="subscript"/>
                <w:lang w:val="en-US" w:eastAsia="zh-CN"/>
              </w:rPr>
              <w:t>10</w:t>
            </w:r>
            <w:r>
              <w:rPr>
                <w:rFonts w:hint="eastAsia"/>
                <w:color w:val="auto"/>
                <w:sz w:val="21"/>
                <w:szCs w:val="21"/>
                <w:highlight w:val="none"/>
                <w:vertAlign w:val="baseline"/>
                <w:lang w:val="en-US" w:eastAsia="zh-CN"/>
              </w:rPr>
              <w:t>~C</w:t>
            </w:r>
            <w:r>
              <w:rPr>
                <w:rFonts w:hint="eastAsia"/>
                <w:color w:val="auto"/>
                <w:sz w:val="21"/>
                <w:szCs w:val="21"/>
                <w:highlight w:val="none"/>
                <w:vertAlign w:val="subscript"/>
                <w:lang w:val="en-US" w:eastAsia="zh-CN"/>
              </w:rPr>
              <w:t>40</w:t>
            </w:r>
            <w:r>
              <w:rPr>
                <w:rFonts w:hint="eastAsia"/>
                <w:color w:val="auto"/>
                <w:sz w:val="21"/>
                <w:szCs w:val="21"/>
                <w:highlight w:val="none"/>
                <w:vertAlign w:val="baseline"/>
                <w:lang w:eastAsia="zh-CN"/>
              </w:rPr>
              <w:t>）</w:t>
            </w:r>
            <w:r>
              <w:rPr>
                <w:rFonts w:hint="eastAsia" w:ascii="Times New Roman" w:hAnsi="Times New Roman" w:eastAsia="宋体" w:cs="Times New Roman"/>
                <w:snapToGrid w:val="0"/>
                <w:color w:val="auto"/>
                <w:kern w:val="0"/>
                <w:sz w:val="21"/>
                <w:szCs w:val="21"/>
                <w:highlight w:val="none"/>
                <w:lang w:val="en-US" w:eastAsia="zh-CN"/>
              </w:rPr>
              <w:t>。</w:t>
            </w:r>
          </w:p>
        </w:tc>
      </w:tr>
    </w:tbl>
    <w:p w14:paraId="54E6ED07">
      <w:pPr>
        <w:spacing w:line="460" w:lineRule="exact"/>
        <w:ind w:firstLine="480" w:firstLineChars="200"/>
        <w:rPr>
          <w:rFonts w:hint="eastAsia"/>
          <w:color w:val="auto"/>
          <w:sz w:val="24"/>
          <w:highlight w:val="none"/>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4B4CF76C">
      <w:pPr>
        <w:spacing w:line="460" w:lineRule="exact"/>
        <w:ind w:firstLine="480" w:firstLineChars="200"/>
        <w:rPr>
          <w:rFonts w:hint="eastAsia"/>
          <w:color w:val="auto"/>
          <w:sz w:val="24"/>
          <w:highlight w:val="none"/>
          <w:lang w:eastAsia="zh-CN"/>
        </w:rPr>
      </w:pPr>
      <w:bookmarkStart w:id="225" w:name="_Toc24973"/>
      <w:r>
        <w:rPr>
          <w:rFonts w:hint="eastAsia"/>
          <w:color w:val="auto"/>
          <w:sz w:val="24"/>
          <w:highlight w:val="none"/>
          <w:lang w:val="en-US" w:eastAsia="zh-CN"/>
        </w:rPr>
        <w:t>采样及监测</w:t>
      </w:r>
      <w:r>
        <w:rPr>
          <w:rFonts w:hint="eastAsia"/>
          <w:color w:val="auto"/>
          <w:sz w:val="24"/>
          <w:highlight w:val="none"/>
          <w:lang w:eastAsia="zh-CN"/>
        </w:rPr>
        <w:t>人员</w:t>
      </w:r>
      <w:r>
        <w:rPr>
          <w:rFonts w:hint="eastAsia"/>
          <w:color w:val="auto"/>
          <w:sz w:val="24"/>
          <w:highlight w:val="none"/>
          <w:lang w:val="en-US" w:eastAsia="zh-CN"/>
        </w:rPr>
        <w:t>需要进行培训，考核合格</w:t>
      </w:r>
      <w:r>
        <w:rPr>
          <w:rFonts w:hint="default" w:ascii="Times New Roman" w:hAnsi="Times New Roman" w:eastAsia="宋体" w:cs="Times New Roman"/>
          <w:color w:val="auto"/>
          <w:kern w:val="0"/>
          <w:sz w:val="24"/>
          <w:szCs w:val="24"/>
          <w:highlight w:val="none"/>
        </w:rPr>
        <w:t>并持有合格证书</w:t>
      </w:r>
      <w:r>
        <w:rPr>
          <w:rFonts w:hint="eastAsia" w:ascii="Times New Roman" w:hAnsi="Times New Roman" w:eastAsia="宋体" w:cs="Times New Roman"/>
          <w:color w:val="auto"/>
          <w:kern w:val="0"/>
          <w:sz w:val="24"/>
          <w:szCs w:val="24"/>
          <w:highlight w:val="none"/>
          <w:lang w:val="en-US" w:eastAsia="zh-CN"/>
        </w:rPr>
        <w:t>方可</w:t>
      </w:r>
      <w:r>
        <w:rPr>
          <w:rFonts w:hint="eastAsia"/>
          <w:color w:val="auto"/>
          <w:sz w:val="24"/>
          <w:highlight w:val="none"/>
          <w:lang w:eastAsia="zh-CN"/>
        </w:rPr>
        <w:t>上岗，</w:t>
      </w:r>
      <w:r>
        <w:rPr>
          <w:rFonts w:hint="eastAsia"/>
          <w:color w:val="auto"/>
          <w:sz w:val="24"/>
          <w:highlight w:val="none"/>
          <w:lang w:val="en-US" w:eastAsia="zh-CN"/>
        </w:rPr>
        <w:t>同时监测用</w:t>
      </w:r>
      <w:r>
        <w:rPr>
          <w:rFonts w:hint="eastAsia"/>
          <w:color w:val="auto"/>
          <w:sz w:val="24"/>
          <w:highlight w:val="none"/>
          <w:lang w:eastAsia="zh-CN"/>
        </w:rPr>
        <w:t>仪器定期检定，</w:t>
      </w:r>
      <w:r>
        <w:rPr>
          <w:rFonts w:hint="eastAsia"/>
          <w:color w:val="auto"/>
          <w:sz w:val="24"/>
          <w:highlight w:val="none"/>
          <w:lang w:val="en-US" w:eastAsia="zh-CN"/>
        </w:rPr>
        <w:t>同时</w:t>
      </w:r>
      <w:r>
        <w:rPr>
          <w:rFonts w:hint="eastAsia"/>
          <w:color w:val="auto"/>
          <w:sz w:val="24"/>
          <w:highlight w:val="none"/>
          <w:lang w:eastAsia="zh-CN"/>
        </w:rPr>
        <w:t>期间核查。</w:t>
      </w:r>
      <w:r>
        <w:rPr>
          <w:rFonts w:hint="default" w:ascii="Times New Roman" w:hAnsi="Times New Roman" w:eastAsia="宋体" w:cs="Times New Roman"/>
          <w:color w:val="auto"/>
          <w:kern w:val="0"/>
          <w:sz w:val="24"/>
          <w:szCs w:val="24"/>
          <w:highlight w:val="none"/>
        </w:rPr>
        <w:t>监测数据</w:t>
      </w:r>
      <w:r>
        <w:rPr>
          <w:rFonts w:hint="eastAsia" w:ascii="Times New Roman" w:hAnsi="Times New Roman" w:eastAsia="宋体" w:cs="Times New Roman"/>
          <w:color w:val="auto"/>
          <w:kern w:val="0"/>
          <w:sz w:val="24"/>
          <w:szCs w:val="24"/>
          <w:highlight w:val="none"/>
          <w:lang w:val="en-US" w:eastAsia="zh-CN"/>
        </w:rPr>
        <w:t>要求</w:t>
      </w:r>
      <w:r>
        <w:rPr>
          <w:rFonts w:hint="default" w:ascii="Times New Roman" w:hAnsi="Times New Roman" w:eastAsia="宋体" w:cs="Times New Roman"/>
          <w:color w:val="auto"/>
          <w:kern w:val="0"/>
          <w:sz w:val="24"/>
          <w:szCs w:val="24"/>
          <w:highlight w:val="none"/>
        </w:rPr>
        <w:t>严格实行三级审核制度，经过校对、校核、最后由技术总负责人审定。</w:t>
      </w:r>
    </w:p>
    <w:p w14:paraId="650A7F88">
      <w:pPr>
        <w:spacing w:line="460" w:lineRule="exact"/>
        <w:ind w:firstLine="480" w:firstLineChars="200"/>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rPr>
        <w:t>气体监测分析过程中质量控制与保证</w:t>
      </w:r>
    </w:p>
    <w:bookmarkEnd w:id="225"/>
    <w:p w14:paraId="5F0A7976">
      <w:pPr>
        <w:spacing w:line="460" w:lineRule="exact"/>
        <w:ind w:firstLine="480" w:firstLineChars="200"/>
        <w:rPr>
          <w:rFonts w:hint="eastAsia"/>
          <w:color w:val="auto"/>
          <w:sz w:val="24"/>
          <w:highlight w:val="none"/>
        </w:rPr>
      </w:pPr>
      <w:r>
        <w:rPr>
          <w:rFonts w:hint="eastAsia"/>
          <w:color w:val="auto"/>
          <w:sz w:val="24"/>
          <w:highlight w:val="none"/>
        </w:rPr>
        <w:t>废气监测按照《环境监测技术规范》和《环境空气监测质量保证手册》要求进行全过程质量控制。具体措施如下：</w:t>
      </w:r>
    </w:p>
    <w:p w14:paraId="0213B978">
      <w:pPr>
        <w:spacing w:line="460" w:lineRule="exact"/>
        <w:ind w:firstLine="480" w:firstLineChars="200"/>
        <w:rPr>
          <w:rFonts w:hint="eastAsia"/>
          <w:color w:val="auto"/>
          <w:sz w:val="24"/>
          <w:highlight w:val="none"/>
        </w:rPr>
      </w:pPr>
      <w:r>
        <w:rPr>
          <w:rFonts w:hint="eastAsia"/>
          <w:color w:val="auto"/>
          <w:sz w:val="24"/>
          <w:highlight w:val="none"/>
        </w:rPr>
        <w:t>1）采样仪器在进入现场前应对采样仪流量计、流速计等进行校正；</w:t>
      </w:r>
    </w:p>
    <w:p w14:paraId="3FEAEF1F">
      <w:pPr>
        <w:spacing w:line="460" w:lineRule="exact"/>
        <w:ind w:firstLine="480" w:firstLineChars="200"/>
        <w:rPr>
          <w:rFonts w:hint="eastAsia"/>
          <w:color w:val="auto"/>
          <w:sz w:val="24"/>
          <w:highlight w:val="none"/>
        </w:rPr>
      </w:pPr>
      <w:r>
        <w:rPr>
          <w:rFonts w:hint="eastAsia"/>
          <w:color w:val="auto"/>
          <w:sz w:val="24"/>
          <w:highlight w:val="none"/>
        </w:rPr>
        <w:t>2）制定现场监测质控方案并严格现场质控措施；</w:t>
      </w:r>
    </w:p>
    <w:p w14:paraId="041CA00A">
      <w:pPr>
        <w:spacing w:line="460" w:lineRule="exact"/>
        <w:ind w:firstLine="480" w:firstLineChars="200"/>
        <w:rPr>
          <w:rFonts w:hint="eastAsia"/>
          <w:color w:val="auto"/>
          <w:sz w:val="24"/>
          <w:highlight w:val="none"/>
        </w:rPr>
      </w:pPr>
      <w:r>
        <w:rPr>
          <w:rFonts w:hint="eastAsia"/>
          <w:color w:val="auto"/>
          <w:sz w:val="24"/>
          <w:highlight w:val="none"/>
        </w:rPr>
        <w:t>3）有组织监测确保其采样点位、采样量及断面位置符合标准要求；</w:t>
      </w:r>
    </w:p>
    <w:p w14:paraId="14E93E69">
      <w:pPr>
        <w:spacing w:line="460" w:lineRule="exact"/>
        <w:ind w:firstLine="480" w:firstLineChars="200"/>
        <w:rPr>
          <w:rFonts w:hint="eastAsia"/>
          <w:color w:val="auto"/>
          <w:sz w:val="24"/>
          <w:highlight w:val="none"/>
        </w:rPr>
      </w:pPr>
      <w:r>
        <w:rPr>
          <w:rFonts w:hint="eastAsia"/>
          <w:color w:val="auto"/>
          <w:sz w:val="24"/>
          <w:highlight w:val="none"/>
        </w:rPr>
        <w:t>4）无组织按当地风向变化及时调整监控点和参照点位置，在现场采样时段同时测量气象因素。</w:t>
      </w:r>
    </w:p>
    <w:p w14:paraId="2824016A">
      <w:pPr>
        <w:spacing w:line="460" w:lineRule="exact"/>
        <w:ind w:firstLine="480" w:firstLineChars="200"/>
        <w:rPr>
          <w:rFonts w:hint="eastAsia"/>
          <w:color w:val="auto"/>
          <w:sz w:val="24"/>
          <w:highlight w:val="none"/>
        </w:rPr>
      </w:pPr>
      <w:r>
        <w:rPr>
          <w:rFonts w:hint="eastAsia"/>
          <w:color w:val="auto"/>
          <w:sz w:val="24"/>
          <w:highlight w:val="none"/>
        </w:rPr>
        <w:t>5）监测数据严格实行三级审核制度，经过校对、校核，最后由技术总负责人审定。</w:t>
      </w:r>
    </w:p>
    <w:p w14:paraId="65FB5B82">
      <w:pPr>
        <w:spacing w:line="460" w:lineRule="exact"/>
        <w:ind w:firstLine="480" w:firstLineChars="200"/>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rPr>
        <w:t>噪声监测分析过程中质量控制与保证</w:t>
      </w:r>
      <w:bookmarkStart w:id="246" w:name="_GoBack"/>
      <w:bookmarkEnd w:id="246"/>
    </w:p>
    <w:p w14:paraId="24A9A973">
      <w:pPr>
        <w:spacing w:line="460" w:lineRule="exact"/>
        <w:ind w:firstLine="480" w:firstLineChars="200"/>
        <w:rPr>
          <w:rFonts w:hint="eastAsia"/>
          <w:color w:val="auto"/>
          <w:sz w:val="24"/>
          <w:highlight w:val="none"/>
        </w:rPr>
      </w:pPr>
      <w:r>
        <w:rPr>
          <w:rFonts w:hint="eastAsia"/>
          <w:color w:val="auto"/>
          <w:sz w:val="24"/>
          <w:highlight w:val="none"/>
        </w:rPr>
        <w:t>设备噪声监测严格按照《工业企业厂界环境噪声排放标准》（GB12348</w:t>
      </w:r>
      <w:r>
        <w:rPr>
          <w:rFonts w:hint="eastAsia"/>
          <w:color w:val="auto"/>
          <w:sz w:val="24"/>
          <w:highlight w:val="none"/>
          <w:lang w:val="en-US" w:eastAsia="zh-CN"/>
        </w:rPr>
        <w:t>-</w:t>
      </w:r>
      <w:r>
        <w:rPr>
          <w:rFonts w:hint="eastAsia"/>
          <w:color w:val="auto"/>
          <w:sz w:val="24"/>
          <w:highlight w:val="none"/>
        </w:rPr>
        <w:t>2008）中3类标准相应要求进行</w:t>
      </w:r>
      <w:r>
        <w:rPr>
          <w:rFonts w:hint="eastAsia"/>
          <w:color w:val="auto"/>
          <w:sz w:val="24"/>
          <w:highlight w:val="none"/>
          <w:lang w:eastAsia="zh-CN"/>
        </w:rPr>
        <w:t>。</w:t>
      </w:r>
      <w:r>
        <w:rPr>
          <w:rFonts w:hint="eastAsia"/>
          <w:color w:val="auto"/>
          <w:sz w:val="24"/>
          <w:highlight w:val="none"/>
        </w:rPr>
        <w:t>具体措施如下：</w:t>
      </w:r>
    </w:p>
    <w:p w14:paraId="1A857CD4">
      <w:pPr>
        <w:spacing w:line="460" w:lineRule="exact"/>
        <w:ind w:firstLine="480" w:firstLineChars="200"/>
        <w:rPr>
          <w:rFonts w:hint="eastAsia"/>
          <w:color w:val="auto"/>
          <w:sz w:val="24"/>
          <w:highlight w:val="none"/>
        </w:rPr>
      </w:pPr>
      <w:r>
        <w:rPr>
          <w:rFonts w:hint="eastAsia"/>
          <w:color w:val="auto"/>
          <w:sz w:val="24"/>
          <w:highlight w:val="none"/>
        </w:rPr>
        <w:t>1）测量仪器定期检定合格，并在有效期内使用；</w:t>
      </w:r>
    </w:p>
    <w:p w14:paraId="5A7438CA">
      <w:pPr>
        <w:spacing w:line="460" w:lineRule="exact"/>
        <w:ind w:firstLine="480" w:firstLineChars="200"/>
        <w:rPr>
          <w:rFonts w:hint="eastAsia"/>
          <w:color w:val="auto"/>
          <w:sz w:val="24"/>
          <w:highlight w:val="none"/>
        </w:rPr>
      </w:pPr>
      <w:r>
        <w:rPr>
          <w:rFonts w:hint="eastAsia"/>
          <w:color w:val="auto"/>
          <w:sz w:val="24"/>
          <w:highlight w:val="none"/>
        </w:rPr>
        <w:t>2）每次测量前后必须在测量现场进行声学校准，其前后校准值偏差不得大于0.5dB，否则测量结果无效；</w:t>
      </w:r>
    </w:p>
    <w:p w14:paraId="6EDD44AB">
      <w:pPr>
        <w:spacing w:line="460" w:lineRule="exact"/>
        <w:ind w:firstLine="480" w:firstLineChars="200"/>
        <w:rPr>
          <w:rFonts w:hint="eastAsia"/>
          <w:color w:val="auto"/>
          <w:sz w:val="24"/>
          <w:highlight w:val="none"/>
        </w:rPr>
      </w:pPr>
      <w:r>
        <w:rPr>
          <w:rFonts w:hint="eastAsia"/>
          <w:color w:val="auto"/>
          <w:sz w:val="24"/>
          <w:highlight w:val="none"/>
        </w:rPr>
        <w:t>3）噪声分析仪使用时需要</w:t>
      </w:r>
      <w:r>
        <w:rPr>
          <w:rFonts w:hint="eastAsia"/>
          <w:color w:val="auto"/>
          <w:sz w:val="24"/>
          <w:highlight w:val="none"/>
          <w:lang w:eastAsia="zh-CN"/>
        </w:rPr>
        <w:t>加装</w:t>
      </w:r>
      <w:r>
        <w:rPr>
          <w:rFonts w:hint="eastAsia"/>
          <w:color w:val="auto"/>
          <w:sz w:val="24"/>
          <w:highlight w:val="none"/>
        </w:rPr>
        <w:t>防风罩；</w:t>
      </w:r>
    </w:p>
    <w:p w14:paraId="2B0D890A">
      <w:pPr>
        <w:spacing w:line="460" w:lineRule="exact"/>
        <w:ind w:firstLine="480" w:firstLineChars="200"/>
        <w:rPr>
          <w:rFonts w:hint="eastAsia"/>
          <w:color w:val="auto"/>
          <w:sz w:val="24"/>
          <w:highlight w:val="none"/>
        </w:rPr>
      </w:pPr>
      <w:r>
        <w:rPr>
          <w:rFonts w:hint="eastAsia"/>
          <w:color w:val="auto"/>
          <w:sz w:val="24"/>
          <w:highlight w:val="none"/>
        </w:rPr>
        <w:t>4）避免在大风</w:t>
      </w:r>
      <w:r>
        <w:rPr>
          <w:rFonts w:hint="eastAsia"/>
          <w:color w:val="auto"/>
          <w:sz w:val="24"/>
          <w:highlight w:val="none"/>
          <w:lang w:eastAsia="zh-CN"/>
        </w:rPr>
        <w:t>、</w:t>
      </w:r>
      <w:r>
        <w:rPr>
          <w:rFonts w:hint="eastAsia"/>
          <w:color w:val="auto"/>
          <w:sz w:val="24"/>
          <w:highlight w:val="none"/>
        </w:rPr>
        <w:t>雨、雪等不良天气下监测。</w:t>
      </w:r>
    </w:p>
    <w:p w14:paraId="1FA72B07">
      <w:pPr>
        <w:spacing w:line="460" w:lineRule="exact"/>
        <w:ind w:firstLine="480" w:firstLineChars="200"/>
        <w:rPr>
          <w:rFonts w:hint="eastAsia"/>
          <w:color w:val="auto"/>
          <w:sz w:val="24"/>
          <w:highlight w:val="none"/>
        </w:rPr>
      </w:pPr>
      <w:r>
        <w:rPr>
          <w:rFonts w:hint="eastAsia"/>
          <w:color w:val="auto"/>
          <w:sz w:val="24"/>
          <w:highlight w:val="none"/>
          <w:lang w:val="en-US" w:eastAsia="zh-CN"/>
        </w:rPr>
        <w:t>（3）废水及地下水</w:t>
      </w:r>
      <w:r>
        <w:rPr>
          <w:rFonts w:hint="eastAsia"/>
          <w:color w:val="auto"/>
          <w:sz w:val="24"/>
          <w:highlight w:val="none"/>
        </w:rPr>
        <w:t>监测分析过程中质量控制与保证</w:t>
      </w:r>
    </w:p>
    <w:p w14:paraId="65A4A66C">
      <w:pPr>
        <w:spacing w:line="460" w:lineRule="exact"/>
        <w:ind w:firstLine="480" w:firstLineChars="200"/>
        <w:rPr>
          <w:rFonts w:hint="eastAsia"/>
          <w:color w:val="auto"/>
          <w:sz w:val="24"/>
          <w:highlight w:val="none"/>
        </w:rPr>
      </w:pP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rPr>
        <w:t>采样前，保存剂应进行空白试验，其纯度和等级须达到分析的要求；</w:t>
      </w:r>
    </w:p>
    <w:p w14:paraId="48B82D8A">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rPr>
        <w:t>采样器具和样品容器质量应进行抽检，抽检合格方可使用</w:t>
      </w:r>
      <w:r>
        <w:rPr>
          <w:rFonts w:hint="eastAsia"/>
          <w:color w:val="auto"/>
          <w:sz w:val="24"/>
          <w:highlight w:val="none"/>
          <w:lang w:eastAsia="zh-CN"/>
        </w:rPr>
        <w:t>；</w:t>
      </w:r>
    </w:p>
    <w:p w14:paraId="1E70AFBA">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3</w:t>
      </w:r>
      <w:r>
        <w:rPr>
          <w:rFonts w:hint="eastAsia"/>
          <w:color w:val="auto"/>
          <w:sz w:val="24"/>
          <w:highlight w:val="none"/>
          <w:lang w:eastAsia="zh-CN"/>
        </w:rPr>
        <w:t>）</w:t>
      </w:r>
      <w:r>
        <w:rPr>
          <w:rFonts w:hint="eastAsia"/>
          <w:color w:val="auto"/>
          <w:sz w:val="24"/>
          <w:highlight w:val="none"/>
        </w:rPr>
        <w:t>如分析方法中未明确，每批次水样均应采集全程序空白样品，与水样一起送实验室分析，以判断分析结果的准确性，掌握全过程操作步骤和环境条件对样品的影响</w:t>
      </w:r>
      <w:r>
        <w:rPr>
          <w:rFonts w:hint="eastAsia"/>
          <w:color w:val="auto"/>
          <w:sz w:val="24"/>
          <w:highlight w:val="none"/>
          <w:lang w:eastAsia="zh-CN"/>
        </w:rPr>
        <w:t>；</w:t>
      </w:r>
    </w:p>
    <w:p w14:paraId="291B0F15">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4</w:t>
      </w:r>
      <w:r>
        <w:rPr>
          <w:rFonts w:hint="eastAsia"/>
          <w:color w:val="auto"/>
          <w:sz w:val="24"/>
          <w:highlight w:val="none"/>
          <w:lang w:eastAsia="zh-CN"/>
        </w:rPr>
        <w:t>）</w:t>
      </w:r>
      <w:r>
        <w:rPr>
          <w:rFonts w:hint="eastAsia"/>
          <w:color w:val="auto"/>
          <w:sz w:val="24"/>
          <w:highlight w:val="none"/>
        </w:rPr>
        <w:t>每批次水样采集不少于10%的现场平行样品（自动采样除外），样品数量较少时，每批次水样至少做1份样品的现场平行样品。当现场平行样品测定结果差异较大时，对水样进行复核，检查采样和分析过程对结果的影响</w:t>
      </w:r>
      <w:r>
        <w:rPr>
          <w:rFonts w:hint="eastAsia"/>
          <w:color w:val="auto"/>
          <w:sz w:val="24"/>
          <w:highlight w:val="none"/>
          <w:lang w:eastAsia="zh-CN"/>
        </w:rPr>
        <w:t>；</w:t>
      </w:r>
    </w:p>
    <w:p w14:paraId="25A8659F">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5</w:t>
      </w:r>
      <w:r>
        <w:rPr>
          <w:rFonts w:hint="eastAsia"/>
          <w:color w:val="auto"/>
          <w:sz w:val="24"/>
          <w:highlight w:val="none"/>
          <w:lang w:eastAsia="zh-CN"/>
        </w:rPr>
        <w:t>）</w:t>
      </w:r>
      <w:r>
        <w:rPr>
          <w:rFonts w:hint="eastAsia"/>
          <w:color w:val="auto"/>
          <w:sz w:val="24"/>
          <w:highlight w:val="none"/>
        </w:rPr>
        <w:t>每批次水样分析时，空白样品对被测项目有响应的，至少做2个实验室空白，测定结果应满足分析方法的要求，对出现空白值明显偏高时，仔细检查原因，以消除空白值偏高的因素</w:t>
      </w:r>
      <w:r>
        <w:rPr>
          <w:rFonts w:hint="eastAsia"/>
          <w:color w:val="auto"/>
          <w:sz w:val="24"/>
          <w:highlight w:val="none"/>
          <w:lang w:eastAsia="zh-CN"/>
        </w:rPr>
        <w:t>；</w:t>
      </w:r>
    </w:p>
    <w:p w14:paraId="2098B1E3">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6</w:t>
      </w:r>
      <w:r>
        <w:rPr>
          <w:rFonts w:hint="eastAsia"/>
          <w:color w:val="auto"/>
          <w:sz w:val="24"/>
          <w:highlight w:val="none"/>
          <w:lang w:eastAsia="zh-CN"/>
        </w:rPr>
        <w:t>）</w:t>
      </w:r>
      <w:r>
        <w:rPr>
          <w:rFonts w:hint="eastAsia"/>
          <w:color w:val="auto"/>
          <w:sz w:val="24"/>
          <w:highlight w:val="none"/>
        </w:rPr>
        <w:t>用校准曲线定量分析时，仅限在其线性范围内进行，同时须检查校准曲线的相关系数、斜率和截距是否正常，必要时进行校准曲线斜率、截距的统计检验和校准曲线的精密度检验</w:t>
      </w:r>
      <w:r>
        <w:rPr>
          <w:rFonts w:hint="eastAsia"/>
          <w:color w:val="auto"/>
          <w:sz w:val="24"/>
          <w:highlight w:val="none"/>
          <w:lang w:eastAsia="zh-CN"/>
        </w:rPr>
        <w:t>；</w:t>
      </w:r>
    </w:p>
    <w:p w14:paraId="5ED89B23">
      <w:pPr>
        <w:spacing w:line="460" w:lineRule="exact"/>
        <w:ind w:firstLine="480" w:firstLineChars="200"/>
        <w:rPr>
          <w:rFonts w:hint="eastAsia"/>
          <w:color w:val="auto"/>
          <w:sz w:val="24"/>
          <w:highlight w:val="none"/>
        </w:rPr>
      </w:pPr>
      <w:r>
        <w:rPr>
          <w:rFonts w:hint="eastAsia"/>
          <w:color w:val="auto"/>
          <w:sz w:val="24"/>
          <w:highlight w:val="none"/>
          <w:lang w:val="en-US" w:eastAsia="zh-CN"/>
        </w:rPr>
        <w:t>7</w:t>
      </w:r>
      <w:r>
        <w:rPr>
          <w:rFonts w:hint="eastAsia"/>
          <w:color w:val="auto"/>
          <w:sz w:val="24"/>
          <w:highlight w:val="none"/>
          <w:lang w:eastAsia="zh-CN"/>
        </w:rPr>
        <w:t>）</w:t>
      </w:r>
      <w:r>
        <w:rPr>
          <w:rFonts w:hint="eastAsia"/>
          <w:color w:val="auto"/>
          <w:sz w:val="24"/>
          <w:highlight w:val="none"/>
        </w:rPr>
        <w:t>校准曲线需定期核查，不得长期使用，不同实验人员、实验仪器之间不得相互借用。</w:t>
      </w:r>
    </w:p>
    <w:p w14:paraId="59788B98">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8</w:t>
      </w:r>
      <w:r>
        <w:rPr>
          <w:rFonts w:hint="eastAsia"/>
          <w:color w:val="auto"/>
          <w:sz w:val="24"/>
          <w:highlight w:val="none"/>
          <w:lang w:eastAsia="zh-CN"/>
        </w:rPr>
        <w:t>）</w:t>
      </w:r>
      <w:r>
        <w:rPr>
          <w:rFonts w:hint="eastAsia"/>
          <w:color w:val="auto"/>
          <w:sz w:val="24"/>
          <w:highlight w:val="none"/>
        </w:rPr>
        <w:t>精密度采用分析平行双样相对偏差、测量值的标准偏差或相对标准偏差等来控制</w:t>
      </w:r>
      <w:r>
        <w:rPr>
          <w:rFonts w:hint="eastAsia"/>
          <w:color w:val="auto"/>
          <w:sz w:val="24"/>
          <w:highlight w:val="none"/>
          <w:lang w:eastAsia="zh-CN"/>
        </w:rPr>
        <w:t>；</w:t>
      </w:r>
    </w:p>
    <w:p w14:paraId="5FCFB441">
      <w:pPr>
        <w:spacing w:line="460" w:lineRule="exact"/>
        <w:ind w:firstLine="480" w:firstLineChars="200"/>
        <w:rPr>
          <w:rFonts w:hint="eastAsia"/>
          <w:color w:val="auto"/>
          <w:sz w:val="24"/>
          <w:highlight w:val="none"/>
          <w:lang w:eastAsia="zh-CN"/>
        </w:rPr>
      </w:pPr>
      <w:r>
        <w:rPr>
          <w:rFonts w:hint="eastAsia"/>
          <w:color w:val="auto"/>
          <w:sz w:val="24"/>
          <w:highlight w:val="none"/>
          <w:lang w:val="en-US" w:eastAsia="zh-CN"/>
        </w:rPr>
        <w:t>9</w:t>
      </w:r>
      <w:r>
        <w:rPr>
          <w:rFonts w:hint="eastAsia"/>
          <w:color w:val="auto"/>
          <w:sz w:val="24"/>
          <w:highlight w:val="none"/>
          <w:lang w:eastAsia="zh-CN"/>
        </w:rPr>
        <w:t>）</w:t>
      </w:r>
      <w:r>
        <w:rPr>
          <w:rFonts w:hint="eastAsia"/>
          <w:color w:val="auto"/>
          <w:sz w:val="24"/>
          <w:highlight w:val="none"/>
        </w:rPr>
        <w:t>选用分析标准样品、自配标准溶液或实验室内加标回收等方法来控制准确度</w:t>
      </w:r>
      <w:r>
        <w:rPr>
          <w:rFonts w:hint="eastAsia"/>
          <w:color w:val="auto"/>
          <w:sz w:val="24"/>
          <w:highlight w:val="none"/>
          <w:lang w:eastAsia="zh-CN"/>
        </w:rPr>
        <w:t>；</w:t>
      </w:r>
    </w:p>
    <w:p w14:paraId="0606B92C">
      <w:pPr>
        <w:spacing w:line="460" w:lineRule="exact"/>
        <w:ind w:firstLine="480" w:firstLineChars="200"/>
        <w:rPr>
          <w:rFonts w:hint="eastAsia"/>
          <w:color w:val="auto"/>
          <w:sz w:val="24"/>
          <w:highlight w:val="none"/>
        </w:rPr>
      </w:pPr>
      <w:r>
        <w:rPr>
          <w:rFonts w:hint="eastAsia"/>
          <w:color w:val="auto"/>
          <w:sz w:val="24"/>
          <w:highlight w:val="none"/>
          <w:lang w:val="en-US" w:eastAsia="zh-CN"/>
        </w:rPr>
        <w:t>10</w:t>
      </w:r>
      <w:r>
        <w:rPr>
          <w:rFonts w:hint="eastAsia"/>
          <w:color w:val="auto"/>
          <w:sz w:val="24"/>
          <w:highlight w:val="none"/>
          <w:lang w:eastAsia="zh-CN"/>
        </w:rPr>
        <w:t>）</w:t>
      </w:r>
      <w:r>
        <w:rPr>
          <w:rFonts w:hint="eastAsia"/>
          <w:color w:val="auto"/>
          <w:sz w:val="24"/>
          <w:highlight w:val="none"/>
        </w:rPr>
        <w:t>每批样品带一个已知浓度的质控样品，与样品同步测定，且标准样品/有证标准物质不应与绘制标准曲线的标准溶液来源相同。</w:t>
      </w:r>
    </w:p>
    <w:p w14:paraId="636698DB">
      <w:pPr>
        <w:spacing w:line="460" w:lineRule="exact"/>
        <w:ind w:firstLine="480" w:firstLineChars="200"/>
        <w:rPr>
          <w:color w:val="auto"/>
          <w:sz w:val="24"/>
          <w:highlight w:val="none"/>
          <w:lang w:val="zh-CN"/>
        </w:rPr>
      </w:pPr>
      <w:r>
        <w:rPr>
          <w:rFonts w:hint="eastAsia"/>
          <w:color w:val="auto"/>
          <w:sz w:val="24"/>
          <w:highlight w:val="none"/>
        </w:rPr>
        <w:t>本项目产生的固体废物按如下要求进行记录并管理：</w:t>
      </w:r>
      <w:r>
        <w:rPr>
          <w:rFonts w:hint="eastAsia"/>
          <w:color w:val="auto"/>
          <w:sz w:val="24"/>
          <w:highlight w:val="none"/>
          <w:lang w:val="zh-CN"/>
        </w:rPr>
        <w:t>工业固体废物主要是根据《排污许可证申请与核发技术规范工业固体废物（试行）》（生态环境部公告2021年第53号）在排污许可平台填报基本信息并形成企业台账。</w:t>
      </w:r>
    </w:p>
    <w:p w14:paraId="0E45ECC4">
      <w:pPr>
        <w:spacing w:line="460" w:lineRule="exact"/>
        <w:ind w:firstLine="480" w:firstLineChars="200"/>
        <w:rPr>
          <w:color w:val="auto"/>
          <w:sz w:val="24"/>
          <w:highlight w:val="none"/>
          <w:lang w:val="zh-CN"/>
        </w:rPr>
      </w:pPr>
      <w:r>
        <w:rPr>
          <w:rFonts w:hint="eastAsia"/>
          <w:color w:val="auto"/>
          <w:sz w:val="24"/>
          <w:highlight w:val="none"/>
        </w:rPr>
        <w:t>本项目投产后产生的固体废物为危险废物和一般工业固体废物，</w:t>
      </w:r>
      <w:r>
        <w:rPr>
          <w:rFonts w:hint="eastAsia"/>
          <w:color w:val="auto"/>
          <w:sz w:val="24"/>
          <w:highlight w:val="none"/>
          <w:lang w:val="zh-CN"/>
        </w:rPr>
        <w:t>危险废物基本情况填报基础信息包括危险废物的名称、代码、危险特性、物理性状、产生环节及去向等信息。自行贮存设施信息包括贮存设施名称、编号、类型、位置、是否符合相关标准要求、贮存危险废物能力、面积，贮存危险废物的名称、代码、危险特性、物理性状、产生环节等信息。</w:t>
      </w:r>
    </w:p>
    <w:p w14:paraId="78203F84">
      <w:pPr>
        <w:spacing w:line="460" w:lineRule="exact"/>
        <w:ind w:firstLine="480" w:firstLineChars="200"/>
        <w:rPr>
          <w:rFonts w:hint="eastAsia"/>
          <w:color w:val="auto"/>
          <w:sz w:val="24"/>
          <w:highlight w:val="none"/>
          <w:lang w:val="zh-CN"/>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sz w:val="24"/>
          <w:highlight w:val="none"/>
          <w:lang w:val="zh-CN"/>
        </w:rPr>
        <w:t>排污单位应建立环境管理台账，</w:t>
      </w:r>
      <w:r>
        <w:rPr>
          <w:rFonts w:hint="eastAsia"/>
          <w:color w:val="auto"/>
          <w:sz w:val="24"/>
          <w:highlight w:val="none"/>
        </w:rPr>
        <w:t>一般工业固体废物</w:t>
      </w:r>
      <w:r>
        <w:rPr>
          <w:rFonts w:hint="eastAsia"/>
          <w:color w:val="auto"/>
          <w:sz w:val="24"/>
          <w:highlight w:val="none"/>
          <w:lang w:val="zh-CN"/>
        </w:rPr>
        <w:t>环境管理台账记录应符合《一般工业固体废物管理台账制定指南（试行）》（生态环境部公告2021年第</w:t>
      </w:r>
      <w:r>
        <w:rPr>
          <w:rFonts w:hint="eastAsia"/>
          <w:color w:val="auto"/>
          <w:sz w:val="24"/>
          <w:highlight w:val="none"/>
        </w:rPr>
        <w:t>82</w:t>
      </w:r>
      <w:r>
        <w:rPr>
          <w:rFonts w:hint="eastAsia"/>
          <w:color w:val="auto"/>
          <w:sz w:val="24"/>
          <w:highlight w:val="none"/>
          <w:lang w:val="zh-CN"/>
        </w:rPr>
        <w:t>号）等标准及管理文件的相关要求；危险废物环境管理台账记录应符合《危险废物产生单位管理计划制定指南》等标准及管理文件的相关要求，待危险废物环境管理台账相关标准或管理文件发布实施后，从其规定。</w:t>
      </w:r>
    </w:p>
    <w:p w14:paraId="3E93F5E2">
      <w:pPr>
        <w:adjustRightInd w:val="0"/>
        <w:snapToGrid w:val="0"/>
        <w:spacing w:line="360" w:lineRule="auto"/>
        <w:rPr>
          <w:rFonts w:hint="eastAsia" w:eastAsia="宋体"/>
          <w:color w:val="auto"/>
          <w:highlight w:val="none"/>
          <w:lang w:eastAsia="zh-CN"/>
        </w:rPr>
      </w:pPr>
      <w:r>
        <w:rPr>
          <w:color w:val="auto"/>
          <w:sz w:val="21"/>
          <w:highlight w:val="none"/>
        </w:rPr>
        <mc:AlternateContent>
          <mc:Choice Requires="wps">
            <w:drawing>
              <wp:anchor distT="0" distB="0" distL="114300" distR="114300" simplePos="0" relativeHeight="251699200" behindDoc="0" locked="0" layoutInCell="1" allowOverlap="1">
                <wp:simplePos x="0" y="0"/>
                <wp:positionH relativeFrom="column">
                  <wp:posOffset>4460240</wp:posOffset>
                </wp:positionH>
                <wp:positionV relativeFrom="paragraph">
                  <wp:posOffset>5824220</wp:posOffset>
                </wp:positionV>
                <wp:extent cx="1143000" cy="1242060"/>
                <wp:effectExtent l="6350" t="6350" r="12700" b="8890"/>
                <wp:wrapNone/>
                <wp:docPr id="645" name="文本框 645"/>
                <wp:cNvGraphicFramePr/>
                <a:graphic xmlns:a="http://schemas.openxmlformats.org/drawingml/2006/main">
                  <a:graphicData uri="http://schemas.microsoft.com/office/word/2010/wordprocessingShape">
                    <wps:wsp>
                      <wps:cNvSpPr txBox="1"/>
                      <wps:spPr>
                        <a:xfrm>
                          <a:off x="0" y="0"/>
                          <a:ext cx="1143000" cy="1242060"/>
                        </a:xfrm>
                        <a:prstGeom prst="rect">
                          <a:avLst/>
                        </a:prstGeom>
                        <a:noFill/>
                        <a:ln w="12700" cmpd="sng">
                          <a:solidFill>
                            <a:schemeClr val="accent1">
                              <a:shade val="50000"/>
                            </a:schemeClr>
                          </a:solidFill>
                          <a:prstDash val="solid"/>
                        </a:ln>
                      </wps:spPr>
                      <wps:style>
                        <a:lnRef idx="0">
                          <a:schemeClr val="accent1"/>
                        </a:lnRef>
                        <a:fillRef idx="0">
                          <a:schemeClr val="accent1"/>
                        </a:fillRef>
                        <a:effectRef idx="0">
                          <a:schemeClr val="accent1"/>
                        </a:effectRef>
                        <a:fontRef idx="minor">
                          <a:schemeClr val="dk1"/>
                        </a:fontRef>
                      </wps:style>
                      <wps:txbx>
                        <w:txbxContent>
                          <w:p w14:paraId="1044E4F4">
                            <w:pPr>
                              <w:spacing w:line="360" w:lineRule="auto"/>
                              <w:jc w:val="center"/>
                              <w:rPr>
                                <w:rFonts w:hint="eastAsia" w:ascii="宋体" w:hAnsi="Times New Roman" w:eastAsia="宋体" w:cs="宋体"/>
                                <w:b/>
                                <w:color w:val="000000"/>
                                <w:kern w:val="2"/>
                                <w:sz w:val="16"/>
                                <w:szCs w:val="16"/>
                                <w:lang w:val="en-US" w:eastAsia="zh-CN" w:bidi="ar-SA"/>
                              </w:rPr>
                            </w:pPr>
                            <w:r>
                              <w:rPr>
                                <w:rFonts w:hint="eastAsia" w:ascii="宋体" w:hAnsi="Times New Roman" w:eastAsia="宋体" w:cs="宋体"/>
                                <w:b/>
                                <w:color w:val="000000"/>
                                <w:kern w:val="2"/>
                                <w:sz w:val="16"/>
                                <w:szCs w:val="16"/>
                                <w:lang w:val="en-US" w:eastAsia="zh-CN" w:bidi="ar-SA"/>
                              </w:rPr>
                              <w:t>图例：</w:t>
                            </w:r>
                          </w:p>
                          <w:p w14:paraId="6CC55FAB">
                            <w:pPr>
                              <w:pStyle w:val="66"/>
                              <w:spacing w:line="360" w:lineRule="auto"/>
                              <w:ind w:firstLine="161" w:firstLineChars="100"/>
                              <w:jc w:val="both"/>
                              <w:rPr>
                                <w:rFonts w:hint="eastAsia"/>
                                <w:sz w:val="16"/>
                                <w:szCs w:val="16"/>
                                <w:lang w:val="en-US" w:eastAsia="zh-CN"/>
                              </w:rPr>
                            </w:pPr>
                            <w:r>
                              <w:rPr>
                                <w:rFonts w:hint="eastAsia"/>
                                <w:sz w:val="16"/>
                                <w:szCs w:val="16"/>
                                <w:lang w:val="en-US" w:eastAsia="zh-CN"/>
                              </w:rPr>
                              <w:t>项目区</w:t>
                            </w:r>
                          </w:p>
                          <w:p w14:paraId="173FA8FF">
                            <w:pPr>
                              <w:pStyle w:val="66"/>
                              <w:spacing w:line="360" w:lineRule="auto"/>
                              <w:ind w:firstLine="161" w:firstLineChars="100"/>
                              <w:jc w:val="both"/>
                              <w:rPr>
                                <w:rFonts w:hint="eastAsia" w:ascii="宋体" w:hAnsi="Times New Roman" w:eastAsia="宋体" w:cs="宋体"/>
                                <w:sz w:val="16"/>
                                <w:szCs w:val="16"/>
                                <w:lang w:val="en-US" w:eastAsia="zh-CN"/>
                              </w:rPr>
                            </w:pPr>
                            <w:r>
                              <w:rPr>
                                <w:rFonts w:hint="eastAsia" w:ascii="宋体" w:hAnsi="Times New Roman" w:eastAsia="宋体" w:cs="宋体"/>
                                <w:sz w:val="16"/>
                                <w:szCs w:val="16"/>
                                <w:lang w:val="en-US" w:eastAsia="zh-CN"/>
                              </w:rPr>
                              <w:t>大气有组织排放口</w:t>
                            </w:r>
                          </w:p>
                          <w:p w14:paraId="7B4865CA">
                            <w:pPr>
                              <w:pStyle w:val="66"/>
                              <w:spacing w:line="360" w:lineRule="auto"/>
                              <w:ind w:firstLine="161" w:firstLineChars="100"/>
                              <w:jc w:val="both"/>
                              <w:rPr>
                                <w:rFonts w:hint="default" w:ascii="宋体" w:hAnsi="Times New Roman" w:eastAsia="宋体" w:cs="宋体"/>
                                <w:sz w:val="16"/>
                                <w:szCs w:val="16"/>
                                <w:lang w:val="en-US" w:eastAsia="zh-CN"/>
                              </w:rPr>
                            </w:pPr>
                            <w:r>
                              <w:rPr>
                                <w:rFonts w:hint="eastAsia" w:ascii="宋体" w:hAnsi="Times New Roman" w:eastAsia="宋体" w:cs="宋体"/>
                                <w:sz w:val="16"/>
                                <w:szCs w:val="16"/>
                                <w:lang w:val="en-US" w:eastAsia="zh-CN"/>
                              </w:rPr>
                              <w:t>废水排口</w:t>
                            </w:r>
                          </w:p>
                          <w:p w14:paraId="6D5ADB8D">
                            <w:pPr>
                              <w:pStyle w:val="66"/>
                              <w:spacing w:line="360" w:lineRule="auto"/>
                              <w:ind w:firstLine="161" w:firstLineChars="100"/>
                              <w:jc w:val="both"/>
                              <w:rPr>
                                <w:rFonts w:hint="eastAsia" w:ascii="宋体" w:hAnsi="Times New Roman" w:eastAsia="宋体" w:cs="宋体"/>
                                <w:sz w:val="16"/>
                                <w:szCs w:val="16"/>
                                <w:lang w:val="en-US" w:eastAsia="zh-CN"/>
                              </w:rPr>
                            </w:pPr>
                            <w:r>
                              <w:rPr>
                                <w:rFonts w:hint="eastAsia" w:ascii="宋体" w:hAnsi="Times New Roman" w:eastAsia="宋体" w:cs="宋体"/>
                                <w:sz w:val="16"/>
                                <w:szCs w:val="16"/>
                                <w:lang w:val="en-US" w:eastAsia="zh-CN"/>
                              </w:rPr>
                              <w:t>噪声监测点</w:t>
                            </w:r>
                          </w:p>
                          <w:p w14:paraId="083E7A77">
                            <w:pPr>
                              <w:pStyle w:val="66"/>
                              <w:spacing w:line="360" w:lineRule="auto"/>
                              <w:ind w:firstLine="161" w:firstLineChars="100"/>
                              <w:jc w:val="both"/>
                              <w:rPr>
                                <w:rFonts w:hint="default" w:ascii="宋体" w:hAnsi="Times New Roman" w:eastAsia="宋体" w:cs="宋体"/>
                                <w:sz w:val="16"/>
                                <w:szCs w:val="16"/>
                                <w:lang w:val="en-US" w:eastAsia="zh-CN"/>
                              </w:rPr>
                            </w:pPr>
                            <w:r>
                              <w:rPr>
                                <w:rFonts w:hint="eastAsia" w:ascii="宋体" w:hAnsi="Times New Roman" w:eastAsia="宋体" w:cs="宋体"/>
                                <w:sz w:val="16"/>
                                <w:szCs w:val="16"/>
                                <w:lang w:val="en-US" w:eastAsia="zh-CN"/>
                              </w:rPr>
                              <w:t>土壤监测点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2pt;margin-top:458.6pt;height:97.8pt;width:90pt;z-index:251699200;mso-width-relative:page;mso-height-relative:page;" filled="f" stroked="t" coordsize="21600,21600" o:gfxdata="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5OpRP2gAAAAwBAAAPAAAAAAAAAAEAIAAAACIAAABkcnMv&#10;ZG93bnJldi54bWxQSwECFAAUAAAACACHTuJAgdy5HXMCAADaBAAADgAAAAAAAAABACAAAAApAQAA&#10;ZHJzL2Uyb0RvYy54bWxQSwUGAAAAAAYABgBZAQAADgYAAAAA&#10;">
                <v:fill on="f" focussize="0,0"/>
                <v:stroke weight="1pt" color="#385D8A [3204]" joinstyle="round"/>
                <v:imagedata o:title=""/>
                <o:lock v:ext="edit" aspectratio="f"/>
                <v:textbox>
                  <w:txbxContent>
                    <w:p w14:paraId="1044E4F4">
                      <w:pPr>
                        <w:spacing w:line="360" w:lineRule="auto"/>
                        <w:jc w:val="center"/>
                        <w:rPr>
                          <w:rFonts w:hint="eastAsia" w:ascii="宋体" w:hAnsi="Times New Roman" w:eastAsia="宋体" w:cs="宋体"/>
                          <w:b/>
                          <w:color w:val="000000"/>
                          <w:kern w:val="2"/>
                          <w:sz w:val="16"/>
                          <w:szCs w:val="16"/>
                          <w:lang w:val="en-US" w:eastAsia="zh-CN" w:bidi="ar-SA"/>
                        </w:rPr>
                      </w:pPr>
                      <w:r>
                        <w:rPr>
                          <w:rFonts w:hint="eastAsia" w:ascii="宋体" w:hAnsi="Times New Roman" w:eastAsia="宋体" w:cs="宋体"/>
                          <w:b/>
                          <w:color w:val="000000"/>
                          <w:kern w:val="2"/>
                          <w:sz w:val="16"/>
                          <w:szCs w:val="16"/>
                          <w:lang w:val="en-US" w:eastAsia="zh-CN" w:bidi="ar-SA"/>
                        </w:rPr>
                        <w:t>图例：</w:t>
                      </w:r>
                    </w:p>
                    <w:p w14:paraId="6CC55FAB">
                      <w:pPr>
                        <w:pStyle w:val="66"/>
                        <w:spacing w:line="360" w:lineRule="auto"/>
                        <w:ind w:firstLine="161" w:firstLineChars="100"/>
                        <w:jc w:val="both"/>
                        <w:rPr>
                          <w:rFonts w:hint="eastAsia"/>
                          <w:sz w:val="16"/>
                          <w:szCs w:val="16"/>
                          <w:lang w:val="en-US" w:eastAsia="zh-CN"/>
                        </w:rPr>
                      </w:pPr>
                      <w:r>
                        <w:rPr>
                          <w:rFonts w:hint="eastAsia"/>
                          <w:sz w:val="16"/>
                          <w:szCs w:val="16"/>
                          <w:lang w:val="en-US" w:eastAsia="zh-CN"/>
                        </w:rPr>
                        <w:t>项目区</w:t>
                      </w:r>
                    </w:p>
                    <w:p w14:paraId="173FA8FF">
                      <w:pPr>
                        <w:pStyle w:val="66"/>
                        <w:spacing w:line="360" w:lineRule="auto"/>
                        <w:ind w:firstLine="161" w:firstLineChars="100"/>
                        <w:jc w:val="both"/>
                        <w:rPr>
                          <w:rFonts w:hint="eastAsia" w:ascii="宋体" w:hAnsi="Times New Roman" w:eastAsia="宋体" w:cs="宋体"/>
                          <w:sz w:val="16"/>
                          <w:szCs w:val="16"/>
                          <w:lang w:val="en-US" w:eastAsia="zh-CN"/>
                        </w:rPr>
                      </w:pPr>
                      <w:r>
                        <w:rPr>
                          <w:rFonts w:hint="eastAsia" w:ascii="宋体" w:hAnsi="Times New Roman" w:eastAsia="宋体" w:cs="宋体"/>
                          <w:sz w:val="16"/>
                          <w:szCs w:val="16"/>
                          <w:lang w:val="en-US" w:eastAsia="zh-CN"/>
                        </w:rPr>
                        <w:t>大气有组织排放口</w:t>
                      </w:r>
                    </w:p>
                    <w:p w14:paraId="7B4865CA">
                      <w:pPr>
                        <w:pStyle w:val="66"/>
                        <w:spacing w:line="360" w:lineRule="auto"/>
                        <w:ind w:firstLine="161" w:firstLineChars="100"/>
                        <w:jc w:val="both"/>
                        <w:rPr>
                          <w:rFonts w:hint="default" w:ascii="宋体" w:hAnsi="Times New Roman" w:eastAsia="宋体" w:cs="宋体"/>
                          <w:sz w:val="16"/>
                          <w:szCs w:val="16"/>
                          <w:lang w:val="en-US" w:eastAsia="zh-CN"/>
                        </w:rPr>
                      </w:pPr>
                      <w:r>
                        <w:rPr>
                          <w:rFonts w:hint="eastAsia" w:ascii="宋体" w:hAnsi="Times New Roman" w:eastAsia="宋体" w:cs="宋体"/>
                          <w:sz w:val="16"/>
                          <w:szCs w:val="16"/>
                          <w:lang w:val="en-US" w:eastAsia="zh-CN"/>
                        </w:rPr>
                        <w:t>废水排口</w:t>
                      </w:r>
                    </w:p>
                    <w:p w14:paraId="6D5ADB8D">
                      <w:pPr>
                        <w:pStyle w:val="66"/>
                        <w:spacing w:line="360" w:lineRule="auto"/>
                        <w:ind w:firstLine="161" w:firstLineChars="100"/>
                        <w:jc w:val="both"/>
                        <w:rPr>
                          <w:rFonts w:hint="eastAsia" w:ascii="宋体" w:hAnsi="Times New Roman" w:eastAsia="宋体" w:cs="宋体"/>
                          <w:sz w:val="16"/>
                          <w:szCs w:val="16"/>
                          <w:lang w:val="en-US" w:eastAsia="zh-CN"/>
                        </w:rPr>
                      </w:pPr>
                      <w:r>
                        <w:rPr>
                          <w:rFonts w:hint="eastAsia" w:ascii="宋体" w:hAnsi="Times New Roman" w:eastAsia="宋体" w:cs="宋体"/>
                          <w:sz w:val="16"/>
                          <w:szCs w:val="16"/>
                          <w:lang w:val="en-US" w:eastAsia="zh-CN"/>
                        </w:rPr>
                        <w:t>噪声监测点</w:t>
                      </w:r>
                    </w:p>
                    <w:p w14:paraId="083E7A77">
                      <w:pPr>
                        <w:pStyle w:val="66"/>
                        <w:spacing w:line="360" w:lineRule="auto"/>
                        <w:ind w:firstLine="161" w:firstLineChars="100"/>
                        <w:jc w:val="both"/>
                        <w:rPr>
                          <w:rFonts w:hint="default" w:ascii="宋体" w:hAnsi="Times New Roman" w:eastAsia="宋体" w:cs="宋体"/>
                          <w:sz w:val="16"/>
                          <w:szCs w:val="16"/>
                          <w:lang w:val="en-US" w:eastAsia="zh-CN"/>
                        </w:rPr>
                      </w:pPr>
                      <w:r>
                        <w:rPr>
                          <w:rFonts w:hint="eastAsia" w:ascii="宋体" w:hAnsi="Times New Roman" w:eastAsia="宋体" w:cs="宋体"/>
                          <w:sz w:val="16"/>
                          <w:szCs w:val="16"/>
                          <w:lang w:val="en-US" w:eastAsia="zh-CN"/>
                        </w:rPr>
                        <w:t>土壤监测点</w:t>
                      </w:r>
                    </w:p>
                  </w:txbxContent>
                </v:textbox>
              </v:shape>
            </w:pict>
          </mc:Fallback>
        </mc:AlternateContent>
      </w:r>
      <w:r>
        <w:rPr>
          <w:color w:val="auto"/>
          <w:sz w:val="24"/>
          <w:highlight w:val="none"/>
        </w:rPr>
        <mc:AlternateContent>
          <mc:Choice Requires="wps">
            <w:drawing>
              <wp:anchor distT="0" distB="0" distL="114300" distR="114300" simplePos="0" relativeHeight="251692032" behindDoc="0" locked="0" layoutInCell="1" allowOverlap="1">
                <wp:simplePos x="0" y="0"/>
                <wp:positionH relativeFrom="column">
                  <wp:posOffset>4457700</wp:posOffset>
                </wp:positionH>
                <wp:positionV relativeFrom="paragraph">
                  <wp:posOffset>6091555</wp:posOffset>
                </wp:positionV>
                <wp:extent cx="126365" cy="109220"/>
                <wp:effectExtent l="12700" t="12700" r="13335" b="30480"/>
                <wp:wrapNone/>
                <wp:docPr id="630" name="矩形 630"/>
                <wp:cNvGraphicFramePr/>
                <a:graphic xmlns:a="http://schemas.openxmlformats.org/drawingml/2006/main">
                  <a:graphicData uri="http://schemas.microsoft.com/office/word/2010/wordprocessingShape">
                    <wps:wsp>
                      <wps:cNvSpPr/>
                      <wps:spPr>
                        <a:xfrm>
                          <a:off x="0" y="0"/>
                          <a:ext cx="126365" cy="109220"/>
                        </a:xfrm>
                        <a:prstGeom prst="rect">
                          <a:avLst/>
                        </a:prstGeom>
                        <a:noFill/>
                        <a:ln w="254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1pt;margin-top:479.65pt;height:8.6pt;width:9.95pt;z-index:251692032;v-text-anchor:middle;mso-width-relative:page;mso-height-relative:page;" filled="f" stroked="t" coordsize="21600,21600" o:gfxdata="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NFfl9sAAAALAQAADwAAAAAAAAABACAAAAAiAAAAZHJzL2Rvd25yZXYueG1sUEsBAhQA&#10;FAAAAAgAh07iQLPFIq9hAgAAtwQAAA4AAAAAAAAAAQAgAAAAKgEAAGRycy9lMm9Eb2MueG1sUEsF&#10;BgAAAAAGAAYAWQEAAP0FAAAAAA==&#10;">
                <v:fill on="f" focussize="0,0"/>
                <v:stroke weight="2pt" color="#FF0000 [2404]"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713536" behindDoc="0" locked="0" layoutInCell="1" allowOverlap="1">
                <wp:simplePos x="0" y="0"/>
                <wp:positionH relativeFrom="column">
                  <wp:posOffset>1014095</wp:posOffset>
                </wp:positionH>
                <wp:positionV relativeFrom="paragraph">
                  <wp:posOffset>20320</wp:posOffset>
                </wp:positionV>
                <wp:extent cx="118745" cy="144145"/>
                <wp:effectExtent l="12700" t="12700" r="20955" b="14605"/>
                <wp:wrapNone/>
                <wp:docPr id="665" name="圆柱形 665"/>
                <wp:cNvGraphicFramePr/>
                <a:graphic xmlns:a="http://schemas.openxmlformats.org/drawingml/2006/main">
                  <a:graphicData uri="http://schemas.microsoft.com/office/word/2010/wordprocessingShape">
                    <wps:wsp>
                      <wps:cNvSpPr/>
                      <wps:spPr>
                        <a:xfrm>
                          <a:off x="0" y="0"/>
                          <a:ext cx="118745" cy="144145"/>
                        </a:xfrm>
                        <a:prstGeom prst="can">
                          <a:avLst>
                            <a:gd name="adj" fmla="val 0"/>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2" type="#_x0000_t22" style="position:absolute;left:0pt;margin-left:79.85pt;margin-top:1.6pt;height:11.35pt;width:9.35pt;z-index:251713536;v-text-anchor:middle;mso-width-relative:page;mso-height-relative:page;" fillcolor="#4F81BD [3204]" filled="t" stroked="t" coordsize="21600,21600" o:gfxdata="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JhrrMtcA&#10;AAAIAQAADwAAAAAAAAABACAAAAAiAAAAZHJzL2Rvd25yZXYueG1sUEsBAhQAFAAAAAgAh07iQJmQ&#10;rTySAgAALAUAAA4AAAAAAAAAAQAgAAAAJgEAAGRycy9lMm9Eb2MueG1sUEsFBgAAAAAGAAYAWQEA&#10;ACoGAAAAAA==&#10;" adj="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11488" behindDoc="0" locked="0" layoutInCell="1" allowOverlap="1">
                <wp:simplePos x="0" y="0"/>
                <wp:positionH relativeFrom="column">
                  <wp:posOffset>283210</wp:posOffset>
                </wp:positionH>
                <wp:positionV relativeFrom="paragraph">
                  <wp:posOffset>37465</wp:posOffset>
                </wp:positionV>
                <wp:extent cx="118745" cy="144145"/>
                <wp:effectExtent l="12700" t="12700" r="20955" b="14605"/>
                <wp:wrapNone/>
                <wp:docPr id="666" name="圆柱形 666"/>
                <wp:cNvGraphicFramePr/>
                <a:graphic xmlns:a="http://schemas.openxmlformats.org/drawingml/2006/main">
                  <a:graphicData uri="http://schemas.microsoft.com/office/word/2010/wordprocessingShape">
                    <wps:wsp>
                      <wps:cNvSpPr/>
                      <wps:spPr>
                        <a:xfrm>
                          <a:off x="0" y="0"/>
                          <a:ext cx="118745" cy="144145"/>
                        </a:xfrm>
                        <a:prstGeom prst="can">
                          <a:avLst>
                            <a:gd name="adj" fmla="val 0"/>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2" type="#_x0000_t22" style="position:absolute;left:0pt;margin-left:22.3pt;margin-top:2.95pt;height:11.35pt;width:9.35pt;z-index:251711488;v-text-anchor:middle;mso-width-relative:page;mso-height-relative:page;" fillcolor="#4F81BD [3204]" filled="t" stroked="t" coordsize="21600,21600" o:gfxdata="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CqV4JtYA&#10;AAAGAQAADwAAAAAAAAABACAAAAAiAAAAZHJzL2Rvd25yZXYueG1sUEsBAhQAFAAAAAgAh07iQC4C&#10;fdaTAgAALAUAAA4AAAAAAAAAAQAgAAAAJQEAAGRycy9lMm9Eb2MueG1sUEsFBgAAAAAGAAYAWQEA&#10;ACoGAAAAAA==&#10;" adj="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15584" behindDoc="0" locked="0" layoutInCell="1" allowOverlap="1">
                <wp:simplePos x="0" y="0"/>
                <wp:positionH relativeFrom="column">
                  <wp:posOffset>4472940</wp:posOffset>
                </wp:positionH>
                <wp:positionV relativeFrom="paragraph">
                  <wp:posOffset>6465570</wp:posOffset>
                </wp:positionV>
                <wp:extent cx="118745" cy="144145"/>
                <wp:effectExtent l="12700" t="12700" r="20955" b="14605"/>
                <wp:wrapNone/>
                <wp:docPr id="664" name="圆柱形 664"/>
                <wp:cNvGraphicFramePr/>
                <a:graphic xmlns:a="http://schemas.openxmlformats.org/drawingml/2006/main">
                  <a:graphicData uri="http://schemas.microsoft.com/office/word/2010/wordprocessingShape">
                    <wps:wsp>
                      <wps:cNvSpPr/>
                      <wps:spPr>
                        <a:xfrm>
                          <a:off x="3311525" y="4939030"/>
                          <a:ext cx="118745" cy="144145"/>
                        </a:xfrm>
                        <a:prstGeom prst="can">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2" type="#_x0000_t22" style="position:absolute;left:0pt;margin-left:352.2pt;margin-top:509.1pt;height:11.35pt;width:9.35pt;z-index:251715584;v-text-anchor:middle;mso-width-relative:page;mso-height-relative:page;" fillcolor="#4F81BD [3204]" filled="t" stroked="t" coordsize="21600,21600" o:gfxdata="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GxYEX2QAAAA0B&#10;AAAPAAAAAAAAAAEAIAAAACIAAABkcnMvZG93bnJldi54bWxQSwECFAAUAAAACACHTuJA54576owC&#10;AAAQBQAADgAAAAAAAAABACAAAAAoAQAAZHJzL2Uyb0RvYy54bWxQSwUGAAAAAAYABgBZAQAAJgYA&#10;AAAA&#10;" adj="4448">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9440" behindDoc="0" locked="0" layoutInCell="1" allowOverlap="1">
                <wp:simplePos x="0" y="0"/>
                <wp:positionH relativeFrom="column">
                  <wp:posOffset>4443730</wp:posOffset>
                </wp:positionH>
                <wp:positionV relativeFrom="paragraph">
                  <wp:posOffset>6645910</wp:posOffset>
                </wp:positionV>
                <wp:extent cx="161925" cy="120015"/>
                <wp:effectExtent l="12700" t="12700" r="15875" b="19685"/>
                <wp:wrapNone/>
                <wp:docPr id="659" name="等腰三角形 659"/>
                <wp:cNvGraphicFramePr/>
                <a:graphic xmlns:a="http://schemas.openxmlformats.org/drawingml/2006/main">
                  <a:graphicData uri="http://schemas.microsoft.com/office/word/2010/wordprocessingShape">
                    <wps:wsp>
                      <wps:cNvSpPr/>
                      <wps:spPr>
                        <a:xfrm>
                          <a:off x="5712460" y="7502525"/>
                          <a:ext cx="161925" cy="120015"/>
                        </a:xfrm>
                        <a:prstGeom prst="triangl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49.9pt;margin-top:523.3pt;height:9.45pt;width:12.75pt;z-index:251709440;v-text-anchor:middle;mso-width-relative:page;mso-height-relative:page;" fillcolor="#4F81BD [3204]" filled="t" stroked="t" coordsize="21600,21600" o:gfxdata="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HS6ExNkAAAANAQAADwAAAAAAAAABACAAAAAiAAAAZHJzL2Rvd25yZXYueG1sUEsBAhQA&#10;FAAAAAgAh07iQLdJUKWcAgAAGwUAAA4AAAAAAAAAAQAgAAAAKAEAAGRycy9lMm9Eb2MueG1sUEsF&#10;BgAAAAAGAAYAWQEAADYGAAAAAA==&#10;" adj="1080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5344" behindDoc="0" locked="0" layoutInCell="1" allowOverlap="1">
                <wp:simplePos x="0" y="0"/>
                <wp:positionH relativeFrom="column">
                  <wp:posOffset>4465955</wp:posOffset>
                </wp:positionH>
                <wp:positionV relativeFrom="paragraph">
                  <wp:posOffset>6283960</wp:posOffset>
                </wp:positionV>
                <wp:extent cx="129540" cy="130175"/>
                <wp:effectExtent l="12700" t="12700" r="29210" b="28575"/>
                <wp:wrapNone/>
                <wp:docPr id="656" name="椭圆 656"/>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51.65pt;margin-top:494.8pt;height:10.25pt;width:10.2pt;z-index:251705344;v-text-anchor:middle;mso-width-relative:page;mso-height-relative:page;" fillcolor="#4F81BD [3204]" filled="t" stroked="t" coordsize="21600,21600" o:gfxdata="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D13c2QAAAAwBAAAPAAAAAAAAAAEAIAAA&#10;ACIAAABkcnMvZG93bnJldi54bWxQSwECFAAUAAAACACHTuJAyifFcX0CAAAFBQAADgAAAAAAAAAB&#10;ACAAAAAoAQAAZHJzL2Uyb0RvYy54bWxQSwUGAAAAAAYABgBZAQAAFwY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6368" behindDoc="0" locked="0" layoutInCell="1" allowOverlap="1">
                <wp:simplePos x="0" y="0"/>
                <wp:positionH relativeFrom="column">
                  <wp:posOffset>4443095</wp:posOffset>
                </wp:positionH>
                <wp:positionV relativeFrom="paragraph">
                  <wp:posOffset>6810375</wp:posOffset>
                </wp:positionV>
                <wp:extent cx="161925" cy="196215"/>
                <wp:effectExtent l="12700" t="12700" r="15875" b="19685"/>
                <wp:wrapNone/>
                <wp:docPr id="657" name="菱形 657"/>
                <wp:cNvGraphicFramePr/>
                <a:graphic xmlns:a="http://schemas.openxmlformats.org/drawingml/2006/main">
                  <a:graphicData uri="http://schemas.microsoft.com/office/word/2010/wordprocessingShape">
                    <wps:wsp>
                      <wps:cNvSpPr/>
                      <wps:spPr>
                        <a:xfrm>
                          <a:off x="6696710" y="8497570"/>
                          <a:ext cx="161925" cy="196215"/>
                        </a:xfrm>
                        <a:prstGeom prst="diamond">
                          <a:avLst/>
                        </a:prstGeom>
                        <a:solidFill>
                          <a:srgbClr val="FFC000"/>
                        </a:solid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49.85pt;margin-top:536.25pt;height:15.45pt;width:12.75pt;z-index:251706368;v-text-anchor:middle;mso-width-relative:page;mso-height-relative:page;" fillcolor="#FFC000" filled="t" stroked="t" coordsize="21600,21600" o:gfxdata="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fHqbbtgAAAANAQAADwAAAAAAAAABACAAAAAiAAAAZHJzL2Rv&#10;d25yZXYueG1sUEsBAhQAFAAAAAgAh07iQJGmcPRzAgAA7wQAAA4AAAAAAAAAAQAgAAAAJwEAAGRy&#10;cy9lMm9Eb2MueG1sUEsFBgAAAAAGAAYAWQEAAAwGAAAAAA==&#10;">
                <v:fill on="t" focussize="0,0"/>
                <v:stroke weight="2pt" color="#FFC0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12512" behindDoc="0" locked="0" layoutInCell="1" allowOverlap="1">
                <wp:simplePos x="0" y="0"/>
                <wp:positionH relativeFrom="column">
                  <wp:posOffset>2065020</wp:posOffset>
                </wp:positionH>
                <wp:positionV relativeFrom="paragraph">
                  <wp:posOffset>-144780</wp:posOffset>
                </wp:positionV>
                <wp:extent cx="161925" cy="120015"/>
                <wp:effectExtent l="12700" t="12700" r="15875" b="19685"/>
                <wp:wrapNone/>
                <wp:docPr id="663" name="等腰三角形 663"/>
                <wp:cNvGraphicFramePr/>
                <a:graphic xmlns:a="http://schemas.openxmlformats.org/drawingml/2006/main">
                  <a:graphicData uri="http://schemas.microsoft.com/office/word/2010/wordprocessingShape">
                    <wps:wsp>
                      <wps:cNvSpPr/>
                      <wps:spPr>
                        <a:xfrm>
                          <a:off x="0" y="0"/>
                          <a:ext cx="161925" cy="120015"/>
                        </a:xfrm>
                        <a:prstGeom prst="triangl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62.6pt;margin-top:-11.4pt;height:9.45pt;width:12.75pt;z-index:251712512;v-text-anchor:middle;mso-width-relative:page;mso-height-relative:page;" fillcolor="#4F81BD [3204]" filled="t" stroked="t" coordsize="21600,21600" o:gfxdata="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DjUBgPXAAAA&#10;CgEAAA8AAAAAAAAAAQAgAAAAIgAAAGRycy9kb3ducmV2LnhtbFBLAQIUABQAAAAIAIdO4kDw/Ut8&#10;kAIAAA8FAAAOAAAAAAAAAAEAIAAAACYBAABkcnMvZTJvRG9jLnhtbFBLBQYAAAAABgAGAFkBAAAo&#10;BgAAAAA=&#10;" adj="1080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14560" behindDoc="0" locked="0" layoutInCell="1" allowOverlap="1">
                <wp:simplePos x="0" y="0"/>
                <wp:positionH relativeFrom="column">
                  <wp:posOffset>-182880</wp:posOffset>
                </wp:positionH>
                <wp:positionV relativeFrom="paragraph">
                  <wp:posOffset>3841750</wp:posOffset>
                </wp:positionV>
                <wp:extent cx="161925" cy="120015"/>
                <wp:effectExtent l="12700" t="12700" r="15875" b="19685"/>
                <wp:wrapNone/>
                <wp:docPr id="662" name="等腰三角形 662"/>
                <wp:cNvGraphicFramePr/>
                <a:graphic xmlns:a="http://schemas.openxmlformats.org/drawingml/2006/main">
                  <a:graphicData uri="http://schemas.microsoft.com/office/word/2010/wordprocessingShape">
                    <wps:wsp>
                      <wps:cNvSpPr/>
                      <wps:spPr>
                        <a:xfrm>
                          <a:off x="0" y="0"/>
                          <a:ext cx="161925" cy="120015"/>
                        </a:xfrm>
                        <a:prstGeom prst="triangl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4.4pt;margin-top:302.5pt;height:9.45pt;width:12.75pt;z-index:251714560;v-text-anchor:middle;mso-width-relative:page;mso-height-relative:page;" fillcolor="#4F81BD [3204]" filled="t" stroked="t" coordsize="21600,21600" o:gfxdata="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6v+HOdcAAAAK&#10;AQAADwAAAAAAAAABACAAAAAiAAAAZHJzL2Rvd25yZXYueG1sUEsBAhQAFAAAAAgAh07iQAj6qFaP&#10;AgAADwUAAA4AAAAAAAAAAQAgAAAAJgEAAGRycy9lMm9Eb2MueG1sUEsFBgAAAAAGAAYAWQEAACcG&#10;AAAAAA==&#10;" adj="1080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7392" behindDoc="0" locked="0" layoutInCell="1" allowOverlap="1">
                <wp:simplePos x="0" y="0"/>
                <wp:positionH relativeFrom="column">
                  <wp:posOffset>2124075</wp:posOffset>
                </wp:positionH>
                <wp:positionV relativeFrom="paragraph">
                  <wp:posOffset>7040245</wp:posOffset>
                </wp:positionV>
                <wp:extent cx="161925" cy="120015"/>
                <wp:effectExtent l="12700" t="12700" r="15875" b="19685"/>
                <wp:wrapNone/>
                <wp:docPr id="661" name="等腰三角形 661"/>
                <wp:cNvGraphicFramePr/>
                <a:graphic xmlns:a="http://schemas.openxmlformats.org/drawingml/2006/main">
                  <a:graphicData uri="http://schemas.microsoft.com/office/word/2010/wordprocessingShape">
                    <wps:wsp>
                      <wps:cNvSpPr/>
                      <wps:spPr>
                        <a:xfrm>
                          <a:off x="0" y="0"/>
                          <a:ext cx="161925" cy="120015"/>
                        </a:xfrm>
                        <a:prstGeom prst="triangl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67.25pt;margin-top:554.35pt;height:9.45pt;width:12.75pt;z-index:251707392;v-text-anchor:middle;mso-width-relative:page;mso-height-relative:page;" fillcolor="#4F81BD [3204]" filled="t" stroked="t" coordsize="21600,21600" o:gfxdata="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LZQ76TYAAAA&#10;DQEAAA8AAAAAAAAAAQAgAAAAIgAAAGRycy9kb3ducmV2LnhtbFBLAQIUABQAAAAIAIdO4kAA8o0p&#10;jwIAAA8FAAAOAAAAAAAAAAEAIAAAACcBAABkcnMvZTJvRG9jLnhtbFBLBQYAAAAABgAGAFkBAAAo&#10;BgAAAAA=&#10;" adj="1080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10464" behindDoc="0" locked="0" layoutInCell="1" allowOverlap="1">
                <wp:simplePos x="0" y="0"/>
                <wp:positionH relativeFrom="column">
                  <wp:posOffset>4387850</wp:posOffset>
                </wp:positionH>
                <wp:positionV relativeFrom="paragraph">
                  <wp:posOffset>3623310</wp:posOffset>
                </wp:positionV>
                <wp:extent cx="161925" cy="120015"/>
                <wp:effectExtent l="12700" t="12700" r="15875" b="19685"/>
                <wp:wrapNone/>
                <wp:docPr id="660" name="等腰三角形 660"/>
                <wp:cNvGraphicFramePr/>
                <a:graphic xmlns:a="http://schemas.openxmlformats.org/drawingml/2006/main">
                  <a:graphicData uri="http://schemas.microsoft.com/office/word/2010/wordprocessingShape">
                    <wps:wsp>
                      <wps:cNvSpPr/>
                      <wps:spPr>
                        <a:xfrm>
                          <a:off x="0" y="0"/>
                          <a:ext cx="161925" cy="120015"/>
                        </a:xfrm>
                        <a:prstGeom prst="triangl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45.5pt;margin-top:285.3pt;height:9.45pt;width:12.75pt;z-index:251710464;v-text-anchor:middle;mso-width-relative:page;mso-height-relative:page;" fillcolor="#4F81BD [3204]" filled="t" stroked="t" coordsize="21600,21600" o:gfxdata="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9fFe/2QAA&#10;AAsBAAAPAAAAAAAAAAEAIAAAACIAAABkcnMvZG93bnJldi54bWxQSwECFAAUAAAACACHTuJA+PVu&#10;A48CAAAPBQAADgAAAAAAAAABACAAAAAoAQAAZHJzL2Uyb0RvYy54bWxQSwUGAAAAAAYABgBZAQAA&#10;KQYAAAAA&#10;" adj="1080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8416" behindDoc="0" locked="0" layoutInCell="1" allowOverlap="1">
                <wp:simplePos x="0" y="0"/>
                <wp:positionH relativeFrom="column">
                  <wp:posOffset>541020</wp:posOffset>
                </wp:positionH>
                <wp:positionV relativeFrom="paragraph">
                  <wp:posOffset>3152140</wp:posOffset>
                </wp:positionV>
                <wp:extent cx="161925" cy="196215"/>
                <wp:effectExtent l="12700" t="12700" r="15875" b="19685"/>
                <wp:wrapNone/>
                <wp:docPr id="658" name="菱形 658"/>
                <wp:cNvGraphicFramePr/>
                <a:graphic xmlns:a="http://schemas.openxmlformats.org/drawingml/2006/main">
                  <a:graphicData uri="http://schemas.microsoft.com/office/word/2010/wordprocessingShape">
                    <wps:wsp>
                      <wps:cNvSpPr/>
                      <wps:spPr>
                        <a:xfrm>
                          <a:off x="0" y="0"/>
                          <a:ext cx="161925" cy="196215"/>
                        </a:xfrm>
                        <a:prstGeom prst="diamond">
                          <a:avLst/>
                        </a:prstGeom>
                        <a:solidFill>
                          <a:srgbClr val="FFC000"/>
                        </a:solid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2.6pt;margin-top:248.2pt;height:15.45pt;width:12.75pt;z-index:251708416;v-text-anchor:middle;mso-width-relative:page;mso-height-relative:page;" fillcolor="#FFC000" filled="t" stroked="t" coordsize="21600,21600" o:gfxdata="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88v73XAAAACgEAAA8AAAAAAAAAAQAgAAAAIgAAAGRycy9kb3ducmV2LnhtbFBLAQIU&#10;ABQAAAAIAIdO4kCDwFT6ZgIAAOMEAAAOAAAAAAAAAAEAIAAAACYBAABkcnMvZTJvRG9jLnhtbFBL&#10;BQYAAAAABgAGAFkBAAD+BQAAAAA=&#10;">
                <v:fill on="t" focussize="0,0"/>
                <v:stroke weight="2pt" color="#FFC0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1248" behindDoc="0" locked="0" layoutInCell="1" allowOverlap="1">
                <wp:simplePos x="0" y="0"/>
                <wp:positionH relativeFrom="column">
                  <wp:posOffset>694055</wp:posOffset>
                </wp:positionH>
                <wp:positionV relativeFrom="paragraph">
                  <wp:posOffset>4598670</wp:posOffset>
                </wp:positionV>
                <wp:extent cx="129540" cy="130175"/>
                <wp:effectExtent l="12700" t="12700" r="29210" b="28575"/>
                <wp:wrapNone/>
                <wp:docPr id="655" name="椭圆 655"/>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4.65pt;margin-top:362.1pt;height:10.25pt;width:10.2pt;z-index:251701248;v-text-anchor:middle;mso-width-relative:page;mso-height-relative:page;" fillcolor="#4F81BD [3204]" filled="t" stroked="t" coordsize="21600,21600" o:gfxdata="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RZH53dkAAAALAQAADwAAAAAAAAABACAAAAAi&#10;AAAAZHJzL2Rvd25yZXYueG1sUEsBAhQAFAAAAAgAh07iQJfskrJ7AgAABQUAAA4AAAAAAAAAAQAg&#10;AAAAKAEAAGRycy9lMm9Eb2MueG1sUEsFBgAAAAAGAAYAWQEAABUGA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1248" behindDoc="0" locked="0" layoutInCell="1" allowOverlap="1">
                <wp:simplePos x="0" y="0"/>
                <wp:positionH relativeFrom="column">
                  <wp:posOffset>313055</wp:posOffset>
                </wp:positionH>
                <wp:positionV relativeFrom="paragraph">
                  <wp:posOffset>4607560</wp:posOffset>
                </wp:positionV>
                <wp:extent cx="129540" cy="130175"/>
                <wp:effectExtent l="12700" t="12700" r="29210" b="28575"/>
                <wp:wrapNone/>
                <wp:docPr id="654" name="椭圆 654"/>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4.65pt;margin-top:362.8pt;height:10.25pt;width:10.2pt;z-index:251701248;v-text-anchor:middle;mso-width-relative:page;mso-height-relative:page;" fillcolor="#4F81BD [3204]" filled="t" stroked="t" coordsize="21600,21600" o:gfxdata="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98cKB9gAAAAJAQAADwAAAAAAAAABACAAAAAi&#10;AAAAZHJzL2Rvd25yZXYueG1sUEsBAhQAFAAAAAgAh07iQGOocEV8AgAABQUAAA4AAAAAAAAAAQAg&#10;AAAAJwEAAGRycy9lMm9Eb2MueG1sUEsFBgAAAAAGAAYAWQEAABUGA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3296" behindDoc="0" locked="0" layoutInCell="1" allowOverlap="1">
                <wp:simplePos x="0" y="0"/>
                <wp:positionH relativeFrom="column">
                  <wp:posOffset>775335</wp:posOffset>
                </wp:positionH>
                <wp:positionV relativeFrom="paragraph">
                  <wp:posOffset>4359910</wp:posOffset>
                </wp:positionV>
                <wp:extent cx="129540" cy="130175"/>
                <wp:effectExtent l="12700" t="12700" r="29210" b="28575"/>
                <wp:wrapNone/>
                <wp:docPr id="653" name="椭圆 653"/>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1.05pt;margin-top:343.3pt;height:10.25pt;width:10.2pt;z-index:251703296;v-text-anchor:middle;mso-width-relative:page;mso-height-relative:page;" fillcolor="#4F81BD [3204]" filled="t" stroked="t" coordsize="21600,21600" o:gfxdata="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3BBnO9gAAAALAQAADwAAAAAAAAABACAAAAAi&#10;AAAAZHJzL2Rvd25yZXYueG1sUEsBAhQAFAAAAAgAh07iQGx8TO98AgAABQUAAA4AAAAAAAAAAQAg&#10;AAAAJwEAAGRycy9lMm9Eb2MueG1sUEsFBgAAAAAGAAYAWQEAABUGA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4320" behindDoc="0" locked="0" layoutInCell="1" allowOverlap="1">
                <wp:simplePos x="0" y="0"/>
                <wp:positionH relativeFrom="column">
                  <wp:posOffset>1047115</wp:posOffset>
                </wp:positionH>
                <wp:positionV relativeFrom="paragraph">
                  <wp:posOffset>4189730</wp:posOffset>
                </wp:positionV>
                <wp:extent cx="129540" cy="130175"/>
                <wp:effectExtent l="12700" t="12700" r="29210" b="28575"/>
                <wp:wrapNone/>
                <wp:docPr id="652" name="椭圆 652"/>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2.45pt;margin-top:329.9pt;height:10.25pt;width:10.2pt;z-index:251704320;v-text-anchor:middle;mso-width-relative:page;mso-height-relative:page;" fillcolor="#4F81BD [3204]" filled="t" stroked="t" coordsize="21600,21600" o:gfxdata="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Gy2Ns/YAAAACwEAAA8AAAAAAAAAAQAgAAAA&#10;IgAAAGRycy9kb3ducmV2LnhtbFBLAQIUABQAAAAIAIdO4kCYOK4YfQIAAAUFAAAOAAAAAAAAAAEA&#10;IAAAACcBAABkcnMvZTJvRG9jLnhtbFBLBQYAAAAABgAGAFkBAAAWBg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2272" behindDoc="0" locked="0" layoutInCell="1" allowOverlap="1">
                <wp:simplePos x="0" y="0"/>
                <wp:positionH relativeFrom="column">
                  <wp:posOffset>773430</wp:posOffset>
                </wp:positionH>
                <wp:positionV relativeFrom="paragraph">
                  <wp:posOffset>4106545</wp:posOffset>
                </wp:positionV>
                <wp:extent cx="129540" cy="130175"/>
                <wp:effectExtent l="12700" t="12700" r="29210" b="28575"/>
                <wp:wrapNone/>
                <wp:docPr id="651" name="椭圆 651"/>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0.9pt;margin-top:323.35pt;height:10.25pt;width:10.2pt;z-index:251702272;v-text-anchor:middle;mso-width-relative:page;mso-height-relative:page;" fillcolor="#4F81BD [3204]" filled="t" stroked="t" coordsize="21600,21600" o:gfxdata="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3Or+J1wAAAAsBAAAPAAAAAAAAAAEAIAAAACIA&#10;AABkcnMvZG93bnJldi54bWxQSwECFAAUAAAACACHTuJAxfP523wCAAAFBQAADgAAAAAAAAABACAA&#10;AAAmAQAAZHJzL2Uyb0RvYy54bWxQSwUGAAAAAAYABgBZAQAAFAY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0224" behindDoc="0" locked="0" layoutInCell="1" allowOverlap="1">
                <wp:simplePos x="0" y="0"/>
                <wp:positionH relativeFrom="column">
                  <wp:posOffset>349250</wp:posOffset>
                </wp:positionH>
                <wp:positionV relativeFrom="paragraph">
                  <wp:posOffset>3249295</wp:posOffset>
                </wp:positionV>
                <wp:extent cx="129540" cy="130175"/>
                <wp:effectExtent l="12700" t="12700" r="29210" b="28575"/>
                <wp:wrapNone/>
                <wp:docPr id="650" name="椭圆 650"/>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5pt;margin-top:255.85pt;height:10.25pt;width:10.2pt;z-index:251700224;v-text-anchor:middle;mso-width-relative:page;mso-height-relative:page;" fillcolor="#4F81BD [3204]" filled="t" stroked="t" coordsize="21600,21600" o:gfxdata="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e/6Ye9gAAAAJAQAADwAAAAAAAAABACAAAAAi&#10;AAAAZHJzL2Rvd25yZXYueG1sUEsBAhQAFAAAAAgAh07iQDG3Gyx8AgAABQUAAA4AAAAAAAAAAQAg&#10;AAAAJwEAAGRycy9lMm9Eb2MueG1sUEsFBgAAAAAGAAYAWQEAABUGAAAAAA==&#10;">
                <v:fill on="t" focussize="0,0"/>
                <v:stroke weight="2pt" color="#376092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688960" behindDoc="0" locked="0" layoutInCell="1" allowOverlap="1">
                <wp:simplePos x="0" y="0"/>
                <wp:positionH relativeFrom="column">
                  <wp:posOffset>283210</wp:posOffset>
                </wp:positionH>
                <wp:positionV relativeFrom="paragraph">
                  <wp:posOffset>4084320</wp:posOffset>
                </wp:positionV>
                <wp:extent cx="129540" cy="130175"/>
                <wp:effectExtent l="12700" t="12700" r="29210" b="28575"/>
                <wp:wrapNone/>
                <wp:docPr id="649" name="椭圆 649"/>
                <wp:cNvGraphicFramePr/>
                <a:graphic xmlns:a="http://schemas.openxmlformats.org/drawingml/2006/main">
                  <a:graphicData uri="http://schemas.microsoft.com/office/word/2010/wordprocessingShape">
                    <wps:wsp>
                      <wps:cNvSpPr/>
                      <wps:spPr>
                        <a:xfrm>
                          <a:off x="0" y="0"/>
                          <a:ext cx="129540" cy="13017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3pt;margin-top:321.6pt;height:10.25pt;width:10.2pt;z-index:251688960;v-text-anchor:middle;mso-width-relative:page;mso-height-relative:page;" fillcolor="#4F81BD [3204]" filled="t" stroked="t" coordsize="21600,21600" o:gfxdata="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aCttdcAAAAJAQAADwAAAAAAAAABACAAAAAi&#10;AAAAZHJzL2Rvd25yZXYueG1sUEsBAhQAFAAAAAgAh07iQCAZCLN9AgAABQUAAA4AAAAAAAAAAQAg&#10;AAAAJgEAAGRycy9lMm9Eb2MueG1sUEsFBgAAAAAGAAYAWQEAABUGAAAAAA==&#10;">
                <v:fill on="t" focussize="0,0"/>
                <v:stroke weight="2pt" color="#376092 [2404]" joinstyle="round"/>
                <v:imagedata o:title=""/>
                <o:lock v:ext="edit" aspectratio="f"/>
              </v:shape>
            </w:pict>
          </mc:Fallback>
        </mc:AlternateContent>
      </w:r>
      <w:r>
        <w:rPr>
          <w:color w:val="auto"/>
          <w:sz w:val="21"/>
          <w:highlight w:val="none"/>
        </w:rPr>
        <mc:AlternateContent>
          <mc:Choice Requires="wps">
            <w:drawing>
              <wp:anchor distT="0" distB="0" distL="114300" distR="114300" simplePos="0" relativeHeight="251697152" behindDoc="0" locked="0" layoutInCell="1" allowOverlap="1">
                <wp:simplePos x="0" y="0"/>
                <wp:positionH relativeFrom="column">
                  <wp:posOffset>880745</wp:posOffset>
                </wp:positionH>
                <wp:positionV relativeFrom="paragraph">
                  <wp:posOffset>2409825</wp:posOffset>
                </wp:positionV>
                <wp:extent cx="449580" cy="407670"/>
                <wp:effectExtent l="0" t="0" r="0" b="0"/>
                <wp:wrapNone/>
                <wp:docPr id="621" name="文本框 621"/>
                <wp:cNvGraphicFramePr/>
                <a:graphic xmlns:a="http://schemas.openxmlformats.org/drawingml/2006/main">
                  <a:graphicData uri="http://schemas.microsoft.com/office/word/2010/wordprocessingShape">
                    <wps:wsp>
                      <wps:cNvSpPr txBox="1"/>
                      <wps:spPr>
                        <a:xfrm>
                          <a:off x="2236470" y="3401695"/>
                          <a:ext cx="449580" cy="4076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A2475">
                            <w:pPr>
                              <w:jc w:val="center"/>
                              <w:rPr>
                                <w:rFonts w:hint="default" w:eastAsia="宋体"/>
                                <w:b/>
                                <w:bCs/>
                                <w:sz w:val="18"/>
                                <w:szCs w:val="21"/>
                                <w:lang w:val="en-US" w:eastAsia="zh-CN"/>
                              </w:rPr>
                            </w:pPr>
                            <w:r>
                              <w:rPr>
                                <w:rFonts w:hint="eastAsia"/>
                                <w:b/>
                                <w:bCs/>
                                <w:sz w:val="18"/>
                                <w:szCs w:val="21"/>
                                <w:lang w:val="en-US" w:eastAsia="zh-CN"/>
                              </w:rPr>
                              <w:t>PD项目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35pt;margin-top:189.75pt;height:32.1pt;width:35.4pt;z-index:251697152;mso-width-relative:page;mso-height-relative:page;" filled="f" stroked="f" coordsize="21600,21600" o:gfxdata="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SqaoncAAAACwEAAA8AAAAA&#10;AAAAAQAgAAAAIgAAAGRycy9kb3ducmV2LnhtbFBLAQIUABQAAAAIAIdO4kAy/RZXSQIAAHUEAAAO&#10;AAAAAAAAAAEAIAAAACsBAABkcnMvZTJvRG9jLnhtbFBLBQYAAAAABgAGAFkBAADmBQAAAAA=&#10;">
                <v:fill on="f" focussize="0,0"/>
                <v:stroke on="f" weight="0.5pt"/>
                <v:imagedata o:title=""/>
                <o:lock v:ext="edit" aspectratio="f"/>
                <v:textbox>
                  <w:txbxContent>
                    <w:p w14:paraId="680A2475">
                      <w:pPr>
                        <w:jc w:val="center"/>
                        <w:rPr>
                          <w:rFonts w:hint="default" w:eastAsia="宋体"/>
                          <w:b/>
                          <w:bCs/>
                          <w:sz w:val="18"/>
                          <w:szCs w:val="21"/>
                          <w:lang w:val="en-US" w:eastAsia="zh-CN"/>
                        </w:rPr>
                      </w:pPr>
                      <w:r>
                        <w:rPr>
                          <w:rFonts w:hint="eastAsia"/>
                          <w:b/>
                          <w:bCs/>
                          <w:sz w:val="18"/>
                          <w:szCs w:val="21"/>
                          <w:lang w:val="en-US" w:eastAsia="zh-CN"/>
                        </w:rPr>
                        <w:t>PD项目</w:t>
                      </w:r>
                    </w:p>
                  </w:txbxContent>
                </v:textbox>
              </v:shape>
            </w:pict>
          </mc:Fallback>
        </mc:AlternateContent>
      </w:r>
      <w:r>
        <w:rPr>
          <w:color w:val="auto"/>
          <w:sz w:val="21"/>
          <w:highlight w:val="none"/>
        </w:rPr>
        <mc:AlternateContent>
          <mc:Choice Requires="wps">
            <w:drawing>
              <wp:anchor distT="0" distB="0" distL="114300" distR="114300" simplePos="0" relativeHeight="251698176" behindDoc="0" locked="0" layoutInCell="1" allowOverlap="1">
                <wp:simplePos x="0" y="0"/>
                <wp:positionH relativeFrom="column">
                  <wp:posOffset>102870</wp:posOffset>
                </wp:positionH>
                <wp:positionV relativeFrom="paragraph">
                  <wp:posOffset>2444750</wp:posOffset>
                </wp:positionV>
                <wp:extent cx="553085" cy="407670"/>
                <wp:effectExtent l="0" t="0" r="0" b="0"/>
                <wp:wrapNone/>
                <wp:docPr id="622" name="文本框 622"/>
                <wp:cNvGraphicFramePr/>
                <a:graphic xmlns:a="http://schemas.openxmlformats.org/drawingml/2006/main">
                  <a:graphicData uri="http://schemas.microsoft.com/office/word/2010/wordprocessingShape">
                    <wps:wsp>
                      <wps:cNvSpPr txBox="1"/>
                      <wps:spPr>
                        <a:xfrm>
                          <a:off x="0" y="0"/>
                          <a:ext cx="553085" cy="4076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31E5C">
                            <w:pPr>
                              <w:jc w:val="center"/>
                              <w:rPr>
                                <w:rFonts w:hint="default" w:eastAsia="宋体"/>
                                <w:b/>
                                <w:bCs/>
                                <w:sz w:val="18"/>
                                <w:szCs w:val="21"/>
                                <w:lang w:val="en-US" w:eastAsia="zh-CN"/>
                              </w:rPr>
                            </w:pPr>
                            <w:r>
                              <w:rPr>
                                <w:rFonts w:hint="eastAsia"/>
                                <w:b/>
                                <w:bCs/>
                                <w:sz w:val="18"/>
                                <w:szCs w:val="21"/>
                                <w:lang w:val="en-US" w:eastAsia="zh-CN"/>
                              </w:rPr>
                              <w:t>LCDN项目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pt;margin-top:192.5pt;height:32.1pt;width:43.55pt;z-index:251698176;mso-width-relative:page;mso-height-relative:page;" filled="f" stroked="f" coordsize="21600,21600" o:gfxdata="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OBW9t2wAAAAoBAAAPAAAAAAAAAAEAIAAAACIA&#10;AABkcnMvZG93bnJldi54bWxQSwECFAAUAAAACACHTuJAe3MNID8CAABpBAAADgAAAAAAAAABACAA&#10;AAAqAQAAZHJzL2Uyb0RvYy54bWxQSwUGAAAAAAYABgBZAQAA2wUAAAAA&#10;">
                <v:fill on="f" focussize="0,0"/>
                <v:stroke on="f" weight="0.5pt"/>
                <v:imagedata o:title=""/>
                <o:lock v:ext="edit" aspectratio="f"/>
                <v:textbox>
                  <w:txbxContent>
                    <w:p w14:paraId="26431E5C">
                      <w:pPr>
                        <w:jc w:val="center"/>
                        <w:rPr>
                          <w:rFonts w:hint="default" w:eastAsia="宋体"/>
                          <w:b/>
                          <w:bCs/>
                          <w:sz w:val="18"/>
                          <w:szCs w:val="21"/>
                          <w:lang w:val="en-US" w:eastAsia="zh-CN"/>
                        </w:rPr>
                      </w:pPr>
                      <w:r>
                        <w:rPr>
                          <w:rFonts w:hint="eastAsia"/>
                          <w:b/>
                          <w:bCs/>
                          <w:sz w:val="18"/>
                          <w:szCs w:val="21"/>
                          <w:lang w:val="en-US" w:eastAsia="zh-CN"/>
                        </w:rPr>
                        <w:t>LCDN项目</w:t>
                      </w:r>
                    </w:p>
                  </w:txbxContent>
                </v:textbox>
              </v:shape>
            </w:pict>
          </mc:Fallback>
        </mc:AlternateContent>
      </w:r>
      <w:r>
        <w:rPr>
          <w:color w:val="auto"/>
          <w:highlight w:val="none"/>
        </w:rPr>
        <w:drawing>
          <wp:anchor distT="0" distB="0" distL="114300" distR="114300" simplePos="0" relativeHeight="251695104" behindDoc="0" locked="0" layoutInCell="1" allowOverlap="1">
            <wp:simplePos x="0" y="0"/>
            <wp:positionH relativeFrom="column">
              <wp:posOffset>4530090</wp:posOffset>
            </wp:positionH>
            <wp:positionV relativeFrom="paragraph">
              <wp:posOffset>-77470</wp:posOffset>
            </wp:positionV>
            <wp:extent cx="641985" cy="780415"/>
            <wp:effectExtent l="134620" t="99060" r="137795" b="111125"/>
            <wp:wrapNone/>
            <wp:docPr id="6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22"/>
                    <pic:cNvPicPr>
                      <a:picLocks noChangeAspect="1"/>
                    </pic:cNvPicPr>
                  </pic:nvPicPr>
                  <pic:blipFill>
                    <a:blip r:embed="rId19"/>
                    <a:stretch>
                      <a:fillRect/>
                    </a:stretch>
                  </pic:blipFill>
                  <pic:spPr>
                    <a:xfrm rot="1500000">
                      <a:off x="0" y="0"/>
                      <a:ext cx="641985" cy="780415"/>
                    </a:xfrm>
                    <a:prstGeom prst="rect">
                      <a:avLst/>
                    </a:prstGeom>
                    <a:noFill/>
                    <a:ln>
                      <a:noFill/>
                    </a:ln>
                  </pic:spPr>
                </pic:pic>
              </a:graphicData>
            </a:graphic>
          </wp:anchor>
        </w:drawing>
      </w:r>
      <w:r>
        <w:rPr>
          <w:color w:val="auto"/>
          <w:sz w:val="21"/>
          <w:highlight w:val="none"/>
        </w:rPr>
        <mc:AlternateContent>
          <mc:Choice Requires="wps">
            <w:drawing>
              <wp:anchor distT="0" distB="0" distL="114300" distR="114300" simplePos="0" relativeHeight="251696128" behindDoc="0" locked="0" layoutInCell="1" allowOverlap="1">
                <wp:simplePos x="0" y="0"/>
                <wp:positionH relativeFrom="column">
                  <wp:posOffset>101600</wp:posOffset>
                </wp:positionH>
                <wp:positionV relativeFrom="paragraph">
                  <wp:posOffset>2320925</wp:posOffset>
                </wp:positionV>
                <wp:extent cx="1203325" cy="717550"/>
                <wp:effectExtent l="0" t="0" r="15875" b="6350"/>
                <wp:wrapNone/>
                <wp:docPr id="625" name="矩形 625"/>
                <wp:cNvGraphicFramePr/>
                <a:graphic xmlns:a="http://schemas.openxmlformats.org/drawingml/2006/main">
                  <a:graphicData uri="http://schemas.microsoft.com/office/word/2010/wordprocessingShape">
                    <wps:wsp>
                      <wps:cNvSpPr/>
                      <wps:spPr>
                        <a:xfrm>
                          <a:off x="1421765" y="3304540"/>
                          <a:ext cx="1203325" cy="717550"/>
                        </a:xfrm>
                        <a:prstGeom prst="rect">
                          <a:avLst/>
                        </a:prstGeom>
                        <a:solidFill>
                          <a:srgbClr val="FF0000">
                            <a:alpha val="60000"/>
                          </a:srgbClr>
                        </a:solid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pt;margin-top:182.75pt;height:56.5pt;width:94.75pt;z-index:251696128;v-text-anchor:middle;mso-width-relative:page;mso-height-relative:page;" fillcolor="#FF0000" filled="t" stroked="f" coordsize="21600,21600" o:gfxdata="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zhtg9kAAAAKAQAADwAAAAAAAAABACAAAAAiAAAA&#10;ZHJzL2Rvd25yZXYueG1sUEsBAhQAFAAAAAgAh07iQH4cyGx4AgAA5QQAAA4AAAAAAAAAAQAgAAAA&#10;KAEAAGRycy9lMm9Eb2MueG1sUEsFBgAAAAAGAAYAWQEAABIGAAAAAA==&#10;">
                <v:fill on="t" opacity="39321f" focussize="0,0"/>
                <v:stroke on="f" weight="1pt"/>
                <v:imagedata o:title=""/>
                <o:lock v:ext="edit" aspectratio="f"/>
              </v:rect>
            </w:pict>
          </mc:Fallback>
        </mc:AlternateContent>
      </w:r>
      <w:r>
        <w:rPr>
          <w:rFonts w:hint="eastAsia" w:eastAsia="宋体"/>
          <w:color w:val="auto"/>
          <w:highlight w:val="none"/>
          <w:lang w:eastAsia="zh-CN"/>
        </w:rPr>
        <w:drawing>
          <wp:anchor distT="0" distB="0" distL="114300" distR="114300" simplePos="0" relativeHeight="251694080" behindDoc="0" locked="0" layoutInCell="1" allowOverlap="1">
            <wp:simplePos x="0" y="0"/>
            <wp:positionH relativeFrom="column">
              <wp:posOffset>4398010</wp:posOffset>
            </wp:positionH>
            <wp:positionV relativeFrom="paragraph">
              <wp:posOffset>53340</wp:posOffset>
            </wp:positionV>
            <wp:extent cx="937895" cy="736600"/>
            <wp:effectExtent l="0" t="0" r="14605" b="6350"/>
            <wp:wrapNone/>
            <wp:docPr id="626" name="图片 626" descr="d2e39cfa-2e1e-4718-ac7d-2b345c08f0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626" descr="d2e39cfa-2e1e-4718-ac7d-2b345c08f06e"/>
                    <pic:cNvPicPr>
                      <a:picLocks noChangeAspect="1"/>
                    </pic:cNvPicPr>
                  </pic:nvPicPr>
                  <pic:blipFill>
                    <a:blip r:embed="rId85"/>
                    <a:stretch>
                      <a:fillRect/>
                    </a:stretch>
                  </pic:blipFill>
                  <pic:spPr>
                    <a:xfrm>
                      <a:off x="0" y="0"/>
                      <a:ext cx="937895" cy="736600"/>
                    </a:xfrm>
                    <a:prstGeom prst="rect">
                      <a:avLst/>
                    </a:prstGeom>
                  </pic:spPr>
                </pic:pic>
              </a:graphicData>
            </a:graphic>
          </wp:anchor>
        </w:drawing>
      </w:r>
      <w:r>
        <w:rPr>
          <w:color w:val="auto"/>
          <w:sz w:val="24"/>
          <w:highlight w:val="none"/>
        </w:rPr>
        <mc:AlternateContent>
          <mc:Choice Requires="wps">
            <w:drawing>
              <wp:anchor distT="0" distB="0" distL="114300" distR="114300" simplePos="0" relativeHeight="251693056" behindDoc="0" locked="0" layoutInCell="1" allowOverlap="1">
                <wp:simplePos x="0" y="0"/>
                <wp:positionH relativeFrom="column">
                  <wp:posOffset>3331845</wp:posOffset>
                </wp:positionH>
                <wp:positionV relativeFrom="paragraph">
                  <wp:posOffset>2939415</wp:posOffset>
                </wp:positionV>
                <wp:extent cx="619125" cy="269875"/>
                <wp:effectExtent l="0" t="0" r="0" b="0"/>
                <wp:wrapNone/>
                <wp:docPr id="627" name="文本框 627"/>
                <wp:cNvGraphicFramePr/>
                <a:graphic xmlns:a="http://schemas.openxmlformats.org/drawingml/2006/main">
                  <a:graphicData uri="http://schemas.microsoft.com/office/word/2010/wordprocessingShape">
                    <wps:wsp>
                      <wps:cNvSpPr txBox="1"/>
                      <wps:spPr>
                        <a:xfrm>
                          <a:off x="0" y="0"/>
                          <a:ext cx="619125"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EA63B">
                            <w:pPr>
                              <w:rPr>
                                <w:rFonts w:ascii="黑体" w:hAnsi="黑体" w:eastAsia="黑体" w:cs="黑体"/>
                                <w:sz w:val="16"/>
                                <w:szCs w:val="20"/>
                              </w:rPr>
                            </w:pPr>
                            <w:r>
                              <w:rPr>
                                <w:rFonts w:hint="eastAsia" w:ascii="黑体" w:hAnsi="黑体" w:eastAsia="黑体" w:cs="黑体"/>
                                <w:sz w:val="16"/>
                                <w:szCs w:val="20"/>
                              </w:rPr>
                              <w:t>扩建项目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2.35pt;margin-top:231.45pt;height:21.25pt;width:48.75pt;z-index:251693056;mso-width-relative:page;mso-height-relative:page;" filled="f" stroked="f" coordsize="21600,21600" o:gfxdata="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g2ePXcAAAACwEAAA8AAAAAAAAAAQAgAAAAIgAA&#10;AGRycy9kb3ducmV2LnhtbFBLAQIUABQAAAAIAIdO4kAt9huMPQIAAGkEAAAOAAAAAAAAAAEAIAAA&#10;ACsBAABkcnMvZTJvRG9jLnhtbFBLBQYAAAAABgAGAFkBAADaBQAAAAA=&#10;">
                <v:fill on="f" focussize="0,0"/>
                <v:stroke on="f" weight="0.5pt"/>
                <v:imagedata o:title=""/>
                <o:lock v:ext="edit" aspectratio="f"/>
                <v:textbox>
                  <w:txbxContent>
                    <w:p w14:paraId="097EA63B">
                      <w:pPr>
                        <w:rPr>
                          <w:rFonts w:ascii="黑体" w:hAnsi="黑体" w:eastAsia="黑体" w:cs="黑体"/>
                          <w:sz w:val="16"/>
                          <w:szCs w:val="20"/>
                        </w:rPr>
                      </w:pPr>
                      <w:r>
                        <w:rPr>
                          <w:rFonts w:hint="eastAsia" w:ascii="黑体" w:hAnsi="黑体" w:eastAsia="黑体" w:cs="黑体"/>
                          <w:sz w:val="16"/>
                          <w:szCs w:val="20"/>
                        </w:rPr>
                        <w:t>扩建项目</w:t>
                      </w:r>
                    </w:p>
                  </w:txbxContent>
                </v:textbox>
              </v:shape>
            </w:pict>
          </mc:Fallback>
        </mc:AlternateContent>
      </w:r>
      <w:r>
        <w:rPr>
          <w:color w:val="auto"/>
          <w:highlight w:val="none"/>
        </w:rPr>
        <mc:AlternateContent>
          <mc:Choice Requires="wps">
            <w:drawing>
              <wp:anchor distT="0" distB="0" distL="114300" distR="114300" simplePos="0" relativeHeight="251689984" behindDoc="0" locked="0" layoutInCell="1" allowOverlap="1">
                <wp:simplePos x="0" y="0"/>
                <wp:positionH relativeFrom="column">
                  <wp:posOffset>3232150</wp:posOffset>
                </wp:positionH>
                <wp:positionV relativeFrom="paragraph">
                  <wp:posOffset>2660015</wp:posOffset>
                </wp:positionV>
                <wp:extent cx="842010" cy="1040130"/>
                <wp:effectExtent l="6350" t="6350" r="8890" b="20320"/>
                <wp:wrapNone/>
                <wp:docPr id="628" name="矩形 628"/>
                <wp:cNvGraphicFramePr/>
                <a:graphic xmlns:a="http://schemas.openxmlformats.org/drawingml/2006/main">
                  <a:graphicData uri="http://schemas.microsoft.com/office/word/2010/wordprocessingShape">
                    <wps:wsp>
                      <wps:cNvSpPr/>
                      <wps:spPr>
                        <a:xfrm>
                          <a:off x="4277360" y="3312795"/>
                          <a:ext cx="842010" cy="1040130"/>
                        </a:xfrm>
                        <a:prstGeom prst="rect">
                          <a:avLst/>
                        </a:prstGeom>
                        <a:pattFill prst="wdUpDiag">
                          <a:fgClr>
                            <a:srgbClr val="15FBF8"/>
                          </a:fgClr>
                          <a:bgClr>
                            <a:schemeClr val="bg1"/>
                          </a:bgClr>
                        </a:pattFill>
                        <a:ln w="12700" cmpd="sng">
                          <a:solidFill>
                            <a:srgbClr val="FF0000"/>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4.5pt;margin-top:209.45pt;height:81.9pt;width:66.3pt;z-index:251689984;v-text-anchor:middle;mso-width-relative:page;mso-height-relative:page;" fillcolor="#15FBF8" filled="t" stroked="t" coordsize="21600,21600" o:gfxdata="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IE5nk/ZAAAACwEAAA8AAAAAAAAAAQAgAAAAIgAAAGRycy9kb3ducmV2LnhtbFBLAQIUABQA&#10;AAAIAIdO4kDkd0gTmgIAADwFAAAOAAAAAAAAAAEAIAAAACgBAABkcnMvZTJvRG9jLnhtbFBLBQYA&#10;AAAABgAGAFkBAAA0BgAAAAA=&#10;">
                <v:fill type="pattern" on="t" color2="#FFFFFF [3212]" o:title="宽上对角线" focussize="0,0" r:id="rId86"/>
                <v:stroke weight="1pt" color="#FF0000 [2404]" joinstyle="round" dashstyle="3 1"/>
                <v:imagedata o:title=""/>
                <o:lock v:ext="edit" aspectratio="f"/>
              </v:rect>
            </w:pict>
          </mc:Fallback>
        </mc:AlternateContent>
      </w:r>
      <w:r>
        <w:rPr>
          <w:color w:val="auto"/>
          <w:sz w:val="24"/>
          <w:highlight w:val="none"/>
        </w:rPr>
        <mc:AlternateContent>
          <mc:Choice Requires="wpg">
            <w:drawing>
              <wp:anchor distT="0" distB="0" distL="114300" distR="114300" simplePos="0" relativeHeight="251691008" behindDoc="0" locked="0" layoutInCell="1" allowOverlap="1">
                <wp:simplePos x="0" y="0"/>
                <wp:positionH relativeFrom="column">
                  <wp:posOffset>132715</wp:posOffset>
                </wp:positionH>
                <wp:positionV relativeFrom="paragraph">
                  <wp:posOffset>3201035</wp:posOffset>
                </wp:positionV>
                <wp:extent cx="1283970" cy="2232025"/>
                <wp:effectExtent l="0" t="8255" r="11430" b="26670"/>
                <wp:wrapNone/>
                <wp:docPr id="631" name="组合 631"/>
                <wp:cNvGraphicFramePr/>
                <a:graphic xmlns:a="http://schemas.openxmlformats.org/drawingml/2006/main">
                  <a:graphicData uri="http://schemas.microsoft.com/office/word/2010/wordprocessingGroup">
                    <wpg:wgp>
                      <wpg:cNvGrpSpPr/>
                      <wpg:grpSpPr>
                        <a:xfrm>
                          <a:off x="0" y="0"/>
                          <a:ext cx="1283970" cy="2232025"/>
                          <a:chOff x="3978" y="1236599"/>
                          <a:chExt cx="2022" cy="3515"/>
                        </a:xfrm>
                      </wpg:grpSpPr>
                      <wps:wsp>
                        <wps:cNvPr id="632" name="直接连接符 304"/>
                        <wps:cNvCnPr/>
                        <wps:spPr>
                          <a:xfrm>
                            <a:off x="3978" y="1236606"/>
                            <a:ext cx="947" cy="5"/>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3" name="直接连接符 310"/>
                        <wps:cNvCnPr/>
                        <wps:spPr>
                          <a:xfrm flipH="1">
                            <a:off x="4912" y="1236609"/>
                            <a:ext cx="6" cy="1352"/>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4" name="直接连接符 311"/>
                        <wps:cNvCnPr/>
                        <wps:spPr>
                          <a:xfrm>
                            <a:off x="4008" y="1236599"/>
                            <a:ext cx="4" cy="2974"/>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5" name="直接连接符 312"/>
                        <wps:cNvCnPr/>
                        <wps:spPr>
                          <a:xfrm flipV="1">
                            <a:off x="4019" y="1239548"/>
                            <a:ext cx="694" cy="10"/>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6" name="直接连接符 313"/>
                        <wps:cNvCnPr/>
                        <wps:spPr>
                          <a:xfrm>
                            <a:off x="4900" y="1237973"/>
                            <a:ext cx="1100" cy="12"/>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7" name="直接连接符 316"/>
                        <wps:cNvCnPr/>
                        <wps:spPr>
                          <a:xfrm flipV="1">
                            <a:off x="5451" y="1239561"/>
                            <a:ext cx="502" cy="10"/>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8" name="直接连接符 317"/>
                        <wps:cNvCnPr/>
                        <wps:spPr>
                          <a:xfrm flipV="1">
                            <a:off x="5453" y="1239188"/>
                            <a:ext cx="502" cy="10"/>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39" name="直接连接符 320"/>
                        <wps:cNvCnPr/>
                        <wps:spPr>
                          <a:xfrm>
                            <a:off x="5970" y="1237974"/>
                            <a:ext cx="7" cy="1257"/>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40" name="直接连接符 322"/>
                        <wps:cNvCnPr/>
                        <wps:spPr>
                          <a:xfrm>
                            <a:off x="4750" y="1240098"/>
                            <a:ext cx="1240" cy="15"/>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41" name="直接连接符 323"/>
                        <wps:cNvCnPr/>
                        <wps:spPr>
                          <a:xfrm flipH="1">
                            <a:off x="4725" y="1239562"/>
                            <a:ext cx="8" cy="524"/>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42" name="直接连接符 324"/>
                        <wps:cNvCnPr/>
                        <wps:spPr>
                          <a:xfrm flipH="1">
                            <a:off x="5952" y="1239590"/>
                            <a:ext cx="8" cy="524"/>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s:wsp>
                        <wps:cNvPr id="643" name="直接连接符 325"/>
                        <wps:cNvCnPr/>
                        <wps:spPr>
                          <a:xfrm>
                            <a:off x="5450" y="1239156"/>
                            <a:ext cx="0" cy="430"/>
                          </a:xfrm>
                          <a:prstGeom prst="line">
                            <a:avLst/>
                          </a:prstGeom>
                          <a:ln w="25400">
                            <a:solidFill>
                              <a:srgbClr val="FF0000"/>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0.45pt;margin-top:252.05pt;height:175.75pt;width:101.1pt;z-index:251691008;mso-width-relative:page;mso-height-relative:page;" coordorigin="3978,1236599" coordsize="2022,3515" o:gfxdata="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OPmf8vaAAAACgEAAA8AAAAAAAAAAQAgAAAA&#10;IgAAAGRycy9kb3ducmV2LnhtbFBLAQIUABQAAAAIAIdO4kC9dKymCgQAAKQYAAAOAAAAAAAAAAEA&#10;IAAAACkBAABkcnMvZTJvRG9jLnhtbFBLBQYAAAAABgAGAFkBAAClBwAAAAA=&#10;">
                <o:lock v:ext="edit" aspectratio="f"/>
                <v:line id="直接连接符 304" o:spid="_x0000_s1026" o:spt="20" style="position:absolute;left:3978;top:1236606;height:5;width:947;" filled="f" stroked="t" coordsize="21600,21600" o:gfxdata="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TtL4A&#10;AADcAAAADwAAAAAAAAABACAAAAAiAAAAZHJzL2Rvd25yZXYueG1sUEsBAhQAFAAAAAgAh07iQDMv&#10;BZ47AAAAOQAAABAAAAAAAAAAAQAgAAAADQEAAGRycy9zaGFwZXhtbC54bWxQSwUGAAAAAAYABgBb&#10;AQAAtwMAAAAA&#10;">
                  <v:fill on="f" focussize="0,0"/>
                  <v:stroke weight="2pt" color="#FF0000 [3204]" joinstyle="round"/>
                  <v:imagedata o:title=""/>
                  <o:lock v:ext="edit" aspectratio="f"/>
                </v:line>
                <v:line id="直接连接符 310" o:spid="_x0000_s1026" o:spt="20" style="position:absolute;left:4912;top:1236609;flip:x;height:1352;width:6;" filled="f" stroked="t" coordsize="21600,21600" o:gfxdata="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5pd7sAAADc&#10;AAAADwAAAAAAAAABACAAAAAiAAAAZHJzL2Rvd25yZXYueG1sUEsBAhQAFAAAAAgAh07iQDMvBZ47&#10;AAAAOQAAABAAAAAAAAAAAQAgAAAACgEAAGRycy9zaGFwZXhtbC54bWxQSwUGAAAAAAYABgBbAQAA&#10;tAMAAAAA&#10;">
                  <v:fill on="f" focussize="0,0"/>
                  <v:stroke weight="2pt" color="#FF0000 [3204]" joinstyle="round"/>
                  <v:imagedata o:title=""/>
                  <o:lock v:ext="edit" aspectratio="f"/>
                </v:line>
                <v:line id="直接连接符 311" o:spid="_x0000_s1026" o:spt="20" style="position:absolute;left:4008;top:1236599;height:2974;width:4;" filled="f" stroked="t" coordsize="21600,21600" o:gfxdata="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JquW74A&#10;AADcAAAADwAAAAAAAAABACAAAAAiAAAAZHJzL2Rvd25yZXYueG1sUEsBAhQAFAAAAAgAh07iQDMv&#10;BZ47AAAAOQAAABAAAAAAAAAAAQAgAAAADQEAAGRycy9zaGFwZXhtbC54bWxQSwUGAAAAAAYABgBb&#10;AQAAtwMAAAAA&#10;">
                  <v:fill on="f" focussize="0,0"/>
                  <v:stroke weight="2pt" color="#FF0000 [3204]" joinstyle="round"/>
                  <v:imagedata o:title=""/>
                  <o:lock v:ext="edit" aspectratio="f"/>
                </v:line>
                <v:line id="直接连接符 312" o:spid="_x0000_s1026" o:spt="20" style="position:absolute;left:4019;top:1239548;flip:y;height:10;width:694;" filled="f" stroked="t" coordsize="21600,21600" o:gfxdata="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rtUmLsAAADc&#10;AAAADwAAAAAAAAABACAAAAAiAAAAZHJzL2Rvd25yZXYueG1sUEsBAhQAFAAAAAgAh07iQDMvBZ47&#10;AAAAOQAAABAAAAAAAAAAAQAgAAAACgEAAGRycy9zaGFwZXhtbC54bWxQSwUGAAAAAAYABgBbAQAA&#10;tAMAAAAA&#10;">
                  <v:fill on="f" focussize="0,0"/>
                  <v:stroke weight="2pt" color="#FF0000 [3204]" joinstyle="round"/>
                  <v:imagedata o:title=""/>
                  <o:lock v:ext="edit" aspectratio="f"/>
                </v:line>
                <v:line id="直接连接符 313" o:spid="_x0000_s1026" o:spt="20" style="position:absolute;left:4900;top:1237973;height:12;width:1100;" filled="f" stroked="t" coordsize="21600,21600" o:gfxdata="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SVt74A&#10;AADcAAAADwAAAAAAAAABACAAAAAiAAAAZHJzL2Rvd25yZXYueG1sUEsBAhQAFAAAAAgAh07iQDMv&#10;BZ47AAAAOQAAABAAAAAAAAAAAQAgAAAADQEAAGRycy9zaGFwZXhtbC54bWxQSwUGAAAAAAYABgBb&#10;AQAAtwMAAAAA&#10;">
                  <v:fill on="f" focussize="0,0"/>
                  <v:stroke weight="2pt" color="#FF0000 [3204]" joinstyle="round"/>
                  <v:imagedata o:title=""/>
                  <o:lock v:ext="edit" aspectratio="f"/>
                </v:line>
                <v:line id="直接连接符 316" o:spid="_x0000_s1026" o:spt="20" style="position:absolute;left:5451;top:1239561;flip:y;height:10;width:502;" filled="f" stroked="t" coordsize="21600,21600" o:gfxdata="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0lb3S8AAAA&#10;3AAAAA8AAAAAAAAAAQAgAAAAIgAAAGRycy9kb3ducmV2LnhtbFBLAQIUABQAAAAIAIdO4kAzLwWe&#10;OwAAADkAAAAQAAAAAAAAAAEAIAAAAAsBAABkcnMvc2hhcGV4bWwueG1sUEsFBgAAAAAGAAYAWwEA&#10;ALUDAAAAAA==&#10;">
                  <v:fill on="f" focussize="0,0"/>
                  <v:stroke weight="2pt" color="#FF0000 [3204]" joinstyle="round"/>
                  <v:imagedata o:title=""/>
                  <o:lock v:ext="edit" aspectratio="f"/>
                </v:line>
                <v:line id="直接连接符 317" o:spid="_x0000_s1026" o:spt="20" style="position:absolute;left:5453;top:1239188;flip:y;height:10;width:502;" filled="f" stroked="t" coordsize="21600,21600" o:gfxdata="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uvsGugAAANwA&#10;AAAPAAAAAAAAAAEAIAAAACIAAABkcnMvZG93bnJldi54bWxQSwECFAAUAAAACACHTuJAMy8FnjsA&#10;AAA5AAAAEAAAAAAAAAABACAAAAAJAQAAZHJzL3NoYXBleG1sLnhtbFBLBQYAAAAABgAGAFsBAACz&#10;AwAAAAA=&#10;">
                  <v:fill on="f" focussize="0,0"/>
                  <v:stroke weight="2pt" color="#FF0000 [3204]" joinstyle="round"/>
                  <v:imagedata o:title=""/>
                  <o:lock v:ext="edit" aspectratio="f"/>
                </v:line>
                <v:line id="直接连接符 320" o:spid="_x0000_s1026" o:spt="20" style="position:absolute;left:5970;top:1237974;height:1257;width:7;" filled="f" stroked="t" coordsize="21600,21600" o:gfxdata="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wHFvQAA&#10;ANwAAAAPAAAAAAAAAAEAIAAAACIAAABkcnMvZG93bnJldi54bWxQSwECFAAUAAAACACHTuJAMy8F&#10;njsAAAA5AAAAEAAAAAAAAAABACAAAAAMAQAAZHJzL3NoYXBleG1sLnhtbFBLBQYAAAAABgAGAFsB&#10;AAC2AwAAAAA=&#10;">
                  <v:fill on="f" focussize="0,0"/>
                  <v:stroke weight="2pt" color="#FF0000 [3204]" joinstyle="round"/>
                  <v:imagedata o:title=""/>
                  <o:lock v:ext="edit" aspectratio="f"/>
                </v:line>
                <v:line id="直接连接符 322" o:spid="_x0000_s1026" o:spt="20" style="position:absolute;left:4750;top:1240098;height:15;width:1240;" filled="f" stroked="t" coordsize="21600,21600" o:gfxdata="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6fbJbsAAADc&#10;AAAADwAAAAAAAAABACAAAAAiAAAAZHJzL2Rvd25yZXYueG1sUEsBAhQAFAAAAAgAh07iQDMvBZ47&#10;AAAAOQAAABAAAAAAAAAAAQAgAAAACgEAAGRycy9zaGFwZXhtbC54bWxQSwUGAAAAAAYABgBbAQAA&#10;tAMAAAAA&#10;">
                  <v:fill on="f" focussize="0,0"/>
                  <v:stroke weight="2pt" color="#FF0000 [3204]" joinstyle="round"/>
                  <v:imagedata o:title=""/>
                  <o:lock v:ext="edit" aspectratio="f"/>
                </v:line>
                <v:line id="直接连接符 323" o:spid="_x0000_s1026" o:spt="20" style="position:absolute;left:4725;top:1239562;flip:x;height:524;width:8;" filled="f" stroked="t" coordsize="21600,21600" o:gfxdata="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GIea8AAAA&#10;3AAAAA8AAAAAAAAAAQAgAAAAIgAAAGRycy9kb3ducmV2LnhtbFBLAQIUABQAAAAIAIdO4kAzLwWe&#10;OwAAADkAAAAQAAAAAAAAAAEAIAAAAAsBAABkcnMvc2hhcGV4bWwueG1sUEsFBgAAAAAGAAYAWwEA&#10;ALUDAAAAAA==&#10;">
                  <v:fill on="f" focussize="0,0"/>
                  <v:stroke weight="2pt" color="#FF0000 [3204]" joinstyle="round"/>
                  <v:imagedata o:title=""/>
                  <o:lock v:ext="edit" aspectratio="f"/>
                </v:line>
                <v:line id="直接连接符 324" o:spid="_x0000_s1026" o:spt="20" style="position:absolute;left:5952;top:1239590;flip:x;height:524;width:8;" filled="f" stroked="t" coordsize="21600,21600" o:gfxdata="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VS/kbsAAADc&#10;AAAADwAAAAAAAAABACAAAAAiAAAAZHJzL2Rvd25yZXYueG1sUEsBAhQAFAAAAAgAh07iQDMvBZ47&#10;AAAAOQAAABAAAAAAAAAAAQAgAAAACgEAAGRycy9zaGFwZXhtbC54bWxQSwUGAAAAAAYABgBbAQAA&#10;tAMAAAAA&#10;">
                  <v:fill on="f" focussize="0,0"/>
                  <v:stroke weight="2pt" color="#FF0000 [3204]" joinstyle="round"/>
                  <v:imagedata o:title=""/>
                  <o:lock v:ext="edit" aspectratio="f"/>
                </v:line>
                <v:line id="直接连接符 325" o:spid="_x0000_s1026" o:spt="20" style="position:absolute;left:5450;top:1239156;height:430;width:0;" filled="f" stroked="t" coordsize="21600,21600" o:gfxdata="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3VFUr4A&#10;AADcAAAADwAAAAAAAAABACAAAAAiAAAAZHJzL2Rvd25yZXYueG1sUEsBAhQAFAAAAAgAh07iQDMv&#10;BZ47AAAAOQAAABAAAAAAAAAAAQAgAAAADQEAAGRycy9zaGFwZXhtbC54bWxQSwUGAAAAAAYABgBb&#10;AQAAtwMAAAAA&#10;">
                  <v:fill on="f" focussize="0,0"/>
                  <v:stroke weight="2pt" color="#FF0000 [3204]" joinstyle="round"/>
                  <v:imagedata o:title=""/>
                  <o:lock v:ext="edit" aspectratio="f"/>
                </v:line>
              </v:group>
            </w:pict>
          </mc:Fallback>
        </mc:AlternateContent>
      </w:r>
      <w:r>
        <w:rPr>
          <w:rFonts w:hint="eastAsia"/>
          <w:color w:val="auto"/>
          <w:highlight w:val="none"/>
        </w:rPr>
        <w:drawing>
          <wp:inline distT="0" distB="0" distL="114300" distR="114300">
            <wp:extent cx="5270500" cy="7435850"/>
            <wp:effectExtent l="0" t="0" r="6350" b="12700"/>
            <wp:docPr id="644" name="图片 644" descr="厂区布置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图片 644" descr="厂区布置图_01"/>
                    <pic:cNvPicPr>
                      <a:picLocks noChangeAspect="1"/>
                    </pic:cNvPicPr>
                  </pic:nvPicPr>
                  <pic:blipFill>
                    <a:blip r:embed="rId87"/>
                    <a:stretch>
                      <a:fillRect/>
                    </a:stretch>
                  </pic:blipFill>
                  <pic:spPr>
                    <a:xfrm>
                      <a:off x="0" y="0"/>
                      <a:ext cx="5270500" cy="7435850"/>
                    </a:xfrm>
                    <a:prstGeom prst="rect">
                      <a:avLst/>
                    </a:prstGeom>
                  </pic:spPr>
                </pic:pic>
              </a:graphicData>
            </a:graphic>
          </wp:inline>
        </w:drawing>
      </w:r>
    </w:p>
    <w:p w14:paraId="3DAC68C4">
      <w:pPr>
        <w:spacing w:line="360" w:lineRule="auto"/>
        <w:jc w:val="center"/>
        <w:rPr>
          <w:rFonts w:eastAsia="黑体"/>
          <w:snapToGrid w:val="0"/>
          <w:color w:val="auto"/>
          <w:kern w:val="0"/>
          <w:szCs w:val="21"/>
          <w:highlight w:val="none"/>
          <w:lang w:bidi="ar"/>
        </w:rPr>
      </w:pPr>
      <w:r>
        <w:rPr>
          <w:color w:val="auto"/>
          <w:highlight w:val="none"/>
        </w:rPr>
        <mc:AlternateContent>
          <mc:Choice Requires="wps">
            <w:drawing>
              <wp:anchor distT="0" distB="0" distL="114300" distR="114300" simplePos="0" relativeHeight="251687936" behindDoc="0" locked="0" layoutInCell="1" allowOverlap="1">
                <wp:simplePos x="0" y="0"/>
                <wp:positionH relativeFrom="column">
                  <wp:posOffset>3086100</wp:posOffset>
                </wp:positionH>
                <wp:positionV relativeFrom="paragraph">
                  <wp:posOffset>6579870</wp:posOffset>
                </wp:positionV>
                <wp:extent cx="1062355" cy="492125"/>
                <wp:effectExtent l="0" t="0" r="4445" b="3175"/>
                <wp:wrapNone/>
                <wp:docPr id="619" name="矩形 619"/>
                <wp:cNvGraphicFramePr/>
                <a:graphic xmlns:a="http://schemas.openxmlformats.org/drawingml/2006/main">
                  <a:graphicData uri="http://schemas.microsoft.com/office/word/2010/wordprocessingShape">
                    <wps:wsp>
                      <wps:cNvSpPr/>
                      <wps:spPr>
                        <a:xfrm>
                          <a:off x="0" y="0"/>
                          <a:ext cx="1062111" cy="49236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3pt;margin-top:518.1pt;height:38.75pt;width:83.65pt;z-index:251687936;v-text-anchor:middle;mso-width-relative:page;mso-height-relative:page;" fillcolor="#FFFFFF [3212]" filled="t" stroked="f" coordsize="21600,21600" o:gfxdata="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V3+AzXAAAADQEAAA8AAAAAAAAAAQAgAAAAIgAAAGRycy9kb3ducmV2LnhtbFBLAQIUABQAAAAI&#10;AIdO4kBTS2NOYAIAALgEAAAOAAAAAAAAAAEAIAAAACYBAABkcnMvZTJvRG9jLnhtbFBLBQYAAAAA&#10;BgAGAFkBAAD4BQAAAAA=&#10;">
                <v:fill on="t" focussize="0,0"/>
                <v:stroke on="f" weight="2pt"/>
                <v:imagedata o:title=""/>
                <o:lock v:ext="edit" aspectratio="f"/>
              </v:rect>
            </w:pict>
          </mc:Fallback>
        </mc:AlternateContent>
      </w:r>
      <w:r>
        <w:rPr>
          <w:rFonts w:hint="eastAsia" w:eastAsia="黑体"/>
          <w:snapToGrid w:val="0"/>
          <w:color w:val="auto"/>
          <w:kern w:val="0"/>
          <w:szCs w:val="21"/>
          <w:highlight w:val="none"/>
        </w:rPr>
        <w:t>图</w:t>
      </w:r>
      <w:r>
        <w:rPr>
          <w:rFonts w:hint="eastAsia" w:eastAsia="黑体"/>
          <w:snapToGrid w:val="0"/>
          <w:color w:val="auto"/>
          <w:kern w:val="0"/>
          <w:szCs w:val="21"/>
          <w:highlight w:val="none"/>
          <w:lang w:val="en-US" w:eastAsia="zh-CN"/>
        </w:rPr>
        <w:t>9.2-1</w:t>
      </w:r>
      <w:r>
        <w:rPr>
          <w:rFonts w:hint="eastAsia" w:eastAsia="黑体"/>
          <w:snapToGrid w:val="0"/>
          <w:color w:val="auto"/>
          <w:kern w:val="0"/>
          <w:szCs w:val="21"/>
          <w:highlight w:val="none"/>
        </w:rPr>
        <w:t xml:space="preserve"> </w:t>
      </w:r>
      <w:r>
        <w:rPr>
          <w:rFonts w:hint="eastAsia" w:eastAsia="黑体"/>
          <w:snapToGrid w:val="0"/>
          <w:color w:val="auto"/>
          <w:kern w:val="0"/>
          <w:szCs w:val="21"/>
          <w:highlight w:val="none"/>
          <w:lang w:val="en-US" w:eastAsia="zh-CN"/>
        </w:rPr>
        <w:t>自行监测布点</w:t>
      </w:r>
      <w:r>
        <w:rPr>
          <w:rFonts w:hint="eastAsia" w:eastAsia="黑体"/>
          <w:snapToGrid w:val="0"/>
          <w:color w:val="auto"/>
          <w:kern w:val="0"/>
          <w:szCs w:val="21"/>
          <w:highlight w:val="none"/>
        </w:rPr>
        <w:t>图</w:t>
      </w:r>
    </w:p>
    <w:bookmarkEnd w:id="224"/>
    <w:p w14:paraId="54425A53">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26" w:name="_Toc23331"/>
      <w:bookmarkStart w:id="227" w:name="_Toc15512"/>
      <w:bookmarkStart w:id="228" w:name="_Toc28603"/>
      <w:r>
        <w:rPr>
          <w:rFonts w:hint="eastAsia" w:ascii="Times New Roman" w:hAnsi="Times New Roman" w:cs="Times New Roman"/>
          <w:b w:val="0"/>
          <w:bCs w:val="0"/>
          <w:snapToGrid w:val="0"/>
          <w:color w:val="auto"/>
          <w:kern w:val="0"/>
          <w:sz w:val="28"/>
          <w:szCs w:val="28"/>
          <w:highlight w:val="none"/>
          <w:lang w:val="en-US" w:eastAsia="zh-CN"/>
        </w:rPr>
        <w:t>9.3排污许可与总量控制</w:t>
      </w:r>
      <w:bookmarkEnd w:id="226"/>
      <w:bookmarkEnd w:id="227"/>
    </w:p>
    <w:p w14:paraId="1AD2990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9.3.1排污口规范化管理</w:t>
      </w:r>
      <w:bookmarkEnd w:id="228"/>
    </w:p>
    <w:p w14:paraId="7CB28C3E">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9.3.1.1排污口规范化管理的基本原则</w:t>
      </w:r>
    </w:p>
    <w:p w14:paraId="1091AA4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rPr>
      </w:pPr>
      <w:r>
        <w:rPr>
          <w:rFonts w:hint="eastAsia"/>
          <w:color w:val="auto"/>
          <w:sz w:val="24"/>
          <w:highlight w:val="none"/>
        </w:rPr>
        <w:t>（1）向</w:t>
      </w:r>
      <w:r>
        <w:rPr>
          <w:rFonts w:hint="eastAsia"/>
          <w:color w:val="auto"/>
          <w:sz w:val="24"/>
          <w:highlight w:val="none"/>
          <w:lang w:val="en-US" w:eastAsia="zh-CN"/>
        </w:rPr>
        <w:t>生态</w:t>
      </w:r>
      <w:r>
        <w:rPr>
          <w:rFonts w:hint="eastAsia"/>
          <w:color w:val="auto"/>
          <w:sz w:val="24"/>
          <w:highlight w:val="none"/>
        </w:rPr>
        <w:t>环境排放污染物的排污口必须规范化。</w:t>
      </w:r>
    </w:p>
    <w:p w14:paraId="04FC48D4">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rPr>
      </w:pPr>
      <w:r>
        <w:rPr>
          <w:rFonts w:hint="eastAsia"/>
          <w:color w:val="auto"/>
          <w:sz w:val="24"/>
          <w:highlight w:val="none"/>
        </w:rPr>
        <w:t>（2）排污口应便于采样与计量监测，便于日常现场监督检查。</w:t>
      </w:r>
    </w:p>
    <w:p w14:paraId="472B9A35">
      <w:pPr>
        <w:pStyle w:val="6"/>
        <w:keepNext w:val="0"/>
        <w:keepLines w:val="0"/>
        <w:pageBreakBefore w:val="0"/>
        <w:widowControl w:val="0"/>
        <w:tabs>
          <w:tab w:val="left" w:pos="0"/>
          <w:tab w:val="left" w:pos="420"/>
        </w:tabs>
        <w:kinsoku/>
        <w:wordWrap/>
        <w:overflowPunct/>
        <w:topLinePunct w:val="0"/>
        <w:autoSpaceDE/>
        <w:autoSpaceDN/>
        <w:bidi w:val="0"/>
        <w:adjustRightInd w:val="0"/>
        <w:snapToGrid w:val="0"/>
        <w:spacing w:line="360" w:lineRule="auto"/>
        <w:ind w:firstLine="482"/>
        <w:rPr>
          <w:rFonts w:hint="eastAsia" w:ascii="宋体" w:hAnsi="宋体" w:eastAsia="宋体" w:cs="宋体"/>
          <w:b/>
          <w:bCs w:val="0"/>
          <w:snapToGrid w:val="0"/>
          <w:color w:val="auto"/>
          <w:spacing w:val="0"/>
          <w:w w:val="100"/>
          <w:kern w:val="0"/>
          <w:sz w:val="24"/>
          <w:szCs w:val="24"/>
          <w:highlight w:val="none"/>
          <w:lang w:val="en-US" w:eastAsia="zh-CN"/>
        </w:rPr>
      </w:pPr>
      <w:r>
        <w:rPr>
          <w:rFonts w:hint="eastAsia" w:ascii="宋体" w:hAnsi="宋体" w:eastAsia="宋体" w:cs="宋体"/>
          <w:b/>
          <w:bCs w:val="0"/>
          <w:snapToGrid w:val="0"/>
          <w:color w:val="auto"/>
          <w:spacing w:val="0"/>
          <w:w w:val="100"/>
          <w:kern w:val="0"/>
          <w:sz w:val="24"/>
          <w:szCs w:val="24"/>
          <w:highlight w:val="none"/>
          <w:lang w:val="en-US" w:eastAsia="zh-CN"/>
        </w:rPr>
        <w:t>9.3.1.2排污口立标管理</w:t>
      </w:r>
    </w:p>
    <w:p w14:paraId="73B73D5B">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lang w:val="zh-CN"/>
        </w:rPr>
      </w:pPr>
      <w:r>
        <w:rPr>
          <w:rFonts w:hint="eastAsia"/>
          <w:color w:val="auto"/>
          <w:sz w:val="24"/>
          <w:highlight w:val="none"/>
          <w:lang w:val="zh-CN"/>
        </w:rPr>
        <w:t>企业废气排放口、废水排污口、噪声排放源和固体废物贮存、处置场所应适于采样、监测计量等工作条件，排污单位应按所在地环境保护主管部门的要求设立标志。</w:t>
      </w:r>
    </w:p>
    <w:p w14:paraId="4066EA0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lang w:val="zh-CN"/>
        </w:rPr>
      </w:pPr>
      <w:r>
        <w:rPr>
          <w:rFonts w:hint="eastAsia"/>
          <w:color w:val="auto"/>
          <w:sz w:val="24"/>
          <w:highlight w:val="none"/>
          <w:lang w:val="zh-CN"/>
        </w:rPr>
        <w:t>在本项目建设时，须对所有污染物排污口按规定进行核实，排放口应按照《环境保护图形标志</w:t>
      </w:r>
      <w:r>
        <w:rPr>
          <w:rFonts w:hint="eastAsia"/>
          <w:color w:val="auto"/>
          <w:sz w:val="24"/>
          <w:highlight w:val="none"/>
          <w:lang w:val="en-US" w:eastAsia="zh-CN"/>
        </w:rPr>
        <w:t>-</w:t>
      </w:r>
      <w:r>
        <w:rPr>
          <w:rFonts w:hint="eastAsia"/>
          <w:color w:val="auto"/>
          <w:sz w:val="24"/>
          <w:highlight w:val="none"/>
          <w:lang w:val="zh-CN"/>
        </w:rPr>
        <w:t>排放口（源）》（</w:t>
      </w:r>
      <w:r>
        <w:rPr>
          <w:rFonts w:hint="eastAsia"/>
          <w:color w:val="auto"/>
          <w:sz w:val="24"/>
          <w:highlight w:val="none"/>
        </w:rPr>
        <w:t>GB</w:t>
      </w:r>
      <w:r>
        <w:rPr>
          <w:rFonts w:hint="eastAsia"/>
          <w:color w:val="auto"/>
          <w:sz w:val="24"/>
          <w:highlight w:val="none"/>
          <w:lang w:val="zh-CN"/>
        </w:rPr>
        <w:t>15562.1-1995）、《环境保护图形标志</w:t>
      </w:r>
      <w:r>
        <w:rPr>
          <w:rFonts w:hint="eastAsia"/>
          <w:color w:val="auto"/>
          <w:sz w:val="24"/>
          <w:highlight w:val="none"/>
          <w:lang w:val="en-US" w:eastAsia="zh-CN"/>
        </w:rPr>
        <w:t>-</w:t>
      </w:r>
      <w:r>
        <w:rPr>
          <w:rFonts w:hint="eastAsia"/>
          <w:color w:val="auto"/>
          <w:sz w:val="24"/>
          <w:highlight w:val="none"/>
          <w:lang w:val="zh-CN"/>
        </w:rPr>
        <w:t>固体废物贮存（处置）场》（GB15562.2-1995）</w:t>
      </w:r>
      <w:r>
        <w:rPr>
          <w:rFonts w:hint="eastAsia"/>
          <w:color w:val="auto"/>
          <w:sz w:val="24"/>
          <w:highlight w:val="none"/>
          <w:lang w:val="zh-CN" w:eastAsia="zh-CN"/>
        </w:rPr>
        <w:t>及其</w:t>
      </w:r>
      <w:r>
        <w:rPr>
          <w:rFonts w:hint="eastAsia"/>
          <w:color w:val="auto"/>
          <w:sz w:val="24"/>
          <w:highlight w:val="none"/>
          <w:lang w:val="zh-CN"/>
        </w:rPr>
        <w:t>修改单、</w:t>
      </w:r>
      <w:r>
        <w:rPr>
          <w:rFonts w:hint="eastAsia"/>
          <w:color w:val="auto"/>
          <w:sz w:val="24"/>
          <w:highlight w:val="none"/>
          <w:lang w:val="zh-CN" w:eastAsia="zh-CN"/>
        </w:rPr>
        <w:t>《危险废物识别标志设置技术规范》（HJ1276</w:t>
      </w:r>
      <w:r>
        <w:rPr>
          <w:rFonts w:hint="eastAsia"/>
          <w:color w:val="auto"/>
          <w:sz w:val="24"/>
          <w:highlight w:val="none"/>
          <w:lang w:val="en-US" w:eastAsia="zh-CN"/>
        </w:rPr>
        <w:t>-</w:t>
      </w:r>
      <w:r>
        <w:rPr>
          <w:rFonts w:hint="eastAsia"/>
          <w:color w:val="auto"/>
          <w:sz w:val="24"/>
          <w:highlight w:val="none"/>
          <w:lang w:val="zh-CN" w:eastAsia="zh-CN"/>
        </w:rPr>
        <w:t>2022）、</w:t>
      </w:r>
      <w:r>
        <w:rPr>
          <w:rFonts w:hint="eastAsia"/>
          <w:color w:val="auto"/>
          <w:sz w:val="24"/>
          <w:highlight w:val="none"/>
          <w:lang w:val="zh-CN"/>
        </w:rPr>
        <w:t>《关于印发排放口标志牌技术规格的通知》（环办</w:t>
      </w:r>
      <w:r>
        <w:rPr>
          <w:rFonts w:hint="eastAsia"/>
          <w:snapToGrid w:val="0"/>
          <w:color w:val="auto"/>
          <w:kern w:val="0"/>
          <w:sz w:val="24"/>
          <w:highlight w:val="none"/>
        </w:rPr>
        <w:t>〔2003〕</w:t>
      </w:r>
      <w:r>
        <w:rPr>
          <w:rFonts w:hint="eastAsia"/>
          <w:color w:val="auto"/>
          <w:sz w:val="24"/>
          <w:highlight w:val="none"/>
          <w:lang w:val="zh-CN"/>
        </w:rPr>
        <w:t>95号）以及排污许可证的要求进行规范化设置。需明确排污口的数量、位置以及排放主要污染物的种类、数量、浓度、排放去向等；并根据《&lt;环境保护图形标志&gt;实施细则》对排污口图形标志进行国标化设置与设计，排放一般污染物排污口（源），设置提示式标志牌，排放有毒有害等污染物的排污口设置警告式标志牌。后期运营时建立排污口档案管理体系，根据排污口管理档案及排污许可要求，将排污口位置、编号、主要污染物种类、数量、浓度、排放去向、达标情况及设施运行情况记录于档案，形成台账，并定期向国家排污许可管理平台进行上报、备案。</w:t>
      </w:r>
    </w:p>
    <w:p w14:paraId="4D909E94">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rPr>
      </w:pPr>
      <w:r>
        <w:rPr>
          <w:rFonts w:hint="eastAsia"/>
          <w:color w:val="auto"/>
          <w:sz w:val="24"/>
          <w:highlight w:val="none"/>
          <w:lang w:val="zh-CN"/>
        </w:rPr>
        <w:t>环境保护图形标志具体设置图形</w:t>
      </w:r>
      <w:r>
        <w:rPr>
          <w:rFonts w:hint="eastAsia"/>
          <w:color w:val="auto"/>
          <w:sz w:val="24"/>
          <w:highlight w:val="none"/>
        </w:rPr>
        <w:t>见表9.3-1</w:t>
      </w:r>
      <w:r>
        <w:rPr>
          <w:rFonts w:hint="eastAsia"/>
          <w:color w:val="auto"/>
          <w:sz w:val="24"/>
          <w:highlight w:val="none"/>
          <w:lang w:val="zh-CN"/>
        </w:rPr>
        <w:t>。</w:t>
      </w:r>
    </w:p>
    <w:p w14:paraId="3559E2FC">
      <w:pPr>
        <w:pStyle w:val="412"/>
        <w:keepNext w:val="0"/>
        <w:keepLines w:val="0"/>
        <w:pageBreakBefore w:val="0"/>
        <w:widowControl w:val="0"/>
        <w:tabs>
          <w:tab w:val="left" w:pos="0"/>
          <w:tab w:val="clear" w:pos="6840"/>
        </w:tabs>
        <w:kinsoku/>
        <w:wordWrap/>
        <w:overflowPunct/>
        <w:topLinePunct w:val="0"/>
        <w:autoSpaceDE w:val="0"/>
        <w:autoSpaceDN w:val="0"/>
        <w:bidi w:val="0"/>
        <w:adjustRightInd w:val="0"/>
        <w:snapToGrid w:val="0"/>
        <w:spacing w:line="240" w:lineRule="auto"/>
        <w:ind w:left="0" w:hanging="422"/>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表9.3-1 环境保护图形标志设置图形表</w:t>
      </w:r>
    </w:p>
    <w:tbl>
      <w:tblPr>
        <w:tblStyle w:val="776"/>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29"/>
        <w:gridCol w:w="2000"/>
        <w:gridCol w:w="1998"/>
        <w:gridCol w:w="1628"/>
        <w:gridCol w:w="1843"/>
      </w:tblGrid>
      <w:tr w14:paraId="1875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6" w:type="dxa"/>
            <w:vAlign w:val="center"/>
          </w:tcPr>
          <w:p w14:paraId="163DBA04">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序号</w:t>
            </w:r>
          </w:p>
        </w:tc>
        <w:tc>
          <w:tcPr>
            <w:tcW w:w="2022" w:type="dxa"/>
            <w:vAlign w:val="center"/>
          </w:tcPr>
          <w:p w14:paraId="43AEE0CA">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提示图形符号</w:t>
            </w:r>
          </w:p>
          <w:p w14:paraId="48D21F30">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背景颜色：绿色</w:t>
            </w:r>
          </w:p>
          <w:p w14:paraId="6B8F9EFF">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图形颜色：白色</w:t>
            </w:r>
          </w:p>
        </w:tc>
        <w:tc>
          <w:tcPr>
            <w:tcW w:w="2020" w:type="dxa"/>
            <w:vAlign w:val="center"/>
          </w:tcPr>
          <w:p w14:paraId="4A90AB12">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警告图像符号</w:t>
            </w:r>
          </w:p>
          <w:p w14:paraId="66BF01BA">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背景颜色：黄色</w:t>
            </w:r>
          </w:p>
          <w:p w14:paraId="29BE01FF">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图形颜色：黑色</w:t>
            </w:r>
          </w:p>
        </w:tc>
        <w:tc>
          <w:tcPr>
            <w:tcW w:w="1645" w:type="dxa"/>
            <w:vAlign w:val="center"/>
          </w:tcPr>
          <w:p w14:paraId="31A7F037">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名称</w:t>
            </w:r>
          </w:p>
        </w:tc>
        <w:tc>
          <w:tcPr>
            <w:tcW w:w="1863" w:type="dxa"/>
            <w:vAlign w:val="center"/>
          </w:tcPr>
          <w:p w14:paraId="21077BE8">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功能</w:t>
            </w:r>
          </w:p>
        </w:tc>
      </w:tr>
      <w:tr w14:paraId="57D0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6" w:type="dxa"/>
            <w:vAlign w:val="center"/>
          </w:tcPr>
          <w:p w14:paraId="49524EB2">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w:t>
            </w:r>
          </w:p>
        </w:tc>
        <w:tc>
          <w:tcPr>
            <w:tcW w:w="2022" w:type="dxa"/>
            <w:vAlign w:val="center"/>
          </w:tcPr>
          <w:p w14:paraId="2CE2A192">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anchor distT="0" distB="0" distL="114300" distR="114300" simplePos="0" relativeHeight="251675648" behindDoc="0" locked="0" layoutInCell="1" allowOverlap="1">
                  <wp:simplePos x="0" y="0"/>
                  <wp:positionH relativeFrom="column">
                    <wp:posOffset>130175</wp:posOffset>
                  </wp:positionH>
                  <wp:positionV relativeFrom="paragraph">
                    <wp:posOffset>12065</wp:posOffset>
                  </wp:positionV>
                  <wp:extent cx="935990" cy="864235"/>
                  <wp:effectExtent l="0" t="0" r="16510" b="12065"/>
                  <wp:wrapNone/>
                  <wp:docPr id="154" name="图片 73" descr="2010050515133002">
                    <a:hlinkClick xmlns:a="http://schemas.openxmlformats.org/drawingml/2006/main" r:id="rId88"/>
                  </wp:docPr>
                  <wp:cNvGraphicFramePr/>
                  <a:graphic xmlns:a="http://schemas.openxmlformats.org/drawingml/2006/main">
                    <a:graphicData uri="http://schemas.openxmlformats.org/drawingml/2006/picture">
                      <pic:pic xmlns:pic="http://schemas.openxmlformats.org/drawingml/2006/picture">
                        <pic:nvPicPr>
                          <pic:cNvPr id="154" name="图片 73" descr="2010050515133002"/>
                          <pic:cNvPicPr preferRelativeResize="0"/>
                        </pic:nvPicPr>
                        <pic:blipFill>
                          <a:blip r:embed="rId89"/>
                          <a:srcRect r="1717" b="28371"/>
                          <a:stretch>
                            <a:fillRect/>
                          </a:stretch>
                        </pic:blipFill>
                        <pic:spPr>
                          <a:xfrm>
                            <a:off x="0" y="0"/>
                            <a:ext cx="935990" cy="864235"/>
                          </a:xfrm>
                          <a:prstGeom prst="rect">
                            <a:avLst/>
                          </a:prstGeom>
                          <a:noFill/>
                          <a:ln>
                            <a:noFill/>
                          </a:ln>
                        </pic:spPr>
                      </pic:pic>
                    </a:graphicData>
                  </a:graphic>
                </wp:anchor>
              </w:drawing>
            </w:r>
          </w:p>
        </w:tc>
        <w:tc>
          <w:tcPr>
            <w:tcW w:w="2020" w:type="dxa"/>
            <w:vAlign w:val="center"/>
          </w:tcPr>
          <w:p w14:paraId="6B05FD83">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inline distT="0" distB="0" distL="114300" distR="114300">
                  <wp:extent cx="935990" cy="864235"/>
                  <wp:effectExtent l="0" t="0" r="16510" b="12065"/>
                  <wp:docPr id="1637588619" name="图片 250" descr="点击看大图及详细资料">
                    <a:hlinkClick xmlns:a="http://schemas.openxmlformats.org/drawingml/2006/main" r:id="rId90"/>
                  </wp:docPr>
                  <wp:cNvGraphicFramePr/>
                  <a:graphic xmlns:a="http://schemas.openxmlformats.org/drawingml/2006/main">
                    <a:graphicData uri="http://schemas.openxmlformats.org/drawingml/2006/picture">
                      <pic:pic xmlns:pic="http://schemas.openxmlformats.org/drawingml/2006/picture">
                        <pic:nvPicPr>
                          <pic:cNvPr id="1637588619" name="图片 250" descr="点击看大图及详细资料"/>
                          <pic:cNvPicPr preferRelativeResize="0"/>
                        </pic:nvPicPr>
                        <pic:blipFill>
                          <a:blip r:embed="rId91"/>
                          <a:stretch>
                            <a:fillRect/>
                          </a:stretch>
                        </pic:blipFill>
                        <pic:spPr>
                          <a:xfrm>
                            <a:off x="0" y="0"/>
                            <a:ext cx="935990" cy="864235"/>
                          </a:xfrm>
                          <a:prstGeom prst="rect">
                            <a:avLst/>
                          </a:prstGeom>
                          <a:noFill/>
                          <a:ln>
                            <a:noFill/>
                          </a:ln>
                        </pic:spPr>
                      </pic:pic>
                    </a:graphicData>
                  </a:graphic>
                </wp:inline>
              </w:drawing>
            </w:r>
          </w:p>
        </w:tc>
        <w:tc>
          <w:tcPr>
            <w:tcW w:w="1645" w:type="dxa"/>
            <w:vAlign w:val="center"/>
          </w:tcPr>
          <w:p w14:paraId="056FA9B0">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废气排放口</w:t>
            </w:r>
          </w:p>
        </w:tc>
        <w:tc>
          <w:tcPr>
            <w:tcW w:w="1863" w:type="dxa"/>
            <w:vAlign w:val="center"/>
          </w:tcPr>
          <w:p w14:paraId="2E4E5726">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表示废气向大气排放</w:t>
            </w:r>
          </w:p>
        </w:tc>
      </w:tr>
      <w:tr w14:paraId="1A58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6" w:type="dxa"/>
            <w:vAlign w:val="center"/>
          </w:tcPr>
          <w:p w14:paraId="70698538">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w:t>
            </w:r>
          </w:p>
        </w:tc>
        <w:tc>
          <w:tcPr>
            <w:tcW w:w="2022" w:type="dxa"/>
            <w:vAlign w:val="center"/>
          </w:tcPr>
          <w:p w14:paraId="6E908A16">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anchor distT="0" distB="0" distL="114300" distR="114300" simplePos="0" relativeHeight="251676672" behindDoc="0" locked="0" layoutInCell="1" allowOverlap="1">
                  <wp:simplePos x="0" y="0"/>
                  <wp:positionH relativeFrom="column">
                    <wp:posOffset>111125</wp:posOffset>
                  </wp:positionH>
                  <wp:positionV relativeFrom="paragraph">
                    <wp:posOffset>4445</wp:posOffset>
                  </wp:positionV>
                  <wp:extent cx="935990" cy="864235"/>
                  <wp:effectExtent l="0" t="0" r="16510" b="12065"/>
                  <wp:wrapNone/>
                  <wp:docPr id="795177771" name="图片 71" descr="g001"/>
                  <wp:cNvGraphicFramePr/>
                  <a:graphic xmlns:a="http://schemas.openxmlformats.org/drawingml/2006/main">
                    <a:graphicData uri="http://schemas.openxmlformats.org/drawingml/2006/picture">
                      <pic:pic xmlns:pic="http://schemas.openxmlformats.org/drawingml/2006/picture">
                        <pic:nvPicPr>
                          <pic:cNvPr id="795177771" name="图片 71" descr="g001"/>
                          <pic:cNvPicPr preferRelativeResize="0"/>
                        </pic:nvPicPr>
                        <pic:blipFill>
                          <a:blip r:embed="rId92"/>
                          <a:stretch>
                            <a:fillRect/>
                          </a:stretch>
                        </pic:blipFill>
                        <pic:spPr>
                          <a:xfrm>
                            <a:off x="0" y="0"/>
                            <a:ext cx="935990" cy="864235"/>
                          </a:xfrm>
                          <a:prstGeom prst="rect">
                            <a:avLst/>
                          </a:prstGeom>
                          <a:noFill/>
                          <a:ln>
                            <a:noFill/>
                          </a:ln>
                        </pic:spPr>
                      </pic:pic>
                    </a:graphicData>
                  </a:graphic>
                </wp:anchor>
              </w:drawing>
            </w:r>
          </w:p>
        </w:tc>
        <w:tc>
          <w:tcPr>
            <w:tcW w:w="2020" w:type="dxa"/>
            <w:vAlign w:val="center"/>
          </w:tcPr>
          <w:p w14:paraId="7088DF81">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inline distT="0" distB="0" distL="114300" distR="114300">
                  <wp:extent cx="935990" cy="864235"/>
                  <wp:effectExtent l="0" t="0" r="16510" b="12065"/>
                  <wp:docPr id="155" name="图片 70" descr="1"/>
                  <wp:cNvGraphicFramePr/>
                  <a:graphic xmlns:a="http://schemas.openxmlformats.org/drawingml/2006/main">
                    <a:graphicData uri="http://schemas.openxmlformats.org/drawingml/2006/picture">
                      <pic:pic xmlns:pic="http://schemas.openxmlformats.org/drawingml/2006/picture">
                        <pic:nvPicPr>
                          <pic:cNvPr id="155" name="图片 70" descr="1"/>
                          <pic:cNvPicPr preferRelativeResize="0"/>
                        </pic:nvPicPr>
                        <pic:blipFill>
                          <a:blip r:embed="rId93"/>
                          <a:srcRect l="15750" t="4500" r="16000" b="31000"/>
                          <a:stretch>
                            <a:fillRect/>
                          </a:stretch>
                        </pic:blipFill>
                        <pic:spPr>
                          <a:xfrm>
                            <a:off x="0" y="0"/>
                            <a:ext cx="935990" cy="864235"/>
                          </a:xfrm>
                          <a:prstGeom prst="rect">
                            <a:avLst/>
                          </a:prstGeom>
                          <a:noFill/>
                          <a:ln>
                            <a:noFill/>
                          </a:ln>
                        </pic:spPr>
                      </pic:pic>
                    </a:graphicData>
                  </a:graphic>
                </wp:inline>
              </w:drawing>
            </w:r>
          </w:p>
        </w:tc>
        <w:tc>
          <w:tcPr>
            <w:tcW w:w="1645" w:type="dxa"/>
            <w:vAlign w:val="center"/>
          </w:tcPr>
          <w:p w14:paraId="0EF31B2A">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废水排放口</w:t>
            </w:r>
          </w:p>
        </w:tc>
        <w:tc>
          <w:tcPr>
            <w:tcW w:w="1863" w:type="dxa"/>
            <w:vAlign w:val="center"/>
          </w:tcPr>
          <w:p w14:paraId="51FB2A52">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表示废水向水体排放</w:t>
            </w:r>
          </w:p>
        </w:tc>
      </w:tr>
      <w:tr w14:paraId="0292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10" w:hRule="atLeast"/>
          <w:jc w:val="center"/>
        </w:trPr>
        <w:tc>
          <w:tcPr>
            <w:tcW w:w="736" w:type="dxa"/>
            <w:vAlign w:val="center"/>
          </w:tcPr>
          <w:p w14:paraId="758C5651">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w:t>
            </w:r>
          </w:p>
        </w:tc>
        <w:tc>
          <w:tcPr>
            <w:tcW w:w="2022" w:type="dxa"/>
            <w:vAlign w:val="center"/>
          </w:tcPr>
          <w:p w14:paraId="38D0E5A5">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anchor distT="0" distB="0" distL="114300" distR="114300" simplePos="0" relativeHeight="251678720" behindDoc="0" locked="0" layoutInCell="1" allowOverlap="1">
                  <wp:simplePos x="0" y="0"/>
                  <wp:positionH relativeFrom="column">
                    <wp:posOffset>122555</wp:posOffset>
                  </wp:positionH>
                  <wp:positionV relativeFrom="paragraph">
                    <wp:posOffset>29845</wp:posOffset>
                  </wp:positionV>
                  <wp:extent cx="944880" cy="944880"/>
                  <wp:effectExtent l="0" t="0" r="7620" b="7620"/>
                  <wp:wrapNone/>
                  <wp:docPr id="156" name="图片 30" descr="c625860d162dfd4a083552b31421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0" descr="c625860d162dfd4a083552b31421643"/>
                          <pic:cNvPicPr>
                            <a:picLocks noChangeAspect="1"/>
                          </pic:cNvPicPr>
                        </pic:nvPicPr>
                        <pic:blipFill>
                          <a:blip r:embed="rId94"/>
                          <a:stretch>
                            <a:fillRect/>
                          </a:stretch>
                        </pic:blipFill>
                        <pic:spPr>
                          <a:xfrm>
                            <a:off x="0" y="0"/>
                            <a:ext cx="944880" cy="944880"/>
                          </a:xfrm>
                          <a:prstGeom prst="rect">
                            <a:avLst/>
                          </a:prstGeom>
                          <a:noFill/>
                          <a:ln>
                            <a:noFill/>
                          </a:ln>
                        </pic:spPr>
                      </pic:pic>
                    </a:graphicData>
                  </a:graphic>
                </wp:anchor>
              </w:drawing>
            </w:r>
          </w:p>
        </w:tc>
        <w:tc>
          <w:tcPr>
            <w:tcW w:w="2020" w:type="dxa"/>
            <w:vAlign w:val="center"/>
          </w:tcPr>
          <w:p w14:paraId="04502FFA">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inline distT="0" distB="0" distL="114300" distR="114300">
                  <wp:extent cx="975360" cy="845820"/>
                  <wp:effectExtent l="0" t="0" r="15240" b="11430"/>
                  <wp:docPr id="157" name="图片 1197" descr="D:\360MoveData\Users\任帅斌\Desktop\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197" descr="D:\360MoveData\Users\任帅斌\Desktop\2.jpg2"/>
                          <pic:cNvPicPr>
                            <a:picLocks noChangeAspect="1"/>
                          </pic:cNvPicPr>
                        </pic:nvPicPr>
                        <pic:blipFill>
                          <a:blip r:embed="rId95"/>
                          <a:srcRect/>
                          <a:stretch>
                            <a:fillRect/>
                          </a:stretch>
                        </pic:blipFill>
                        <pic:spPr>
                          <a:xfrm>
                            <a:off x="0" y="0"/>
                            <a:ext cx="975360" cy="845820"/>
                          </a:xfrm>
                          <a:prstGeom prst="rect">
                            <a:avLst/>
                          </a:prstGeom>
                          <a:noFill/>
                          <a:ln w="9525">
                            <a:noFill/>
                          </a:ln>
                          <a:effectLst/>
                        </pic:spPr>
                      </pic:pic>
                    </a:graphicData>
                  </a:graphic>
                </wp:inline>
              </w:drawing>
            </w:r>
          </w:p>
        </w:tc>
        <w:tc>
          <w:tcPr>
            <w:tcW w:w="1645" w:type="dxa"/>
            <w:vAlign w:val="center"/>
          </w:tcPr>
          <w:p w14:paraId="6A267EE0">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危险废物</w:t>
            </w:r>
            <w:r>
              <w:rPr>
                <w:rFonts w:hint="eastAsia" w:ascii="Times New Roman" w:hAnsi="Times New Roman" w:eastAsia="宋体" w:cs="Times New Roman"/>
                <w:snapToGrid w:val="0"/>
                <w:color w:val="auto"/>
                <w:kern w:val="0"/>
                <w:sz w:val="21"/>
                <w:szCs w:val="21"/>
                <w:highlight w:val="none"/>
                <w:lang w:val="en-US" w:eastAsia="zh-CN"/>
              </w:rPr>
              <w:t>贮存</w:t>
            </w:r>
          </w:p>
        </w:tc>
        <w:tc>
          <w:tcPr>
            <w:tcW w:w="1863" w:type="dxa"/>
            <w:vAlign w:val="center"/>
          </w:tcPr>
          <w:p w14:paraId="096D24CB">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表示</w:t>
            </w:r>
            <w:r>
              <w:rPr>
                <w:rFonts w:hint="eastAsia" w:ascii="Times New Roman" w:hAnsi="Times New Roman" w:eastAsia="宋体" w:cs="Times New Roman"/>
                <w:snapToGrid w:val="0"/>
                <w:color w:val="auto"/>
                <w:kern w:val="0"/>
                <w:sz w:val="21"/>
                <w:szCs w:val="21"/>
                <w:highlight w:val="none"/>
                <w:lang w:val="en-US" w:eastAsia="zh-CN"/>
              </w:rPr>
              <w:t>危险废物</w:t>
            </w:r>
            <w:r>
              <w:rPr>
                <w:rFonts w:ascii="Times New Roman" w:hAnsi="Times New Roman" w:eastAsia="宋体" w:cs="Times New Roman"/>
                <w:snapToGrid w:val="0"/>
                <w:color w:val="auto"/>
                <w:kern w:val="0"/>
                <w:sz w:val="21"/>
                <w:szCs w:val="21"/>
                <w:highlight w:val="none"/>
              </w:rPr>
              <w:t>储存处置场所</w:t>
            </w:r>
          </w:p>
        </w:tc>
      </w:tr>
      <w:tr w14:paraId="1306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6" w:type="dxa"/>
            <w:vAlign w:val="center"/>
          </w:tcPr>
          <w:p w14:paraId="4CE175AD">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w:t>
            </w:r>
          </w:p>
        </w:tc>
        <w:tc>
          <w:tcPr>
            <w:tcW w:w="2022" w:type="dxa"/>
            <w:vAlign w:val="center"/>
          </w:tcPr>
          <w:p w14:paraId="7F35B69E">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anchor distT="0" distB="0" distL="114300" distR="114300" simplePos="0" relativeHeight="251677696" behindDoc="0" locked="0" layoutInCell="1" allowOverlap="1">
                  <wp:simplePos x="0" y="0"/>
                  <wp:positionH relativeFrom="column">
                    <wp:posOffset>130175</wp:posOffset>
                  </wp:positionH>
                  <wp:positionV relativeFrom="paragraph">
                    <wp:posOffset>15875</wp:posOffset>
                  </wp:positionV>
                  <wp:extent cx="935990" cy="864235"/>
                  <wp:effectExtent l="0" t="0" r="16510" b="12065"/>
                  <wp:wrapNone/>
                  <wp:docPr id="158" name="图片 60" descr="2008523101617939">
                    <a:hlinkClick xmlns:a="http://schemas.openxmlformats.org/drawingml/2006/main" r:id="rId96"/>
                  </wp:docPr>
                  <wp:cNvGraphicFramePr/>
                  <a:graphic xmlns:a="http://schemas.openxmlformats.org/drawingml/2006/main">
                    <a:graphicData uri="http://schemas.openxmlformats.org/drawingml/2006/picture">
                      <pic:pic xmlns:pic="http://schemas.openxmlformats.org/drawingml/2006/picture">
                        <pic:nvPicPr>
                          <pic:cNvPr id="158" name="图片 60" descr="2008523101617939"/>
                          <pic:cNvPicPr preferRelativeResize="0"/>
                        </pic:nvPicPr>
                        <pic:blipFill>
                          <a:blip r:embed="rId97"/>
                          <a:srcRect b="25249"/>
                          <a:stretch>
                            <a:fillRect/>
                          </a:stretch>
                        </pic:blipFill>
                        <pic:spPr>
                          <a:xfrm>
                            <a:off x="0" y="0"/>
                            <a:ext cx="935990" cy="864235"/>
                          </a:xfrm>
                          <a:prstGeom prst="rect">
                            <a:avLst/>
                          </a:prstGeom>
                          <a:noFill/>
                          <a:ln>
                            <a:noFill/>
                          </a:ln>
                        </pic:spPr>
                      </pic:pic>
                    </a:graphicData>
                  </a:graphic>
                </wp:anchor>
              </w:drawing>
            </w:r>
          </w:p>
        </w:tc>
        <w:tc>
          <w:tcPr>
            <w:tcW w:w="2020" w:type="dxa"/>
            <w:vAlign w:val="center"/>
          </w:tcPr>
          <w:p w14:paraId="74C71216">
            <w:pPr>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drawing>
                <wp:inline distT="0" distB="0" distL="114300" distR="114300">
                  <wp:extent cx="988060" cy="864235"/>
                  <wp:effectExtent l="0" t="0" r="2540" b="12065"/>
                  <wp:docPr id="159" name="图片 42" descr="点击看大图及详细资料">
                    <a:hlinkClick xmlns:a="http://schemas.openxmlformats.org/drawingml/2006/main" r:id="rId98"/>
                  </wp:docPr>
                  <wp:cNvGraphicFramePr/>
                  <a:graphic xmlns:a="http://schemas.openxmlformats.org/drawingml/2006/main">
                    <a:graphicData uri="http://schemas.openxmlformats.org/drawingml/2006/picture">
                      <pic:pic xmlns:pic="http://schemas.openxmlformats.org/drawingml/2006/picture">
                        <pic:nvPicPr>
                          <pic:cNvPr id="159" name="图片 42" descr="点击看大图及详细资料"/>
                          <pic:cNvPicPr preferRelativeResize="0"/>
                        </pic:nvPicPr>
                        <pic:blipFill>
                          <a:blip r:embed="rId99"/>
                          <a:stretch>
                            <a:fillRect/>
                          </a:stretch>
                        </pic:blipFill>
                        <pic:spPr>
                          <a:xfrm>
                            <a:off x="0" y="0"/>
                            <a:ext cx="988060" cy="864235"/>
                          </a:xfrm>
                          <a:prstGeom prst="rect">
                            <a:avLst/>
                          </a:prstGeom>
                          <a:noFill/>
                          <a:ln>
                            <a:noFill/>
                          </a:ln>
                        </pic:spPr>
                      </pic:pic>
                    </a:graphicData>
                  </a:graphic>
                </wp:inline>
              </w:drawing>
            </w:r>
          </w:p>
        </w:tc>
        <w:tc>
          <w:tcPr>
            <w:tcW w:w="1645" w:type="dxa"/>
            <w:vAlign w:val="center"/>
          </w:tcPr>
          <w:p w14:paraId="3A2ADB90">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噪声源</w:t>
            </w:r>
          </w:p>
        </w:tc>
        <w:tc>
          <w:tcPr>
            <w:tcW w:w="1863" w:type="dxa"/>
            <w:vAlign w:val="center"/>
          </w:tcPr>
          <w:p w14:paraId="735C3965">
            <w:pPr>
              <w:pStyle w:val="740"/>
              <w:keepNext w:val="0"/>
              <w:keepLines w:val="0"/>
              <w:pageBreakBefore w:val="0"/>
              <w:widowControl w:val="0"/>
              <w:kinsoku/>
              <w:wordWrap/>
              <w:overflowPunct/>
              <w:topLinePunct w:val="0"/>
              <w:autoSpaceDE/>
              <w:autoSpaceDN/>
              <w:bidi w:val="0"/>
              <w:adjustRightInd w:val="0"/>
              <w:snapToGrid w:val="0"/>
              <w:spacing w:line="240" w:lineRule="auto"/>
              <w:ind w:left="0" w:firstLine="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表示噪声向外环境排放</w:t>
            </w:r>
          </w:p>
        </w:tc>
      </w:tr>
    </w:tbl>
    <w:p w14:paraId="3E89F53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lang w:val="zh-CN"/>
        </w:rPr>
      </w:pPr>
      <w:r>
        <w:rPr>
          <w:rFonts w:hint="eastAsia"/>
          <w:color w:val="auto"/>
          <w:sz w:val="24"/>
          <w:highlight w:val="none"/>
          <w:lang w:val="zh-CN"/>
        </w:rPr>
        <w:t>项目排污口规范化管理具体要求见表</w:t>
      </w:r>
      <w:r>
        <w:rPr>
          <w:rFonts w:hint="eastAsia"/>
          <w:color w:val="auto"/>
          <w:sz w:val="24"/>
          <w:highlight w:val="none"/>
        </w:rPr>
        <w:t>9.3-2</w:t>
      </w:r>
      <w:r>
        <w:rPr>
          <w:rFonts w:hint="eastAsia"/>
          <w:color w:val="auto"/>
          <w:sz w:val="24"/>
          <w:highlight w:val="none"/>
          <w:lang w:val="zh-CN"/>
        </w:rPr>
        <w:t>。</w:t>
      </w:r>
    </w:p>
    <w:p w14:paraId="31F5779D">
      <w:pPr>
        <w:pStyle w:val="412"/>
        <w:keepNext w:val="0"/>
        <w:keepLines w:val="0"/>
        <w:pageBreakBefore w:val="0"/>
        <w:widowControl w:val="0"/>
        <w:tabs>
          <w:tab w:val="left" w:pos="0"/>
          <w:tab w:val="clear" w:pos="6840"/>
        </w:tabs>
        <w:kinsoku/>
        <w:wordWrap/>
        <w:overflowPunct/>
        <w:topLinePunct w:val="0"/>
        <w:autoSpaceDE w:val="0"/>
        <w:autoSpaceDN w:val="0"/>
        <w:bidi w:val="0"/>
        <w:adjustRightInd w:val="0"/>
        <w:snapToGrid w:val="0"/>
        <w:spacing w:line="240" w:lineRule="auto"/>
        <w:ind w:left="0" w:hanging="422"/>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表9.3-2 排污口规范化管理要求表</w:t>
      </w:r>
    </w:p>
    <w:tbl>
      <w:tblPr>
        <w:tblStyle w:val="77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2"/>
        <w:gridCol w:w="7661"/>
      </w:tblGrid>
      <w:tr w14:paraId="28CB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70" w:type="pct"/>
            <w:vAlign w:val="center"/>
          </w:tcPr>
          <w:p w14:paraId="75D342C4">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项目</w:t>
            </w:r>
          </w:p>
        </w:tc>
        <w:tc>
          <w:tcPr>
            <w:tcW w:w="4629" w:type="pct"/>
            <w:vAlign w:val="center"/>
          </w:tcPr>
          <w:p w14:paraId="04E7CA20">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主要要求内容</w:t>
            </w:r>
          </w:p>
        </w:tc>
      </w:tr>
      <w:tr w14:paraId="3668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70" w:type="pct"/>
            <w:vAlign w:val="center"/>
          </w:tcPr>
          <w:p w14:paraId="238E6878">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基本</w:t>
            </w:r>
          </w:p>
          <w:p w14:paraId="3FF5C31D">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原则</w:t>
            </w:r>
          </w:p>
        </w:tc>
        <w:tc>
          <w:tcPr>
            <w:tcW w:w="4629" w:type="pct"/>
            <w:vAlign w:val="center"/>
          </w:tcPr>
          <w:p w14:paraId="22F7E5A5">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1、凡向环境排放污染物的一切排污口必须进行规范化管理；</w:t>
            </w:r>
          </w:p>
          <w:p w14:paraId="23B06BAA">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2、将总量控制的污染物排污口及行业特征污染物排放口列为管理的重点；</w:t>
            </w:r>
          </w:p>
          <w:p w14:paraId="2519B898">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3、排污口设置应便于采样和计量监测，便于日常现场监督和检查；</w:t>
            </w:r>
          </w:p>
          <w:p w14:paraId="68056DB4">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4、如实向环保行政主管部门申报排污口位置，排污种类、数量、浓度与排放去向等</w:t>
            </w:r>
          </w:p>
        </w:tc>
      </w:tr>
      <w:tr w14:paraId="6ABB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70" w:type="pct"/>
            <w:vAlign w:val="center"/>
          </w:tcPr>
          <w:p w14:paraId="36B23213">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技术</w:t>
            </w:r>
          </w:p>
          <w:p w14:paraId="6AD31977">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要求</w:t>
            </w:r>
          </w:p>
        </w:tc>
        <w:tc>
          <w:tcPr>
            <w:tcW w:w="4629" w:type="pct"/>
            <w:vAlign w:val="center"/>
          </w:tcPr>
          <w:p w14:paraId="28E8079E">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1、排污口位置必须按照环监</w:t>
            </w:r>
            <w:r>
              <w:rPr>
                <w:rFonts w:hint="eastAsia" w:ascii="Times New Roman" w:hAnsi="Times New Roman" w:eastAsia="宋体" w:cs="Times New Roman"/>
                <w:snapToGrid w:val="0"/>
                <w:color w:val="auto"/>
                <w:kern w:val="0"/>
                <w:sz w:val="21"/>
                <w:szCs w:val="21"/>
                <w:highlight w:val="none"/>
                <w:lang w:eastAsia="zh-CN"/>
              </w:rPr>
              <w:t>〔1996〕470号</w:t>
            </w:r>
            <w:r>
              <w:rPr>
                <w:rFonts w:ascii="Times New Roman" w:hAnsi="Times New Roman" w:eastAsia="宋体" w:cs="Times New Roman"/>
                <w:snapToGrid w:val="0"/>
                <w:color w:val="auto"/>
                <w:kern w:val="0"/>
                <w:sz w:val="21"/>
                <w:szCs w:val="21"/>
                <w:highlight w:val="none"/>
              </w:rPr>
              <w:t>文要求合理确定，实行规范化管理；</w:t>
            </w:r>
          </w:p>
          <w:p w14:paraId="70700C96">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2、具体设置应符合《污染源监测技术规范》的规定与要求；</w:t>
            </w:r>
          </w:p>
        </w:tc>
      </w:tr>
      <w:tr w14:paraId="7F04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70" w:type="pct"/>
            <w:vAlign w:val="center"/>
          </w:tcPr>
          <w:p w14:paraId="1E09A38E">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立标</w:t>
            </w:r>
          </w:p>
          <w:p w14:paraId="07C32925">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管理</w:t>
            </w:r>
          </w:p>
        </w:tc>
        <w:tc>
          <w:tcPr>
            <w:tcW w:w="4629" w:type="pct"/>
            <w:vAlign w:val="center"/>
          </w:tcPr>
          <w:p w14:paraId="2257E5F6">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1、排污口必须按照国家</w:t>
            </w:r>
            <w:r>
              <w:rPr>
                <w:rFonts w:hint="eastAsia" w:ascii="Times New Roman" w:hAnsi="Times New Roman" w:eastAsia="宋体" w:cs="Times New Roman"/>
                <w:snapToGrid w:val="0"/>
                <w:color w:val="auto"/>
                <w:kern w:val="0"/>
                <w:sz w:val="21"/>
                <w:szCs w:val="21"/>
                <w:highlight w:val="none"/>
                <w:lang w:val="zh-CN"/>
              </w:rPr>
              <w:t>《环境保护图形标志</w:t>
            </w:r>
            <w:r>
              <w:rPr>
                <w:rFonts w:hint="eastAsia" w:ascii="Times New Roman" w:hAnsi="Times New Roman" w:eastAsia="宋体" w:cs="Times New Roman"/>
                <w:snapToGrid w:val="0"/>
                <w:color w:val="auto"/>
                <w:kern w:val="0"/>
                <w:sz w:val="21"/>
                <w:szCs w:val="21"/>
                <w:highlight w:val="none"/>
                <w:lang w:val="en-US" w:eastAsia="zh-CN"/>
              </w:rPr>
              <w:t>-</w:t>
            </w:r>
            <w:r>
              <w:rPr>
                <w:rFonts w:hint="eastAsia" w:ascii="Times New Roman" w:hAnsi="Times New Roman" w:eastAsia="宋体" w:cs="Times New Roman"/>
                <w:snapToGrid w:val="0"/>
                <w:color w:val="auto"/>
                <w:kern w:val="0"/>
                <w:sz w:val="21"/>
                <w:szCs w:val="21"/>
                <w:highlight w:val="none"/>
                <w:lang w:val="zh-CN"/>
              </w:rPr>
              <w:t>排放口（源）》</w:t>
            </w:r>
            <w:r>
              <w:rPr>
                <w:rFonts w:ascii="Times New Roman" w:hAnsi="Times New Roman" w:eastAsia="宋体" w:cs="Times New Roman"/>
                <w:snapToGrid w:val="0"/>
                <w:color w:val="auto"/>
                <w:kern w:val="0"/>
                <w:sz w:val="21"/>
                <w:szCs w:val="21"/>
                <w:highlight w:val="none"/>
              </w:rPr>
              <w:t>相关规定，设置环保图形标志牌；</w:t>
            </w:r>
          </w:p>
          <w:p w14:paraId="36A6BA1F">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2、标志牌设置位置应距排污口及固体废物贮存</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处置</w:t>
            </w:r>
            <w:r>
              <w:rPr>
                <w:rFonts w:hint="eastAsia" w:ascii="Times New Roman" w:hAnsi="Times New Roman" w:eastAsia="宋体" w:cs="Times New Roman"/>
                <w:snapToGrid w:val="0"/>
                <w:color w:val="auto"/>
                <w:kern w:val="0"/>
                <w:sz w:val="21"/>
                <w:szCs w:val="21"/>
                <w:highlight w:val="none"/>
              </w:rPr>
              <w:t>）</w:t>
            </w:r>
            <w:r>
              <w:rPr>
                <w:rFonts w:ascii="Times New Roman" w:hAnsi="Times New Roman" w:eastAsia="宋体" w:cs="Times New Roman"/>
                <w:snapToGrid w:val="0"/>
                <w:color w:val="auto"/>
                <w:kern w:val="0"/>
                <w:sz w:val="21"/>
                <w:szCs w:val="21"/>
                <w:highlight w:val="none"/>
              </w:rPr>
              <w:t>场或采样点较近且醒目处，设置高度一般为标志牌上缘距离地面约2m；</w:t>
            </w:r>
          </w:p>
          <w:p w14:paraId="49764CAD">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3、重点排污单位排污口设立式标志牌，一般单位排污口可设立式或平面固定式提示性环保图形标志牌；</w:t>
            </w:r>
          </w:p>
          <w:p w14:paraId="1C5D20DD">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4、对危险物贮存、处置场所，必须设置警告性环境保护图形标志牌。</w:t>
            </w:r>
          </w:p>
        </w:tc>
      </w:tr>
      <w:tr w14:paraId="4A77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70" w:type="pct"/>
            <w:vAlign w:val="center"/>
          </w:tcPr>
          <w:p w14:paraId="446E1AE4">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建档</w:t>
            </w:r>
          </w:p>
          <w:p w14:paraId="5D2763EE">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管理</w:t>
            </w:r>
          </w:p>
        </w:tc>
        <w:tc>
          <w:tcPr>
            <w:tcW w:w="4629" w:type="pct"/>
            <w:vAlign w:val="center"/>
          </w:tcPr>
          <w:p w14:paraId="3B42D21D">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1、使用《中华人民共和国规范化排污口标志登记证》，并按要求填写有关内容；</w:t>
            </w:r>
          </w:p>
          <w:p w14:paraId="43D356D8">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2、严格按照环境管理监控计划及排污口管理内容要求，在工程建成后将主要污染物种类、数量、排放浓度与去向，立标及环保设施运行情况记录在案，并及时上报；</w:t>
            </w:r>
          </w:p>
          <w:p w14:paraId="28EDABCA">
            <w:pPr>
              <w:pStyle w:val="740"/>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3、选派有专业技能环保人员对排污口进行管理，做到责任明确、奖罚分明</w:t>
            </w:r>
          </w:p>
        </w:tc>
      </w:tr>
    </w:tbl>
    <w:p w14:paraId="5F6A2C54">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lang w:val="zh-CN"/>
        </w:rPr>
      </w:pPr>
      <w:r>
        <w:rPr>
          <w:rFonts w:hint="eastAsia"/>
          <w:color w:val="auto"/>
          <w:sz w:val="24"/>
          <w:highlight w:val="none"/>
        </w:rPr>
        <w:t>1）</w:t>
      </w:r>
      <w:r>
        <w:rPr>
          <w:rFonts w:hint="eastAsia"/>
          <w:color w:val="auto"/>
          <w:sz w:val="24"/>
          <w:highlight w:val="none"/>
          <w:lang w:val="zh-CN"/>
        </w:rPr>
        <w:t>废气排放口</w:t>
      </w:r>
    </w:p>
    <w:p w14:paraId="538B99C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rFonts w:hint="eastAsia"/>
          <w:color w:val="auto"/>
          <w:sz w:val="24"/>
          <w:highlight w:val="none"/>
          <w:lang w:val="zh-CN"/>
        </w:rPr>
      </w:pPr>
      <w:r>
        <w:rPr>
          <w:rFonts w:hint="eastAsia"/>
          <w:color w:val="auto"/>
          <w:sz w:val="24"/>
          <w:highlight w:val="none"/>
          <w:lang w:val="zh-CN"/>
        </w:rPr>
        <w:t>根据《排污单位污染物排放口监测点位设置技术规范》（HJ 1405-2024）规定，应在废气排放口设置科学、规范、便于采样监测的监测点位，避开对测试人员操作有危险的场所。在流场均匀稳定的监测断面规范开设监测孔，设置工作平台、梯架及相应安全防护设施等。监测断面包含手工监测断面和自动监测断面，应设置在规则的圆形、矩形排气筒/烟道上的竖直 段或水平段，并避开拉筋等影响监测的内部结构件。监测断面宜设置在排气筒/烟道的负压段，相关标准有特殊要求的除外。自动监测断面和手工监测断面设置位置应满足，其按照气流方向的上游距离弯头、阀门、变径管≥4倍烟道直径，其下游距离上述部件≥2倍烟道直径。排气筒出口处视为变径。对于矩形排气筒/烟道，以当量直径计。</w:t>
      </w:r>
    </w:p>
    <w:p w14:paraId="3DDCF9B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rFonts w:hint="eastAsia"/>
          <w:color w:val="auto"/>
          <w:sz w:val="24"/>
          <w:highlight w:val="none"/>
          <w:lang w:val="zh-CN"/>
        </w:rPr>
      </w:pPr>
      <w:r>
        <w:rPr>
          <w:rFonts w:hint="eastAsia"/>
          <w:color w:val="auto"/>
          <w:sz w:val="24"/>
          <w:highlight w:val="none"/>
          <w:lang w:val="zh-CN"/>
        </w:rPr>
        <w:t>在手工监测断面处设置手工监测孔，其内径应满足相关污染物和排气参数的监测需要，一般应≥80mm。手工监测孔应符合排气筒/烟道的密封要求，封闭形式宜优先参照 HG/T 21533、HG/T 21534、HG/T 21535设计为快开方式。采用盖板、管堵或管帽等封闭的，应在监测时便于开启。对正压下输送高温或有毒有害气体的排气筒/烟道，应安装带有闸板阀的密封防喷监测孔；其他形式的手工监测孔外沿距离排气筒/烟道或保温层外壁距离应≤50mm。</w:t>
      </w:r>
    </w:p>
    <w:p w14:paraId="0785EFC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rFonts w:hint="eastAsia" w:ascii="Times New Roman" w:hAnsi="Times New Roman" w:eastAsia="宋体" w:cs="Times New Roman"/>
          <w:color w:val="auto"/>
          <w:sz w:val="24"/>
          <w:highlight w:val="none"/>
          <w:lang w:val="zh-CN"/>
        </w:rPr>
      </w:pPr>
      <w:r>
        <w:rPr>
          <w:rFonts w:hint="eastAsia"/>
          <w:color w:val="auto"/>
          <w:sz w:val="24"/>
          <w:highlight w:val="none"/>
          <w:lang w:val="zh-CN"/>
        </w:rPr>
        <w:t>排气筒或监测断面应设置便于采样、监测的采样口和采样监测平台。</w:t>
      </w:r>
      <w:r>
        <w:rPr>
          <w:rFonts w:hint="eastAsia" w:ascii="Times New Roman" w:hAnsi="Times New Roman" w:eastAsia="宋体" w:cs="Times New Roman"/>
          <w:color w:val="auto"/>
          <w:sz w:val="24"/>
          <w:highlight w:val="none"/>
          <w:lang w:val="zh-CN"/>
        </w:rPr>
        <w:t>监测断面距离坠落高度基准面2m以上时，应配套建设永久、安全、便于采样和测试的工作平台。除在水平烟道顶部开设监测孔外，工作平台宜设置在监测孔的正下方1.2m~1.3m处。工作平台长度应≥2m，宽度应保证人员及采样探杆操作的空间。对于监测断面直径（圆形）或者在监测孔方向的长度（矩形）&gt;1m的，工作平台宽度应≥2m；≤1m的，工作平台宽度应≥1.5m。单层工作平台及通道上方竖直方向净高应≥2m，需设置多层工作平台的，每层净高应≥1.9m。工作平台宜采用厚度≥4mm的花纹钢板或经防滑处理的钢板铺装，相邻钢板不应搭接，上表面的高度差应≤4mm，载荷满足GB 4053.3要求。工作平台与竖直烟道/排气筒的间隙距离≤10mm。工作平台及通道的制造安装应符合GB 4053.3相关要求。</w:t>
      </w:r>
    </w:p>
    <w:p w14:paraId="6E1D727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color w:val="auto"/>
          <w:sz w:val="24"/>
          <w:highlight w:val="none"/>
          <w:lang w:val="zh-CN"/>
        </w:rPr>
      </w:pPr>
      <w:r>
        <w:rPr>
          <w:rFonts w:hint="eastAsia"/>
          <w:color w:val="auto"/>
          <w:sz w:val="24"/>
          <w:highlight w:val="none"/>
        </w:rPr>
        <w:t>2）</w:t>
      </w:r>
      <w:r>
        <w:rPr>
          <w:rFonts w:hint="eastAsia"/>
          <w:color w:val="auto"/>
          <w:sz w:val="24"/>
          <w:highlight w:val="none"/>
          <w:lang w:val="zh-CN"/>
        </w:rPr>
        <w:t>固定噪声源</w:t>
      </w:r>
    </w:p>
    <w:p w14:paraId="3E37329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rPr>
          <w:rFonts w:hint="eastAsia"/>
          <w:color w:val="auto"/>
          <w:sz w:val="24"/>
          <w:highlight w:val="none"/>
          <w:lang w:val="zh-CN"/>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sz w:val="24"/>
          <w:highlight w:val="none"/>
          <w:lang w:val="zh-CN"/>
        </w:rPr>
        <w:t>对固定噪声污染源对边界影响最大处，设置环境噪声监测点，并在该处附近醒目处设置环境保护图形标志牌。</w:t>
      </w:r>
    </w:p>
    <w:p w14:paraId="5F5775B9">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default" w:ascii="Times New Roman" w:hAnsi="Times New Roman" w:cs="Times New Roman"/>
          <w:snapToGrid w:val="0"/>
          <w:color w:val="auto"/>
          <w:spacing w:val="0"/>
          <w:kern w:val="0"/>
          <w:szCs w:val="24"/>
          <w:highlight w:val="none"/>
          <w:lang w:val="en-US" w:eastAsia="zh-CN"/>
        </w:rPr>
      </w:pPr>
      <w:bookmarkStart w:id="229" w:name="_Toc5910"/>
      <w:r>
        <w:rPr>
          <w:rFonts w:hint="eastAsia" w:ascii="Times New Roman" w:hAnsi="Times New Roman" w:cs="Times New Roman"/>
          <w:snapToGrid w:val="0"/>
          <w:color w:val="auto"/>
          <w:spacing w:val="0"/>
          <w:kern w:val="0"/>
          <w:szCs w:val="24"/>
          <w:highlight w:val="none"/>
          <w:lang w:val="en-US" w:eastAsia="zh-CN"/>
        </w:rPr>
        <w:t>9.3.2污染物排放</w:t>
      </w:r>
      <w:bookmarkEnd w:id="229"/>
      <w:r>
        <w:rPr>
          <w:rFonts w:hint="eastAsia" w:ascii="Times New Roman" w:hAnsi="Times New Roman" w:cs="Times New Roman"/>
          <w:snapToGrid w:val="0"/>
          <w:color w:val="auto"/>
          <w:spacing w:val="0"/>
          <w:kern w:val="0"/>
          <w:szCs w:val="24"/>
          <w:highlight w:val="none"/>
          <w:lang w:val="en-US" w:eastAsia="zh-CN"/>
        </w:rPr>
        <w:t>信息</w:t>
      </w:r>
    </w:p>
    <w:p w14:paraId="2F05D300">
      <w:pPr>
        <w:ind w:firstLine="480"/>
        <w:rPr>
          <w:rFonts w:hint="eastAsia"/>
          <w:color w:val="auto"/>
          <w:highlight w:val="none"/>
        </w:rPr>
      </w:pPr>
      <w:r>
        <w:rPr>
          <w:rFonts w:hint="eastAsia"/>
          <w:color w:val="auto"/>
          <w:highlight w:val="none"/>
        </w:rPr>
        <w:t>本项目污染物排放清单见表</w:t>
      </w:r>
      <w:r>
        <w:rPr>
          <w:rFonts w:hint="eastAsia" w:ascii="Times New Roman"/>
          <w:color w:val="auto"/>
          <w:highlight w:val="none"/>
          <w:lang w:val="en-US" w:eastAsia="zh-CN"/>
        </w:rPr>
        <w:t>9.3-3</w:t>
      </w:r>
      <w:r>
        <w:rPr>
          <w:rFonts w:hint="eastAsia"/>
          <w:color w:val="auto"/>
          <w:highlight w:val="none"/>
        </w:rPr>
        <w:t>。</w:t>
      </w:r>
    </w:p>
    <w:p w14:paraId="153E37AF">
      <w:pPr>
        <w:pStyle w:val="412"/>
        <w:tabs>
          <w:tab w:val="left" w:pos="0"/>
          <w:tab w:val="clear" w:pos="6840"/>
        </w:tabs>
        <w:spacing w:before="120" w:beforeLines="50" w:line="240" w:lineRule="auto"/>
        <w:ind w:left="422" w:hanging="422"/>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lang w:val="en-US" w:eastAsia="zh-CN"/>
        </w:rPr>
        <w:t>9.3-3</w:t>
      </w:r>
      <w:r>
        <w:rPr>
          <w:rFonts w:hint="eastAsia" w:ascii="Times New Roman" w:hAnsi="Times New Roman" w:cs="Times New Roman"/>
          <w:color w:val="auto"/>
          <w:sz w:val="21"/>
          <w:szCs w:val="21"/>
          <w:highlight w:val="none"/>
        </w:rPr>
        <w:t xml:space="preserve"> 本项目工程污染物排放清单</w:t>
      </w:r>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578"/>
        <w:gridCol w:w="1037"/>
        <w:gridCol w:w="528"/>
        <w:gridCol w:w="1223"/>
        <w:gridCol w:w="956"/>
        <w:gridCol w:w="1195"/>
        <w:gridCol w:w="1177"/>
        <w:gridCol w:w="846"/>
        <w:gridCol w:w="1475"/>
        <w:gridCol w:w="4658"/>
      </w:tblGrid>
      <w:tr w14:paraId="0012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noWrap w:val="0"/>
            <w:vAlign w:val="center"/>
          </w:tcPr>
          <w:p w14:paraId="14C55DC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类别</w:t>
            </w:r>
          </w:p>
        </w:tc>
        <w:tc>
          <w:tcPr>
            <w:tcW w:w="204" w:type="pct"/>
            <w:noWrap w:val="0"/>
            <w:vAlign w:val="center"/>
          </w:tcPr>
          <w:p w14:paraId="71EF842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污染源</w:t>
            </w:r>
          </w:p>
        </w:tc>
        <w:tc>
          <w:tcPr>
            <w:tcW w:w="365" w:type="pct"/>
            <w:noWrap w:val="0"/>
            <w:vAlign w:val="center"/>
          </w:tcPr>
          <w:p w14:paraId="2AA00A4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污染物名称</w:t>
            </w:r>
          </w:p>
        </w:tc>
        <w:tc>
          <w:tcPr>
            <w:tcW w:w="186" w:type="pct"/>
            <w:noWrap w:val="0"/>
            <w:vAlign w:val="center"/>
          </w:tcPr>
          <w:p w14:paraId="4567D5B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排放口类型</w:t>
            </w:r>
          </w:p>
        </w:tc>
        <w:tc>
          <w:tcPr>
            <w:tcW w:w="431" w:type="pct"/>
            <w:noWrap w:val="0"/>
            <w:vAlign w:val="center"/>
          </w:tcPr>
          <w:p w14:paraId="68294583">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环保设施</w:t>
            </w:r>
          </w:p>
        </w:tc>
        <w:tc>
          <w:tcPr>
            <w:tcW w:w="336" w:type="pct"/>
            <w:noWrap w:val="0"/>
            <w:vAlign w:val="center"/>
          </w:tcPr>
          <w:p w14:paraId="4AE1127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监控因子</w:t>
            </w:r>
          </w:p>
        </w:tc>
        <w:tc>
          <w:tcPr>
            <w:tcW w:w="421" w:type="pct"/>
            <w:noWrap w:val="0"/>
            <w:vAlign w:val="center"/>
          </w:tcPr>
          <w:p w14:paraId="16018C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排放浓度</w:t>
            </w:r>
          </w:p>
          <w:p w14:paraId="5929E3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w:t>
            </w:r>
            <w:r>
              <w:rPr>
                <w:rFonts w:ascii="Times New Roman" w:hAnsi="Times New Roman" w:eastAsia="宋体" w:cs="Times New Roman"/>
                <w:color w:val="auto"/>
                <w:kern w:val="0"/>
                <w:sz w:val="21"/>
                <w:szCs w:val="21"/>
                <w:highlight w:val="none"/>
                <w:lang w:val="en-US" w:eastAsia="zh-CN" w:bidi="ar-SA"/>
              </w:rPr>
              <w:t>mg/m</w:t>
            </w:r>
            <w:r>
              <w:rPr>
                <w:rFonts w:hint="eastAsia" w:ascii="Times New Roman" w:hAnsi="Times New Roman" w:eastAsia="宋体" w:cs="Times New Roman"/>
                <w:color w:val="auto"/>
                <w:kern w:val="0"/>
                <w:sz w:val="21"/>
                <w:szCs w:val="21"/>
                <w:highlight w:val="none"/>
                <w:vertAlign w:val="superscript"/>
                <w:lang w:val="en-US" w:eastAsia="zh-CN" w:bidi="ar-SA"/>
              </w:rPr>
              <w:t>3</w:t>
            </w:r>
            <w:r>
              <w:rPr>
                <w:rFonts w:ascii="Times New Roman" w:hAnsi="Times New Roman" w:eastAsia="宋体" w:cs="Times New Roman"/>
                <w:color w:val="auto"/>
                <w:kern w:val="0"/>
                <w:sz w:val="21"/>
                <w:szCs w:val="21"/>
                <w:highlight w:val="none"/>
                <w:lang w:val="en-US" w:eastAsia="zh-CN" w:bidi="ar-SA"/>
              </w:rPr>
              <w:t>）</w:t>
            </w:r>
          </w:p>
        </w:tc>
        <w:tc>
          <w:tcPr>
            <w:tcW w:w="415" w:type="pct"/>
            <w:noWrap w:val="0"/>
            <w:vAlign w:val="center"/>
          </w:tcPr>
          <w:p w14:paraId="55511BB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排放速率（kg/h）</w:t>
            </w:r>
          </w:p>
        </w:tc>
        <w:tc>
          <w:tcPr>
            <w:tcW w:w="298" w:type="pct"/>
            <w:noWrap w:val="0"/>
            <w:vAlign w:val="center"/>
          </w:tcPr>
          <w:p w14:paraId="73DCD0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排放量</w:t>
            </w:r>
          </w:p>
          <w:p w14:paraId="6481E8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kern w:val="0"/>
                <w:sz w:val="21"/>
                <w:szCs w:val="21"/>
                <w:highlight w:val="none"/>
                <w:lang w:val="en-US" w:eastAsia="zh-CN" w:bidi="ar-SA"/>
              </w:rPr>
              <w:t>（t/a）</w:t>
            </w:r>
          </w:p>
        </w:tc>
        <w:tc>
          <w:tcPr>
            <w:tcW w:w="520" w:type="pct"/>
            <w:noWrap w:val="0"/>
            <w:vAlign w:val="center"/>
          </w:tcPr>
          <w:p w14:paraId="16C65D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kern w:val="0"/>
                <w:sz w:val="21"/>
                <w:szCs w:val="21"/>
                <w:highlight w:val="none"/>
                <w:lang w:val="en-US" w:eastAsia="zh-CN" w:bidi="ar-SA"/>
              </w:rPr>
              <w:t>排放限值</w:t>
            </w:r>
            <w:r>
              <w:rPr>
                <w:rFonts w:hint="eastAsia" w:ascii="Times New Roman" w:hAnsi="Times New Roman" w:eastAsia="宋体" w:cs="Times New Roman"/>
                <w:color w:val="auto"/>
                <w:kern w:val="0"/>
                <w:sz w:val="21"/>
                <w:szCs w:val="21"/>
                <w:highlight w:val="none"/>
                <w:lang w:val="en-US" w:eastAsia="zh-CN" w:bidi="ar-SA"/>
              </w:rPr>
              <w:t>（</w:t>
            </w:r>
            <w:r>
              <w:rPr>
                <w:rFonts w:ascii="Times New Roman" w:hAnsi="Times New Roman" w:eastAsia="宋体" w:cs="Times New Roman"/>
                <w:color w:val="auto"/>
                <w:kern w:val="0"/>
                <w:sz w:val="21"/>
                <w:szCs w:val="21"/>
                <w:highlight w:val="none"/>
                <w:lang w:val="en-US" w:eastAsia="zh-CN" w:bidi="ar-SA"/>
              </w:rPr>
              <w:t>mg/m</w:t>
            </w:r>
            <w:r>
              <w:rPr>
                <w:rFonts w:hint="eastAsia" w:ascii="Times New Roman" w:hAnsi="Times New Roman" w:eastAsia="宋体" w:cs="Times New Roman"/>
                <w:color w:val="auto"/>
                <w:kern w:val="0"/>
                <w:sz w:val="21"/>
                <w:szCs w:val="21"/>
                <w:highlight w:val="none"/>
                <w:vertAlign w:val="superscript"/>
                <w:lang w:val="en-US" w:eastAsia="zh-CN" w:bidi="ar-SA"/>
              </w:rPr>
              <w:t>3</w:t>
            </w:r>
            <w:r>
              <w:rPr>
                <w:rFonts w:ascii="Times New Roman" w:hAnsi="Times New Roman" w:eastAsia="宋体" w:cs="Times New Roman"/>
                <w:color w:val="auto"/>
                <w:kern w:val="0"/>
                <w:sz w:val="21"/>
                <w:szCs w:val="21"/>
                <w:highlight w:val="none"/>
                <w:lang w:val="en-US" w:eastAsia="zh-CN" w:bidi="ar-SA"/>
              </w:rPr>
              <w:t>）</w:t>
            </w:r>
          </w:p>
        </w:tc>
        <w:tc>
          <w:tcPr>
            <w:tcW w:w="1642" w:type="pct"/>
            <w:noWrap w:val="0"/>
            <w:vAlign w:val="center"/>
          </w:tcPr>
          <w:p w14:paraId="6D41BEB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验收标准</w:t>
            </w:r>
          </w:p>
        </w:tc>
      </w:tr>
      <w:tr w14:paraId="2ACC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restart"/>
            <w:noWrap w:val="0"/>
            <w:vAlign w:val="center"/>
          </w:tcPr>
          <w:p w14:paraId="6B2B4164">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废气</w:t>
            </w:r>
          </w:p>
        </w:tc>
        <w:tc>
          <w:tcPr>
            <w:tcW w:w="204" w:type="pct"/>
            <w:vMerge w:val="restart"/>
            <w:noWrap w:val="0"/>
            <w:vAlign w:val="center"/>
          </w:tcPr>
          <w:p w14:paraId="77A9F9D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有组织排放</w:t>
            </w:r>
          </w:p>
        </w:tc>
        <w:tc>
          <w:tcPr>
            <w:tcW w:w="365" w:type="pct"/>
            <w:vMerge w:val="restart"/>
            <w:noWrap w:val="0"/>
            <w:vAlign w:val="center"/>
          </w:tcPr>
          <w:p w14:paraId="1F28D51E">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发酵废气</w:t>
            </w:r>
          </w:p>
        </w:tc>
        <w:tc>
          <w:tcPr>
            <w:tcW w:w="186" w:type="pct"/>
            <w:vMerge w:val="restart"/>
            <w:noWrap w:val="0"/>
            <w:vAlign w:val="center"/>
          </w:tcPr>
          <w:p w14:paraId="43899B33">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一般排放口</w:t>
            </w:r>
          </w:p>
        </w:tc>
        <w:tc>
          <w:tcPr>
            <w:tcW w:w="431" w:type="pct"/>
            <w:vMerge w:val="restart"/>
            <w:noWrap w:val="0"/>
            <w:vAlign w:val="center"/>
          </w:tcPr>
          <w:p w14:paraId="1D7786C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lang w:eastAsia="zh-CN"/>
              </w:rPr>
              <w:t>旋风分离器</w:t>
            </w:r>
            <w:r>
              <w:rPr>
                <w:rFonts w:hint="eastAsia"/>
                <w:snapToGrid w:val="0"/>
                <w:color w:val="auto"/>
                <w:kern w:val="0"/>
                <w:szCs w:val="21"/>
                <w:highlight w:val="none"/>
              </w:rPr>
              <w:t>+活性炭吸附</w:t>
            </w:r>
            <w:r>
              <w:rPr>
                <w:rFonts w:hint="eastAsia"/>
                <w:snapToGrid w:val="0"/>
                <w:color w:val="auto"/>
                <w:kern w:val="0"/>
                <w:szCs w:val="21"/>
                <w:highlight w:val="none"/>
                <w:lang w:val="en-US" w:eastAsia="zh-CN"/>
              </w:rPr>
              <w:t>+39m排气筒</w:t>
            </w:r>
          </w:p>
        </w:tc>
        <w:tc>
          <w:tcPr>
            <w:tcW w:w="336" w:type="pct"/>
            <w:noWrap w:val="0"/>
            <w:vAlign w:val="center"/>
          </w:tcPr>
          <w:p w14:paraId="27457067">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颗粒物</w:t>
            </w:r>
          </w:p>
        </w:tc>
        <w:tc>
          <w:tcPr>
            <w:tcW w:w="421" w:type="pct"/>
            <w:noWrap w:val="0"/>
            <w:vAlign w:val="center"/>
          </w:tcPr>
          <w:p w14:paraId="14400DEF">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10</w:t>
            </w:r>
          </w:p>
        </w:tc>
        <w:tc>
          <w:tcPr>
            <w:tcW w:w="415" w:type="pct"/>
            <w:noWrap w:val="0"/>
            <w:vAlign w:val="center"/>
          </w:tcPr>
          <w:p w14:paraId="665CFDF5">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.53</w:t>
            </w:r>
          </w:p>
        </w:tc>
        <w:tc>
          <w:tcPr>
            <w:tcW w:w="298" w:type="pct"/>
            <w:noWrap w:val="0"/>
            <w:vAlign w:val="center"/>
          </w:tcPr>
          <w:p w14:paraId="3FF5BBB7">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8.48</w:t>
            </w:r>
          </w:p>
        </w:tc>
        <w:tc>
          <w:tcPr>
            <w:tcW w:w="520" w:type="pct"/>
            <w:shd w:val="clear" w:color="auto" w:fill="auto"/>
            <w:noWrap w:val="0"/>
            <w:vAlign w:val="center"/>
          </w:tcPr>
          <w:p w14:paraId="1AECF8E0">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lang w:val="en-US" w:eastAsia="zh-CN"/>
              </w:rPr>
              <w:t>20</w:t>
            </w:r>
          </w:p>
        </w:tc>
        <w:tc>
          <w:tcPr>
            <w:tcW w:w="1642" w:type="pct"/>
            <w:vMerge w:val="restart"/>
            <w:noWrap w:val="0"/>
            <w:vAlign w:val="center"/>
          </w:tcPr>
          <w:p w14:paraId="5D15CF5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颗粒物、NMHC排放浓度</w:t>
            </w:r>
            <w:r>
              <w:rPr>
                <w:rFonts w:hint="eastAsia"/>
                <w:snapToGrid w:val="0"/>
                <w:color w:val="auto"/>
                <w:kern w:val="0"/>
                <w:szCs w:val="21"/>
                <w:highlight w:val="none"/>
                <w:lang w:val="en-US" w:eastAsia="zh-CN"/>
              </w:rPr>
              <w:t>执行</w:t>
            </w:r>
            <w:r>
              <w:rPr>
                <w:rFonts w:hint="eastAsia"/>
                <w:snapToGrid w:val="0"/>
                <w:color w:val="auto"/>
                <w:kern w:val="0"/>
                <w:szCs w:val="21"/>
                <w:highlight w:val="none"/>
              </w:rPr>
              <w:t>《制药工业大气污染物排放标准》（GB37823-2019）表2大气污染物特别排放限值；N</w:t>
            </w:r>
            <w:r>
              <w:rPr>
                <w:snapToGrid w:val="0"/>
                <w:color w:val="auto"/>
                <w:kern w:val="0"/>
                <w:szCs w:val="21"/>
                <w:highlight w:val="none"/>
              </w:rPr>
              <w:t>H</w:t>
            </w:r>
            <w:r>
              <w:rPr>
                <w:snapToGrid w:val="0"/>
                <w:color w:val="auto"/>
                <w:kern w:val="0"/>
                <w:szCs w:val="21"/>
                <w:highlight w:val="none"/>
                <w:vertAlign w:val="subscript"/>
              </w:rPr>
              <w:t>3</w:t>
            </w: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r>
              <w:rPr>
                <w:rFonts w:hint="eastAsia"/>
                <w:snapToGrid w:val="0"/>
                <w:color w:val="auto"/>
                <w:kern w:val="0"/>
                <w:szCs w:val="21"/>
                <w:highlight w:val="none"/>
              </w:rPr>
              <w:t>、臭气浓度排放浓度</w:t>
            </w:r>
            <w:r>
              <w:rPr>
                <w:rFonts w:hint="eastAsia"/>
                <w:snapToGrid w:val="0"/>
                <w:color w:val="auto"/>
                <w:kern w:val="0"/>
                <w:szCs w:val="21"/>
                <w:highlight w:val="none"/>
                <w:lang w:val="en-US" w:eastAsia="zh-CN"/>
              </w:rPr>
              <w:t>执行</w:t>
            </w:r>
            <w:r>
              <w:rPr>
                <w:rFonts w:hint="eastAsia"/>
                <w:snapToGrid w:val="0"/>
                <w:color w:val="auto"/>
                <w:kern w:val="0"/>
                <w:szCs w:val="21"/>
                <w:highlight w:val="none"/>
              </w:rPr>
              <w:t>《恶臭污染物排放标准》（‌GB14554-93）表2恶臭污染物排放标准值</w:t>
            </w:r>
          </w:p>
        </w:tc>
      </w:tr>
      <w:tr w14:paraId="5904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07D5781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77198F7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1460EFF1">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19021D82">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0DB284E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noWrap w:val="0"/>
            <w:vAlign w:val="center"/>
          </w:tcPr>
          <w:p w14:paraId="6CD3FB77">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N</w:t>
            </w:r>
            <w:r>
              <w:rPr>
                <w:snapToGrid w:val="0"/>
                <w:color w:val="auto"/>
                <w:kern w:val="0"/>
                <w:szCs w:val="21"/>
                <w:highlight w:val="none"/>
              </w:rPr>
              <w:t>MHC</w:t>
            </w:r>
          </w:p>
        </w:tc>
        <w:tc>
          <w:tcPr>
            <w:tcW w:w="421" w:type="pct"/>
            <w:noWrap w:val="0"/>
            <w:vAlign w:val="center"/>
          </w:tcPr>
          <w:p w14:paraId="4A9A8F2F">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2</w:t>
            </w:r>
          </w:p>
        </w:tc>
        <w:tc>
          <w:tcPr>
            <w:tcW w:w="415" w:type="pct"/>
            <w:noWrap w:val="0"/>
            <w:vAlign w:val="center"/>
          </w:tcPr>
          <w:p w14:paraId="7A70A84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.11</w:t>
            </w:r>
          </w:p>
        </w:tc>
        <w:tc>
          <w:tcPr>
            <w:tcW w:w="298" w:type="pct"/>
            <w:noWrap w:val="0"/>
            <w:vAlign w:val="center"/>
          </w:tcPr>
          <w:p w14:paraId="05276880">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1.76</w:t>
            </w:r>
          </w:p>
        </w:tc>
        <w:tc>
          <w:tcPr>
            <w:tcW w:w="520" w:type="pct"/>
            <w:shd w:val="clear" w:color="auto" w:fill="auto"/>
            <w:noWrap w:val="0"/>
            <w:vAlign w:val="center"/>
          </w:tcPr>
          <w:p w14:paraId="5F38773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60</w:t>
            </w:r>
          </w:p>
        </w:tc>
        <w:tc>
          <w:tcPr>
            <w:tcW w:w="1642" w:type="pct"/>
            <w:vMerge w:val="continue"/>
            <w:noWrap w:val="0"/>
            <w:vAlign w:val="center"/>
          </w:tcPr>
          <w:p w14:paraId="38A95FD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40D4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2FD6941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1910FCB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35E996A3">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4ABE38EC">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3DBA4E1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noWrap w:val="0"/>
            <w:vAlign w:val="center"/>
          </w:tcPr>
          <w:p w14:paraId="571D6744">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p>
        </w:tc>
        <w:tc>
          <w:tcPr>
            <w:tcW w:w="421" w:type="pct"/>
            <w:noWrap w:val="0"/>
            <w:vAlign w:val="center"/>
          </w:tcPr>
          <w:p w14:paraId="1CCCC378">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5</w:t>
            </w:r>
          </w:p>
        </w:tc>
        <w:tc>
          <w:tcPr>
            <w:tcW w:w="415" w:type="pct"/>
            <w:noWrap w:val="0"/>
            <w:vAlign w:val="center"/>
          </w:tcPr>
          <w:p w14:paraId="05540861">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.26</w:t>
            </w:r>
          </w:p>
        </w:tc>
        <w:tc>
          <w:tcPr>
            <w:tcW w:w="298" w:type="pct"/>
            <w:noWrap w:val="0"/>
            <w:vAlign w:val="center"/>
          </w:tcPr>
          <w:p w14:paraId="463FFDF5">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4.16</w:t>
            </w:r>
          </w:p>
        </w:tc>
        <w:tc>
          <w:tcPr>
            <w:tcW w:w="520" w:type="pct"/>
            <w:shd w:val="clear" w:color="auto" w:fill="auto"/>
            <w:noWrap w:val="0"/>
            <w:vAlign w:val="center"/>
          </w:tcPr>
          <w:p w14:paraId="26C7775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14</w:t>
            </w:r>
            <w:r>
              <w:rPr>
                <w:snapToGrid w:val="0"/>
                <w:color w:val="auto"/>
                <w:kern w:val="0"/>
                <w:szCs w:val="21"/>
                <w:highlight w:val="none"/>
              </w:rPr>
              <w:t>kg/h</w:t>
            </w:r>
          </w:p>
        </w:tc>
        <w:tc>
          <w:tcPr>
            <w:tcW w:w="1642" w:type="pct"/>
            <w:vMerge w:val="continue"/>
            <w:noWrap w:val="0"/>
            <w:vAlign w:val="center"/>
          </w:tcPr>
          <w:p w14:paraId="045D264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27D1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61AA713E">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508249B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00D05002">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4981F60E">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68ABBA7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noWrap w:val="0"/>
            <w:vAlign w:val="center"/>
          </w:tcPr>
          <w:p w14:paraId="0EE8BB34">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p>
        </w:tc>
        <w:tc>
          <w:tcPr>
            <w:tcW w:w="421" w:type="pct"/>
            <w:noWrap w:val="0"/>
            <w:vAlign w:val="center"/>
          </w:tcPr>
          <w:p w14:paraId="1489954D">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1</w:t>
            </w:r>
          </w:p>
        </w:tc>
        <w:tc>
          <w:tcPr>
            <w:tcW w:w="415" w:type="pct"/>
            <w:noWrap w:val="0"/>
            <w:vAlign w:val="center"/>
          </w:tcPr>
          <w:p w14:paraId="7EEA410B">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.05</w:t>
            </w:r>
          </w:p>
        </w:tc>
        <w:tc>
          <w:tcPr>
            <w:tcW w:w="298" w:type="pct"/>
            <w:noWrap w:val="0"/>
            <w:vAlign w:val="center"/>
          </w:tcPr>
          <w:p w14:paraId="566EC1EB">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0.8</w:t>
            </w:r>
          </w:p>
        </w:tc>
        <w:tc>
          <w:tcPr>
            <w:tcW w:w="520" w:type="pct"/>
            <w:shd w:val="clear" w:color="auto" w:fill="auto"/>
            <w:noWrap w:val="0"/>
            <w:vAlign w:val="center"/>
          </w:tcPr>
          <w:p w14:paraId="583A4CD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0.90</w:t>
            </w:r>
            <w:r>
              <w:rPr>
                <w:snapToGrid w:val="0"/>
                <w:color w:val="auto"/>
                <w:kern w:val="0"/>
                <w:szCs w:val="21"/>
                <w:highlight w:val="none"/>
              </w:rPr>
              <w:t>kg/h</w:t>
            </w:r>
          </w:p>
        </w:tc>
        <w:tc>
          <w:tcPr>
            <w:tcW w:w="1642" w:type="pct"/>
            <w:vMerge w:val="continue"/>
            <w:noWrap w:val="0"/>
            <w:vAlign w:val="center"/>
          </w:tcPr>
          <w:p w14:paraId="43168B1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6C58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4634566E">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5CF2D55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3D076A6B">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467ED1C9">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3EB4001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noWrap w:val="0"/>
            <w:vAlign w:val="center"/>
          </w:tcPr>
          <w:p w14:paraId="7566E181">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臭气浓度</w:t>
            </w:r>
          </w:p>
        </w:tc>
        <w:tc>
          <w:tcPr>
            <w:tcW w:w="421" w:type="pct"/>
            <w:noWrap w:val="0"/>
            <w:vAlign w:val="center"/>
          </w:tcPr>
          <w:p w14:paraId="70C3ED2B">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1</w:t>
            </w:r>
            <w:r>
              <w:rPr>
                <w:snapToGrid w:val="0"/>
                <w:color w:val="auto"/>
                <w:kern w:val="0"/>
                <w:szCs w:val="21"/>
                <w:highlight w:val="none"/>
              </w:rPr>
              <w:t>000</w:t>
            </w:r>
          </w:p>
        </w:tc>
        <w:tc>
          <w:tcPr>
            <w:tcW w:w="415" w:type="pct"/>
            <w:noWrap w:val="0"/>
            <w:vAlign w:val="center"/>
          </w:tcPr>
          <w:p w14:paraId="35DED0C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w:t>
            </w:r>
            <w:r>
              <w:rPr>
                <w:snapToGrid w:val="0"/>
                <w:color w:val="auto"/>
                <w:kern w:val="0"/>
                <w:szCs w:val="21"/>
                <w:highlight w:val="none"/>
              </w:rPr>
              <w:t>-</w:t>
            </w:r>
          </w:p>
        </w:tc>
        <w:tc>
          <w:tcPr>
            <w:tcW w:w="298" w:type="pct"/>
            <w:noWrap w:val="0"/>
            <w:vAlign w:val="center"/>
          </w:tcPr>
          <w:p w14:paraId="1A697C82">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w:t>
            </w:r>
            <w:r>
              <w:rPr>
                <w:snapToGrid w:val="0"/>
                <w:color w:val="auto"/>
                <w:kern w:val="0"/>
                <w:szCs w:val="21"/>
                <w:highlight w:val="none"/>
              </w:rPr>
              <w:t>-</w:t>
            </w:r>
          </w:p>
        </w:tc>
        <w:tc>
          <w:tcPr>
            <w:tcW w:w="520" w:type="pct"/>
            <w:shd w:val="clear" w:color="auto" w:fill="auto"/>
            <w:noWrap w:val="0"/>
            <w:vAlign w:val="center"/>
          </w:tcPr>
          <w:p w14:paraId="5C5A1F55">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6000</w:t>
            </w:r>
          </w:p>
        </w:tc>
        <w:tc>
          <w:tcPr>
            <w:tcW w:w="1642" w:type="pct"/>
            <w:vMerge w:val="continue"/>
            <w:noWrap w:val="0"/>
            <w:vAlign w:val="center"/>
          </w:tcPr>
          <w:p w14:paraId="4B007F5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13BF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22EB171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10C4DAB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restart"/>
            <w:noWrap w:val="0"/>
            <w:vAlign w:val="center"/>
          </w:tcPr>
          <w:p w14:paraId="05DB1035">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r>
              <w:rPr>
                <w:rFonts w:hint="eastAsia"/>
                <w:snapToGrid w:val="0"/>
                <w:color w:val="auto"/>
                <w:kern w:val="0"/>
                <w:szCs w:val="21"/>
                <w:highlight w:val="none"/>
              </w:rPr>
              <w:t>酸化废气</w:t>
            </w:r>
          </w:p>
        </w:tc>
        <w:tc>
          <w:tcPr>
            <w:tcW w:w="186" w:type="pct"/>
            <w:vMerge w:val="restart"/>
            <w:noWrap w:val="0"/>
            <w:vAlign w:val="center"/>
          </w:tcPr>
          <w:p w14:paraId="4693F635">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一般排放口</w:t>
            </w:r>
          </w:p>
        </w:tc>
        <w:tc>
          <w:tcPr>
            <w:tcW w:w="431" w:type="pct"/>
            <w:vMerge w:val="restart"/>
            <w:noWrap w:val="0"/>
            <w:vAlign w:val="center"/>
          </w:tcPr>
          <w:p w14:paraId="24C58389">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一级水洗</w:t>
            </w:r>
            <w:r>
              <w:rPr>
                <w:rFonts w:hint="eastAsia"/>
                <w:snapToGrid w:val="0"/>
                <w:color w:val="auto"/>
                <w:kern w:val="0"/>
                <w:szCs w:val="21"/>
                <w:highlight w:val="none"/>
                <w:lang w:val="en-US" w:eastAsia="zh-CN"/>
              </w:rPr>
              <w:t>+</w:t>
            </w:r>
            <w:r>
              <w:rPr>
                <w:rFonts w:hint="eastAsia"/>
                <w:snapToGrid w:val="0"/>
                <w:color w:val="auto"/>
                <w:kern w:val="0"/>
                <w:szCs w:val="21"/>
                <w:highlight w:val="none"/>
              </w:rPr>
              <w:t>一</w:t>
            </w:r>
            <w:r>
              <w:rPr>
                <w:snapToGrid w:val="0"/>
                <w:color w:val="auto"/>
                <w:kern w:val="0"/>
                <w:szCs w:val="21"/>
                <w:highlight w:val="none"/>
              </w:rPr>
              <w:t>级碱洗</w:t>
            </w:r>
            <w:r>
              <w:rPr>
                <w:rFonts w:hint="eastAsia"/>
                <w:snapToGrid w:val="0"/>
                <w:color w:val="auto"/>
                <w:kern w:val="0"/>
                <w:szCs w:val="21"/>
                <w:highlight w:val="none"/>
                <w:lang w:val="en-US" w:eastAsia="zh-CN"/>
              </w:rPr>
              <w:t>+25m排气筒</w:t>
            </w:r>
          </w:p>
        </w:tc>
        <w:tc>
          <w:tcPr>
            <w:tcW w:w="336" w:type="pct"/>
            <w:shd w:val="clear" w:color="auto" w:fill="auto"/>
            <w:noWrap w:val="0"/>
            <w:vAlign w:val="center"/>
          </w:tcPr>
          <w:p w14:paraId="06F8C4D5">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NMHC</w:t>
            </w:r>
          </w:p>
        </w:tc>
        <w:tc>
          <w:tcPr>
            <w:tcW w:w="421" w:type="pct"/>
            <w:noWrap w:val="0"/>
            <w:vAlign w:val="center"/>
          </w:tcPr>
          <w:p w14:paraId="50CD0B8A">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2.5</w:t>
            </w:r>
          </w:p>
        </w:tc>
        <w:tc>
          <w:tcPr>
            <w:tcW w:w="415" w:type="pct"/>
            <w:noWrap w:val="0"/>
            <w:vAlign w:val="center"/>
          </w:tcPr>
          <w:p w14:paraId="68231F82">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.08</w:t>
            </w:r>
          </w:p>
        </w:tc>
        <w:tc>
          <w:tcPr>
            <w:tcW w:w="298" w:type="pct"/>
            <w:noWrap w:val="0"/>
            <w:vAlign w:val="center"/>
          </w:tcPr>
          <w:p w14:paraId="1BBA7690">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0.64</w:t>
            </w:r>
          </w:p>
        </w:tc>
        <w:tc>
          <w:tcPr>
            <w:tcW w:w="520" w:type="pct"/>
            <w:shd w:val="clear" w:color="auto" w:fill="auto"/>
            <w:noWrap w:val="0"/>
            <w:vAlign w:val="center"/>
          </w:tcPr>
          <w:p w14:paraId="6CCB860C">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60</w:t>
            </w:r>
          </w:p>
        </w:tc>
        <w:tc>
          <w:tcPr>
            <w:tcW w:w="1642" w:type="pct"/>
            <w:vMerge w:val="restart"/>
            <w:noWrap w:val="0"/>
            <w:vAlign w:val="center"/>
          </w:tcPr>
          <w:p w14:paraId="75D3A124">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硫酸雾排放浓度</w:t>
            </w:r>
            <w:r>
              <w:rPr>
                <w:rFonts w:hint="eastAsia"/>
                <w:snapToGrid w:val="0"/>
                <w:color w:val="auto"/>
                <w:kern w:val="0"/>
                <w:szCs w:val="21"/>
                <w:highlight w:val="none"/>
                <w:lang w:val="en-US" w:eastAsia="zh-CN"/>
              </w:rPr>
              <w:t>执行</w:t>
            </w:r>
            <w:r>
              <w:rPr>
                <w:rFonts w:hint="eastAsia"/>
                <w:snapToGrid w:val="0"/>
                <w:color w:val="auto"/>
                <w:kern w:val="0"/>
                <w:szCs w:val="21"/>
                <w:highlight w:val="none"/>
              </w:rPr>
              <w:t>《大气污染物综合排放标准》（GB 16297-1996）表2中排放浓度限值；</w:t>
            </w:r>
            <w:r>
              <w:rPr>
                <w:rFonts w:hint="eastAsia"/>
                <w:color w:val="auto"/>
                <w:kern w:val="0"/>
                <w:szCs w:val="21"/>
                <w:highlight w:val="none"/>
                <w:lang w:bidi="ar"/>
              </w:rPr>
              <w:t>非甲烷总烃排放浓度</w:t>
            </w:r>
            <w:r>
              <w:rPr>
                <w:rFonts w:hint="eastAsia"/>
                <w:color w:val="auto"/>
                <w:kern w:val="0"/>
                <w:szCs w:val="21"/>
                <w:highlight w:val="none"/>
                <w:lang w:val="en-US" w:eastAsia="zh-CN" w:bidi="ar"/>
              </w:rPr>
              <w:t>执行</w:t>
            </w:r>
            <w:r>
              <w:rPr>
                <w:rFonts w:hint="eastAsia"/>
                <w:color w:val="auto"/>
                <w:kern w:val="0"/>
                <w:szCs w:val="21"/>
                <w:highlight w:val="none"/>
                <w:lang w:bidi="ar"/>
              </w:rPr>
              <w:t>《合成树脂工业污染物排放标准》（</w:t>
            </w:r>
            <w:r>
              <w:rPr>
                <w:rFonts w:hint="eastAsia"/>
                <w:color w:val="auto"/>
                <w:kern w:val="0"/>
                <w:szCs w:val="21"/>
                <w:highlight w:val="none"/>
                <w:lang w:val="en-US" w:eastAsia="zh-CN" w:bidi="ar"/>
              </w:rPr>
              <w:t>GB31572-2015，含2024年修改单</w:t>
            </w:r>
            <w:r>
              <w:rPr>
                <w:rFonts w:hint="eastAsia"/>
                <w:color w:val="auto"/>
                <w:kern w:val="0"/>
                <w:szCs w:val="21"/>
                <w:highlight w:val="none"/>
                <w:lang w:bidi="ar"/>
              </w:rPr>
              <w:t>）表5大气污染物特别排放限值</w:t>
            </w:r>
          </w:p>
        </w:tc>
      </w:tr>
      <w:tr w14:paraId="372E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611B8604">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45DC934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7F808D09">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1A71C4CC">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409F17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shd w:val="clear" w:color="auto" w:fill="auto"/>
            <w:noWrap w:val="0"/>
            <w:vAlign w:val="center"/>
          </w:tcPr>
          <w:p w14:paraId="116879EA">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硫酸雾</w:t>
            </w:r>
          </w:p>
        </w:tc>
        <w:tc>
          <w:tcPr>
            <w:tcW w:w="421" w:type="pct"/>
            <w:noWrap w:val="0"/>
            <w:vAlign w:val="center"/>
          </w:tcPr>
          <w:p w14:paraId="66A12136">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1</w:t>
            </w:r>
            <w:r>
              <w:rPr>
                <w:snapToGrid w:val="0"/>
                <w:color w:val="auto"/>
                <w:kern w:val="0"/>
                <w:szCs w:val="21"/>
                <w:highlight w:val="none"/>
              </w:rPr>
              <w:t>5</w:t>
            </w:r>
          </w:p>
        </w:tc>
        <w:tc>
          <w:tcPr>
            <w:tcW w:w="415" w:type="pct"/>
            <w:noWrap w:val="0"/>
            <w:vAlign w:val="center"/>
          </w:tcPr>
          <w:p w14:paraId="36775C1D">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.47</w:t>
            </w:r>
          </w:p>
        </w:tc>
        <w:tc>
          <w:tcPr>
            <w:tcW w:w="298" w:type="pct"/>
            <w:noWrap w:val="0"/>
            <w:vAlign w:val="center"/>
          </w:tcPr>
          <w:p w14:paraId="3D235EA1">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3.76</w:t>
            </w:r>
          </w:p>
        </w:tc>
        <w:tc>
          <w:tcPr>
            <w:tcW w:w="520" w:type="pct"/>
            <w:shd w:val="clear" w:color="auto" w:fill="auto"/>
            <w:noWrap w:val="0"/>
            <w:vAlign w:val="center"/>
          </w:tcPr>
          <w:p w14:paraId="2B84EB51">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45，2.6</w:t>
            </w:r>
            <w:r>
              <w:rPr>
                <w:snapToGrid w:val="0"/>
                <w:color w:val="auto"/>
                <w:kern w:val="0"/>
                <w:szCs w:val="21"/>
                <w:highlight w:val="none"/>
              </w:rPr>
              <w:t>kg/h</w:t>
            </w:r>
          </w:p>
        </w:tc>
        <w:tc>
          <w:tcPr>
            <w:tcW w:w="1642" w:type="pct"/>
            <w:vMerge w:val="continue"/>
            <w:noWrap w:val="0"/>
            <w:vAlign w:val="center"/>
          </w:tcPr>
          <w:p w14:paraId="177A9C7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2C49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3461F25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3898F16E">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restart"/>
            <w:noWrap w:val="0"/>
            <w:vAlign w:val="center"/>
          </w:tcPr>
          <w:p w14:paraId="64C26274">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r>
              <w:rPr>
                <w:rFonts w:hint="eastAsia"/>
                <w:snapToGrid w:val="0"/>
                <w:color w:val="auto"/>
                <w:kern w:val="0"/>
                <w:szCs w:val="21"/>
                <w:highlight w:val="none"/>
              </w:rPr>
              <w:t>粗品干燥废气</w:t>
            </w:r>
          </w:p>
        </w:tc>
        <w:tc>
          <w:tcPr>
            <w:tcW w:w="186" w:type="pct"/>
            <w:vMerge w:val="restart"/>
            <w:noWrap w:val="0"/>
            <w:vAlign w:val="center"/>
          </w:tcPr>
          <w:p w14:paraId="6014D340">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一般排放口</w:t>
            </w:r>
          </w:p>
        </w:tc>
        <w:tc>
          <w:tcPr>
            <w:tcW w:w="431" w:type="pct"/>
            <w:vMerge w:val="restart"/>
            <w:noWrap w:val="0"/>
            <w:vAlign w:val="center"/>
          </w:tcPr>
          <w:p w14:paraId="5AAA442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布袋除尘</w:t>
            </w:r>
            <w:r>
              <w:rPr>
                <w:rFonts w:hint="eastAsia"/>
                <w:snapToGrid w:val="0"/>
                <w:color w:val="auto"/>
                <w:kern w:val="0"/>
                <w:szCs w:val="21"/>
                <w:highlight w:val="none"/>
              </w:rPr>
              <w:t>+一级水洗+一级碱洗</w:t>
            </w:r>
            <w:r>
              <w:rPr>
                <w:rFonts w:hint="eastAsia"/>
                <w:snapToGrid w:val="0"/>
                <w:color w:val="auto"/>
                <w:kern w:val="0"/>
                <w:szCs w:val="21"/>
                <w:highlight w:val="none"/>
                <w:lang w:val="en-US" w:eastAsia="zh-CN"/>
              </w:rPr>
              <w:t>+25m排气筒</w:t>
            </w:r>
          </w:p>
        </w:tc>
        <w:tc>
          <w:tcPr>
            <w:tcW w:w="336" w:type="pct"/>
            <w:shd w:val="clear" w:color="auto" w:fill="auto"/>
            <w:noWrap w:val="0"/>
            <w:vAlign w:val="center"/>
          </w:tcPr>
          <w:p w14:paraId="528448E5">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N</w:t>
            </w:r>
            <w:r>
              <w:rPr>
                <w:snapToGrid w:val="0"/>
                <w:color w:val="auto"/>
                <w:kern w:val="0"/>
                <w:szCs w:val="21"/>
                <w:highlight w:val="none"/>
              </w:rPr>
              <w:t>HMC</w:t>
            </w:r>
          </w:p>
        </w:tc>
        <w:tc>
          <w:tcPr>
            <w:tcW w:w="421" w:type="pct"/>
            <w:noWrap w:val="0"/>
            <w:vAlign w:val="center"/>
          </w:tcPr>
          <w:p w14:paraId="3D0A718D">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2.5</w:t>
            </w:r>
          </w:p>
        </w:tc>
        <w:tc>
          <w:tcPr>
            <w:tcW w:w="415" w:type="pct"/>
            <w:noWrap w:val="0"/>
            <w:vAlign w:val="center"/>
          </w:tcPr>
          <w:p w14:paraId="4B1E1EA9">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0.02</w:t>
            </w:r>
          </w:p>
        </w:tc>
        <w:tc>
          <w:tcPr>
            <w:tcW w:w="298" w:type="pct"/>
            <w:noWrap w:val="0"/>
            <w:vAlign w:val="center"/>
          </w:tcPr>
          <w:p w14:paraId="431EE578">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0.16</w:t>
            </w:r>
          </w:p>
        </w:tc>
        <w:tc>
          <w:tcPr>
            <w:tcW w:w="520" w:type="pct"/>
            <w:shd w:val="clear" w:color="auto" w:fill="auto"/>
            <w:noWrap w:val="0"/>
            <w:vAlign w:val="center"/>
          </w:tcPr>
          <w:p w14:paraId="4DA61952">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60</w:t>
            </w:r>
          </w:p>
        </w:tc>
        <w:tc>
          <w:tcPr>
            <w:tcW w:w="1642" w:type="pct"/>
            <w:vMerge w:val="restart"/>
            <w:noWrap w:val="0"/>
            <w:vAlign w:val="center"/>
          </w:tcPr>
          <w:p w14:paraId="00685E5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color w:val="auto"/>
                <w:kern w:val="0"/>
                <w:szCs w:val="21"/>
                <w:highlight w:val="none"/>
                <w:lang w:bidi="ar"/>
              </w:rPr>
              <w:t>颗粒物、非甲烷总烃排放浓度</w:t>
            </w:r>
            <w:r>
              <w:rPr>
                <w:rFonts w:hint="eastAsia"/>
                <w:color w:val="auto"/>
                <w:kern w:val="0"/>
                <w:szCs w:val="21"/>
                <w:highlight w:val="none"/>
                <w:lang w:val="en-US" w:eastAsia="zh-CN" w:bidi="ar"/>
              </w:rPr>
              <w:t>执行</w:t>
            </w:r>
            <w:r>
              <w:rPr>
                <w:rFonts w:hint="eastAsia"/>
                <w:color w:val="auto"/>
                <w:kern w:val="0"/>
                <w:szCs w:val="21"/>
                <w:highlight w:val="none"/>
                <w:lang w:bidi="ar"/>
              </w:rPr>
              <w:t>《合成树脂工业污染物排放标准》（GB31572-2015 含2024年修改单）表5大气污染物特别排放限值</w:t>
            </w:r>
          </w:p>
        </w:tc>
      </w:tr>
      <w:tr w14:paraId="00F0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3A6F924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218D3D4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1FAF36B7">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460B0259">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201ADED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shd w:val="clear" w:color="auto" w:fill="auto"/>
            <w:noWrap w:val="0"/>
            <w:vAlign w:val="center"/>
          </w:tcPr>
          <w:p w14:paraId="4BC69F29">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颗粒物</w:t>
            </w:r>
          </w:p>
        </w:tc>
        <w:tc>
          <w:tcPr>
            <w:tcW w:w="421" w:type="pct"/>
            <w:noWrap w:val="0"/>
            <w:vAlign w:val="center"/>
          </w:tcPr>
          <w:p w14:paraId="111457FD">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1</w:t>
            </w:r>
            <w:r>
              <w:rPr>
                <w:snapToGrid w:val="0"/>
                <w:color w:val="auto"/>
                <w:kern w:val="0"/>
                <w:szCs w:val="21"/>
                <w:highlight w:val="none"/>
              </w:rPr>
              <w:t>0</w:t>
            </w:r>
          </w:p>
        </w:tc>
        <w:tc>
          <w:tcPr>
            <w:tcW w:w="415" w:type="pct"/>
            <w:noWrap w:val="0"/>
            <w:vAlign w:val="center"/>
          </w:tcPr>
          <w:p w14:paraId="1CB84CDD">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.08</w:t>
            </w:r>
          </w:p>
        </w:tc>
        <w:tc>
          <w:tcPr>
            <w:tcW w:w="298" w:type="pct"/>
            <w:noWrap w:val="0"/>
            <w:vAlign w:val="center"/>
          </w:tcPr>
          <w:p w14:paraId="62AB3F70">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0.64</w:t>
            </w:r>
          </w:p>
        </w:tc>
        <w:tc>
          <w:tcPr>
            <w:tcW w:w="520" w:type="pct"/>
            <w:shd w:val="clear" w:color="auto" w:fill="auto"/>
            <w:noWrap w:val="0"/>
            <w:vAlign w:val="center"/>
          </w:tcPr>
          <w:p w14:paraId="796A1132">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20</w:t>
            </w:r>
          </w:p>
        </w:tc>
        <w:tc>
          <w:tcPr>
            <w:tcW w:w="1642" w:type="pct"/>
            <w:vMerge w:val="continue"/>
            <w:noWrap w:val="0"/>
            <w:vAlign w:val="center"/>
          </w:tcPr>
          <w:p w14:paraId="02D36DF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36FA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4B961A0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41DBD9F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noWrap w:val="0"/>
            <w:vAlign w:val="center"/>
          </w:tcPr>
          <w:p w14:paraId="56A84DE4">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r>
              <w:rPr>
                <w:rFonts w:hint="eastAsia"/>
                <w:snapToGrid w:val="0"/>
                <w:color w:val="auto"/>
                <w:kern w:val="0"/>
                <w:szCs w:val="21"/>
                <w:highlight w:val="none"/>
              </w:rPr>
              <w:t>成品干燥废气</w:t>
            </w:r>
          </w:p>
        </w:tc>
        <w:tc>
          <w:tcPr>
            <w:tcW w:w="186" w:type="pct"/>
            <w:noWrap w:val="0"/>
            <w:vAlign w:val="center"/>
          </w:tcPr>
          <w:p w14:paraId="7960A2A0">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一般排放口</w:t>
            </w:r>
          </w:p>
        </w:tc>
        <w:tc>
          <w:tcPr>
            <w:tcW w:w="431" w:type="pct"/>
            <w:noWrap w:val="0"/>
            <w:vAlign w:val="center"/>
          </w:tcPr>
          <w:p w14:paraId="746CC0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snapToGrid w:val="0"/>
                <w:color w:val="auto"/>
                <w:kern w:val="0"/>
                <w:szCs w:val="21"/>
                <w:highlight w:val="none"/>
              </w:rPr>
              <w:t>布袋除尘</w:t>
            </w:r>
            <w:r>
              <w:rPr>
                <w:rFonts w:hint="eastAsia"/>
                <w:snapToGrid w:val="0"/>
                <w:color w:val="auto"/>
                <w:kern w:val="0"/>
                <w:szCs w:val="21"/>
                <w:highlight w:val="none"/>
              </w:rPr>
              <w:t>+</w:t>
            </w:r>
            <w:r>
              <w:rPr>
                <w:rFonts w:hint="eastAsia"/>
                <w:snapToGrid w:val="0"/>
                <w:color w:val="auto"/>
                <w:kern w:val="0"/>
                <w:szCs w:val="21"/>
                <w:highlight w:val="none"/>
                <w:lang w:val="en-US" w:eastAsia="zh-CN"/>
              </w:rPr>
              <w:t>二</w:t>
            </w:r>
            <w:r>
              <w:rPr>
                <w:rFonts w:hint="eastAsia"/>
                <w:snapToGrid w:val="0"/>
                <w:color w:val="auto"/>
                <w:kern w:val="0"/>
                <w:szCs w:val="21"/>
                <w:highlight w:val="none"/>
              </w:rPr>
              <w:t>级水洗+一级碱洗</w:t>
            </w:r>
            <w:r>
              <w:rPr>
                <w:rFonts w:hint="eastAsia"/>
                <w:snapToGrid w:val="0"/>
                <w:color w:val="auto"/>
                <w:kern w:val="0"/>
                <w:szCs w:val="21"/>
                <w:highlight w:val="none"/>
                <w:lang w:val="en-US" w:eastAsia="zh-CN"/>
              </w:rPr>
              <w:t>+25m排气筒</w:t>
            </w:r>
          </w:p>
        </w:tc>
        <w:tc>
          <w:tcPr>
            <w:tcW w:w="336" w:type="pct"/>
            <w:shd w:val="clear" w:color="auto" w:fill="auto"/>
            <w:noWrap w:val="0"/>
            <w:vAlign w:val="center"/>
          </w:tcPr>
          <w:p w14:paraId="6590D9DE">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颗粒物</w:t>
            </w:r>
          </w:p>
        </w:tc>
        <w:tc>
          <w:tcPr>
            <w:tcW w:w="421" w:type="pct"/>
            <w:noWrap w:val="0"/>
            <w:vAlign w:val="center"/>
          </w:tcPr>
          <w:p w14:paraId="334A40BF">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2</w:t>
            </w:r>
            <w:r>
              <w:rPr>
                <w:snapToGrid w:val="0"/>
                <w:color w:val="auto"/>
                <w:kern w:val="0"/>
                <w:szCs w:val="21"/>
                <w:highlight w:val="none"/>
              </w:rPr>
              <w:t>0</w:t>
            </w:r>
          </w:p>
        </w:tc>
        <w:tc>
          <w:tcPr>
            <w:tcW w:w="415" w:type="pct"/>
            <w:noWrap w:val="0"/>
            <w:vAlign w:val="center"/>
          </w:tcPr>
          <w:p w14:paraId="04926FC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.11</w:t>
            </w:r>
          </w:p>
        </w:tc>
        <w:tc>
          <w:tcPr>
            <w:tcW w:w="298" w:type="pct"/>
            <w:noWrap w:val="0"/>
            <w:vAlign w:val="center"/>
          </w:tcPr>
          <w:p w14:paraId="6FDB7091">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0.88</w:t>
            </w:r>
          </w:p>
        </w:tc>
        <w:tc>
          <w:tcPr>
            <w:tcW w:w="520" w:type="pct"/>
            <w:shd w:val="clear" w:color="auto" w:fill="auto"/>
            <w:noWrap w:val="0"/>
            <w:vAlign w:val="center"/>
          </w:tcPr>
          <w:p w14:paraId="3BE0ECB9">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20</w:t>
            </w:r>
          </w:p>
        </w:tc>
        <w:tc>
          <w:tcPr>
            <w:tcW w:w="1642" w:type="pct"/>
            <w:noWrap w:val="0"/>
            <w:vAlign w:val="center"/>
          </w:tcPr>
          <w:p w14:paraId="6284CA8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color w:val="auto"/>
                <w:kern w:val="0"/>
                <w:szCs w:val="21"/>
                <w:highlight w:val="none"/>
                <w:lang w:bidi="ar"/>
              </w:rPr>
              <w:t>颗粒物排放浓度</w:t>
            </w:r>
            <w:r>
              <w:rPr>
                <w:rFonts w:hint="eastAsia"/>
                <w:color w:val="auto"/>
                <w:kern w:val="0"/>
                <w:szCs w:val="21"/>
                <w:highlight w:val="none"/>
                <w:lang w:val="en-US" w:eastAsia="zh-CN" w:bidi="ar"/>
              </w:rPr>
              <w:t>执行</w:t>
            </w:r>
            <w:r>
              <w:rPr>
                <w:rFonts w:hint="eastAsia"/>
                <w:color w:val="auto"/>
                <w:kern w:val="0"/>
                <w:szCs w:val="21"/>
                <w:highlight w:val="none"/>
                <w:lang w:bidi="ar"/>
              </w:rPr>
              <w:t>《合成树脂工业污染物排放标准》（</w:t>
            </w:r>
            <w:r>
              <w:rPr>
                <w:rFonts w:hint="eastAsia"/>
                <w:color w:val="auto"/>
                <w:kern w:val="0"/>
                <w:szCs w:val="21"/>
                <w:highlight w:val="none"/>
                <w:lang w:val="en-US" w:eastAsia="zh-CN" w:bidi="ar"/>
              </w:rPr>
              <w:t>GB31572-2015，含2024年修改单</w:t>
            </w:r>
            <w:r>
              <w:rPr>
                <w:rFonts w:hint="eastAsia"/>
                <w:color w:val="auto"/>
                <w:kern w:val="0"/>
                <w:szCs w:val="21"/>
                <w:highlight w:val="none"/>
                <w:lang w:bidi="ar"/>
              </w:rPr>
              <w:t>）表5大气污染物特别排放限值</w:t>
            </w:r>
          </w:p>
        </w:tc>
      </w:tr>
      <w:tr w14:paraId="343B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35F7AF4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459612E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restart"/>
            <w:noWrap w:val="0"/>
            <w:vAlign w:val="center"/>
          </w:tcPr>
          <w:p w14:paraId="02CA430B">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r>
              <w:rPr>
                <w:rFonts w:hint="eastAsia"/>
                <w:snapToGrid w:val="0"/>
                <w:color w:val="auto"/>
                <w:kern w:val="0"/>
                <w:szCs w:val="21"/>
                <w:highlight w:val="none"/>
              </w:rPr>
              <w:t>活性炭再生炉烟气</w:t>
            </w:r>
          </w:p>
        </w:tc>
        <w:tc>
          <w:tcPr>
            <w:tcW w:w="186" w:type="pct"/>
            <w:vMerge w:val="restart"/>
            <w:noWrap w:val="0"/>
            <w:vAlign w:val="center"/>
          </w:tcPr>
          <w:p w14:paraId="28B0F6BA">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一般排放口</w:t>
            </w:r>
          </w:p>
        </w:tc>
        <w:tc>
          <w:tcPr>
            <w:tcW w:w="431" w:type="pct"/>
            <w:vMerge w:val="restart"/>
            <w:noWrap w:val="0"/>
            <w:vAlign w:val="center"/>
          </w:tcPr>
          <w:p w14:paraId="39E0E33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eastAsia="宋体"/>
                <w:color w:val="auto"/>
                <w:kern w:val="0"/>
                <w:szCs w:val="21"/>
                <w:highlight w:val="none"/>
              </w:rPr>
              <w:t>R</w:t>
            </w:r>
            <w:r>
              <w:rPr>
                <w:rFonts w:eastAsia="宋体"/>
                <w:color w:val="auto"/>
                <w:kern w:val="0"/>
                <w:szCs w:val="21"/>
                <w:highlight w:val="none"/>
              </w:rPr>
              <w:t>TO</w:t>
            </w:r>
            <w:r>
              <w:rPr>
                <w:rFonts w:hint="eastAsia" w:eastAsia="宋体"/>
                <w:color w:val="auto"/>
                <w:kern w:val="0"/>
                <w:szCs w:val="21"/>
                <w:highlight w:val="none"/>
              </w:rPr>
              <w:t>焚烧+余热回收</w:t>
            </w:r>
            <w:r>
              <w:rPr>
                <w:rFonts w:hint="eastAsia"/>
                <w:color w:val="auto"/>
                <w:kern w:val="0"/>
                <w:szCs w:val="21"/>
                <w:highlight w:val="none"/>
                <w:lang w:val="en-US" w:eastAsia="zh-CN"/>
              </w:rPr>
              <w:t>+</w:t>
            </w:r>
            <w:r>
              <w:rPr>
                <w:rFonts w:hint="eastAsia"/>
                <w:snapToGrid w:val="0"/>
                <w:color w:val="auto"/>
                <w:kern w:val="0"/>
                <w:szCs w:val="21"/>
                <w:highlight w:val="none"/>
              </w:rPr>
              <w:t>二级水洗+一级碱洗</w:t>
            </w:r>
            <w:r>
              <w:rPr>
                <w:rFonts w:hint="eastAsia"/>
                <w:snapToGrid w:val="0"/>
                <w:color w:val="auto"/>
                <w:kern w:val="0"/>
                <w:szCs w:val="21"/>
                <w:highlight w:val="none"/>
                <w:lang w:val="en-US" w:eastAsia="zh-CN"/>
              </w:rPr>
              <w:t>+25m排气筒</w:t>
            </w:r>
          </w:p>
        </w:tc>
        <w:tc>
          <w:tcPr>
            <w:tcW w:w="336" w:type="pct"/>
            <w:noWrap w:val="0"/>
            <w:vAlign w:val="center"/>
          </w:tcPr>
          <w:p w14:paraId="2C472432">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N</w:t>
            </w:r>
            <w:r>
              <w:rPr>
                <w:snapToGrid w:val="0"/>
                <w:color w:val="auto"/>
                <w:kern w:val="0"/>
                <w:szCs w:val="21"/>
                <w:highlight w:val="none"/>
              </w:rPr>
              <w:t>O</w:t>
            </w:r>
            <w:r>
              <w:rPr>
                <w:snapToGrid w:val="0"/>
                <w:color w:val="auto"/>
                <w:kern w:val="0"/>
                <w:szCs w:val="21"/>
                <w:highlight w:val="none"/>
                <w:vertAlign w:val="subscript"/>
              </w:rPr>
              <w:t>x</w:t>
            </w:r>
          </w:p>
        </w:tc>
        <w:tc>
          <w:tcPr>
            <w:tcW w:w="421" w:type="pct"/>
            <w:noWrap w:val="0"/>
            <w:vAlign w:val="center"/>
          </w:tcPr>
          <w:p w14:paraId="51501AB5">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5</w:t>
            </w:r>
            <w:r>
              <w:rPr>
                <w:snapToGrid w:val="0"/>
                <w:color w:val="auto"/>
                <w:kern w:val="0"/>
                <w:szCs w:val="21"/>
                <w:highlight w:val="none"/>
              </w:rPr>
              <w:t>9.6</w:t>
            </w:r>
          </w:p>
        </w:tc>
        <w:tc>
          <w:tcPr>
            <w:tcW w:w="415" w:type="pct"/>
            <w:noWrap w:val="0"/>
            <w:vAlign w:val="center"/>
          </w:tcPr>
          <w:p w14:paraId="151C627A">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.41</w:t>
            </w:r>
          </w:p>
        </w:tc>
        <w:tc>
          <w:tcPr>
            <w:tcW w:w="298" w:type="pct"/>
            <w:noWrap w:val="0"/>
            <w:vAlign w:val="center"/>
          </w:tcPr>
          <w:p w14:paraId="540032EA">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3.28</w:t>
            </w:r>
          </w:p>
        </w:tc>
        <w:tc>
          <w:tcPr>
            <w:tcW w:w="520" w:type="pct"/>
            <w:shd w:val="clear" w:color="auto" w:fill="auto"/>
            <w:noWrap w:val="0"/>
            <w:vAlign w:val="center"/>
          </w:tcPr>
          <w:p w14:paraId="75542D0D">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100</w:t>
            </w:r>
          </w:p>
        </w:tc>
        <w:tc>
          <w:tcPr>
            <w:tcW w:w="1642" w:type="pct"/>
            <w:vMerge w:val="restart"/>
            <w:shd w:val="clear" w:color="auto" w:fill="auto"/>
            <w:noWrap w:val="0"/>
            <w:vAlign w:val="center"/>
          </w:tcPr>
          <w:p w14:paraId="5EB63D8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 w:val="21"/>
                <w:szCs w:val="21"/>
                <w:highlight w:val="none"/>
                <w:lang w:val="en-US" w:eastAsia="zh-CN"/>
              </w:rPr>
              <w:t>颗粒物执行</w:t>
            </w:r>
            <w:r>
              <w:rPr>
                <w:rFonts w:hint="eastAsia"/>
                <w:snapToGrid w:val="0"/>
                <w:color w:val="auto"/>
                <w:kern w:val="0"/>
                <w:sz w:val="21"/>
                <w:szCs w:val="21"/>
                <w:highlight w:val="none"/>
              </w:rPr>
              <w:t>《合成树脂工业污染物排放标准》（GB31572-2015</w:t>
            </w:r>
            <w:r>
              <w:rPr>
                <w:rFonts w:hint="eastAsia"/>
                <w:snapToGrid w:val="0"/>
                <w:color w:val="auto"/>
                <w:kern w:val="0"/>
                <w:sz w:val="21"/>
                <w:szCs w:val="21"/>
                <w:highlight w:val="none"/>
                <w:lang w:eastAsia="zh-CN"/>
              </w:rPr>
              <w:t>，</w:t>
            </w:r>
            <w:r>
              <w:rPr>
                <w:rFonts w:hint="eastAsia"/>
                <w:snapToGrid w:val="0"/>
                <w:color w:val="auto"/>
                <w:kern w:val="0"/>
                <w:sz w:val="21"/>
                <w:szCs w:val="21"/>
                <w:highlight w:val="none"/>
              </w:rPr>
              <w:t>含2024年修改单）表5大气污染物特别排放限值，二氧化硫、氮氧化物执行《合成树脂工业污染物排放标准》（GB31572-2015</w:t>
            </w:r>
            <w:r>
              <w:rPr>
                <w:rFonts w:hint="eastAsia"/>
                <w:snapToGrid w:val="0"/>
                <w:color w:val="auto"/>
                <w:kern w:val="0"/>
                <w:sz w:val="21"/>
                <w:szCs w:val="21"/>
                <w:highlight w:val="none"/>
                <w:lang w:eastAsia="zh-CN"/>
              </w:rPr>
              <w:t>，</w:t>
            </w:r>
            <w:r>
              <w:rPr>
                <w:rFonts w:hint="eastAsia"/>
                <w:snapToGrid w:val="0"/>
                <w:color w:val="auto"/>
                <w:kern w:val="0"/>
                <w:sz w:val="21"/>
                <w:szCs w:val="21"/>
                <w:highlight w:val="none"/>
              </w:rPr>
              <w:t>含2024年修改单）表</w:t>
            </w:r>
            <w:r>
              <w:rPr>
                <w:rFonts w:hint="eastAsia"/>
                <w:snapToGrid w:val="0"/>
                <w:color w:val="auto"/>
                <w:kern w:val="0"/>
                <w:sz w:val="21"/>
                <w:szCs w:val="21"/>
                <w:highlight w:val="none"/>
                <w:lang w:val="en-US" w:eastAsia="zh-CN"/>
              </w:rPr>
              <w:t>6</w:t>
            </w:r>
            <w:r>
              <w:rPr>
                <w:rFonts w:hint="eastAsia"/>
                <w:snapToGrid w:val="0"/>
                <w:color w:val="auto"/>
                <w:kern w:val="0"/>
                <w:sz w:val="21"/>
                <w:szCs w:val="21"/>
                <w:highlight w:val="none"/>
              </w:rPr>
              <w:t>焚烧设施SO</w:t>
            </w:r>
            <w:r>
              <w:rPr>
                <w:rFonts w:hint="eastAsia"/>
                <w:snapToGrid w:val="0"/>
                <w:color w:val="auto"/>
                <w:kern w:val="0"/>
                <w:sz w:val="21"/>
                <w:szCs w:val="21"/>
                <w:highlight w:val="none"/>
                <w:vertAlign w:val="subscript"/>
              </w:rPr>
              <w:t>2</w:t>
            </w:r>
            <w:r>
              <w:rPr>
                <w:rFonts w:hint="eastAsia"/>
                <w:snapToGrid w:val="0"/>
                <w:color w:val="auto"/>
                <w:kern w:val="0"/>
                <w:sz w:val="21"/>
                <w:szCs w:val="21"/>
                <w:highlight w:val="none"/>
              </w:rPr>
              <w:t>、NO</w:t>
            </w:r>
            <w:r>
              <w:rPr>
                <w:rFonts w:hint="eastAsia"/>
                <w:snapToGrid w:val="0"/>
                <w:color w:val="auto"/>
                <w:kern w:val="0"/>
                <w:sz w:val="21"/>
                <w:szCs w:val="21"/>
                <w:highlight w:val="none"/>
                <w:vertAlign w:val="subscript"/>
                <w:lang w:val="en-US" w:eastAsia="zh-CN"/>
              </w:rPr>
              <w:t>X</w:t>
            </w:r>
            <w:r>
              <w:rPr>
                <w:rFonts w:hint="eastAsia"/>
                <w:snapToGrid w:val="0"/>
                <w:color w:val="auto"/>
                <w:kern w:val="0"/>
                <w:sz w:val="21"/>
                <w:szCs w:val="21"/>
                <w:highlight w:val="none"/>
              </w:rPr>
              <w:t>排放限值</w:t>
            </w:r>
          </w:p>
        </w:tc>
      </w:tr>
      <w:tr w14:paraId="0D7C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3117812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73F405C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438CDB33">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1503B1CD">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39532A2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noWrap w:val="0"/>
            <w:vAlign w:val="center"/>
          </w:tcPr>
          <w:p w14:paraId="1B349046">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S</w:t>
            </w:r>
            <w:r>
              <w:rPr>
                <w:snapToGrid w:val="0"/>
                <w:color w:val="auto"/>
                <w:kern w:val="0"/>
                <w:szCs w:val="21"/>
                <w:highlight w:val="none"/>
              </w:rPr>
              <w:t>O</w:t>
            </w:r>
            <w:r>
              <w:rPr>
                <w:snapToGrid w:val="0"/>
                <w:color w:val="auto"/>
                <w:kern w:val="0"/>
                <w:szCs w:val="21"/>
                <w:highlight w:val="none"/>
                <w:vertAlign w:val="subscript"/>
              </w:rPr>
              <w:t>2</w:t>
            </w:r>
          </w:p>
        </w:tc>
        <w:tc>
          <w:tcPr>
            <w:tcW w:w="421" w:type="pct"/>
            <w:noWrap w:val="0"/>
            <w:vAlign w:val="center"/>
          </w:tcPr>
          <w:p w14:paraId="2DA16199">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4</w:t>
            </w:r>
            <w:r>
              <w:rPr>
                <w:snapToGrid w:val="0"/>
                <w:color w:val="auto"/>
                <w:kern w:val="0"/>
                <w:szCs w:val="21"/>
                <w:highlight w:val="none"/>
              </w:rPr>
              <w:t>7.62</w:t>
            </w:r>
          </w:p>
        </w:tc>
        <w:tc>
          <w:tcPr>
            <w:tcW w:w="415" w:type="pct"/>
            <w:noWrap w:val="0"/>
            <w:vAlign w:val="center"/>
          </w:tcPr>
          <w:p w14:paraId="43ECA9D5">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.33</w:t>
            </w:r>
          </w:p>
        </w:tc>
        <w:tc>
          <w:tcPr>
            <w:tcW w:w="298" w:type="pct"/>
            <w:noWrap w:val="0"/>
            <w:vAlign w:val="center"/>
          </w:tcPr>
          <w:p w14:paraId="5C81F31F">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2.64</w:t>
            </w:r>
          </w:p>
        </w:tc>
        <w:tc>
          <w:tcPr>
            <w:tcW w:w="520" w:type="pct"/>
            <w:shd w:val="clear" w:color="auto" w:fill="auto"/>
            <w:noWrap w:val="0"/>
            <w:vAlign w:val="center"/>
          </w:tcPr>
          <w:p w14:paraId="43B04A9A">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50</w:t>
            </w:r>
          </w:p>
        </w:tc>
        <w:tc>
          <w:tcPr>
            <w:tcW w:w="1642" w:type="pct"/>
            <w:vMerge w:val="continue"/>
            <w:shd w:val="clear" w:color="auto" w:fill="auto"/>
            <w:noWrap w:val="0"/>
            <w:vAlign w:val="center"/>
          </w:tcPr>
          <w:p w14:paraId="02A97A4A">
            <w:pPr>
              <w:adjustRightInd w:val="0"/>
              <w:snapToGrid w:val="0"/>
              <w:ind w:firstLine="420" w:firstLineChars="200"/>
              <w:jc w:val="center"/>
              <w:rPr>
                <w:rFonts w:hint="eastAsia" w:ascii="Times New Roman" w:hAnsi="Times New Roman" w:eastAsia="宋体" w:cs="Times New Roman"/>
                <w:color w:val="auto"/>
                <w:kern w:val="0"/>
                <w:sz w:val="21"/>
                <w:szCs w:val="21"/>
                <w:highlight w:val="none"/>
                <w:lang w:val="en-US" w:eastAsia="zh-CN" w:bidi="ar-SA"/>
              </w:rPr>
            </w:pPr>
          </w:p>
        </w:tc>
      </w:tr>
      <w:tr w14:paraId="6A88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0B821F5D">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2C3655D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vMerge w:val="continue"/>
            <w:noWrap w:val="0"/>
            <w:vAlign w:val="center"/>
          </w:tcPr>
          <w:p w14:paraId="2B1F144E">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snapToGrid w:val="0"/>
                <w:color w:val="auto"/>
                <w:kern w:val="0"/>
                <w:szCs w:val="21"/>
                <w:highlight w:val="none"/>
              </w:rPr>
            </w:pPr>
          </w:p>
        </w:tc>
        <w:tc>
          <w:tcPr>
            <w:tcW w:w="186" w:type="pct"/>
            <w:vMerge w:val="continue"/>
            <w:noWrap w:val="0"/>
            <w:vAlign w:val="center"/>
          </w:tcPr>
          <w:p w14:paraId="25567C9C">
            <w:pPr>
              <w:pStyle w:val="42"/>
              <w:keepNext w:val="0"/>
              <w:keepLines w:val="0"/>
              <w:pageBreakBefore w:val="0"/>
              <w:widowControl/>
              <w:tabs>
                <w:tab w:val="left" w:pos="0"/>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31" w:type="pct"/>
            <w:vMerge w:val="continue"/>
            <w:noWrap w:val="0"/>
            <w:vAlign w:val="center"/>
          </w:tcPr>
          <w:p w14:paraId="7A1799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p>
        </w:tc>
        <w:tc>
          <w:tcPr>
            <w:tcW w:w="336" w:type="pct"/>
            <w:noWrap w:val="0"/>
            <w:vAlign w:val="center"/>
          </w:tcPr>
          <w:p w14:paraId="3E6B61DB">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颗粒物</w:t>
            </w:r>
          </w:p>
        </w:tc>
        <w:tc>
          <w:tcPr>
            <w:tcW w:w="421" w:type="pct"/>
            <w:noWrap w:val="0"/>
            <w:vAlign w:val="center"/>
          </w:tcPr>
          <w:p w14:paraId="1BE515D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9</w:t>
            </w:r>
            <w:r>
              <w:rPr>
                <w:snapToGrid w:val="0"/>
                <w:color w:val="auto"/>
                <w:kern w:val="0"/>
                <w:szCs w:val="21"/>
                <w:highlight w:val="none"/>
              </w:rPr>
              <w:t>.52</w:t>
            </w:r>
          </w:p>
        </w:tc>
        <w:tc>
          <w:tcPr>
            <w:tcW w:w="415" w:type="pct"/>
            <w:noWrap w:val="0"/>
            <w:vAlign w:val="center"/>
          </w:tcPr>
          <w:p w14:paraId="53D2834B">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0</w:t>
            </w:r>
            <w:r>
              <w:rPr>
                <w:snapToGrid w:val="0"/>
                <w:color w:val="auto"/>
                <w:kern w:val="0"/>
                <w:szCs w:val="21"/>
                <w:highlight w:val="none"/>
              </w:rPr>
              <w:t>.07</w:t>
            </w:r>
          </w:p>
        </w:tc>
        <w:tc>
          <w:tcPr>
            <w:tcW w:w="298" w:type="pct"/>
            <w:noWrap w:val="0"/>
            <w:vAlign w:val="center"/>
          </w:tcPr>
          <w:p w14:paraId="2ABF3000">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0.56</w:t>
            </w:r>
          </w:p>
        </w:tc>
        <w:tc>
          <w:tcPr>
            <w:tcW w:w="520" w:type="pct"/>
            <w:shd w:val="clear" w:color="auto" w:fill="auto"/>
            <w:noWrap w:val="0"/>
            <w:vAlign w:val="center"/>
          </w:tcPr>
          <w:p w14:paraId="3B279E69">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20</w:t>
            </w:r>
          </w:p>
        </w:tc>
        <w:tc>
          <w:tcPr>
            <w:tcW w:w="1642" w:type="pct"/>
            <w:vMerge w:val="continue"/>
            <w:noWrap w:val="0"/>
            <w:vAlign w:val="center"/>
          </w:tcPr>
          <w:p w14:paraId="14120234">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657E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0D41BB73">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noWrap w:val="0"/>
            <w:vAlign w:val="center"/>
          </w:tcPr>
          <w:p w14:paraId="642CDAC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无组织废气</w:t>
            </w:r>
          </w:p>
        </w:tc>
        <w:tc>
          <w:tcPr>
            <w:tcW w:w="365" w:type="pct"/>
            <w:noWrap w:val="0"/>
            <w:vAlign w:val="center"/>
          </w:tcPr>
          <w:p w14:paraId="0E003C4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罐区废气</w:t>
            </w:r>
          </w:p>
        </w:tc>
        <w:tc>
          <w:tcPr>
            <w:tcW w:w="186" w:type="pct"/>
            <w:noWrap w:val="0"/>
            <w:vAlign w:val="center"/>
          </w:tcPr>
          <w:p w14:paraId="6186936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1" w:type="pct"/>
            <w:noWrap w:val="0"/>
            <w:vAlign w:val="center"/>
          </w:tcPr>
          <w:p w14:paraId="05ECFAE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冷凝+活性炭吸附</w:t>
            </w:r>
          </w:p>
        </w:tc>
        <w:tc>
          <w:tcPr>
            <w:tcW w:w="336" w:type="pct"/>
            <w:noWrap w:val="0"/>
            <w:vAlign w:val="center"/>
          </w:tcPr>
          <w:p w14:paraId="4D284162">
            <w:pPr>
              <w:adjustRightInd w:val="0"/>
              <w:snapToGrid w:val="0"/>
              <w:jc w:val="center"/>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N</w:t>
            </w:r>
            <w:r>
              <w:rPr>
                <w:snapToGrid w:val="0"/>
                <w:color w:val="auto"/>
                <w:kern w:val="0"/>
                <w:szCs w:val="21"/>
                <w:highlight w:val="none"/>
              </w:rPr>
              <w:t>MHC</w:t>
            </w:r>
          </w:p>
        </w:tc>
        <w:tc>
          <w:tcPr>
            <w:tcW w:w="421" w:type="pct"/>
            <w:noWrap w:val="0"/>
            <w:vAlign w:val="center"/>
          </w:tcPr>
          <w:p w14:paraId="370EBBEB">
            <w:pPr>
              <w:adjustRightInd w:val="0"/>
              <w:snapToGrid w:val="0"/>
              <w:jc w:val="center"/>
              <w:rPr>
                <w:rFonts w:hint="eastAsia" w:ascii="Times New Roman" w:hAnsi="Times New Roman" w:eastAsia="宋体" w:cs="Times New Roman"/>
                <w:color w:val="auto"/>
                <w:spacing w:val="0"/>
                <w:kern w:val="0"/>
                <w:sz w:val="21"/>
                <w:szCs w:val="21"/>
                <w:highlight w:val="none"/>
              </w:rPr>
            </w:pPr>
            <w:r>
              <w:rPr>
                <w:snapToGrid w:val="0"/>
                <w:color w:val="auto"/>
                <w:kern w:val="0"/>
                <w:szCs w:val="21"/>
                <w:highlight w:val="none"/>
              </w:rPr>
              <w:t>633.8</w:t>
            </w:r>
          </w:p>
        </w:tc>
        <w:tc>
          <w:tcPr>
            <w:tcW w:w="415" w:type="pct"/>
            <w:noWrap w:val="0"/>
            <w:vAlign w:val="center"/>
          </w:tcPr>
          <w:p w14:paraId="2C5AA5DD">
            <w:pPr>
              <w:adjustRightInd w:val="0"/>
              <w:snapToGrid w:val="0"/>
              <w:jc w:val="center"/>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0</w:t>
            </w:r>
            <w:r>
              <w:rPr>
                <w:snapToGrid w:val="0"/>
                <w:color w:val="auto"/>
                <w:kern w:val="0"/>
                <w:szCs w:val="21"/>
                <w:highlight w:val="none"/>
              </w:rPr>
              <w:t>.03</w:t>
            </w:r>
          </w:p>
        </w:tc>
        <w:tc>
          <w:tcPr>
            <w:tcW w:w="298" w:type="pct"/>
            <w:noWrap w:val="0"/>
            <w:vAlign w:val="center"/>
          </w:tcPr>
          <w:p w14:paraId="2A93B299">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0.05</w:t>
            </w:r>
          </w:p>
        </w:tc>
        <w:tc>
          <w:tcPr>
            <w:tcW w:w="520" w:type="pct"/>
            <w:noWrap w:val="0"/>
            <w:vAlign w:val="center"/>
          </w:tcPr>
          <w:p w14:paraId="755B06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无组织</w:t>
            </w:r>
            <w:r>
              <w:rPr>
                <w:rFonts w:hint="eastAsia"/>
                <w:snapToGrid w:val="0"/>
                <w:color w:val="auto"/>
                <w:kern w:val="0"/>
                <w:szCs w:val="21"/>
                <w:highlight w:val="none"/>
                <w:lang w:val="en-US" w:eastAsia="zh-CN"/>
              </w:rPr>
              <w:t>厂界4.0</w:t>
            </w:r>
          </w:p>
        </w:tc>
        <w:tc>
          <w:tcPr>
            <w:tcW w:w="1642" w:type="pct"/>
            <w:noWrap w:val="0"/>
            <w:vAlign w:val="center"/>
          </w:tcPr>
          <w:p w14:paraId="4EB895B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rPr>
              <w:t>NMHC厂界无组织排放执行《合成树脂工业污染物排放标准》（GB31572-2015，含2024年修改单）表9企业边界大气污染物浓度限值</w:t>
            </w:r>
            <w:r>
              <w:rPr>
                <w:rFonts w:hint="eastAsia"/>
                <w:snapToGrid w:val="0"/>
                <w:color w:val="auto"/>
                <w:kern w:val="0"/>
                <w:szCs w:val="21"/>
                <w:highlight w:val="none"/>
                <w:lang w:eastAsia="zh-CN"/>
              </w:rPr>
              <w:t>；</w:t>
            </w:r>
            <w:r>
              <w:rPr>
                <w:rFonts w:hint="eastAsia"/>
                <w:snapToGrid w:val="0"/>
                <w:color w:val="auto"/>
                <w:kern w:val="0"/>
                <w:szCs w:val="21"/>
                <w:highlight w:val="none"/>
              </w:rPr>
              <w:t>厂区内NMHC无组织排放执行《挥发性有机物无组织排放控制标准》（GB37822-2019）表A.1特别排放限值</w:t>
            </w:r>
          </w:p>
        </w:tc>
      </w:tr>
      <w:tr w14:paraId="5909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blHeader/>
        </w:trPr>
        <w:tc>
          <w:tcPr>
            <w:tcW w:w="177" w:type="pct"/>
            <w:vMerge w:val="restart"/>
            <w:noWrap w:val="0"/>
            <w:vAlign w:val="center"/>
          </w:tcPr>
          <w:p w14:paraId="098E6EA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废水</w:t>
            </w:r>
          </w:p>
        </w:tc>
        <w:tc>
          <w:tcPr>
            <w:tcW w:w="204" w:type="pct"/>
            <w:noWrap w:val="0"/>
            <w:vAlign w:val="center"/>
          </w:tcPr>
          <w:p w14:paraId="0ABAA787">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lang w:val="en-US" w:eastAsia="zh-CN"/>
              </w:rPr>
              <w:t>高浓废水</w:t>
            </w:r>
          </w:p>
        </w:tc>
        <w:tc>
          <w:tcPr>
            <w:tcW w:w="365" w:type="pct"/>
            <w:noWrap w:val="0"/>
            <w:vAlign w:val="center"/>
          </w:tcPr>
          <w:p w14:paraId="2F2821E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color w:val="auto"/>
                <w:kern w:val="0"/>
                <w:szCs w:val="21"/>
                <w:highlight w:val="none"/>
                <w:lang w:val="en-US" w:eastAsia="zh-CN"/>
              </w:rPr>
              <w:t>去乌苏市西区</w:t>
            </w:r>
            <w:r>
              <w:rPr>
                <w:rFonts w:hint="eastAsia"/>
                <w:color w:val="auto"/>
                <w:kern w:val="0"/>
                <w:szCs w:val="21"/>
                <w:highlight w:val="none"/>
              </w:rPr>
              <w:t>污水处理厂</w:t>
            </w:r>
            <w:r>
              <w:rPr>
                <w:rFonts w:hint="eastAsia"/>
                <w:color w:val="auto"/>
                <w:kern w:val="0"/>
                <w:szCs w:val="21"/>
                <w:highlight w:val="none"/>
                <w:lang w:val="en-US" w:eastAsia="zh-CN"/>
              </w:rPr>
              <w:t>二期</w:t>
            </w:r>
          </w:p>
        </w:tc>
        <w:tc>
          <w:tcPr>
            <w:tcW w:w="186" w:type="pct"/>
            <w:noWrap w:val="0"/>
            <w:vAlign w:val="center"/>
          </w:tcPr>
          <w:p w14:paraId="2DEAA42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1" w:type="pct"/>
            <w:noWrap w:val="0"/>
            <w:vAlign w:val="center"/>
          </w:tcPr>
          <w:p w14:paraId="557B8D6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snapToGrid w:val="0"/>
                <w:color w:val="auto"/>
                <w:kern w:val="0"/>
                <w:szCs w:val="21"/>
                <w:highlight w:val="none"/>
              </w:rPr>
              <w:t>预处理+生化处理+膜浓缩+</w:t>
            </w:r>
            <w:r>
              <w:rPr>
                <w:snapToGrid w:val="0"/>
                <w:color w:val="auto"/>
                <w:kern w:val="0"/>
                <w:szCs w:val="21"/>
                <w:highlight w:val="none"/>
              </w:rPr>
              <w:t>MVR</w:t>
            </w:r>
          </w:p>
        </w:tc>
        <w:tc>
          <w:tcPr>
            <w:tcW w:w="336" w:type="pct"/>
            <w:noWrap w:val="0"/>
            <w:vAlign w:val="center"/>
          </w:tcPr>
          <w:p w14:paraId="20C0F72C">
            <w:pPr>
              <w:adjustRightInd w:val="0"/>
              <w:snapToGrid w:val="0"/>
              <w:jc w:val="center"/>
              <w:rPr>
                <w:rFonts w:hint="eastAsia"/>
                <w:snapToGrid w:val="0"/>
                <w:color w:val="auto"/>
                <w:kern w:val="0"/>
                <w:szCs w:val="21"/>
                <w:highlight w:val="none"/>
              </w:rPr>
            </w:pPr>
            <w:r>
              <w:rPr>
                <w:rFonts w:hint="eastAsia"/>
                <w:color w:val="auto"/>
                <w:szCs w:val="21"/>
                <w:highlight w:val="none"/>
              </w:rPr>
              <w:t>C</w:t>
            </w:r>
            <w:r>
              <w:rPr>
                <w:color w:val="auto"/>
                <w:szCs w:val="21"/>
                <w:highlight w:val="none"/>
              </w:rPr>
              <w:t>OD</w:t>
            </w:r>
          </w:p>
        </w:tc>
        <w:tc>
          <w:tcPr>
            <w:tcW w:w="421" w:type="pct"/>
            <w:noWrap w:val="0"/>
            <w:vAlign w:val="center"/>
          </w:tcPr>
          <w:p w14:paraId="27459DEC">
            <w:pPr>
              <w:adjustRightInd w:val="0"/>
              <w:snapToGrid w:val="0"/>
              <w:jc w:val="center"/>
              <w:rPr>
                <w:snapToGrid w:val="0"/>
                <w:color w:val="auto"/>
                <w:kern w:val="0"/>
                <w:szCs w:val="21"/>
                <w:highlight w:val="none"/>
              </w:rPr>
            </w:pPr>
            <w:r>
              <w:rPr>
                <w:rFonts w:hint="eastAsia"/>
                <w:color w:val="auto"/>
                <w:szCs w:val="21"/>
                <w:highlight w:val="none"/>
              </w:rPr>
              <w:t>1</w:t>
            </w:r>
            <w:r>
              <w:rPr>
                <w:color w:val="auto"/>
                <w:szCs w:val="21"/>
                <w:highlight w:val="none"/>
              </w:rPr>
              <w:t>1700</w:t>
            </w:r>
          </w:p>
        </w:tc>
        <w:tc>
          <w:tcPr>
            <w:tcW w:w="415" w:type="pct"/>
            <w:noWrap w:val="0"/>
            <w:vAlign w:val="center"/>
          </w:tcPr>
          <w:p w14:paraId="7E0E938D">
            <w:pPr>
              <w:adjustRightInd w:val="0"/>
              <w:snapToGrid w:val="0"/>
              <w:jc w:val="center"/>
              <w:rPr>
                <w:rFonts w:hint="eastAsia"/>
                <w:snapToGrid w:val="0"/>
                <w:color w:val="auto"/>
                <w:kern w:val="0"/>
                <w:szCs w:val="21"/>
                <w:highlight w:val="none"/>
              </w:rPr>
            </w:pPr>
            <w:r>
              <w:rPr>
                <w:rFonts w:hint="eastAsia"/>
                <w:color w:val="auto"/>
                <w:kern w:val="0"/>
                <w:szCs w:val="21"/>
                <w:highlight w:val="none"/>
              </w:rPr>
              <w:t>6</w:t>
            </w:r>
            <w:r>
              <w:rPr>
                <w:color w:val="auto"/>
                <w:kern w:val="0"/>
                <w:szCs w:val="21"/>
                <w:highlight w:val="none"/>
              </w:rPr>
              <w:t>2m</w:t>
            </w:r>
            <w:r>
              <w:rPr>
                <w:color w:val="auto"/>
                <w:kern w:val="0"/>
                <w:szCs w:val="21"/>
                <w:highlight w:val="none"/>
                <w:vertAlign w:val="superscript"/>
              </w:rPr>
              <w:t>3</w:t>
            </w:r>
            <w:r>
              <w:rPr>
                <w:color w:val="auto"/>
                <w:kern w:val="0"/>
                <w:szCs w:val="21"/>
                <w:highlight w:val="none"/>
              </w:rPr>
              <w:t>/h</w:t>
            </w:r>
          </w:p>
        </w:tc>
        <w:tc>
          <w:tcPr>
            <w:tcW w:w="298" w:type="pct"/>
            <w:noWrap w:val="0"/>
            <w:vAlign w:val="center"/>
          </w:tcPr>
          <w:p w14:paraId="45A85585">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5803.2</w:t>
            </w:r>
          </w:p>
        </w:tc>
        <w:tc>
          <w:tcPr>
            <w:tcW w:w="520" w:type="pct"/>
            <w:noWrap w:val="0"/>
            <w:vAlign w:val="center"/>
          </w:tcPr>
          <w:p w14:paraId="0A8C642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24369</w:t>
            </w:r>
          </w:p>
        </w:tc>
        <w:tc>
          <w:tcPr>
            <w:tcW w:w="1642" w:type="pct"/>
            <w:noWrap w:val="0"/>
            <w:vAlign w:val="center"/>
          </w:tcPr>
          <w:p w14:paraId="5652B22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snapToGrid w:val="0"/>
                <w:color w:val="auto"/>
                <w:kern w:val="0"/>
                <w:szCs w:val="21"/>
                <w:highlight w:val="none"/>
              </w:rPr>
            </w:pPr>
            <w:r>
              <w:rPr>
                <w:rFonts w:hint="eastAsia"/>
                <w:color w:val="auto"/>
                <w:kern w:val="0"/>
                <w:szCs w:val="21"/>
                <w:highlight w:val="none"/>
              </w:rPr>
              <w:t>执行企业与</w:t>
            </w:r>
            <w:r>
              <w:rPr>
                <w:rFonts w:hint="eastAsia"/>
                <w:color w:val="auto"/>
                <w:kern w:val="0"/>
                <w:szCs w:val="21"/>
                <w:highlight w:val="none"/>
                <w:lang w:val="en-US" w:eastAsia="zh-CN"/>
              </w:rPr>
              <w:t>乌苏市西区</w:t>
            </w:r>
            <w:r>
              <w:rPr>
                <w:rFonts w:hint="eastAsia"/>
                <w:color w:val="auto"/>
                <w:kern w:val="0"/>
                <w:szCs w:val="21"/>
                <w:highlight w:val="none"/>
              </w:rPr>
              <w:t>污水处理厂商定的协议标准限值</w:t>
            </w:r>
          </w:p>
        </w:tc>
      </w:tr>
      <w:tr w14:paraId="1319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5BB7254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noWrap w:val="0"/>
            <w:vAlign w:val="center"/>
          </w:tcPr>
          <w:p w14:paraId="24D1D105">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rPr>
            </w:pPr>
            <w:r>
              <w:rPr>
                <w:rFonts w:hint="eastAsia"/>
                <w:snapToGrid w:val="0"/>
                <w:color w:val="auto"/>
                <w:kern w:val="0"/>
                <w:szCs w:val="21"/>
                <w:highlight w:val="none"/>
              </w:rPr>
              <w:t>循环水排污</w:t>
            </w:r>
          </w:p>
        </w:tc>
        <w:tc>
          <w:tcPr>
            <w:tcW w:w="365" w:type="pct"/>
            <w:noWrap w:val="0"/>
            <w:vAlign w:val="center"/>
          </w:tcPr>
          <w:p w14:paraId="76D9F9B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snapToGrid w:val="0"/>
                <w:color w:val="auto"/>
                <w:kern w:val="0"/>
                <w:szCs w:val="21"/>
                <w:highlight w:val="none"/>
              </w:rPr>
              <w:t>污水处理站中水段</w:t>
            </w:r>
          </w:p>
        </w:tc>
        <w:tc>
          <w:tcPr>
            <w:tcW w:w="186" w:type="pct"/>
            <w:noWrap w:val="0"/>
            <w:vAlign w:val="center"/>
          </w:tcPr>
          <w:p w14:paraId="5697295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1" w:type="pct"/>
            <w:noWrap w:val="0"/>
            <w:vAlign w:val="center"/>
          </w:tcPr>
          <w:p w14:paraId="4648F79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snapToGrid w:val="0"/>
                <w:color w:val="auto"/>
                <w:kern w:val="0"/>
                <w:szCs w:val="21"/>
                <w:highlight w:val="none"/>
              </w:rPr>
              <w:t>膜浓缩+</w:t>
            </w:r>
            <w:r>
              <w:rPr>
                <w:snapToGrid w:val="0"/>
                <w:color w:val="auto"/>
                <w:kern w:val="0"/>
                <w:szCs w:val="21"/>
                <w:highlight w:val="none"/>
              </w:rPr>
              <w:t>MVR</w:t>
            </w:r>
          </w:p>
        </w:tc>
        <w:tc>
          <w:tcPr>
            <w:tcW w:w="336" w:type="pct"/>
            <w:noWrap w:val="0"/>
            <w:vAlign w:val="center"/>
          </w:tcPr>
          <w:p w14:paraId="51C097D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snapToGrid w:val="0"/>
                <w:color w:val="auto"/>
                <w:kern w:val="0"/>
                <w:szCs w:val="21"/>
                <w:highlight w:val="none"/>
                <w:lang w:val="en-US"/>
              </w:rPr>
            </w:pPr>
            <w:r>
              <w:rPr>
                <w:rFonts w:hint="eastAsia" w:ascii="Times New Roman" w:hAnsi="Times New Roman" w:eastAsia="宋体" w:cs="Times New Roman"/>
                <w:color w:val="auto"/>
                <w:kern w:val="0"/>
                <w:sz w:val="21"/>
                <w:szCs w:val="21"/>
                <w:highlight w:val="none"/>
                <w:lang w:val="en-US" w:eastAsia="zh-CN"/>
              </w:rPr>
              <w:t>TDS</w:t>
            </w:r>
          </w:p>
        </w:tc>
        <w:tc>
          <w:tcPr>
            <w:tcW w:w="421" w:type="pct"/>
            <w:noWrap w:val="0"/>
            <w:vAlign w:val="center"/>
          </w:tcPr>
          <w:p w14:paraId="56B162B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snapToGrid w:val="0"/>
                <w:color w:val="auto"/>
                <w:kern w:val="0"/>
                <w:szCs w:val="21"/>
                <w:highlight w:val="none"/>
                <w:lang w:val="en-US"/>
              </w:rPr>
            </w:pPr>
            <w:r>
              <w:rPr>
                <w:rFonts w:hint="eastAsia" w:ascii="Times New Roman" w:hAnsi="Times New Roman" w:eastAsia="宋体" w:cs="Times New Roman"/>
                <w:color w:val="auto"/>
                <w:kern w:val="0"/>
                <w:sz w:val="21"/>
                <w:szCs w:val="21"/>
                <w:highlight w:val="none"/>
                <w:lang w:val="en-US" w:eastAsia="zh-CN"/>
              </w:rPr>
              <w:t>3000</w:t>
            </w:r>
          </w:p>
        </w:tc>
        <w:tc>
          <w:tcPr>
            <w:tcW w:w="415" w:type="pct"/>
            <w:noWrap w:val="0"/>
            <w:vAlign w:val="center"/>
          </w:tcPr>
          <w:p w14:paraId="40E87E5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snapToGrid w:val="0"/>
                <w:color w:val="auto"/>
                <w:kern w:val="0"/>
                <w:sz w:val="21"/>
                <w:szCs w:val="21"/>
                <w:highlight w:val="none"/>
              </w:rPr>
              <w:t>3</w:t>
            </w:r>
            <w:r>
              <w:rPr>
                <w:snapToGrid w:val="0"/>
                <w:color w:val="auto"/>
                <w:kern w:val="0"/>
                <w:sz w:val="21"/>
                <w:szCs w:val="21"/>
                <w:highlight w:val="none"/>
              </w:rPr>
              <w:t>3.75m</w:t>
            </w:r>
            <w:r>
              <w:rPr>
                <w:snapToGrid w:val="0"/>
                <w:color w:val="auto"/>
                <w:kern w:val="0"/>
                <w:sz w:val="21"/>
                <w:szCs w:val="21"/>
                <w:highlight w:val="none"/>
                <w:vertAlign w:val="superscript"/>
              </w:rPr>
              <w:t>3</w:t>
            </w:r>
            <w:r>
              <w:rPr>
                <w:snapToGrid w:val="0"/>
                <w:color w:val="auto"/>
                <w:kern w:val="0"/>
                <w:sz w:val="21"/>
                <w:szCs w:val="21"/>
                <w:highlight w:val="none"/>
              </w:rPr>
              <w:t>/h</w:t>
            </w:r>
          </w:p>
        </w:tc>
        <w:tc>
          <w:tcPr>
            <w:tcW w:w="298" w:type="pct"/>
            <w:noWrap w:val="0"/>
            <w:vAlign w:val="center"/>
          </w:tcPr>
          <w:p w14:paraId="26EDDFB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520" w:type="pct"/>
            <w:noWrap w:val="0"/>
            <w:vAlign w:val="center"/>
          </w:tcPr>
          <w:p w14:paraId="5F343D6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ascii="Times New Roman" w:hAnsi="Times New Roman" w:eastAsia="宋体" w:cs="Times New Roman"/>
                <w:color w:val="auto"/>
                <w:kern w:val="0"/>
                <w:sz w:val="21"/>
                <w:szCs w:val="21"/>
                <w:highlight w:val="none"/>
                <w:lang w:val="en-US" w:eastAsia="zh-CN"/>
              </w:rPr>
              <w:t>/</w:t>
            </w:r>
          </w:p>
        </w:tc>
        <w:tc>
          <w:tcPr>
            <w:tcW w:w="1642" w:type="pct"/>
            <w:noWrap w:val="0"/>
            <w:vAlign w:val="center"/>
          </w:tcPr>
          <w:p w14:paraId="72467AB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不外排</w:t>
            </w:r>
          </w:p>
        </w:tc>
      </w:tr>
      <w:tr w14:paraId="1467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1CDE882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noWrap w:val="0"/>
            <w:vAlign w:val="center"/>
          </w:tcPr>
          <w:p w14:paraId="00C611E7">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总排口废水</w:t>
            </w:r>
          </w:p>
        </w:tc>
        <w:tc>
          <w:tcPr>
            <w:tcW w:w="365" w:type="pct"/>
            <w:noWrap w:val="0"/>
            <w:vAlign w:val="center"/>
          </w:tcPr>
          <w:p w14:paraId="4DCA2BF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ascii="Times New Roman"/>
                <w:color w:val="auto"/>
                <w:sz w:val="21"/>
                <w:szCs w:val="21"/>
                <w:highlight w:val="none"/>
              </w:rPr>
              <w:t>污</w:t>
            </w:r>
            <w:r>
              <w:rPr>
                <w:rFonts w:hint="eastAsia" w:ascii="Times New Roman" w:hAnsi="Times New Roman" w:eastAsia="宋体" w:cs="Times New Roman"/>
                <w:snapToGrid w:val="0"/>
                <w:color w:val="auto"/>
                <w:kern w:val="0"/>
                <w:sz w:val="21"/>
                <w:szCs w:val="21"/>
                <w:highlight w:val="none"/>
                <w:lang w:val="en-US" w:eastAsia="zh-CN" w:bidi="ar-SA"/>
              </w:rPr>
              <w:t>水处理站生化段处理后排入乌苏市西区污水处理厂一期</w:t>
            </w:r>
          </w:p>
        </w:tc>
        <w:tc>
          <w:tcPr>
            <w:tcW w:w="186" w:type="pct"/>
            <w:noWrap w:val="0"/>
            <w:vAlign w:val="center"/>
          </w:tcPr>
          <w:p w14:paraId="6AE006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1" w:type="pct"/>
            <w:noWrap w:val="0"/>
            <w:vAlign w:val="center"/>
          </w:tcPr>
          <w:p w14:paraId="1D2EE30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snapToGrid w:val="0"/>
                <w:color w:val="auto"/>
                <w:kern w:val="0"/>
                <w:szCs w:val="21"/>
                <w:highlight w:val="none"/>
              </w:rPr>
            </w:pPr>
            <w:r>
              <w:rPr>
                <w:rFonts w:hint="eastAsia"/>
                <w:snapToGrid w:val="0"/>
                <w:color w:val="auto"/>
                <w:kern w:val="0"/>
                <w:szCs w:val="21"/>
                <w:highlight w:val="none"/>
              </w:rPr>
              <w:t>预处理+生化处理</w:t>
            </w:r>
          </w:p>
        </w:tc>
        <w:tc>
          <w:tcPr>
            <w:tcW w:w="336" w:type="pct"/>
            <w:noWrap w:val="0"/>
            <w:vAlign w:val="center"/>
          </w:tcPr>
          <w:p w14:paraId="24822626">
            <w:pPr>
              <w:adjustRightInd w:val="0"/>
              <w:snapToGrid w:val="0"/>
              <w:jc w:val="center"/>
              <w:rPr>
                <w:rFonts w:hint="eastAsia"/>
                <w:snapToGrid w:val="0"/>
                <w:color w:val="auto"/>
                <w:kern w:val="0"/>
                <w:szCs w:val="21"/>
                <w:highlight w:val="none"/>
              </w:rPr>
            </w:pPr>
            <w:r>
              <w:rPr>
                <w:rFonts w:hint="eastAsia"/>
                <w:color w:val="auto"/>
                <w:szCs w:val="21"/>
                <w:highlight w:val="none"/>
              </w:rPr>
              <w:t>全盐量</w:t>
            </w:r>
          </w:p>
        </w:tc>
        <w:tc>
          <w:tcPr>
            <w:tcW w:w="421" w:type="pct"/>
            <w:noWrap w:val="0"/>
            <w:vAlign w:val="center"/>
          </w:tcPr>
          <w:p w14:paraId="3967ADEA">
            <w:pPr>
              <w:adjustRightInd w:val="0"/>
              <w:snapToGrid w:val="0"/>
              <w:jc w:val="center"/>
              <w:rPr>
                <w:snapToGrid w:val="0"/>
                <w:color w:val="auto"/>
                <w:kern w:val="0"/>
                <w:szCs w:val="21"/>
                <w:highlight w:val="none"/>
              </w:rPr>
            </w:pPr>
            <w:r>
              <w:rPr>
                <w:rFonts w:hint="eastAsia"/>
                <w:color w:val="auto"/>
                <w:szCs w:val="21"/>
                <w:highlight w:val="none"/>
              </w:rPr>
              <w:t>1</w:t>
            </w:r>
            <w:r>
              <w:rPr>
                <w:color w:val="auto"/>
                <w:szCs w:val="21"/>
                <w:highlight w:val="none"/>
              </w:rPr>
              <w:t>470</w:t>
            </w:r>
          </w:p>
        </w:tc>
        <w:tc>
          <w:tcPr>
            <w:tcW w:w="415" w:type="pct"/>
            <w:noWrap w:val="0"/>
            <w:vAlign w:val="center"/>
          </w:tcPr>
          <w:p w14:paraId="07F57921">
            <w:pPr>
              <w:adjustRightInd w:val="0"/>
              <w:snapToGrid w:val="0"/>
              <w:jc w:val="center"/>
              <w:rPr>
                <w:rFonts w:hint="eastAsia"/>
                <w:snapToGrid w:val="0"/>
                <w:color w:val="auto"/>
                <w:kern w:val="0"/>
                <w:szCs w:val="21"/>
                <w:highlight w:val="none"/>
              </w:rPr>
            </w:pPr>
            <w:r>
              <w:rPr>
                <w:rFonts w:hint="eastAsia"/>
                <w:color w:val="auto"/>
                <w:kern w:val="0"/>
                <w:szCs w:val="21"/>
                <w:highlight w:val="none"/>
                <w:lang w:val="en-US" w:eastAsia="zh-CN"/>
              </w:rPr>
              <w:t>3.03</w:t>
            </w:r>
            <w:r>
              <w:rPr>
                <w:color w:val="auto"/>
                <w:kern w:val="0"/>
                <w:szCs w:val="21"/>
                <w:highlight w:val="none"/>
              </w:rPr>
              <w:t>m</w:t>
            </w:r>
            <w:r>
              <w:rPr>
                <w:color w:val="auto"/>
                <w:kern w:val="0"/>
                <w:szCs w:val="21"/>
                <w:highlight w:val="none"/>
                <w:vertAlign w:val="superscript"/>
              </w:rPr>
              <w:t>3</w:t>
            </w:r>
            <w:r>
              <w:rPr>
                <w:color w:val="auto"/>
                <w:kern w:val="0"/>
                <w:szCs w:val="21"/>
                <w:highlight w:val="none"/>
              </w:rPr>
              <w:t>/h</w:t>
            </w:r>
          </w:p>
        </w:tc>
        <w:tc>
          <w:tcPr>
            <w:tcW w:w="298" w:type="pct"/>
            <w:noWrap w:val="0"/>
            <w:vAlign w:val="center"/>
          </w:tcPr>
          <w:p w14:paraId="4CC2362A">
            <w:pPr>
              <w:adjustRightInd w:val="0"/>
              <w:snapToGrid w:val="0"/>
              <w:jc w:val="center"/>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35.63</w:t>
            </w:r>
          </w:p>
        </w:tc>
        <w:tc>
          <w:tcPr>
            <w:tcW w:w="520" w:type="pct"/>
            <w:noWrap w:val="0"/>
            <w:vAlign w:val="center"/>
          </w:tcPr>
          <w:p w14:paraId="6174A2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1500</w:t>
            </w:r>
          </w:p>
        </w:tc>
        <w:tc>
          <w:tcPr>
            <w:tcW w:w="1642" w:type="pct"/>
            <w:noWrap w:val="0"/>
            <w:vAlign w:val="center"/>
          </w:tcPr>
          <w:p w14:paraId="5C6F6BEC">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snapToGrid w:val="0"/>
                <w:color w:val="auto"/>
                <w:kern w:val="0"/>
                <w:szCs w:val="21"/>
                <w:highlight w:val="none"/>
              </w:rPr>
            </w:pPr>
            <w:r>
              <w:rPr>
                <w:rFonts w:hint="eastAsia"/>
                <w:color w:val="auto"/>
                <w:kern w:val="0"/>
                <w:szCs w:val="21"/>
                <w:highlight w:val="none"/>
                <w:lang w:val="en-US" w:eastAsia="zh-CN"/>
              </w:rPr>
              <w:t>《污水排入城镇下水道水质标准》（GB/T31962-2015）中表1A级标准</w:t>
            </w:r>
          </w:p>
        </w:tc>
      </w:tr>
      <w:tr w14:paraId="47E3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noWrap w:val="0"/>
            <w:vAlign w:val="center"/>
          </w:tcPr>
          <w:p w14:paraId="0DF70F4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噪声</w:t>
            </w:r>
          </w:p>
        </w:tc>
        <w:tc>
          <w:tcPr>
            <w:tcW w:w="204" w:type="pct"/>
            <w:noWrap w:val="0"/>
            <w:vAlign w:val="center"/>
          </w:tcPr>
          <w:p w14:paraId="2F6FC10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生产和辅助设备</w:t>
            </w:r>
          </w:p>
        </w:tc>
        <w:tc>
          <w:tcPr>
            <w:tcW w:w="365" w:type="pct"/>
            <w:noWrap w:val="0"/>
            <w:vAlign w:val="center"/>
          </w:tcPr>
          <w:p w14:paraId="399D5A3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厂界</w:t>
            </w:r>
          </w:p>
        </w:tc>
        <w:tc>
          <w:tcPr>
            <w:tcW w:w="186" w:type="pct"/>
            <w:noWrap w:val="0"/>
            <w:vAlign w:val="center"/>
          </w:tcPr>
          <w:p w14:paraId="1D1C856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431" w:type="pct"/>
            <w:noWrap w:val="0"/>
            <w:vAlign w:val="center"/>
          </w:tcPr>
          <w:p w14:paraId="36EA88D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厂房隔声、风机加装消声器，设备基础减振</w:t>
            </w:r>
          </w:p>
        </w:tc>
        <w:tc>
          <w:tcPr>
            <w:tcW w:w="336" w:type="pct"/>
            <w:noWrap w:val="0"/>
            <w:vAlign w:val="center"/>
          </w:tcPr>
          <w:p w14:paraId="3FDC3E4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等效连续A声级</w:t>
            </w:r>
          </w:p>
        </w:tc>
        <w:tc>
          <w:tcPr>
            <w:tcW w:w="421" w:type="pct"/>
            <w:noWrap w:val="0"/>
            <w:vAlign w:val="center"/>
          </w:tcPr>
          <w:p w14:paraId="2232FD4C">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415" w:type="pct"/>
            <w:noWrap w:val="0"/>
            <w:vAlign w:val="center"/>
          </w:tcPr>
          <w:p w14:paraId="047FA8C5">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298" w:type="pct"/>
            <w:noWrap w:val="0"/>
            <w:vAlign w:val="center"/>
          </w:tcPr>
          <w:p w14:paraId="1BD9BB3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520" w:type="pct"/>
            <w:noWrap w:val="0"/>
            <w:vAlign w:val="center"/>
          </w:tcPr>
          <w:p w14:paraId="490447D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cs="Times New Roman"/>
                <w:color w:val="auto"/>
                <w:sz w:val="21"/>
                <w:szCs w:val="21"/>
                <w:highlight w:val="none"/>
                <w:lang w:val="en-US" w:eastAsia="zh-CN"/>
              </w:rPr>
              <w:t>昼间65DB（A）、夜间55DB（A）</w:t>
            </w:r>
          </w:p>
        </w:tc>
        <w:tc>
          <w:tcPr>
            <w:tcW w:w="1642" w:type="pct"/>
            <w:noWrap w:val="0"/>
            <w:vAlign w:val="center"/>
          </w:tcPr>
          <w:p w14:paraId="245D85FC">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《工业企业厂界环境噪声排放标准》（GB12348-2008）3类</w:t>
            </w:r>
          </w:p>
        </w:tc>
      </w:tr>
      <w:tr w14:paraId="5DC1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restart"/>
            <w:noWrap w:val="0"/>
            <w:vAlign w:val="center"/>
          </w:tcPr>
          <w:p w14:paraId="78FD62B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固体废物</w:t>
            </w:r>
          </w:p>
        </w:tc>
        <w:tc>
          <w:tcPr>
            <w:tcW w:w="204" w:type="pct"/>
            <w:noWrap w:val="0"/>
            <w:vAlign w:val="center"/>
          </w:tcPr>
          <w:p w14:paraId="1FAED28B">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一般固废</w:t>
            </w:r>
          </w:p>
        </w:tc>
        <w:tc>
          <w:tcPr>
            <w:tcW w:w="365" w:type="pct"/>
            <w:shd w:val="clear" w:color="auto" w:fill="auto"/>
            <w:noWrap w:val="0"/>
            <w:vAlign w:val="center"/>
          </w:tcPr>
          <w:p w14:paraId="2A7A2AC5">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color w:val="auto"/>
                <w:kern w:val="0"/>
                <w:szCs w:val="21"/>
                <w:highlight w:val="none"/>
              </w:rPr>
              <w:t>菌体污泥</w:t>
            </w:r>
          </w:p>
        </w:tc>
        <w:tc>
          <w:tcPr>
            <w:tcW w:w="954" w:type="pct"/>
            <w:gridSpan w:val="3"/>
            <w:noWrap w:val="0"/>
            <w:vAlign w:val="center"/>
          </w:tcPr>
          <w:p w14:paraId="3DB9FEC3">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送</w:t>
            </w:r>
            <w:r>
              <w:rPr>
                <w:color w:val="auto"/>
                <w:kern w:val="0"/>
                <w:szCs w:val="21"/>
                <w:highlight w:val="none"/>
              </w:rPr>
              <w:t>新疆融兴盛景城市服务有限公司填埋处置</w:t>
            </w:r>
          </w:p>
        </w:tc>
        <w:tc>
          <w:tcPr>
            <w:tcW w:w="421" w:type="pct"/>
            <w:noWrap w:val="0"/>
            <w:vAlign w:val="center"/>
          </w:tcPr>
          <w:p w14:paraId="5C145F3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415" w:type="pct"/>
            <w:noWrap w:val="0"/>
            <w:vAlign w:val="center"/>
          </w:tcPr>
          <w:p w14:paraId="31DB8EF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298" w:type="pct"/>
            <w:shd w:val="clear" w:color="auto" w:fill="auto"/>
            <w:noWrap w:val="0"/>
            <w:vAlign w:val="center"/>
          </w:tcPr>
          <w:p w14:paraId="78563AE2">
            <w:pPr>
              <w:adjustRightInd w:val="0"/>
              <w:snapToGrid w:val="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eastAsia="宋体"/>
                <w:snapToGrid w:val="0"/>
                <w:color w:val="auto"/>
                <w:kern w:val="0"/>
                <w:szCs w:val="21"/>
                <w:highlight w:val="none"/>
                <w:lang w:val="en-US" w:eastAsia="zh-CN" w:bidi="ar"/>
              </w:rPr>
              <w:t>24320</w:t>
            </w:r>
          </w:p>
        </w:tc>
        <w:tc>
          <w:tcPr>
            <w:tcW w:w="520" w:type="pct"/>
            <w:noWrap w:val="0"/>
            <w:vAlign w:val="center"/>
          </w:tcPr>
          <w:p w14:paraId="02B7816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1642" w:type="pct"/>
            <w:noWrap w:val="0"/>
            <w:vAlign w:val="center"/>
          </w:tcPr>
          <w:p w14:paraId="4F8DC3BE">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z w:val="21"/>
                <w:szCs w:val="21"/>
                <w:highlight w:val="none"/>
                <w:lang w:val="zh-CN" w:eastAsia="zh-CN"/>
              </w:rPr>
              <w:t>《一般工业固体废物贮存和填埋污染控制标准》（GB18559-2020）</w:t>
            </w:r>
          </w:p>
        </w:tc>
      </w:tr>
      <w:tr w14:paraId="4F6F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39BB9E0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restart"/>
            <w:noWrap w:val="0"/>
            <w:vAlign w:val="center"/>
          </w:tcPr>
          <w:p w14:paraId="4436AFC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rPr>
              <w:t>危险废物</w:t>
            </w:r>
          </w:p>
        </w:tc>
        <w:tc>
          <w:tcPr>
            <w:tcW w:w="365" w:type="pct"/>
            <w:shd w:val="clear" w:color="auto" w:fill="auto"/>
            <w:noWrap w:val="0"/>
            <w:vAlign w:val="center"/>
          </w:tcPr>
          <w:p w14:paraId="73252FE7">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
              </w:rPr>
            </w:pPr>
            <w:r>
              <w:rPr>
                <w:rFonts w:hint="eastAsia"/>
                <w:snapToGrid w:val="0"/>
                <w:color w:val="auto"/>
                <w:kern w:val="0"/>
                <w:szCs w:val="21"/>
                <w:highlight w:val="none"/>
                <w:lang w:eastAsia="zh-CN" w:bidi="ar"/>
              </w:rPr>
              <w:t>废矿物油</w:t>
            </w:r>
          </w:p>
        </w:tc>
        <w:tc>
          <w:tcPr>
            <w:tcW w:w="954" w:type="pct"/>
            <w:gridSpan w:val="3"/>
            <w:vMerge w:val="restart"/>
            <w:noWrap w:val="0"/>
            <w:vAlign w:val="center"/>
          </w:tcPr>
          <w:p w14:paraId="281631A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snapToGrid w:val="0"/>
                <w:color w:val="auto"/>
                <w:kern w:val="0"/>
                <w:szCs w:val="21"/>
                <w:highlight w:val="none"/>
                <w:lang w:val="en-US" w:eastAsia="zh-CN" w:bidi="ar"/>
              </w:rPr>
              <w:t>委托</w:t>
            </w:r>
            <w:r>
              <w:rPr>
                <w:rFonts w:hint="eastAsia"/>
                <w:snapToGrid w:val="0"/>
                <w:color w:val="auto"/>
                <w:kern w:val="0"/>
                <w:szCs w:val="21"/>
                <w:highlight w:val="none"/>
                <w:lang w:bidi="ar"/>
              </w:rPr>
              <w:t>有资质单位清运处置</w:t>
            </w:r>
          </w:p>
        </w:tc>
        <w:tc>
          <w:tcPr>
            <w:tcW w:w="421" w:type="pct"/>
            <w:noWrap w:val="0"/>
            <w:vAlign w:val="center"/>
          </w:tcPr>
          <w:p w14:paraId="1EEF1902">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415" w:type="pct"/>
            <w:noWrap w:val="0"/>
            <w:vAlign w:val="center"/>
          </w:tcPr>
          <w:p w14:paraId="49AF582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298" w:type="pct"/>
            <w:shd w:val="clear" w:color="auto" w:fill="auto"/>
            <w:noWrap w:val="0"/>
            <w:vAlign w:val="center"/>
          </w:tcPr>
          <w:p w14:paraId="4222C41D">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
              </w:rPr>
            </w:pPr>
            <w:r>
              <w:rPr>
                <w:snapToGrid w:val="0"/>
                <w:color w:val="auto"/>
                <w:kern w:val="0"/>
                <w:szCs w:val="21"/>
                <w:highlight w:val="none"/>
                <w:lang w:bidi="ar"/>
              </w:rPr>
              <w:t>5</w:t>
            </w:r>
          </w:p>
        </w:tc>
        <w:tc>
          <w:tcPr>
            <w:tcW w:w="520" w:type="pct"/>
            <w:noWrap w:val="0"/>
            <w:vAlign w:val="center"/>
          </w:tcPr>
          <w:p w14:paraId="1D0D643F">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1642" w:type="pct"/>
            <w:vMerge w:val="restart"/>
            <w:noWrap w:val="0"/>
            <w:vAlign w:val="center"/>
          </w:tcPr>
          <w:p w14:paraId="29E8D36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r>
              <w:rPr>
                <w:rFonts w:ascii="Times New Roman" w:hAnsi="Times New Roman" w:eastAsia="宋体" w:cs="Times New Roman"/>
                <w:color w:val="auto"/>
                <w:kern w:val="2"/>
                <w:sz w:val="21"/>
                <w:szCs w:val="21"/>
                <w:highlight w:val="none"/>
                <w:lang w:val="en-US" w:eastAsia="zh-CN" w:bidi="ar-SA"/>
              </w:rPr>
              <w:t>《危险废物贮存污染控制标准》</w:t>
            </w:r>
            <w:r>
              <w:rPr>
                <w:rFonts w:hint="eastAsia" w:ascii="Times New Roman" w:hAnsi="Times New Roman" w:eastAsia="宋体" w:cs="Times New Roman"/>
                <w:color w:val="auto"/>
                <w:kern w:val="2"/>
                <w:sz w:val="21"/>
                <w:szCs w:val="21"/>
                <w:highlight w:val="none"/>
                <w:lang w:val="en-US" w:eastAsia="zh-CN" w:bidi="ar-SA"/>
              </w:rPr>
              <w:t>（</w:t>
            </w:r>
            <w:r>
              <w:rPr>
                <w:rFonts w:ascii="Times New Roman" w:hAnsi="Times New Roman" w:eastAsia="宋体" w:cs="Times New Roman"/>
                <w:color w:val="auto"/>
                <w:kern w:val="2"/>
                <w:sz w:val="21"/>
                <w:szCs w:val="21"/>
                <w:highlight w:val="none"/>
                <w:lang w:val="en-US" w:eastAsia="zh-CN" w:bidi="ar-SA"/>
              </w:rPr>
              <w:t>GB 18597-2023</w:t>
            </w:r>
            <w:r>
              <w:rPr>
                <w:rFonts w:hint="eastAsia" w:ascii="Times New Roman" w:hAnsi="Times New Roman" w:eastAsia="宋体" w:cs="Times New Roman"/>
                <w:color w:val="auto"/>
                <w:kern w:val="2"/>
                <w:sz w:val="21"/>
                <w:szCs w:val="21"/>
                <w:highlight w:val="none"/>
                <w:lang w:val="en-US" w:eastAsia="zh-CN" w:bidi="ar-SA"/>
              </w:rPr>
              <w:t>）</w:t>
            </w:r>
          </w:p>
        </w:tc>
      </w:tr>
      <w:tr w14:paraId="6CC5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47CB467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6D30902A">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shd w:val="clear" w:color="auto" w:fill="auto"/>
            <w:noWrap w:val="0"/>
            <w:vAlign w:val="center"/>
          </w:tcPr>
          <w:p w14:paraId="7A8FE134">
            <w:pPr>
              <w:adjustRightInd w:val="0"/>
              <w:snapToGrid w:val="0"/>
              <w:jc w:val="center"/>
              <w:rPr>
                <w:rFonts w:hint="eastAsia" w:eastAsia="宋体"/>
                <w:snapToGrid w:val="0"/>
                <w:color w:val="auto"/>
                <w:kern w:val="0"/>
                <w:szCs w:val="21"/>
                <w:highlight w:val="none"/>
                <w:lang w:eastAsia="zh-CN" w:bidi="ar"/>
              </w:rPr>
            </w:pPr>
            <w:r>
              <w:rPr>
                <w:rFonts w:hint="eastAsia"/>
                <w:snapToGrid w:val="0"/>
                <w:color w:val="auto"/>
                <w:kern w:val="0"/>
                <w:szCs w:val="21"/>
                <w:highlight w:val="none"/>
                <w:lang w:eastAsia="zh-CN" w:bidi="ar"/>
              </w:rPr>
              <w:t>化验室废液</w:t>
            </w:r>
          </w:p>
        </w:tc>
        <w:tc>
          <w:tcPr>
            <w:tcW w:w="954" w:type="pct"/>
            <w:gridSpan w:val="3"/>
            <w:vMerge w:val="continue"/>
            <w:noWrap w:val="0"/>
            <w:vAlign w:val="center"/>
          </w:tcPr>
          <w:p w14:paraId="7CD67E16">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snapToGrid w:val="0"/>
                <w:color w:val="auto"/>
                <w:kern w:val="0"/>
                <w:szCs w:val="21"/>
                <w:highlight w:val="none"/>
                <w:lang w:bidi="ar"/>
              </w:rPr>
            </w:pPr>
          </w:p>
        </w:tc>
        <w:tc>
          <w:tcPr>
            <w:tcW w:w="421" w:type="pct"/>
            <w:noWrap w:val="0"/>
            <w:vAlign w:val="center"/>
          </w:tcPr>
          <w:p w14:paraId="4CEA5D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415" w:type="pct"/>
            <w:noWrap w:val="0"/>
            <w:vAlign w:val="center"/>
          </w:tcPr>
          <w:p w14:paraId="5B77E6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298" w:type="pct"/>
            <w:shd w:val="clear" w:color="auto" w:fill="auto"/>
            <w:noWrap w:val="0"/>
            <w:vAlign w:val="center"/>
          </w:tcPr>
          <w:p w14:paraId="515479AE">
            <w:pPr>
              <w:adjustRightInd w:val="0"/>
              <w:snapToGrid w:val="0"/>
              <w:jc w:val="center"/>
              <w:rPr>
                <w:rFonts w:hint="eastAsia"/>
                <w:snapToGrid w:val="0"/>
                <w:color w:val="auto"/>
                <w:kern w:val="0"/>
                <w:szCs w:val="21"/>
                <w:highlight w:val="none"/>
                <w:lang w:bidi="ar"/>
              </w:rPr>
            </w:pPr>
            <w:r>
              <w:rPr>
                <w:snapToGrid w:val="0"/>
                <w:color w:val="auto"/>
                <w:kern w:val="0"/>
                <w:szCs w:val="21"/>
                <w:highlight w:val="none"/>
                <w:lang w:bidi="ar"/>
              </w:rPr>
              <w:t>1</w:t>
            </w:r>
          </w:p>
        </w:tc>
        <w:tc>
          <w:tcPr>
            <w:tcW w:w="520" w:type="pct"/>
            <w:noWrap w:val="0"/>
            <w:vAlign w:val="center"/>
          </w:tcPr>
          <w:p w14:paraId="2DED73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1642" w:type="pct"/>
            <w:vMerge w:val="continue"/>
            <w:noWrap w:val="0"/>
            <w:vAlign w:val="center"/>
          </w:tcPr>
          <w:p w14:paraId="741FE8F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ascii="Times New Roman" w:hAnsi="Times New Roman" w:eastAsia="宋体" w:cs="Times New Roman"/>
                <w:color w:val="auto"/>
                <w:kern w:val="2"/>
                <w:sz w:val="21"/>
                <w:szCs w:val="21"/>
                <w:highlight w:val="none"/>
                <w:lang w:val="en-US" w:eastAsia="zh-CN" w:bidi="ar-SA"/>
              </w:rPr>
            </w:pPr>
          </w:p>
        </w:tc>
      </w:tr>
      <w:tr w14:paraId="2040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77" w:type="pct"/>
            <w:vMerge w:val="continue"/>
            <w:noWrap w:val="0"/>
            <w:vAlign w:val="center"/>
          </w:tcPr>
          <w:p w14:paraId="7B6F5579">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204" w:type="pct"/>
            <w:vMerge w:val="continue"/>
            <w:noWrap w:val="0"/>
            <w:vAlign w:val="center"/>
          </w:tcPr>
          <w:p w14:paraId="677E1A01">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365" w:type="pct"/>
            <w:shd w:val="clear" w:color="auto" w:fill="auto"/>
            <w:noWrap w:val="0"/>
            <w:vAlign w:val="center"/>
          </w:tcPr>
          <w:p w14:paraId="3B069457">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
              </w:rPr>
            </w:pPr>
            <w:r>
              <w:rPr>
                <w:rFonts w:hint="eastAsia"/>
                <w:color w:val="auto"/>
                <w:kern w:val="0"/>
                <w:sz w:val="21"/>
                <w:szCs w:val="21"/>
                <w:highlight w:val="none"/>
                <w:lang w:bidi="ar"/>
              </w:rPr>
              <w:t>废铅蓄电池</w:t>
            </w:r>
          </w:p>
        </w:tc>
        <w:tc>
          <w:tcPr>
            <w:tcW w:w="954" w:type="pct"/>
            <w:gridSpan w:val="3"/>
            <w:vMerge w:val="continue"/>
            <w:noWrap w:val="0"/>
            <w:vAlign w:val="center"/>
          </w:tcPr>
          <w:p w14:paraId="6EE7914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c>
          <w:tcPr>
            <w:tcW w:w="421" w:type="pct"/>
            <w:noWrap w:val="0"/>
            <w:vAlign w:val="center"/>
          </w:tcPr>
          <w:p w14:paraId="40E028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415" w:type="pct"/>
            <w:noWrap w:val="0"/>
            <w:vAlign w:val="center"/>
          </w:tcPr>
          <w:p w14:paraId="146806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298" w:type="pct"/>
            <w:shd w:val="clear" w:color="auto" w:fill="auto"/>
            <w:noWrap w:val="0"/>
            <w:vAlign w:val="center"/>
          </w:tcPr>
          <w:p w14:paraId="2D51F46D">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
              </w:rPr>
            </w:pPr>
            <w:r>
              <w:rPr>
                <w:color w:val="auto"/>
                <w:highlight w:val="none"/>
              </w:rPr>
              <w:t>5</w:t>
            </w:r>
          </w:p>
        </w:tc>
        <w:tc>
          <w:tcPr>
            <w:tcW w:w="520" w:type="pct"/>
            <w:noWrap w:val="0"/>
            <w:vAlign w:val="center"/>
          </w:tcPr>
          <w:p w14:paraId="2A8FD4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w:t>
            </w:r>
          </w:p>
        </w:tc>
        <w:tc>
          <w:tcPr>
            <w:tcW w:w="1642" w:type="pct"/>
            <w:vMerge w:val="continue"/>
            <w:noWrap w:val="0"/>
            <w:vAlign w:val="center"/>
          </w:tcPr>
          <w:p w14:paraId="5B80CAF0">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rPr>
            </w:pPr>
          </w:p>
        </w:tc>
      </w:tr>
      <w:tr w14:paraId="2007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47" w:type="pct"/>
            <w:gridSpan w:val="3"/>
            <w:noWrap w:val="0"/>
            <w:vAlign w:val="center"/>
          </w:tcPr>
          <w:p w14:paraId="18383D6A">
            <w:pPr>
              <w:adjustRightInd w:val="0"/>
              <w:snapToGrid w:val="0"/>
              <w:jc w:val="center"/>
              <w:rPr>
                <w:rFonts w:hint="eastAsia"/>
                <w:snapToGrid w:val="0"/>
                <w:color w:val="auto"/>
                <w:kern w:val="0"/>
                <w:szCs w:val="21"/>
                <w:highlight w:val="none"/>
                <w:lang w:bidi="ar"/>
              </w:rPr>
            </w:pPr>
            <w:r>
              <w:rPr>
                <w:rFonts w:hint="eastAsia" w:ascii="Times New Roman" w:hAnsi="Times New Roman" w:eastAsia="宋体" w:cs="Times New Roman"/>
                <w:color w:val="auto"/>
                <w:spacing w:val="0"/>
                <w:kern w:val="0"/>
                <w:sz w:val="21"/>
                <w:szCs w:val="21"/>
                <w:highlight w:val="none"/>
                <w:lang w:val="en-US" w:eastAsia="zh-CN"/>
              </w:rPr>
              <w:t>生活垃圾</w:t>
            </w:r>
          </w:p>
        </w:tc>
        <w:tc>
          <w:tcPr>
            <w:tcW w:w="954" w:type="pct"/>
            <w:gridSpan w:val="3"/>
            <w:noWrap w:val="0"/>
            <w:vAlign w:val="center"/>
          </w:tcPr>
          <w:p w14:paraId="66F8E5B7">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color w:val="auto"/>
                <w:szCs w:val="21"/>
                <w:highlight w:val="none"/>
              </w:rPr>
              <w:t>交环卫部门</w:t>
            </w:r>
            <w:r>
              <w:rPr>
                <w:rFonts w:hint="eastAsia"/>
                <w:color w:val="auto"/>
                <w:szCs w:val="21"/>
                <w:highlight w:val="none"/>
                <w:lang w:val="en-US" w:eastAsia="zh-CN"/>
              </w:rPr>
              <w:t>处理</w:t>
            </w:r>
          </w:p>
        </w:tc>
        <w:tc>
          <w:tcPr>
            <w:tcW w:w="421" w:type="pct"/>
            <w:noWrap w:val="0"/>
            <w:vAlign w:val="center"/>
          </w:tcPr>
          <w:p w14:paraId="3406E6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415" w:type="pct"/>
            <w:noWrap w:val="0"/>
            <w:vAlign w:val="center"/>
          </w:tcPr>
          <w:p w14:paraId="4B3306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298" w:type="pct"/>
            <w:shd w:val="clear" w:color="auto" w:fill="auto"/>
            <w:noWrap w:val="0"/>
            <w:vAlign w:val="center"/>
          </w:tcPr>
          <w:p w14:paraId="1F23D842">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12</w:t>
            </w:r>
          </w:p>
        </w:tc>
        <w:tc>
          <w:tcPr>
            <w:tcW w:w="520" w:type="pct"/>
            <w:noWrap w:val="0"/>
            <w:vAlign w:val="center"/>
          </w:tcPr>
          <w:p w14:paraId="21D0F2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c>
          <w:tcPr>
            <w:tcW w:w="1642" w:type="pct"/>
            <w:noWrap w:val="0"/>
            <w:vAlign w:val="center"/>
          </w:tcPr>
          <w:p w14:paraId="6DE75388">
            <w:pPr>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w:t>
            </w:r>
          </w:p>
        </w:tc>
      </w:tr>
    </w:tbl>
    <w:p w14:paraId="778CA1B0">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sectPr>
          <w:pgSz w:w="16838" w:h="11906" w:orient="landscape"/>
          <w:pgMar w:top="1985" w:right="1440" w:bottom="1701" w:left="1440" w:header="851" w:footer="992" w:gutter="0"/>
          <w:pgBorders>
            <w:top w:val="none" w:sz="0" w:space="0"/>
            <w:left w:val="none" w:sz="0" w:space="0"/>
            <w:bottom w:val="none" w:sz="0" w:space="0"/>
            <w:right w:val="none" w:sz="0" w:space="0"/>
          </w:pgBorders>
          <w:pgNumType w:fmt="decimal"/>
          <w:cols w:space="720" w:num="1"/>
          <w:docGrid w:linePitch="312" w:charSpace="0"/>
        </w:sectPr>
      </w:pPr>
    </w:p>
    <w:p w14:paraId="78B0DE83">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9.3.3排污许可与总量控制</w:t>
      </w:r>
    </w:p>
    <w:p w14:paraId="35915C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napToGrid w:val="0"/>
          <w:color w:val="auto"/>
          <w:kern w:val="0"/>
          <w:sz w:val="24"/>
          <w:highlight w:val="none"/>
        </w:rPr>
      </w:pPr>
      <w:r>
        <w:rPr>
          <w:rFonts w:ascii="Times New Roman" w:hAnsi="Times New Roman" w:cs="Times New Roman"/>
          <w:snapToGrid w:val="0"/>
          <w:color w:val="auto"/>
          <w:kern w:val="0"/>
          <w:sz w:val="24"/>
          <w:highlight w:val="none"/>
        </w:rPr>
        <w:t>建设单位申办排污许可证</w:t>
      </w:r>
      <w:r>
        <w:rPr>
          <w:rFonts w:hint="eastAsia" w:ascii="Times New Roman" w:hAnsi="Times New Roman" w:cs="Times New Roman"/>
          <w:snapToGrid w:val="0"/>
          <w:color w:val="auto"/>
          <w:kern w:val="0"/>
          <w:sz w:val="24"/>
          <w:highlight w:val="none"/>
        </w:rPr>
        <w:t>并</w:t>
      </w:r>
      <w:r>
        <w:rPr>
          <w:rFonts w:ascii="Times New Roman" w:hAnsi="Times New Roman" w:cs="Times New Roman"/>
          <w:snapToGrid w:val="0"/>
          <w:color w:val="auto"/>
          <w:kern w:val="0"/>
          <w:sz w:val="24"/>
          <w:highlight w:val="none"/>
        </w:rPr>
        <w:t>在排污许可证管理信息平台申报系统填报排污许可证申请表中的相应信息。主要包括排污单位基本信息，主要产品及产能，主要原辅料及燃料，产排污环节、污染物及污染治理设施等。</w:t>
      </w:r>
    </w:p>
    <w:p w14:paraId="69916B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（1）排污许可限值</w:t>
      </w:r>
    </w:p>
    <w:p w14:paraId="27BD7A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napToGrid w:val="0"/>
          <w:color w:val="auto"/>
          <w:kern w:val="0"/>
          <w:sz w:val="24"/>
          <w:highlight w:val="none"/>
        </w:rPr>
      </w:pPr>
      <w:r>
        <w:rPr>
          <w:rFonts w:hint="eastAsia" w:ascii="Times New Roman" w:hAnsi="Times New Roman" w:cs="Times New Roman"/>
          <w:snapToGrid w:val="0"/>
          <w:color w:val="auto"/>
          <w:kern w:val="0"/>
          <w:sz w:val="24"/>
          <w:highlight w:val="none"/>
        </w:rPr>
        <w:t>本项目废气排污许可限值建议见表</w:t>
      </w:r>
      <w:r>
        <w:rPr>
          <w:rFonts w:hint="eastAsia" w:cs="Times New Roman"/>
          <w:snapToGrid w:val="0"/>
          <w:color w:val="auto"/>
          <w:kern w:val="0"/>
          <w:sz w:val="24"/>
          <w:highlight w:val="none"/>
          <w:lang w:val="en-US" w:eastAsia="zh-CN"/>
        </w:rPr>
        <w:t>9.3-4</w:t>
      </w:r>
      <w:r>
        <w:rPr>
          <w:rFonts w:hint="eastAsia" w:ascii="Times New Roman" w:hAnsi="Times New Roman" w:cs="Times New Roman"/>
          <w:snapToGrid w:val="0"/>
          <w:color w:val="auto"/>
          <w:kern w:val="0"/>
          <w:sz w:val="24"/>
          <w:highlight w:val="none"/>
        </w:rPr>
        <w:t>。</w:t>
      </w:r>
    </w:p>
    <w:p w14:paraId="47BDAAC2">
      <w:pPr>
        <w:pStyle w:val="412"/>
        <w:tabs>
          <w:tab w:val="left" w:pos="0"/>
          <w:tab w:val="clear" w:pos="6840"/>
        </w:tabs>
        <w:spacing w:before="120" w:beforeLines="50" w:line="240" w:lineRule="auto"/>
        <w:ind w:left="422" w:hanging="422"/>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lang w:val="en-US" w:eastAsia="zh-CN"/>
        </w:rPr>
        <w:t>9.3-4</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废气</w:t>
      </w:r>
      <w:r>
        <w:rPr>
          <w:rFonts w:ascii="Times New Roman" w:hAnsi="Times New Roman" w:cs="Times New Roman"/>
          <w:color w:val="auto"/>
          <w:sz w:val="21"/>
          <w:szCs w:val="21"/>
          <w:highlight w:val="none"/>
        </w:rPr>
        <w:t>排污许可限值建议一览表</w:t>
      </w:r>
    </w:p>
    <w:tbl>
      <w:tblPr>
        <w:tblStyle w:val="5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337"/>
        <w:gridCol w:w="745"/>
        <w:gridCol w:w="1042"/>
        <w:gridCol w:w="910"/>
        <w:gridCol w:w="958"/>
        <w:gridCol w:w="2888"/>
      </w:tblGrid>
      <w:tr w14:paraId="5882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Merge w:val="restart"/>
            <w:tcBorders>
              <w:tl2br w:val="nil"/>
              <w:tr2bl w:val="nil"/>
            </w:tcBorders>
            <w:noWrap w:val="0"/>
            <w:tcMar>
              <w:top w:w="0" w:type="dxa"/>
              <w:left w:w="57" w:type="dxa"/>
              <w:bottom w:w="0" w:type="dxa"/>
              <w:right w:w="57" w:type="dxa"/>
            </w:tcMar>
            <w:vAlign w:val="center"/>
          </w:tcPr>
          <w:p w14:paraId="081BE2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序号</w:t>
            </w:r>
          </w:p>
        </w:tc>
        <w:tc>
          <w:tcPr>
            <w:tcW w:w="801" w:type="pct"/>
            <w:vMerge w:val="restart"/>
            <w:tcBorders>
              <w:tl2br w:val="nil"/>
              <w:tr2bl w:val="nil"/>
            </w:tcBorders>
            <w:noWrap w:val="0"/>
            <w:tcMar>
              <w:top w:w="0" w:type="dxa"/>
              <w:left w:w="57" w:type="dxa"/>
              <w:bottom w:w="0" w:type="dxa"/>
              <w:right w:w="57" w:type="dxa"/>
            </w:tcMar>
            <w:vAlign w:val="center"/>
          </w:tcPr>
          <w:p w14:paraId="37E0A6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污染源名称</w:t>
            </w:r>
          </w:p>
        </w:tc>
        <w:tc>
          <w:tcPr>
            <w:tcW w:w="447" w:type="pct"/>
            <w:vMerge w:val="restart"/>
            <w:tcBorders>
              <w:tl2br w:val="nil"/>
              <w:tr2bl w:val="nil"/>
            </w:tcBorders>
            <w:noWrap w:val="0"/>
            <w:tcMar>
              <w:top w:w="0" w:type="dxa"/>
              <w:left w:w="57" w:type="dxa"/>
              <w:bottom w:w="0" w:type="dxa"/>
              <w:right w:w="57" w:type="dxa"/>
            </w:tcMar>
            <w:vAlign w:val="center"/>
          </w:tcPr>
          <w:p w14:paraId="6E89C7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污染物</w:t>
            </w:r>
          </w:p>
        </w:tc>
        <w:tc>
          <w:tcPr>
            <w:tcW w:w="1746" w:type="pct"/>
            <w:gridSpan w:val="3"/>
            <w:tcBorders>
              <w:tl2br w:val="nil"/>
              <w:tr2bl w:val="nil"/>
            </w:tcBorders>
            <w:noWrap w:val="0"/>
            <w:tcMar>
              <w:top w:w="0" w:type="dxa"/>
              <w:left w:w="57" w:type="dxa"/>
              <w:bottom w:w="0" w:type="dxa"/>
              <w:right w:w="57" w:type="dxa"/>
            </w:tcMar>
            <w:vAlign w:val="center"/>
          </w:tcPr>
          <w:p w14:paraId="5286DC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污染物排放</w:t>
            </w:r>
          </w:p>
        </w:tc>
        <w:tc>
          <w:tcPr>
            <w:tcW w:w="1733" w:type="pct"/>
            <w:vMerge w:val="restart"/>
            <w:tcBorders>
              <w:tl2br w:val="nil"/>
              <w:tr2bl w:val="nil"/>
            </w:tcBorders>
            <w:noWrap w:val="0"/>
            <w:tcMar>
              <w:top w:w="0" w:type="dxa"/>
              <w:left w:w="57" w:type="dxa"/>
              <w:bottom w:w="0" w:type="dxa"/>
              <w:right w:w="57" w:type="dxa"/>
            </w:tcMar>
            <w:vAlign w:val="center"/>
          </w:tcPr>
          <w:p w14:paraId="332B09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ascii="Times New Roman" w:hAnsi="Times New Roman" w:eastAsia="宋体" w:cs="Times New Roman"/>
                <w:color w:val="auto"/>
                <w:kern w:val="0"/>
                <w:sz w:val="21"/>
                <w:szCs w:val="21"/>
                <w:highlight w:val="none"/>
                <w:lang w:val="en-US" w:eastAsia="zh-CN" w:bidi="ar-SA"/>
              </w:rPr>
              <w:t>排放限值</w:t>
            </w:r>
            <w:r>
              <w:rPr>
                <w:rFonts w:hint="eastAsia" w:ascii="Times New Roman" w:hAnsi="Times New Roman" w:eastAsia="宋体" w:cs="Times New Roman"/>
                <w:color w:val="auto"/>
                <w:kern w:val="0"/>
                <w:sz w:val="21"/>
                <w:szCs w:val="21"/>
                <w:highlight w:val="none"/>
                <w:lang w:val="en-US" w:eastAsia="zh-CN" w:bidi="ar-SA"/>
              </w:rPr>
              <w:t>（</w:t>
            </w:r>
            <w:r>
              <w:rPr>
                <w:rFonts w:ascii="Times New Roman" w:hAnsi="Times New Roman" w:eastAsia="宋体" w:cs="Times New Roman"/>
                <w:color w:val="auto"/>
                <w:kern w:val="0"/>
                <w:sz w:val="21"/>
                <w:szCs w:val="21"/>
                <w:highlight w:val="none"/>
                <w:lang w:val="en-US" w:eastAsia="zh-CN" w:bidi="ar-SA"/>
              </w:rPr>
              <w:t>mg/m</w:t>
            </w:r>
            <w:r>
              <w:rPr>
                <w:rFonts w:hint="eastAsia" w:ascii="Times New Roman" w:hAnsi="Times New Roman" w:eastAsia="宋体" w:cs="Times New Roman"/>
                <w:color w:val="auto"/>
                <w:kern w:val="0"/>
                <w:sz w:val="21"/>
                <w:szCs w:val="21"/>
                <w:highlight w:val="none"/>
                <w:vertAlign w:val="superscript"/>
                <w:lang w:val="en-US" w:eastAsia="zh-CN" w:bidi="ar-SA"/>
              </w:rPr>
              <w:t>3</w:t>
            </w:r>
            <w:r>
              <w:rPr>
                <w:rFonts w:ascii="Times New Roman" w:hAnsi="Times New Roman" w:eastAsia="宋体" w:cs="Times New Roman"/>
                <w:color w:val="auto"/>
                <w:kern w:val="0"/>
                <w:sz w:val="21"/>
                <w:szCs w:val="21"/>
                <w:highlight w:val="none"/>
                <w:lang w:val="en-US" w:eastAsia="zh-CN" w:bidi="ar-SA"/>
              </w:rPr>
              <w:t>）</w:t>
            </w:r>
          </w:p>
        </w:tc>
      </w:tr>
      <w:tr w14:paraId="3C86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Merge w:val="continue"/>
            <w:tcBorders>
              <w:tl2br w:val="nil"/>
              <w:tr2bl w:val="nil"/>
            </w:tcBorders>
            <w:shd w:val="clear" w:color="auto" w:fill="D7D7D7"/>
            <w:noWrap w:val="0"/>
            <w:tcMar>
              <w:top w:w="0" w:type="dxa"/>
              <w:left w:w="57" w:type="dxa"/>
              <w:bottom w:w="0" w:type="dxa"/>
              <w:right w:w="57" w:type="dxa"/>
            </w:tcMar>
            <w:vAlign w:val="center"/>
          </w:tcPr>
          <w:p w14:paraId="59E4A4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p>
        </w:tc>
        <w:tc>
          <w:tcPr>
            <w:tcW w:w="801" w:type="pct"/>
            <w:vMerge w:val="continue"/>
            <w:tcBorders>
              <w:tl2br w:val="nil"/>
              <w:tr2bl w:val="nil"/>
            </w:tcBorders>
            <w:shd w:val="clear" w:color="auto" w:fill="D7D7D7"/>
            <w:noWrap w:val="0"/>
            <w:tcMar>
              <w:top w:w="0" w:type="dxa"/>
              <w:left w:w="57" w:type="dxa"/>
              <w:bottom w:w="0" w:type="dxa"/>
              <w:right w:w="57" w:type="dxa"/>
            </w:tcMar>
            <w:vAlign w:val="center"/>
          </w:tcPr>
          <w:p w14:paraId="507546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447" w:type="pct"/>
            <w:vMerge w:val="continue"/>
            <w:tcBorders>
              <w:tl2br w:val="nil"/>
              <w:tr2bl w:val="nil"/>
            </w:tcBorders>
            <w:shd w:val="clear" w:color="auto" w:fill="D7D7D7"/>
            <w:noWrap w:val="0"/>
            <w:tcMar>
              <w:top w:w="0" w:type="dxa"/>
              <w:left w:w="57" w:type="dxa"/>
              <w:bottom w:w="0" w:type="dxa"/>
              <w:right w:w="57" w:type="dxa"/>
            </w:tcMar>
            <w:vAlign w:val="center"/>
          </w:tcPr>
          <w:p w14:paraId="4C767C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625" w:type="pct"/>
            <w:tcBorders>
              <w:tl2br w:val="nil"/>
              <w:tr2bl w:val="nil"/>
            </w:tcBorders>
            <w:noWrap w:val="0"/>
            <w:tcMar>
              <w:top w:w="0" w:type="dxa"/>
              <w:left w:w="57" w:type="dxa"/>
              <w:bottom w:w="0" w:type="dxa"/>
              <w:right w:w="57" w:type="dxa"/>
            </w:tcMar>
            <w:vAlign w:val="center"/>
          </w:tcPr>
          <w:p w14:paraId="4ACFFB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排放浓度mg/m</w:t>
            </w:r>
            <w:r>
              <w:rPr>
                <w:rFonts w:hint="eastAsia" w:ascii="Times New Roman" w:hAnsi="Times New Roman" w:eastAsia="宋体" w:cs="Times New Roman"/>
                <w:b w:val="0"/>
                <w:bCs w:val="0"/>
                <w:snapToGrid w:val="0"/>
                <w:color w:val="auto"/>
                <w:kern w:val="0"/>
                <w:sz w:val="21"/>
                <w:szCs w:val="21"/>
                <w:highlight w:val="none"/>
                <w:vertAlign w:val="superscript"/>
                <w:lang w:val="en-US" w:eastAsia="zh-CN" w:bidi="ar"/>
              </w:rPr>
              <w:t>3</w:t>
            </w:r>
          </w:p>
        </w:tc>
        <w:tc>
          <w:tcPr>
            <w:tcW w:w="546" w:type="pct"/>
            <w:tcBorders>
              <w:tl2br w:val="nil"/>
              <w:tr2bl w:val="nil"/>
            </w:tcBorders>
            <w:noWrap w:val="0"/>
            <w:tcMar>
              <w:top w:w="0" w:type="dxa"/>
              <w:left w:w="57" w:type="dxa"/>
              <w:bottom w:w="0" w:type="dxa"/>
              <w:right w:w="57" w:type="dxa"/>
            </w:tcMar>
            <w:vAlign w:val="center"/>
          </w:tcPr>
          <w:p w14:paraId="484CEB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排放速率kg/h</w:t>
            </w:r>
          </w:p>
        </w:tc>
        <w:tc>
          <w:tcPr>
            <w:tcW w:w="574" w:type="pct"/>
            <w:tcBorders>
              <w:tl2br w:val="nil"/>
              <w:tr2bl w:val="nil"/>
            </w:tcBorders>
            <w:noWrap w:val="0"/>
            <w:tcMar>
              <w:top w:w="0" w:type="dxa"/>
              <w:left w:w="57" w:type="dxa"/>
              <w:bottom w:w="0" w:type="dxa"/>
              <w:right w:w="57" w:type="dxa"/>
            </w:tcMar>
            <w:vAlign w:val="center"/>
          </w:tcPr>
          <w:p w14:paraId="4F285B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排放量t/a</w:t>
            </w:r>
          </w:p>
        </w:tc>
        <w:tc>
          <w:tcPr>
            <w:tcW w:w="1733" w:type="pct"/>
            <w:vMerge w:val="continue"/>
            <w:tcBorders>
              <w:tl2br w:val="nil"/>
              <w:tr2bl w:val="nil"/>
            </w:tcBorders>
            <w:noWrap w:val="0"/>
            <w:tcMar>
              <w:top w:w="0" w:type="dxa"/>
              <w:left w:w="57" w:type="dxa"/>
              <w:bottom w:w="0" w:type="dxa"/>
              <w:right w:w="57" w:type="dxa"/>
            </w:tcMar>
            <w:vAlign w:val="center"/>
          </w:tcPr>
          <w:p w14:paraId="2EC093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r>
      <w:tr w14:paraId="3DCA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75D80C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w:t>
            </w:r>
          </w:p>
        </w:tc>
        <w:tc>
          <w:tcPr>
            <w:tcW w:w="801" w:type="pct"/>
            <w:vMerge w:val="restart"/>
            <w:tcBorders>
              <w:tl2br w:val="nil"/>
              <w:tr2bl w:val="nil"/>
            </w:tcBorders>
            <w:noWrap w:val="0"/>
            <w:tcMar>
              <w:top w:w="0" w:type="dxa"/>
              <w:left w:w="57" w:type="dxa"/>
              <w:bottom w:w="0" w:type="dxa"/>
              <w:right w:w="57" w:type="dxa"/>
            </w:tcMar>
            <w:vAlign w:val="center"/>
          </w:tcPr>
          <w:p w14:paraId="49AF71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发酵废气</w:t>
            </w:r>
          </w:p>
        </w:tc>
        <w:tc>
          <w:tcPr>
            <w:tcW w:w="447" w:type="pct"/>
            <w:tcBorders>
              <w:tl2br w:val="nil"/>
              <w:tr2bl w:val="nil"/>
            </w:tcBorders>
            <w:noWrap w:val="0"/>
            <w:tcMar>
              <w:top w:w="0" w:type="dxa"/>
              <w:left w:w="57" w:type="dxa"/>
              <w:bottom w:w="0" w:type="dxa"/>
              <w:right w:w="57" w:type="dxa"/>
            </w:tcMar>
            <w:vAlign w:val="center"/>
          </w:tcPr>
          <w:p w14:paraId="55EDF1D0">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颗粒物</w:t>
            </w:r>
          </w:p>
        </w:tc>
        <w:tc>
          <w:tcPr>
            <w:tcW w:w="625" w:type="pct"/>
            <w:tcBorders>
              <w:tl2br w:val="nil"/>
              <w:tr2bl w:val="nil"/>
            </w:tcBorders>
            <w:noWrap w:val="0"/>
            <w:tcMar>
              <w:top w:w="0" w:type="dxa"/>
              <w:left w:w="57" w:type="dxa"/>
              <w:bottom w:w="0" w:type="dxa"/>
              <w:right w:w="57" w:type="dxa"/>
            </w:tcMar>
            <w:vAlign w:val="center"/>
          </w:tcPr>
          <w:p w14:paraId="101C05E6">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snapToGrid w:val="0"/>
                <w:color w:val="auto"/>
                <w:kern w:val="0"/>
                <w:szCs w:val="21"/>
                <w:highlight w:val="none"/>
              </w:rPr>
              <w:t>10</w:t>
            </w:r>
          </w:p>
        </w:tc>
        <w:tc>
          <w:tcPr>
            <w:tcW w:w="546" w:type="pct"/>
            <w:tcBorders>
              <w:tl2br w:val="nil"/>
              <w:tr2bl w:val="nil"/>
            </w:tcBorders>
            <w:noWrap w:val="0"/>
            <w:tcMar>
              <w:top w:w="0" w:type="dxa"/>
              <w:left w:w="57" w:type="dxa"/>
              <w:bottom w:w="0" w:type="dxa"/>
              <w:right w:w="57" w:type="dxa"/>
            </w:tcMar>
            <w:vAlign w:val="center"/>
          </w:tcPr>
          <w:p w14:paraId="2811295B">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.53</w:t>
            </w:r>
          </w:p>
        </w:tc>
        <w:tc>
          <w:tcPr>
            <w:tcW w:w="574" w:type="pct"/>
            <w:tcBorders>
              <w:tl2br w:val="nil"/>
              <w:tr2bl w:val="nil"/>
            </w:tcBorders>
            <w:noWrap w:val="0"/>
            <w:tcMar>
              <w:top w:w="0" w:type="dxa"/>
              <w:left w:w="57" w:type="dxa"/>
              <w:bottom w:w="0" w:type="dxa"/>
              <w:right w:w="57" w:type="dxa"/>
            </w:tcMar>
            <w:vAlign w:val="center"/>
          </w:tcPr>
          <w:p w14:paraId="16682FFE">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8.48</w:t>
            </w:r>
          </w:p>
        </w:tc>
        <w:tc>
          <w:tcPr>
            <w:tcW w:w="1733" w:type="pct"/>
            <w:tcBorders>
              <w:tl2br w:val="nil"/>
              <w:tr2bl w:val="nil"/>
            </w:tcBorders>
            <w:noWrap w:val="0"/>
            <w:tcMar>
              <w:top w:w="0" w:type="dxa"/>
              <w:left w:w="57" w:type="dxa"/>
              <w:bottom w:w="0" w:type="dxa"/>
              <w:right w:w="57" w:type="dxa"/>
            </w:tcMar>
            <w:vAlign w:val="center"/>
          </w:tcPr>
          <w:p w14:paraId="5893A544">
            <w:pPr>
              <w:widowControl/>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color w:val="auto"/>
                <w:kern w:val="0"/>
                <w:szCs w:val="21"/>
                <w:highlight w:val="none"/>
                <w:lang w:val="en-US" w:eastAsia="zh-CN"/>
              </w:rPr>
              <w:t>20</w:t>
            </w:r>
          </w:p>
        </w:tc>
      </w:tr>
      <w:tr w14:paraId="3888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13E837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2</w:t>
            </w:r>
          </w:p>
        </w:tc>
        <w:tc>
          <w:tcPr>
            <w:tcW w:w="801" w:type="pct"/>
            <w:vMerge w:val="continue"/>
            <w:tcBorders>
              <w:tl2br w:val="nil"/>
              <w:tr2bl w:val="nil"/>
            </w:tcBorders>
            <w:noWrap w:val="0"/>
            <w:tcMar>
              <w:top w:w="0" w:type="dxa"/>
              <w:left w:w="57" w:type="dxa"/>
              <w:bottom w:w="0" w:type="dxa"/>
              <w:right w:w="57" w:type="dxa"/>
            </w:tcMar>
            <w:vAlign w:val="center"/>
          </w:tcPr>
          <w:p w14:paraId="3956EA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447" w:type="pct"/>
            <w:tcBorders>
              <w:tl2br w:val="nil"/>
              <w:tr2bl w:val="nil"/>
            </w:tcBorders>
            <w:noWrap w:val="0"/>
            <w:tcMar>
              <w:top w:w="0" w:type="dxa"/>
              <w:left w:w="57" w:type="dxa"/>
              <w:bottom w:w="0" w:type="dxa"/>
              <w:right w:w="57" w:type="dxa"/>
            </w:tcMar>
            <w:vAlign w:val="center"/>
          </w:tcPr>
          <w:p w14:paraId="66924B7B">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N</w:t>
            </w:r>
            <w:r>
              <w:rPr>
                <w:snapToGrid w:val="0"/>
                <w:color w:val="auto"/>
                <w:kern w:val="0"/>
                <w:szCs w:val="21"/>
                <w:highlight w:val="none"/>
              </w:rPr>
              <w:t>MHC</w:t>
            </w:r>
          </w:p>
        </w:tc>
        <w:tc>
          <w:tcPr>
            <w:tcW w:w="625" w:type="pct"/>
            <w:tcBorders>
              <w:tl2br w:val="nil"/>
              <w:tr2bl w:val="nil"/>
            </w:tcBorders>
            <w:noWrap w:val="0"/>
            <w:tcMar>
              <w:top w:w="0" w:type="dxa"/>
              <w:left w:w="57" w:type="dxa"/>
              <w:bottom w:w="0" w:type="dxa"/>
              <w:right w:w="57" w:type="dxa"/>
            </w:tcMar>
            <w:vAlign w:val="center"/>
          </w:tcPr>
          <w:p w14:paraId="652B0947">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2</w:t>
            </w:r>
          </w:p>
        </w:tc>
        <w:tc>
          <w:tcPr>
            <w:tcW w:w="546" w:type="pct"/>
            <w:tcBorders>
              <w:tl2br w:val="nil"/>
              <w:tr2bl w:val="nil"/>
            </w:tcBorders>
            <w:noWrap w:val="0"/>
            <w:tcMar>
              <w:top w:w="0" w:type="dxa"/>
              <w:left w:w="57" w:type="dxa"/>
              <w:bottom w:w="0" w:type="dxa"/>
              <w:right w:w="57" w:type="dxa"/>
            </w:tcMar>
            <w:vAlign w:val="center"/>
          </w:tcPr>
          <w:p w14:paraId="1C6588F4">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.11</w:t>
            </w:r>
          </w:p>
        </w:tc>
        <w:tc>
          <w:tcPr>
            <w:tcW w:w="574" w:type="pct"/>
            <w:tcBorders>
              <w:tl2br w:val="nil"/>
              <w:tr2bl w:val="nil"/>
            </w:tcBorders>
            <w:noWrap w:val="0"/>
            <w:tcMar>
              <w:top w:w="0" w:type="dxa"/>
              <w:left w:w="57" w:type="dxa"/>
              <w:bottom w:w="0" w:type="dxa"/>
              <w:right w:w="57" w:type="dxa"/>
            </w:tcMar>
            <w:vAlign w:val="center"/>
          </w:tcPr>
          <w:p w14:paraId="448D0501">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1.76</w:t>
            </w:r>
          </w:p>
        </w:tc>
        <w:tc>
          <w:tcPr>
            <w:tcW w:w="1733" w:type="pct"/>
            <w:tcBorders>
              <w:tl2br w:val="nil"/>
              <w:tr2bl w:val="nil"/>
            </w:tcBorders>
            <w:noWrap w:val="0"/>
            <w:tcMar>
              <w:top w:w="0" w:type="dxa"/>
              <w:left w:w="57" w:type="dxa"/>
              <w:bottom w:w="0" w:type="dxa"/>
              <w:right w:w="57" w:type="dxa"/>
            </w:tcMar>
            <w:vAlign w:val="center"/>
          </w:tcPr>
          <w:p w14:paraId="03251974">
            <w:pPr>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color w:val="auto"/>
                <w:szCs w:val="21"/>
                <w:highlight w:val="none"/>
                <w:lang w:val="en-US" w:eastAsia="zh-CN"/>
              </w:rPr>
              <w:t>60</w:t>
            </w:r>
          </w:p>
        </w:tc>
      </w:tr>
      <w:tr w14:paraId="1111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0B70D6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3</w:t>
            </w:r>
          </w:p>
        </w:tc>
        <w:tc>
          <w:tcPr>
            <w:tcW w:w="801" w:type="pct"/>
            <w:vMerge w:val="continue"/>
            <w:tcBorders>
              <w:tl2br w:val="nil"/>
              <w:tr2bl w:val="nil"/>
            </w:tcBorders>
            <w:noWrap w:val="0"/>
            <w:tcMar>
              <w:top w:w="0" w:type="dxa"/>
              <w:left w:w="57" w:type="dxa"/>
              <w:bottom w:w="0" w:type="dxa"/>
              <w:right w:w="57" w:type="dxa"/>
            </w:tcMar>
            <w:vAlign w:val="center"/>
          </w:tcPr>
          <w:p w14:paraId="63EAF7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447" w:type="pct"/>
            <w:tcBorders>
              <w:tl2br w:val="nil"/>
              <w:tr2bl w:val="nil"/>
            </w:tcBorders>
            <w:noWrap w:val="0"/>
            <w:tcMar>
              <w:top w:w="0" w:type="dxa"/>
              <w:left w:w="57" w:type="dxa"/>
              <w:bottom w:w="0" w:type="dxa"/>
              <w:right w:w="57" w:type="dxa"/>
            </w:tcMar>
            <w:vAlign w:val="center"/>
          </w:tcPr>
          <w:p w14:paraId="67ACB27A">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p>
        </w:tc>
        <w:tc>
          <w:tcPr>
            <w:tcW w:w="625" w:type="pct"/>
            <w:tcBorders>
              <w:tl2br w:val="nil"/>
              <w:tr2bl w:val="nil"/>
            </w:tcBorders>
            <w:noWrap w:val="0"/>
            <w:tcMar>
              <w:top w:w="0" w:type="dxa"/>
              <w:left w:w="57" w:type="dxa"/>
              <w:bottom w:w="0" w:type="dxa"/>
              <w:right w:w="57" w:type="dxa"/>
            </w:tcMar>
            <w:vAlign w:val="center"/>
          </w:tcPr>
          <w:p w14:paraId="5686FFCE">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5</w:t>
            </w:r>
          </w:p>
        </w:tc>
        <w:tc>
          <w:tcPr>
            <w:tcW w:w="546" w:type="pct"/>
            <w:tcBorders>
              <w:tl2br w:val="nil"/>
              <w:tr2bl w:val="nil"/>
            </w:tcBorders>
            <w:noWrap w:val="0"/>
            <w:tcMar>
              <w:top w:w="0" w:type="dxa"/>
              <w:left w:w="57" w:type="dxa"/>
              <w:bottom w:w="0" w:type="dxa"/>
              <w:right w:w="57" w:type="dxa"/>
            </w:tcMar>
            <w:vAlign w:val="center"/>
          </w:tcPr>
          <w:p w14:paraId="4E90B003">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.26</w:t>
            </w:r>
          </w:p>
        </w:tc>
        <w:tc>
          <w:tcPr>
            <w:tcW w:w="574" w:type="pct"/>
            <w:tcBorders>
              <w:tl2br w:val="nil"/>
              <w:tr2bl w:val="nil"/>
            </w:tcBorders>
            <w:noWrap w:val="0"/>
            <w:tcMar>
              <w:top w:w="0" w:type="dxa"/>
              <w:left w:w="57" w:type="dxa"/>
              <w:bottom w:w="0" w:type="dxa"/>
              <w:right w:w="57" w:type="dxa"/>
            </w:tcMar>
            <w:vAlign w:val="center"/>
          </w:tcPr>
          <w:p w14:paraId="03EF0D91">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4.16</w:t>
            </w:r>
          </w:p>
        </w:tc>
        <w:tc>
          <w:tcPr>
            <w:tcW w:w="1733" w:type="pct"/>
            <w:tcBorders>
              <w:tl2br w:val="nil"/>
              <w:tr2bl w:val="nil"/>
            </w:tcBorders>
            <w:noWrap w:val="0"/>
            <w:tcMar>
              <w:top w:w="0" w:type="dxa"/>
              <w:left w:w="57" w:type="dxa"/>
              <w:bottom w:w="0" w:type="dxa"/>
              <w:right w:w="57" w:type="dxa"/>
            </w:tcMar>
            <w:vAlign w:val="center"/>
          </w:tcPr>
          <w:p w14:paraId="13E57831">
            <w:pPr>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color w:val="auto"/>
                <w:szCs w:val="21"/>
                <w:highlight w:val="none"/>
                <w:lang w:val="en-US" w:eastAsia="zh-CN"/>
              </w:rPr>
              <w:t>27</w:t>
            </w:r>
            <w:r>
              <w:rPr>
                <w:snapToGrid w:val="0"/>
                <w:color w:val="auto"/>
                <w:kern w:val="0"/>
                <w:szCs w:val="21"/>
                <w:highlight w:val="none"/>
              </w:rPr>
              <w:t>kg/h</w:t>
            </w:r>
          </w:p>
        </w:tc>
      </w:tr>
      <w:tr w14:paraId="49EB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5C5681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4</w:t>
            </w:r>
          </w:p>
        </w:tc>
        <w:tc>
          <w:tcPr>
            <w:tcW w:w="801" w:type="pct"/>
            <w:vMerge w:val="continue"/>
            <w:tcBorders>
              <w:tl2br w:val="nil"/>
              <w:tr2bl w:val="nil"/>
            </w:tcBorders>
            <w:noWrap w:val="0"/>
            <w:tcMar>
              <w:top w:w="0" w:type="dxa"/>
              <w:left w:w="57" w:type="dxa"/>
              <w:bottom w:w="0" w:type="dxa"/>
              <w:right w:w="57" w:type="dxa"/>
            </w:tcMar>
            <w:vAlign w:val="center"/>
          </w:tcPr>
          <w:p w14:paraId="39CBA6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447" w:type="pct"/>
            <w:tcBorders>
              <w:tl2br w:val="nil"/>
              <w:tr2bl w:val="nil"/>
            </w:tcBorders>
            <w:noWrap w:val="0"/>
            <w:tcMar>
              <w:top w:w="0" w:type="dxa"/>
              <w:left w:w="57" w:type="dxa"/>
              <w:bottom w:w="0" w:type="dxa"/>
              <w:right w:w="57" w:type="dxa"/>
            </w:tcMar>
            <w:vAlign w:val="center"/>
          </w:tcPr>
          <w:p w14:paraId="787FEB5B">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p>
        </w:tc>
        <w:tc>
          <w:tcPr>
            <w:tcW w:w="625" w:type="pct"/>
            <w:tcBorders>
              <w:tl2br w:val="nil"/>
              <w:tr2bl w:val="nil"/>
            </w:tcBorders>
            <w:noWrap w:val="0"/>
            <w:tcMar>
              <w:top w:w="0" w:type="dxa"/>
              <w:left w:w="57" w:type="dxa"/>
              <w:bottom w:w="0" w:type="dxa"/>
              <w:right w:w="57" w:type="dxa"/>
            </w:tcMar>
            <w:vAlign w:val="center"/>
          </w:tcPr>
          <w:p w14:paraId="189E2EA1">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1</w:t>
            </w:r>
          </w:p>
        </w:tc>
        <w:tc>
          <w:tcPr>
            <w:tcW w:w="546" w:type="pct"/>
            <w:tcBorders>
              <w:tl2br w:val="nil"/>
              <w:tr2bl w:val="nil"/>
            </w:tcBorders>
            <w:noWrap w:val="0"/>
            <w:tcMar>
              <w:top w:w="0" w:type="dxa"/>
              <w:left w:w="57" w:type="dxa"/>
              <w:bottom w:w="0" w:type="dxa"/>
              <w:right w:w="57" w:type="dxa"/>
            </w:tcMar>
            <w:vAlign w:val="center"/>
          </w:tcPr>
          <w:p w14:paraId="02DA7950">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snapToGrid w:val="0"/>
                <w:color w:val="auto"/>
                <w:kern w:val="0"/>
                <w:szCs w:val="21"/>
                <w:highlight w:val="none"/>
              </w:rPr>
              <w:t>2</w:t>
            </w:r>
            <w:r>
              <w:rPr>
                <w:rFonts w:hint="eastAsia"/>
                <w:snapToGrid w:val="0"/>
                <w:color w:val="auto"/>
                <w:kern w:val="0"/>
                <w:szCs w:val="21"/>
                <w:highlight w:val="none"/>
              </w:rPr>
              <w:t>×0</w:t>
            </w:r>
            <w:r>
              <w:rPr>
                <w:snapToGrid w:val="0"/>
                <w:color w:val="auto"/>
                <w:kern w:val="0"/>
                <w:szCs w:val="21"/>
                <w:highlight w:val="none"/>
              </w:rPr>
              <w:t>.05</w:t>
            </w:r>
          </w:p>
        </w:tc>
        <w:tc>
          <w:tcPr>
            <w:tcW w:w="574" w:type="pct"/>
            <w:tcBorders>
              <w:tl2br w:val="nil"/>
              <w:tr2bl w:val="nil"/>
            </w:tcBorders>
            <w:noWrap w:val="0"/>
            <w:tcMar>
              <w:top w:w="0" w:type="dxa"/>
              <w:left w:w="57" w:type="dxa"/>
              <w:bottom w:w="0" w:type="dxa"/>
              <w:right w:w="57" w:type="dxa"/>
            </w:tcMar>
            <w:vAlign w:val="center"/>
          </w:tcPr>
          <w:p w14:paraId="24FAF3BD">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0.8</w:t>
            </w:r>
          </w:p>
        </w:tc>
        <w:tc>
          <w:tcPr>
            <w:tcW w:w="1733" w:type="pct"/>
            <w:tcBorders>
              <w:tl2br w:val="nil"/>
              <w:tr2bl w:val="nil"/>
            </w:tcBorders>
            <w:noWrap w:val="0"/>
            <w:tcMar>
              <w:top w:w="0" w:type="dxa"/>
              <w:left w:w="57" w:type="dxa"/>
              <w:bottom w:w="0" w:type="dxa"/>
              <w:right w:w="57" w:type="dxa"/>
            </w:tcMar>
            <w:vAlign w:val="center"/>
          </w:tcPr>
          <w:p w14:paraId="46A2B1C7">
            <w:pPr>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color w:val="auto"/>
                <w:szCs w:val="21"/>
                <w:highlight w:val="none"/>
                <w:lang w:val="en-US" w:eastAsia="zh-CN"/>
              </w:rPr>
              <w:t>0.18</w:t>
            </w:r>
            <w:r>
              <w:rPr>
                <w:snapToGrid w:val="0"/>
                <w:color w:val="auto"/>
                <w:kern w:val="0"/>
                <w:szCs w:val="21"/>
                <w:highlight w:val="none"/>
              </w:rPr>
              <w:t>kg/h</w:t>
            </w:r>
          </w:p>
        </w:tc>
      </w:tr>
      <w:tr w14:paraId="29A8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5510C7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5</w:t>
            </w:r>
          </w:p>
        </w:tc>
        <w:tc>
          <w:tcPr>
            <w:tcW w:w="801" w:type="pct"/>
            <w:vMerge w:val="continue"/>
            <w:tcBorders>
              <w:tl2br w:val="nil"/>
              <w:tr2bl w:val="nil"/>
            </w:tcBorders>
            <w:noWrap w:val="0"/>
            <w:tcMar>
              <w:top w:w="0" w:type="dxa"/>
              <w:left w:w="57" w:type="dxa"/>
              <w:bottom w:w="0" w:type="dxa"/>
              <w:right w:w="57" w:type="dxa"/>
            </w:tcMar>
            <w:vAlign w:val="center"/>
          </w:tcPr>
          <w:p w14:paraId="77B256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447" w:type="pct"/>
            <w:tcBorders>
              <w:tl2br w:val="nil"/>
              <w:tr2bl w:val="nil"/>
            </w:tcBorders>
            <w:noWrap w:val="0"/>
            <w:tcMar>
              <w:top w:w="0" w:type="dxa"/>
              <w:left w:w="57" w:type="dxa"/>
              <w:bottom w:w="0" w:type="dxa"/>
              <w:right w:w="57" w:type="dxa"/>
            </w:tcMar>
            <w:vAlign w:val="center"/>
          </w:tcPr>
          <w:p w14:paraId="5D66D0DA">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臭气浓度</w:t>
            </w:r>
          </w:p>
        </w:tc>
        <w:tc>
          <w:tcPr>
            <w:tcW w:w="625" w:type="pct"/>
            <w:tcBorders>
              <w:tl2br w:val="nil"/>
              <w:tr2bl w:val="nil"/>
            </w:tcBorders>
            <w:noWrap w:val="0"/>
            <w:tcMar>
              <w:top w:w="0" w:type="dxa"/>
              <w:left w:w="57" w:type="dxa"/>
              <w:bottom w:w="0" w:type="dxa"/>
              <w:right w:w="57" w:type="dxa"/>
            </w:tcMar>
            <w:vAlign w:val="center"/>
          </w:tcPr>
          <w:p w14:paraId="56FE2242">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1</w:t>
            </w:r>
            <w:r>
              <w:rPr>
                <w:snapToGrid w:val="0"/>
                <w:color w:val="auto"/>
                <w:kern w:val="0"/>
                <w:szCs w:val="21"/>
                <w:highlight w:val="none"/>
              </w:rPr>
              <w:t>000</w:t>
            </w:r>
          </w:p>
        </w:tc>
        <w:tc>
          <w:tcPr>
            <w:tcW w:w="546" w:type="pct"/>
            <w:tcBorders>
              <w:tl2br w:val="nil"/>
              <w:tr2bl w:val="nil"/>
            </w:tcBorders>
            <w:noWrap w:val="0"/>
            <w:tcMar>
              <w:top w:w="0" w:type="dxa"/>
              <w:left w:w="57" w:type="dxa"/>
              <w:bottom w:w="0" w:type="dxa"/>
              <w:right w:w="57" w:type="dxa"/>
            </w:tcMar>
            <w:vAlign w:val="center"/>
          </w:tcPr>
          <w:p w14:paraId="6C1152F8">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w:t>
            </w:r>
            <w:r>
              <w:rPr>
                <w:snapToGrid w:val="0"/>
                <w:color w:val="auto"/>
                <w:kern w:val="0"/>
                <w:szCs w:val="21"/>
                <w:highlight w:val="none"/>
              </w:rPr>
              <w:t>-</w:t>
            </w:r>
          </w:p>
        </w:tc>
        <w:tc>
          <w:tcPr>
            <w:tcW w:w="574" w:type="pct"/>
            <w:tcBorders>
              <w:tl2br w:val="nil"/>
              <w:tr2bl w:val="nil"/>
            </w:tcBorders>
            <w:noWrap w:val="0"/>
            <w:tcMar>
              <w:top w:w="0" w:type="dxa"/>
              <w:left w:w="57" w:type="dxa"/>
              <w:bottom w:w="0" w:type="dxa"/>
              <w:right w:w="57" w:type="dxa"/>
            </w:tcMar>
            <w:vAlign w:val="center"/>
          </w:tcPr>
          <w:p w14:paraId="1B1EDA6D">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w:t>
            </w:r>
            <w:r>
              <w:rPr>
                <w:snapToGrid w:val="0"/>
                <w:color w:val="auto"/>
                <w:kern w:val="0"/>
                <w:szCs w:val="21"/>
                <w:highlight w:val="none"/>
              </w:rPr>
              <w:t>-</w:t>
            </w:r>
          </w:p>
        </w:tc>
        <w:tc>
          <w:tcPr>
            <w:tcW w:w="1733" w:type="pct"/>
            <w:tcBorders>
              <w:tl2br w:val="nil"/>
              <w:tr2bl w:val="nil"/>
            </w:tcBorders>
            <w:noWrap w:val="0"/>
            <w:tcMar>
              <w:top w:w="0" w:type="dxa"/>
              <w:left w:w="57" w:type="dxa"/>
              <w:bottom w:w="0" w:type="dxa"/>
              <w:right w:w="57" w:type="dxa"/>
            </w:tcMar>
            <w:vAlign w:val="center"/>
          </w:tcPr>
          <w:p w14:paraId="21E2EB26">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lang w:val="en-US" w:eastAsia="zh-CN"/>
              </w:rPr>
              <w:t>15000</w:t>
            </w:r>
          </w:p>
        </w:tc>
      </w:tr>
      <w:tr w14:paraId="140C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4C59CA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6</w:t>
            </w:r>
          </w:p>
        </w:tc>
        <w:tc>
          <w:tcPr>
            <w:tcW w:w="801" w:type="pct"/>
            <w:vMerge w:val="restart"/>
            <w:tcBorders>
              <w:tl2br w:val="nil"/>
              <w:tr2bl w:val="nil"/>
            </w:tcBorders>
            <w:noWrap w:val="0"/>
            <w:tcMar>
              <w:top w:w="0" w:type="dxa"/>
              <w:left w:w="57" w:type="dxa"/>
              <w:bottom w:w="0" w:type="dxa"/>
              <w:right w:w="57" w:type="dxa"/>
            </w:tcMar>
            <w:vAlign w:val="center"/>
          </w:tcPr>
          <w:p w14:paraId="4E2AAD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酸化废气</w:t>
            </w:r>
          </w:p>
        </w:tc>
        <w:tc>
          <w:tcPr>
            <w:tcW w:w="447" w:type="pct"/>
            <w:tcBorders>
              <w:tl2br w:val="nil"/>
              <w:tr2bl w:val="nil"/>
            </w:tcBorders>
            <w:noWrap w:val="0"/>
            <w:tcMar>
              <w:top w:w="0" w:type="dxa"/>
              <w:left w:w="57" w:type="dxa"/>
              <w:bottom w:w="0" w:type="dxa"/>
              <w:right w:w="57" w:type="dxa"/>
            </w:tcMar>
            <w:vAlign w:val="center"/>
          </w:tcPr>
          <w:p w14:paraId="302EF86B">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snapToGrid w:val="0"/>
                <w:color w:val="auto"/>
                <w:kern w:val="0"/>
                <w:szCs w:val="21"/>
                <w:highlight w:val="none"/>
              </w:rPr>
              <w:t>NMHC</w:t>
            </w:r>
          </w:p>
        </w:tc>
        <w:tc>
          <w:tcPr>
            <w:tcW w:w="625" w:type="pct"/>
            <w:tcBorders>
              <w:tl2br w:val="nil"/>
              <w:tr2bl w:val="nil"/>
            </w:tcBorders>
            <w:noWrap w:val="0"/>
            <w:tcMar>
              <w:top w:w="0" w:type="dxa"/>
              <w:left w:w="57" w:type="dxa"/>
              <w:bottom w:w="0" w:type="dxa"/>
              <w:right w:w="57" w:type="dxa"/>
            </w:tcMar>
            <w:vAlign w:val="center"/>
          </w:tcPr>
          <w:p w14:paraId="4DCA54D3">
            <w:pPr>
              <w:adjustRightInd w:val="0"/>
              <w:snapToGrid w:val="0"/>
              <w:jc w:val="center"/>
              <w:rPr>
                <w:rFonts w:hint="eastAsia" w:ascii="Times New Roman" w:hAnsi="Times New Roman" w:eastAsia="宋体" w:cs="Times New Roman"/>
                <w:b w:val="0"/>
                <w:bCs w:val="0"/>
                <w:snapToGrid w:val="0"/>
                <w:color w:val="auto"/>
                <w:kern w:val="0"/>
                <w:sz w:val="21"/>
                <w:szCs w:val="21"/>
                <w:highlight w:val="none"/>
              </w:rPr>
            </w:pPr>
            <w:r>
              <w:rPr>
                <w:snapToGrid w:val="0"/>
                <w:color w:val="auto"/>
                <w:kern w:val="0"/>
                <w:szCs w:val="21"/>
                <w:highlight w:val="none"/>
              </w:rPr>
              <w:t>2.5</w:t>
            </w:r>
          </w:p>
        </w:tc>
        <w:tc>
          <w:tcPr>
            <w:tcW w:w="546" w:type="pct"/>
            <w:tcBorders>
              <w:tl2br w:val="nil"/>
              <w:tr2bl w:val="nil"/>
            </w:tcBorders>
            <w:noWrap w:val="0"/>
            <w:tcMar>
              <w:top w:w="0" w:type="dxa"/>
              <w:left w:w="57" w:type="dxa"/>
              <w:bottom w:w="0" w:type="dxa"/>
              <w:right w:w="57" w:type="dxa"/>
            </w:tcMar>
            <w:vAlign w:val="center"/>
          </w:tcPr>
          <w:p w14:paraId="50FD6757">
            <w:pPr>
              <w:adjustRightInd w:val="0"/>
              <w:snapToGrid w:val="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0</w:t>
            </w:r>
            <w:r>
              <w:rPr>
                <w:snapToGrid w:val="0"/>
                <w:color w:val="auto"/>
                <w:kern w:val="0"/>
                <w:szCs w:val="21"/>
                <w:highlight w:val="none"/>
              </w:rPr>
              <w:t>.08</w:t>
            </w:r>
          </w:p>
        </w:tc>
        <w:tc>
          <w:tcPr>
            <w:tcW w:w="574" w:type="pct"/>
            <w:tcBorders>
              <w:tl2br w:val="nil"/>
              <w:tr2bl w:val="nil"/>
            </w:tcBorders>
            <w:noWrap w:val="0"/>
            <w:tcMar>
              <w:top w:w="0" w:type="dxa"/>
              <w:left w:w="57" w:type="dxa"/>
              <w:bottom w:w="0" w:type="dxa"/>
              <w:right w:w="57" w:type="dxa"/>
            </w:tcMar>
            <w:vAlign w:val="center"/>
          </w:tcPr>
          <w:p w14:paraId="19A00054">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0.64</w:t>
            </w:r>
          </w:p>
        </w:tc>
        <w:tc>
          <w:tcPr>
            <w:tcW w:w="1733" w:type="pct"/>
            <w:tcBorders>
              <w:tl2br w:val="nil"/>
              <w:tr2bl w:val="nil"/>
            </w:tcBorders>
            <w:noWrap w:val="0"/>
            <w:tcMar>
              <w:top w:w="0" w:type="dxa"/>
              <w:left w:w="57" w:type="dxa"/>
              <w:bottom w:w="0" w:type="dxa"/>
              <w:right w:w="57" w:type="dxa"/>
            </w:tcMar>
            <w:vAlign w:val="center"/>
          </w:tcPr>
          <w:p w14:paraId="1D47BCF7">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lang w:val="en-US" w:eastAsia="zh-CN"/>
              </w:rPr>
              <w:t>60</w:t>
            </w:r>
          </w:p>
        </w:tc>
      </w:tr>
      <w:tr w14:paraId="101F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033676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7</w:t>
            </w:r>
          </w:p>
        </w:tc>
        <w:tc>
          <w:tcPr>
            <w:tcW w:w="801" w:type="pct"/>
            <w:vMerge w:val="continue"/>
            <w:tcBorders>
              <w:tl2br w:val="nil"/>
              <w:tr2bl w:val="nil"/>
            </w:tcBorders>
            <w:noWrap w:val="0"/>
            <w:tcMar>
              <w:top w:w="0" w:type="dxa"/>
              <w:left w:w="57" w:type="dxa"/>
              <w:bottom w:w="0" w:type="dxa"/>
              <w:right w:w="57" w:type="dxa"/>
            </w:tcMar>
            <w:vAlign w:val="center"/>
          </w:tcPr>
          <w:p w14:paraId="7D76D7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p>
        </w:tc>
        <w:tc>
          <w:tcPr>
            <w:tcW w:w="447" w:type="pct"/>
            <w:tcBorders>
              <w:tl2br w:val="nil"/>
              <w:tr2bl w:val="nil"/>
            </w:tcBorders>
            <w:noWrap w:val="0"/>
            <w:tcMar>
              <w:top w:w="0" w:type="dxa"/>
              <w:left w:w="57" w:type="dxa"/>
              <w:bottom w:w="0" w:type="dxa"/>
              <w:right w:w="57" w:type="dxa"/>
            </w:tcMar>
            <w:vAlign w:val="center"/>
          </w:tcPr>
          <w:p w14:paraId="4EBBAB31">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rPr>
              <w:t>硫酸雾</w:t>
            </w:r>
          </w:p>
        </w:tc>
        <w:tc>
          <w:tcPr>
            <w:tcW w:w="625" w:type="pct"/>
            <w:tcBorders>
              <w:tl2br w:val="nil"/>
              <w:tr2bl w:val="nil"/>
            </w:tcBorders>
            <w:noWrap w:val="0"/>
            <w:tcMar>
              <w:top w:w="0" w:type="dxa"/>
              <w:left w:w="57" w:type="dxa"/>
              <w:bottom w:w="0" w:type="dxa"/>
              <w:right w:w="57" w:type="dxa"/>
            </w:tcMar>
            <w:vAlign w:val="center"/>
          </w:tcPr>
          <w:p w14:paraId="1DC8AB91">
            <w:pPr>
              <w:adjustRightInd w:val="0"/>
              <w:snapToGrid w:val="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1</w:t>
            </w:r>
            <w:r>
              <w:rPr>
                <w:snapToGrid w:val="0"/>
                <w:color w:val="auto"/>
                <w:kern w:val="0"/>
                <w:szCs w:val="21"/>
                <w:highlight w:val="none"/>
              </w:rPr>
              <w:t>5</w:t>
            </w:r>
          </w:p>
        </w:tc>
        <w:tc>
          <w:tcPr>
            <w:tcW w:w="546" w:type="pct"/>
            <w:tcBorders>
              <w:tl2br w:val="nil"/>
              <w:tr2bl w:val="nil"/>
            </w:tcBorders>
            <w:noWrap w:val="0"/>
            <w:tcMar>
              <w:top w:w="0" w:type="dxa"/>
              <w:left w:w="57" w:type="dxa"/>
              <w:bottom w:w="0" w:type="dxa"/>
              <w:right w:w="57" w:type="dxa"/>
            </w:tcMar>
            <w:vAlign w:val="center"/>
          </w:tcPr>
          <w:p w14:paraId="30A7534F">
            <w:pPr>
              <w:adjustRightInd w:val="0"/>
              <w:snapToGrid w:val="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0</w:t>
            </w:r>
            <w:r>
              <w:rPr>
                <w:snapToGrid w:val="0"/>
                <w:color w:val="auto"/>
                <w:kern w:val="0"/>
                <w:szCs w:val="21"/>
                <w:highlight w:val="none"/>
              </w:rPr>
              <w:t>.47</w:t>
            </w:r>
          </w:p>
        </w:tc>
        <w:tc>
          <w:tcPr>
            <w:tcW w:w="574" w:type="pct"/>
            <w:tcBorders>
              <w:tl2br w:val="nil"/>
              <w:tr2bl w:val="nil"/>
            </w:tcBorders>
            <w:noWrap w:val="0"/>
            <w:tcMar>
              <w:top w:w="0" w:type="dxa"/>
              <w:left w:w="57" w:type="dxa"/>
              <w:bottom w:w="0" w:type="dxa"/>
              <w:right w:w="57" w:type="dxa"/>
            </w:tcMar>
            <w:vAlign w:val="center"/>
          </w:tcPr>
          <w:p w14:paraId="43D238B2">
            <w:pPr>
              <w:adjustRightInd w:val="0"/>
              <w:snapToGrid w:val="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3.76</w:t>
            </w:r>
          </w:p>
        </w:tc>
        <w:tc>
          <w:tcPr>
            <w:tcW w:w="1733" w:type="pct"/>
            <w:tcBorders>
              <w:tl2br w:val="nil"/>
              <w:tr2bl w:val="nil"/>
            </w:tcBorders>
            <w:noWrap w:val="0"/>
            <w:tcMar>
              <w:top w:w="0" w:type="dxa"/>
              <w:left w:w="57" w:type="dxa"/>
              <w:bottom w:w="0" w:type="dxa"/>
              <w:right w:w="57" w:type="dxa"/>
            </w:tcMar>
            <w:vAlign w:val="center"/>
          </w:tcPr>
          <w:p w14:paraId="0E53ED03">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snapToGrid w:val="0"/>
                <w:color w:val="auto"/>
                <w:kern w:val="0"/>
                <w:szCs w:val="21"/>
                <w:highlight w:val="none"/>
                <w:lang w:val="en-US" w:eastAsia="zh-CN"/>
              </w:rPr>
              <w:t>45，2.6kg/h</w:t>
            </w:r>
          </w:p>
        </w:tc>
      </w:tr>
      <w:tr w14:paraId="2FDA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08045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8</w:t>
            </w:r>
          </w:p>
        </w:tc>
        <w:tc>
          <w:tcPr>
            <w:tcW w:w="801" w:type="pct"/>
            <w:vMerge w:val="restart"/>
            <w:tcBorders>
              <w:tl2br w:val="nil"/>
              <w:tr2bl w:val="nil"/>
            </w:tcBorders>
            <w:noWrap w:val="0"/>
            <w:tcMar>
              <w:top w:w="0" w:type="dxa"/>
              <w:left w:w="57" w:type="dxa"/>
              <w:bottom w:w="0" w:type="dxa"/>
              <w:right w:w="57" w:type="dxa"/>
            </w:tcMar>
            <w:vAlign w:val="center"/>
          </w:tcPr>
          <w:p w14:paraId="42DF14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粗品干燥废气</w:t>
            </w:r>
          </w:p>
        </w:tc>
        <w:tc>
          <w:tcPr>
            <w:tcW w:w="447" w:type="pct"/>
            <w:tcBorders>
              <w:tl2br w:val="nil"/>
              <w:tr2bl w:val="nil"/>
            </w:tcBorders>
            <w:shd w:val="clear" w:color="auto" w:fill="auto"/>
            <w:noWrap w:val="0"/>
            <w:tcMar>
              <w:top w:w="0" w:type="dxa"/>
              <w:left w:w="57" w:type="dxa"/>
              <w:bottom w:w="0" w:type="dxa"/>
              <w:right w:w="57" w:type="dxa"/>
            </w:tcMar>
            <w:vAlign w:val="center"/>
          </w:tcPr>
          <w:p w14:paraId="44CCB102">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N</w:t>
            </w:r>
            <w:r>
              <w:rPr>
                <w:snapToGrid w:val="0"/>
                <w:color w:val="auto"/>
                <w:kern w:val="0"/>
                <w:szCs w:val="21"/>
                <w:highlight w:val="none"/>
              </w:rPr>
              <w:t>HMC</w:t>
            </w:r>
          </w:p>
        </w:tc>
        <w:tc>
          <w:tcPr>
            <w:tcW w:w="625" w:type="pct"/>
            <w:tcBorders>
              <w:tl2br w:val="nil"/>
              <w:tr2bl w:val="nil"/>
            </w:tcBorders>
            <w:shd w:val="clear" w:color="auto" w:fill="auto"/>
            <w:noWrap w:val="0"/>
            <w:tcMar>
              <w:top w:w="0" w:type="dxa"/>
              <w:left w:w="57" w:type="dxa"/>
              <w:bottom w:w="0" w:type="dxa"/>
              <w:right w:w="57" w:type="dxa"/>
            </w:tcMar>
            <w:vAlign w:val="center"/>
          </w:tcPr>
          <w:p w14:paraId="619BE484">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snapToGrid w:val="0"/>
                <w:color w:val="auto"/>
                <w:kern w:val="0"/>
                <w:szCs w:val="21"/>
                <w:highlight w:val="none"/>
              </w:rPr>
              <w:t>2.5</w:t>
            </w:r>
          </w:p>
        </w:tc>
        <w:tc>
          <w:tcPr>
            <w:tcW w:w="546" w:type="pct"/>
            <w:tcBorders>
              <w:tl2br w:val="nil"/>
              <w:tr2bl w:val="nil"/>
            </w:tcBorders>
            <w:shd w:val="clear" w:color="auto" w:fill="auto"/>
            <w:noWrap w:val="0"/>
            <w:tcMar>
              <w:top w:w="0" w:type="dxa"/>
              <w:left w:w="57" w:type="dxa"/>
              <w:bottom w:w="0" w:type="dxa"/>
              <w:right w:w="57" w:type="dxa"/>
            </w:tcMar>
            <w:vAlign w:val="center"/>
          </w:tcPr>
          <w:p w14:paraId="5FBE302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snapToGrid w:val="0"/>
                <w:color w:val="auto"/>
                <w:kern w:val="0"/>
                <w:szCs w:val="21"/>
                <w:highlight w:val="none"/>
              </w:rPr>
              <w:t>0.02</w:t>
            </w:r>
          </w:p>
        </w:tc>
        <w:tc>
          <w:tcPr>
            <w:tcW w:w="574" w:type="pct"/>
            <w:tcBorders>
              <w:tl2br w:val="nil"/>
              <w:tr2bl w:val="nil"/>
            </w:tcBorders>
            <w:shd w:val="clear" w:color="auto" w:fill="auto"/>
            <w:noWrap w:val="0"/>
            <w:tcMar>
              <w:top w:w="0" w:type="dxa"/>
              <w:left w:w="57" w:type="dxa"/>
              <w:bottom w:w="0" w:type="dxa"/>
              <w:right w:w="57" w:type="dxa"/>
            </w:tcMar>
            <w:vAlign w:val="center"/>
          </w:tcPr>
          <w:p w14:paraId="3E0D1545">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0.16</w:t>
            </w:r>
          </w:p>
        </w:tc>
        <w:tc>
          <w:tcPr>
            <w:tcW w:w="1733" w:type="pct"/>
            <w:tcBorders>
              <w:tl2br w:val="nil"/>
              <w:tr2bl w:val="nil"/>
            </w:tcBorders>
            <w:shd w:val="clear" w:color="auto" w:fill="auto"/>
            <w:noWrap w:val="0"/>
            <w:tcMar>
              <w:top w:w="0" w:type="dxa"/>
              <w:left w:w="57" w:type="dxa"/>
              <w:bottom w:w="0" w:type="dxa"/>
              <w:right w:w="57" w:type="dxa"/>
            </w:tcMar>
            <w:vAlign w:val="center"/>
          </w:tcPr>
          <w:p w14:paraId="04CEF38B">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60</w:t>
            </w:r>
          </w:p>
        </w:tc>
      </w:tr>
      <w:tr w14:paraId="639D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579608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9</w:t>
            </w:r>
          </w:p>
        </w:tc>
        <w:tc>
          <w:tcPr>
            <w:tcW w:w="801" w:type="pct"/>
            <w:vMerge w:val="continue"/>
            <w:tcBorders>
              <w:tl2br w:val="nil"/>
              <w:tr2bl w:val="nil"/>
            </w:tcBorders>
            <w:noWrap w:val="0"/>
            <w:tcMar>
              <w:top w:w="0" w:type="dxa"/>
              <w:left w:w="57" w:type="dxa"/>
              <w:bottom w:w="0" w:type="dxa"/>
              <w:right w:w="57" w:type="dxa"/>
            </w:tcMar>
            <w:vAlign w:val="center"/>
          </w:tcPr>
          <w:p w14:paraId="7E4AC3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p>
        </w:tc>
        <w:tc>
          <w:tcPr>
            <w:tcW w:w="447" w:type="pct"/>
            <w:tcBorders>
              <w:tl2br w:val="nil"/>
              <w:tr2bl w:val="nil"/>
            </w:tcBorders>
            <w:shd w:val="clear" w:color="auto" w:fill="auto"/>
            <w:noWrap w:val="0"/>
            <w:tcMar>
              <w:top w:w="0" w:type="dxa"/>
              <w:left w:w="57" w:type="dxa"/>
              <w:bottom w:w="0" w:type="dxa"/>
              <w:right w:w="57" w:type="dxa"/>
            </w:tcMar>
            <w:vAlign w:val="center"/>
          </w:tcPr>
          <w:p w14:paraId="02688BF0">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颗粒物</w:t>
            </w:r>
          </w:p>
        </w:tc>
        <w:tc>
          <w:tcPr>
            <w:tcW w:w="625" w:type="pct"/>
            <w:tcBorders>
              <w:tl2br w:val="nil"/>
              <w:tr2bl w:val="nil"/>
            </w:tcBorders>
            <w:shd w:val="clear" w:color="auto" w:fill="auto"/>
            <w:noWrap w:val="0"/>
            <w:tcMar>
              <w:top w:w="0" w:type="dxa"/>
              <w:left w:w="57" w:type="dxa"/>
              <w:bottom w:w="0" w:type="dxa"/>
              <w:right w:w="57" w:type="dxa"/>
            </w:tcMar>
            <w:vAlign w:val="center"/>
          </w:tcPr>
          <w:p w14:paraId="101B0E31">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1</w:t>
            </w:r>
            <w:r>
              <w:rPr>
                <w:snapToGrid w:val="0"/>
                <w:color w:val="auto"/>
                <w:kern w:val="0"/>
                <w:szCs w:val="21"/>
                <w:highlight w:val="none"/>
              </w:rPr>
              <w:t>0</w:t>
            </w:r>
          </w:p>
        </w:tc>
        <w:tc>
          <w:tcPr>
            <w:tcW w:w="546" w:type="pct"/>
            <w:tcBorders>
              <w:tl2br w:val="nil"/>
              <w:tr2bl w:val="nil"/>
            </w:tcBorders>
            <w:shd w:val="clear" w:color="auto" w:fill="auto"/>
            <w:noWrap w:val="0"/>
            <w:tcMar>
              <w:top w:w="0" w:type="dxa"/>
              <w:left w:w="57" w:type="dxa"/>
              <w:bottom w:w="0" w:type="dxa"/>
              <w:right w:w="57" w:type="dxa"/>
            </w:tcMar>
            <w:vAlign w:val="center"/>
          </w:tcPr>
          <w:p w14:paraId="784DF16A">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0</w:t>
            </w:r>
            <w:r>
              <w:rPr>
                <w:snapToGrid w:val="0"/>
                <w:color w:val="auto"/>
                <w:kern w:val="0"/>
                <w:szCs w:val="21"/>
                <w:highlight w:val="none"/>
              </w:rPr>
              <w:t>.08</w:t>
            </w:r>
          </w:p>
        </w:tc>
        <w:tc>
          <w:tcPr>
            <w:tcW w:w="574" w:type="pct"/>
            <w:tcBorders>
              <w:tl2br w:val="nil"/>
              <w:tr2bl w:val="nil"/>
            </w:tcBorders>
            <w:shd w:val="clear" w:color="auto" w:fill="auto"/>
            <w:noWrap w:val="0"/>
            <w:tcMar>
              <w:top w:w="0" w:type="dxa"/>
              <w:left w:w="57" w:type="dxa"/>
              <w:bottom w:w="0" w:type="dxa"/>
              <w:right w:w="57" w:type="dxa"/>
            </w:tcMar>
            <w:vAlign w:val="center"/>
          </w:tcPr>
          <w:p w14:paraId="68098EB1">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0.64</w:t>
            </w:r>
          </w:p>
        </w:tc>
        <w:tc>
          <w:tcPr>
            <w:tcW w:w="1733" w:type="pct"/>
            <w:tcBorders>
              <w:tl2br w:val="nil"/>
              <w:tr2bl w:val="nil"/>
            </w:tcBorders>
            <w:shd w:val="clear" w:color="auto" w:fill="auto"/>
            <w:noWrap w:val="0"/>
            <w:tcMar>
              <w:top w:w="0" w:type="dxa"/>
              <w:left w:w="57" w:type="dxa"/>
              <w:bottom w:w="0" w:type="dxa"/>
              <w:right w:w="57" w:type="dxa"/>
            </w:tcMar>
            <w:vAlign w:val="center"/>
          </w:tcPr>
          <w:p w14:paraId="71EF4544">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20</w:t>
            </w:r>
          </w:p>
        </w:tc>
      </w:tr>
      <w:tr w14:paraId="4CAF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1DE655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10</w:t>
            </w:r>
          </w:p>
        </w:tc>
        <w:tc>
          <w:tcPr>
            <w:tcW w:w="801" w:type="pct"/>
            <w:tcBorders>
              <w:tl2br w:val="nil"/>
              <w:tr2bl w:val="nil"/>
            </w:tcBorders>
            <w:noWrap w:val="0"/>
            <w:tcMar>
              <w:top w:w="0" w:type="dxa"/>
              <w:left w:w="57" w:type="dxa"/>
              <w:bottom w:w="0" w:type="dxa"/>
              <w:right w:w="57" w:type="dxa"/>
            </w:tcMar>
            <w:vAlign w:val="center"/>
          </w:tcPr>
          <w:p w14:paraId="72ADCF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成品干燥废气</w:t>
            </w:r>
          </w:p>
        </w:tc>
        <w:tc>
          <w:tcPr>
            <w:tcW w:w="447" w:type="pct"/>
            <w:tcBorders>
              <w:tl2br w:val="nil"/>
              <w:tr2bl w:val="nil"/>
            </w:tcBorders>
            <w:shd w:val="clear" w:color="auto" w:fill="auto"/>
            <w:noWrap w:val="0"/>
            <w:tcMar>
              <w:top w:w="0" w:type="dxa"/>
              <w:left w:w="57" w:type="dxa"/>
              <w:bottom w:w="0" w:type="dxa"/>
              <w:right w:w="57" w:type="dxa"/>
            </w:tcMar>
            <w:vAlign w:val="center"/>
          </w:tcPr>
          <w:p w14:paraId="7752B3EB">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颗粒物</w:t>
            </w:r>
          </w:p>
        </w:tc>
        <w:tc>
          <w:tcPr>
            <w:tcW w:w="625" w:type="pct"/>
            <w:tcBorders>
              <w:tl2br w:val="nil"/>
              <w:tr2bl w:val="nil"/>
            </w:tcBorders>
            <w:shd w:val="clear" w:color="auto" w:fill="auto"/>
            <w:noWrap w:val="0"/>
            <w:tcMar>
              <w:top w:w="0" w:type="dxa"/>
              <w:left w:w="57" w:type="dxa"/>
              <w:bottom w:w="0" w:type="dxa"/>
              <w:right w:w="57" w:type="dxa"/>
            </w:tcMar>
            <w:vAlign w:val="center"/>
          </w:tcPr>
          <w:p w14:paraId="5244642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2</w:t>
            </w:r>
            <w:r>
              <w:rPr>
                <w:snapToGrid w:val="0"/>
                <w:color w:val="auto"/>
                <w:kern w:val="0"/>
                <w:szCs w:val="21"/>
                <w:highlight w:val="none"/>
              </w:rPr>
              <w:t>0</w:t>
            </w:r>
          </w:p>
        </w:tc>
        <w:tc>
          <w:tcPr>
            <w:tcW w:w="546" w:type="pct"/>
            <w:tcBorders>
              <w:tl2br w:val="nil"/>
              <w:tr2bl w:val="nil"/>
            </w:tcBorders>
            <w:shd w:val="clear" w:color="auto" w:fill="auto"/>
            <w:noWrap w:val="0"/>
            <w:tcMar>
              <w:top w:w="0" w:type="dxa"/>
              <w:left w:w="57" w:type="dxa"/>
              <w:bottom w:w="0" w:type="dxa"/>
              <w:right w:w="57" w:type="dxa"/>
            </w:tcMar>
            <w:vAlign w:val="center"/>
          </w:tcPr>
          <w:p w14:paraId="15C55779">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0</w:t>
            </w:r>
            <w:r>
              <w:rPr>
                <w:snapToGrid w:val="0"/>
                <w:color w:val="auto"/>
                <w:kern w:val="0"/>
                <w:szCs w:val="21"/>
                <w:highlight w:val="none"/>
              </w:rPr>
              <w:t>.11</w:t>
            </w:r>
          </w:p>
        </w:tc>
        <w:tc>
          <w:tcPr>
            <w:tcW w:w="574" w:type="pct"/>
            <w:tcBorders>
              <w:tl2br w:val="nil"/>
              <w:tr2bl w:val="nil"/>
            </w:tcBorders>
            <w:shd w:val="clear" w:color="auto" w:fill="auto"/>
            <w:noWrap w:val="0"/>
            <w:tcMar>
              <w:top w:w="0" w:type="dxa"/>
              <w:left w:w="57" w:type="dxa"/>
              <w:bottom w:w="0" w:type="dxa"/>
              <w:right w:w="57" w:type="dxa"/>
            </w:tcMar>
            <w:vAlign w:val="center"/>
          </w:tcPr>
          <w:p w14:paraId="0471EEB1">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0.88</w:t>
            </w:r>
          </w:p>
        </w:tc>
        <w:tc>
          <w:tcPr>
            <w:tcW w:w="1733" w:type="pct"/>
            <w:tcBorders>
              <w:tl2br w:val="nil"/>
              <w:tr2bl w:val="nil"/>
            </w:tcBorders>
            <w:shd w:val="clear" w:color="auto" w:fill="auto"/>
            <w:noWrap w:val="0"/>
            <w:tcMar>
              <w:top w:w="0" w:type="dxa"/>
              <w:left w:w="57" w:type="dxa"/>
              <w:bottom w:w="0" w:type="dxa"/>
              <w:right w:w="57" w:type="dxa"/>
            </w:tcMar>
            <w:vAlign w:val="center"/>
          </w:tcPr>
          <w:p w14:paraId="23C7D3A2">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20</w:t>
            </w:r>
          </w:p>
        </w:tc>
      </w:tr>
      <w:tr w14:paraId="0109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3B716C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11</w:t>
            </w:r>
          </w:p>
        </w:tc>
        <w:tc>
          <w:tcPr>
            <w:tcW w:w="801" w:type="pct"/>
            <w:vMerge w:val="restart"/>
            <w:tcBorders>
              <w:tl2br w:val="nil"/>
              <w:tr2bl w:val="nil"/>
            </w:tcBorders>
            <w:noWrap w:val="0"/>
            <w:tcMar>
              <w:top w:w="0" w:type="dxa"/>
              <w:left w:w="57" w:type="dxa"/>
              <w:bottom w:w="0" w:type="dxa"/>
              <w:right w:w="57" w:type="dxa"/>
            </w:tcMar>
            <w:vAlign w:val="center"/>
          </w:tcPr>
          <w:p w14:paraId="3A4608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活性炭再生炉烟气</w:t>
            </w:r>
          </w:p>
        </w:tc>
        <w:tc>
          <w:tcPr>
            <w:tcW w:w="447" w:type="pct"/>
            <w:tcBorders>
              <w:tl2br w:val="nil"/>
              <w:tr2bl w:val="nil"/>
            </w:tcBorders>
            <w:shd w:val="clear" w:color="auto" w:fill="auto"/>
            <w:noWrap w:val="0"/>
            <w:tcMar>
              <w:top w:w="0" w:type="dxa"/>
              <w:left w:w="57" w:type="dxa"/>
              <w:bottom w:w="0" w:type="dxa"/>
              <w:right w:w="57" w:type="dxa"/>
            </w:tcMar>
            <w:vAlign w:val="center"/>
          </w:tcPr>
          <w:p w14:paraId="7A579899">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N</w:t>
            </w:r>
            <w:r>
              <w:rPr>
                <w:snapToGrid w:val="0"/>
                <w:color w:val="auto"/>
                <w:kern w:val="0"/>
                <w:szCs w:val="21"/>
                <w:highlight w:val="none"/>
              </w:rPr>
              <w:t>O</w:t>
            </w:r>
            <w:r>
              <w:rPr>
                <w:snapToGrid w:val="0"/>
                <w:color w:val="auto"/>
                <w:kern w:val="0"/>
                <w:szCs w:val="21"/>
                <w:highlight w:val="none"/>
                <w:vertAlign w:val="subscript"/>
              </w:rPr>
              <w:t>x</w:t>
            </w:r>
          </w:p>
        </w:tc>
        <w:tc>
          <w:tcPr>
            <w:tcW w:w="625" w:type="pct"/>
            <w:tcBorders>
              <w:tl2br w:val="nil"/>
              <w:tr2bl w:val="nil"/>
            </w:tcBorders>
            <w:shd w:val="clear" w:color="auto" w:fill="auto"/>
            <w:noWrap w:val="0"/>
            <w:tcMar>
              <w:top w:w="0" w:type="dxa"/>
              <w:left w:w="57" w:type="dxa"/>
              <w:bottom w:w="0" w:type="dxa"/>
              <w:right w:w="57" w:type="dxa"/>
            </w:tcMar>
            <w:vAlign w:val="center"/>
          </w:tcPr>
          <w:p w14:paraId="39855727">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5</w:t>
            </w:r>
            <w:r>
              <w:rPr>
                <w:snapToGrid w:val="0"/>
                <w:color w:val="auto"/>
                <w:kern w:val="0"/>
                <w:szCs w:val="21"/>
                <w:highlight w:val="none"/>
              </w:rPr>
              <w:t>9.6</w:t>
            </w:r>
          </w:p>
        </w:tc>
        <w:tc>
          <w:tcPr>
            <w:tcW w:w="546" w:type="pct"/>
            <w:tcBorders>
              <w:tl2br w:val="nil"/>
              <w:tr2bl w:val="nil"/>
            </w:tcBorders>
            <w:shd w:val="clear" w:color="auto" w:fill="auto"/>
            <w:noWrap w:val="0"/>
            <w:tcMar>
              <w:top w:w="0" w:type="dxa"/>
              <w:left w:w="57" w:type="dxa"/>
              <w:bottom w:w="0" w:type="dxa"/>
              <w:right w:w="57" w:type="dxa"/>
            </w:tcMar>
            <w:vAlign w:val="center"/>
          </w:tcPr>
          <w:p w14:paraId="6A61CF4B">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0</w:t>
            </w:r>
            <w:r>
              <w:rPr>
                <w:snapToGrid w:val="0"/>
                <w:color w:val="auto"/>
                <w:kern w:val="0"/>
                <w:szCs w:val="21"/>
                <w:highlight w:val="none"/>
              </w:rPr>
              <w:t>.41</w:t>
            </w:r>
          </w:p>
        </w:tc>
        <w:tc>
          <w:tcPr>
            <w:tcW w:w="574" w:type="pct"/>
            <w:tcBorders>
              <w:tl2br w:val="nil"/>
              <w:tr2bl w:val="nil"/>
            </w:tcBorders>
            <w:shd w:val="clear" w:color="auto" w:fill="auto"/>
            <w:noWrap w:val="0"/>
            <w:tcMar>
              <w:top w:w="0" w:type="dxa"/>
              <w:left w:w="57" w:type="dxa"/>
              <w:bottom w:w="0" w:type="dxa"/>
              <w:right w:w="57" w:type="dxa"/>
            </w:tcMar>
            <w:vAlign w:val="center"/>
          </w:tcPr>
          <w:p w14:paraId="67627130">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3.28</w:t>
            </w:r>
          </w:p>
        </w:tc>
        <w:tc>
          <w:tcPr>
            <w:tcW w:w="1733" w:type="pct"/>
            <w:tcBorders>
              <w:tl2br w:val="nil"/>
              <w:tr2bl w:val="nil"/>
            </w:tcBorders>
            <w:shd w:val="clear" w:color="auto" w:fill="auto"/>
            <w:noWrap w:val="0"/>
            <w:tcMar>
              <w:top w:w="0" w:type="dxa"/>
              <w:left w:w="57" w:type="dxa"/>
              <w:bottom w:w="0" w:type="dxa"/>
              <w:right w:w="57" w:type="dxa"/>
            </w:tcMar>
            <w:vAlign w:val="center"/>
          </w:tcPr>
          <w:p w14:paraId="25BA61BB">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100</w:t>
            </w:r>
          </w:p>
        </w:tc>
      </w:tr>
      <w:tr w14:paraId="49B1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7FA3AD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12</w:t>
            </w:r>
          </w:p>
        </w:tc>
        <w:tc>
          <w:tcPr>
            <w:tcW w:w="801" w:type="pct"/>
            <w:vMerge w:val="continue"/>
            <w:tcBorders>
              <w:tl2br w:val="nil"/>
              <w:tr2bl w:val="nil"/>
            </w:tcBorders>
            <w:noWrap w:val="0"/>
            <w:tcMar>
              <w:top w:w="0" w:type="dxa"/>
              <w:left w:w="57" w:type="dxa"/>
              <w:bottom w:w="0" w:type="dxa"/>
              <w:right w:w="57" w:type="dxa"/>
            </w:tcMar>
            <w:vAlign w:val="center"/>
          </w:tcPr>
          <w:p w14:paraId="38E467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p>
        </w:tc>
        <w:tc>
          <w:tcPr>
            <w:tcW w:w="447" w:type="pct"/>
            <w:tcBorders>
              <w:tl2br w:val="nil"/>
              <w:tr2bl w:val="nil"/>
            </w:tcBorders>
            <w:shd w:val="clear" w:color="auto" w:fill="auto"/>
            <w:noWrap w:val="0"/>
            <w:tcMar>
              <w:top w:w="0" w:type="dxa"/>
              <w:left w:w="57" w:type="dxa"/>
              <w:bottom w:w="0" w:type="dxa"/>
              <w:right w:w="57" w:type="dxa"/>
            </w:tcMar>
            <w:vAlign w:val="center"/>
          </w:tcPr>
          <w:p w14:paraId="573D2067">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S</w:t>
            </w:r>
            <w:r>
              <w:rPr>
                <w:snapToGrid w:val="0"/>
                <w:color w:val="auto"/>
                <w:kern w:val="0"/>
                <w:szCs w:val="21"/>
                <w:highlight w:val="none"/>
              </w:rPr>
              <w:t>O</w:t>
            </w:r>
            <w:r>
              <w:rPr>
                <w:snapToGrid w:val="0"/>
                <w:color w:val="auto"/>
                <w:kern w:val="0"/>
                <w:szCs w:val="21"/>
                <w:highlight w:val="none"/>
                <w:vertAlign w:val="subscript"/>
              </w:rPr>
              <w:t>2</w:t>
            </w:r>
          </w:p>
        </w:tc>
        <w:tc>
          <w:tcPr>
            <w:tcW w:w="625" w:type="pct"/>
            <w:tcBorders>
              <w:tl2br w:val="nil"/>
              <w:tr2bl w:val="nil"/>
            </w:tcBorders>
            <w:shd w:val="clear" w:color="auto" w:fill="auto"/>
            <w:noWrap w:val="0"/>
            <w:tcMar>
              <w:top w:w="0" w:type="dxa"/>
              <w:left w:w="57" w:type="dxa"/>
              <w:bottom w:w="0" w:type="dxa"/>
              <w:right w:w="57" w:type="dxa"/>
            </w:tcMar>
            <w:vAlign w:val="center"/>
          </w:tcPr>
          <w:p w14:paraId="73268E84">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4</w:t>
            </w:r>
            <w:r>
              <w:rPr>
                <w:snapToGrid w:val="0"/>
                <w:color w:val="auto"/>
                <w:kern w:val="0"/>
                <w:szCs w:val="21"/>
                <w:highlight w:val="none"/>
              </w:rPr>
              <w:t>7.62</w:t>
            </w:r>
          </w:p>
        </w:tc>
        <w:tc>
          <w:tcPr>
            <w:tcW w:w="546" w:type="pct"/>
            <w:tcBorders>
              <w:tl2br w:val="nil"/>
              <w:tr2bl w:val="nil"/>
            </w:tcBorders>
            <w:shd w:val="clear" w:color="auto" w:fill="auto"/>
            <w:noWrap w:val="0"/>
            <w:tcMar>
              <w:top w:w="0" w:type="dxa"/>
              <w:left w:w="57" w:type="dxa"/>
              <w:bottom w:w="0" w:type="dxa"/>
              <w:right w:w="57" w:type="dxa"/>
            </w:tcMar>
            <w:vAlign w:val="center"/>
          </w:tcPr>
          <w:p w14:paraId="0006E756">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0</w:t>
            </w:r>
            <w:r>
              <w:rPr>
                <w:snapToGrid w:val="0"/>
                <w:color w:val="auto"/>
                <w:kern w:val="0"/>
                <w:szCs w:val="21"/>
                <w:highlight w:val="none"/>
              </w:rPr>
              <w:t>.33</w:t>
            </w:r>
          </w:p>
        </w:tc>
        <w:tc>
          <w:tcPr>
            <w:tcW w:w="574" w:type="pct"/>
            <w:tcBorders>
              <w:tl2br w:val="nil"/>
              <w:tr2bl w:val="nil"/>
            </w:tcBorders>
            <w:shd w:val="clear" w:color="auto" w:fill="auto"/>
            <w:noWrap w:val="0"/>
            <w:tcMar>
              <w:top w:w="0" w:type="dxa"/>
              <w:left w:w="57" w:type="dxa"/>
              <w:bottom w:w="0" w:type="dxa"/>
              <w:right w:w="57" w:type="dxa"/>
            </w:tcMar>
            <w:vAlign w:val="center"/>
          </w:tcPr>
          <w:p w14:paraId="1A1AC661">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2.64</w:t>
            </w:r>
          </w:p>
        </w:tc>
        <w:tc>
          <w:tcPr>
            <w:tcW w:w="1733" w:type="pct"/>
            <w:tcBorders>
              <w:tl2br w:val="nil"/>
              <w:tr2bl w:val="nil"/>
            </w:tcBorders>
            <w:shd w:val="clear" w:color="auto" w:fill="auto"/>
            <w:noWrap w:val="0"/>
            <w:tcMar>
              <w:top w:w="0" w:type="dxa"/>
              <w:left w:w="57" w:type="dxa"/>
              <w:bottom w:w="0" w:type="dxa"/>
              <w:right w:w="57" w:type="dxa"/>
            </w:tcMar>
            <w:vAlign w:val="center"/>
          </w:tcPr>
          <w:p w14:paraId="780CC44C">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50</w:t>
            </w:r>
          </w:p>
        </w:tc>
      </w:tr>
      <w:tr w14:paraId="6C4C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00857B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13</w:t>
            </w:r>
          </w:p>
        </w:tc>
        <w:tc>
          <w:tcPr>
            <w:tcW w:w="801" w:type="pct"/>
            <w:vMerge w:val="continue"/>
            <w:tcBorders>
              <w:tl2br w:val="nil"/>
              <w:tr2bl w:val="nil"/>
            </w:tcBorders>
            <w:noWrap w:val="0"/>
            <w:tcMar>
              <w:top w:w="0" w:type="dxa"/>
              <w:left w:w="57" w:type="dxa"/>
              <w:bottom w:w="0" w:type="dxa"/>
              <w:right w:w="57" w:type="dxa"/>
            </w:tcMar>
            <w:vAlign w:val="center"/>
          </w:tcPr>
          <w:p w14:paraId="241201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p>
        </w:tc>
        <w:tc>
          <w:tcPr>
            <w:tcW w:w="447" w:type="pct"/>
            <w:tcBorders>
              <w:tl2br w:val="nil"/>
              <w:tr2bl w:val="nil"/>
            </w:tcBorders>
            <w:shd w:val="clear" w:color="auto" w:fill="auto"/>
            <w:noWrap w:val="0"/>
            <w:tcMar>
              <w:top w:w="0" w:type="dxa"/>
              <w:left w:w="57" w:type="dxa"/>
              <w:bottom w:w="0" w:type="dxa"/>
              <w:right w:w="57" w:type="dxa"/>
            </w:tcMar>
            <w:vAlign w:val="center"/>
          </w:tcPr>
          <w:p w14:paraId="3ED659AF">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颗粒物</w:t>
            </w:r>
          </w:p>
        </w:tc>
        <w:tc>
          <w:tcPr>
            <w:tcW w:w="625" w:type="pct"/>
            <w:tcBorders>
              <w:tl2br w:val="nil"/>
              <w:tr2bl w:val="nil"/>
            </w:tcBorders>
            <w:shd w:val="clear" w:color="auto" w:fill="auto"/>
            <w:noWrap w:val="0"/>
            <w:tcMar>
              <w:top w:w="0" w:type="dxa"/>
              <w:left w:w="57" w:type="dxa"/>
              <w:bottom w:w="0" w:type="dxa"/>
              <w:right w:w="57" w:type="dxa"/>
            </w:tcMar>
            <w:vAlign w:val="center"/>
          </w:tcPr>
          <w:p w14:paraId="015ABE72">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9</w:t>
            </w:r>
            <w:r>
              <w:rPr>
                <w:snapToGrid w:val="0"/>
                <w:color w:val="auto"/>
                <w:kern w:val="0"/>
                <w:szCs w:val="21"/>
                <w:highlight w:val="none"/>
              </w:rPr>
              <w:t>.52</w:t>
            </w:r>
          </w:p>
        </w:tc>
        <w:tc>
          <w:tcPr>
            <w:tcW w:w="546" w:type="pct"/>
            <w:tcBorders>
              <w:tl2br w:val="nil"/>
              <w:tr2bl w:val="nil"/>
            </w:tcBorders>
            <w:shd w:val="clear" w:color="auto" w:fill="auto"/>
            <w:noWrap w:val="0"/>
            <w:tcMar>
              <w:top w:w="0" w:type="dxa"/>
              <w:left w:w="57" w:type="dxa"/>
              <w:bottom w:w="0" w:type="dxa"/>
              <w:right w:w="57" w:type="dxa"/>
            </w:tcMar>
            <w:vAlign w:val="center"/>
          </w:tcPr>
          <w:p w14:paraId="4B077D84">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0</w:t>
            </w:r>
            <w:r>
              <w:rPr>
                <w:snapToGrid w:val="0"/>
                <w:color w:val="auto"/>
                <w:kern w:val="0"/>
                <w:szCs w:val="21"/>
                <w:highlight w:val="none"/>
              </w:rPr>
              <w:t>.07</w:t>
            </w:r>
          </w:p>
        </w:tc>
        <w:tc>
          <w:tcPr>
            <w:tcW w:w="574" w:type="pct"/>
            <w:tcBorders>
              <w:tl2br w:val="nil"/>
              <w:tr2bl w:val="nil"/>
            </w:tcBorders>
            <w:shd w:val="clear" w:color="auto" w:fill="auto"/>
            <w:noWrap w:val="0"/>
            <w:tcMar>
              <w:top w:w="0" w:type="dxa"/>
              <w:left w:w="57" w:type="dxa"/>
              <w:bottom w:w="0" w:type="dxa"/>
              <w:right w:w="57" w:type="dxa"/>
            </w:tcMar>
            <w:vAlign w:val="center"/>
          </w:tcPr>
          <w:p w14:paraId="7F25663F">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0.56</w:t>
            </w:r>
          </w:p>
        </w:tc>
        <w:tc>
          <w:tcPr>
            <w:tcW w:w="1733" w:type="pct"/>
            <w:tcBorders>
              <w:tl2br w:val="nil"/>
              <w:tr2bl w:val="nil"/>
            </w:tcBorders>
            <w:shd w:val="clear" w:color="auto" w:fill="auto"/>
            <w:noWrap w:val="0"/>
            <w:tcMar>
              <w:top w:w="0" w:type="dxa"/>
              <w:left w:w="57" w:type="dxa"/>
              <w:bottom w:w="0" w:type="dxa"/>
              <w:right w:w="57" w:type="dxa"/>
            </w:tcMar>
            <w:vAlign w:val="center"/>
          </w:tcPr>
          <w:p w14:paraId="78CA1C60">
            <w:pPr>
              <w:adjustRightInd w:val="0"/>
              <w:snapToGrid w:val="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20</w:t>
            </w:r>
          </w:p>
        </w:tc>
      </w:tr>
      <w:tr w14:paraId="2068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tcBorders>
              <w:tl2br w:val="nil"/>
              <w:tr2bl w:val="nil"/>
            </w:tcBorders>
            <w:noWrap w:val="0"/>
            <w:tcMar>
              <w:top w:w="0" w:type="dxa"/>
              <w:left w:w="57" w:type="dxa"/>
              <w:bottom w:w="0" w:type="dxa"/>
              <w:right w:w="57" w:type="dxa"/>
            </w:tcMar>
            <w:vAlign w:val="center"/>
          </w:tcPr>
          <w:p w14:paraId="25547A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14</w:t>
            </w:r>
          </w:p>
        </w:tc>
        <w:tc>
          <w:tcPr>
            <w:tcW w:w="801" w:type="pct"/>
            <w:tcBorders>
              <w:tl2br w:val="nil"/>
              <w:tr2bl w:val="nil"/>
            </w:tcBorders>
            <w:noWrap w:val="0"/>
            <w:tcMar>
              <w:top w:w="0" w:type="dxa"/>
              <w:left w:w="57" w:type="dxa"/>
              <w:bottom w:w="0" w:type="dxa"/>
              <w:right w:w="57" w:type="dxa"/>
            </w:tcMar>
            <w:vAlign w:val="center"/>
          </w:tcPr>
          <w:p w14:paraId="56FE80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罐区废气</w:t>
            </w:r>
          </w:p>
        </w:tc>
        <w:tc>
          <w:tcPr>
            <w:tcW w:w="447" w:type="pct"/>
            <w:tcBorders>
              <w:tl2br w:val="nil"/>
              <w:tr2bl w:val="nil"/>
            </w:tcBorders>
            <w:shd w:val="clear" w:color="auto" w:fill="auto"/>
            <w:noWrap w:val="0"/>
            <w:tcMar>
              <w:top w:w="0" w:type="dxa"/>
              <w:left w:w="57" w:type="dxa"/>
              <w:bottom w:w="0" w:type="dxa"/>
              <w:right w:w="57" w:type="dxa"/>
            </w:tcMar>
            <w:vAlign w:val="center"/>
          </w:tcPr>
          <w:p w14:paraId="065039AB">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N</w:t>
            </w:r>
            <w:r>
              <w:rPr>
                <w:snapToGrid w:val="0"/>
                <w:color w:val="auto"/>
                <w:kern w:val="0"/>
                <w:szCs w:val="21"/>
                <w:highlight w:val="none"/>
              </w:rPr>
              <w:t>MHC</w:t>
            </w:r>
          </w:p>
        </w:tc>
        <w:tc>
          <w:tcPr>
            <w:tcW w:w="625" w:type="pct"/>
            <w:tcBorders>
              <w:tl2br w:val="nil"/>
              <w:tr2bl w:val="nil"/>
            </w:tcBorders>
            <w:shd w:val="clear" w:color="auto" w:fill="auto"/>
            <w:noWrap w:val="0"/>
            <w:tcMar>
              <w:top w:w="0" w:type="dxa"/>
              <w:left w:w="57" w:type="dxa"/>
              <w:bottom w:w="0" w:type="dxa"/>
              <w:right w:w="57" w:type="dxa"/>
            </w:tcMar>
            <w:vAlign w:val="center"/>
          </w:tcPr>
          <w:p w14:paraId="4C22149C">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snapToGrid w:val="0"/>
                <w:color w:val="auto"/>
                <w:kern w:val="0"/>
                <w:szCs w:val="21"/>
                <w:highlight w:val="none"/>
              </w:rPr>
              <w:t>633.8</w:t>
            </w:r>
          </w:p>
        </w:tc>
        <w:tc>
          <w:tcPr>
            <w:tcW w:w="546" w:type="pct"/>
            <w:tcBorders>
              <w:tl2br w:val="nil"/>
              <w:tr2bl w:val="nil"/>
            </w:tcBorders>
            <w:shd w:val="clear" w:color="auto" w:fill="auto"/>
            <w:noWrap w:val="0"/>
            <w:tcMar>
              <w:top w:w="0" w:type="dxa"/>
              <w:left w:w="57" w:type="dxa"/>
              <w:bottom w:w="0" w:type="dxa"/>
              <w:right w:w="57" w:type="dxa"/>
            </w:tcMar>
            <w:vAlign w:val="center"/>
          </w:tcPr>
          <w:p w14:paraId="657ECFBC">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0</w:t>
            </w:r>
            <w:r>
              <w:rPr>
                <w:snapToGrid w:val="0"/>
                <w:color w:val="auto"/>
                <w:kern w:val="0"/>
                <w:szCs w:val="21"/>
                <w:highlight w:val="none"/>
              </w:rPr>
              <w:t>.03</w:t>
            </w:r>
          </w:p>
        </w:tc>
        <w:tc>
          <w:tcPr>
            <w:tcW w:w="574" w:type="pct"/>
            <w:tcBorders>
              <w:tl2br w:val="nil"/>
              <w:tr2bl w:val="nil"/>
            </w:tcBorders>
            <w:shd w:val="clear" w:color="auto" w:fill="auto"/>
            <w:noWrap w:val="0"/>
            <w:tcMar>
              <w:top w:w="0" w:type="dxa"/>
              <w:left w:w="57" w:type="dxa"/>
              <w:bottom w:w="0" w:type="dxa"/>
              <w:right w:w="57" w:type="dxa"/>
            </w:tcMar>
            <w:vAlign w:val="center"/>
          </w:tcPr>
          <w:p w14:paraId="515F32EB">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0.05</w:t>
            </w:r>
          </w:p>
        </w:tc>
        <w:tc>
          <w:tcPr>
            <w:tcW w:w="1733" w:type="pct"/>
            <w:tcBorders>
              <w:tl2br w:val="nil"/>
              <w:tr2bl w:val="nil"/>
            </w:tcBorders>
            <w:shd w:val="clear" w:color="auto" w:fill="auto"/>
            <w:noWrap w:val="0"/>
            <w:tcMar>
              <w:top w:w="0" w:type="dxa"/>
              <w:left w:w="57" w:type="dxa"/>
              <w:bottom w:w="0" w:type="dxa"/>
              <w:right w:w="57" w:type="dxa"/>
            </w:tcMar>
            <w:vAlign w:val="center"/>
          </w:tcPr>
          <w:p w14:paraId="59FA48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snapToGrid w:val="0"/>
                <w:color w:val="auto"/>
                <w:kern w:val="0"/>
                <w:szCs w:val="21"/>
                <w:highlight w:val="none"/>
              </w:rPr>
              <w:t>无组织</w:t>
            </w:r>
            <w:r>
              <w:rPr>
                <w:rFonts w:hint="eastAsia"/>
                <w:snapToGrid w:val="0"/>
                <w:color w:val="auto"/>
                <w:kern w:val="0"/>
                <w:szCs w:val="21"/>
                <w:highlight w:val="none"/>
                <w:lang w:val="en-US" w:eastAsia="zh-CN"/>
              </w:rPr>
              <w:t>厂界4.0</w:t>
            </w:r>
          </w:p>
        </w:tc>
      </w:tr>
      <w:tr w14:paraId="4A53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6" w:type="pct"/>
            <w:gridSpan w:val="6"/>
            <w:tcBorders>
              <w:tl2br w:val="nil"/>
              <w:tr2bl w:val="nil"/>
            </w:tcBorders>
            <w:noWrap w:val="0"/>
            <w:tcMar>
              <w:top w:w="0" w:type="dxa"/>
              <w:left w:w="57" w:type="dxa"/>
              <w:bottom w:w="0" w:type="dxa"/>
              <w:right w:w="57" w:type="dxa"/>
            </w:tcMar>
            <w:vAlign w:val="center"/>
          </w:tcPr>
          <w:p w14:paraId="7E81C2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有组织排放总计</w:t>
            </w:r>
          </w:p>
        </w:tc>
        <w:tc>
          <w:tcPr>
            <w:tcW w:w="1733" w:type="pct"/>
            <w:tcBorders>
              <w:tl2br w:val="nil"/>
              <w:tr2bl w:val="nil"/>
            </w:tcBorders>
            <w:noWrap w:val="0"/>
            <w:tcMar>
              <w:top w:w="0" w:type="dxa"/>
              <w:left w:w="57" w:type="dxa"/>
              <w:bottom w:w="0" w:type="dxa"/>
              <w:right w:w="57" w:type="dxa"/>
            </w:tcMar>
            <w:vAlign w:val="center"/>
          </w:tcPr>
          <w:p w14:paraId="6183FE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r>
      <w:tr w14:paraId="66AA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restart"/>
            <w:tcBorders>
              <w:tl2br w:val="nil"/>
              <w:tr2bl w:val="nil"/>
            </w:tcBorders>
            <w:noWrap w:val="0"/>
            <w:tcMar>
              <w:top w:w="0" w:type="dxa"/>
              <w:left w:w="57" w:type="dxa"/>
              <w:bottom w:w="0" w:type="dxa"/>
              <w:right w:w="57" w:type="dxa"/>
            </w:tcMar>
            <w:vAlign w:val="center"/>
          </w:tcPr>
          <w:p w14:paraId="1A0219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有组织排放总计</w:t>
            </w:r>
          </w:p>
        </w:tc>
        <w:tc>
          <w:tcPr>
            <w:tcW w:w="2193" w:type="pct"/>
            <w:gridSpan w:val="4"/>
            <w:tcBorders>
              <w:tl2br w:val="nil"/>
              <w:tr2bl w:val="nil"/>
            </w:tcBorders>
            <w:noWrap w:val="0"/>
            <w:tcMar>
              <w:top w:w="0" w:type="dxa"/>
              <w:left w:w="57" w:type="dxa"/>
              <w:bottom w:w="0" w:type="dxa"/>
              <w:right w:w="57" w:type="dxa"/>
            </w:tcMar>
            <w:vAlign w:val="center"/>
          </w:tcPr>
          <w:p w14:paraId="48309A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颗粒物</w:t>
            </w:r>
          </w:p>
        </w:tc>
        <w:tc>
          <w:tcPr>
            <w:tcW w:w="1733" w:type="pct"/>
            <w:tcBorders>
              <w:tl2br w:val="nil"/>
              <w:tr2bl w:val="nil"/>
            </w:tcBorders>
            <w:noWrap w:val="0"/>
            <w:tcMar>
              <w:top w:w="0" w:type="dxa"/>
              <w:left w:w="57" w:type="dxa"/>
              <w:bottom w:w="0" w:type="dxa"/>
              <w:right w:w="57" w:type="dxa"/>
            </w:tcMar>
            <w:vAlign w:val="center"/>
          </w:tcPr>
          <w:p w14:paraId="5D2EAC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10.56</w:t>
            </w:r>
          </w:p>
        </w:tc>
      </w:tr>
      <w:tr w14:paraId="31D2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continue"/>
            <w:tcBorders>
              <w:tl2br w:val="nil"/>
              <w:tr2bl w:val="nil"/>
            </w:tcBorders>
            <w:noWrap w:val="0"/>
            <w:tcMar>
              <w:top w:w="0" w:type="dxa"/>
              <w:left w:w="57" w:type="dxa"/>
              <w:bottom w:w="0" w:type="dxa"/>
              <w:right w:w="57" w:type="dxa"/>
            </w:tcMar>
            <w:vAlign w:val="center"/>
          </w:tcPr>
          <w:p w14:paraId="3CC394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2193" w:type="pct"/>
            <w:gridSpan w:val="4"/>
            <w:tcBorders>
              <w:tl2br w:val="nil"/>
              <w:tr2bl w:val="nil"/>
            </w:tcBorders>
            <w:shd w:val="clear" w:color="auto" w:fill="auto"/>
            <w:noWrap w:val="0"/>
            <w:tcMar>
              <w:top w:w="0" w:type="dxa"/>
              <w:left w:w="57" w:type="dxa"/>
              <w:bottom w:w="0" w:type="dxa"/>
              <w:right w:w="57" w:type="dxa"/>
            </w:tcMar>
            <w:vAlign w:val="center"/>
          </w:tcPr>
          <w:p w14:paraId="048FB7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N</w:t>
            </w:r>
            <w:r>
              <w:rPr>
                <w:snapToGrid w:val="0"/>
                <w:color w:val="auto"/>
                <w:kern w:val="0"/>
                <w:szCs w:val="21"/>
                <w:highlight w:val="none"/>
              </w:rPr>
              <w:t>MHC</w:t>
            </w:r>
          </w:p>
        </w:tc>
        <w:tc>
          <w:tcPr>
            <w:tcW w:w="1733" w:type="pct"/>
            <w:tcBorders>
              <w:tl2br w:val="nil"/>
              <w:tr2bl w:val="nil"/>
            </w:tcBorders>
            <w:noWrap w:val="0"/>
            <w:tcMar>
              <w:top w:w="0" w:type="dxa"/>
              <w:left w:w="57" w:type="dxa"/>
              <w:bottom w:w="0" w:type="dxa"/>
              <w:right w:w="57" w:type="dxa"/>
            </w:tcMar>
            <w:vAlign w:val="center"/>
          </w:tcPr>
          <w:p w14:paraId="1A77E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2.56</w:t>
            </w:r>
          </w:p>
        </w:tc>
      </w:tr>
      <w:tr w14:paraId="7834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continue"/>
            <w:tcBorders>
              <w:tl2br w:val="nil"/>
              <w:tr2bl w:val="nil"/>
            </w:tcBorders>
            <w:noWrap w:val="0"/>
            <w:tcMar>
              <w:top w:w="0" w:type="dxa"/>
              <w:left w:w="57" w:type="dxa"/>
              <w:bottom w:w="0" w:type="dxa"/>
              <w:right w:w="57" w:type="dxa"/>
            </w:tcMar>
            <w:vAlign w:val="center"/>
          </w:tcPr>
          <w:p w14:paraId="3DD230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2193" w:type="pct"/>
            <w:gridSpan w:val="4"/>
            <w:tcBorders>
              <w:tl2br w:val="nil"/>
              <w:tr2bl w:val="nil"/>
            </w:tcBorders>
            <w:shd w:val="clear" w:color="auto" w:fill="auto"/>
            <w:noWrap w:val="0"/>
            <w:tcMar>
              <w:top w:w="0" w:type="dxa"/>
              <w:left w:w="57" w:type="dxa"/>
              <w:bottom w:w="0" w:type="dxa"/>
              <w:right w:w="57" w:type="dxa"/>
            </w:tcMar>
            <w:vAlign w:val="center"/>
          </w:tcPr>
          <w:p w14:paraId="48A9EF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N</w:t>
            </w:r>
            <w:r>
              <w:rPr>
                <w:snapToGrid w:val="0"/>
                <w:color w:val="auto"/>
                <w:kern w:val="0"/>
                <w:szCs w:val="21"/>
                <w:highlight w:val="none"/>
              </w:rPr>
              <w:t>H</w:t>
            </w:r>
            <w:r>
              <w:rPr>
                <w:snapToGrid w:val="0"/>
                <w:color w:val="auto"/>
                <w:kern w:val="0"/>
                <w:szCs w:val="21"/>
                <w:highlight w:val="none"/>
                <w:vertAlign w:val="subscript"/>
              </w:rPr>
              <w:t>3</w:t>
            </w:r>
          </w:p>
        </w:tc>
        <w:tc>
          <w:tcPr>
            <w:tcW w:w="1733" w:type="pct"/>
            <w:tcBorders>
              <w:tl2br w:val="nil"/>
              <w:tr2bl w:val="nil"/>
            </w:tcBorders>
            <w:shd w:val="clear" w:color="auto" w:fill="auto"/>
            <w:noWrap w:val="0"/>
            <w:tcMar>
              <w:top w:w="0" w:type="dxa"/>
              <w:left w:w="57" w:type="dxa"/>
              <w:bottom w:w="0" w:type="dxa"/>
              <w:right w:w="57" w:type="dxa"/>
            </w:tcMar>
            <w:vAlign w:val="center"/>
          </w:tcPr>
          <w:p w14:paraId="19FA7E7E">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4.16</w:t>
            </w:r>
          </w:p>
        </w:tc>
      </w:tr>
      <w:tr w14:paraId="1DC2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continue"/>
            <w:tcBorders>
              <w:tl2br w:val="nil"/>
              <w:tr2bl w:val="nil"/>
            </w:tcBorders>
            <w:noWrap w:val="0"/>
            <w:tcMar>
              <w:top w:w="0" w:type="dxa"/>
              <w:left w:w="57" w:type="dxa"/>
              <w:bottom w:w="0" w:type="dxa"/>
              <w:right w:w="57" w:type="dxa"/>
            </w:tcMar>
            <w:vAlign w:val="center"/>
          </w:tcPr>
          <w:p w14:paraId="001F1A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2193" w:type="pct"/>
            <w:gridSpan w:val="4"/>
            <w:tcBorders>
              <w:tl2br w:val="nil"/>
              <w:tr2bl w:val="nil"/>
            </w:tcBorders>
            <w:shd w:val="clear" w:color="auto" w:fill="auto"/>
            <w:noWrap w:val="0"/>
            <w:tcMar>
              <w:top w:w="0" w:type="dxa"/>
              <w:left w:w="57" w:type="dxa"/>
              <w:bottom w:w="0" w:type="dxa"/>
              <w:right w:w="57" w:type="dxa"/>
            </w:tcMar>
            <w:vAlign w:val="center"/>
          </w:tcPr>
          <w:p w14:paraId="041A77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p>
        </w:tc>
        <w:tc>
          <w:tcPr>
            <w:tcW w:w="1733" w:type="pct"/>
            <w:tcBorders>
              <w:tl2br w:val="nil"/>
              <w:tr2bl w:val="nil"/>
            </w:tcBorders>
            <w:shd w:val="clear" w:color="auto" w:fill="auto"/>
            <w:noWrap w:val="0"/>
            <w:tcMar>
              <w:top w:w="0" w:type="dxa"/>
              <w:left w:w="57" w:type="dxa"/>
              <w:bottom w:w="0" w:type="dxa"/>
              <w:right w:w="57" w:type="dxa"/>
            </w:tcMar>
            <w:vAlign w:val="center"/>
          </w:tcPr>
          <w:p w14:paraId="688F2595">
            <w:pPr>
              <w:adjustRightInd w:val="0"/>
              <w:snapToGrid w:val="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color w:val="auto"/>
                <w:spacing w:val="0"/>
                <w:kern w:val="0"/>
                <w:sz w:val="21"/>
                <w:szCs w:val="21"/>
                <w:highlight w:val="none"/>
                <w:lang w:val="en-US" w:eastAsia="zh-CN"/>
              </w:rPr>
              <w:t>0.8</w:t>
            </w:r>
          </w:p>
        </w:tc>
      </w:tr>
      <w:tr w14:paraId="73B7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continue"/>
            <w:tcBorders>
              <w:tl2br w:val="nil"/>
              <w:tr2bl w:val="nil"/>
            </w:tcBorders>
            <w:noWrap w:val="0"/>
            <w:tcMar>
              <w:top w:w="0" w:type="dxa"/>
              <w:left w:w="57" w:type="dxa"/>
              <w:bottom w:w="0" w:type="dxa"/>
              <w:right w:w="57" w:type="dxa"/>
            </w:tcMar>
            <w:vAlign w:val="center"/>
          </w:tcPr>
          <w:p w14:paraId="1A20A2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2193" w:type="pct"/>
            <w:gridSpan w:val="4"/>
            <w:tcBorders>
              <w:tl2br w:val="nil"/>
              <w:tr2bl w:val="nil"/>
            </w:tcBorders>
            <w:noWrap w:val="0"/>
            <w:tcMar>
              <w:top w:w="0" w:type="dxa"/>
              <w:left w:w="57" w:type="dxa"/>
              <w:bottom w:w="0" w:type="dxa"/>
              <w:right w:w="57" w:type="dxa"/>
            </w:tcMar>
            <w:vAlign w:val="center"/>
          </w:tcPr>
          <w:p w14:paraId="2667E6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硫酸雾</w:t>
            </w:r>
          </w:p>
        </w:tc>
        <w:tc>
          <w:tcPr>
            <w:tcW w:w="1733" w:type="pct"/>
            <w:tcBorders>
              <w:tl2br w:val="nil"/>
              <w:tr2bl w:val="nil"/>
            </w:tcBorders>
            <w:noWrap w:val="0"/>
            <w:tcMar>
              <w:top w:w="0" w:type="dxa"/>
              <w:left w:w="57" w:type="dxa"/>
              <w:bottom w:w="0" w:type="dxa"/>
              <w:right w:w="57" w:type="dxa"/>
            </w:tcMar>
            <w:vAlign w:val="center"/>
          </w:tcPr>
          <w:p w14:paraId="628B08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ascii="Times New Roman" w:hAnsi="Times New Roman" w:eastAsia="宋体" w:cs="Times New Roman"/>
                <w:color w:val="auto"/>
                <w:spacing w:val="0"/>
                <w:kern w:val="0"/>
                <w:sz w:val="21"/>
                <w:szCs w:val="21"/>
                <w:highlight w:val="none"/>
                <w:lang w:val="en-US" w:eastAsia="zh-CN"/>
              </w:rPr>
              <w:t>3.76</w:t>
            </w:r>
          </w:p>
        </w:tc>
      </w:tr>
      <w:tr w14:paraId="54FA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continue"/>
            <w:tcBorders>
              <w:tl2br w:val="nil"/>
              <w:tr2bl w:val="nil"/>
            </w:tcBorders>
            <w:noWrap w:val="0"/>
            <w:tcMar>
              <w:top w:w="0" w:type="dxa"/>
              <w:left w:w="57" w:type="dxa"/>
              <w:bottom w:w="0" w:type="dxa"/>
              <w:right w:w="57" w:type="dxa"/>
            </w:tcMar>
            <w:vAlign w:val="center"/>
          </w:tcPr>
          <w:p w14:paraId="178D11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2193" w:type="pct"/>
            <w:gridSpan w:val="4"/>
            <w:tcBorders>
              <w:tl2br w:val="nil"/>
              <w:tr2bl w:val="nil"/>
            </w:tcBorders>
            <w:shd w:val="clear" w:color="auto" w:fill="auto"/>
            <w:noWrap w:val="0"/>
            <w:tcMar>
              <w:top w:w="0" w:type="dxa"/>
              <w:left w:w="57" w:type="dxa"/>
              <w:bottom w:w="0" w:type="dxa"/>
              <w:right w:w="57" w:type="dxa"/>
            </w:tcMar>
            <w:vAlign w:val="center"/>
          </w:tcPr>
          <w:p w14:paraId="1B8395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eastAsia="zh-CN"/>
              </w:rPr>
            </w:pPr>
            <w:r>
              <w:rPr>
                <w:rFonts w:hint="eastAsia"/>
                <w:snapToGrid w:val="0"/>
                <w:color w:val="auto"/>
                <w:kern w:val="0"/>
                <w:szCs w:val="21"/>
                <w:highlight w:val="none"/>
              </w:rPr>
              <w:t>N</w:t>
            </w:r>
            <w:r>
              <w:rPr>
                <w:snapToGrid w:val="0"/>
                <w:color w:val="auto"/>
                <w:kern w:val="0"/>
                <w:szCs w:val="21"/>
                <w:highlight w:val="none"/>
              </w:rPr>
              <w:t>O</w:t>
            </w:r>
            <w:r>
              <w:rPr>
                <w:rFonts w:hint="eastAsia"/>
                <w:snapToGrid w:val="0"/>
                <w:color w:val="auto"/>
                <w:kern w:val="0"/>
                <w:szCs w:val="21"/>
                <w:highlight w:val="none"/>
                <w:vertAlign w:val="subscript"/>
                <w:lang w:val="en-US" w:eastAsia="zh-CN"/>
              </w:rPr>
              <w:t>X</w:t>
            </w:r>
          </w:p>
        </w:tc>
        <w:tc>
          <w:tcPr>
            <w:tcW w:w="1733" w:type="pct"/>
            <w:tcBorders>
              <w:tl2br w:val="nil"/>
              <w:tr2bl w:val="nil"/>
            </w:tcBorders>
            <w:shd w:val="clear" w:color="auto" w:fill="auto"/>
            <w:noWrap w:val="0"/>
            <w:tcMar>
              <w:top w:w="0" w:type="dxa"/>
              <w:left w:w="57" w:type="dxa"/>
              <w:bottom w:w="0" w:type="dxa"/>
              <w:right w:w="57" w:type="dxa"/>
            </w:tcMar>
            <w:vAlign w:val="center"/>
          </w:tcPr>
          <w:p w14:paraId="662FB243">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3.28</w:t>
            </w:r>
          </w:p>
        </w:tc>
      </w:tr>
      <w:tr w14:paraId="219B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vMerge w:val="continue"/>
            <w:tcBorders>
              <w:tl2br w:val="nil"/>
              <w:tr2bl w:val="nil"/>
            </w:tcBorders>
            <w:noWrap w:val="0"/>
            <w:tcMar>
              <w:top w:w="0" w:type="dxa"/>
              <w:left w:w="57" w:type="dxa"/>
              <w:bottom w:w="0" w:type="dxa"/>
              <w:right w:w="57" w:type="dxa"/>
            </w:tcMar>
            <w:vAlign w:val="center"/>
          </w:tcPr>
          <w:p w14:paraId="2545D1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snapToGrid w:val="0"/>
                <w:color w:val="auto"/>
                <w:kern w:val="0"/>
                <w:sz w:val="21"/>
                <w:szCs w:val="21"/>
                <w:highlight w:val="none"/>
                <w:lang w:val="en-US" w:eastAsia="zh-CN" w:bidi="ar"/>
              </w:rPr>
            </w:pPr>
          </w:p>
        </w:tc>
        <w:tc>
          <w:tcPr>
            <w:tcW w:w="2193" w:type="pct"/>
            <w:gridSpan w:val="4"/>
            <w:tcBorders>
              <w:tl2br w:val="nil"/>
              <w:tr2bl w:val="nil"/>
            </w:tcBorders>
            <w:shd w:val="clear" w:color="auto" w:fill="auto"/>
            <w:noWrap w:val="0"/>
            <w:tcMar>
              <w:top w:w="0" w:type="dxa"/>
              <w:left w:w="57" w:type="dxa"/>
              <w:bottom w:w="0" w:type="dxa"/>
              <w:right w:w="57" w:type="dxa"/>
            </w:tcMar>
            <w:vAlign w:val="center"/>
          </w:tcPr>
          <w:p w14:paraId="5E3731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S</w:t>
            </w:r>
            <w:r>
              <w:rPr>
                <w:snapToGrid w:val="0"/>
                <w:color w:val="auto"/>
                <w:kern w:val="0"/>
                <w:szCs w:val="21"/>
                <w:highlight w:val="none"/>
              </w:rPr>
              <w:t>O</w:t>
            </w:r>
            <w:r>
              <w:rPr>
                <w:snapToGrid w:val="0"/>
                <w:color w:val="auto"/>
                <w:kern w:val="0"/>
                <w:szCs w:val="21"/>
                <w:highlight w:val="none"/>
                <w:vertAlign w:val="subscript"/>
              </w:rPr>
              <w:t>2</w:t>
            </w:r>
          </w:p>
        </w:tc>
        <w:tc>
          <w:tcPr>
            <w:tcW w:w="1733" w:type="pct"/>
            <w:tcBorders>
              <w:tl2br w:val="nil"/>
              <w:tr2bl w:val="nil"/>
            </w:tcBorders>
            <w:shd w:val="clear" w:color="auto" w:fill="auto"/>
            <w:noWrap w:val="0"/>
            <w:tcMar>
              <w:top w:w="0" w:type="dxa"/>
              <w:left w:w="57" w:type="dxa"/>
              <w:bottom w:w="0" w:type="dxa"/>
              <w:right w:w="57" w:type="dxa"/>
            </w:tcMar>
            <w:vAlign w:val="center"/>
          </w:tcPr>
          <w:p w14:paraId="584440C6">
            <w:pPr>
              <w:adjustRightInd w:val="0"/>
              <w:snapToGrid w:val="0"/>
              <w:jc w:val="center"/>
              <w:rPr>
                <w:rFonts w:hint="eastAsia"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rPr>
              <w:t>2.64</w:t>
            </w:r>
          </w:p>
        </w:tc>
      </w:tr>
      <w:tr w14:paraId="2EC8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3" w:type="pct"/>
            <w:gridSpan w:val="2"/>
            <w:tcBorders>
              <w:tl2br w:val="nil"/>
              <w:tr2bl w:val="nil"/>
            </w:tcBorders>
            <w:noWrap w:val="0"/>
            <w:tcMar>
              <w:top w:w="0" w:type="dxa"/>
              <w:left w:w="57" w:type="dxa"/>
              <w:bottom w:w="0" w:type="dxa"/>
              <w:right w:w="57" w:type="dxa"/>
            </w:tcMar>
            <w:vAlign w:val="center"/>
          </w:tcPr>
          <w:p w14:paraId="47BF39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bidi="ar"/>
              </w:rPr>
            </w:pPr>
            <w:r>
              <w:rPr>
                <w:rFonts w:hint="eastAsia" w:ascii="Times New Roman" w:hAnsi="Times New Roman" w:eastAsia="宋体" w:cs="Times New Roman"/>
                <w:b w:val="0"/>
                <w:bCs w:val="0"/>
                <w:snapToGrid w:val="0"/>
                <w:color w:val="auto"/>
                <w:kern w:val="0"/>
                <w:sz w:val="21"/>
                <w:szCs w:val="21"/>
                <w:highlight w:val="none"/>
                <w:lang w:val="en-US" w:eastAsia="zh-CN" w:bidi="ar"/>
              </w:rPr>
              <w:t>无组织排放统计</w:t>
            </w:r>
          </w:p>
        </w:tc>
        <w:tc>
          <w:tcPr>
            <w:tcW w:w="2193" w:type="pct"/>
            <w:gridSpan w:val="4"/>
            <w:tcBorders>
              <w:tl2br w:val="nil"/>
              <w:tr2bl w:val="nil"/>
            </w:tcBorders>
            <w:shd w:val="clear" w:color="auto" w:fill="auto"/>
            <w:noWrap w:val="0"/>
            <w:tcMar>
              <w:top w:w="0" w:type="dxa"/>
              <w:left w:w="57" w:type="dxa"/>
              <w:bottom w:w="0" w:type="dxa"/>
              <w:right w:w="57" w:type="dxa"/>
            </w:tcMar>
            <w:vAlign w:val="center"/>
          </w:tcPr>
          <w:p w14:paraId="734805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ascii="Times New Roman" w:hAnsi="Times New Roman" w:eastAsia="宋体" w:cs="Times New Roman"/>
                <w:b w:val="0"/>
                <w:bCs w:val="0"/>
                <w:snapToGrid w:val="0"/>
                <w:color w:val="auto"/>
                <w:kern w:val="0"/>
                <w:sz w:val="21"/>
                <w:szCs w:val="21"/>
                <w:highlight w:val="none"/>
              </w:rPr>
            </w:pPr>
            <w:r>
              <w:rPr>
                <w:rFonts w:hint="eastAsia"/>
                <w:snapToGrid w:val="0"/>
                <w:color w:val="auto"/>
                <w:kern w:val="0"/>
                <w:szCs w:val="21"/>
                <w:highlight w:val="none"/>
              </w:rPr>
              <w:t>N</w:t>
            </w:r>
            <w:r>
              <w:rPr>
                <w:snapToGrid w:val="0"/>
                <w:color w:val="auto"/>
                <w:kern w:val="0"/>
                <w:szCs w:val="21"/>
                <w:highlight w:val="none"/>
              </w:rPr>
              <w:t>MHC</w:t>
            </w:r>
          </w:p>
        </w:tc>
        <w:tc>
          <w:tcPr>
            <w:tcW w:w="1733" w:type="pct"/>
            <w:tcBorders>
              <w:tl2br w:val="nil"/>
              <w:tr2bl w:val="nil"/>
            </w:tcBorders>
            <w:noWrap w:val="0"/>
            <w:tcMar>
              <w:top w:w="0" w:type="dxa"/>
              <w:left w:w="57" w:type="dxa"/>
              <w:bottom w:w="0" w:type="dxa"/>
              <w:right w:w="57" w:type="dxa"/>
            </w:tcMar>
            <w:vAlign w:val="center"/>
          </w:tcPr>
          <w:p w14:paraId="4253CC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snapToGrid w:val="0"/>
                <w:color w:val="auto"/>
                <w:kern w:val="0"/>
                <w:sz w:val="21"/>
                <w:szCs w:val="21"/>
                <w:highlight w:val="none"/>
                <w:lang w:val="en-US" w:eastAsia="zh-CN"/>
              </w:rPr>
            </w:pPr>
            <w:r>
              <w:rPr>
                <w:rFonts w:hint="eastAsia" w:ascii="Times New Roman" w:hAnsi="Times New Roman" w:eastAsia="宋体" w:cs="Times New Roman"/>
                <w:b w:val="0"/>
                <w:bCs w:val="0"/>
                <w:snapToGrid w:val="0"/>
                <w:color w:val="auto"/>
                <w:kern w:val="0"/>
                <w:sz w:val="21"/>
                <w:szCs w:val="21"/>
                <w:highlight w:val="none"/>
                <w:lang w:val="en-US" w:eastAsia="zh-CN"/>
              </w:rPr>
              <w:t>0.05</w:t>
            </w:r>
          </w:p>
        </w:tc>
      </w:tr>
    </w:tbl>
    <w:p w14:paraId="5F4F03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rPr>
      </w:pPr>
      <w:r>
        <w:rPr>
          <w:rFonts w:hint="eastAsia" w:ascii="Times New Roman" w:hAnsi="Times New Roman" w:eastAsia="宋体" w:cs="Times New Roman"/>
          <w:snapToGrid w:val="0"/>
          <w:color w:val="auto"/>
          <w:kern w:val="0"/>
          <w:sz w:val="24"/>
          <w:highlight w:val="none"/>
        </w:rPr>
        <w:t>（2）总量控制</w:t>
      </w:r>
    </w:p>
    <w:p w14:paraId="3724F6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val="0"/>
          <w:color w:val="auto"/>
          <w:kern w:val="0"/>
          <w:sz w:val="24"/>
          <w:highlight w:val="none"/>
          <w:lang w:val="zh-CN"/>
        </w:rPr>
      </w:pPr>
      <w:r>
        <w:rPr>
          <w:rFonts w:hint="eastAsia" w:ascii="Times New Roman" w:hAnsi="Times New Roman" w:eastAsia="宋体" w:cs="Times New Roman"/>
          <w:snapToGrid w:val="0"/>
          <w:color w:val="auto"/>
          <w:kern w:val="0"/>
          <w:sz w:val="24"/>
          <w:highlight w:val="none"/>
        </w:rPr>
        <w:t>主要污染物排放总量建议控制指标为</w:t>
      </w:r>
      <w:r>
        <w:rPr>
          <w:color w:val="auto"/>
          <w:sz w:val="24"/>
          <w:highlight w:val="none"/>
        </w:rPr>
        <w:t>氮氧化物</w:t>
      </w:r>
      <w:r>
        <w:rPr>
          <w:rFonts w:hint="eastAsia"/>
          <w:color w:val="auto"/>
          <w:sz w:val="24"/>
          <w:highlight w:val="none"/>
          <w:lang w:val="en-US" w:eastAsia="zh-CN"/>
        </w:rPr>
        <w:t>3.28</w:t>
      </w:r>
      <w:r>
        <w:rPr>
          <w:rFonts w:hint="eastAsia"/>
          <w:color w:val="auto"/>
          <w:sz w:val="24"/>
          <w:highlight w:val="none"/>
        </w:rPr>
        <w:t>t/a</w:t>
      </w:r>
      <w:r>
        <w:rPr>
          <w:color w:val="auto"/>
          <w:sz w:val="24"/>
          <w:highlight w:val="none"/>
        </w:rPr>
        <w:t>、VOCs</w:t>
      </w:r>
      <w:r>
        <w:rPr>
          <w:rFonts w:hint="eastAsia"/>
          <w:color w:val="auto"/>
          <w:sz w:val="24"/>
          <w:highlight w:val="none"/>
        </w:rPr>
        <w:t xml:space="preserve"> </w:t>
      </w:r>
      <w:r>
        <w:rPr>
          <w:rFonts w:hint="eastAsia"/>
          <w:color w:val="auto"/>
          <w:sz w:val="24"/>
          <w:highlight w:val="none"/>
          <w:lang w:val="en-US" w:eastAsia="zh-CN"/>
        </w:rPr>
        <w:t>2.56</w:t>
      </w:r>
      <w:r>
        <w:rPr>
          <w:rFonts w:hint="eastAsia"/>
          <w:color w:val="auto"/>
          <w:sz w:val="24"/>
          <w:highlight w:val="none"/>
        </w:rPr>
        <w:t>t/a</w:t>
      </w:r>
      <w:r>
        <w:rPr>
          <w:rFonts w:hint="eastAsia" w:ascii="Times New Roman" w:hAnsi="Times New Roman" w:eastAsia="宋体" w:cs="Times New Roman"/>
          <w:snapToGrid w:val="0"/>
          <w:color w:val="auto"/>
          <w:kern w:val="0"/>
          <w:sz w:val="24"/>
          <w:highlight w:val="none"/>
        </w:rPr>
        <w:t>。</w:t>
      </w:r>
    </w:p>
    <w:p w14:paraId="1C25302B">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30" w:name="_Toc1047"/>
      <w:bookmarkStart w:id="231" w:name="_Toc22345"/>
      <w:bookmarkStart w:id="232" w:name="_Toc30377"/>
      <w:r>
        <w:rPr>
          <w:rFonts w:hint="eastAsia" w:ascii="Times New Roman" w:hAnsi="Times New Roman" w:cs="Times New Roman"/>
          <w:b w:val="0"/>
          <w:bCs w:val="0"/>
          <w:snapToGrid w:val="0"/>
          <w:color w:val="auto"/>
          <w:kern w:val="0"/>
          <w:sz w:val="28"/>
          <w:szCs w:val="28"/>
          <w:highlight w:val="none"/>
          <w:lang w:val="en-US" w:eastAsia="zh-CN"/>
        </w:rPr>
        <w:t>9.4 生态环境影响评价制度与排污许可制度衔接分析</w:t>
      </w:r>
      <w:bookmarkEnd w:id="230"/>
      <w:bookmarkEnd w:id="231"/>
      <w:bookmarkEnd w:id="232"/>
    </w:p>
    <w:p w14:paraId="005862A8">
      <w:pPr>
        <w:spacing w:line="460" w:lineRule="exact"/>
        <w:ind w:firstLine="480" w:firstLineChars="200"/>
        <w:rPr>
          <w:color w:val="auto"/>
          <w:sz w:val="24"/>
          <w:highlight w:val="none"/>
        </w:rPr>
      </w:pPr>
      <w:r>
        <w:rPr>
          <w:rFonts w:hint="eastAsia"/>
          <w:color w:val="auto"/>
          <w:sz w:val="24"/>
          <w:highlight w:val="none"/>
        </w:rPr>
        <w:t>根据《关于做好环境影响评价制度与排污许可制衔接相关工作的通知》</w:t>
      </w:r>
      <w:r>
        <w:rPr>
          <w:rFonts w:hint="eastAsia"/>
          <w:color w:val="auto"/>
          <w:sz w:val="24"/>
          <w:highlight w:val="none"/>
          <w:lang w:eastAsia="zh-CN"/>
        </w:rPr>
        <w:t>（</w:t>
      </w:r>
      <w:r>
        <w:rPr>
          <w:rFonts w:hint="eastAsia"/>
          <w:color w:val="auto"/>
          <w:sz w:val="24"/>
          <w:highlight w:val="none"/>
        </w:rPr>
        <w:t>环办环评〔2017〕84号</w:t>
      </w:r>
      <w:r>
        <w:rPr>
          <w:rFonts w:hint="eastAsia"/>
          <w:color w:val="auto"/>
          <w:sz w:val="24"/>
          <w:highlight w:val="none"/>
          <w:lang w:eastAsia="zh-CN"/>
        </w:rPr>
        <w:t>）</w:t>
      </w:r>
      <w:r>
        <w:rPr>
          <w:rFonts w:hint="eastAsia"/>
          <w:color w:val="auto"/>
          <w:sz w:val="24"/>
          <w:highlight w:val="none"/>
        </w:rPr>
        <w:t>，为贯彻落实《国务院办公厅关于印发控制污染物排放许可制实施方案的通知》（国办发〔</w:t>
      </w:r>
      <w:r>
        <w:rPr>
          <w:color w:val="auto"/>
          <w:sz w:val="24"/>
          <w:highlight w:val="none"/>
        </w:rPr>
        <w:t>2016</w:t>
      </w:r>
      <w:r>
        <w:rPr>
          <w:rFonts w:hint="eastAsia"/>
          <w:color w:val="auto"/>
          <w:sz w:val="24"/>
          <w:highlight w:val="none"/>
        </w:rPr>
        <w:t>〕</w:t>
      </w:r>
      <w:r>
        <w:rPr>
          <w:color w:val="auto"/>
          <w:sz w:val="24"/>
          <w:highlight w:val="none"/>
        </w:rPr>
        <w:t>81</w:t>
      </w:r>
      <w:r>
        <w:rPr>
          <w:rFonts w:hint="eastAsia"/>
          <w:color w:val="auto"/>
          <w:sz w:val="24"/>
          <w:highlight w:val="none"/>
        </w:rPr>
        <w:t>号），推进环境质量改善，依据《</w:t>
      </w:r>
      <w:r>
        <w:rPr>
          <w:bCs/>
          <w:color w:val="auto"/>
          <w:sz w:val="24"/>
          <w:highlight w:val="none"/>
        </w:rPr>
        <w:t>排污许可管理条例</w:t>
      </w:r>
      <w:r>
        <w:rPr>
          <w:rFonts w:hint="eastAsia"/>
          <w:color w:val="auto"/>
          <w:sz w:val="24"/>
          <w:highlight w:val="none"/>
        </w:rPr>
        <w:t>》（</w:t>
      </w:r>
      <w:r>
        <w:rPr>
          <w:color w:val="auto"/>
          <w:sz w:val="24"/>
          <w:highlight w:val="none"/>
        </w:rPr>
        <w:t>国令第736号</w:t>
      </w:r>
      <w:r>
        <w:rPr>
          <w:rFonts w:hint="eastAsia"/>
          <w:color w:val="auto"/>
          <w:sz w:val="24"/>
          <w:highlight w:val="none"/>
        </w:rPr>
        <w:t>）做好建设项目环境影响评价制度与排污许可制度有机衔接相关工作。</w:t>
      </w:r>
    </w:p>
    <w:p w14:paraId="27517D2A">
      <w:pPr>
        <w:spacing w:line="460" w:lineRule="exact"/>
        <w:ind w:firstLine="480" w:firstLineChars="200"/>
        <w:rPr>
          <w:color w:val="auto"/>
          <w:sz w:val="24"/>
          <w:highlight w:val="none"/>
        </w:rPr>
      </w:pPr>
      <w:r>
        <w:rPr>
          <w:rFonts w:hint="eastAsia"/>
          <w:color w:val="auto"/>
          <w:sz w:val="24"/>
          <w:highlight w:val="none"/>
        </w:rPr>
        <w:t>2021年3月1日起实施的《排污许可管理条例》第二条：</w:t>
      </w:r>
    </w:p>
    <w:p w14:paraId="756F3EC9">
      <w:pPr>
        <w:spacing w:line="460" w:lineRule="exact"/>
        <w:ind w:firstLine="480" w:firstLineChars="200"/>
        <w:rPr>
          <w:color w:val="auto"/>
          <w:sz w:val="24"/>
          <w:highlight w:val="none"/>
        </w:rPr>
      </w:pPr>
      <w:r>
        <w:rPr>
          <w:rFonts w:hint="eastAsia"/>
          <w:color w:val="auto"/>
          <w:sz w:val="24"/>
          <w:highlight w:val="none"/>
        </w:rPr>
        <w:t>“依照法律规定实行排污许可管理的企业事业单位和其他生产经营者（以下称排污单位），应当依照本条例规定申请取得排污许可证；未取得排污许可证的，不得排放污染物”。</w:t>
      </w:r>
    </w:p>
    <w:p w14:paraId="072CC18F">
      <w:pPr>
        <w:spacing w:line="460" w:lineRule="exact"/>
        <w:ind w:firstLine="480" w:firstLineChars="200"/>
        <w:rPr>
          <w:color w:val="auto"/>
          <w:sz w:val="24"/>
          <w:highlight w:val="none"/>
        </w:rPr>
      </w:pPr>
      <w:r>
        <w:rPr>
          <w:rFonts w:hint="eastAsia"/>
          <w:color w:val="auto"/>
          <w:sz w:val="24"/>
          <w:highlight w:val="none"/>
        </w:rPr>
        <w:t>排污许可制是企事业单位生产运营期排污的法律依据，是确保环境影响评价提出的污染防治设施和措施落实落地的重要保障。</w:t>
      </w:r>
    </w:p>
    <w:p w14:paraId="493306CE">
      <w:pPr>
        <w:spacing w:line="460" w:lineRule="exact"/>
        <w:ind w:firstLine="480" w:firstLineChars="200"/>
        <w:rPr>
          <w:color w:val="auto"/>
          <w:sz w:val="24"/>
          <w:highlight w:val="none"/>
        </w:rPr>
      </w:pPr>
      <w:r>
        <w:rPr>
          <w:rFonts w:hint="eastAsia"/>
          <w:color w:val="auto"/>
          <w:sz w:val="24"/>
          <w:highlight w:val="none"/>
        </w:rPr>
        <w:t>根据《排污许可管理条例》第十五条在排污许可证有效期内，排污单位有下列情形之一的，应当重新申请取得排污许可证：</w:t>
      </w:r>
    </w:p>
    <w:p w14:paraId="58611CD0">
      <w:pPr>
        <w:spacing w:line="460" w:lineRule="exact"/>
        <w:ind w:firstLine="480" w:firstLineChars="200"/>
        <w:rPr>
          <w:color w:val="auto"/>
          <w:sz w:val="24"/>
          <w:highlight w:val="none"/>
        </w:rPr>
      </w:pPr>
      <w:r>
        <w:rPr>
          <w:rFonts w:hint="eastAsia"/>
          <w:color w:val="auto"/>
          <w:sz w:val="24"/>
          <w:highlight w:val="none"/>
        </w:rPr>
        <w:t>（一）新建、改建、扩建排放污染物的项目；</w:t>
      </w:r>
    </w:p>
    <w:p w14:paraId="080058FC">
      <w:pPr>
        <w:spacing w:line="460" w:lineRule="exact"/>
        <w:ind w:firstLine="480" w:firstLineChars="200"/>
        <w:rPr>
          <w:color w:val="auto"/>
          <w:sz w:val="24"/>
          <w:highlight w:val="none"/>
        </w:rPr>
      </w:pPr>
      <w:r>
        <w:rPr>
          <w:rFonts w:hint="eastAsia"/>
          <w:color w:val="auto"/>
          <w:sz w:val="24"/>
          <w:highlight w:val="none"/>
        </w:rPr>
        <w:t>（二）生产经营场所、污染物排放口位置或者污染物排放方式、排放去向发生变化；</w:t>
      </w:r>
    </w:p>
    <w:p w14:paraId="1242F245">
      <w:pPr>
        <w:spacing w:line="460" w:lineRule="exact"/>
        <w:ind w:firstLine="480" w:firstLineChars="200"/>
        <w:rPr>
          <w:color w:val="auto"/>
          <w:sz w:val="24"/>
          <w:highlight w:val="none"/>
        </w:rPr>
      </w:pPr>
      <w:r>
        <w:rPr>
          <w:rFonts w:hint="eastAsia"/>
          <w:color w:val="auto"/>
          <w:sz w:val="24"/>
          <w:highlight w:val="none"/>
        </w:rPr>
        <w:t>（三）污染物排放口数量或者污染物排放种类、排放量、排放浓度增加。</w:t>
      </w:r>
    </w:p>
    <w:p w14:paraId="2AC38B82">
      <w:pPr>
        <w:spacing w:line="460" w:lineRule="exact"/>
        <w:ind w:firstLine="480" w:firstLineChars="200"/>
        <w:rPr>
          <w:color w:val="auto"/>
          <w:sz w:val="24"/>
          <w:highlight w:val="none"/>
        </w:rPr>
      </w:pPr>
      <w:r>
        <w:rPr>
          <w:rFonts w:hint="eastAsia"/>
          <w:color w:val="auto"/>
          <w:sz w:val="24"/>
          <w:highlight w:val="none"/>
        </w:rPr>
        <w:t>因此，本项目在报批环评报告书后、项目实际运行前，应尽快变更申请排污许可证，作为本项目合法运行的前提。</w:t>
      </w:r>
    </w:p>
    <w:p w14:paraId="781550B5">
      <w:pPr>
        <w:spacing w:line="460" w:lineRule="exact"/>
        <w:ind w:firstLine="480" w:firstLineChars="200"/>
        <w:rPr>
          <w:color w:val="auto"/>
          <w:sz w:val="24"/>
          <w:highlight w:val="none"/>
        </w:rPr>
      </w:pPr>
      <w:r>
        <w:rPr>
          <w:rFonts w:hint="eastAsia"/>
          <w:color w:val="auto"/>
          <w:sz w:val="24"/>
          <w:highlight w:val="none"/>
        </w:rPr>
        <w:t>排污单位应当每年在全国排污许可证管理信息平台上填报、提交排污许可证年度执行报告并公开，同时向核发生态环境管理部门提交通过全国排污许可证管理信息平台印制的书面执行报告。书面执行报告应当由法定代表人或者主要负责人签字或者盖章。</w:t>
      </w:r>
    </w:p>
    <w:p w14:paraId="72D8238C">
      <w:pPr>
        <w:spacing w:line="460" w:lineRule="exact"/>
        <w:ind w:firstLine="480" w:firstLineChars="200"/>
        <w:rPr>
          <w:color w:val="auto"/>
          <w:sz w:val="24"/>
          <w:highlight w:val="none"/>
        </w:rPr>
      </w:pPr>
      <w:r>
        <w:rPr>
          <w:rFonts w:hint="eastAsia"/>
          <w:color w:val="auto"/>
          <w:sz w:val="24"/>
          <w:highlight w:val="none"/>
        </w:rPr>
        <w:t>年度执行报告至少应当包括以下内容：</w:t>
      </w:r>
      <w:r>
        <w:rPr>
          <w:color w:val="auto"/>
          <w:sz w:val="24"/>
          <w:highlight w:val="none"/>
        </w:rPr>
        <w:t xml:space="preserve"> </w:t>
      </w:r>
    </w:p>
    <w:p w14:paraId="7B7DABEE">
      <w:pPr>
        <w:spacing w:line="460" w:lineRule="exact"/>
        <w:ind w:firstLine="480" w:firstLineChars="200"/>
        <w:rPr>
          <w:color w:val="auto"/>
          <w:sz w:val="24"/>
          <w:highlight w:val="none"/>
        </w:rPr>
      </w:pPr>
      <w:r>
        <w:rPr>
          <w:rFonts w:hint="eastAsia"/>
          <w:color w:val="auto"/>
          <w:sz w:val="24"/>
          <w:highlight w:val="none"/>
        </w:rPr>
        <w:t xml:space="preserve">（1）排污单位基本信息； </w:t>
      </w:r>
    </w:p>
    <w:p w14:paraId="402002BD">
      <w:pPr>
        <w:spacing w:line="460" w:lineRule="exact"/>
        <w:ind w:firstLine="480" w:firstLineChars="200"/>
        <w:rPr>
          <w:color w:val="auto"/>
          <w:sz w:val="24"/>
          <w:highlight w:val="none"/>
        </w:rPr>
      </w:pPr>
      <w:r>
        <w:rPr>
          <w:rFonts w:hint="eastAsia"/>
          <w:color w:val="auto"/>
          <w:sz w:val="24"/>
          <w:highlight w:val="none"/>
        </w:rPr>
        <w:t xml:space="preserve">（2）自行监测执行情况； </w:t>
      </w:r>
    </w:p>
    <w:p w14:paraId="60E1EF4C">
      <w:pPr>
        <w:spacing w:line="360" w:lineRule="auto"/>
        <w:ind w:firstLine="480" w:firstLineChars="200"/>
        <w:rPr>
          <w:color w:val="auto"/>
          <w:sz w:val="24"/>
          <w:highlight w:val="none"/>
        </w:rPr>
      </w:pPr>
      <w:r>
        <w:rPr>
          <w:rFonts w:hint="eastAsia"/>
          <w:color w:val="auto"/>
          <w:sz w:val="24"/>
          <w:highlight w:val="none"/>
        </w:rPr>
        <w:t xml:space="preserve">（3）环境管理台账记录执行情况； </w:t>
      </w:r>
    </w:p>
    <w:p w14:paraId="27C0F777">
      <w:pPr>
        <w:spacing w:line="360" w:lineRule="auto"/>
        <w:ind w:firstLine="480" w:firstLineChars="200"/>
        <w:rPr>
          <w:color w:val="auto"/>
          <w:sz w:val="24"/>
          <w:highlight w:val="none"/>
        </w:rPr>
      </w:pPr>
      <w:r>
        <w:rPr>
          <w:rFonts w:hint="eastAsia"/>
          <w:color w:val="auto"/>
          <w:sz w:val="24"/>
          <w:highlight w:val="none"/>
        </w:rPr>
        <w:t xml:space="preserve">（4）实际排放情况及合规判定分析； </w:t>
      </w:r>
    </w:p>
    <w:p w14:paraId="40DDEDFE">
      <w:pPr>
        <w:spacing w:line="360" w:lineRule="auto"/>
        <w:ind w:firstLine="480" w:firstLineChars="200"/>
        <w:rPr>
          <w:color w:val="auto"/>
          <w:sz w:val="24"/>
          <w:highlight w:val="none"/>
        </w:rPr>
      </w:pPr>
      <w:r>
        <w:rPr>
          <w:rFonts w:hint="eastAsia"/>
          <w:color w:val="auto"/>
          <w:sz w:val="24"/>
          <w:highlight w:val="none"/>
        </w:rPr>
        <w:t xml:space="preserve">（5）信息公开情况； </w:t>
      </w:r>
    </w:p>
    <w:p w14:paraId="28185FA0">
      <w:pPr>
        <w:spacing w:line="360" w:lineRule="auto"/>
        <w:ind w:firstLine="480" w:firstLineChars="200"/>
        <w:rPr>
          <w:color w:val="auto"/>
          <w:sz w:val="24"/>
          <w:highlight w:val="none"/>
        </w:rPr>
      </w:pPr>
      <w:r>
        <w:rPr>
          <w:rFonts w:hint="eastAsia"/>
          <w:color w:val="auto"/>
          <w:sz w:val="24"/>
          <w:highlight w:val="none"/>
        </w:rPr>
        <w:t xml:space="preserve">（6）排污单位内部环境管理体系建设与运行情况； </w:t>
      </w:r>
    </w:p>
    <w:p w14:paraId="2A33F665">
      <w:pPr>
        <w:spacing w:line="360" w:lineRule="auto"/>
        <w:ind w:firstLine="480" w:firstLineChars="200"/>
        <w:rPr>
          <w:color w:val="auto"/>
          <w:sz w:val="24"/>
          <w:highlight w:val="none"/>
        </w:rPr>
      </w:pPr>
      <w:r>
        <w:rPr>
          <w:rFonts w:hint="eastAsia"/>
          <w:color w:val="auto"/>
          <w:sz w:val="24"/>
          <w:highlight w:val="none"/>
        </w:rPr>
        <w:t>（7）其他排污许可证规定的内容执行情况；</w:t>
      </w:r>
    </w:p>
    <w:p w14:paraId="0E841F81">
      <w:pPr>
        <w:spacing w:line="360" w:lineRule="auto"/>
        <w:ind w:firstLine="480" w:firstLineChars="200"/>
        <w:rPr>
          <w:color w:val="auto"/>
          <w:sz w:val="24"/>
          <w:highlight w:val="none"/>
        </w:rPr>
      </w:pPr>
      <w:r>
        <w:rPr>
          <w:rFonts w:hint="eastAsia"/>
          <w:color w:val="auto"/>
          <w:sz w:val="24"/>
          <w:highlight w:val="none"/>
        </w:rPr>
        <w:t>（8）其他需要说明的问题；</w:t>
      </w:r>
    </w:p>
    <w:p w14:paraId="1D0D06D8">
      <w:pPr>
        <w:spacing w:line="360" w:lineRule="auto"/>
        <w:ind w:firstLine="480" w:firstLineChars="200"/>
        <w:rPr>
          <w:color w:val="auto"/>
          <w:sz w:val="24"/>
          <w:highlight w:val="none"/>
        </w:rPr>
      </w:pPr>
      <w:r>
        <w:rPr>
          <w:rFonts w:hint="eastAsia"/>
          <w:color w:val="auto"/>
          <w:sz w:val="24"/>
          <w:highlight w:val="none"/>
        </w:rPr>
        <w:t xml:space="preserve">（9）结论； </w:t>
      </w:r>
    </w:p>
    <w:p w14:paraId="0E93439B">
      <w:pPr>
        <w:spacing w:line="360" w:lineRule="auto"/>
        <w:ind w:firstLine="480" w:firstLineChars="200"/>
        <w:rPr>
          <w:color w:val="auto"/>
          <w:sz w:val="24"/>
          <w:highlight w:val="none"/>
        </w:rPr>
      </w:pPr>
      <w:r>
        <w:rPr>
          <w:rFonts w:hint="eastAsia"/>
          <w:color w:val="auto"/>
          <w:sz w:val="24"/>
          <w:highlight w:val="none"/>
        </w:rPr>
        <w:t xml:space="preserve">（10）附图附件等； </w:t>
      </w:r>
    </w:p>
    <w:p w14:paraId="11C1B068">
      <w:pPr>
        <w:spacing w:line="360" w:lineRule="auto"/>
        <w:ind w:firstLine="480" w:firstLineChars="200"/>
        <w:rPr>
          <w:color w:val="auto"/>
          <w:sz w:val="24"/>
          <w:highlight w:val="none"/>
        </w:rPr>
      </w:pPr>
      <w:r>
        <w:rPr>
          <w:rFonts w:hint="eastAsia"/>
          <w:color w:val="auto"/>
          <w:sz w:val="24"/>
          <w:highlight w:val="none"/>
        </w:rPr>
        <w:t>季度执行报告：</w:t>
      </w:r>
    </w:p>
    <w:p w14:paraId="48A94C6C">
      <w:pPr>
        <w:spacing w:line="360" w:lineRule="auto"/>
        <w:ind w:firstLine="480" w:firstLineChars="200"/>
        <w:rPr>
          <w:color w:val="auto"/>
          <w:sz w:val="24"/>
          <w:highlight w:val="none"/>
        </w:rPr>
      </w:pPr>
      <w:r>
        <w:rPr>
          <w:rFonts w:hint="eastAsia"/>
          <w:color w:val="auto"/>
          <w:sz w:val="24"/>
          <w:highlight w:val="none"/>
        </w:rPr>
        <w:t>排污单位季度执行报告应至少包括污染物实际排放浓度（或排放速率）和排放量、合规判定分析、超标排放或污染防治设施异常情况说明等内容。</w:t>
      </w:r>
    </w:p>
    <w:p w14:paraId="42860747">
      <w:pPr>
        <w:spacing w:line="360" w:lineRule="auto"/>
        <w:ind w:firstLine="480" w:firstLineChars="200"/>
        <w:rPr>
          <w:color w:val="auto"/>
          <w:sz w:val="24"/>
          <w:highlight w:val="none"/>
        </w:rPr>
      </w:pPr>
      <w:r>
        <w:rPr>
          <w:rFonts w:hint="eastAsia"/>
          <w:color w:val="auto"/>
          <w:sz w:val="24"/>
          <w:highlight w:val="none"/>
        </w:rPr>
        <w:t>建设项目竣工环境保护验收报告中与污染物排放相关的主要内容，应当由排污单位记载在该项目验收完成当年排污许可证年度执行报告中。排污单位发生污染事故排放时，应当依照相关法律法规规章的规定及时报告。</w:t>
      </w:r>
    </w:p>
    <w:p w14:paraId="10773369">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33" w:name="_Toc11616"/>
      <w:bookmarkStart w:id="234" w:name="_Toc3319"/>
      <w:bookmarkStart w:id="235" w:name="_Toc13229"/>
      <w:r>
        <w:rPr>
          <w:rFonts w:hint="eastAsia" w:ascii="Times New Roman" w:hAnsi="Times New Roman" w:cs="Times New Roman"/>
          <w:b w:val="0"/>
          <w:bCs w:val="0"/>
          <w:snapToGrid w:val="0"/>
          <w:color w:val="auto"/>
          <w:kern w:val="0"/>
          <w:sz w:val="28"/>
          <w:szCs w:val="28"/>
          <w:highlight w:val="none"/>
          <w:lang w:val="en-US" w:eastAsia="zh-CN"/>
        </w:rPr>
        <w:t>9.5 企业生态环境信息公开</w:t>
      </w:r>
      <w:bookmarkEnd w:id="233"/>
      <w:bookmarkEnd w:id="234"/>
      <w:bookmarkEnd w:id="235"/>
    </w:p>
    <w:p w14:paraId="7B4CC4F6">
      <w:pPr>
        <w:spacing w:line="360" w:lineRule="auto"/>
        <w:ind w:firstLine="480" w:firstLineChars="200"/>
        <w:rPr>
          <w:rFonts w:hint="eastAsia"/>
          <w:color w:val="auto"/>
          <w:sz w:val="24"/>
          <w:highlight w:val="none"/>
        </w:rPr>
      </w:pPr>
      <w:r>
        <w:rPr>
          <w:rFonts w:hint="eastAsia"/>
          <w:color w:val="auto"/>
          <w:sz w:val="24"/>
          <w:highlight w:val="none"/>
        </w:rPr>
        <w:t>根据《企业环境信息依法披露管理办法》（生态环境部部令 第24号）相关规定，企业应当建立健全环境信息依法披露管理制度，规范工作规程，明确工作职责，建立准确的环境信息管理台账，妥善保存相关原始记录，科学统计归集相关环境信息。企业应当按照准则编制年度环境信息依法披露报告和临时环境信息依法披露报告，并上传至企业环境信息依法披露系统。企业年度环境信息依法披露报告应当包括以下内容：</w:t>
      </w:r>
    </w:p>
    <w:p w14:paraId="596D2CCC">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1</w:t>
      </w:r>
      <w:r>
        <w:rPr>
          <w:rFonts w:hint="eastAsia"/>
          <w:color w:val="auto"/>
          <w:sz w:val="24"/>
          <w:highlight w:val="none"/>
        </w:rPr>
        <w:t>）企业基本信息，包括企业生产和生态环境保护等方面的基础信息；</w:t>
      </w:r>
    </w:p>
    <w:p w14:paraId="0C2C9760">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2</w:t>
      </w:r>
      <w:r>
        <w:rPr>
          <w:rFonts w:hint="eastAsia"/>
          <w:color w:val="auto"/>
          <w:sz w:val="24"/>
          <w:highlight w:val="none"/>
        </w:rPr>
        <w:t>）企业环境管理信息，包括生态环境行政许可、环境保护税、环境污染责任保险、环保信用评价等方面的信息；</w:t>
      </w:r>
    </w:p>
    <w:p w14:paraId="6DDF8079">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）污染物产生、治理与排放信息，包括污染防治设施，污染物排放，有毒有害物质排放，工业固体废物和危险废物产生、贮存、流向、利用、处置，自行监测等方面的信息；</w:t>
      </w:r>
    </w:p>
    <w:p w14:paraId="26492EE3">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4</w:t>
      </w:r>
      <w:r>
        <w:rPr>
          <w:rFonts w:hint="eastAsia"/>
          <w:color w:val="auto"/>
          <w:sz w:val="24"/>
          <w:highlight w:val="none"/>
        </w:rPr>
        <w:t>）碳排放信息，包括排放量、排放设施等方面的信息；</w:t>
      </w:r>
    </w:p>
    <w:p w14:paraId="707F3988">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5</w:t>
      </w:r>
      <w:r>
        <w:rPr>
          <w:rFonts w:hint="eastAsia"/>
          <w:color w:val="auto"/>
          <w:sz w:val="24"/>
          <w:highlight w:val="none"/>
        </w:rPr>
        <w:t>）生态环境应急信息，包括突发环境事件应急预案、重污染天气应急响应等方面的信息；</w:t>
      </w:r>
    </w:p>
    <w:p w14:paraId="3D6CD41A">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6</w:t>
      </w:r>
      <w:r>
        <w:rPr>
          <w:rFonts w:hint="eastAsia"/>
          <w:color w:val="auto"/>
          <w:sz w:val="24"/>
          <w:highlight w:val="none"/>
        </w:rPr>
        <w:t>）生态环境违法信息；</w:t>
      </w:r>
    </w:p>
    <w:p w14:paraId="35A3CC75">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7</w:t>
      </w:r>
      <w:r>
        <w:rPr>
          <w:rFonts w:hint="eastAsia"/>
          <w:color w:val="auto"/>
          <w:sz w:val="24"/>
          <w:highlight w:val="none"/>
        </w:rPr>
        <w:t>）本年度临时环境信息依法披露情况；</w:t>
      </w:r>
    </w:p>
    <w:p w14:paraId="6EF23E5F">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8</w:t>
      </w:r>
      <w:r>
        <w:rPr>
          <w:rFonts w:hint="eastAsia"/>
          <w:color w:val="auto"/>
          <w:sz w:val="24"/>
          <w:highlight w:val="none"/>
        </w:rPr>
        <w:t>）法律法规规定的其他环境信息。</w:t>
      </w:r>
    </w:p>
    <w:p w14:paraId="51DD2B4C">
      <w:pPr>
        <w:spacing w:line="360" w:lineRule="auto"/>
        <w:ind w:firstLine="480" w:firstLineChars="200"/>
        <w:rPr>
          <w:color w:val="auto"/>
          <w:sz w:val="24"/>
          <w:highlight w:val="none"/>
        </w:rPr>
      </w:pPr>
    </w:p>
    <w:p w14:paraId="7C10F202">
      <w:pPr>
        <w:spacing w:line="360" w:lineRule="auto"/>
        <w:ind w:firstLine="480" w:firstLineChars="200"/>
        <w:rPr>
          <w:color w:val="auto"/>
          <w:sz w:val="24"/>
          <w:highlight w:val="none"/>
        </w:rPr>
      </w:pPr>
      <w:r>
        <w:rPr>
          <w:rFonts w:hint="eastAsia"/>
          <w:color w:val="auto"/>
          <w:sz w:val="24"/>
          <w:highlight w:val="none"/>
        </w:rPr>
        <w:t>（1）项目基础信息：包括单位名称、组织机构代码、法定代表人、生产地址、联系方式，以及生产经营和管理服务的主要内容、产品及规模。</w:t>
      </w:r>
    </w:p>
    <w:p w14:paraId="39A9F05C">
      <w:pPr>
        <w:spacing w:line="360" w:lineRule="auto"/>
        <w:ind w:firstLine="480" w:firstLineChars="200"/>
        <w:rPr>
          <w:color w:val="auto"/>
          <w:sz w:val="24"/>
          <w:highlight w:val="none"/>
        </w:rPr>
      </w:pPr>
      <w:r>
        <w:rPr>
          <w:rFonts w:hint="eastAsia"/>
          <w:color w:val="auto"/>
          <w:sz w:val="24"/>
          <w:highlight w:val="none"/>
        </w:rPr>
        <w:t>（2）排污信息：包括主要污染物及特征污染物的名称、排放方式、排放口数量和分布情况、排放浓度和总量、超标情况，及执行的污染物排放标准、核定的排放总量。</w:t>
      </w:r>
    </w:p>
    <w:p w14:paraId="23473575">
      <w:pPr>
        <w:spacing w:line="360" w:lineRule="auto"/>
        <w:ind w:firstLine="480" w:firstLineChars="200"/>
        <w:rPr>
          <w:color w:val="auto"/>
          <w:sz w:val="24"/>
          <w:highlight w:val="none"/>
        </w:rPr>
      </w:pPr>
      <w:r>
        <w:rPr>
          <w:rFonts w:hint="eastAsia"/>
          <w:color w:val="auto"/>
          <w:sz w:val="24"/>
          <w:highlight w:val="none"/>
        </w:rPr>
        <w:t>（3）防治污染设施的建设和运行情况。</w:t>
      </w:r>
    </w:p>
    <w:p w14:paraId="7BE5E39C">
      <w:pPr>
        <w:spacing w:line="360" w:lineRule="auto"/>
        <w:ind w:firstLine="480" w:firstLineChars="200"/>
        <w:rPr>
          <w:color w:val="auto"/>
          <w:sz w:val="24"/>
          <w:highlight w:val="none"/>
        </w:rPr>
      </w:pPr>
      <w:r>
        <w:rPr>
          <w:rFonts w:hint="eastAsia"/>
          <w:color w:val="auto"/>
          <w:sz w:val="24"/>
          <w:highlight w:val="none"/>
        </w:rPr>
        <w:t>（4）建设项目环境影响评价及其他环境保护行政许可情况。</w:t>
      </w:r>
    </w:p>
    <w:p w14:paraId="6E016574">
      <w:pPr>
        <w:spacing w:line="360" w:lineRule="auto"/>
        <w:ind w:firstLine="480" w:firstLineChars="200"/>
        <w:rPr>
          <w:color w:val="auto"/>
          <w:sz w:val="24"/>
          <w:highlight w:val="none"/>
        </w:rPr>
      </w:pPr>
      <w:r>
        <w:rPr>
          <w:rFonts w:hint="eastAsia"/>
          <w:color w:val="auto"/>
          <w:sz w:val="24"/>
          <w:highlight w:val="none"/>
        </w:rPr>
        <w:t>（5）突发环境事件应急预案。</w:t>
      </w:r>
    </w:p>
    <w:p w14:paraId="1851C0FC">
      <w:pPr>
        <w:spacing w:line="360" w:lineRule="auto"/>
        <w:ind w:firstLine="480" w:firstLineChars="200"/>
        <w:rPr>
          <w:color w:val="auto"/>
          <w:sz w:val="24"/>
          <w:highlight w:val="none"/>
        </w:rPr>
      </w:pPr>
      <w:r>
        <w:rPr>
          <w:rFonts w:hint="eastAsia"/>
          <w:color w:val="auto"/>
          <w:sz w:val="24"/>
          <w:highlight w:val="none"/>
        </w:rPr>
        <w:t>（6）其他应当公开的环境信息。</w:t>
      </w:r>
    </w:p>
    <w:p w14:paraId="602C54AF">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36" w:name="_Toc2489"/>
      <w:bookmarkStart w:id="237" w:name="_Toc17097"/>
      <w:r>
        <w:rPr>
          <w:rFonts w:hint="eastAsia" w:ascii="Times New Roman" w:hAnsi="Times New Roman" w:cs="Times New Roman"/>
          <w:b w:val="0"/>
          <w:bCs w:val="0"/>
          <w:snapToGrid w:val="0"/>
          <w:color w:val="auto"/>
          <w:kern w:val="0"/>
          <w:sz w:val="28"/>
          <w:szCs w:val="28"/>
          <w:highlight w:val="none"/>
          <w:lang w:val="en-US" w:eastAsia="zh-CN"/>
        </w:rPr>
        <w:t>9.6 竣工验收管理</w:t>
      </w:r>
      <w:bookmarkEnd w:id="236"/>
      <w:bookmarkEnd w:id="237"/>
    </w:p>
    <w:p w14:paraId="24431ACE">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9.6.1竣工验收管理及要求</w:t>
      </w:r>
    </w:p>
    <w:p w14:paraId="7A1D1FFE">
      <w:pPr>
        <w:spacing w:line="360" w:lineRule="auto"/>
        <w:ind w:firstLine="480" w:firstLineChars="200"/>
        <w:rPr>
          <w:color w:val="auto"/>
          <w:sz w:val="24"/>
          <w:highlight w:val="none"/>
        </w:rPr>
      </w:pPr>
      <w:r>
        <w:rPr>
          <w:rFonts w:hint="eastAsia"/>
          <w:color w:val="auto"/>
          <w:sz w:val="24"/>
          <w:highlight w:val="none"/>
        </w:rPr>
        <w:t>根据《建设项目环境保护管理条例》《建设项目竣工环境保护验收暂行办法》及《建设项目竣工环境保护验收技术规范》的规定，在建设项目正式投入生产或使用之前，建设单位必须组织</w:t>
      </w:r>
      <w:r>
        <w:rPr>
          <w:rFonts w:hint="eastAsia" w:eastAsiaTheme="minorEastAsia"/>
          <w:snapToGrid w:val="0"/>
          <w:color w:val="auto"/>
          <w:kern w:val="0"/>
          <w:sz w:val="24"/>
          <w:highlight w:val="none"/>
          <w:lang w:val="en-US" w:eastAsia="zh-CN"/>
        </w:rPr>
        <w:t>生态</w:t>
      </w:r>
      <w:r>
        <w:rPr>
          <w:rFonts w:hint="eastAsia"/>
          <w:color w:val="auto"/>
          <w:sz w:val="24"/>
          <w:highlight w:val="none"/>
        </w:rPr>
        <w:t>环境保护竣工验收，提交</w:t>
      </w:r>
      <w:r>
        <w:rPr>
          <w:rFonts w:hint="eastAsia" w:eastAsiaTheme="minorEastAsia"/>
          <w:snapToGrid w:val="0"/>
          <w:color w:val="auto"/>
          <w:kern w:val="0"/>
          <w:sz w:val="24"/>
          <w:highlight w:val="none"/>
          <w:lang w:val="en-US" w:eastAsia="zh-CN"/>
        </w:rPr>
        <w:t>生态</w:t>
      </w:r>
      <w:r>
        <w:rPr>
          <w:rFonts w:hint="eastAsia"/>
          <w:color w:val="auto"/>
          <w:sz w:val="24"/>
          <w:highlight w:val="none"/>
        </w:rPr>
        <w:t>环境保护验收监测报告。</w:t>
      </w:r>
    </w:p>
    <w:p w14:paraId="1381EF69">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9.6.2生态环境保护“三同时”验收</w:t>
      </w:r>
    </w:p>
    <w:p w14:paraId="76BB4CA9">
      <w:pPr>
        <w:spacing w:line="360" w:lineRule="auto"/>
        <w:ind w:firstLine="480" w:firstLineChars="200"/>
        <w:rPr>
          <w:color w:val="auto"/>
          <w:sz w:val="24"/>
          <w:highlight w:val="none"/>
        </w:rPr>
      </w:pPr>
      <w:r>
        <w:rPr>
          <w:rFonts w:hint="eastAsia"/>
          <w:color w:val="auto"/>
          <w:sz w:val="24"/>
          <w:highlight w:val="none"/>
        </w:rPr>
        <w:t>环境污染防治设施必须与主体工程同时设计、同时施工、同时投入使用。项目完成后，应对</w:t>
      </w:r>
      <w:r>
        <w:rPr>
          <w:rFonts w:hint="eastAsia" w:eastAsiaTheme="minorEastAsia"/>
          <w:snapToGrid w:val="0"/>
          <w:color w:val="auto"/>
          <w:kern w:val="0"/>
          <w:sz w:val="24"/>
          <w:highlight w:val="none"/>
          <w:lang w:val="en-US" w:eastAsia="zh-CN"/>
        </w:rPr>
        <w:t>生态</w:t>
      </w:r>
      <w:r>
        <w:rPr>
          <w:rFonts w:hint="eastAsia"/>
          <w:color w:val="auto"/>
          <w:sz w:val="24"/>
          <w:highlight w:val="none"/>
        </w:rPr>
        <w:t>环境保护设施进行验收。项目运营期“三同时”环保设施验收一览表见表9.6</w:t>
      </w:r>
      <w:r>
        <w:rPr>
          <w:color w:val="auto"/>
          <w:sz w:val="24"/>
          <w:highlight w:val="none"/>
        </w:rPr>
        <w:t>-1</w:t>
      </w:r>
      <w:r>
        <w:rPr>
          <w:rFonts w:hint="eastAsia"/>
          <w:color w:val="auto"/>
          <w:sz w:val="24"/>
          <w:highlight w:val="none"/>
        </w:rPr>
        <w:t>。</w:t>
      </w:r>
    </w:p>
    <w:p w14:paraId="528237F9">
      <w:pPr>
        <w:pStyle w:val="412"/>
        <w:tabs>
          <w:tab w:val="left" w:pos="0"/>
          <w:tab w:val="clear" w:pos="6840"/>
        </w:tabs>
        <w:spacing w:before="120" w:beforeLines="50" w:line="240" w:lineRule="auto"/>
        <w:ind w:left="422" w:hanging="422"/>
        <w:rPr>
          <w:rFonts w:ascii="Times New Roman" w:hAnsi="Times New Roman" w:eastAsia="宋体" w:cs="Times New Roman"/>
          <w:snapToGrid w:val="0"/>
          <w:color w:val="auto"/>
          <w:kern w:val="0"/>
          <w:sz w:val="21"/>
          <w:szCs w:val="21"/>
          <w:highlight w:val="none"/>
          <w:lang w:bidi="zh-CN"/>
        </w:rPr>
      </w:pPr>
      <w:r>
        <w:rPr>
          <w:rFonts w:ascii="Times New Roman" w:hAnsi="Times New Roman" w:cs="Times New Roman"/>
          <w:color w:val="auto"/>
          <w:sz w:val="21"/>
          <w:szCs w:val="21"/>
          <w:highlight w:val="none"/>
        </w:rPr>
        <w:t>表</w:t>
      </w:r>
      <w:r>
        <w:rPr>
          <w:rFonts w:hint="eastAsia" w:ascii="Times New Roman" w:hAnsi="Times New Roman" w:cs="Times New Roman"/>
          <w:color w:val="auto"/>
          <w:sz w:val="21"/>
          <w:szCs w:val="21"/>
          <w:highlight w:val="none"/>
        </w:rPr>
        <w:t>9.6-1</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生态</w:t>
      </w:r>
      <w:r>
        <w:rPr>
          <w:rFonts w:hint="eastAsia" w:ascii="Times New Roman" w:hAnsi="Times New Roman" w:cs="Times New Roman"/>
          <w:color w:val="auto"/>
          <w:sz w:val="21"/>
          <w:szCs w:val="21"/>
          <w:highlight w:val="none"/>
        </w:rPr>
        <w:t>环境保护竣工验收清单</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288"/>
        <w:gridCol w:w="637"/>
        <w:gridCol w:w="2583"/>
        <w:gridCol w:w="4734"/>
      </w:tblGrid>
      <w:tr w14:paraId="37ED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shd w:val="clear" w:color="auto" w:fill="auto"/>
            <w:vAlign w:val="center"/>
          </w:tcPr>
          <w:p w14:paraId="15922AB2">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项目</w:t>
            </w:r>
          </w:p>
        </w:tc>
        <w:tc>
          <w:tcPr>
            <w:tcW w:w="0" w:type="auto"/>
            <w:shd w:val="clear" w:color="auto" w:fill="auto"/>
            <w:vAlign w:val="center"/>
          </w:tcPr>
          <w:p w14:paraId="05FF9646">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名称</w:t>
            </w:r>
          </w:p>
        </w:tc>
        <w:tc>
          <w:tcPr>
            <w:tcW w:w="0" w:type="auto"/>
            <w:shd w:val="clear" w:color="auto" w:fill="auto"/>
            <w:vAlign w:val="center"/>
          </w:tcPr>
          <w:p w14:paraId="6881D96F">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环保工程及措施</w:t>
            </w:r>
          </w:p>
        </w:tc>
        <w:tc>
          <w:tcPr>
            <w:tcW w:w="0" w:type="auto"/>
            <w:shd w:val="clear" w:color="auto" w:fill="auto"/>
            <w:vAlign w:val="center"/>
          </w:tcPr>
          <w:p w14:paraId="53DDB5F5">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要求</w:t>
            </w:r>
          </w:p>
        </w:tc>
      </w:tr>
      <w:tr w14:paraId="54BA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restart"/>
            <w:shd w:val="clear" w:color="auto" w:fill="auto"/>
            <w:vAlign w:val="center"/>
          </w:tcPr>
          <w:p w14:paraId="32339BF4">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废气</w:t>
            </w:r>
          </w:p>
        </w:tc>
        <w:tc>
          <w:tcPr>
            <w:tcW w:w="0" w:type="auto"/>
            <w:shd w:val="clear" w:color="auto" w:fill="auto"/>
            <w:vAlign w:val="center"/>
          </w:tcPr>
          <w:p w14:paraId="6F85FA88">
            <w:pPr>
              <w:adjustRightInd w:val="0"/>
              <w:snapToGrid w:val="0"/>
              <w:jc w:val="center"/>
              <w:rPr>
                <w:snapToGrid w:val="0"/>
                <w:color w:val="auto"/>
                <w:kern w:val="0"/>
                <w:szCs w:val="21"/>
                <w:highlight w:val="none"/>
              </w:rPr>
            </w:pPr>
            <w:r>
              <w:rPr>
                <w:rFonts w:hint="eastAsia"/>
                <w:snapToGrid w:val="0"/>
                <w:color w:val="auto"/>
                <w:kern w:val="0"/>
                <w:szCs w:val="21"/>
                <w:highlight w:val="none"/>
              </w:rPr>
              <w:t>发酵废气</w:t>
            </w:r>
          </w:p>
        </w:tc>
        <w:tc>
          <w:tcPr>
            <w:tcW w:w="0" w:type="auto"/>
            <w:shd w:val="clear" w:color="auto" w:fill="auto"/>
            <w:vAlign w:val="center"/>
          </w:tcPr>
          <w:p w14:paraId="5D65C2A4">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lang w:eastAsia="zh-CN"/>
              </w:rPr>
              <w:t>旋风分离器</w:t>
            </w:r>
            <w:r>
              <w:rPr>
                <w:color w:val="auto"/>
                <w:kern w:val="0"/>
                <w:szCs w:val="21"/>
                <w:highlight w:val="none"/>
              </w:rPr>
              <w:t>+活性炭吸附</w:t>
            </w:r>
            <w:r>
              <w:rPr>
                <w:rFonts w:hint="eastAsia"/>
                <w:color w:val="auto"/>
                <w:kern w:val="0"/>
                <w:szCs w:val="21"/>
                <w:highlight w:val="none"/>
              </w:rPr>
              <w:t>+</w:t>
            </w:r>
            <w:r>
              <w:rPr>
                <w:rFonts w:hint="eastAsia"/>
                <w:color w:val="auto"/>
                <w:kern w:val="0"/>
                <w:szCs w:val="21"/>
                <w:highlight w:val="none"/>
                <w:lang w:val="en-US" w:eastAsia="zh-CN"/>
              </w:rPr>
              <w:t>39</w:t>
            </w:r>
            <w:r>
              <w:rPr>
                <w:rFonts w:hint="eastAsia"/>
                <w:color w:val="auto"/>
                <w:kern w:val="0"/>
                <w:szCs w:val="21"/>
                <w:highlight w:val="none"/>
              </w:rPr>
              <w:t>m高排气筒</w:t>
            </w:r>
          </w:p>
        </w:tc>
        <w:tc>
          <w:tcPr>
            <w:tcW w:w="0" w:type="auto"/>
            <w:shd w:val="clear" w:color="auto" w:fill="auto"/>
            <w:vAlign w:val="center"/>
          </w:tcPr>
          <w:p w14:paraId="51DBAA18">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颗粒物、NMHC排放浓度</w:t>
            </w:r>
            <w:r>
              <w:rPr>
                <w:rFonts w:hint="eastAsia"/>
                <w:snapToGrid w:val="0"/>
                <w:color w:val="auto"/>
                <w:kern w:val="0"/>
                <w:szCs w:val="21"/>
                <w:highlight w:val="none"/>
                <w:lang w:val="en-US" w:eastAsia="zh-CN"/>
              </w:rPr>
              <w:t>执行</w:t>
            </w:r>
            <w:r>
              <w:rPr>
                <w:rFonts w:hint="eastAsia"/>
                <w:snapToGrid w:val="0"/>
                <w:color w:val="auto"/>
                <w:kern w:val="0"/>
                <w:szCs w:val="21"/>
                <w:highlight w:val="none"/>
              </w:rPr>
              <w:t>《制药工业大气污染物排放标准》（GB37823-2019）表2大气污染物特别排放限值；N</w:t>
            </w:r>
            <w:r>
              <w:rPr>
                <w:snapToGrid w:val="0"/>
                <w:color w:val="auto"/>
                <w:kern w:val="0"/>
                <w:szCs w:val="21"/>
                <w:highlight w:val="none"/>
              </w:rPr>
              <w:t>H</w:t>
            </w:r>
            <w:r>
              <w:rPr>
                <w:snapToGrid w:val="0"/>
                <w:color w:val="auto"/>
                <w:kern w:val="0"/>
                <w:szCs w:val="21"/>
                <w:highlight w:val="none"/>
                <w:vertAlign w:val="subscript"/>
              </w:rPr>
              <w:t>3</w:t>
            </w:r>
            <w:r>
              <w:rPr>
                <w:rFonts w:hint="eastAsia"/>
                <w:snapToGrid w:val="0"/>
                <w:color w:val="auto"/>
                <w:kern w:val="0"/>
                <w:szCs w:val="21"/>
                <w:highlight w:val="none"/>
              </w:rPr>
              <w:t>、H</w:t>
            </w:r>
            <w:r>
              <w:rPr>
                <w:snapToGrid w:val="0"/>
                <w:color w:val="auto"/>
                <w:kern w:val="0"/>
                <w:szCs w:val="21"/>
                <w:highlight w:val="none"/>
                <w:vertAlign w:val="subscript"/>
              </w:rPr>
              <w:t>2</w:t>
            </w:r>
            <w:r>
              <w:rPr>
                <w:snapToGrid w:val="0"/>
                <w:color w:val="auto"/>
                <w:kern w:val="0"/>
                <w:szCs w:val="21"/>
                <w:highlight w:val="none"/>
              </w:rPr>
              <w:t>S</w:t>
            </w:r>
            <w:r>
              <w:rPr>
                <w:rFonts w:hint="eastAsia"/>
                <w:snapToGrid w:val="0"/>
                <w:color w:val="auto"/>
                <w:kern w:val="0"/>
                <w:szCs w:val="21"/>
                <w:highlight w:val="none"/>
              </w:rPr>
              <w:t>、臭气浓度排放浓度</w:t>
            </w:r>
            <w:r>
              <w:rPr>
                <w:rFonts w:hint="eastAsia"/>
                <w:snapToGrid w:val="0"/>
                <w:color w:val="auto"/>
                <w:kern w:val="0"/>
                <w:szCs w:val="21"/>
                <w:highlight w:val="none"/>
                <w:lang w:val="en-US" w:eastAsia="zh-CN"/>
              </w:rPr>
              <w:t>执行</w:t>
            </w:r>
            <w:r>
              <w:rPr>
                <w:rFonts w:hint="eastAsia"/>
                <w:snapToGrid w:val="0"/>
                <w:color w:val="auto"/>
                <w:kern w:val="0"/>
                <w:szCs w:val="21"/>
                <w:highlight w:val="none"/>
              </w:rPr>
              <w:t>《恶臭污染物排放标准》（‌GB14554-93）表2恶臭污染物排放标准值</w:t>
            </w:r>
          </w:p>
        </w:tc>
      </w:tr>
      <w:tr w14:paraId="4A75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shd w:val="clear" w:color="auto" w:fill="auto"/>
            <w:vAlign w:val="center"/>
          </w:tcPr>
          <w:p w14:paraId="25AF28AA">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18C36F81">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酸化废气</w:t>
            </w:r>
          </w:p>
        </w:tc>
        <w:tc>
          <w:tcPr>
            <w:tcW w:w="0" w:type="auto"/>
            <w:shd w:val="clear" w:color="auto" w:fill="auto"/>
            <w:vAlign w:val="center"/>
          </w:tcPr>
          <w:p w14:paraId="1DEFBA50">
            <w:pPr>
              <w:adjustRightInd w:val="0"/>
              <w:snapToGrid w:val="0"/>
              <w:jc w:val="center"/>
              <w:rPr>
                <w:color w:val="auto"/>
                <w:kern w:val="0"/>
                <w:szCs w:val="21"/>
                <w:highlight w:val="none"/>
              </w:rPr>
            </w:pPr>
            <w:r>
              <w:rPr>
                <w:rFonts w:hint="eastAsia"/>
                <w:snapToGrid w:val="0"/>
                <w:color w:val="auto"/>
                <w:kern w:val="0"/>
                <w:szCs w:val="21"/>
                <w:highlight w:val="none"/>
              </w:rPr>
              <w:t>采用一级水吸收+一级碱吸收处理工艺+25m高排气筒</w:t>
            </w:r>
          </w:p>
        </w:tc>
        <w:tc>
          <w:tcPr>
            <w:tcW w:w="0" w:type="auto"/>
            <w:shd w:val="clear" w:color="auto" w:fill="auto"/>
            <w:vAlign w:val="center"/>
          </w:tcPr>
          <w:p w14:paraId="054B0FD2">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硫酸雾排放浓度</w:t>
            </w:r>
            <w:r>
              <w:rPr>
                <w:rFonts w:hint="eastAsia"/>
                <w:snapToGrid w:val="0"/>
                <w:color w:val="auto"/>
                <w:kern w:val="0"/>
                <w:szCs w:val="21"/>
                <w:highlight w:val="none"/>
                <w:lang w:val="en-US" w:eastAsia="zh-CN"/>
              </w:rPr>
              <w:t>执行</w:t>
            </w:r>
            <w:r>
              <w:rPr>
                <w:rFonts w:hint="eastAsia"/>
                <w:snapToGrid w:val="0"/>
                <w:color w:val="auto"/>
                <w:kern w:val="0"/>
                <w:szCs w:val="21"/>
                <w:highlight w:val="none"/>
              </w:rPr>
              <w:t>《大气污染物综合排放标准》（GB 16297-1996）表2中</w:t>
            </w:r>
            <w:r>
              <w:rPr>
                <w:rFonts w:hint="eastAsia"/>
                <w:snapToGrid w:val="0"/>
                <w:color w:val="auto"/>
                <w:kern w:val="0"/>
                <w:szCs w:val="21"/>
                <w:highlight w:val="none"/>
                <w:lang w:val="en-US" w:eastAsia="zh-CN"/>
              </w:rPr>
              <w:t>二级标准</w:t>
            </w:r>
            <w:r>
              <w:rPr>
                <w:rFonts w:hint="eastAsia"/>
                <w:snapToGrid w:val="0"/>
                <w:color w:val="auto"/>
                <w:kern w:val="0"/>
                <w:szCs w:val="21"/>
                <w:highlight w:val="none"/>
              </w:rPr>
              <w:t>；</w:t>
            </w:r>
            <w:r>
              <w:rPr>
                <w:rFonts w:hint="eastAsia"/>
                <w:color w:val="auto"/>
                <w:kern w:val="0"/>
                <w:szCs w:val="21"/>
                <w:highlight w:val="none"/>
                <w:lang w:bidi="ar"/>
              </w:rPr>
              <w:t>非甲烷总烃排放浓度满足《合成树脂工业污染物排放标准》（GB31572-2015</w:t>
            </w:r>
            <w:r>
              <w:rPr>
                <w:rFonts w:hint="eastAsia"/>
                <w:color w:val="auto"/>
                <w:kern w:val="0"/>
                <w:szCs w:val="21"/>
                <w:highlight w:val="none"/>
                <w:lang w:eastAsia="zh-CN" w:bidi="ar"/>
              </w:rPr>
              <w:t>，</w:t>
            </w:r>
            <w:r>
              <w:rPr>
                <w:rFonts w:hint="eastAsia"/>
                <w:color w:val="auto"/>
                <w:kern w:val="0"/>
                <w:szCs w:val="21"/>
                <w:highlight w:val="none"/>
                <w:lang w:bidi="ar"/>
              </w:rPr>
              <w:t>含2024年修改单）表5大气污染物特别排放限值</w:t>
            </w:r>
          </w:p>
        </w:tc>
      </w:tr>
      <w:tr w14:paraId="4314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shd w:val="clear" w:color="auto" w:fill="auto"/>
            <w:vAlign w:val="center"/>
          </w:tcPr>
          <w:p w14:paraId="4D62E465">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5960A57B">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粗品干燥废气</w:t>
            </w:r>
          </w:p>
        </w:tc>
        <w:tc>
          <w:tcPr>
            <w:tcW w:w="0" w:type="auto"/>
            <w:shd w:val="clear" w:color="auto" w:fill="auto"/>
            <w:vAlign w:val="center"/>
          </w:tcPr>
          <w:p w14:paraId="6E9DF29C">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采用袋式除尘+一级水吸收</w:t>
            </w:r>
            <w:r>
              <w:rPr>
                <w:snapToGrid w:val="0"/>
                <w:color w:val="auto"/>
                <w:kern w:val="0"/>
                <w:szCs w:val="21"/>
                <w:highlight w:val="none"/>
              </w:rPr>
              <w:t>+</w:t>
            </w:r>
            <w:r>
              <w:rPr>
                <w:rFonts w:hint="eastAsia"/>
                <w:snapToGrid w:val="0"/>
                <w:color w:val="auto"/>
                <w:kern w:val="0"/>
                <w:szCs w:val="21"/>
                <w:highlight w:val="none"/>
              </w:rPr>
              <w:t>一级碱吸收处理工艺+25m高排气筒</w:t>
            </w:r>
          </w:p>
        </w:tc>
        <w:tc>
          <w:tcPr>
            <w:tcW w:w="0" w:type="auto"/>
            <w:shd w:val="clear" w:color="auto" w:fill="auto"/>
            <w:vAlign w:val="center"/>
          </w:tcPr>
          <w:p w14:paraId="107E144B">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lang w:bidi="ar"/>
              </w:rPr>
              <w:t>颗粒物、非甲烷总烃排放浓度</w:t>
            </w:r>
            <w:r>
              <w:rPr>
                <w:rFonts w:hint="eastAsia"/>
                <w:color w:val="auto"/>
                <w:kern w:val="0"/>
                <w:szCs w:val="21"/>
                <w:highlight w:val="none"/>
                <w:lang w:val="en-US" w:eastAsia="zh-CN" w:bidi="ar"/>
              </w:rPr>
              <w:t>执行</w:t>
            </w:r>
            <w:r>
              <w:rPr>
                <w:rFonts w:hint="eastAsia"/>
                <w:color w:val="auto"/>
                <w:kern w:val="0"/>
                <w:szCs w:val="21"/>
                <w:highlight w:val="none"/>
                <w:lang w:bidi="ar"/>
              </w:rPr>
              <w:t>《合成树脂工业污染物排放标准》（GB31572-2015</w:t>
            </w:r>
            <w:r>
              <w:rPr>
                <w:rFonts w:hint="eastAsia"/>
                <w:color w:val="auto"/>
                <w:kern w:val="0"/>
                <w:szCs w:val="21"/>
                <w:highlight w:val="none"/>
                <w:lang w:eastAsia="zh-CN" w:bidi="ar"/>
              </w:rPr>
              <w:t>，</w:t>
            </w:r>
            <w:r>
              <w:rPr>
                <w:rFonts w:hint="eastAsia"/>
                <w:color w:val="auto"/>
                <w:kern w:val="0"/>
                <w:szCs w:val="21"/>
                <w:highlight w:val="none"/>
                <w:lang w:bidi="ar"/>
              </w:rPr>
              <w:t>含2024年修改单）表5大气污染物特别排放限值</w:t>
            </w:r>
          </w:p>
        </w:tc>
      </w:tr>
      <w:tr w14:paraId="1516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shd w:val="clear" w:color="auto" w:fill="auto"/>
            <w:vAlign w:val="center"/>
          </w:tcPr>
          <w:p w14:paraId="7311323A">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691215DE">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成品干燥废气</w:t>
            </w:r>
          </w:p>
        </w:tc>
        <w:tc>
          <w:tcPr>
            <w:tcW w:w="0" w:type="auto"/>
            <w:shd w:val="clear" w:color="auto" w:fill="auto"/>
            <w:vAlign w:val="center"/>
          </w:tcPr>
          <w:p w14:paraId="100A0452">
            <w:pPr>
              <w:pStyle w:val="42"/>
              <w:tabs>
                <w:tab w:val="left" w:pos="0"/>
              </w:tabs>
              <w:adjustRightInd w:val="0"/>
              <w:snapToGrid w:val="0"/>
              <w:ind w:left="0" w:firstLine="0" w:firstLineChars="0"/>
              <w:jc w:val="center"/>
              <w:rPr>
                <w:color w:val="auto"/>
                <w:kern w:val="0"/>
                <w:szCs w:val="21"/>
                <w:highlight w:val="none"/>
              </w:rPr>
            </w:pPr>
            <w:r>
              <w:rPr>
                <w:rFonts w:hint="eastAsia"/>
                <w:snapToGrid w:val="0"/>
                <w:color w:val="auto"/>
                <w:kern w:val="0"/>
                <w:szCs w:val="21"/>
                <w:highlight w:val="none"/>
              </w:rPr>
              <w:t>采用袋式除尘+二级水吸收+一级碱吸收处理工艺+25m高排气筒</w:t>
            </w:r>
          </w:p>
        </w:tc>
        <w:tc>
          <w:tcPr>
            <w:tcW w:w="0" w:type="auto"/>
            <w:shd w:val="clear" w:color="auto" w:fill="auto"/>
            <w:vAlign w:val="center"/>
          </w:tcPr>
          <w:p w14:paraId="4C2186A5">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lang w:bidi="ar"/>
              </w:rPr>
              <w:t>颗粒物排放浓度</w:t>
            </w:r>
            <w:r>
              <w:rPr>
                <w:rFonts w:hint="eastAsia"/>
                <w:color w:val="auto"/>
                <w:kern w:val="0"/>
                <w:szCs w:val="21"/>
                <w:highlight w:val="none"/>
                <w:lang w:val="en-US" w:eastAsia="zh-CN" w:bidi="ar"/>
              </w:rPr>
              <w:t>执行</w:t>
            </w:r>
            <w:r>
              <w:rPr>
                <w:rFonts w:hint="eastAsia"/>
                <w:color w:val="auto"/>
                <w:kern w:val="0"/>
                <w:szCs w:val="21"/>
                <w:highlight w:val="none"/>
                <w:lang w:bidi="ar"/>
              </w:rPr>
              <w:t>《合成树脂工业污染物排放标准》（GB31572-2015</w:t>
            </w:r>
            <w:r>
              <w:rPr>
                <w:rFonts w:hint="eastAsia"/>
                <w:color w:val="auto"/>
                <w:kern w:val="0"/>
                <w:szCs w:val="21"/>
                <w:highlight w:val="none"/>
                <w:lang w:eastAsia="zh-CN" w:bidi="ar"/>
              </w:rPr>
              <w:t>，</w:t>
            </w:r>
            <w:r>
              <w:rPr>
                <w:rFonts w:hint="eastAsia"/>
                <w:color w:val="auto"/>
                <w:kern w:val="0"/>
                <w:szCs w:val="21"/>
                <w:highlight w:val="none"/>
                <w:lang w:bidi="ar"/>
              </w:rPr>
              <w:t>含2024年修改单）表5大气污染物特别排放限值</w:t>
            </w:r>
          </w:p>
        </w:tc>
      </w:tr>
      <w:tr w14:paraId="17DB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shd w:val="clear" w:color="auto" w:fill="auto"/>
            <w:vAlign w:val="center"/>
          </w:tcPr>
          <w:p w14:paraId="1A61EA65">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0F35B8EA">
            <w:pPr>
              <w:pStyle w:val="42"/>
              <w:tabs>
                <w:tab w:val="left" w:pos="0"/>
              </w:tabs>
              <w:adjustRightInd w:val="0"/>
              <w:snapToGrid w:val="0"/>
              <w:ind w:left="0" w:firstLine="0" w:firstLineChars="0"/>
              <w:jc w:val="center"/>
              <w:rPr>
                <w:snapToGrid w:val="0"/>
                <w:color w:val="auto"/>
                <w:kern w:val="0"/>
                <w:szCs w:val="21"/>
                <w:highlight w:val="none"/>
              </w:rPr>
            </w:pPr>
            <w:r>
              <w:rPr>
                <w:rFonts w:hint="eastAsia"/>
                <w:snapToGrid w:val="0"/>
                <w:color w:val="auto"/>
                <w:kern w:val="0"/>
                <w:szCs w:val="21"/>
                <w:highlight w:val="none"/>
              </w:rPr>
              <w:t>活性炭再生炉烟气</w:t>
            </w:r>
          </w:p>
        </w:tc>
        <w:tc>
          <w:tcPr>
            <w:tcW w:w="0" w:type="auto"/>
            <w:shd w:val="clear" w:color="auto" w:fill="auto"/>
            <w:vAlign w:val="center"/>
          </w:tcPr>
          <w:p w14:paraId="082F5694">
            <w:pPr>
              <w:pStyle w:val="42"/>
              <w:tabs>
                <w:tab w:val="left" w:pos="0"/>
              </w:tabs>
              <w:adjustRightInd w:val="0"/>
              <w:snapToGrid w:val="0"/>
              <w:ind w:left="0" w:firstLine="0" w:firstLineChars="0"/>
              <w:jc w:val="center"/>
              <w:rPr>
                <w:color w:val="auto"/>
                <w:kern w:val="0"/>
                <w:sz w:val="21"/>
                <w:szCs w:val="21"/>
                <w:highlight w:val="none"/>
              </w:rPr>
            </w:pPr>
            <w:r>
              <w:rPr>
                <w:rFonts w:hint="eastAsia"/>
                <w:snapToGrid w:val="0"/>
                <w:color w:val="auto"/>
                <w:kern w:val="0"/>
                <w:sz w:val="21"/>
                <w:szCs w:val="21"/>
                <w:highlight w:val="none"/>
              </w:rPr>
              <w:t>采用</w:t>
            </w:r>
            <w:r>
              <w:rPr>
                <w:rFonts w:hint="eastAsia" w:eastAsia="宋体"/>
                <w:color w:val="auto"/>
                <w:kern w:val="0"/>
                <w:szCs w:val="21"/>
                <w:highlight w:val="none"/>
              </w:rPr>
              <w:t>R</w:t>
            </w:r>
            <w:r>
              <w:rPr>
                <w:rFonts w:eastAsia="宋体"/>
                <w:color w:val="auto"/>
                <w:kern w:val="0"/>
                <w:szCs w:val="21"/>
                <w:highlight w:val="none"/>
              </w:rPr>
              <w:t>TO</w:t>
            </w:r>
            <w:r>
              <w:rPr>
                <w:rFonts w:hint="eastAsia" w:eastAsia="宋体"/>
                <w:color w:val="auto"/>
                <w:kern w:val="0"/>
                <w:szCs w:val="21"/>
                <w:highlight w:val="none"/>
              </w:rPr>
              <w:t>焚烧+余热回收</w:t>
            </w:r>
            <w:r>
              <w:rPr>
                <w:rFonts w:hint="eastAsia"/>
                <w:color w:val="auto"/>
                <w:kern w:val="0"/>
                <w:szCs w:val="21"/>
                <w:highlight w:val="none"/>
                <w:lang w:val="en-US" w:eastAsia="zh-CN"/>
              </w:rPr>
              <w:t>+</w:t>
            </w:r>
            <w:r>
              <w:rPr>
                <w:rFonts w:hint="eastAsia"/>
                <w:snapToGrid w:val="0"/>
                <w:color w:val="auto"/>
                <w:kern w:val="0"/>
                <w:sz w:val="21"/>
                <w:szCs w:val="21"/>
                <w:highlight w:val="none"/>
                <w:lang w:val="en-US" w:eastAsia="zh-CN"/>
              </w:rPr>
              <w:t>二</w:t>
            </w:r>
            <w:r>
              <w:rPr>
                <w:rFonts w:hint="eastAsia"/>
                <w:snapToGrid w:val="0"/>
                <w:color w:val="auto"/>
                <w:kern w:val="0"/>
                <w:sz w:val="21"/>
                <w:szCs w:val="21"/>
                <w:highlight w:val="none"/>
              </w:rPr>
              <w:t>级水吸收</w:t>
            </w:r>
            <w:r>
              <w:rPr>
                <w:snapToGrid w:val="0"/>
                <w:color w:val="auto"/>
                <w:kern w:val="0"/>
                <w:sz w:val="21"/>
                <w:szCs w:val="21"/>
                <w:highlight w:val="none"/>
              </w:rPr>
              <w:t>+</w:t>
            </w:r>
            <w:r>
              <w:rPr>
                <w:rFonts w:hint="eastAsia"/>
                <w:snapToGrid w:val="0"/>
                <w:color w:val="auto"/>
                <w:kern w:val="0"/>
                <w:sz w:val="21"/>
                <w:szCs w:val="21"/>
                <w:highlight w:val="none"/>
              </w:rPr>
              <w:t>一级碱吸收处理工艺+25m高排气筒</w:t>
            </w:r>
          </w:p>
        </w:tc>
        <w:tc>
          <w:tcPr>
            <w:tcW w:w="0" w:type="auto"/>
            <w:shd w:val="clear" w:color="auto" w:fill="auto"/>
            <w:vAlign w:val="center"/>
          </w:tcPr>
          <w:p w14:paraId="1500AF1C">
            <w:pPr>
              <w:pStyle w:val="42"/>
              <w:tabs>
                <w:tab w:val="left" w:pos="0"/>
              </w:tabs>
              <w:adjustRightInd w:val="0"/>
              <w:snapToGrid w:val="0"/>
              <w:ind w:left="0" w:firstLine="0" w:firstLineChars="0"/>
              <w:jc w:val="center"/>
              <w:rPr>
                <w:color w:val="auto"/>
                <w:kern w:val="0"/>
                <w:sz w:val="21"/>
                <w:szCs w:val="21"/>
                <w:highlight w:val="none"/>
              </w:rPr>
            </w:pPr>
            <w:r>
              <w:rPr>
                <w:rFonts w:hint="eastAsia"/>
                <w:snapToGrid w:val="0"/>
                <w:color w:val="auto"/>
                <w:kern w:val="0"/>
                <w:sz w:val="21"/>
                <w:szCs w:val="21"/>
                <w:highlight w:val="none"/>
                <w:lang w:val="en-US" w:eastAsia="zh-CN"/>
              </w:rPr>
              <w:t>颗粒物执行</w:t>
            </w:r>
            <w:r>
              <w:rPr>
                <w:rFonts w:hint="eastAsia"/>
                <w:snapToGrid w:val="0"/>
                <w:color w:val="auto"/>
                <w:kern w:val="0"/>
                <w:sz w:val="21"/>
                <w:szCs w:val="21"/>
                <w:highlight w:val="none"/>
              </w:rPr>
              <w:t>《合成树脂工业污染物排放标准》（GB31572-2015</w:t>
            </w:r>
            <w:r>
              <w:rPr>
                <w:rFonts w:hint="eastAsia"/>
                <w:snapToGrid w:val="0"/>
                <w:color w:val="auto"/>
                <w:kern w:val="0"/>
                <w:sz w:val="21"/>
                <w:szCs w:val="21"/>
                <w:highlight w:val="none"/>
                <w:lang w:eastAsia="zh-CN"/>
              </w:rPr>
              <w:t>，</w:t>
            </w:r>
            <w:r>
              <w:rPr>
                <w:rFonts w:hint="eastAsia"/>
                <w:snapToGrid w:val="0"/>
                <w:color w:val="auto"/>
                <w:kern w:val="0"/>
                <w:sz w:val="21"/>
                <w:szCs w:val="21"/>
                <w:highlight w:val="none"/>
              </w:rPr>
              <w:t>含2024年修改单）表5大气污染物特别排放限值，二氧化硫、氮氧化物执行《合成树脂工业污染物排放标准》（GB31572-2015</w:t>
            </w:r>
            <w:r>
              <w:rPr>
                <w:rFonts w:hint="eastAsia"/>
                <w:snapToGrid w:val="0"/>
                <w:color w:val="auto"/>
                <w:kern w:val="0"/>
                <w:sz w:val="21"/>
                <w:szCs w:val="21"/>
                <w:highlight w:val="none"/>
                <w:lang w:eastAsia="zh-CN"/>
              </w:rPr>
              <w:t>，</w:t>
            </w:r>
            <w:r>
              <w:rPr>
                <w:rFonts w:hint="eastAsia"/>
                <w:snapToGrid w:val="0"/>
                <w:color w:val="auto"/>
                <w:kern w:val="0"/>
                <w:sz w:val="21"/>
                <w:szCs w:val="21"/>
                <w:highlight w:val="none"/>
              </w:rPr>
              <w:t>含2024年修改单）表</w:t>
            </w:r>
            <w:r>
              <w:rPr>
                <w:rFonts w:hint="eastAsia"/>
                <w:snapToGrid w:val="0"/>
                <w:color w:val="auto"/>
                <w:kern w:val="0"/>
                <w:sz w:val="21"/>
                <w:szCs w:val="21"/>
                <w:highlight w:val="none"/>
                <w:lang w:val="en-US" w:eastAsia="zh-CN"/>
              </w:rPr>
              <w:t>6</w:t>
            </w:r>
            <w:r>
              <w:rPr>
                <w:rFonts w:hint="eastAsia"/>
                <w:snapToGrid w:val="0"/>
                <w:color w:val="auto"/>
                <w:kern w:val="0"/>
                <w:sz w:val="21"/>
                <w:szCs w:val="21"/>
                <w:highlight w:val="none"/>
              </w:rPr>
              <w:t>焚烧设施SO</w:t>
            </w:r>
            <w:r>
              <w:rPr>
                <w:rFonts w:hint="eastAsia"/>
                <w:snapToGrid w:val="0"/>
                <w:color w:val="auto"/>
                <w:kern w:val="0"/>
                <w:sz w:val="21"/>
                <w:szCs w:val="21"/>
                <w:highlight w:val="none"/>
                <w:vertAlign w:val="subscript"/>
              </w:rPr>
              <w:t>2</w:t>
            </w:r>
            <w:r>
              <w:rPr>
                <w:rFonts w:hint="eastAsia"/>
                <w:snapToGrid w:val="0"/>
                <w:color w:val="auto"/>
                <w:kern w:val="0"/>
                <w:sz w:val="21"/>
                <w:szCs w:val="21"/>
                <w:highlight w:val="none"/>
              </w:rPr>
              <w:t>、NO</w:t>
            </w:r>
            <w:r>
              <w:rPr>
                <w:rFonts w:hint="eastAsia"/>
                <w:snapToGrid w:val="0"/>
                <w:color w:val="auto"/>
                <w:kern w:val="0"/>
                <w:sz w:val="21"/>
                <w:szCs w:val="21"/>
                <w:highlight w:val="none"/>
                <w:vertAlign w:val="subscript"/>
                <w:lang w:val="en-US" w:eastAsia="zh-CN"/>
              </w:rPr>
              <w:t>X</w:t>
            </w:r>
            <w:r>
              <w:rPr>
                <w:rFonts w:hint="eastAsia"/>
                <w:snapToGrid w:val="0"/>
                <w:color w:val="auto"/>
                <w:kern w:val="0"/>
                <w:sz w:val="21"/>
                <w:szCs w:val="21"/>
                <w:highlight w:val="none"/>
              </w:rPr>
              <w:t>排放限值</w:t>
            </w:r>
          </w:p>
        </w:tc>
      </w:tr>
      <w:tr w14:paraId="37DF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shd w:val="clear" w:color="auto" w:fill="auto"/>
            <w:vAlign w:val="center"/>
          </w:tcPr>
          <w:p w14:paraId="2BE56EC4">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598F8911">
            <w:pPr>
              <w:adjustRightInd w:val="0"/>
              <w:snapToGrid w:val="0"/>
              <w:jc w:val="center"/>
              <w:rPr>
                <w:snapToGrid w:val="0"/>
                <w:color w:val="auto"/>
                <w:kern w:val="0"/>
                <w:szCs w:val="21"/>
                <w:highlight w:val="none"/>
              </w:rPr>
            </w:pPr>
            <w:r>
              <w:rPr>
                <w:rFonts w:hint="eastAsia"/>
                <w:snapToGrid w:val="0"/>
                <w:color w:val="auto"/>
                <w:kern w:val="0"/>
                <w:szCs w:val="21"/>
                <w:highlight w:val="none"/>
              </w:rPr>
              <w:t>罐区废气</w:t>
            </w:r>
          </w:p>
        </w:tc>
        <w:tc>
          <w:tcPr>
            <w:tcW w:w="0" w:type="auto"/>
            <w:shd w:val="clear" w:color="auto" w:fill="auto"/>
            <w:vAlign w:val="center"/>
          </w:tcPr>
          <w:p w14:paraId="3D3E0B13">
            <w:pPr>
              <w:adjustRightInd w:val="0"/>
              <w:snapToGrid w:val="0"/>
              <w:jc w:val="center"/>
              <w:rPr>
                <w:color w:val="auto"/>
                <w:kern w:val="0"/>
                <w:szCs w:val="21"/>
                <w:highlight w:val="none"/>
              </w:rPr>
            </w:pPr>
            <w:r>
              <w:rPr>
                <w:rFonts w:hint="eastAsia"/>
                <w:snapToGrid w:val="0"/>
                <w:color w:val="auto"/>
                <w:kern w:val="0"/>
                <w:szCs w:val="21"/>
                <w:highlight w:val="none"/>
              </w:rPr>
              <w:t>冷凝+</w:t>
            </w:r>
            <w:r>
              <w:rPr>
                <w:snapToGrid w:val="0"/>
                <w:color w:val="auto"/>
                <w:kern w:val="0"/>
                <w:szCs w:val="21"/>
                <w:highlight w:val="none"/>
              </w:rPr>
              <w:t>活性炭吸附</w:t>
            </w:r>
            <w:r>
              <w:rPr>
                <w:rFonts w:hint="eastAsia"/>
                <w:snapToGrid w:val="0"/>
                <w:color w:val="auto"/>
                <w:kern w:val="0"/>
                <w:szCs w:val="21"/>
                <w:highlight w:val="none"/>
              </w:rPr>
              <w:t>+20m</w:t>
            </w:r>
            <w:r>
              <w:rPr>
                <w:snapToGrid w:val="0"/>
                <w:color w:val="auto"/>
                <w:kern w:val="0"/>
                <w:szCs w:val="21"/>
                <w:highlight w:val="none"/>
              </w:rPr>
              <w:t>排气筒达标排</w:t>
            </w:r>
            <w:r>
              <w:rPr>
                <w:rFonts w:hint="eastAsia"/>
                <w:snapToGrid w:val="0"/>
                <w:color w:val="auto"/>
                <w:kern w:val="0"/>
                <w:szCs w:val="21"/>
                <w:highlight w:val="none"/>
              </w:rPr>
              <w:t>放</w:t>
            </w:r>
          </w:p>
        </w:tc>
        <w:tc>
          <w:tcPr>
            <w:tcW w:w="0" w:type="auto"/>
            <w:shd w:val="clear" w:color="auto" w:fill="auto"/>
            <w:vAlign w:val="center"/>
          </w:tcPr>
          <w:p w14:paraId="4A8382B1">
            <w:pPr>
              <w:adjustRightInd w:val="0"/>
              <w:snapToGrid w:val="0"/>
              <w:ind w:firstLine="420" w:firstLineChars="200"/>
              <w:jc w:val="center"/>
              <w:rPr>
                <w:color w:val="auto"/>
                <w:kern w:val="0"/>
                <w:sz w:val="21"/>
                <w:szCs w:val="21"/>
                <w:highlight w:val="none"/>
              </w:rPr>
            </w:pPr>
            <w:r>
              <w:rPr>
                <w:rFonts w:hint="eastAsia"/>
                <w:snapToGrid w:val="0"/>
                <w:color w:val="auto"/>
                <w:kern w:val="0"/>
                <w:sz w:val="21"/>
                <w:szCs w:val="21"/>
                <w:highlight w:val="none"/>
              </w:rPr>
              <w:t>NMHC厂界无组织排放执行《合成树脂工业污染物排放标准》（GB31572-2015，含2024年修改单）表9企业边界大气污染物浓度限值</w:t>
            </w:r>
            <w:r>
              <w:rPr>
                <w:rFonts w:hint="eastAsia"/>
                <w:snapToGrid w:val="0"/>
                <w:color w:val="auto"/>
                <w:kern w:val="0"/>
                <w:sz w:val="21"/>
                <w:szCs w:val="21"/>
                <w:highlight w:val="none"/>
                <w:lang w:eastAsia="zh-CN"/>
              </w:rPr>
              <w:t>；</w:t>
            </w:r>
            <w:r>
              <w:rPr>
                <w:rFonts w:hint="eastAsia"/>
                <w:snapToGrid w:val="0"/>
                <w:color w:val="auto"/>
                <w:kern w:val="0"/>
                <w:sz w:val="21"/>
                <w:szCs w:val="21"/>
                <w:highlight w:val="none"/>
              </w:rPr>
              <w:t>厂区内NMHC无组织排放执行《挥发性有机物无组织排放控制标准》（GB37822-2019）表A.1特别排放限值</w:t>
            </w:r>
          </w:p>
        </w:tc>
      </w:tr>
      <w:tr w14:paraId="7DC6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restart"/>
            <w:shd w:val="clear" w:color="auto" w:fill="auto"/>
            <w:vAlign w:val="center"/>
          </w:tcPr>
          <w:p w14:paraId="2BD18DB4">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废</w:t>
            </w:r>
            <w:r>
              <w:rPr>
                <w:rFonts w:hint="eastAsia"/>
                <w:color w:val="auto"/>
                <w:kern w:val="0"/>
                <w:szCs w:val="21"/>
                <w:highlight w:val="none"/>
              </w:rPr>
              <w:t>水</w:t>
            </w:r>
          </w:p>
        </w:tc>
        <w:tc>
          <w:tcPr>
            <w:tcW w:w="0" w:type="auto"/>
            <w:shd w:val="clear" w:color="auto" w:fill="auto"/>
            <w:vAlign w:val="center"/>
          </w:tcPr>
          <w:p w14:paraId="29FADEBF">
            <w:pPr>
              <w:adjustRightInd w:val="0"/>
              <w:snapToGrid w:val="0"/>
              <w:jc w:val="center"/>
              <w:rPr>
                <w:snapToGrid w:val="0"/>
                <w:color w:val="auto"/>
                <w:kern w:val="0"/>
                <w:szCs w:val="21"/>
                <w:highlight w:val="none"/>
                <w:lang w:val="zh-CN"/>
              </w:rPr>
            </w:pPr>
            <w:r>
              <w:rPr>
                <w:rFonts w:hint="eastAsia"/>
                <w:snapToGrid w:val="0"/>
                <w:color w:val="auto"/>
                <w:kern w:val="0"/>
                <w:szCs w:val="21"/>
                <w:highlight w:val="none"/>
              </w:rPr>
              <w:t>发酵清洗废水</w:t>
            </w:r>
          </w:p>
        </w:tc>
        <w:tc>
          <w:tcPr>
            <w:tcW w:w="0" w:type="auto"/>
            <w:vMerge w:val="restart"/>
            <w:shd w:val="clear" w:color="auto" w:fill="auto"/>
            <w:vAlign w:val="center"/>
          </w:tcPr>
          <w:p w14:paraId="7D6BA147">
            <w:pPr>
              <w:adjustRightInd w:val="0"/>
              <w:snapToGrid w:val="0"/>
              <w:jc w:val="center"/>
              <w:rPr>
                <w:color w:val="auto"/>
                <w:kern w:val="0"/>
                <w:szCs w:val="21"/>
                <w:highlight w:val="none"/>
                <w:lang w:bidi="zh-CN"/>
              </w:rPr>
            </w:pPr>
            <w:r>
              <w:rPr>
                <w:rFonts w:hint="eastAsia"/>
                <w:color w:val="auto"/>
                <w:kern w:val="0"/>
                <w:szCs w:val="21"/>
                <w:highlight w:val="none"/>
                <w:lang w:val="en-US" w:eastAsia="zh-CN"/>
              </w:rPr>
              <w:t>乌苏市西区</w:t>
            </w:r>
            <w:r>
              <w:rPr>
                <w:rFonts w:hint="eastAsia"/>
                <w:color w:val="auto"/>
                <w:kern w:val="0"/>
                <w:szCs w:val="21"/>
                <w:highlight w:val="none"/>
              </w:rPr>
              <w:t>污水处理厂</w:t>
            </w:r>
            <w:r>
              <w:rPr>
                <w:rFonts w:hint="eastAsia"/>
                <w:color w:val="auto"/>
                <w:kern w:val="0"/>
                <w:szCs w:val="21"/>
                <w:highlight w:val="none"/>
                <w:lang w:val="en-US" w:eastAsia="zh-CN"/>
              </w:rPr>
              <w:t>二期</w:t>
            </w:r>
          </w:p>
        </w:tc>
        <w:tc>
          <w:tcPr>
            <w:tcW w:w="0" w:type="auto"/>
            <w:vMerge w:val="restart"/>
            <w:shd w:val="clear" w:color="auto" w:fill="auto"/>
            <w:vAlign w:val="center"/>
          </w:tcPr>
          <w:p w14:paraId="62FD1EAA">
            <w:pPr>
              <w:pStyle w:val="42"/>
              <w:tabs>
                <w:tab w:val="left" w:pos="0"/>
              </w:tabs>
              <w:adjustRightInd w:val="0"/>
              <w:snapToGrid w:val="0"/>
              <w:ind w:left="0" w:firstLine="0" w:firstLineChars="0"/>
              <w:jc w:val="center"/>
              <w:rPr>
                <w:rFonts w:hint="eastAsia" w:eastAsia="宋体"/>
                <w:color w:val="auto"/>
                <w:kern w:val="0"/>
                <w:szCs w:val="21"/>
                <w:highlight w:val="none"/>
                <w:lang w:val="en-US" w:eastAsia="zh-CN"/>
              </w:rPr>
            </w:pPr>
            <w:r>
              <w:rPr>
                <w:rFonts w:hint="eastAsia"/>
                <w:color w:val="auto"/>
                <w:kern w:val="0"/>
                <w:szCs w:val="21"/>
                <w:highlight w:val="none"/>
              </w:rPr>
              <w:t>执行企业与</w:t>
            </w:r>
            <w:r>
              <w:rPr>
                <w:rFonts w:hint="eastAsia"/>
                <w:color w:val="auto"/>
                <w:kern w:val="0"/>
                <w:szCs w:val="21"/>
                <w:highlight w:val="none"/>
                <w:lang w:val="en-US" w:eastAsia="zh-CN"/>
              </w:rPr>
              <w:t>乌苏市西区</w:t>
            </w:r>
            <w:r>
              <w:rPr>
                <w:rFonts w:hint="eastAsia"/>
                <w:color w:val="auto"/>
                <w:kern w:val="0"/>
                <w:szCs w:val="21"/>
                <w:highlight w:val="none"/>
              </w:rPr>
              <w:t>污水处理厂商定的协议标准限值</w:t>
            </w:r>
            <w:r>
              <w:rPr>
                <w:rFonts w:hint="eastAsia"/>
                <w:color w:val="auto"/>
                <w:kern w:val="0"/>
                <w:szCs w:val="21"/>
                <w:highlight w:val="none"/>
                <w:lang w:eastAsia="zh-CN"/>
              </w:rPr>
              <w:t>，</w:t>
            </w:r>
            <w:r>
              <w:rPr>
                <w:rFonts w:hint="eastAsia"/>
                <w:color w:val="auto"/>
                <w:kern w:val="0"/>
                <w:szCs w:val="21"/>
                <w:highlight w:val="none"/>
              </w:rPr>
              <w:t>核实去向</w:t>
            </w:r>
          </w:p>
        </w:tc>
      </w:tr>
      <w:tr w14:paraId="4874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73C39571">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1E7DE739">
            <w:pPr>
              <w:adjustRightInd w:val="0"/>
              <w:snapToGrid w:val="0"/>
              <w:jc w:val="center"/>
              <w:rPr>
                <w:snapToGrid w:val="0"/>
                <w:color w:val="auto"/>
                <w:kern w:val="0"/>
                <w:szCs w:val="21"/>
                <w:highlight w:val="none"/>
                <w:lang w:val="zh-CN"/>
              </w:rPr>
            </w:pPr>
            <w:r>
              <w:rPr>
                <w:rFonts w:hint="eastAsia"/>
                <w:snapToGrid w:val="0"/>
                <w:color w:val="auto"/>
                <w:kern w:val="0"/>
                <w:szCs w:val="21"/>
                <w:highlight w:val="none"/>
              </w:rPr>
              <w:t>分离废水</w:t>
            </w:r>
          </w:p>
        </w:tc>
        <w:tc>
          <w:tcPr>
            <w:tcW w:w="0" w:type="auto"/>
            <w:vMerge w:val="continue"/>
            <w:vAlign w:val="center"/>
          </w:tcPr>
          <w:p w14:paraId="152048FF">
            <w:pPr>
              <w:adjustRightInd w:val="0"/>
              <w:snapToGrid w:val="0"/>
              <w:jc w:val="center"/>
              <w:rPr>
                <w:color w:val="auto"/>
                <w:kern w:val="0"/>
                <w:szCs w:val="21"/>
                <w:highlight w:val="none"/>
                <w:lang w:bidi="zh-CN"/>
              </w:rPr>
            </w:pPr>
          </w:p>
        </w:tc>
        <w:tc>
          <w:tcPr>
            <w:tcW w:w="0" w:type="auto"/>
            <w:vMerge w:val="continue"/>
            <w:vAlign w:val="center"/>
          </w:tcPr>
          <w:p w14:paraId="2A56AD7F">
            <w:pPr>
              <w:pStyle w:val="42"/>
              <w:tabs>
                <w:tab w:val="left" w:pos="0"/>
              </w:tabs>
              <w:adjustRightInd w:val="0"/>
              <w:snapToGrid w:val="0"/>
              <w:ind w:left="0" w:firstLine="0" w:firstLineChars="0"/>
              <w:jc w:val="center"/>
              <w:rPr>
                <w:color w:val="auto"/>
                <w:kern w:val="0"/>
                <w:szCs w:val="21"/>
                <w:highlight w:val="none"/>
                <w:lang w:val="zh-CN" w:bidi="zh-CN"/>
              </w:rPr>
            </w:pPr>
          </w:p>
        </w:tc>
      </w:tr>
      <w:tr w14:paraId="56E1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1D652A1F">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56AE942B">
            <w:pPr>
              <w:adjustRightInd w:val="0"/>
              <w:snapToGrid w:val="0"/>
              <w:jc w:val="center"/>
              <w:rPr>
                <w:snapToGrid w:val="0"/>
                <w:color w:val="auto"/>
                <w:kern w:val="0"/>
                <w:szCs w:val="21"/>
                <w:highlight w:val="none"/>
                <w:lang w:val="zh-CN"/>
              </w:rPr>
            </w:pPr>
            <w:r>
              <w:rPr>
                <w:rFonts w:hint="eastAsia"/>
                <w:snapToGrid w:val="0"/>
                <w:color w:val="auto"/>
                <w:kern w:val="0"/>
                <w:szCs w:val="21"/>
                <w:highlight w:val="none"/>
              </w:rPr>
              <w:t>循环水排污</w:t>
            </w:r>
          </w:p>
        </w:tc>
        <w:tc>
          <w:tcPr>
            <w:tcW w:w="0" w:type="auto"/>
            <w:vAlign w:val="center"/>
          </w:tcPr>
          <w:p w14:paraId="53E02853">
            <w:pPr>
              <w:adjustRightInd w:val="0"/>
              <w:snapToGrid w:val="0"/>
              <w:jc w:val="center"/>
              <w:rPr>
                <w:color w:val="auto"/>
                <w:kern w:val="0"/>
                <w:szCs w:val="21"/>
                <w:highlight w:val="none"/>
                <w:lang w:bidi="zh-CN"/>
              </w:rPr>
            </w:pPr>
            <w:r>
              <w:rPr>
                <w:rFonts w:hint="eastAsia"/>
                <w:snapToGrid w:val="0"/>
                <w:color w:val="auto"/>
                <w:kern w:val="0"/>
                <w:szCs w:val="21"/>
                <w:highlight w:val="none"/>
              </w:rPr>
              <w:t>污水处理站中水段</w:t>
            </w:r>
          </w:p>
        </w:tc>
        <w:tc>
          <w:tcPr>
            <w:tcW w:w="0" w:type="auto"/>
            <w:vAlign w:val="center"/>
          </w:tcPr>
          <w:p w14:paraId="588E8119">
            <w:pPr>
              <w:pStyle w:val="42"/>
              <w:tabs>
                <w:tab w:val="left" w:pos="0"/>
              </w:tabs>
              <w:adjustRightInd w:val="0"/>
              <w:snapToGrid w:val="0"/>
              <w:ind w:left="0" w:firstLine="0" w:firstLineChars="0"/>
              <w:jc w:val="center"/>
              <w:rPr>
                <w:color w:val="auto"/>
                <w:kern w:val="0"/>
                <w:szCs w:val="21"/>
                <w:highlight w:val="none"/>
                <w:lang w:val="zh-CN" w:bidi="zh-CN"/>
              </w:rPr>
            </w:pPr>
            <w:r>
              <w:rPr>
                <w:rFonts w:hint="eastAsia"/>
                <w:color w:val="auto"/>
                <w:kern w:val="0"/>
                <w:szCs w:val="21"/>
                <w:highlight w:val="none"/>
              </w:rPr>
              <w:t>核实去向</w:t>
            </w:r>
          </w:p>
        </w:tc>
      </w:tr>
      <w:tr w14:paraId="1CDB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6E780F52">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38CAEECC">
            <w:pPr>
              <w:adjustRightInd w:val="0"/>
              <w:snapToGrid w:val="0"/>
              <w:jc w:val="center"/>
              <w:rPr>
                <w:snapToGrid w:val="0"/>
                <w:color w:val="auto"/>
                <w:kern w:val="0"/>
                <w:szCs w:val="21"/>
                <w:highlight w:val="none"/>
                <w:lang w:val="zh-CN"/>
              </w:rPr>
            </w:pPr>
            <w:r>
              <w:rPr>
                <w:rFonts w:hint="eastAsia"/>
                <w:snapToGrid w:val="0"/>
                <w:color w:val="auto"/>
                <w:kern w:val="0"/>
                <w:szCs w:val="21"/>
                <w:highlight w:val="none"/>
              </w:rPr>
              <w:t>生活污水</w:t>
            </w:r>
          </w:p>
        </w:tc>
        <w:tc>
          <w:tcPr>
            <w:tcW w:w="0" w:type="auto"/>
            <w:vMerge w:val="restart"/>
            <w:vAlign w:val="center"/>
          </w:tcPr>
          <w:p w14:paraId="3B12E2EE">
            <w:pPr>
              <w:adjustRightInd w:val="0"/>
              <w:snapToGrid w:val="0"/>
              <w:jc w:val="center"/>
              <w:rPr>
                <w:color w:val="auto"/>
                <w:kern w:val="0"/>
                <w:szCs w:val="21"/>
                <w:highlight w:val="none"/>
              </w:rPr>
            </w:pPr>
            <w:r>
              <w:rPr>
                <w:rFonts w:hint="eastAsia" w:ascii="Times New Roman"/>
                <w:color w:val="auto"/>
                <w:sz w:val="21"/>
                <w:szCs w:val="21"/>
                <w:highlight w:val="none"/>
              </w:rPr>
              <w:t>污</w:t>
            </w:r>
            <w:r>
              <w:rPr>
                <w:rFonts w:hint="eastAsia" w:ascii="Times New Roman" w:hAnsi="Times New Roman" w:eastAsia="宋体" w:cs="Times New Roman"/>
                <w:snapToGrid w:val="0"/>
                <w:color w:val="auto"/>
                <w:kern w:val="0"/>
                <w:sz w:val="21"/>
                <w:szCs w:val="21"/>
                <w:highlight w:val="none"/>
                <w:lang w:val="en-US" w:eastAsia="zh-CN" w:bidi="ar-SA"/>
              </w:rPr>
              <w:t>水处理站生化段处理后排入乌苏市西区污水处理厂一期</w:t>
            </w:r>
          </w:p>
        </w:tc>
        <w:tc>
          <w:tcPr>
            <w:tcW w:w="0" w:type="auto"/>
            <w:vMerge w:val="restart"/>
            <w:vAlign w:val="center"/>
          </w:tcPr>
          <w:p w14:paraId="61E7EABE">
            <w:pPr>
              <w:pStyle w:val="42"/>
              <w:tabs>
                <w:tab w:val="left" w:pos="0"/>
              </w:tabs>
              <w:adjustRightInd w:val="0"/>
              <w:snapToGrid w:val="0"/>
              <w:ind w:left="0" w:firstLine="0" w:firstLineChars="0"/>
              <w:jc w:val="center"/>
              <w:rPr>
                <w:color w:val="auto"/>
                <w:kern w:val="0"/>
                <w:szCs w:val="21"/>
                <w:highlight w:val="none"/>
                <w:lang w:val="zh-CN" w:bidi="zh-CN"/>
              </w:rPr>
            </w:pPr>
            <w:r>
              <w:rPr>
                <w:rFonts w:hint="eastAsia"/>
                <w:color w:val="auto"/>
                <w:kern w:val="0"/>
                <w:szCs w:val="21"/>
                <w:highlight w:val="none"/>
                <w:lang w:val="en-US" w:eastAsia="zh-CN"/>
              </w:rPr>
              <w:t>《污水排入城镇下水道水质标准》（GB/T31962-2015）中表1A级标准</w:t>
            </w:r>
            <w:r>
              <w:rPr>
                <w:rFonts w:hint="eastAsia"/>
                <w:color w:val="auto"/>
                <w:kern w:val="0"/>
                <w:szCs w:val="21"/>
                <w:highlight w:val="none"/>
                <w:lang w:eastAsia="zh-CN"/>
              </w:rPr>
              <w:t>，</w:t>
            </w:r>
            <w:r>
              <w:rPr>
                <w:rFonts w:hint="eastAsia"/>
                <w:color w:val="auto"/>
                <w:kern w:val="0"/>
                <w:szCs w:val="21"/>
                <w:highlight w:val="none"/>
              </w:rPr>
              <w:t>核实去向</w:t>
            </w:r>
          </w:p>
        </w:tc>
      </w:tr>
      <w:tr w14:paraId="0B5C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2FF400D3">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50C38111">
            <w:pPr>
              <w:adjustRightInd w:val="0"/>
              <w:snapToGrid w:val="0"/>
              <w:jc w:val="center"/>
              <w:rPr>
                <w:snapToGrid w:val="0"/>
                <w:color w:val="auto"/>
                <w:kern w:val="0"/>
                <w:szCs w:val="21"/>
                <w:highlight w:val="none"/>
                <w:lang w:val="zh-CN"/>
              </w:rPr>
            </w:pPr>
            <w:r>
              <w:rPr>
                <w:rFonts w:hint="eastAsia"/>
                <w:snapToGrid w:val="0"/>
                <w:color w:val="auto"/>
                <w:kern w:val="0"/>
                <w:szCs w:val="21"/>
                <w:highlight w:val="none"/>
              </w:rPr>
              <w:t>水洗塔定排</w:t>
            </w:r>
          </w:p>
        </w:tc>
        <w:tc>
          <w:tcPr>
            <w:tcW w:w="0" w:type="auto"/>
            <w:vMerge w:val="continue"/>
            <w:vAlign w:val="center"/>
          </w:tcPr>
          <w:p w14:paraId="45BF2407">
            <w:pPr>
              <w:adjustRightInd w:val="0"/>
              <w:snapToGrid w:val="0"/>
              <w:jc w:val="center"/>
              <w:rPr>
                <w:color w:val="auto"/>
                <w:kern w:val="0"/>
                <w:szCs w:val="21"/>
                <w:highlight w:val="none"/>
                <w:lang w:bidi="zh-CN"/>
              </w:rPr>
            </w:pPr>
          </w:p>
        </w:tc>
        <w:tc>
          <w:tcPr>
            <w:tcW w:w="0" w:type="auto"/>
            <w:vMerge w:val="continue"/>
            <w:vAlign w:val="center"/>
          </w:tcPr>
          <w:p w14:paraId="0A534368">
            <w:pPr>
              <w:pStyle w:val="42"/>
              <w:tabs>
                <w:tab w:val="left" w:pos="0"/>
              </w:tabs>
              <w:adjustRightInd w:val="0"/>
              <w:snapToGrid w:val="0"/>
              <w:ind w:left="0" w:firstLine="0" w:firstLineChars="0"/>
              <w:jc w:val="center"/>
              <w:rPr>
                <w:color w:val="auto"/>
                <w:kern w:val="0"/>
                <w:szCs w:val="21"/>
                <w:highlight w:val="none"/>
                <w:lang w:val="zh-CN" w:bidi="zh-CN"/>
              </w:rPr>
            </w:pPr>
          </w:p>
        </w:tc>
      </w:tr>
      <w:tr w14:paraId="1729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4056FB3B">
            <w:pPr>
              <w:pStyle w:val="42"/>
              <w:tabs>
                <w:tab w:val="left" w:pos="0"/>
              </w:tabs>
              <w:adjustRightInd w:val="0"/>
              <w:snapToGrid w:val="0"/>
              <w:ind w:left="0" w:firstLine="0" w:firstLineChars="0"/>
              <w:jc w:val="center"/>
              <w:rPr>
                <w:color w:val="auto"/>
                <w:kern w:val="0"/>
                <w:szCs w:val="21"/>
                <w:highlight w:val="none"/>
              </w:rPr>
            </w:pPr>
          </w:p>
        </w:tc>
        <w:tc>
          <w:tcPr>
            <w:tcW w:w="0" w:type="auto"/>
            <w:shd w:val="clear" w:color="auto" w:fill="auto"/>
            <w:vAlign w:val="center"/>
          </w:tcPr>
          <w:p w14:paraId="7272460F">
            <w:pPr>
              <w:adjustRightInd w:val="0"/>
              <w:snapToGrid w:val="0"/>
              <w:jc w:val="center"/>
              <w:rPr>
                <w:snapToGrid w:val="0"/>
                <w:color w:val="auto"/>
                <w:kern w:val="0"/>
                <w:szCs w:val="21"/>
                <w:highlight w:val="none"/>
              </w:rPr>
            </w:pPr>
            <w:r>
              <w:rPr>
                <w:rFonts w:hint="eastAsia"/>
                <w:snapToGrid w:val="0"/>
                <w:color w:val="auto"/>
                <w:kern w:val="0"/>
                <w:szCs w:val="21"/>
                <w:highlight w:val="none"/>
              </w:rPr>
              <w:t>碱洗塔定排</w:t>
            </w:r>
          </w:p>
        </w:tc>
        <w:tc>
          <w:tcPr>
            <w:tcW w:w="0" w:type="auto"/>
            <w:vMerge w:val="continue"/>
            <w:vAlign w:val="center"/>
          </w:tcPr>
          <w:p w14:paraId="2DAA3BAF">
            <w:pPr>
              <w:adjustRightInd w:val="0"/>
              <w:snapToGrid w:val="0"/>
              <w:jc w:val="center"/>
              <w:rPr>
                <w:color w:val="auto"/>
                <w:kern w:val="0"/>
                <w:szCs w:val="21"/>
                <w:highlight w:val="none"/>
              </w:rPr>
            </w:pPr>
          </w:p>
        </w:tc>
        <w:tc>
          <w:tcPr>
            <w:tcW w:w="0" w:type="auto"/>
            <w:vMerge w:val="continue"/>
            <w:vAlign w:val="center"/>
          </w:tcPr>
          <w:p w14:paraId="751CAF11">
            <w:pPr>
              <w:pStyle w:val="42"/>
              <w:tabs>
                <w:tab w:val="left" w:pos="0"/>
              </w:tabs>
              <w:adjustRightInd w:val="0"/>
              <w:snapToGrid w:val="0"/>
              <w:ind w:left="0" w:firstLine="0" w:firstLineChars="0"/>
              <w:jc w:val="center"/>
              <w:rPr>
                <w:color w:val="auto"/>
                <w:kern w:val="0"/>
                <w:szCs w:val="21"/>
                <w:highlight w:val="none"/>
              </w:rPr>
            </w:pPr>
          </w:p>
        </w:tc>
      </w:tr>
      <w:tr w14:paraId="4E32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restart"/>
            <w:vAlign w:val="center"/>
          </w:tcPr>
          <w:p w14:paraId="1850E536">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固废</w:t>
            </w:r>
          </w:p>
        </w:tc>
        <w:tc>
          <w:tcPr>
            <w:tcW w:w="0" w:type="auto"/>
            <w:shd w:val="clear" w:color="auto" w:fill="auto"/>
            <w:vAlign w:val="center"/>
          </w:tcPr>
          <w:p w14:paraId="63120150">
            <w:pPr>
              <w:adjustRightInd w:val="0"/>
              <w:snapToGrid w:val="0"/>
              <w:jc w:val="center"/>
              <w:rPr>
                <w:snapToGrid w:val="0"/>
                <w:color w:val="auto"/>
                <w:kern w:val="0"/>
                <w:szCs w:val="21"/>
                <w:highlight w:val="none"/>
              </w:rPr>
            </w:pPr>
            <w:r>
              <w:rPr>
                <w:rFonts w:hint="eastAsia"/>
                <w:snapToGrid w:val="0"/>
                <w:color w:val="auto"/>
                <w:kern w:val="0"/>
                <w:szCs w:val="21"/>
                <w:highlight w:val="none"/>
              </w:rPr>
              <w:t>危险废物</w:t>
            </w:r>
          </w:p>
        </w:tc>
        <w:tc>
          <w:tcPr>
            <w:tcW w:w="0" w:type="auto"/>
            <w:vAlign w:val="center"/>
          </w:tcPr>
          <w:p w14:paraId="00EB44A1">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依托800m</w:t>
            </w:r>
            <w:r>
              <w:rPr>
                <w:rFonts w:hint="eastAsia"/>
                <w:color w:val="auto"/>
                <w:kern w:val="0"/>
                <w:szCs w:val="21"/>
                <w:highlight w:val="none"/>
                <w:vertAlign w:val="superscript"/>
              </w:rPr>
              <w:t>2</w:t>
            </w:r>
            <w:r>
              <w:rPr>
                <w:rFonts w:hint="eastAsia"/>
                <w:color w:val="auto"/>
                <w:kern w:val="0"/>
                <w:szCs w:val="21"/>
                <w:highlight w:val="none"/>
              </w:rPr>
              <w:t>危险废物贮存库暂存，</w:t>
            </w:r>
            <w:r>
              <w:rPr>
                <w:color w:val="auto"/>
                <w:kern w:val="0"/>
                <w:szCs w:val="21"/>
                <w:highlight w:val="none"/>
              </w:rPr>
              <w:t>委托有资质单位处理</w:t>
            </w:r>
          </w:p>
        </w:tc>
        <w:tc>
          <w:tcPr>
            <w:tcW w:w="0" w:type="auto"/>
            <w:vAlign w:val="center"/>
          </w:tcPr>
          <w:p w14:paraId="4773A2A2">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《危险废物贮存污染控制标准》（GB18597-2023）和《危险废物识别标志设置技术规范》（HJ1276-2022）</w:t>
            </w:r>
          </w:p>
        </w:tc>
      </w:tr>
      <w:tr w14:paraId="37D8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6EBEC70D">
            <w:pPr>
              <w:pStyle w:val="42"/>
              <w:tabs>
                <w:tab w:val="left" w:pos="0"/>
              </w:tabs>
              <w:adjustRightInd w:val="0"/>
              <w:snapToGrid w:val="0"/>
              <w:ind w:left="0" w:firstLine="0" w:firstLineChars="0"/>
              <w:jc w:val="center"/>
              <w:rPr>
                <w:color w:val="auto"/>
                <w:kern w:val="0"/>
                <w:szCs w:val="21"/>
                <w:highlight w:val="none"/>
              </w:rPr>
            </w:pPr>
          </w:p>
        </w:tc>
        <w:tc>
          <w:tcPr>
            <w:tcW w:w="0" w:type="auto"/>
            <w:vAlign w:val="center"/>
          </w:tcPr>
          <w:p w14:paraId="15573C52">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一般固废</w:t>
            </w:r>
          </w:p>
        </w:tc>
        <w:tc>
          <w:tcPr>
            <w:tcW w:w="0" w:type="auto"/>
            <w:vAlign w:val="center"/>
          </w:tcPr>
          <w:p w14:paraId="45E9A1F9">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菌体污泥定期清运至新疆融兴盛景城市服务有限公司填埋处置</w:t>
            </w:r>
          </w:p>
        </w:tc>
        <w:tc>
          <w:tcPr>
            <w:tcW w:w="0" w:type="auto"/>
            <w:vAlign w:val="center"/>
          </w:tcPr>
          <w:p w14:paraId="09D2F97E">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核实去向</w:t>
            </w:r>
          </w:p>
        </w:tc>
      </w:tr>
      <w:tr w14:paraId="41A5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Merge w:val="continue"/>
            <w:vAlign w:val="center"/>
          </w:tcPr>
          <w:p w14:paraId="5CFA9773">
            <w:pPr>
              <w:pStyle w:val="42"/>
              <w:tabs>
                <w:tab w:val="left" w:pos="0"/>
              </w:tabs>
              <w:adjustRightInd w:val="0"/>
              <w:snapToGrid w:val="0"/>
              <w:ind w:left="0" w:firstLine="0" w:firstLineChars="0"/>
              <w:jc w:val="center"/>
              <w:rPr>
                <w:color w:val="auto"/>
                <w:kern w:val="0"/>
                <w:szCs w:val="21"/>
                <w:highlight w:val="none"/>
              </w:rPr>
            </w:pPr>
          </w:p>
        </w:tc>
        <w:tc>
          <w:tcPr>
            <w:tcW w:w="0" w:type="auto"/>
            <w:vAlign w:val="center"/>
          </w:tcPr>
          <w:p w14:paraId="2C732445">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生活垃圾</w:t>
            </w:r>
          </w:p>
        </w:tc>
        <w:tc>
          <w:tcPr>
            <w:tcW w:w="0" w:type="auto"/>
            <w:vAlign w:val="center"/>
          </w:tcPr>
          <w:p w14:paraId="16AE4A69">
            <w:pPr>
              <w:pStyle w:val="18"/>
              <w:jc w:val="center"/>
              <w:rPr>
                <w:color w:val="auto"/>
                <w:kern w:val="0"/>
                <w:szCs w:val="21"/>
                <w:highlight w:val="none"/>
              </w:rPr>
            </w:pPr>
            <w:r>
              <w:rPr>
                <w:rFonts w:hint="eastAsia"/>
                <w:color w:val="auto"/>
                <w:highlight w:val="none"/>
                <w:lang w:val="en-US" w:eastAsia="zh-CN"/>
              </w:rPr>
              <w:t>厂区集中收集后，</w:t>
            </w:r>
            <w:r>
              <w:rPr>
                <w:color w:val="auto"/>
                <w:kern w:val="0"/>
                <w:szCs w:val="21"/>
                <w:highlight w:val="none"/>
              </w:rPr>
              <w:t>由环卫部门统一</w:t>
            </w:r>
            <w:r>
              <w:rPr>
                <w:rFonts w:hint="eastAsia"/>
                <w:color w:val="auto"/>
                <w:kern w:val="0"/>
                <w:szCs w:val="21"/>
                <w:highlight w:val="none"/>
                <w:lang w:val="en-US" w:eastAsia="zh-CN"/>
              </w:rPr>
              <w:t>清运</w:t>
            </w:r>
            <w:r>
              <w:rPr>
                <w:color w:val="auto"/>
                <w:kern w:val="0"/>
                <w:szCs w:val="21"/>
                <w:highlight w:val="none"/>
              </w:rPr>
              <w:t>处理</w:t>
            </w:r>
          </w:p>
        </w:tc>
        <w:tc>
          <w:tcPr>
            <w:tcW w:w="0" w:type="auto"/>
            <w:vAlign w:val="center"/>
          </w:tcPr>
          <w:p w14:paraId="493E5871">
            <w:pPr>
              <w:pStyle w:val="42"/>
              <w:tabs>
                <w:tab w:val="left" w:pos="0"/>
              </w:tabs>
              <w:adjustRightInd w:val="0"/>
              <w:snapToGrid w:val="0"/>
              <w:ind w:left="0" w:firstLine="0" w:firstLineChars="0"/>
              <w:jc w:val="center"/>
              <w:rPr>
                <w:color w:val="auto"/>
                <w:kern w:val="0"/>
                <w:szCs w:val="21"/>
                <w:highlight w:val="none"/>
              </w:rPr>
            </w:pPr>
            <w:r>
              <w:rPr>
                <w:rFonts w:hint="eastAsia"/>
                <w:color w:val="auto"/>
                <w:kern w:val="0"/>
                <w:szCs w:val="21"/>
                <w:highlight w:val="none"/>
              </w:rPr>
              <w:t>核实去向</w:t>
            </w:r>
          </w:p>
        </w:tc>
      </w:tr>
      <w:tr w14:paraId="4BAC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Align w:val="center"/>
          </w:tcPr>
          <w:p w14:paraId="02CECFE5">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噪声</w:t>
            </w:r>
          </w:p>
        </w:tc>
        <w:tc>
          <w:tcPr>
            <w:tcW w:w="0" w:type="auto"/>
            <w:shd w:val="clear" w:color="auto" w:fill="auto"/>
            <w:vAlign w:val="center"/>
          </w:tcPr>
          <w:p w14:paraId="12559AE1">
            <w:pPr>
              <w:adjustRightInd w:val="0"/>
              <w:snapToGrid w:val="0"/>
              <w:jc w:val="center"/>
              <w:rPr>
                <w:snapToGrid w:val="0"/>
                <w:color w:val="auto"/>
                <w:kern w:val="0"/>
                <w:szCs w:val="21"/>
                <w:highlight w:val="none"/>
              </w:rPr>
            </w:pPr>
            <w:r>
              <w:rPr>
                <w:rFonts w:hint="eastAsia"/>
                <w:snapToGrid w:val="0"/>
                <w:color w:val="auto"/>
                <w:kern w:val="0"/>
                <w:szCs w:val="21"/>
                <w:highlight w:val="none"/>
              </w:rPr>
              <w:t>泵、空压机、风机等</w:t>
            </w:r>
          </w:p>
        </w:tc>
        <w:tc>
          <w:tcPr>
            <w:tcW w:w="0" w:type="auto"/>
            <w:vAlign w:val="center"/>
          </w:tcPr>
          <w:p w14:paraId="431160D0">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采用低噪声设备、基础减振、采用消声器；</w:t>
            </w:r>
          </w:p>
        </w:tc>
        <w:tc>
          <w:tcPr>
            <w:tcW w:w="0" w:type="auto"/>
            <w:vAlign w:val="center"/>
          </w:tcPr>
          <w:p w14:paraId="6DA7B984">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《工业企业厂界环境噪声排放标准》（GB12348-2008）中的</w:t>
            </w:r>
            <w:r>
              <w:rPr>
                <w:rFonts w:hint="eastAsia"/>
                <w:color w:val="auto"/>
                <w:kern w:val="0"/>
                <w:szCs w:val="21"/>
                <w:highlight w:val="none"/>
              </w:rPr>
              <w:t>3</w:t>
            </w:r>
            <w:r>
              <w:rPr>
                <w:color w:val="auto"/>
                <w:kern w:val="0"/>
                <w:szCs w:val="21"/>
                <w:highlight w:val="none"/>
              </w:rPr>
              <w:t>类标准</w:t>
            </w:r>
          </w:p>
        </w:tc>
      </w:tr>
      <w:tr w14:paraId="5B21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vAlign w:val="center"/>
          </w:tcPr>
          <w:p w14:paraId="00F83E02">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地下水</w:t>
            </w:r>
          </w:p>
        </w:tc>
        <w:tc>
          <w:tcPr>
            <w:tcW w:w="0" w:type="auto"/>
            <w:vAlign w:val="center"/>
          </w:tcPr>
          <w:p w14:paraId="61C24BC9">
            <w:pPr>
              <w:pStyle w:val="42"/>
              <w:tabs>
                <w:tab w:val="left" w:pos="0"/>
              </w:tabs>
              <w:adjustRightInd w:val="0"/>
              <w:snapToGrid w:val="0"/>
              <w:ind w:left="0" w:firstLine="0" w:firstLineChars="0"/>
              <w:jc w:val="center"/>
              <w:rPr>
                <w:color w:val="auto"/>
                <w:kern w:val="0"/>
                <w:szCs w:val="21"/>
                <w:highlight w:val="none"/>
              </w:rPr>
            </w:pPr>
            <w:r>
              <w:rPr>
                <w:color w:val="auto"/>
                <w:kern w:val="0"/>
                <w:szCs w:val="21"/>
                <w:highlight w:val="none"/>
              </w:rPr>
              <w:t>防渗</w:t>
            </w:r>
          </w:p>
        </w:tc>
        <w:tc>
          <w:tcPr>
            <w:tcW w:w="0" w:type="auto"/>
            <w:vAlign w:val="center"/>
          </w:tcPr>
          <w:p w14:paraId="03E8735F">
            <w:pPr>
              <w:pStyle w:val="68"/>
              <w:adjustRightInd w:val="0"/>
              <w:snapToGrid w:val="0"/>
              <w:spacing w:line="240" w:lineRule="auto"/>
              <w:rPr>
                <w:color w:val="auto"/>
                <w:kern w:val="0"/>
                <w:highlight w:val="none"/>
              </w:rPr>
            </w:pPr>
            <w:r>
              <w:rPr>
                <w:rFonts w:hint="eastAsia"/>
                <w:color w:val="auto"/>
                <w:kern w:val="0"/>
                <w:highlight w:val="none"/>
              </w:rPr>
              <w:t>重点防渗区主要包括发酵装置区、提取装置区、罐区、活性炭再生装置区等；一般防渗区主要包括循环水泵房等；简单防渗区主要为动力站、中控室、配电室、厂区道路。</w:t>
            </w:r>
          </w:p>
        </w:tc>
        <w:tc>
          <w:tcPr>
            <w:tcW w:w="0" w:type="auto"/>
            <w:vAlign w:val="center"/>
          </w:tcPr>
          <w:p w14:paraId="2B28A269">
            <w:pPr>
              <w:pStyle w:val="68"/>
              <w:adjustRightInd w:val="0"/>
              <w:snapToGrid w:val="0"/>
              <w:spacing w:line="240" w:lineRule="auto"/>
              <w:rPr>
                <w:color w:val="auto"/>
                <w:kern w:val="0"/>
                <w:highlight w:val="none"/>
              </w:rPr>
            </w:pPr>
            <w:r>
              <w:rPr>
                <w:color w:val="auto"/>
                <w:kern w:val="0"/>
                <w:highlight w:val="none"/>
              </w:rPr>
              <w:t>满足《环境影响评价技术导则地下水环境》</w:t>
            </w:r>
            <w:r>
              <w:rPr>
                <w:rFonts w:hint="eastAsia"/>
                <w:color w:val="auto"/>
                <w:kern w:val="0"/>
                <w:highlight w:val="none"/>
              </w:rPr>
              <w:t>（</w:t>
            </w:r>
            <w:r>
              <w:rPr>
                <w:color w:val="auto"/>
                <w:kern w:val="0"/>
                <w:highlight w:val="none"/>
              </w:rPr>
              <w:t>HJ610-2016）和满足《地下水污染源防渗技术指南（试行）》（环办土壤函〔2020〕72号）要求</w:t>
            </w:r>
          </w:p>
        </w:tc>
      </w:tr>
      <w:tr w14:paraId="103A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0" w:type="auto"/>
            <w:gridSpan w:val="2"/>
            <w:vAlign w:val="center"/>
          </w:tcPr>
          <w:p w14:paraId="74124CD0">
            <w:pPr>
              <w:pStyle w:val="68"/>
              <w:adjustRightInd w:val="0"/>
              <w:snapToGrid w:val="0"/>
              <w:spacing w:line="240" w:lineRule="auto"/>
              <w:rPr>
                <w:color w:val="auto"/>
                <w:kern w:val="0"/>
                <w:highlight w:val="none"/>
              </w:rPr>
            </w:pPr>
            <w:r>
              <w:rPr>
                <w:color w:val="auto"/>
                <w:kern w:val="0"/>
                <w:highlight w:val="none"/>
              </w:rPr>
              <w:t>风险防范</w:t>
            </w:r>
          </w:p>
        </w:tc>
        <w:tc>
          <w:tcPr>
            <w:tcW w:w="0" w:type="auto"/>
            <w:vAlign w:val="center"/>
          </w:tcPr>
          <w:p w14:paraId="2D8A7236">
            <w:pPr>
              <w:pStyle w:val="68"/>
              <w:adjustRightInd w:val="0"/>
              <w:snapToGrid w:val="0"/>
              <w:spacing w:line="240" w:lineRule="auto"/>
              <w:rPr>
                <w:color w:val="auto"/>
                <w:kern w:val="0"/>
                <w:highlight w:val="none"/>
              </w:rPr>
            </w:pPr>
            <w:r>
              <w:rPr>
                <w:rFonts w:hint="eastAsia"/>
                <w:color w:val="auto"/>
                <w:kern w:val="0"/>
                <w:highlight w:val="none"/>
                <w:lang w:val="en-US" w:eastAsia="zh-CN"/>
              </w:rPr>
              <w:t>编制突发生态环境事件</w:t>
            </w:r>
            <w:r>
              <w:rPr>
                <w:rFonts w:hint="eastAsia"/>
                <w:color w:val="auto"/>
                <w:kern w:val="0"/>
                <w:highlight w:val="none"/>
              </w:rPr>
              <w:t>应急预案、防护设施、消防设施等</w:t>
            </w:r>
          </w:p>
        </w:tc>
        <w:tc>
          <w:tcPr>
            <w:tcW w:w="0" w:type="auto"/>
            <w:vAlign w:val="center"/>
          </w:tcPr>
          <w:p w14:paraId="53F75634">
            <w:pPr>
              <w:pStyle w:val="68"/>
              <w:adjustRightInd w:val="0"/>
              <w:snapToGrid w:val="0"/>
              <w:spacing w:line="240" w:lineRule="auto"/>
              <w:rPr>
                <w:color w:val="auto"/>
                <w:kern w:val="0"/>
                <w:highlight w:val="none"/>
              </w:rPr>
            </w:pPr>
            <w:r>
              <w:rPr>
                <w:color w:val="auto"/>
                <w:kern w:val="0"/>
                <w:highlight w:val="none"/>
              </w:rPr>
              <w:t>满足《建设项目环境风险评价技术导则》</w:t>
            </w:r>
            <w:r>
              <w:rPr>
                <w:rFonts w:hint="eastAsia"/>
                <w:color w:val="auto"/>
                <w:kern w:val="0"/>
                <w:highlight w:val="none"/>
              </w:rPr>
              <w:t>（</w:t>
            </w:r>
            <w:r>
              <w:rPr>
                <w:color w:val="auto"/>
                <w:kern w:val="0"/>
                <w:highlight w:val="none"/>
              </w:rPr>
              <w:t>HJ169-2018）要求</w:t>
            </w:r>
          </w:p>
        </w:tc>
      </w:tr>
    </w:tbl>
    <w:p w14:paraId="10473155">
      <w:pPr>
        <w:spacing w:line="460" w:lineRule="exact"/>
        <w:ind w:firstLine="480" w:firstLineChars="200"/>
        <w:rPr>
          <w:color w:val="auto"/>
          <w:sz w:val="24"/>
          <w:highlight w:val="none"/>
        </w:rPr>
        <w:sectPr>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pPr>
    </w:p>
    <w:p w14:paraId="4935794D">
      <w:pPr>
        <w:pStyle w:val="2"/>
        <w:spacing w:before="100" w:beforeAutospacing="1" w:after="100" w:afterAutospacing="1"/>
        <w:ind w:firstLine="0" w:firstLineChars="0"/>
        <w:rPr>
          <w:color w:val="auto"/>
          <w:highlight w:val="none"/>
        </w:rPr>
      </w:pPr>
      <w:bookmarkStart w:id="238" w:name="_Toc5550"/>
      <w:bookmarkStart w:id="239" w:name="_Toc27873"/>
      <w:r>
        <w:rPr>
          <w:rFonts w:hint="eastAsia"/>
          <w:color w:val="auto"/>
          <w:highlight w:val="none"/>
        </w:rPr>
        <w:t xml:space="preserve">10  </w:t>
      </w:r>
      <w:r>
        <w:rPr>
          <w:rFonts w:hint="eastAsia"/>
          <w:color w:val="auto"/>
          <w:highlight w:val="none"/>
          <w:lang w:val="en-US" w:eastAsia="zh-CN"/>
        </w:rPr>
        <w:t>生态</w:t>
      </w:r>
      <w:r>
        <w:rPr>
          <w:color w:val="auto"/>
          <w:highlight w:val="none"/>
        </w:rPr>
        <w:t>环境影响评价结论</w:t>
      </w:r>
      <w:bookmarkEnd w:id="238"/>
      <w:bookmarkEnd w:id="239"/>
    </w:p>
    <w:p w14:paraId="5102F906">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40" w:name="_Toc11726"/>
      <w:bookmarkStart w:id="241" w:name="_Toc20172"/>
      <w:r>
        <w:rPr>
          <w:rFonts w:hint="eastAsia" w:ascii="Times New Roman" w:hAnsi="Times New Roman" w:cs="Times New Roman"/>
          <w:b w:val="0"/>
          <w:bCs w:val="0"/>
          <w:snapToGrid w:val="0"/>
          <w:color w:val="auto"/>
          <w:kern w:val="0"/>
          <w:sz w:val="28"/>
          <w:szCs w:val="28"/>
          <w:highlight w:val="none"/>
          <w:lang w:val="en-US" w:eastAsia="zh-CN"/>
        </w:rPr>
        <w:t>10.1 结论</w:t>
      </w:r>
      <w:bookmarkEnd w:id="240"/>
      <w:bookmarkEnd w:id="241"/>
    </w:p>
    <w:p w14:paraId="29091DCC">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10.1.1 项目概况</w:t>
      </w:r>
    </w:p>
    <w:p w14:paraId="39228713">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（1）项目名称：</w:t>
      </w:r>
      <w:r>
        <w:rPr>
          <w:rFonts w:hint="eastAsia"/>
          <w:snapToGrid w:val="0"/>
          <w:color w:val="auto"/>
          <w:kern w:val="0"/>
          <w:sz w:val="24"/>
          <w:highlight w:val="none"/>
          <w:lang w:bidi="ar"/>
        </w:rPr>
        <w:t>凯赛（乌苏）生物材料有限公司生物法年产40000吨二元酸项目</w:t>
      </w:r>
      <w:r>
        <w:rPr>
          <w:rFonts w:hint="eastAsia"/>
          <w:snapToGrid w:val="0"/>
          <w:color w:val="auto"/>
          <w:kern w:val="0"/>
          <w:sz w:val="24"/>
          <w:highlight w:val="none"/>
          <w:lang w:bidi="en-US"/>
        </w:rPr>
        <w:t>；</w:t>
      </w:r>
    </w:p>
    <w:p w14:paraId="714340AA">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（2）建设单位：</w:t>
      </w:r>
      <w:r>
        <w:rPr>
          <w:rFonts w:hint="eastAsia"/>
          <w:snapToGrid w:val="0"/>
          <w:color w:val="auto"/>
          <w:kern w:val="0"/>
          <w:sz w:val="24"/>
          <w:highlight w:val="none"/>
          <w:lang w:bidi="ar"/>
        </w:rPr>
        <w:t>凯赛（乌苏）生物材料有限公司</w:t>
      </w:r>
      <w:r>
        <w:rPr>
          <w:rFonts w:hint="eastAsia"/>
          <w:snapToGrid w:val="0"/>
          <w:color w:val="auto"/>
          <w:kern w:val="0"/>
          <w:sz w:val="24"/>
          <w:highlight w:val="none"/>
          <w:lang w:bidi="en-US"/>
        </w:rPr>
        <w:t>；</w:t>
      </w:r>
    </w:p>
    <w:p w14:paraId="3C5CFC34">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（3）建设性质：新建；</w:t>
      </w:r>
    </w:p>
    <w:p w14:paraId="207133EB">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（4）行业类别：C2832生物基、淀粉基新材料制造</w:t>
      </w:r>
      <w:r>
        <w:rPr>
          <w:rFonts w:hint="eastAsia"/>
          <w:snapToGrid w:val="0"/>
          <w:color w:val="auto"/>
          <w:kern w:val="0"/>
          <w:sz w:val="24"/>
          <w:highlight w:val="none"/>
          <w:lang w:val="en-US" w:eastAsia="zh-CN" w:bidi="en-US"/>
        </w:rPr>
        <w:t>和</w:t>
      </w:r>
      <w:r>
        <w:rPr>
          <w:rFonts w:hint="eastAsia"/>
          <w:snapToGrid w:val="0"/>
          <w:color w:val="auto"/>
          <w:kern w:val="0"/>
          <w:sz w:val="24"/>
          <w:highlight w:val="none"/>
          <w:lang w:val="en-US" w:eastAsia="zh-CN"/>
        </w:rPr>
        <w:t>C2614有机化学原料制造</w:t>
      </w:r>
      <w:r>
        <w:rPr>
          <w:rFonts w:hint="eastAsia"/>
          <w:snapToGrid w:val="0"/>
          <w:color w:val="auto"/>
          <w:kern w:val="0"/>
          <w:sz w:val="24"/>
          <w:highlight w:val="none"/>
          <w:lang w:bidi="en-US"/>
        </w:rPr>
        <w:t>；</w:t>
      </w:r>
    </w:p>
    <w:p w14:paraId="340D25E5">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（5）项目代码：2604-654202-04-03-221969；</w:t>
      </w:r>
    </w:p>
    <w:p w14:paraId="34737190">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（6）建设地点：</w:t>
      </w:r>
      <w:r>
        <w:rPr>
          <w:rFonts w:hint="eastAsia"/>
          <w:snapToGrid w:val="0"/>
          <w:color w:val="auto"/>
          <w:kern w:val="0"/>
          <w:sz w:val="24"/>
          <w:highlight w:val="none"/>
          <w:lang w:bidi="ar"/>
        </w:rPr>
        <w:t>项目位于</w:t>
      </w:r>
      <w:r>
        <w:rPr>
          <w:rFonts w:hint="eastAsia"/>
          <w:snapToGrid w:val="0"/>
          <w:color w:val="auto"/>
          <w:kern w:val="0"/>
          <w:sz w:val="24"/>
          <w:highlight w:val="none"/>
          <w:lang w:val="fr-FR"/>
        </w:rPr>
        <w:t>乌苏市</w:t>
      </w:r>
      <w:r>
        <w:rPr>
          <w:rFonts w:hint="eastAsia"/>
          <w:snapToGrid w:val="0"/>
          <w:color w:val="auto"/>
          <w:kern w:val="0"/>
          <w:sz w:val="24"/>
          <w:highlight w:val="none"/>
        </w:rPr>
        <w:t>化工产业集中区凯赛（乌苏）生物材料有限公司厂区内，</w:t>
      </w:r>
      <w:r>
        <w:rPr>
          <w:rFonts w:hint="eastAsia"/>
          <w:snapToGrid w:val="0"/>
          <w:color w:val="auto"/>
          <w:kern w:val="0"/>
          <w:sz w:val="24"/>
          <w:highlight w:val="none"/>
          <w:lang w:bidi="ar"/>
        </w:rPr>
        <w:t>项目区西侧为厂区道路，隔路为变电站，东侧为东侧制糖及发酵车间及动力站，南侧和北侧为厂区空地，项目中心地理坐标为东经84</w:t>
      </w:r>
      <w:r>
        <w:rPr>
          <w:snapToGrid w:val="0"/>
          <w:color w:val="auto"/>
          <w:kern w:val="0"/>
          <w:sz w:val="24"/>
          <w:highlight w:val="none"/>
          <w:lang w:bidi="ar"/>
        </w:rPr>
        <w:t>°</w:t>
      </w:r>
      <w:r>
        <w:rPr>
          <w:rFonts w:hint="eastAsia"/>
          <w:snapToGrid w:val="0"/>
          <w:color w:val="auto"/>
          <w:kern w:val="0"/>
          <w:sz w:val="24"/>
          <w:highlight w:val="none"/>
          <w:lang w:bidi="ar"/>
        </w:rPr>
        <w:t>16</w:t>
      </w:r>
      <w:r>
        <w:rPr>
          <w:snapToGrid w:val="0"/>
          <w:color w:val="auto"/>
          <w:kern w:val="0"/>
          <w:sz w:val="24"/>
          <w:highlight w:val="none"/>
          <w:lang w:bidi="ar"/>
        </w:rPr>
        <w:t>'3</w:t>
      </w:r>
      <w:r>
        <w:rPr>
          <w:rFonts w:hint="eastAsia"/>
          <w:snapToGrid w:val="0"/>
          <w:color w:val="auto"/>
          <w:kern w:val="0"/>
          <w:sz w:val="24"/>
          <w:highlight w:val="none"/>
          <w:lang w:bidi="ar"/>
        </w:rPr>
        <w:t>7.267</w:t>
      </w:r>
      <w:r>
        <w:rPr>
          <w:snapToGrid w:val="0"/>
          <w:color w:val="auto"/>
          <w:kern w:val="0"/>
          <w:sz w:val="24"/>
          <w:highlight w:val="none"/>
          <w:lang w:bidi="ar"/>
        </w:rPr>
        <w:t>"</w:t>
      </w:r>
      <w:r>
        <w:rPr>
          <w:rFonts w:hint="eastAsia"/>
          <w:snapToGrid w:val="0"/>
          <w:color w:val="auto"/>
          <w:kern w:val="0"/>
          <w:sz w:val="24"/>
          <w:highlight w:val="none"/>
          <w:lang w:bidi="ar"/>
        </w:rPr>
        <w:t>，北纬</w:t>
      </w:r>
      <w:r>
        <w:rPr>
          <w:snapToGrid w:val="0"/>
          <w:color w:val="auto"/>
          <w:kern w:val="0"/>
          <w:sz w:val="24"/>
          <w:highlight w:val="none"/>
          <w:lang w:bidi="ar"/>
        </w:rPr>
        <w:t>44</w:t>
      </w:r>
      <w:r>
        <w:rPr>
          <w:rFonts w:hint="eastAsia"/>
          <w:snapToGrid w:val="0"/>
          <w:color w:val="auto"/>
          <w:kern w:val="0"/>
          <w:sz w:val="24"/>
          <w:highlight w:val="none"/>
          <w:lang w:bidi="ar"/>
        </w:rPr>
        <w:t>°20</w:t>
      </w:r>
      <w:r>
        <w:rPr>
          <w:snapToGrid w:val="0"/>
          <w:color w:val="auto"/>
          <w:kern w:val="0"/>
          <w:sz w:val="24"/>
          <w:highlight w:val="none"/>
          <w:lang w:bidi="ar"/>
        </w:rPr>
        <w:t>'</w:t>
      </w:r>
      <w:r>
        <w:rPr>
          <w:rFonts w:hint="eastAsia"/>
          <w:snapToGrid w:val="0"/>
          <w:color w:val="auto"/>
          <w:kern w:val="0"/>
          <w:sz w:val="24"/>
          <w:highlight w:val="none"/>
          <w:lang w:bidi="ar"/>
        </w:rPr>
        <w:t>8.779</w:t>
      </w:r>
      <w:r>
        <w:rPr>
          <w:rFonts w:hint="eastAsia"/>
          <w:snapToGrid w:val="0"/>
          <w:color w:val="auto"/>
          <w:kern w:val="0"/>
          <w:sz w:val="24"/>
          <w:highlight w:val="none"/>
          <w:lang w:eastAsia="zh-CN" w:bidi="ar"/>
        </w:rPr>
        <w:t>”</w:t>
      </w:r>
      <w:r>
        <w:rPr>
          <w:rFonts w:hint="eastAsia"/>
          <w:snapToGrid w:val="0"/>
          <w:color w:val="auto"/>
          <w:kern w:val="0"/>
          <w:sz w:val="24"/>
          <w:highlight w:val="none"/>
          <w:lang w:bidi="ar"/>
        </w:rPr>
        <w:t>。</w:t>
      </w:r>
    </w:p>
    <w:p w14:paraId="65016205">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（7）项目投资：</w:t>
      </w:r>
      <w:r>
        <w:rPr>
          <w:rFonts w:hint="eastAsia"/>
          <w:color w:val="auto"/>
          <w:sz w:val="24"/>
          <w:highlight w:val="none"/>
        </w:rPr>
        <w:t>本项目计划总投资123665万元，环保投资</w:t>
      </w:r>
      <w:r>
        <w:rPr>
          <w:rFonts w:hint="eastAsia"/>
          <w:color w:val="auto"/>
          <w:sz w:val="24"/>
          <w:highlight w:val="none"/>
          <w:lang w:eastAsia="zh-CN"/>
        </w:rPr>
        <w:t>1423</w:t>
      </w:r>
      <w:r>
        <w:rPr>
          <w:rFonts w:hint="eastAsia"/>
          <w:color w:val="auto"/>
          <w:sz w:val="24"/>
          <w:highlight w:val="none"/>
        </w:rPr>
        <w:t>万元，占总投资</w:t>
      </w:r>
      <w:r>
        <w:rPr>
          <w:rFonts w:hint="eastAsia"/>
          <w:color w:val="auto"/>
          <w:sz w:val="24"/>
          <w:highlight w:val="none"/>
          <w:lang w:eastAsia="zh-CN"/>
        </w:rPr>
        <w:t>1.15</w:t>
      </w:r>
      <w:r>
        <w:rPr>
          <w:rFonts w:hint="eastAsia"/>
          <w:color w:val="auto"/>
          <w:sz w:val="24"/>
          <w:highlight w:val="none"/>
        </w:rPr>
        <w:t>%</w:t>
      </w:r>
      <w:r>
        <w:rPr>
          <w:rFonts w:hint="eastAsia"/>
          <w:snapToGrid w:val="0"/>
          <w:color w:val="auto"/>
          <w:kern w:val="0"/>
          <w:sz w:val="24"/>
          <w:highlight w:val="none"/>
          <w:lang w:bidi="en-US"/>
        </w:rPr>
        <w:t>；</w:t>
      </w:r>
    </w:p>
    <w:p w14:paraId="274835C0">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（8）工程规模：建设年产4万吨</w:t>
      </w:r>
      <w:r>
        <w:rPr>
          <w:rFonts w:hint="eastAsia"/>
          <w:snapToGrid w:val="0"/>
          <w:color w:val="auto"/>
          <w:kern w:val="0"/>
          <w:sz w:val="24"/>
          <w:highlight w:val="none"/>
          <w:lang w:eastAsia="zh-CN" w:bidi="en-US"/>
        </w:rPr>
        <w:t>二元酸</w:t>
      </w:r>
      <w:r>
        <w:rPr>
          <w:rFonts w:hint="eastAsia"/>
          <w:snapToGrid w:val="0"/>
          <w:color w:val="auto"/>
          <w:kern w:val="0"/>
          <w:sz w:val="24"/>
          <w:highlight w:val="none"/>
          <w:lang w:bidi="en-US"/>
        </w:rPr>
        <w:t>生产线；</w:t>
      </w:r>
    </w:p>
    <w:p w14:paraId="018AC831">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（9）用地面积：本项目占地面积130000m</w:t>
      </w:r>
      <w:r>
        <w:rPr>
          <w:rFonts w:hint="eastAsia"/>
          <w:snapToGrid w:val="0"/>
          <w:color w:val="auto"/>
          <w:kern w:val="0"/>
          <w:sz w:val="24"/>
          <w:highlight w:val="none"/>
          <w:vertAlign w:val="superscript"/>
          <w:lang w:bidi="en-US"/>
        </w:rPr>
        <w:t>2</w:t>
      </w:r>
      <w:r>
        <w:rPr>
          <w:rFonts w:hint="eastAsia"/>
          <w:snapToGrid w:val="0"/>
          <w:color w:val="auto"/>
          <w:kern w:val="0"/>
          <w:sz w:val="24"/>
          <w:highlight w:val="none"/>
          <w:lang w:bidi="en-US"/>
        </w:rPr>
        <w:t>；</w:t>
      </w:r>
    </w:p>
    <w:p w14:paraId="4A0316D9">
      <w:pPr>
        <w:adjustRightInd w:val="0"/>
        <w:snapToGrid w:val="0"/>
        <w:spacing w:line="360" w:lineRule="auto"/>
        <w:ind w:firstLine="480" w:firstLineChars="200"/>
        <w:rPr>
          <w:snapToGrid w:val="0"/>
          <w:color w:val="auto"/>
          <w:kern w:val="0"/>
          <w:sz w:val="24"/>
          <w:highlight w:val="none"/>
          <w:lang w:bidi="en-US"/>
        </w:rPr>
      </w:pPr>
      <w:r>
        <w:rPr>
          <w:rFonts w:hint="eastAsia"/>
          <w:snapToGrid w:val="0"/>
          <w:color w:val="auto"/>
          <w:kern w:val="0"/>
          <w:sz w:val="24"/>
          <w:highlight w:val="none"/>
          <w:lang w:bidi="en-US"/>
        </w:rPr>
        <w:t>（10）劳动定员：本项目新增劳动定员72人；</w:t>
      </w:r>
      <w:r>
        <w:rPr>
          <w:rFonts w:hint="eastAsia"/>
          <w:snapToGrid w:val="0"/>
          <w:color w:val="auto"/>
          <w:kern w:val="0"/>
          <w:sz w:val="24"/>
          <w:highlight w:val="none"/>
          <w:lang w:bidi="ar"/>
        </w:rPr>
        <w:t>其中操作工、化验人员及其他专职技术人员68人，管理人员4人。</w:t>
      </w:r>
    </w:p>
    <w:p w14:paraId="57C000A2">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lang w:bidi="en-US"/>
        </w:rPr>
        <w:t>（11）工作制度：</w:t>
      </w:r>
      <w:r>
        <w:rPr>
          <w:rFonts w:hint="eastAsia"/>
          <w:snapToGrid w:val="0"/>
          <w:color w:val="auto"/>
          <w:kern w:val="0"/>
          <w:sz w:val="24"/>
          <w:highlight w:val="none"/>
          <w:lang w:bidi="ar"/>
        </w:rPr>
        <w:t>年工作</w:t>
      </w:r>
      <w:r>
        <w:rPr>
          <w:snapToGrid w:val="0"/>
          <w:color w:val="auto"/>
          <w:kern w:val="0"/>
          <w:sz w:val="24"/>
          <w:highlight w:val="none"/>
          <w:lang w:bidi="ar"/>
        </w:rPr>
        <w:t>8000h</w:t>
      </w:r>
      <w:r>
        <w:rPr>
          <w:rFonts w:hint="eastAsia"/>
          <w:snapToGrid w:val="0"/>
          <w:color w:val="auto"/>
          <w:kern w:val="0"/>
          <w:sz w:val="24"/>
          <w:highlight w:val="none"/>
          <w:lang w:bidi="ar"/>
        </w:rPr>
        <w:t>，生产车间、辅助生产车间人员均实行四班三运转连续工作制，每班日工作</w:t>
      </w:r>
      <w:r>
        <w:rPr>
          <w:snapToGrid w:val="0"/>
          <w:color w:val="auto"/>
          <w:kern w:val="0"/>
          <w:sz w:val="24"/>
          <w:highlight w:val="none"/>
          <w:lang w:bidi="ar"/>
        </w:rPr>
        <w:t>8</w:t>
      </w:r>
      <w:r>
        <w:rPr>
          <w:rFonts w:hint="eastAsia"/>
          <w:snapToGrid w:val="0"/>
          <w:color w:val="auto"/>
          <w:kern w:val="0"/>
          <w:sz w:val="24"/>
          <w:highlight w:val="none"/>
          <w:lang w:bidi="ar"/>
        </w:rPr>
        <w:t>小时；管理及维修为常白班制，全厂实行每周五天工作制，每天工作</w:t>
      </w:r>
      <w:r>
        <w:rPr>
          <w:snapToGrid w:val="0"/>
          <w:color w:val="auto"/>
          <w:kern w:val="0"/>
          <w:sz w:val="24"/>
          <w:highlight w:val="none"/>
          <w:lang w:bidi="ar"/>
        </w:rPr>
        <w:t>8</w:t>
      </w:r>
      <w:r>
        <w:rPr>
          <w:rFonts w:hint="eastAsia"/>
          <w:snapToGrid w:val="0"/>
          <w:color w:val="auto"/>
          <w:kern w:val="0"/>
          <w:sz w:val="24"/>
          <w:highlight w:val="none"/>
          <w:lang w:bidi="ar"/>
        </w:rPr>
        <w:t>小时。</w:t>
      </w:r>
    </w:p>
    <w:p w14:paraId="084DFCAB">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10.1.2环境质量现状</w:t>
      </w:r>
    </w:p>
    <w:p w14:paraId="2DD60513">
      <w:pPr>
        <w:adjustRightInd w:val="0"/>
        <w:snapToGrid w:val="0"/>
        <w:spacing w:line="360" w:lineRule="auto"/>
        <w:ind w:firstLine="480" w:firstLineChars="200"/>
        <w:rPr>
          <w:bCs/>
          <w:snapToGrid w:val="0"/>
          <w:color w:val="auto"/>
          <w:kern w:val="0"/>
          <w:sz w:val="24"/>
          <w:highlight w:val="none"/>
        </w:rPr>
      </w:pPr>
      <w:r>
        <w:rPr>
          <w:rFonts w:hint="eastAsia"/>
          <w:bCs/>
          <w:snapToGrid w:val="0"/>
          <w:color w:val="auto"/>
          <w:kern w:val="0"/>
          <w:sz w:val="24"/>
          <w:highlight w:val="none"/>
        </w:rPr>
        <w:t>（1）</w:t>
      </w:r>
      <w:r>
        <w:rPr>
          <w:bCs/>
          <w:snapToGrid w:val="0"/>
          <w:color w:val="auto"/>
          <w:kern w:val="0"/>
          <w:sz w:val="24"/>
          <w:highlight w:val="none"/>
        </w:rPr>
        <w:t>环境空气质量现状</w:t>
      </w:r>
    </w:p>
    <w:p w14:paraId="7CE63931">
      <w:pPr>
        <w:adjustRightInd w:val="0"/>
        <w:snapToGrid w:val="0"/>
        <w:spacing w:line="360" w:lineRule="auto"/>
        <w:ind w:firstLine="480" w:firstLineChars="200"/>
        <w:rPr>
          <w:snapToGrid w:val="0"/>
          <w:color w:val="auto"/>
          <w:kern w:val="0"/>
          <w:sz w:val="24"/>
          <w:highlight w:val="none"/>
        </w:rPr>
      </w:pPr>
      <w:r>
        <w:rPr>
          <w:rFonts w:hint="eastAsia"/>
          <w:snapToGrid w:val="0"/>
          <w:color w:val="auto"/>
          <w:kern w:val="0"/>
          <w:sz w:val="24"/>
          <w:highlight w:val="none"/>
        </w:rPr>
        <w:t>达标区判定：</w:t>
      </w:r>
      <w:r>
        <w:rPr>
          <w:rFonts w:hint="eastAsia"/>
          <w:color w:val="auto"/>
          <w:kern w:val="0"/>
          <w:sz w:val="24"/>
          <w:highlight w:val="none"/>
        </w:rPr>
        <w:t>项目所在</w:t>
      </w:r>
      <w:r>
        <w:rPr>
          <w:color w:val="auto"/>
          <w:kern w:val="0"/>
          <w:sz w:val="24"/>
          <w:highlight w:val="none"/>
          <w:lang w:val="de-DE"/>
        </w:rPr>
        <w:t>区域SO</w:t>
      </w:r>
      <w:r>
        <w:rPr>
          <w:color w:val="auto"/>
          <w:kern w:val="0"/>
          <w:sz w:val="24"/>
          <w:highlight w:val="none"/>
          <w:vertAlign w:val="subscript"/>
          <w:lang w:val="de-DE"/>
        </w:rPr>
        <w:t>2</w:t>
      </w:r>
      <w:r>
        <w:rPr>
          <w:rFonts w:hint="eastAsia"/>
          <w:color w:val="auto"/>
          <w:kern w:val="0"/>
          <w:sz w:val="24"/>
          <w:highlight w:val="none"/>
        </w:rPr>
        <w:t>及</w:t>
      </w:r>
      <w:r>
        <w:rPr>
          <w:color w:val="auto"/>
          <w:kern w:val="0"/>
          <w:sz w:val="24"/>
          <w:highlight w:val="none"/>
          <w:lang w:val="de-DE"/>
        </w:rPr>
        <w:t>NO</w:t>
      </w:r>
      <w:r>
        <w:rPr>
          <w:color w:val="auto"/>
          <w:kern w:val="0"/>
          <w:sz w:val="24"/>
          <w:highlight w:val="none"/>
          <w:vertAlign w:val="subscript"/>
          <w:lang w:val="de-DE"/>
        </w:rPr>
        <w:t>2</w:t>
      </w:r>
      <w:r>
        <w:rPr>
          <w:color w:val="auto"/>
          <w:kern w:val="0"/>
          <w:sz w:val="24"/>
          <w:highlight w:val="none"/>
          <w:lang w:val="de-DE"/>
        </w:rPr>
        <w:t>年均浓度和百分位数日均浓度</w:t>
      </w:r>
      <w:r>
        <w:rPr>
          <w:rFonts w:hint="eastAsia"/>
          <w:color w:val="auto"/>
          <w:kern w:val="0"/>
          <w:sz w:val="24"/>
          <w:highlight w:val="none"/>
          <w:lang w:val="de-DE"/>
        </w:rPr>
        <w:t>、</w:t>
      </w:r>
      <w:r>
        <w:rPr>
          <w:color w:val="auto"/>
          <w:kern w:val="0"/>
          <w:sz w:val="24"/>
          <w:highlight w:val="none"/>
          <w:lang w:val="de-DE"/>
        </w:rPr>
        <w:t>CO</w:t>
      </w:r>
      <w:r>
        <w:rPr>
          <w:rFonts w:hint="eastAsia"/>
          <w:color w:val="auto"/>
          <w:kern w:val="0"/>
          <w:sz w:val="24"/>
          <w:highlight w:val="none"/>
        </w:rPr>
        <w:t>百分位数日均浓度</w:t>
      </w:r>
      <w:r>
        <w:rPr>
          <w:color w:val="auto"/>
          <w:kern w:val="0"/>
          <w:sz w:val="24"/>
          <w:highlight w:val="none"/>
          <w:lang w:val="de-DE"/>
        </w:rPr>
        <w:t>、O</w:t>
      </w:r>
      <w:r>
        <w:rPr>
          <w:color w:val="auto"/>
          <w:kern w:val="0"/>
          <w:sz w:val="24"/>
          <w:highlight w:val="none"/>
          <w:vertAlign w:val="subscript"/>
          <w:lang w:val="de-DE"/>
        </w:rPr>
        <w:t>3</w:t>
      </w:r>
      <w:r>
        <w:rPr>
          <w:rFonts w:hint="eastAsia"/>
          <w:color w:val="auto"/>
          <w:kern w:val="0"/>
          <w:sz w:val="24"/>
          <w:highlight w:val="none"/>
        </w:rPr>
        <w:t>百分位数日均最大8小时浓度</w:t>
      </w:r>
      <w:r>
        <w:rPr>
          <w:color w:val="auto"/>
          <w:kern w:val="0"/>
          <w:sz w:val="24"/>
          <w:highlight w:val="none"/>
          <w:lang w:val="de-DE"/>
        </w:rPr>
        <w:t>均满足《环境空气质量标准》（GB3095-20</w:t>
      </w:r>
      <w:r>
        <w:rPr>
          <w:rFonts w:hint="eastAsia"/>
          <w:color w:val="auto"/>
          <w:kern w:val="0"/>
          <w:sz w:val="24"/>
          <w:highlight w:val="none"/>
        </w:rPr>
        <w:t>26</w:t>
      </w:r>
      <w:r>
        <w:rPr>
          <w:color w:val="auto"/>
          <w:kern w:val="0"/>
          <w:sz w:val="24"/>
          <w:highlight w:val="none"/>
          <w:lang w:val="de-DE"/>
        </w:rPr>
        <w:t>）</w:t>
      </w:r>
      <w:r>
        <w:rPr>
          <w:rFonts w:hint="eastAsia"/>
          <w:color w:val="auto"/>
          <w:kern w:val="0"/>
          <w:sz w:val="24"/>
          <w:highlight w:val="none"/>
        </w:rPr>
        <w:t>过渡阶段</w:t>
      </w:r>
      <w:r>
        <w:rPr>
          <w:color w:val="auto"/>
          <w:kern w:val="0"/>
          <w:sz w:val="24"/>
          <w:highlight w:val="none"/>
          <w:lang w:val="de-DE"/>
        </w:rPr>
        <w:t>二级标准</w:t>
      </w:r>
      <w:r>
        <w:rPr>
          <w:rFonts w:hint="eastAsia"/>
          <w:color w:val="auto"/>
          <w:kern w:val="0"/>
          <w:sz w:val="24"/>
          <w:highlight w:val="none"/>
        </w:rPr>
        <w:t>浓度限值</w:t>
      </w:r>
      <w:r>
        <w:rPr>
          <w:color w:val="auto"/>
          <w:kern w:val="0"/>
          <w:sz w:val="24"/>
          <w:highlight w:val="none"/>
          <w:lang w:val="de-DE"/>
        </w:rPr>
        <w:t>要求；PM</w:t>
      </w:r>
      <w:r>
        <w:rPr>
          <w:color w:val="auto"/>
          <w:kern w:val="0"/>
          <w:sz w:val="24"/>
          <w:highlight w:val="none"/>
          <w:vertAlign w:val="subscript"/>
          <w:lang w:val="de-DE"/>
        </w:rPr>
        <w:t>2.5</w:t>
      </w:r>
      <w:r>
        <w:rPr>
          <w:rFonts w:hint="eastAsia"/>
          <w:color w:val="auto"/>
          <w:kern w:val="0"/>
          <w:sz w:val="24"/>
          <w:highlight w:val="none"/>
          <w:lang w:val="de-DE"/>
        </w:rPr>
        <w:t>、</w:t>
      </w:r>
      <w:r>
        <w:rPr>
          <w:rFonts w:hint="eastAsia"/>
          <w:color w:val="auto"/>
          <w:kern w:val="0"/>
          <w:sz w:val="24"/>
          <w:highlight w:val="none"/>
        </w:rPr>
        <w:t>PM</w:t>
      </w:r>
      <w:r>
        <w:rPr>
          <w:rFonts w:hint="eastAsia"/>
          <w:color w:val="auto"/>
          <w:kern w:val="0"/>
          <w:sz w:val="24"/>
          <w:highlight w:val="none"/>
          <w:vertAlign w:val="subscript"/>
        </w:rPr>
        <w:t>10</w:t>
      </w:r>
      <w:r>
        <w:rPr>
          <w:color w:val="auto"/>
          <w:kern w:val="0"/>
          <w:sz w:val="24"/>
          <w:highlight w:val="none"/>
          <w:lang w:val="de-DE"/>
        </w:rPr>
        <w:t>的年均浓度满足《环境空气质量标准》（GB3095-20</w:t>
      </w:r>
      <w:r>
        <w:rPr>
          <w:rFonts w:hint="eastAsia"/>
          <w:color w:val="auto"/>
          <w:kern w:val="0"/>
          <w:sz w:val="24"/>
          <w:highlight w:val="none"/>
        </w:rPr>
        <w:t>26</w:t>
      </w:r>
      <w:r>
        <w:rPr>
          <w:color w:val="auto"/>
          <w:kern w:val="0"/>
          <w:sz w:val="24"/>
          <w:highlight w:val="none"/>
          <w:lang w:val="de-DE"/>
        </w:rPr>
        <w:t>）</w:t>
      </w:r>
      <w:r>
        <w:rPr>
          <w:rFonts w:hint="eastAsia"/>
          <w:color w:val="auto"/>
          <w:kern w:val="0"/>
          <w:sz w:val="24"/>
          <w:highlight w:val="none"/>
        </w:rPr>
        <w:t>过渡阶段</w:t>
      </w:r>
      <w:r>
        <w:rPr>
          <w:color w:val="auto"/>
          <w:kern w:val="0"/>
          <w:sz w:val="24"/>
          <w:highlight w:val="none"/>
          <w:lang w:val="de-DE"/>
        </w:rPr>
        <w:t>二级标准</w:t>
      </w:r>
      <w:r>
        <w:rPr>
          <w:rFonts w:hint="eastAsia"/>
          <w:color w:val="auto"/>
          <w:kern w:val="0"/>
          <w:sz w:val="24"/>
          <w:highlight w:val="none"/>
        </w:rPr>
        <w:t>浓度限值</w:t>
      </w:r>
      <w:r>
        <w:rPr>
          <w:color w:val="auto"/>
          <w:kern w:val="0"/>
          <w:sz w:val="24"/>
          <w:highlight w:val="none"/>
          <w:lang w:val="de-DE"/>
        </w:rPr>
        <w:t>要求</w:t>
      </w:r>
      <w:r>
        <w:rPr>
          <w:rFonts w:hint="eastAsia"/>
          <w:color w:val="auto"/>
          <w:kern w:val="0"/>
          <w:sz w:val="24"/>
          <w:highlight w:val="none"/>
          <w:lang w:val="de-DE"/>
        </w:rPr>
        <w:t>，</w:t>
      </w:r>
      <w:r>
        <w:rPr>
          <w:color w:val="auto"/>
          <w:kern w:val="0"/>
          <w:sz w:val="24"/>
          <w:highlight w:val="none"/>
          <w:lang w:val="de-DE"/>
        </w:rPr>
        <w:t>而百分位数日均浓度均超过《环境空气质量标准》（GB3095-20</w:t>
      </w:r>
      <w:r>
        <w:rPr>
          <w:rFonts w:hint="eastAsia"/>
          <w:color w:val="auto"/>
          <w:kern w:val="0"/>
          <w:sz w:val="24"/>
          <w:highlight w:val="none"/>
        </w:rPr>
        <w:t>26</w:t>
      </w:r>
      <w:r>
        <w:rPr>
          <w:color w:val="auto"/>
          <w:kern w:val="0"/>
          <w:sz w:val="24"/>
          <w:highlight w:val="none"/>
          <w:lang w:val="de-DE"/>
        </w:rPr>
        <w:t>）</w:t>
      </w:r>
      <w:r>
        <w:rPr>
          <w:rFonts w:hint="eastAsia"/>
          <w:color w:val="auto"/>
          <w:kern w:val="0"/>
          <w:sz w:val="24"/>
          <w:highlight w:val="none"/>
        </w:rPr>
        <w:t>过渡阶段</w:t>
      </w:r>
      <w:r>
        <w:rPr>
          <w:color w:val="auto"/>
          <w:kern w:val="0"/>
          <w:sz w:val="24"/>
          <w:highlight w:val="none"/>
          <w:lang w:val="de-DE"/>
        </w:rPr>
        <w:t>二级标准</w:t>
      </w:r>
      <w:r>
        <w:rPr>
          <w:rFonts w:hint="eastAsia"/>
          <w:color w:val="auto"/>
          <w:kern w:val="0"/>
          <w:sz w:val="24"/>
          <w:highlight w:val="none"/>
        </w:rPr>
        <w:t>浓度限值</w:t>
      </w:r>
      <w:r>
        <w:rPr>
          <w:color w:val="auto"/>
          <w:kern w:val="0"/>
          <w:sz w:val="24"/>
          <w:highlight w:val="none"/>
          <w:lang w:val="de-DE"/>
        </w:rPr>
        <w:t>要求</w:t>
      </w:r>
      <w:r>
        <w:rPr>
          <w:rFonts w:hint="eastAsia"/>
          <w:color w:val="auto"/>
          <w:kern w:val="0"/>
          <w:sz w:val="24"/>
          <w:highlight w:val="none"/>
          <w:lang w:val="de-DE"/>
        </w:rPr>
        <w:t>。</w:t>
      </w:r>
      <w:r>
        <w:rPr>
          <w:color w:val="auto"/>
          <w:kern w:val="0"/>
          <w:sz w:val="24"/>
          <w:highlight w:val="none"/>
          <w:lang w:val="de-DE"/>
        </w:rPr>
        <w:t>因此，本规划</w:t>
      </w:r>
      <w:r>
        <w:rPr>
          <w:rFonts w:hint="eastAsia"/>
          <w:color w:val="auto"/>
          <w:kern w:val="0"/>
          <w:sz w:val="24"/>
          <w:highlight w:val="none"/>
          <w:lang w:val="de-DE"/>
        </w:rPr>
        <w:t>评价</w:t>
      </w:r>
      <w:r>
        <w:rPr>
          <w:color w:val="auto"/>
          <w:kern w:val="0"/>
          <w:sz w:val="24"/>
          <w:highlight w:val="none"/>
          <w:lang w:val="de-DE"/>
        </w:rPr>
        <w:t>区域为</w:t>
      </w:r>
      <w:r>
        <w:rPr>
          <w:rFonts w:hint="eastAsia"/>
          <w:color w:val="auto"/>
          <w:kern w:val="0"/>
          <w:sz w:val="24"/>
          <w:highlight w:val="none"/>
          <w:lang w:val="de-DE"/>
        </w:rPr>
        <w:t>不</w:t>
      </w:r>
      <w:r>
        <w:rPr>
          <w:color w:val="auto"/>
          <w:kern w:val="0"/>
          <w:sz w:val="24"/>
          <w:highlight w:val="none"/>
          <w:lang w:val="de-DE"/>
        </w:rPr>
        <w:t>达标区域</w:t>
      </w:r>
      <w:r>
        <w:rPr>
          <w:rFonts w:hint="eastAsia"/>
          <w:color w:val="auto"/>
          <w:kern w:val="0"/>
          <w:sz w:val="24"/>
          <w:highlight w:val="none"/>
          <w:lang w:val="de-DE"/>
        </w:rPr>
        <w:t>。</w:t>
      </w:r>
    </w:p>
    <w:p w14:paraId="4FB7A08E">
      <w:pPr>
        <w:adjustRightInd w:val="0"/>
        <w:snapToGrid w:val="0"/>
        <w:spacing w:line="360" w:lineRule="auto"/>
        <w:ind w:firstLine="480" w:firstLineChars="200"/>
        <w:rPr>
          <w:color w:val="auto"/>
          <w:sz w:val="24"/>
          <w:highlight w:val="none"/>
        </w:rPr>
      </w:pPr>
      <w:r>
        <w:rPr>
          <w:rFonts w:hint="eastAsia"/>
          <w:color w:val="auto"/>
          <w:sz w:val="24"/>
          <w:highlight w:val="none"/>
        </w:rPr>
        <w:t>项目区域污染物环境质量现状评价：</w:t>
      </w:r>
      <w:r>
        <w:rPr>
          <w:color w:val="auto"/>
          <w:kern w:val="0"/>
          <w:sz w:val="24"/>
          <w:highlight w:val="none"/>
        </w:rPr>
        <w:t>区域内氨、硫化氢</w:t>
      </w:r>
      <w:r>
        <w:rPr>
          <w:rFonts w:hint="eastAsia"/>
          <w:color w:val="auto"/>
          <w:kern w:val="0"/>
          <w:sz w:val="24"/>
          <w:highlight w:val="none"/>
        </w:rPr>
        <w:t>、硫酸</w:t>
      </w:r>
      <w:r>
        <w:rPr>
          <w:color w:val="auto"/>
          <w:kern w:val="0"/>
          <w:sz w:val="24"/>
          <w:highlight w:val="none"/>
        </w:rPr>
        <w:t>满足《环境影响评价技术导则 大气环境》（HJ2.2-2018）中附录D要求；非甲烷总烃满足《大气污染物综合排放标准详解》要求</w:t>
      </w:r>
      <w:r>
        <w:rPr>
          <w:rFonts w:hint="eastAsia"/>
          <w:color w:val="auto"/>
          <w:kern w:val="0"/>
          <w:sz w:val="24"/>
          <w:highlight w:val="none"/>
        </w:rPr>
        <w:t>。</w:t>
      </w:r>
    </w:p>
    <w:p w14:paraId="301984C1">
      <w:pPr>
        <w:adjustRightInd w:val="0"/>
        <w:snapToGrid w:val="0"/>
        <w:spacing w:line="360" w:lineRule="auto"/>
        <w:ind w:firstLine="480" w:firstLineChars="200"/>
        <w:rPr>
          <w:color w:val="auto"/>
          <w:sz w:val="24"/>
          <w:highlight w:val="none"/>
        </w:rPr>
      </w:pPr>
      <w:r>
        <w:rPr>
          <w:rFonts w:hint="eastAsia"/>
          <w:color w:val="auto"/>
          <w:sz w:val="24"/>
          <w:highlight w:val="none"/>
        </w:rPr>
        <w:t>（2）地表水</w:t>
      </w:r>
    </w:p>
    <w:p w14:paraId="313808F9">
      <w:pPr>
        <w:adjustRightInd w:val="0"/>
        <w:snapToGrid w:val="0"/>
        <w:spacing w:line="360" w:lineRule="auto"/>
        <w:ind w:firstLine="480" w:firstLineChars="200"/>
        <w:rPr>
          <w:color w:val="auto"/>
          <w:sz w:val="24"/>
          <w:highlight w:val="none"/>
        </w:rPr>
      </w:pPr>
      <w:r>
        <w:rPr>
          <w:rFonts w:hint="eastAsia"/>
          <w:color w:val="auto"/>
          <w:sz w:val="24"/>
          <w:highlight w:val="none"/>
        </w:rPr>
        <w:t>本项目与地表水体没有直接联系，既不从地表水体取水，也不向其中排水。因此，本环评未进行地表水环境现状调查。</w:t>
      </w:r>
    </w:p>
    <w:p w14:paraId="3F8A4AF0">
      <w:pPr>
        <w:adjustRightInd w:val="0"/>
        <w:snapToGrid w:val="0"/>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地下水环境质量现状</w:t>
      </w:r>
    </w:p>
    <w:p w14:paraId="6EBCFA50">
      <w:pPr>
        <w:adjustRightInd w:val="0"/>
        <w:snapToGrid w:val="0"/>
        <w:spacing w:line="360" w:lineRule="auto"/>
        <w:ind w:firstLine="480" w:firstLineChars="200"/>
        <w:rPr>
          <w:color w:val="auto"/>
          <w:sz w:val="24"/>
          <w:highlight w:val="none"/>
        </w:rPr>
      </w:pPr>
      <w:r>
        <w:rPr>
          <w:rFonts w:hint="eastAsia"/>
          <w:color w:val="auto"/>
          <w:sz w:val="24"/>
          <w:highlight w:val="none"/>
        </w:rPr>
        <w:t>根据地下水环境现状监测结果可知，各监测点各项因子均满足《地下水质量标准》（GB/T14848-2017）Ⅲ类标准</w:t>
      </w:r>
      <w:r>
        <w:rPr>
          <w:rFonts w:hint="eastAsia"/>
          <w:snapToGrid w:val="0"/>
          <w:color w:val="auto"/>
          <w:kern w:val="0"/>
          <w:sz w:val="24"/>
          <w:highlight w:val="none"/>
        </w:rPr>
        <w:t>，区域地下水环境质量良好</w:t>
      </w:r>
      <w:r>
        <w:rPr>
          <w:rFonts w:hint="eastAsia"/>
          <w:color w:val="auto"/>
          <w:sz w:val="24"/>
          <w:highlight w:val="none"/>
        </w:rPr>
        <w:t>。</w:t>
      </w:r>
    </w:p>
    <w:p w14:paraId="1D4CBDE5">
      <w:pPr>
        <w:adjustRightInd w:val="0"/>
        <w:snapToGrid w:val="0"/>
        <w:spacing w:line="360" w:lineRule="auto"/>
        <w:ind w:firstLine="480" w:firstLineChars="200"/>
        <w:rPr>
          <w:color w:val="auto"/>
          <w:sz w:val="24"/>
          <w:highlight w:val="none"/>
        </w:rPr>
      </w:pPr>
      <w:r>
        <w:rPr>
          <w:rFonts w:hint="eastAsia"/>
          <w:color w:val="auto"/>
          <w:sz w:val="24"/>
          <w:highlight w:val="none"/>
        </w:rPr>
        <w:t>（4）</w:t>
      </w:r>
      <w:r>
        <w:rPr>
          <w:color w:val="auto"/>
          <w:sz w:val="24"/>
          <w:highlight w:val="none"/>
        </w:rPr>
        <w:t>声环境质量现状</w:t>
      </w:r>
    </w:p>
    <w:p w14:paraId="44B96BB2">
      <w:pPr>
        <w:adjustRightInd w:val="0"/>
        <w:snapToGrid w:val="0"/>
        <w:spacing w:line="360" w:lineRule="auto"/>
        <w:ind w:firstLine="480" w:firstLineChars="200"/>
        <w:rPr>
          <w:color w:val="auto"/>
          <w:sz w:val="24"/>
          <w:highlight w:val="none"/>
        </w:rPr>
      </w:pPr>
      <w:r>
        <w:rPr>
          <w:rFonts w:hint="eastAsia"/>
          <w:color w:val="auto"/>
          <w:sz w:val="24"/>
          <w:highlight w:val="none"/>
        </w:rPr>
        <w:t>项目厂界</w:t>
      </w:r>
      <w:r>
        <w:rPr>
          <w:color w:val="auto"/>
          <w:sz w:val="24"/>
          <w:highlight w:val="none"/>
        </w:rPr>
        <w:t>昼间及夜间噪声监测值均符合《声环境质量标准》（GB3096-2008）中的</w:t>
      </w:r>
      <w:r>
        <w:rPr>
          <w:rFonts w:hint="eastAsia"/>
          <w:color w:val="auto"/>
          <w:sz w:val="24"/>
          <w:highlight w:val="none"/>
        </w:rPr>
        <w:t>3</w:t>
      </w:r>
      <w:r>
        <w:rPr>
          <w:color w:val="auto"/>
          <w:sz w:val="24"/>
          <w:highlight w:val="none"/>
        </w:rPr>
        <w:t>类区标准限值，评价区域声环境质量较好。</w:t>
      </w:r>
    </w:p>
    <w:p w14:paraId="69C0433C">
      <w:pPr>
        <w:numPr>
          <w:ilvl w:val="0"/>
          <w:numId w:val="4"/>
        </w:numPr>
        <w:adjustRightInd w:val="0"/>
        <w:snapToGrid w:val="0"/>
        <w:spacing w:line="360" w:lineRule="auto"/>
        <w:ind w:firstLine="480" w:firstLineChars="200"/>
        <w:rPr>
          <w:color w:val="auto"/>
          <w:sz w:val="24"/>
          <w:highlight w:val="none"/>
        </w:rPr>
      </w:pPr>
      <w:r>
        <w:rPr>
          <w:rFonts w:hint="eastAsia"/>
          <w:color w:val="auto"/>
          <w:sz w:val="24"/>
          <w:highlight w:val="none"/>
        </w:rPr>
        <w:t>土壤环境质量现状</w:t>
      </w:r>
    </w:p>
    <w:p w14:paraId="2D071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highlight w:val="none"/>
        </w:rPr>
      </w:pPr>
      <w:r>
        <w:rPr>
          <w:color w:val="auto"/>
          <w:sz w:val="24"/>
          <w:highlight w:val="none"/>
        </w:rPr>
        <w:t>土壤现状监测结果表明：评价区域土壤各监测点监测结果均能达到《土壤环境质量 建设用地土壤污染风险管控标准（试行）》（GB36600-2018）第二类用地筛选值要求。</w:t>
      </w:r>
    </w:p>
    <w:p w14:paraId="66C1EF32">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10.1.3环境影响分析结论</w:t>
      </w:r>
    </w:p>
    <w:p w14:paraId="03A2A351">
      <w:pPr>
        <w:spacing w:line="360" w:lineRule="auto"/>
        <w:ind w:firstLine="480" w:firstLineChars="200"/>
        <w:rPr>
          <w:color w:val="auto"/>
          <w:sz w:val="24"/>
          <w:highlight w:val="none"/>
        </w:rPr>
      </w:pPr>
      <w:r>
        <w:rPr>
          <w:rFonts w:hint="eastAsia"/>
          <w:color w:val="auto"/>
          <w:sz w:val="24"/>
          <w:highlight w:val="none"/>
        </w:rPr>
        <w:t>（1）</w:t>
      </w:r>
      <w:r>
        <w:rPr>
          <w:color w:val="auto"/>
          <w:sz w:val="24"/>
          <w:highlight w:val="none"/>
        </w:rPr>
        <w:t>大气环境影响分析</w:t>
      </w:r>
      <w:r>
        <w:rPr>
          <w:rFonts w:hint="eastAsia"/>
          <w:color w:val="auto"/>
          <w:sz w:val="24"/>
          <w:highlight w:val="none"/>
        </w:rPr>
        <w:t>结论</w:t>
      </w:r>
    </w:p>
    <w:p w14:paraId="0083ED66">
      <w:pPr>
        <w:pStyle w:val="15"/>
        <w:spacing w:line="360" w:lineRule="auto"/>
        <w:ind w:firstLine="480" w:firstLineChars="200"/>
        <w:rPr>
          <w:rFonts w:ascii="Times New Roman" w:hAnsi="Times New Roman" w:cs="Times New Roman" w:eastAsiaTheme="minorEastAsia"/>
          <w:snapToGrid w:val="0"/>
          <w:color w:val="auto"/>
          <w:kern w:val="0"/>
          <w:sz w:val="24"/>
          <w:highlight w:val="none"/>
        </w:rPr>
      </w:pPr>
      <w:r>
        <w:rPr>
          <w:rFonts w:ascii="Times New Roman" w:hAnsi="Times New Roman" w:cs="Times New Roman" w:eastAsiaTheme="minorEastAsia"/>
          <w:snapToGrid w:val="0"/>
          <w:color w:val="auto"/>
          <w:kern w:val="0"/>
          <w:sz w:val="24"/>
          <w:highlight w:val="none"/>
        </w:rPr>
        <w:t>项目</w:t>
      </w:r>
      <w:r>
        <w:rPr>
          <w:rFonts w:hint="eastAsia" w:ascii="Times New Roman" w:hAnsi="Times New Roman" w:cs="Times New Roman" w:eastAsiaTheme="minorEastAsia"/>
          <w:snapToGrid w:val="0"/>
          <w:color w:val="auto"/>
          <w:kern w:val="0"/>
          <w:sz w:val="24"/>
          <w:highlight w:val="none"/>
        </w:rPr>
        <w:t>各类</w:t>
      </w:r>
      <w:r>
        <w:rPr>
          <w:rFonts w:ascii="Times New Roman" w:hAnsi="Times New Roman" w:cs="Times New Roman" w:eastAsiaTheme="minorEastAsia"/>
          <w:snapToGrid w:val="0"/>
          <w:color w:val="auto"/>
          <w:kern w:val="0"/>
          <w:sz w:val="24"/>
          <w:highlight w:val="none"/>
        </w:rPr>
        <w:t>废气</w:t>
      </w:r>
      <w:r>
        <w:rPr>
          <w:rFonts w:hint="eastAsia" w:ascii="Times New Roman" w:hAnsi="Times New Roman" w:cs="Times New Roman" w:eastAsiaTheme="minorEastAsia"/>
          <w:snapToGrid w:val="0"/>
          <w:color w:val="auto"/>
          <w:kern w:val="0"/>
          <w:sz w:val="24"/>
          <w:highlight w:val="none"/>
        </w:rPr>
        <w:t>经处理</w:t>
      </w:r>
      <w:r>
        <w:rPr>
          <w:rFonts w:ascii="Times New Roman" w:hAnsi="Times New Roman" w:cs="Times New Roman" w:eastAsiaTheme="minorEastAsia"/>
          <w:snapToGrid w:val="0"/>
          <w:color w:val="auto"/>
          <w:kern w:val="0"/>
          <w:sz w:val="24"/>
          <w:highlight w:val="none"/>
        </w:rPr>
        <w:t>后达标排放。本项目大气环境影响在各环保设施正常运行的情况下，对周围环境及各环境敏感点的影响在可接受范围内，长期性影响较小，其环境影响是可以接受的。</w:t>
      </w:r>
    </w:p>
    <w:p w14:paraId="6D05073B">
      <w:pPr>
        <w:spacing w:line="360" w:lineRule="auto"/>
        <w:ind w:firstLine="480" w:firstLineChars="200"/>
        <w:rPr>
          <w:snapToGrid w:val="0"/>
          <w:color w:val="auto"/>
          <w:kern w:val="0"/>
          <w:sz w:val="24"/>
          <w:highlight w:val="none"/>
        </w:rPr>
      </w:pPr>
      <w:r>
        <w:rPr>
          <w:rFonts w:hint="eastAsia"/>
          <w:snapToGrid w:val="0"/>
          <w:color w:val="auto"/>
          <w:kern w:val="0"/>
          <w:sz w:val="24"/>
          <w:highlight w:val="none"/>
        </w:rPr>
        <w:t>根据《环境影响评价技术导则 大气环境》（HJ 2.2-2018）中推荐的大气环境防护距离计算模式计算，本项目无需设置大气环境防护区域。</w:t>
      </w:r>
    </w:p>
    <w:p w14:paraId="040AA625">
      <w:pPr>
        <w:spacing w:line="360" w:lineRule="auto"/>
        <w:ind w:firstLine="480" w:firstLineChars="200"/>
        <w:rPr>
          <w:snapToGrid w:val="0"/>
          <w:color w:val="auto"/>
          <w:kern w:val="0"/>
          <w:sz w:val="24"/>
          <w:highlight w:val="none"/>
        </w:rPr>
      </w:pPr>
      <w:r>
        <w:rPr>
          <w:rFonts w:hint="eastAsia"/>
          <w:snapToGrid w:val="0"/>
          <w:color w:val="auto"/>
          <w:kern w:val="0"/>
          <w:sz w:val="24"/>
          <w:highlight w:val="none"/>
        </w:rPr>
        <w:t>（2）</w:t>
      </w:r>
      <w:r>
        <w:rPr>
          <w:snapToGrid w:val="0"/>
          <w:color w:val="auto"/>
          <w:kern w:val="0"/>
          <w:sz w:val="24"/>
          <w:highlight w:val="none"/>
        </w:rPr>
        <w:t>水环境影响分析</w:t>
      </w:r>
    </w:p>
    <w:p w14:paraId="4D16C675">
      <w:pPr>
        <w:spacing w:line="360" w:lineRule="auto"/>
        <w:ind w:firstLine="480" w:firstLineChars="200"/>
        <w:rPr>
          <w:color w:val="auto"/>
          <w:sz w:val="24"/>
          <w:highlight w:val="none"/>
        </w:rPr>
      </w:pPr>
      <w:r>
        <w:rPr>
          <w:rFonts w:hint="eastAsia"/>
          <w:color w:val="auto"/>
          <w:sz w:val="24"/>
          <w:highlight w:val="none"/>
        </w:rPr>
        <w:t>本项目发酵清洗废水、分离废水</w:t>
      </w:r>
      <w:r>
        <w:rPr>
          <w:rFonts w:hint="eastAsia" w:ascii="Times New Roman" w:hAnsi="Times New Roman" w:eastAsia="宋体" w:cs="Times New Roman"/>
          <w:color w:val="auto"/>
          <w:kern w:val="0"/>
          <w:sz w:val="24"/>
          <w:szCs w:val="24"/>
          <w:highlight w:val="none"/>
        </w:rPr>
        <w:t>经调节池调节</w:t>
      </w:r>
      <w:r>
        <w:rPr>
          <w:rFonts w:hint="eastAsia" w:ascii="Times New Roman" w:hAnsi="Times New Roman" w:eastAsia="宋体" w:cs="Times New Roman"/>
          <w:color w:val="auto"/>
          <w:kern w:val="0"/>
          <w:sz w:val="24"/>
          <w:szCs w:val="24"/>
          <w:highlight w:val="none"/>
          <w:lang w:val="en-US" w:eastAsia="zh-CN"/>
        </w:rPr>
        <w:t>后</w:t>
      </w:r>
      <w:r>
        <w:rPr>
          <w:rFonts w:hint="eastAsia"/>
          <w:color w:val="auto"/>
          <w:sz w:val="24"/>
          <w:highlight w:val="none"/>
          <w:lang w:val="en-US" w:eastAsia="zh-CN"/>
        </w:rPr>
        <w:t>排入</w:t>
      </w:r>
      <w:r>
        <w:rPr>
          <w:rFonts w:hint="eastAsia"/>
          <w:color w:val="auto"/>
          <w:sz w:val="24"/>
          <w:highlight w:val="none"/>
        </w:rPr>
        <w:t>西区污水处理厂</w:t>
      </w:r>
      <w:r>
        <w:rPr>
          <w:rFonts w:hint="eastAsia"/>
          <w:color w:val="auto"/>
          <w:sz w:val="24"/>
          <w:highlight w:val="none"/>
          <w:lang w:val="en-US" w:eastAsia="zh-CN"/>
        </w:rPr>
        <w:t>二</w:t>
      </w:r>
      <w:r>
        <w:rPr>
          <w:rFonts w:hint="eastAsia"/>
          <w:color w:val="auto"/>
          <w:sz w:val="24"/>
          <w:highlight w:val="none"/>
        </w:rPr>
        <w:t>期工程</w:t>
      </w:r>
      <w:r>
        <w:rPr>
          <w:rFonts w:hint="eastAsia"/>
          <w:color w:val="auto"/>
          <w:sz w:val="24"/>
          <w:highlight w:val="none"/>
          <w:lang w:eastAsia="zh-CN"/>
        </w:rPr>
        <w:t>；</w:t>
      </w:r>
      <w:r>
        <w:rPr>
          <w:rFonts w:hint="eastAsia"/>
          <w:color w:val="auto"/>
          <w:sz w:val="24"/>
          <w:highlight w:val="none"/>
        </w:rPr>
        <w:t>循环水排污依托现有污水处理站中水段</w:t>
      </w:r>
      <w:r>
        <w:rPr>
          <w:rFonts w:hint="eastAsia"/>
          <w:color w:val="auto"/>
          <w:sz w:val="24"/>
          <w:highlight w:val="none"/>
          <w:lang w:val="en-US" w:eastAsia="zh-CN"/>
        </w:rPr>
        <w:t>处理；</w:t>
      </w:r>
      <w:r>
        <w:rPr>
          <w:rFonts w:hint="eastAsia"/>
          <w:color w:val="auto"/>
          <w:sz w:val="24"/>
          <w:highlight w:val="none"/>
        </w:rPr>
        <w:t>生活污水</w:t>
      </w:r>
      <w:r>
        <w:rPr>
          <w:rFonts w:hint="eastAsia"/>
          <w:color w:val="auto"/>
          <w:sz w:val="24"/>
          <w:highlight w:val="none"/>
          <w:lang w:eastAsia="zh-CN"/>
        </w:rPr>
        <w:t>、</w:t>
      </w:r>
      <w:r>
        <w:rPr>
          <w:rFonts w:hint="eastAsia"/>
          <w:color w:val="auto"/>
          <w:sz w:val="24"/>
          <w:highlight w:val="none"/>
        </w:rPr>
        <w:t>水洗塔定排和碱洗塔定排</w:t>
      </w:r>
      <w:r>
        <w:rPr>
          <w:rFonts w:hint="eastAsia"/>
          <w:color w:val="auto"/>
          <w:sz w:val="24"/>
          <w:highlight w:val="none"/>
          <w:lang w:val="en-US" w:eastAsia="zh-CN"/>
        </w:rPr>
        <w:t>依托现有污水处理站生化段处理后</w:t>
      </w:r>
      <w:r>
        <w:rPr>
          <w:rFonts w:hint="eastAsia"/>
          <w:color w:val="auto"/>
          <w:sz w:val="24"/>
          <w:highlight w:val="none"/>
        </w:rPr>
        <w:t>排入西区污水处理厂</w:t>
      </w:r>
      <w:r>
        <w:rPr>
          <w:rFonts w:hint="eastAsia"/>
          <w:color w:val="auto"/>
          <w:sz w:val="24"/>
          <w:highlight w:val="none"/>
          <w:lang w:val="en-US" w:eastAsia="zh-CN"/>
        </w:rPr>
        <w:t>一</w:t>
      </w:r>
      <w:r>
        <w:rPr>
          <w:rFonts w:hint="eastAsia"/>
          <w:color w:val="auto"/>
          <w:sz w:val="24"/>
          <w:highlight w:val="none"/>
        </w:rPr>
        <w:t>期。</w:t>
      </w:r>
    </w:p>
    <w:p w14:paraId="71209A1B">
      <w:pPr>
        <w:spacing w:line="360" w:lineRule="auto"/>
        <w:ind w:firstLine="480" w:firstLineChars="200"/>
        <w:rPr>
          <w:color w:val="auto"/>
          <w:sz w:val="24"/>
          <w:highlight w:val="none"/>
        </w:rPr>
      </w:pPr>
      <w:r>
        <w:rPr>
          <w:rFonts w:hint="eastAsia"/>
          <w:color w:val="auto"/>
          <w:sz w:val="24"/>
          <w:highlight w:val="none"/>
        </w:rPr>
        <w:t>项目运行与地表水没有直接的水力联系，正常生产情况下，项目排水不会对水环境不利环境影响。仅在事故状态下对厂区地下水环境造成污染威胁，厂区内设有事故池，事故排水进入事故池，及时发现问题，及时处理。</w:t>
      </w:r>
    </w:p>
    <w:p w14:paraId="11C77B37">
      <w:pPr>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声环境影响分析</w:t>
      </w:r>
    </w:p>
    <w:p w14:paraId="3011D987">
      <w:pPr>
        <w:spacing w:line="360" w:lineRule="auto"/>
        <w:ind w:firstLine="480" w:firstLineChars="200"/>
        <w:rPr>
          <w:color w:val="auto"/>
          <w:sz w:val="24"/>
          <w:highlight w:val="none"/>
        </w:rPr>
      </w:pPr>
      <w:r>
        <w:rPr>
          <w:rFonts w:hint="eastAsia"/>
          <w:color w:val="auto"/>
          <w:sz w:val="24"/>
          <w:highlight w:val="none"/>
        </w:rPr>
        <w:t>根据噪声预测结果厂界昼间和夜间噪声贡献值及叠加值均能满足《工业企业厂界环境噪声排放标准》（GB12348-2008）3类（昼间65dB（A）、夜间55dB（A））排放限值，对周边环境影响较小。</w:t>
      </w:r>
    </w:p>
    <w:p w14:paraId="0CFECFAE">
      <w:pPr>
        <w:spacing w:line="360" w:lineRule="auto"/>
        <w:ind w:firstLine="480" w:firstLineChars="200"/>
        <w:rPr>
          <w:color w:val="auto"/>
          <w:sz w:val="24"/>
          <w:highlight w:val="none"/>
        </w:rPr>
      </w:pPr>
      <w:r>
        <w:rPr>
          <w:rFonts w:hint="eastAsia"/>
          <w:color w:val="auto"/>
          <w:sz w:val="24"/>
          <w:highlight w:val="none"/>
        </w:rPr>
        <w:t>（4）</w:t>
      </w:r>
      <w:r>
        <w:rPr>
          <w:color w:val="auto"/>
          <w:sz w:val="24"/>
          <w:highlight w:val="none"/>
        </w:rPr>
        <w:t>固体废弃物环境影响分析</w:t>
      </w:r>
    </w:p>
    <w:p w14:paraId="34D9E18B">
      <w:pPr>
        <w:spacing w:line="360" w:lineRule="auto"/>
        <w:ind w:firstLine="480" w:firstLineChars="200"/>
        <w:rPr>
          <w:color w:val="auto"/>
          <w:sz w:val="24"/>
          <w:highlight w:val="none"/>
        </w:rPr>
      </w:pPr>
      <w:r>
        <w:rPr>
          <w:rFonts w:hint="eastAsia"/>
          <w:color w:val="auto"/>
          <w:sz w:val="24"/>
          <w:highlight w:val="none"/>
        </w:rPr>
        <w:t>本项目产生的各类固废均采取了相应治理措施，各治理措施均符合现行环保要求，项目产生的各类固废通过采取的治理措施均达到了减量化、资源化、无害化处置，不会对项目区环境造成大的影响，因此治理措施可行。</w:t>
      </w:r>
    </w:p>
    <w:p w14:paraId="1535563D">
      <w:pPr>
        <w:spacing w:line="360" w:lineRule="auto"/>
        <w:ind w:firstLine="480" w:firstLineChars="200"/>
        <w:rPr>
          <w:color w:val="auto"/>
          <w:sz w:val="24"/>
          <w:highlight w:val="none"/>
        </w:rPr>
      </w:pPr>
      <w:r>
        <w:rPr>
          <w:rFonts w:hint="eastAsia"/>
          <w:color w:val="auto"/>
          <w:sz w:val="24"/>
          <w:highlight w:val="none"/>
        </w:rPr>
        <w:t>（5）生态环境影响分析结论</w:t>
      </w:r>
    </w:p>
    <w:p w14:paraId="104BDB27">
      <w:pPr>
        <w:spacing w:line="360" w:lineRule="auto"/>
        <w:ind w:firstLine="480" w:firstLineChars="200"/>
        <w:rPr>
          <w:color w:val="auto"/>
          <w:sz w:val="24"/>
          <w:highlight w:val="none"/>
        </w:rPr>
      </w:pPr>
      <w:r>
        <w:rPr>
          <w:rFonts w:hint="eastAsia"/>
          <w:color w:val="auto"/>
          <w:sz w:val="24"/>
          <w:highlight w:val="none"/>
        </w:rPr>
        <w:t>本项目在现厂区内进行建设，不会对生态环境造成新的破坏和污染，因此项目实施不会导致生态环境质量的降低，对生态环境影响较小。</w:t>
      </w:r>
    </w:p>
    <w:p w14:paraId="7C072F96">
      <w:pPr>
        <w:spacing w:line="360" w:lineRule="auto"/>
        <w:ind w:firstLine="480" w:firstLineChars="200"/>
        <w:rPr>
          <w:color w:val="auto"/>
          <w:sz w:val="24"/>
          <w:highlight w:val="none"/>
        </w:rPr>
      </w:pPr>
      <w:r>
        <w:rPr>
          <w:rFonts w:hint="eastAsia"/>
          <w:color w:val="auto"/>
          <w:sz w:val="24"/>
          <w:highlight w:val="none"/>
        </w:rPr>
        <w:t>（6）环境风险评价结论</w:t>
      </w:r>
    </w:p>
    <w:p w14:paraId="180F0493">
      <w:pPr>
        <w:spacing w:line="360" w:lineRule="auto"/>
        <w:ind w:firstLine="480" w:firstLineChars="200"/>
        <w:rPr>
          <w:color w:val="auto"/>
          <w:sz w:val="24"/>
          <w:highlight w:val="none"/>
        </w:rPr>
      </w:pPr>
      <w:r>
        <w:rPr>
          <w:rFonts w:hint="eastAsia"/>
          <w:color w:val="auto"/>
          <w:sz w:val="24"/>
          <w:highlight w:val="none"/>
        </w:rPr>
        <w:t>本项目采用成熟可靠的生产工艺和设备，采取了大气环境、水环境治理措施、依托厂区现有事故池等环境风险防范措施，通过采取以上措施，项目建成后可以有效防止泄漏</w:t>
      </w:r>
      <w:r>
        <w:rPr>
          <w:rFonts w:hint="eastAsia"/>
          <w:color w:val="auto"/>
          <w:sz w:val="24"/>
          <w:highlight w:val="none"/>
          <w:lang w:val="en-US" w:eastAsia="zh-CN"/>
        </w:rPr>
        <w:t>等</w:t>
      </w:r>
      <w:r>
        <w:rPr>
          <w:rFonts w:hint="eastAsia"/>
          <w:color w:val="auto"/>
          <w:sz w:val="24"/>
          <w:highlight w:val="none"/>
        </w:rPr>
        <w:t>事故的发生，一旦发生事故，依靠厂区内的安全环境防护设施和事故应急措施能及时控制事故，防止事故的蔓延。综上，在建设单位严格落实环评提出的各项防范措施和应急预案后，其环境风险可防可控，项目建设是可行的。</w:t>
      </w:r>
    </w:p>
    <w:p w14:paraId="4674657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10.1.4总量控制</w:t>
      </w:r>
    </w:p>
    <w:p w14:paraId="71E110B2">
      <w:pPr>
        <w:spacing w:line="360" w:lineRule="auto"/>
        <w:ind w:firstLine="480" w:firstLineChars="200"/>
        <w:rPr>
          <w:color w:val="auto"/>
          <w:sz w:val="24"/>
          <w:highlight w:val="none"/>
        </w:rPr>
      </w:pPr>
      <w:r>
        <w:rPr>
          <w:rFonts w:hint="eastAsia"/>
          <w:color w:val="auto"/>
          <w:sz w:val="24"/>
          <w:highlight w:val="none"/>
          <w:lang w:eastAsia="zh-CN"/>
        </w:rPr>
        <w:t>根据</w:t>
      </w:r>
      <w:r>
        <w:rPr>
          <w:rFonts w:hint="eastAsia"/>
          <w:color w:val="auto"/>
          <w:sz w:val="24"/>
          <w:highlight w:val="none"/>
        </w:rPr>
        <w:t>建设项目总量污染物排放情况分析，本项目废水依托</w:t>
      </w:r>
      <w:r>
        <w:rPr>
          <w:rFonts w:hint="eastAsia"/>
          <w:color w:val="auto"/>
          <w:sz w:val="24"/>
          <w:highlight w:val="none"/>
          <w:lang w:val="en-US" w:eastAsia="zh-CN"/>
        </w:rPr>
        <w:t>厂区污水处理设施和</w:t>
      </w:r>
      <w:r>
        <w:rPr>
          <w:rFonts w:hint="eastAsia"/>
          <w:color w:val="auto"/>
          <w:sz w:val="24"/>
          <w:highlight w:val="none"/>
        </w:rPr>
        <w:t>园区污水处理厂处理，不直接申请外排环境的总量指标。</w:t>
      </w:r>
    </w:p>
    <w:p w14:paraId="57E683CF">
      <w:pPr>
        <w:spacing w:line="360" w:lineRule="auto"/>
        <w:ind w:firstLine="480" w:firstLineChars="200"/>
        <w:rPr>
          <w:color w:val="auto"/>
          <w:sz w:val="24"/>
          <w:highlight w:val="none"/>
        </w:rPr>
      </w:pPr>
      <w:r>
        <w:rPr>
          <w:color w:val="auto"/>
          <w:sz w:val="24"/>
          <w:highlight w:val="none"/>
        </w:rPr>
        <w:t>本项目新增氮氧化物</w:t>
      </w:r>
      <w:r>
        <w:rPr>
          <w:rFonts w:hint="eastAsia"/>
          <w:color w:val="auto"/>
          <w:sz w:val="24"/>
          <w:highlight w:val="none"/>
          <w:lang w:val="en-US" w:eastAsia="zh-CN"/>
        </w:rPr>
        <w:t>3.28</w:t>
      </w:r>
      <w:r>
        <w:rPr>
          <w:rFonts w:hint="eastAsia"/>
          <w:color w:val="auto"/>
          <w:sz w:val="24"/>
          <w:highlight w:val="none"/>
        </w:rPr>
        <w:t>t/a</w:t>
      </w:r>
      <w:r>
        <w:rPr>
          <w:color w:val="auto"/>
          <w:sz w:val="24"/>
          <w:highlight w:val="none"/>
        </w:rPr>
        <w:t>、VOCs</w:t>
      </w:r>
      <w:r>
        <w:rPr>
          <w:rFonts w:hint="eastAsia"/>
          <w:color w:val="auto"/>
          <w:sz w:val="24"/>
          <w:highlight w:val="none"/>
        </w:rPr>
        <w:t xml:space="preserve"> </w:t>
      </w:r>
      <w:r>
        <w:rPr>
          <w:rFonts w:hint="eastAsia"/>
          <w:color w:val="auto"/>
          <w:sz w:val="24"/>
          <w:highlight w:val="none"/>
          <w:lang w:val="en-US" w:eastAsia="zh-CN"/>
        </w:rPr>
        <w:t>2.56</w:t>
      </w:r>
      <w:r>
        <w:rPr>
          <w:rFonts w:hint="eastAsia"/>
          <w:color w:val="auto"/>
          <w:sz w:val="24"/>
          <w:highlight w:val="none"/>
        </w:rPr>
        <w:t>t/a</w:t>
      </w:r>
      <w:r>
        <w:rPr>
          <w:color w:val="auto"/>
          <w:sz w:val="24"/>
          <w:highlight w:val="none"/>
        </w:rPr>
        <w:t>，</w:t>
      </w:r>
      <w:r>
        <w:rPr>
          <w:rFonts w:hint="eastAsia"/>
          <w:color w:val="auto"/>
          <w:sz w:val="24"/>
          <w:highlight w:val="none"/>
        </w:rPr>
        <w:t>新增排放的氮氧化物、非甲烷总烃这2项污染指标的许可总量从企业内部划拨，不重新申请总量。</w:t>
      </w:r>
    </w:p>
    <w:p w14:paraId="42C5215F">
      <w:pPr>
        <w:pStyle w:val="5"/>
        <w:keepNext w:val="0"/>
        <w:keepLines w:val="0"/>
        <w:pageBreakBefore w:val="0"/>
        <w:widowControl w:val="0"/>
        <w:kinsoku/>
        <w:wordWrap/>
        <w:overflowPunct/>
        <w:topLinePunct w:val="0"/>
        <w:autoSpaceDE/>
        <w:autoSpaceDN/>
        <w:bidi w:val="0"/>
        <w:adjustRightInd w:val="0"/>
        <w:snapToGrid w:val="0"/>
        <w:spacing w:before="0" w:line="360" w:lineRule="auto"/>
        <w:ind w:left="0" w:firstLine="0"/>
        <w:textAlignment w:val="baseline"/>
        <w:rPr>
          <w:rFonts w:hint="eastAsia" w:ascii="Times New Roman" w:hAnsi="Times New Roman" w:cs="Times New Roman"/>
          <w:snapToGrid w:val="0"/>
          <w:color w:val="auto"/>
          <w:spacing w:val="0"/>
          <w:kern w:val="0"/>
          <w:szCs w:val="24"/>
          <w:highlight w:val="none"/>
          <w:lang w:val="en-US" w:eastAsia="zh-CN"/>
        </w:rPr>
      </w:pPr>
      <w:r>
        <w:rPr>
          <w:rFonts w:hint="eastAsia" w:ascii="Times New Roman" w:hAnsi="Times New Roman" w:cs="Times New Roman"/>
          <w:snapToGrid w:val="0"/>
          <w:color w:val="auto"/>
          <w:spacing w:val="0"/>
          <w:kern w:val="0"/>
          <w:szCs w:val="24"/>
          <w:highlight w:val="none"/>
          <w:lang w:val="en-US" w:eastAsia="zh-CN"/>
        </w:rPr>
        <w:t>10.1.5公众参与</w:t>
      </w:r>
    </w:p>
    <w:p w14:paraId="28FBB2C5">
      <w:pPr>
        <w:spacing w:line="360" w:lineRule="auto"/>
        <w:ind w:firstLine="480" w:firstLineChars="200"/>
        <w:rPr>
          <w:color w:val="auto"/>
          <w:sz w:val="24"/>
          <w:highlight w:val="none"/>
        </w:rPr>
      </w:pPr>
      <w:r>
        <w:rPr>
          <w:rFonts w:hint="eastAsia"/>
          <w:color w:val="auto"/>
          <w:sz w:val="24"/>
          <w:highlight w:val="none"/>
        </w:rPr>
        <w:t>根据建设单位组织的公众参与调查资料，建设单位严格按照《环境影响评价公众参与办法》的规定，通过网上公示、报纸刊登等方式收集当地公众意见，调查结果表明：公示期间未收到与本项目环境影响和环境保护措施有关的建议和意见，当地民众不反对项目的建设。</w:t>
      </w:r>
    </w:p>
    <w:p w14:paraId="6306A342">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42" w:name="_Toc1990"/>
      <w:bookmarkStart w:id="243" w:name="_Toc3196"/>
      <w:r>
        <w:rPr>
          <w:rFonts w:hint="eastAsia" w:ascii="Times New Roman" w:hAnsi="Times New Roman" w:cs="Times New Roman"/>
          <w:b w:val="0"/>
          <w:bCs w:val="0"/>
          <w:snapToGrid w:val="0"/>
          <w:color w:val="auto"/>
          <w:kern w:val="0"/>
          <w:sz w:val="28"/>
          <w:szCs w:val="28"/>
          <w:highlight w:val="none"/>
          <w:lang w:val="en-US" w:eastAsia="zh-CN"/>
        </w:rPr>
        <w:t>10.2 综合评价结论</w:t>
      </w:r>
      <w:bookmarkEnd w:id="242"/>
      <w:bookmarkEnd w:id="243"/>
    </w:p>
    <w:p w14:paraId="342A7B97">
      <w:pPr>
        <w:autoSpaceDE w:val="0"/>
        <w:autoSpaceDN w:val="0"/>
        <w:spacing w:line="360" w:lineRule="auto"/>
        <w:ind w:firstLine="480" w:firstLineChars="200"/>
        <w:rPr>
          <w:color w:val="auto"/>
          <w:sz w:val="24"/>
          <w:highlight w:val="none"/>
        </w:rPr>
      </w:pPr>
      <w:r>
        <w:rPr>
          <w:rFonts w:hint="eastAsia"/>
          <w:color w:val="auto"/>
          <w:sz w:val="24"/>
          <w:highlight w:val="none"/>
        </w:rPr>
        <w:t>本次项目符合国家产业政策、选址基本合理、生产工艺满足清洁生产要求、污染物的防治措施在技术上和经济上可行，能实现达标排放和总量控制的要求。环境影响评价的结果表明，项目在正常生产和污染防治设施正常运行的情况下，项目的污染物排放对环境的影响较小，基本不改变当地环境质量现状和功能要求。</w:t>
      </w:r>
    </w:p>
    <w:p w14:paraId="2F9AC95D">
      <w:pPr>
        <w:autoSpaceDE w:val="0"/>
        <w:autoSpaceDN w:val="0"/>
        <w:spacing w:line="360" w:lineRule="auto"/>
        <w:ind w:firstLine="480" w:firstLineChars="200"/>
        <w:rPr>
          <w:color w:val="auto"/>
          <w:sz w:val="24"/>
          <w:highlight w:val="none"/>
        </w:rPr>
      </w:pPr>
      <w:r>
        <w:rPr>
          <w:rFonts w:hint="eastAsia"/>
          <w:color w:val="auto"/>
          <w:sz w:val="24"/>
          <w:highlight w:val="none"/>
        </w:rPr>
        <w:t>本评价认为，项目在设计和运行时应严格执行安全生产的各项规章制度，修编突发环境事件应急预案，配套相应的安全防范措施，杜绝事故对环境产生的风险。项目建设过程中应严格认真执行环境保护“三同时”制度，切实落实本报告书各项污染防治措施和环境管理措施，确保各类污染物稳定达标排放和污染物排放总量控制。在此基础上，本项目的建设在环境保护方面是可行的。</w:t>
      </w:r>
    </w:p>
    <w:p w14:paraId="1578836E">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both"/>
        <w:textAlignment w:val="baseline"/>
        <w:rPr>
          <w:rFonts w:hint="eastAsia" w:ascii="Times New Roman" w:hAnsi="Times New Roman" w:cs="Times New Roman"/>
          <w:b w:val="0"/>
          <w:bCs w:val="0"/>
          <w:snapToGrid w:val="0"/>
          <w:color w:val="auto"/>
          <w:kern w:val="0"/>
          <w:sz w:val="28"/>
          <w:szCs w:val="28"/>
          <w:highlight w:val="none"/>
          <w:lang w:val="en-US" w:eastAsia="zh-CN"/>
        </w:rPr>
      </w:pPr>
      <w:bookmarkStart w:id="244" w:name="_Toc20439"/>
      <w:bookmarkStart w:id="245" w:name="_Toc23809"/>
      <w:r>
        <w:rPr>
          <w:rFonts w:hint="eastAsia" w:ascii="Times New Roman" w:hAnsi="Times New Roman" w:cs="Times New Roman"/>
          <w:b w:val="0"/>
          <w:bCs w:val="0"/>
          <w:snapToGrid w:val="0"/>
          <w:color w:val="auto"/>
          <w:kern w:val="0"/>
          <w:sz w:val="28"/>
          <w:szCs w:val="28"/>
          <w:highlight w:val="none"/>
          <w:lang w:val="en-US" w:eastAsia="zh-CN"/>
        </w:rPr>
        <w:t>10.3 建议</w:t>
      </w:r>
      <w:bookmarkEnd w:id="244"/>
      <w:bookmarkEnd w:id="245"/>
    </w:p>
    <w:p w14:paraId="522487EE">
      <w:pPr>
        <w:spacing w:line="360" w:lineRule="auto"/>
        <w:ind w:firstLine="480" w:firstLineChars="200"/>
        <w:rPr>
          <w:color w:val="auto"/>
          <w:sz w:val="24"/>
          <w:highlight w:val="none"/>
        </w:rPr>
      </w:pPr>
      <w:r>
        <w:rPr>
          <w:rFonts w:hint="eastAsia"/>
          <w:color w:val="auto"/>
          <w:sz w:val="24"/>
          <w:highlight w:val="none"/>
        </w:rPr>
        <w:t>根据项目的污染特征、环境特点和环境影响评价结果，本次评价要求如下：</w:t>
      </w:r>
    </w:p>
    <w:p w14:paraId="627564F1">
      <w:pPr>
        <w:spacing w:line="360" w:lineRule="auto"/>
        <w:ind w:firstLine="480" w:firstLineChars="200"/>
        <w:rPr>
          <w:color w:val="auto"/>
          <w:sz w:val="24"/>
          <w:highlight w:val="none"/>
        </w:rPr>
      </w:pPr>
      <w:r>
        <w:rPr>
          <w:rFonts w:hint="eastAsia"/>
          <w:color w:val="auto"/>
          <w:sz w:val="24"/>
          <w:highlight w:val="none"/>
        </w:rPr>
        <w:t>（1）</w:t>
      </w:r>
      <w:r>
        <w:rPr>
          <w:rFonts w:hAnsi="宋体"/>
          <w:color w:val="auto"/>
          <w:sz w:val="24"/>
          <w:highlight w:val="none"/>
        </w:rPr>
        <w:t>厂内按装置区要求做好防渗处理，确保地下水不受污染。</w:t>
      </w:r>
    </w:p>
    <w:p w14:paraId="0F9495BE">
      <w:pPr>
        <w:spacing w:line="360" w:lineRule="auto"/>
        <w:ind w:firstLine="480" w:firstLineChars="200"/>
        <w:rPr>
          <w:color w:val="auto"/>
          <w:sz w:val="24"/>
          <w:highlight w:val="none"/>
        </w:rPr>
      </w:pPr>
      <w:r>
        <w:rPr>
          <w:rFonts w:hint="eastAsia"/>
          <w:color w:val="auto"/>
          <w:sz w:val="24"/>
          <w:highlight w:val="none"/>
        </w:rPr>
        <w:t>（2）加强生产设施及污染防治设施运行的管理，定期对污染防治设施进行保养检修，确保污染物达标排放，避免污染事故发生。</w:t>
      </w:r>
    </w:p>
    <w:p w14:paraId="7C51E5F5">
      <w:pPr>
        <w:spacing w:line="360" w:lineRule="auto"/>
        <w:ind w:firstLine="480" w:firstLineChars="200"/>
        <w:rPr>
          <w:color w:val="auto"/>
          <w:sz w:val="24"/>
          <w:highlight w:val="none"/>
        </w:rPr>
      </w:pPr>
      <w:r>
        <w:rPr>
          <w:rFonts w:hint="eastAsia"/>
          <w:color w:val="auto"/>
          <w:sz w:val="24"/>
          <w:highlight w:val="none"/>
        </w:rPr>
        <w:t>（3）危险废物严格按照《危险废物污染防治技术政策》《危险废物贮存污染控制标准》《危险废物转移联单管理办法》及其他有关规定要求进行管理。</w:t>
      </w:r>
    </w:p>
    <w:sectPr>
      <w:footerReference r:id="rId16" w:type="default"/>
      <w:pgSz w:w="11906" w:h="16838"/>
      <w:pgMar w:top="1440" w:right="1701" w:bottom="1440" w:left="1985"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6A4A08-DD24-49B5-A560-AD56578035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A8FF6B1-61A0-430E-A6B3-AE745386941B}"/>
  </w:font>
  <w:font w:name="楷体_GB2312">
    <w:panose1 w:val="02010609030101010101"/>
    <w:charset w:val="86"/>
    <w:family w:val="modern"/>
    <w:pitch w:val="default"/>
    <w:sig w:usb0="00000001" w:usb1="080E0000" w:usb2="00000000" w:usb3="00000000" w:csb0="00040000" w:csb1="00000000"/>
    <w:embedRegular r:id="rId3" w:fontKey="{AE6EF5C6-273B-4CCF-A7BD-CE40563D35A4}"/>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W1)">
    <w:altName w:val="Arial"/>
    <w:panose1 w:val="00000000000000000000"/>
    <w:charset w:val="00"/>
    <w:family w:val="swiss"/>
    <w:pitch w:val="default"/>
    <w:sig w:usb0="00000000" w:usb1="00000000" w:usb2="00000008" w:usb3="00000000" w:csb0="000001F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Monospac821 BT">
    <w:altName w:val="Segoe Print"/>
    <w:panose1 w:val="020B0609020202020204"/>
    <w:charset w:val="00"/>
    <w:family w:val="modern"/>
    <w:pitch w:val="default"/>
    <w:sig w:usb0="00000000" w:usb1="00000000" w:usb2="00000000" w:usb3="00000000" w:csb0="00000000" w:csb1="00000000"/>
  </w:font>
  <w:font w:name="汉鼎简书宋">
    <w:altName w:val="微软雅黑"/>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Arial Unicode MS">
    <w:panose1 w:val="020B0604020202020204"/>
    <w:charset w:val="86"/>
    <w:family w:val="swiss"/>
    <w:pitch w:val="default"/>
    <w:sig w:usb0="FFFFFFFF" w:usb1="E9FFFFFF" w:usb2="0000003F" w:usb3="00000000" w:csb0="603F01FF" w:csb1="FFFF0000"/>
    <w:embedRegular r:id="rId4" w:fontKey="{28E35936-36E6-4C9E-83A2-1D8F51320E26}"/>
  </w:font>
  <w:font w:name="华文中宋">
    <w:panose1 w:val="02010600040101010101"/>
    <w:charset w:val="86"/>
    <w:family w:val="auto"/>
    <w:pitch w:val="default"/>
    <w:sig w:usb0="00000287" w:usb1="080F0000" w:usb2="00000000" w:usb3="00000000" w:csb0="0004009F" w:csb1="DFD70000"/>
    <w:embedRegular r:id="rId5" w:fontKey="{E4C43975-3220-4797-A582-EB71F701C39A}"/>
  </w:font>
  <w:font w:name="Verdana">
    <w:panose1 w:val="020B0604030504040204"/>
    <w:charset w:val="00"/>
    <w:family w:val="swiss"/>
    <w:pitch w:val="default"/>
    <w:sig w:usb0="A00006FF" w:usb1="4000205B" w:usb2="0000001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Noto Sans CJK JP Regular">
    <w:altName w:val="Segoe Print"/>
    <w:panose1 w:val="00000000000000000000"/>
    <w:charset w:val="00"/>
    <w:family w:val="swiss"/>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embedRegular r:id="rId6" w:fontKey="{64C6DC83-7DE0-4D2C-918A-4E00844F697B}"/>
  </w:font>
  <w:font w:name="楷体">
    <w:panose1 w:val="02010609060101010101"/>
    <w:charset w:val="86"/>
    <w:family w:val="modern"/>
    <w:pitch w:val="default"/>
    <w:sig w:usb0="800002BF" w:usb1="38CF7CFA" w:usb2="00000016" w:usb3="00000000" w:csb0="00040001" w:csb1="00000000"/>
    <w:embedRegular r:id="rId7" w:fontKey="{672E76D2-751C-4D0D-8657-26BA4FC25573}"/>
  </w:font>
  <w:font w:name="Cambria Math">
    <w:panose1 w:val="02040503050406030204"/>
    <w:charset w:val="00"/>
    <w:family w:val="roman"/>
    <w:pitch w:val="default"/>
    <w:sig w:usb0="E00006FF" w:usb1="420024FF" w:usb2="02000000" w:usb3="00000000" w:csb0="2000019F" w:csb1="00000000"/>
    <w:embedRegular r:id="rId8" w:fontKey="{D2269C1C-4CCC-4096-B19F-F713566B3982}"/>
  </w:font>
  <w:font w:name="Wingdings 2">
    <w:panose1 w:val="05020102010507070707"/>
    <w:charset w:val="02"/>
    <w:family w:val="roman"/>
    <w:pitch w:val="default"/>
    <w:sig w:usb0="00000000" w:usb1="00000000" w:usb2="00000000" w:usb3="00000000" w:csb0="80000000" w:csb1="00000000"/>
    <w:embedRegular r:id="rId9" w:fontKey="{CFE14972-D5B3-461C-8709-9EA8F81C487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99DC2">
    <w:pPr>
      <w:pStyle w:val="3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E0304">
    <w:pPr>
      <w:pStyle w:val="36"/>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1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71EA7">
                          <w:pPr>
                            <w:pStyle w:val="3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UmV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1r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1JlVNAIAAGUEAAAOAAAAAAAAAAEAIAAAAB8BAABkcnMvZTJvRG9jLnhtbFBL&#10;BQYAAAAABgAGAFkBAADFBQAAAAA=&#10;">
              <v:fill on="f" focussize="0,0"/>
              <v:stroke on="f" weight="0.5pt"/>
              <v:imagedata o:title=""/>
              <o:lock v:ext="edit" aspectratio="f"/>
              <v:textbox inset="0mm,0mm,0mm,0mm" style="mso-fit-shape-to-text:t;">
                <w:txbxContent>
                  <w:p w14:paraId="48971EA7">
                    <w:pPr>
                      <w:pStyle w:val="3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5C783">
    <w:pPr>
      <w:pStyle w:val="36"/>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0AAFD">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D0AAFD">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3AB2A">
    <w:pPr>
      <w:pStyle w:val="3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23493">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95</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77A23493">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95</w:t>
                    </w:r>
                    <w:r>
                      <w:rPr>
                        <w:sz w:val="24"/>
                        <w:szCs w:val="24"/>
                      </w:rPr>
                      <w:fldChar w:fldCharType="end"/>
                    </w:r>
                    <w:r>
                      <w:rPr>
                        <w:sz w:val="24"/>
                        <w:szCs w:val="24"/>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DC5F">
    <w:pPr>
      <w:pStyle w:val="3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3C281">
                          <w:pPr>
                            <w:pStyle w:val="36"/>
                          </w:pPr>
                          <w:r>
                            <w:t xml:space="preserve">— </w:t>
                          </w:r>
                          <w:r>
                            <w:fldChar w:fldCharType="begin"/>
                          </w:r>
                          <w:r>
                            <w:instrText xml:space="preserve"> PAGE  \* MERGEFORMAT </w:instrText>
                          </w:r>
                          <w:r>
                            <w:fldChar w:fldCharType="separate"/>
                          </w:r>
                          <w:r>
                            <w:t>191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6AB3C281">
                    <w:pPr>
                      <w:pStyle w:val="36"/>
                    </w:pPr>
                    <w:r>
                      <w:t xml:space="preserve">— </w:t>
                    </w:r>
                    <w:r>
                      <w:fldChar w:fldCharType="begin"/>
                    </w:r>
                    <w:r>
                      <w:instrText xml:space="preserve"> PAGE  \* MERGEFORMAT </w:instrText>
                    </w:r>
                    <w:r>
                      <w:fldChar w:fldCharType="separate"/>
                    </w:r>
                    <w:r>
                      <w:t>191</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07395">
    <w:pPr>
      <w:pStyle w:val="3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2F819">
                          <w:pPr>
                            <w:pStyle w:val="36"/>
                          </w:pPr>
                          <w:r>
                            <w:t xml:space="preserve">— </w:t>
                          </w:r>
                          <w:r>
                            <w:fldChar w:fldCharType="begin"/>
                          </w:r>
                          <w:r>
                            <w:instrText xml:space="preserve"> PAGE  \* MERGEFORMAT </w:instrText>
                          </w:r>
                          <w:r>
                            <w:fldChar w:fldCharType="separate"/>
                          </w:r>
                          <w:r>
                            <w:t>192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6402F819">
                    <w:pPr>
                      <w:pStyle w:val="36"/>
                    </w:pPr>
                    <w:r>
                      <w:t xml:space="preserve">— </w:t>
                    </w:r>
                    <w:r>
                      <w:fldChar w:fldCharType="begin"/>
                    </w:r>
                    <w:r>
                      <w:instrText xml:space="preserve"> PAGE  \* MERGEFORMAT </w:instrText>
                    </w:r>
                    <w:r>
                      <w:fldChar w:fldCharType="separate"/>
                    </w:r>
                    <w:r>
                      <w:t>192</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B8932">
    <w:pPr>
      <w:pStyle w:val="3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4217C">
                          <w:pPr>
                            <w:pStyle w:val="36"/>
                          </w:pPr>
                          <w:r>
                            <w:t xml:space="preserve">— </w:t>
                          </w:r>
                          <w:r>
                            <w:fldChar w:fldCharType="begin"/>
                          </w:r>
                          <w:r>
                            <w:instrText xml:space="preserve"> PAGE  \* MERGEFORMAT </w:instrText>
                          </w:r>
                          <w:r>
                            <w:fldChar w:fldCharType="separate"/>
                          </w:r>
                          <w:r>
                            <w:t>225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1B4217C">
                    <w:pPr>
                      <w:pStyle w:val="36"/>
                    </w:pPr>
                    <w:r>
                      <w:t xml:space="preserve">— </w:t>
                    </w:r>
                    <w:r>
                      <w:fldChar w:fldCharType="begin"/>
                    </w:r>
                    <w:r>
                      <w:instrText xml:space="preserve"> PAGE  \* MERGEFORMAT </w:instrText>
                    </w:r>
                    <w:r>
                      <w:fldChar w:fldCharType="separate"/>
                    </w:r>
                    <w:r>
                      <w:t>225</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D65A4">
    <w:pPr>
      <w:pStyle w:val="36"/>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F5E3F">
                          <w:pPr>
                            <w:pStyle w:val="36"/>
                          </w:pPr>
                          <w:r>
                            <w:t xml:space="preserve">— </w:t>
                          </w:r>
                          <w:r>
                            <w:fldChar w:fldCharType="begin"/>
                          </w:r>
                          <w:r>
                            <w:instrText xml:space="preserve"> PAGE  \* MERGEFORMAT </w:instrText>
                          </w:r>
                          <w:r>
                            <w:fldChar w:fldCharType="separate"/>
                          </w:r>
                          <w:r>
                            <w:t>249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70FF5E3F">
                    <w:pPr>
                      <w:pStyle w:val="36"/>
                    </w:pPr>
                    <w:r>
                      <w:t xml:space="preserve">— </w:t>
                    </w:r>
                    <w:r>
                      <w:fldChar w:fldCharType="begin"/>
                    </w:r>
                    <w:r>
                      <w:instrText xml:space="preserve"> PAGE  \* MERGEFORMAT </w:instrText>
                    </w:r>
                    <w:r>
                      <w:fldChar w:fldCharType="separate"/>
                    </w:r>
                    <w:r>
                      <w:t>249</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F4573">
    <w:pPr>
      <w:pStyle w:val="36"/>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96D654">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249</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0qqGo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0qqGozAgAAZQQAAA4AAAAAAAAAAQAgAAAAHwEAAGRycy9lMm9Eb2MueG1sUEsF&#10;BgAAAAAGAAYAWQEAAMQFAAAAAA==&#10;">
              <v:fill on="f" focussize="0,0"/>
              <v:stroke on="f" weight="0.5pt"/>
              <v:imagedata o:title=""/>
              <o:lock v:ext="edit" aspectratio="f"/>
              <v:textbox inset="0mm,0mm,0mm,0mm" style="mso-fit-shape-to-text:t;">
                <w:txbxContent>
                  <w:p w14:paraId="7596D654">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249</w:t>
                    </w:r>
                    <w:r>
                      <w:rPr>
                        <w:sz w:val="24"/>
                        <w:szCs w:val="24"/>
                      </w:rPr>
                      <w:fldChar w:fldCharType="end"/>
                    </w:r>
                    <w:r>
                      <w:rPr>
                        <w:sz w:val="24"/>
                        <w:szCs w:val="24"/>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0209">
    <w:pPr>
      <w:pStyle w:val="36"/>
      <w:jc w:val="right"/>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DCF1C5">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329</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5FDCF1C5">
                    <w:pPr>
                      <w:pStyle w:val="3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329</w:t>
                    </w:r>
                    <w:r>
                      <w:rPr>
                        <w:sz w:val="24"/>
                        <w:szCs w:val="24"/>
                      </w:rPr>
                      <w:fldChar w:fldCharType="end"/>
                    </w:r>
                    <w:r>
                      <w:rPr>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69AE5">
    <w:pPr>
      <w:pStyle w:val="3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098F2">
    <w:pPr>
      <w:pStyle w:val="37"/>
      <w:rPr>
        <w:rFonts w:ascii="黑体" w:hAnsi="黑体" w:eastAsia="黑体" w:cs="黑体"/>
        <w:szCs w:val="21"/>
      </w:rPr>
    </w:pPr>
    <w:r>
      <w:rPr>
        <w:rFonts w:hint="eastAsia" w:ascii="黑体" w:hAnsi="黑体" w:eastAsia="黑体" w:cs="黑体"/>
        <w:szCs w:val="21"/>
      </w:rPr>
      <w:t>凯赛</w:t>
    </w:r>
    <w:r>
      <w:rPr>
        <w:rFonts w:hint="eastAsia" w:ascii="黑体" w:hAnsi="黑体" w:eastAsia="黑体" w:cs="黑体"/>
        <w:szCs w:val="21"/>
        <w:lang w:eastAsia="zh-CN"/>
      </w:rPr>
      <w:t>（乌苏）</w:t>
    </w:r>
    <w:r>
      <w:rPr>
        <w:rFonts w:hint="eastAsia" w:ascii="黑体" w:hAnsi="黑体" w:eastAsia="黑体" w:cs="黑体"/>
        <w:szCs w:val="21"/>
      </w:rPr>
      <w:t>生物材料有限公司生物法年产40000吨二元酸项目</w:t>
    </w:r>
    <w:r>
      <w:rPr>
        <w:rFonts w:hint="eastAsia" w:ascii="黑体" w:hAnsi="黑体" w:eastAsia="黑体" w:cs="黑体"/>
        <w:szCs w:val="21"/>
        <w:lang w:val="en-US" w:eastAsia="zh-CN"/>
      </w:rPr>
      <w:t>生态</w:t>
    </w:r>
    <w:r>
      <w:rPr>
        <w:rFonts w:hint="eastAsia" w:ascii="黑体" w:hAnsi="黑体" w:eastAsia="黑体" w:cs="黑体"/>
        <w:szCs w:val="21"/>
      </w:rP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92941">
    <w:pPr>
      <w:pStyle w:val="37"/>
      <w:rPr>
        <w:rFonts w:ascii="黑体" w:hAnsi="黑体" w:eastAsia="黑体" w:cs="黑体"/>
        <w:szCs w:val="21"/>
      </w:rPr>
    </w:pPr>
    <w:r>
      <w:rPr>
        <w:rFonts w:hint="eastAsia" w:ascii="黑体" w:hAnsi="黑体" w:eastAsia="黑体" w:cs="黑体"/>
        <w:szCs w:val="21"/>
      </w:rPr>
      <w:t>凯赛（乌苏）生物材料有限公司生物法年产40000吨二元酸项目</w:t>
    </w:r>
    <w:r>
      <w:rPr>
        <w:rFonts w:hint="eastAsia" w:ascii="黑体" w:hAnsi="黑体" w:eastAsia="黑体" w:cs="黑体"/>
        <w:color w:val="auto"/>
        <w:szCs w:val="21"/>
        <w:lang w:val="en-US" w:eastAsia="zh-CN"/>
      </w:rPr>
      <w:t>生态</w:t>
    </w:r>
    <w:r>
      <w:rPr>
        <w:rFonts w:hint="eastAsia" w:ascii="黑体" w:hAnsi="黑体" w:eastAsia="黑体" w:cs="黑体"/>
        <w:color w:val="auto"/>
        <w:szCs w:val="21"/>
      </w:rPr>
      <w:t>环境</w:t>
    </w:r>
    <w:r>
      <w:rPr>
        <w:rFonts w:hint="eastAsia" w:ascii="黑体" w:hAnsi="黑体" w:eastAsia="黑体" w:cs="黑体"/>
        <w:szCs w:val="21"/>
      </w:rPr>
      <w:t>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B4122">
    <w:pPr>
      <w:pStyle w:val="37"/>
    </w:pPr>
    <w:r>
      <w:rPr>
        <w:rFonts w:hint="eastAsia" w:ascii="黑体" w:hAnsi="黑体" w:eastAsia="黑体" w:cs="黑体"/>
        <w:szCs w:val="21"/>
      </w:rPr>
      <w:t>凯赛（乌苏）生物材料有限公司生物法年产40000吨二元酸项目</w:t>
    </w:r>
    <w:r>
      <w:rPr>
        <w:rFonts w:hint="eastAsia" w:ascii="黑体" w:hAnsi="黑体" w:eastAsia="黑体" w:cs="黑体"/>
        <w:szCs w:val="21"/>
        <w:lang w:val="en-US" w:eastAsia="zh-CN"/>
      </w:rPr>
      <w:t>生态</w:t>
    </w:r>
    <w:r>
      <w:rPr>
        <w:rFonts w:hint="eastAsia" w:ascii="黑体" w:hAnsi="黑体" w:eastAsia="黑体" w:cs="黑体"/>
        <w:szCs w:val="21"/>
      </w:rPr>
      <w:t>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B9A872"/>
    <w:multiLevelType w:val="singleLevel"/>
    <w:tmpl w:val="1FB9A872"/>
    <w:lvl w:ilvl="0" w:tentative="0">
      <w:start w:val="2"/>
      <w:numFmt w:val="decimal"/>
      <w:suff w:val="nothing"/>
      <w:lvlText w:val="（%1）"/>
      <w:lvlJc w:val="left"/>
    </w:lvl>
  </w:abstractNum>
  <w:abstractNum w:abstractNumId="1">
    <w:nsid w:val="228D2686"/>
    <w:multiLevelType w:val="singleLevel"/>
    <w:tmpl w:val="228D2686"/>
    <w:lvl w:ilvl="0" w:tentative="0">
      <w:start w:val="5"/>
      <w:numFmt w:val="decimal"/>
      <w:pStyle w:val="702"/>
      <w:lvlText w:val="%1."/>
      <w:legacy w:legacy="1" w:legacySpace="0" w:legacyIndent="0"/>
      <w:lvlJc w:val="left"/>
      <w:pPr>
        <w:ind w:left="0" w:firstLine="0"/>
      </w:pPr>
      <w:rPr>
        <w:rFonts w:hint="eastAsia" w:ascii="宋体" w:hAnsi="宋体" w:eastAsia="宋体"/>
        <w:color w:val="292D28"/>
      </w:rPr>
    </w:lvl>
  </w:abstractNum>
  <w:abstractNum w:abstractNumId="2">
    <w:nsid w:val="632B8131"/>
    <w:multiLevelType w:val="singleLevel"/>
    <w:tmpl w:val="632B8131"/>
    <w:lvl w:ilvl="0" w:tentative="0">
      <w:start w:val="1"/>
      <w:numFmt w:val="decimal"/>
      <w:pStyle w:val="30"/>
      <w:lvlText w:val="%1."/>
      <w:lvlJc w:val="left"/>
      <w:pPr>
        <w:tabs>
          <w:tab w:val="left" w:pos="2040"/>
        </w:tabs>
        <w:ind w:left="2040" w:hanging="360"/>
      </w:pPr>
    </w:lvl>
  </w:abstractNum>
  <w:abstractNum w:abstractNumId="3">
    <w:nsid w:val="70CFD293"/>
    <w:multiLevelType w:val="singleLevel"/>
    <w:tmpl w:val="70CFD293"/>
    <w:lvl w:ilvl="0" w:tentative="0">
      <w:start w:val="5"/>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yOWVkNjBiMjEyMGM0MDExYTBlMDFlMDgxODM5MDAifQ=="/>
  </w:docVars>
  <w:rsids>
    <w:rsidRoot w:val="00172A27"/>
    <w:rsid w:val="00000672"/>
    <w:rsid w:val="00000BE3"/>
    <w:rsid w:val="0000169B"/>
    <w:rsid w:val="00001FAC"/>
    <w:rsid w:val="00002344"/>
    <w:rsid w:val="00002C77"/>
    <w:rsid w:val="00003244"/>
    <w:rsid w:val="000034EC"/>
    <w:rsid w:val="00003A71"/>
    <w:rsid w:val="00003AB4"/>
    <w:rsid w:val="00003DC6"/>
    <w:rsid w:val="00004154"/>
    <w:rsid w:val="0000514A"/>
    <w:rsid w:val="0000538C"/>
    <w:rsid w:val="00005774"/>
    <w:rsid w:val="00005C21"/>
    <w:rsid w:val="00005ED3"/>
    <w:rsid w:val="00005F37"/>
    <w:rsid w:val="00005FF0"/>
    <w:rsid w:val="00007072"/>
    <w:rsid w:val="00007784"/>
    <w:rsid w:val="000078F8"/>
    <w:rsid w:val="000079F9"/>
    <w:rsid w:val="00007CF8"/>
    <w:rsid w:val="00010158"/>
    <w:rsid w:val="00010299"/>
    <w:rsid w:val="00011121"/>
    <w:rsid w:val="00011770"/>
    <w:rsid w:val="00011A67"/>
    <w:rsid w:val="00011C0A"/>
    <w:rsid w:val="000121B3"/>
    <w:rsid w:val="00012E25"/>
    <w:rsid w:val="00013794"/>
    <w:rsid w:val="00013BDE"/>
    <w:rsid w:val="00014768"/>
    <w:rsid w:val="00014F8E"/>
    <w:rsid w:val="0001510A"/>
    <w:rsid w:val="00015980"/>
    <w:rsid w:val="00015C72"/>
    <w:rsid w:val="000162F2"/>
    <w:rsid w:val="0001666A"/>
    <w:rsid w:val="0001694F"/>
    <w:rsid w:val="00017088"/>
    <w:rsid w:val="00017A4F"/>
    <w:rsid w:val="00017FE2"/>
    <w:rsid w:val="00020361"/>
    <w:rsid w:val="000203ED"/>
    <w:rsid w:val="0002055A"/>
    <w:rsid w:val="0002095F"/>
    <w:rsid w:val="00022CC2"/>
    <w:rsid w:val="00022CE0"/>
    <w:rsid w:val="000234D5"/>
    <w:rsid w:val="000235B0"/>
    <w:rsid w:val="00024211"/>
    <w:rsid w:val="000248EA"/>
    <w:rsid w:val="00024C80"/>
    <w:rsid w:val="00024E58"/>
    <w:rsid w:val="00025228"/>
    <w:rsid w:val="0002543C"/>
    <w:rsid w:val="00026272"/>
    <w:rsid w:val="00026537"/>
    <w:rsid w:val="000272F7"/>
    <w:rsid w:val="00027AA7"/>
    <w:rsid w:val="00030141"/>
    <w:rsid w:val="000321D2"/>
    <w:rsid w:val="00032370"/>
    <w:rsid w:val="000330C3"/>
    <w:rsid w:val="000334E8"/>
    <w:rsid w:val="000336AE"/>
    <w:rsid w:val="00033B36"/>
    <w:rsid w:val="00033E1E"/>
    <w:rsid w:val="00034057"/>
    <w:rsid w:val="0003440D"/>
    <w:rsid w:val="00034F88"/>
    <w:rsid w:val="00035BB7"/>
    <w:rsid w:val="000363EA"/>
    <w:rsid w:val="000368AF"/>
    <w:rsid w:val="00036B6E"/>
    <w:rsid w:val="000370C8"/>
    <w:rsid w:val="0003722D"/>
    <w:rsid w:val="00037C83"/>
    <w:rsid w:val="0004003B"/>
    <w:rsid w:val="00040227"/>
    <w:rsid w:val="00040500"/>
    <w:rsid w:val="00040A3C"/>
    <w:rsid w:val="00041465"/>
    <w:rsid w:val="0004156A"/>
    <w:rsid w:val="00041E23"/>
    <w:rsid w:val="00041E4B"/>
    <w:rsid w:val="000420E1"/>
    <w:rsid w:val="000436EC"/>
    <w:rsid w:val="00043C39"/>
    <w:rsid w:val="00044084"/>
    <w:rsid w:val="0004409C"/>
    <w:rsid w:val="0004475D"/>
    <w:rsid w:val="00044792"/>
    <w:rsid w:val="00044847"/>
    <w:rsid w:val="00045469"/>
    <w:rsid w:val="00045AB5"/>
    <w:rsid w:val="000465C5"/>
    <w:rsid w:val="000467DD"/>
    <w:rsid w:val="000467E9"/>
    <w:rsid w:val="00046A9A"/>
    <w:rsid w:val="00046AAA"/>
    <w:rsid w:val="00046DC0"/>
    <w:rsid w:val="00046DFB"/>
    <w:rsid w:val="0005020A"/>
    <w:rsid w:val="00050526"/>
    <w:rsid w:val="00050698"/>
    <w:rsid w:val="00050981"/>
    <w:rsid w:val="00050BC7"/>
    <w:rsid w:val="00050E60"/>
    <w:rsid w:val="000517E8"/>
    <w:rsid w:val="00051910"/>
    <w:rsid w:val="00052490"/>
    <w:rsid w:val="000524EA"/>
    <w:rsid w:val="00052F08"/>
    <w:rsid w:val="0005379A"/>
    <w:rsid w:val="00053E6A"/>
    <w:rsid w:val="00054E4B"/>
    <w:rsid w:val="000552DA"/>
    <w:rsid w:val="00055461"/>
    <w:rsid w:val="00055D61"/>
    <w:rsid w:val="00055FD8"/>
    <w:rsid w:val="0005636D"/>
    <w:rsid w:val="000565B1"/>
    <w:rsid w:val="0005662F"/>
    <w:rsid w:val="000567C3"/>
    <w:rsid w:val="000569D3"/>
    <w:rsid w:val="00057071"/>
    <w:rsid w:val="00057526"/>
    <w:rsid w:val="000603A7"/>
    <w:rsid w:val="00060B06"/>
    <w:rsid w:val="00060E04"/>
    <w:rsid w:val="00061083"/>
    <w:rsid w:val="000611D0"/>
    <w:rsid w:val="000616BC"/>
    <w:rsid w:val="000617DC"/>
    <w:rsid w:val="000618EB"/>
    <w:rsid w:val="00061F79"/>
    <w:rsid w:val="00062C61"/>
    <w:rsid w:val="0006363E"/>
    <w:rsid w:val="00063897"/>
    <w:rsid w:val="00063943"/>
    <w:rsid w:val="00063A58"/>
    <w:rsid w:val="00063CDC"/>
    <w:rsid w:val="00064564"/>
    <w:rsid w:val="000645F5"/>
    <w:rsid w:val="00064E87"/>
    <w:rsid w:val="00064FE5"/>
    <w:rsid w:val="00065D77"/>
    <w:rsid w:val="0006635C"/>
    <w:rsid w:val="00066C26"/>
    <w:rsid w:val="0006703E"/>
    <w:rsid w:val="0006743B"/>
    <w:rsid w:val="00067735"/>
    <w:rsid w:val="000678A1"/>
    <w:rsid w:val="000678DF"/>
    <w:rsid w:val="00067BF4"/>
    <w:rsid w:val="00067C96"/>
    <w:rsid w:val="0007023D"/>
    <w:rsid w:val="00070710"/>
    <w:rsid w:val="000713FC"/>
    <w:rsid w:val="00071B2A"/>
    <w:rsid w:val="00071BD4"/>
    <w:rsid w:val="00072059"/>
    <w:rsid w:val="000720AD"/>
    <w:rsid w:val="000720B4"/>
    <w:rsid w:val="00072E89"/>
    <w:rsid w:val="00072EDC"/>
    <w:rsid w:val="00072F56"/>
    <w:rsid w:val="00073208"/>
    <w:rsid w:val="00073299"/>
    <w:rsid w:val="00073580"/>
    <w:rsid w:val="00073892"/>
    <w:rsid w:val="000739F8"/>
    <w:rsid w:val="00073CDF"/>
    <w:rsid w:val="000759A5"/>
    <w:rsid w:val="00076746"/>
    <w:rsid w:val="00076B0C"/>
    <w:rsid w:val="00076C53"/>
    <w:rsid w:val="00076E78"/>
    <w:rsid w:val="00080112"/>
    <w:rsid w:val="000807BA"/>
    <w:rsid w:val="000809B2"/>
    <w:rsid w:val="0008104A"/>
    <w:rsid w:val="00081137"/>
    <w:rsid w:val="0008123A"/>
    <w:rsid w:val="00081A65"/>
    <w:rsid w:val="00081FC5"/>
    <w:rsid w:val="000823E3"/>
    <w:rsid w:val="00082C95"/>
    <w:rsid w:val="00083229"/>
    <w:rsid w:val="00083483"/>
    <w:rsid w:val="00083865"/>
    <w:rsid w:val="0008387C"/>
    <w:rsid w:val="00083A37"/>
    <w:rsid w:val="00083E95"/>
    <w:rsid w:val="00084814"/>
    <w:rsid w:val="000851FD"/>
    <w:rsid w:val="00085409"/>
    <w:rsid w:val="00085685"/>
    <w:rsid w:val="00085E03"/>
    <w:rsid w:val="000869FF"/>
    <w:rsid w:val="00086FF1"/>
    <w:rsid w:val="00087E8C"/>
    <w:rsid w:val="000901DB"/>
    <w:rsid w:val="000902AB"/>
    <w:rsid w:val="000907FB"/>
    <w:rsid w:val="00090A7F"/>
    <w:rsid w:val="00090CA7"/>
    <w:rsid w:val="000910DC"/>
    <w:rsid w:val="0009111A"/>
    <w:rsid w:val="000918D0"/>
    <w:rsid w:val="00092373"/>
    <w:rsid w:val="00092666"/>
    <w:rsid w:val="00092B18"/>
    <w:rsid w:val="000931E5"/>
    <w:rsid w:val="00093939"/>
    <w:rsid w:val="00093D90"/>
    <w:rsid w:val="000943F3"/>
    <w:rsid w:val="000951DC"/>
    <w:rsid w:val="00095605"/>
    <w:rsid w:val="00095E09"/>
    <w:rsid w:val="0009604E"/>
    <w:rsid w:val="000965A5"/>
    <w:rsid w:val="000965BE"/>
    <w:rsid w:val="00096617"/>
    <w:rsid w:val="000976FE"/>
    <w:rsid w:val="000979BB"/>
    <w:rsid w:val="00097CA4"/>
    <w:rsid w:val="00097EBA"/>
    <w:rsid w:val="000A01DE"/>
    <w:rsid w:val="000A04D5"/>
    <w:rsid w:val="000A0796"/>
    <w:rsid w:val="000A0E98"/>
    <w:rsid w:val="000A154B"/>
    <w:rsid w:val="000A1F43"/>
    <w:rsid w:val="000A221F"/>
    <w:rsid w:val="000A3126"/>
    <w:rsid w:val="000A43D5"/>
    <w:rsid w:val="000A46A1"/>
    <w:rsid w:val="000A4A10"/>
    <w:rsid w:val="000A4DBB"/>
    <w:rsid w:val="000A4FB2"/>
    <w:rsid w:val="000A5A70"/>
    <w:rsid w:val="000A5B2F"/>
    <w:rsid w:val="000A6CAE"/>
    <w:rsid w:val="000A6E97"/>
    <w:rsid w:val="000A735D"/>
    <w:rsid w:val="000A7511"/>
    <w:rsid w:val="000A75B6"/>
    <w:rsid w:val="000A7CCD"/>
    <w:rsid w:val="000B00F4"/>
    <w:rsid w:val="000B03EE"/>
    <w:rsid w:val="000B079B"/>
    <w:rsid w:val="000B12BF"/>
    <w:rsid w:val="000B1545"/>
    <w:rsid w:val="000B1752"/>
    <w:rsid w:val="000B18CF"/>
    <w:rsid w:val="000B1D47"/>
    <w:rsid w:val="000B1FAA"/>
    <w:rsid w:val="000B2D01"/>
    <w:rsid w:val="000B2EAA"/>
    <w:rsid w:val="000B31E8"/>
    <w:rsid w:val="000B3337"/>
    <w:rsid w:val="000B3E45"/>
    <w:rsid w:val="000B47DE"/>
    <w:rsid w:val="000B4DE3"/>
    <w:rsid w:val="000B563A"/>
    <w:rsid w:val="000B6219"/>
    <w:rsid w:val="000B6247"/>
    <w:rsid w:val="000B67FE"/>
    <w:rsid w:val="000B69CD"/>
    <w:rsid w:val="000B6D74"/>
    <w:rsid w:val="000B73EF"/>
    <w:rsid w:val="000B7410"/>
    <w:rsid w:val="000B76CE"/>
    <w:rsid w:val="000B7AB1"/>
    <w:rsid w:val="000C0915"/>
    <w:rsid w:val="000C09FD"/>
    <w:rsid w:val="000C0CF4"/>
    <w:rsid w:val="000C0E08"/>
    <w:rsid w:val="000C15D7"/>
    <w:rsid w:val="000C1DF0"/>
    <w:rsid w:val="000C2266"/>
    <w:rsid w:val="000C242F"/>
    <w:rsid w:val="000C28B0"/>
    <w:rsid w:val="000C30BE"/>
    <w:rsid w:val="000C3D5B"/>
    <w:rsid w:val="000C4157"/>
    <w:rsid w:val="000C49B8"/>
    <w:rsid w:val="000C4B10"/>
    <w:rsid w:val="000C4C0E"/>
    <w:rsid w:val="000C6D7C"/>
    <w:rsid w:val="000C7257"/>
    <w:rsid w:val="000C726A"/>
    <w:rsid w:val="000C7C13"/>
    <w:rsid w:val="000D00A1"/>
    <w:rsid w:val="000D19D0"/>
    <w:rsid w:val="000D1A82"/>
    <w:rsid w:val="000D2723"/>
    <w:rsid w:val="000D2E1A"/>
    <w:rsid w:val="000D2FA3"/>
    <w:rsid w:val="000D310D"/>
    <w:rsid w:val="000D3424"/>
    <w:rsid w:val="000D38C5"/>
    <w:rsid w:val="000D418D"/>
    <w:rsid w:val="000D5A4B"/>
    <w:rsid w:val="000D5CA6"/>
    <w:rsid w:val="000D5CDE"/>
    <w:rsid w:val="000D653D"/>
    <w:rsid w:val="000D65F7"/>
    <w:rsid w:val="000D6602"/>
    <w:rsid w:val="000D66D5"/>
    <w:rsid w:val="000D6B1E"/>
    <w:rsid w:val="000D6FFB"/>
    <w:rsid w:val="000D71BC"/>
    <w:rsid w:val="000D7537"/>
    <w:rsid w:val="000D7615"/>
    <w:rsid w:val="000D76F7"/>
    <w:rsid w:val="000D77F5"/>
    <w:rsid w:val="000D7E5B"/>
    <w:rsid w:val="000D7E97"/>
    <w:rsid w:val="000E0180"/>
    <w:rsid w:val="000E0642"/>
    <w:rsid w:val="000E0B37"/>
    <w:rsid w:val="000E0D12"/>
    <w:rsid w:val="000E14B7"/>
    <w:rsid w:val="000E183F"/>
    <w:rsid w:val="000E2061"/>
    <w:rsid w:val="000E2416"/>
    <w:rsid w:val="000E2C69"/>
    <w:rsid w:val="000E3BD1"/>
    <w:rsid w:val="000E45CA"/>
    <w:rsid w:val="000E463E"/>
    <w:rsid w:val="000E4AAA"/>
    <w:rsid w:val="000E4AE2"/>
    <w:rsid w:val="000E4BEF"/>
    <w:rsid w:val="000E549A"/>
    <w:rsid w:val="000E65C1"/>
    <w:rsid w:val="000E6C42"/>
    <w:rsid w:val="000E6D51"/>
    <w:rsid w:val="000E7213"/>
    <w:rsid w:val="000E7631"/>
    <w:rsid w:val="000E7B0A"/>
    <w:rsid w:val="000F0190"/>
    <w:rsid w:val="000F0974"/>
    <w:rsid w:val="000F0F44"/>
    <w:rsid w:val="000F10D7"/>
    <w:rsid w:val="000F15F2"/>
    <w:rsid w:val="000F16B8"/>
    <w:rsid w:val="000F1883"/>
    <w:rsid w:val="000F18C1"/>
    <w:rsid w:val="000F190B"/>
    <w:rsid w:val="000F1C1B"/>
    <w:rsid w:val="000F1C62"/>
    <w:rsid w:val="000F253B"/>
    <w:rsid w:val="000F2A25"/>
    <w:rsid w:val="000F2B1B"/>
    <w:rsid w:val="000F3083"/>
    <w:rsid w:val="000F3352"/>
    <w:rsid w:val="000F33EA"/>
    <w:rsid w:val="000F3451"/>
    <w:rsid w:val="000F36AA"/>
    <w:rsid w:val="000F3E37"/>
    <w:rsid w:val="000F41F3"/>
    <w:rsid w:val="000F509A"/>
    <w:rsid w:val="000F51B8"/>
    <w:rsid w:val="000F5AC8"/>
    <w:rsid w:val="000F684C"/>
    <w:rsid w:val="000F6E3C"/>
    <w:rsid w:val="000F70E0"/>
    <w:rsid w:val="000F771C"/>
    <w:rsid w:val="000F7C58"/>
    <w:rsid w:val="00100208"/>
    <w:rsid w:val="0010060F"/>
    <w:rsid w:val="00101006"/>
    <w:rsid w:val="00101BD4"/>
    <w:rsid w:val="00101D6E"/>
    <w:rsid w:val="00101D79"/>
    <w:rsid w:val="00102057"/>
    <w:rsid w:val="00102121"/>
    <w:rsid w:val="00102342"/>
    <w:rsid w:val="0010245B"/>
    <w:rsid w:val="001029D1"/>
    <w:rsid w:val="00102AB6"/>
    <w:rsid w:val="001034A7"/>
    <w:rsid w:val="00103673"/>
    <w:rsid w:val="00103A41"/>
    <w:rsid w:val="00103B99"/>
    <w:rsid w:val="00104009"/>
    <w:rsid w:val="001046F4"/>
    <w:rsid w:val="0010550F"/>
    <w:rsid w:val="001055CF"/>
    <w:rsid w:val="0010572B"/>
    <w:rsid w:val="00105A05"/>
    <w:rsid w:val="00105A9C"/>
    <w:rsid w:val="00105D5E"/>
    <w:rsid w:val="00105D8F"/>
    <w:rsid w:val="00105E8B"/>
    <w:rsid w:val="00105FF9"/>
    <w:rsid w:val="00106811"/>
    <w:rsid w:val="00106866"/>
    <w:rsid w:val="00106ACE"/>
    <w:rsid w:val="00106ECD"/>
    <w:rsid w:val="00107B5E"/>
    <w:rsid w:val="00107DEA"/>
    <w:rsid w:val="00110383"/>
    <w:rsid w:val="0011049D"/>
    <w:rsid w:val="001107E8"/>
    <w:rsid w:val="001109EC"/>
    <w:rsid w:val="00110C0C"/>
    <w:rsid w:val="00110D02"/>
    <w:rsid w:val="00110D7F"/>
    <w:rsid w:val="001119D7"/>
    <w:rsid w:val="00112F67"/>
    <w:rsid w:val="0011355F"/>
    <w:rsid w:val="00113B7E"/>
    <w:rsid w:val="0011450B"/>
    <w:rsid w:val="001147F2"/>
    <w:rsid w:val="001149BF"/>
    <w:rsid w:val="00115C89"/>
    <w:rsid w:val="001167FB"/>
    <w:rsid w:val="001179B5"/>
    <w:rsid w:val="00117A4A"/>
    <w:rsid w:val="00117CCB"/>
    <w:rsid w:val="00117D0E"/>
    <w:rsid w:val="00117D3C"/>
    <w:rsid w:val="00120247"/>
    <w:rsid w:val="001206E8"/>
    <w:rsid w:val="001212DB"/>
    <w:rsid w:val="00121E82"/>
    <w:rsid w:val="00122C48"/>
    <w:rsid w:val="00122CB5"/>
    <w:rsid w:val="001230E4"/>
    <w:rsid w:val="00123826"/>
    <w:rsid w:val="0012385A"/>
    <w:rsid w:val="0012393E"/>
    <w:rsid w:val="001239D2"/>
    <w:rsid w:val="0012411C"/>
    <w:rsid w:val="001242D8"/>
    <w:rsid w:val="0012444A"/>
    <w:rsid w:val="00124584"/>
    <w:rsid w:val="00124628"/>
    <w:rsid w:val="00124958"/>
    <w:rsid w:val="00124A77"/>
    <w:rsid w:val="00124A98"/>
    <w:rsid w:val="00124FB7"/>
    <w:rsid w:val="00125376"/>
    <w:rsid w:val="0012542A"/>
    <w:rsid w:val="0012553B"/>
    <w:rsid w:val="00125C82"/>
    <w:rsid w:val="001261E4"/>
    <w:rsid w:val="001262C9"/>
    <w:rsid w:val="00126805"/>
    <w:rsid w:val="00126B8E"/>
    <w:rsid w:val="001270A2"/>
    <w:rsid w:val="00127206"/>
    <w:rsid w:val="00127E7B"/>
    <w:rsid w:val="00127F9C"/>
    <w:rsid w:val="00130CA7"/>
    <w:rsid w:val="00130D9E"/>
    <w:rsid w:val="00130DDA"/>
    <w:rsid w:val="00131499"/>
    <w:rsid w:val="0013208F"/>
    <w:rsid w:val="00132379"/>
    <w:rsid w:val="001332C6"/>
    <w:rsid w:val="001336D5"/>
    <w:rsid w:val="00133912"/>
    <w:rsid w:val="00133ADD"/>
    <w:rsid w:val="00133C1D"/>
    <w:rsid w:val="00133DD5"/>
    <w:rsid w:val="00133EAB"/>
    <w:rsid w:val="0013408B"/>
    <w:rsid w:val="0013491B"/>
    <w:rsid w:val="00134D12"/>
    <w:rsid w:val="00134DD7"/>
    <w:rsid w:val="00135436"/>
    <w:rsid w:val="0013587D"/>
    <w:rsid w:val="001359F7"/>
    <w:rsid w:val="0013620B"/>
    <w:rsid w:val="001365C1"/>
    <w:rsid w:val="001369A1"/>
    <w:rsid w:val="00137559"/>
    <w:rsid w:val="001377D1"/>
    <w:rsid w:val="00137C9C"/>
    <w:rsid w:val="001400B5"/>
    <w:rsid w:val="00141F4E"/>
    <w:rsid w:val="00142D28"/>
    <w:rsid w:val="00142E9A"/>
    <w:rsid w:val="00142FAE"/>
    <w:rsid w:val="00143509"/>
    <w:rsid w:val="001447A4"/>
    <w:rsid w:val="001447B4"/>
    <w:rsid w:val="00144DDD"/>
    <w:rsid w:val="0014505D"/>
    <w:rsid w:val="001463DD"/>
    <w:rsid w:val="00146402"/>
    <w:rsid w:val="0014684B"/>
    <w:rsid w:val="00146C69"/>
    <w:rsid w:val="00147249"/>
    <w:rsid w:val="0014765E"/>
    <w:rsid w:val="00147689"/>
    <w:rsid w:val="00147B4D"/>
    <w:rsid w:val="00147B6F"/>
    <w:rsid w:val="00147F64"/>
    <w:rsid w:val="00150381"/>
    <w:rsid w:val="00150993"/>
    <w:rsid w:val="00150BBC"/>
    <w:rsid w:val="00151498"/>
    <w:rsid w:val="00151BBC"/>
    <w:rsid w:val="00151C88"/>
    <w:rsid w:val="00151E80"/>
    <w:rsid w:val="001524AE"/>
    <w:rsid w:val="00152ED4"/>
    <w:rsid w:val="001532B2"/>
    <w:rsid w:val="00153396"/>
    <w:rsid w:val="001539CE"/>
    <w:rsid w:val="001542D6"/>
    <w:rsid w:val="00154B8F"/>
    <w:rsid w:val="00154FD1"/>
    <w:rsid w:val="00155293"/>
    <w:rsid w:val="001552DA"/>
    <w:rsid w:val="0015544B"/>
    <w:rsid w:val="001554B9"/>
    <w:rsid w:val="001558F1"/>
    <w:rsid w:val="00155FDF"/>
    <w:rsid w:val="00156A6A"/>
    <w:rsid w:val="00156F52"/>
    <w:rsid w:val="001570D2"/>
    <w:rsid w:val="001573E6"/>
    <w:rsid w:val="001574AB"/>
    <w:rsid w:val="001574DD"/>
    <w:rsid w:val="00157F33"/>
    <w:rsid w:val="00160A38"/>
    <w:rsid w:val="001613DC"/>
    <w:rsid w:val="001613DE"/>
    <w:rsid w:val="00161944"/>
    <w:rsid w:val="00161C0B"/>
    <w:rsid w:val="00161C8F"/>
    <w:rsid w:val="001625EC"/>
    <w:rsid w:val="00162E39"/>
    <w:rsid w:val="0016320C"/>
    <w:rsid w:val="001635B7"/>
    <w:rsid w:val="001636D6"/>
    <w:rsid w:val="0016378C"/>
    <w:rsid w:val="001641F0"/>
    <w:rsid w:val="00164A2C"/>
    <w:rsid w:val="00164BEA"/>
    <w:rsid w:val="00164EC6"/>
    <w:rsid w:val="00164FC4"/>
    <w:rsid w:val="00165289"/>
    <w:rsid w:val="00165784"/>
    <w:rsid w:val="001674FC"/>
    <w:rsid w:val="001678BD"/>
    <w:rsid w:val="001679B3"/>
    <w:rsid w:val="00170563"/>
    <w:rsid w:val="00170A28"/>
    <w:rsid w:val="001711DD"/>
    <w:rsid w:val="001712BD"/>
    <w:rsid w:val="00171AA9"/>
    <w:rsid w:val="0017270B"/>
    <w:rsid w:val="00172A27"/>
    <w:rsid w:val="00172D80"/>
    <w:rsid w:val="00173346"/>
    <w:rsid w:val="001737E1"/>
    <w:rsid w:val="0017393A"/>
    <w:rsid w:val="00174151"/>
    <w:rsid w:val="00174196"/>
    <w:rsid w:val="001744D8"/>
    <w:rsid w:val="001745B0"/>
    <w:rsid w:val="00174F26"/>
    <w:rsid w:val="00175355"/>
    <w:rsid w:val="0017541A"/>
    <w:rsid w:val="0017589D"/>
    <w:rsid w:val="00175DD3"/>
    <w:rsid w:val="001763D0"/>
    <w:rsid w:val="00176619"/>
    <w:rsid w:val="001768AA"/>
    <w:rsid w:val="00177025"/>
    <w:rsid w:val="0017712D"/>
    <w:rsid w:val="001777BE"/>
    <w:rsid w:val="001778B9"/>
    <w:rsid w:val="00180142"/>
    <w:rsid w:val="001802D5"/>
    <w:rsid w:val="00180314"/>
    <w:rsid w:val="00181562"/>
    <w:rsid w:val="001815D5"/>
    <w:rsid w:val="00181C9E"/>
    <w:rsid w:val="00181F18"/>
    <w:rsid w:val="0018235F"/>
    <w:rsid w:val="0018248F"/>
    <w:rsid w:val="001829BC"/>
    <w:rsid w:val="00182EF9"/>
    <w:rsid w:val="00183CAF"/>
    <w:rsid w:val="0018443C"/>
    <w:rsid w:val="00184739"/>
    <w:rsid w:val="00184761"/>
    <w:rsid w:val="00184A16"/>
    <w:rsid w:val="00184A40"/>
    <w:rsid w:val="00184AD7"/>
    <w:rsid w:val="00184DA1"/>
    <w:rsid w:val="0018528A"/>
    <w:rsid w:val="00185D58"/>
    <w:rsid w:val="00185D83"/>
    <w:rsid w:val="00185DD3"/>
    <w:rsid w:val="0018607C"/>
    <w:rsid w:val="001866E0"/>
    <w:rsid w:val="00186AC7"/>
    <w:rsid w:val="00186FF2"/>
    <w:rsid w:val="00187490"/>
    <w:rsid w:val="00187A8F"/>
    <w:rsid w:val="00187D65"/>
    <w:rsid w:val="00187E47"/>
    <w:rsid w:val="0019008A"/>
    <w:rsid w:val="00190A9E"/>
    <w:rsid w:val="00191B08"/>
    <w:rsid w:val="0019217F"/>
    <w:rsid w:val="00192BF1"/>
    <w:rsid w:val="0019301F"/>
    <w:rsid w:val="001932F2"/>
    <w:rsid w:val="001934EB"/>
    <w:rsid w:val="001936E9"/>
    <w:rsid w:val="00193CEA"/>
    <w:rsid w:val="001943DE"/>
    <w:rsid w:val="0019446A"/>
    <w:rsid w:val="001948A4"/>
    <w:rsid w:val="0019491A"/>
    <w:rsid w:val="00194F7E"/>
    <w:rsid w:val="0019511B"/>
    <w:rsid w:val="00195146"/>
    <w:rsid w:val="00195666"/>
    <w:rsid w:val="00196110"/>
    <w:rsid w:val="00196427"/>
    <w:rsid w:val="001966E2"/>
    <w:rsid w:val="00197249"/>
    <w:rsid w:val="0019764B"/>
    <w:rsid w:val="00197A8E"/>
    <w:rsid w:val="001A0410"/>
    <w:rsid w:val="001A07F8"/>
    <w:rsid w:val="001A14C1"/>
    <w:rsid w:val="001A1A40"/>
    <w:rsid w:val="001A1ADC"/>
    <w:rsid w:val="001A1AE6"/>
    <w:rsid w:val="001A1F25"/>
    <w:rsid w:val="001A2059"/>
    <w:rsid w:val="001A2442"/>
    <w:rsid w:val="001A2509"/>
    <w:rsid w:val="001A2576"/>
    <w:rsid w:val="001A2D1E"/>
    <w:rsid w:val="001A3234"/>
    <w:rsid w:val="001A36C9"/>
    <w:rsid w:val="001A39EB"/>
    <w:rsid w:val="001A3B71"/>
    <w:rsid w:val="001A3C10"/>
    <w:rsid w:val="001A49C0"/>
    <w:rsid w:val="001A4E5A"/>
    <w:rsid w:val="001A4EF1"/>
    <w:rsid w:val="001A4FA7"/>
    <w:rsid w:val="001A55FB"/>
    <w:rsid w:val="001A56DD"/>
    <w:rsid w:val="001A5A78"/>
    <w:rsid w:val="001A5B2B"/>
    <w:rsid w:val="001A6704"/>
    <w:rsid w:val="001A6CCC"/>
    <w:rsid w:val="001A74EB"/>
    <w:rsid w:val="001A7566"/>
    <w:rsid w:val="001A765B"/>
    <w:rsid w:val="001A7D77"/>
    <w:rsid w:val="001A7DA6"/>
    <w:rsid w:val="001B0007"/>
    <w:rsid w:val="001B0ACF"/>
    <w:rsid w:val="001B1C33"/>
    <w:rsid w:val="001B1F9E"/>
    <w:rsid w:val="001B2008"/>
    <w:rsid w:val="001B2183"/>
    <w:rsid w:val="001B2804"/>
    <w:rsid w:val="001B3C2E"/>
    <w:rsid w:val="001B4650"/>
    <w:rsid w:val="001B49C9"/>
    <w:rsid w:val="001B50F5"/>
    <w:rsid w:val="001B512E"/>
    <w:rsid w:val="001B51FF"/>
    <w:rsid w:val="001B59CB"/>
    <w:rsid w:val="001B5B0D"/>
    <w:rsid w:val="001B6133"/>
    <w:rsid w:val="001B6610"/>
    <w:rsid w:val="001B67BB"/>
    <w:rsid w:val="001B6B78"/>
    <w:rsid w:val="001B76A3"/>
    <w:rsid w:val="001B7718"/>
    <w:rsid w:val="001B7894"/>
    <w:rsid w:val="001B796A"/>
    <w:rsid w:val="001B7FB0"/>
    <w:rsid w:val="001C026D"/>
    <w:rsid w:val="001C02CE"/>
    <w:rsid w:val="001C04B4"/>
    <w:rsid w:val="001C0AA3"/>
    <w:rsid w:val="001C1056"/>
    <w:rsid w:val="001C1432"/>
    <w:rsid w:val="001C1976"/>
    <w:rsid w:val="001C1A1E"/>
    <w:rsid w:val="001C1F31"/>
    <w:rsid w:val="001C20F9"/>
    <w:rsid w:val="001C2523"/>
    <w:rsid w:val="001C2EDF"/>
    <w:rsid w:val="001C315E"/>
    <w:rsid w:val="001C3545"/>
    <w:rsid w:val="001C35D3"/>
    <w:rsid w:val="001C3B7E"/>
    <w:rsid w:val="001C3BF8"/>
    <w:rsid w:val="001C4065"/>
    <w:rsid w:val="001C521C"/>
    <w:rsid w:val="001C5A70"/>
    <w:rsid w:val="001C6442"/>
    <w:rsid w:val="001C66C1"/>
    <w:rsid w:val="001C7966"/>
    <w:rsid w:val="001C7D41"/>
    <w:rsid w:val="001D124D"/>
    <w:rsid w:val="001D1350"/>
    <w:rsid w:val="001D167F"/>
    <w:rsid w:val="001D16A1"/>
    <w:rsid w:val="001D18FE"/>
    <w:rsid w:val="001D1A85"/>
    <w:rsid w:val="001D1BAB"/>
    <w:rsid w:val="001D1FA9"/>
    <w:rsid w:val="001D236A"/>
    <w:rsid w:val="001D280A"/>
    <w:rsid w:val="001D2B42"/>
    <w:rsid w:val="001D3022"/>
    <w:rsid w:val="001D3BBB"/>
    <w:rsid w:val="001D422A"/>
    <w:rsid w:val="001D4261"/>
    <w:rsid w:val="001D4794"/>
    <w:rsid w:val="001D48EE"/>
    <w:rsid w:val="001D49E2"/>
    <w:rsid w:val="001D68C3"/>
    <w:rsid w:val="001D796F"/>
    <w:rsid w:val="001D7AB1"/>
    <w:rsid w:val="001D7C03"/>
    <w:rsid w:val="001D7F0A"/>
    <w:rsid w:val="001E14FD"/>
    <w:rsid w:val="001E1B88"/>
    <w:rsid w:val="001E2345"/>
    <w:rsid w:val="001E24D6"/>
    <w:rsid w:val="001E26A8"/>
    <w:rsid w:val="001E2BBA"/>
    <w:rsid w:val="001E3880"/>
    <w:rsid w:val="001E418E"/>
    <w:rsid w:val="001E45A8"/>
    <w:rsid w:val="001E4C45"/>
    <w:rsid w:val="001E6162"/>
    <w:rsid w:val="001E644B"/>
    <w:rsid w:val="001E6810"/>
    <w:rsid w:val="001E68B4"/>
    <w:rsid w:val="001E69C4"/>
    <w:rsid w:val="001E6A33"/>
    <w:rsid w:val="001E6A69"/>
    <w:rsid w:val="001E78BE"/>
    <w:rsid w:val="001E7919"/>
    <w:rsid w:val="001E7BD4"/>
    <w:rsid w:val="001E7C2D"/>
    <w:rsid w:val="001F0574"/>
    <w:rsid w:val="001F071E"/>
    <w:rsid w:val="001F074C"/>
    <w:rsid w:val="001F0E13"/>
    <w:rsid w:val="001F15F4"/>
    <w:rsid w:val="001F2162"/>
    <w:rsid w:val="001F26A2"/>
    <w:rsid w:val="001F3522"/>
    <w:rsid w:val="001F3577"/>
    <w:rsid w:val="001F38A5"/>
    <w:rsid w:val="001F3C90"/>
    <w:rsid w:val="001F3F34"/>
    <w:rsid w:val="001F4364"/>
    <w:rsid w:val="001F457B"/>
    <w:rsid w:val="001F4DE0"/>
    <w:rsid w:val="001F5170"/>
    <w:rsid w:val="001F57D4"/>
    <w:rsid w:val="001F5974"/>
    <w:rsid w:val="001F5E68"/>
    <w:rsid w:val="001F723A"/>
    <w:rsid w:val="001F776B"/>
    <w:rsid w:val="001F7F01"/>
    <w:rsid w:val="002001D4"/>
    <w:rsid w:val="002001EF"/>
    <w:rsid w:val="002002F9"/>
    <w:rsid w:val="002009C7"/>
    <w:rsid w:val="00200D88"/>
    <w:rsid w:val="00200F5C"/>
    <w:rsid w:val="0020106B"/>
    <w:rsid w:val="00201296"/>
    <w:rsid w:val="0020148D"/>
    <w:rsid w:val="00201E95"/>
    <w:rsid w:val="00202021"/>
    <w:rsid w:val="00202374"/>
    <w:rsid w:val="0020250F"/>
    <w:rsid w:val="00202852"/>
    <w:rsid w:val="002032E8"/>
    <w:rsid w:val="002033BB"/>
    <w:rsid w:val="002041D2"/>
    <w:rsid w:val="00204A9B"/>
    <w:rsid w:val="00204CEB"/>
    <w:rsid w:val="002066D2"/>
    <w:rsid w:val="00206C25"/>
    <w:rsid w:val="00206F3E"/>
    <w:rsid w:val="00206F68"/>
    <w:rsid w:val="002070A2"/>
    <w:rsid w:val="0020741A"/>
    <w:rsid w:val="00207E64"/>
    <w:rsid w:val="0021009C"/>
    <w:rsid w:val="002100F0"/>
    <w:rsid w:val="0021015C"/>
    <w:rsid w:val="00210C16"/>
    <w:rsid w:val="0021181B"/>
    <w:rsid w:val="00211AC4"/>
    <w:rsid w:val="00211FB3"/>
    <w:rsid w:val="00212218"/>
    <w:rsid w:val="00212524"/>
    <w:rsid w:val="00212597"/>
    <w:rsid w:val="00212E8E"/>
    <w:rsid w:val="002132F2"/>
    <w:rsid w:val="00213715"/>
    <w:rsid w:val="00213874"/>
    <w:rsid w:val="00213D04"/>
    <w:rsid w:val="00214054"/>
    <w:rsid w:val="00214280"/>
    <w:rsid w:val="002145B9"/>
    <w:rsid w:val="0021472B"/>
    <w:rsid w:val="0021477C"/>
    <w:rsid w:val="00214CC4"/>
    <w:rsid w:val="002158C0"/>
    <w:rsid w:val="00215E54"/>
    <w:rsid w:val="002164E0"/>
    <w:rsid w:val="002169AF"/>
    <w:rsid w:val="00216F75"/>
    <w:rsid w:val="00217F8D"/>
    <w:rsid w:val="00217FC0"/>
    <w:rsid w:val="002204F8"/>
    <w:rsid w:val="002205E7"/>
    <w:rsid w:val="002205ED"/>
    <w:rsid w:val="00220E9C"/>
    <w:rsid w:val="00221463"/>
    <w:rsid w:val="00221742"/>
    <w:rsid w:val="00222250"/>
    <w:rsid w:val="002222D7"/>
    <w:rsid w:val="002223E4"/>
    <w:rsid w:val="00223322"/>
    <w:rsid w:val="002237E5"/>
    <w:rsid w:val="00223B9B"/>
    <w:rsid w:val="0022483E"/>
    <w:rsid w:val="00225049"/>
    <w:rsid w:val="00225489"/>
    <w:rsid w:val="002259CB"/>
    <w:rsid w:val="002259EF"/>
    <w:rsid w:val="00225AE1"/>
    <w:rsid w:val="00225D33"/>
    <w:rsid w:val="00226104"/>
    <w:rsid w:val="0022686C"/>
    <w:rsid w:val="00226A17"/>
    <w:rsid w:val="00226BBD"/>
    <w:rsid w:val="002276AC"/>
    <w:rsid w:val="00227789"/>
    <w:rsid w:val="00227A5E"/>
    <w:rsid w:val="00227B91"/>
    <w:rsid w:val="00227C75"/>
    <w:rsid w:val="00227FC9"/>
    <w:rsid w:val="002302FA"/>
    <w:rsid w:val="0023053E"/>
    <w:rsid w:val="00230829"/>
    <w:rsid w:val="00230EAF"/>
    <w:rsid w:val="00231AAC"/>
    <w:rsid w:val="002321FF"/>
    <w:rsid w:val="00232315"/>
    <w:rsid w:val="002324B1"/>
    <w:rsid w:val="00232683"/>
    <w:rsid w:val="00233075"/>
    <w:rsid w:val="002333B0"/>
    <w:rsid w:val="00233C73"/>
    <w:rsid w:val="00233DA6"/>
    <w:rsid w:val="00234806"/>
    <w:rsid w:val="00234F31"/>
    <w:rsid w:val="00235030"/>
    <w:rsid w:val="00235145"/>
    <w:rsid w:val="00235395"/>
    <w:rsid w:val="002353B3"/>
    <w:rsid w:val="0023570D"/>
    <w:rsid w:val="00235BA8"/>
    <w:rsid w:val="00235FA2"/>
    <w:rsid w:val="002360C8"/>
    <w:rsid w:val="002368A7"/>
    <w:rsid w:val="002368B6"/>
    <w:rsid w:val="00236AEE"/>
    <w:rsid w:val="00236F1E"/>
    <w:rsid w:val="00240FC5"/>
    <w:rsid w:val="0024124D"/>
    <w:rsid w:val="00241B74"/>
    <w:rsid w:val="00241E1F"/>
    <w:rsid w:val="00242270"/>
    <w:rsid w:val="00242329"/>
    <w:rsid w:val="0024291F"/>
    <w:rsid w:val="00242CF8"/>
    <w:rsid w:val="00243050"/>
    <w:rsid w:val="00243546"/>
    <w:rsid w:val="002441FD"/>
    <w:rsid w:val="0024455F"/>
    <w:rsid w:val="00245177"/>
    <w:rsid w:val="00245889"/>
    <w:rsid w:val="00245E5C"/>
    <w:rsid w:val="00246513"/>
    <w:rsid w:val="00246581"/>
    <w:rsid w:val="0024672D"/>
    <w:rsid w:val="0024687A"/>
    <w:rsid w:val="002473B3"/>
    <w:rsid w:val="002474B7"/>
    <w:rsid w:val="00247A70"/>
    <w:rsid w:val="00250B62"/>
    <w:rsid w:val="00250BBE"/>
    <w:rsid w:val="00250FE3"/>
    <w:rsid w:val="002518C0"/>
    <w:rsid w:val="00251A78"/>
    <w:rsid w:val="00251CB3"/>
    <w:rsid w:val="00251D1B"/>
    <w:rsid w:val="00251EB3"/>
    <w:rsid w:val="0025217F"/>
    <w:rsid w:val="002522FE"/>
    <w:rsid w:val="002523BC"/>
    <w:rsid w:val="002527A4"/>
    <w:rsid w:val="00253240"/>
    <w:rsid w:val="00253510"/>
    <w:rsid w:val="00253586"/>
    <w:rsid w:val="0025429D"/>
    <w:rsid w:val="002543D1"/>
    <w:rsid w:val="0025483F"/>
    <w:rsid w:val="002559DF"/>
    <w:rsid w:val="00255E83"/>
    <w:rsid w:val="002569BC"/>
    <w:rsid w:val="00256E43"/>
    <w:rsid w:val="00257FB0"/>
    <w:rsid w:val="002601AE"/>
    <w:rsid w:val="00260556"/>
    <w:rsid w:val="002610C0"/>
    <w:rsid w:val="00261A08"/>
    <w:rsid w:val="0026208F"/>
    <w:rsid w:val="002621EA"/>
    <w:rsid w:val="00262209"/>
    <w:rsid w:val="002628BC"/>
    <w:rsid w:val="00262C61"/>
    <w:rsid w:val="00262DD5"/>
    <w:rsid w:val="00263244"/>
    <w:rsid w:val="002636D8"/>
    <w:rsid w:val="00264060"/>
    <w:rsid w:val="00264DE8"/>
    <w:rsid w:val="00265982"/>
    <w:rsid w:val="00265D81"/>
    <w:rsid w:val="00265E73"/>
    <w:rsid w:val="00265FB0"/>
    <w:rsid w:val="0026645D"/>
    <w:rsid w:val="00266746"/>
    <w:rsid w:val="00266E35"/>
    <w:rsid w:val="00267137"/>
    <w:rsid w:val="00267336"/>
    <w:rsid w:val="00267470"/>
    <w:rsid w:val="00267DB1"/>
    <w:rsid w:val="00267E40"/>
    <w:rsid w:val="00267F10"/>
    <w:rsid w:val="002701E4"/>
    <w:rsid w:val="0027029D"/>
    <w:rsid w:val="00270CC1"/>
    <w:rsid w:val="0027119C"/>
    <w:rsid w:val="0027184B"/>
    <w:rsid w:val="002719BC"/>
    <w:rsid w:val="00271E3E"/>
    <w:rsid w:val="00272116"/>
    <w:rsid w:val="00272EC7"/>
    <w:rsid w:val="00273B2E"/>
    <w:rsid w:val="00273E2A"/>
    <w:rsid w:val="00273E58"/>
    <w:rsid w:val="002741B5"/>
    <w:rsid w:val="00274363"/>
    <w:rsid w:val="00275CFC"/>
    <w:rsid w:val="00276646"/>
    <w:rsid w:val="002767AB"/>
    <w:rsid w:val="00276CCC"/>
    <w:rsid w:val="00277C79"/>
    <w:rsid w:val="00277F28"/>
    <w:rsid w:val="0028092F"/>
    <w:rsid w:val="00281347"/>
    <w:rsid w:val="002816A3"/>
    <w:rsid w:val="002823F6"/>
    <w:rsid w:val="0028283E"/>
    <w:rsid w:val="00282A70"/>
    <w:rsid w:val="0028331D"/>
    <w:rsid w:val="00283D98"/>
    <w:rsid w:val="00284615"/>
    <w:rsid w:val="002849D7"/>
    <w:rsid w:val="00285186"/>
    <w:rsid w:val="00285579"/>
    <w:rsid w:val="00285987"/>
    <w:rsid w:val="002867D6"/>
    <w:rsid w:val="002869CB"/>
    <w:rsid w:val="00286A45"/>
    <w:rsid w:val="00287924"/>
    <w:rsid w:val="002904E5"/>
    <w:rsid w:val="002908A7"/>
    <w:rsid w:val="002909CA"/>
    <w:rsid w:val="002914E4"/>
    <w:rsid w:val="002922BC"/>
    <w:rsid w:val="00292429"/>
    <w:rsid w:val="00292B4B"/>
    <w:rsid w:val="00292F30"/>
    <w:rsid w:val="00294150"/>
    <w:rsid w:val="0029415E"/>
    <w:rsid w:val="002946B9"/>
    <w:rsid w:val="002948B4"/>
    <w:rsid w:val="00295114"/>
    <w:rsid w:val="00295A7A"/>
    <w:rsid w:val="00296B44"/>
    <w:rsid w:val="00296FE4"/>
    <w:rsid w:val="00297476"/>
    <w:rsid w:val="00297892"/>
    <w:rsid w:val="00297D97"/>
    <w:rsid w:val="002A1105"/>
    <w:rsid w:val="002A1C32"/>
    <w:rsid w:val="002A1DA0"/>
    <w:rsid w:val="002A1EA3"/>
    <w:rsid w:val="002A204A"/>
    <w:rsid w:val="002A20FF"/>
    <w:rsid w:val="002A256E"/>
    <w:rsid w:val="002A2AB6"/>
    <w:rsid w:val="002A32E0"/>
    <w:rsid w:val="002A3640"/>
    <w:rsid w:val="002A36F8"/>
    <w:rsid w:val="002A405F"/>
    <w:rsid w:val="002A4557"/>
    <w:rsid w:val="002A496C"/>
    <w:rsid w:val="002A4AB0"/>
    <w:rsid w:val="002A4CD5"/>
    <w:rsid w:val="002A4FCD"/>
    <w:rsid w:val="002A5252"/>
    <w:rsid w:val="002A53C0"/>
    <w:rsid w:val="002A5CA3"/>
    <w:rsid w:val="002A6996"/>
    <w:rsid w:val="002A6FA0"/>
    <w:rsid w:val="002A746D"/>
    <w:rsid w:val="002A789A"/>
    <w:rsid w:val="002A7D2B"/>
    <w:rsid w:val="002B0580"/>
    <w:rsid w:val="002B05AF"/>
    <w:rsid w:val="002B0747"/>
    <w:rsid w:val="002B0AF0"/>
    <w:rsid w:val="002B149D"/>
    <w:rsid w:val="002B1ECF"/>
    <w:rsid w:val="002B1FF7"/>
    <w:rsid w:val="002B22D7"/>
    <w:rsid w:val="002B25C5"/>
    <w:rsid w:val="002B2B3F"/>
    <w:rsid w:val="002B3134"/>
    <w:rsid w:val="002B3B0F"/>
    <w:rsid w:val="002B3F28"/>
    <w:rsid w:val="002B485B"/>
    <w:rsid w:val="002B493D"/>
    <w:rsid w:val="002B49E6"/>
    <w:rsid w:val="002B4D27"/>
    <w:rsid w:val="002B5010"/>
    <w:rsid w:val="002B5846"/>
    <w:rsid w:val="002B5853"/>
    <w:rsid w:val="002B5FA4"/>
    <w:rsid w:val="002B6236"/>
    <w:rsid w:val="002B6923"/>
    <w:rsid w:val="002B6935"/>
    <w:rsid w:val="002B6CE1"/>
    <w:rsid w:val="002B7B07"/>
    <w:rsid w:val="002B7B33"/>
    <w:rsid w:val="002B7E9F"/>
    <w:rsid w:val="002B7F54"/>
    <w:rsid w:val="002C044A"/>
    <w:rsid w:val="002C10AB"/>
    <w:rsid w:val="002C12F1"/>
    <w:rsid w:val="002C1325"/>
    <w:rsid w:val="002C13CD"/>
    <w:rsid w:val="002C176B"/>
    <w:rsid w:val="002C1CBD"/>
    <w:rsid w:val="002C2A49"/>
    <w:rsid w:val="002C4289"/>
    <w:rsid w:val="002C473F"/>
    <w:rsid w:val="002C4A48"/>
    <w:rsid w:val="002C4EE4"/>
    <w:rsid w:val="002C50A0"/>
    <w:rsid w:val="002C5301"/>
    <w:rsid w:val="002C56D2"/>
    <w:rsid w:val="002C6355"/>
    <w:rsid w:val="002C63BE"/>
    <w:rsid w:val="002C64C0"/>
    <w:rsid w:val="002C692D"/>
    <w:rsid w:val="002C6EEC"/>
    <w:rsid w:val="002C6F96"/>
    <w:rsid w:val="002C744B"/>
    <w:rsid w:val="002C76AB"/>
    <w:rsid w:val="002C7999"/>
    <w:rsid w:val="002D0BC4"/>
    <w:rsid w:val="002D0CE4"/>
    <w:rsid w:val="002D0DE8"/>
    <w:rsid w:val="002D2155"/>
    <w:rsid w:val="002D2A81"/>
    <w:rsid w:val="002D2D2F"/>
    <w:rsid w:val="002D2E2F"/>
    <w:rsid w:val="002D31A5"/>
    <w:rsid w:val="002D3464"/>
    <w:rsid w:val="002D4259"/>
    <w:rsid w:val="002D4705"/>
    <w:rsid w:val="002D495A"/>
    <w:rsid w:val="002D4BAB"/>
    <w:rsid w:val="002D4C4C"/>
    <w:rsid w:val="002D5680"/>
    <w:rsid w:val="002D5737"/>
    <w:rsid w:val="002D5C52"/>
    <w:rsid w:val="002D5C7E"/>
    <w:rsid w:val="002D5E1E"/>
    <w:rsid w:val="002D6246"/>
    <w:rsid w:val="002D7381"/>
    <w:rsid w:val="002D782B"/>
    <w:rsid w:val="002D7CE1"/>
    <w:rsid w:val="002E131F"/>
    <w:rsid w:val="002E166D"/>
    <w:rsid w:val="002E18FC"/>
    <w:rsid w:val="002E1C97"/>
    <w:rsid w:val="002E1D52"/>
    <w:rsid w:val="002E216B"/>
    <w:rsid w:val="002E25FE"/>
    <w:rsid w:val="002E2608"/>
    <w:rsid w:val="002E2D56"/>
    <w:rsid w:val="002E2FA1"/>
    <w:rsid w:val="002E3138"/>
    <w:rsid w:val="002E3182"/>
    <w:rsid w:val="002E32CD"/>
    <w:rsid w:val="002E3715"/>
    <w:rsid w:val="002E379F"/>
    <w:rsid w:val="002E3A4B"/>
    <w:rsid w:val="002E3D6D"/>
    <w:rsid w:val="002E4288"/>
    <w:rsid w:val="002E4815"/>
    <w:rsid w:val="002E4B54"/>
    <w:rsid w:val="002E4C5F"/>
    <w:rsid w:val="002E5348"/>
    <w:rsid w:val="002E6720"/>
    <w:rsid w:val="002E67A4"/>
    <w:rsid w:val="002E6D8D"/>
    <w:rsid w:val="002E71ED"/>
    <w:rsid w:val="002E71FE"/>
    <w:rsid w:val="002E73ED"/>
    <w:rsid w:val="002E758D"/>
    <w:rsid w:val="002E7657"/>
    <w:rsid w:val="002E7FF7"/>
    <w:rsid w:val="002F014A"/>
    <w:rsid w:val="002F0177"/>
    <w:rsid w:val="002F041E"/>
    <w:rsid w:val="002F05D9"/>
    <w:rsid w:val="002F0650"/>
    <w:rsid w:val="002F0674"/>
    <w:rsid w:val="002F0CCE"/>
    <w:rsid w:val="002F1289"/>
    <w:rsid w:val="002F175A"/>
    <w:rsid w:val="002F1AC0"/>
    <w:rsid w:val="002F1C08"/>
    <w:rsid w:val="002F238A"/>
    <w:rsid w:val="002F2775"/>
    <w:rsid w:val="002F27DF"/>
    <w:rsid w:val="002F3094"/>
    <w:rsid w:val="002F3388"/>
    <w:rsid w:val="002F3449"/>
    <w:rsid w:val="002F34AF"/>
    <w:rsid w:val="002F3595"/>
    <w:rsid w:val="002F3693"/>
    <w:rsid w:val="002F48CD"/>
    <w:rsid w:val="002F499D"/>
    <w:rsid w:val="002F56FD"/>
    <w:rsid w:val="002F58C2"/>
    <w:rsid w:val="002F5CDD"/>
    <w:rsid w:val="002F6463"/>
    <w:rsid w:val="002F67A9"/>
    <w:rsid w:val="002F6DD2"/>
    <w:rsid w:val="002F73E9"/>
    <w:rsid w:val="002F7B85"/>
    <w:rsid w:val="00300083"/>
    <w:rsid w:val="003005FF"/>
    <w:rsid w:val="0030089B"/>
    <w:rsid w:val="003008FD"/>
    <w:rsid w:val="003024A9"/>
    <w:rsid w:val="00302BB7"/>
    <w:rsid w:val="00302F9A"/>
    <w:rsid w:val="00303814"/>
    <w:rsid w:val="00304471"/>
    <w:rsid w:val="003044DD"/>
    <w:rsid w:val="00304B58"/>
    <w:rsid w:val="00304CE4"/>
    <w:rsid w:val="00305329"/>
    <w:rsid w:val="00306401"/>
    <w:rsid w:val="0030667C"/>
    <w:rsid w:val="0030703D"/>
    <w:rsid w:val="00307279"/>
    <w:rsid w:val="0030766B"/>
    <w:rsid w:val="0030792E"/>
    <w:rsid w:val="00307C57"/>
    <w:rsid w:val="00307EC6"/>
    <w:rsid w:val="0031021C"/>
    <w:rsid w:val="00310799"/>
    <w:rsid w:val="00310C63"/>
    <w:rsid w:val="00310F22"/>
    <w:rsid w:val="0031162E"/>
    <w:rsid w:val="00311E2F"/>
    <w:rsid w:val="00311E89"/>
    <w:rsid w:val="00312A97"/>
    <w:rsid w:val="00313629"/>
    <w:rsid w:val="00313888"/>
    <w:rsid w:val="00313B9D"/>
    <w:rsid w:val="00314A93"/>
    <w:rsid w:val="00315011"/>
    <w:rsid w:val="00315507"/>
    <w:rsid w:val="00315588"/>
    <w:rsid w:val="00315B40"/>
    <w:rsid w:val="00315B5A"/>
    <w:rsid w:val="00316115"/>
    <w:rsid w:val="003161E2"/>
    <w:rsid w:val="00316354"/>
    <w:rsid w:val="0031643F"/>
    <w:rsid w:val="003166BA"/>
    <w:rsid w:val="003168D7"/>
    <w:rsid w:val="00316C83"/>
    <w:rsid w:val="0031729D"/>
    <w:rsid w:val="00317601"/>
    <w:rsid w:val="003207EF"/>
    <w:rsid w:val="00320E37"/>
    <w:rsid w:val="00321820"/>
    <w:rsid w:val="003236DD"/>
    <w:rsid w:val="00324476"/>
    <w:rsid w:val="0032491D"/>
    <w:rsid w:val="00324D58"/>
    <w:rsid w:val="00325EDC"/>
    <w:rsid w:val="003262CD"/>
    <w:rsid w:val="00326332"/>
    <w:rsid w:val="003267D2"/>
    <w:rsid w:val="0032727B"/>
    <w:rsid w:val="00327749"/>
    <w:rsid w:val="003302A9"/>
    <w:rsid w:val="00330504"/>
    <w:rsid w:val="00330776"/>
    <w:rsid w:val="003317FB"/>
    <w:rsid w:val="00331D02"/>
    <w:rsid w:val="003320EE"/>
    <w:rsid w:val="0033251A"/>
    <w:rsid w:val="00332624"/>
    <w:rsid w:val="0033358F"/>
    <w:rsid w:val="0033385F"/>
    <w:rsid w:val="003339FB"/>
    <w:rsid w:val="00334572"/>
    <w:rsid w:val="00334611"/>
    <w:rsid w:val="00334A4A"/>
    <w:rsid w:val="00334C3A"/>
    <w:rsid w:val="00334D91"/>
    <w:rsid w:val="003356E7"/>
    <w:rsid w:val="00335D09"/>
    <w:rsid w:val="00335EF9"/>
    <w:rsid w:val="003363F3"/>
    <w:rsid w:val="00336B22"/>
    <w:rsid w:val="00337C1A"/>
    <w:rsid w:val="00337D0B"/>
    <w:rsid w:val="0034059D"/>
    <w:rsid w:val="00340A49"/>
    <w:rsid w:val="00340AD3"/>
    <w:rsid w:val="00340CDC"/>
    <w:rsid w:val="003419B3"/>
    <w:rsid w:val="00341BB2"/>
    <w:rsid w:val="003420BE"/>
    <w:rsid w:val="0034260F"/>
    <w:rsid w:val="00342C5F"/>
    <w:rsid w:val="00342D4A"/>
    <w:rsid w:val="00342E24"/>
    <w:rsid w:val="0034398A"/>
    <w:rsid w:val="00343EAE"/>
    <w:rsid w:val="00344DBA"/>
    <w:rsid w:val="00345B2D"/>
    <w:rsid w:val="00345DF5"/>
    <w:rsid w:val="00346232"/>
    <w:rsid w:val="00346EAA"/>
    <w:rsid w:val="00347AC2"/>
    <w:rsid w:val="00347D7F"/>
    <w:rsid w:val="00347E99"/>
    <w:rsid w:val="0035089C"/>
    <w:rsid w:val="00350E06"/>
    <w:rsid w:val="003517E0"/>
    <w:rsid w:val="00351D64"/>
    <w:rsid w:val="00351F43"/>
    <w:rsid w:val="00352166"/>
    <w:rsid w:val="00352293"/>
    <w:rsid w:val="003525BC"/>
    <w:rsid w:val="003525E3"/>
    <w:rsid w:val="00352977"/>
    <w:rsid w:val="003529AB"/>
    <w:rsid w:val="00352A3F"/>
    <w:rsid w:val="00352B48"/>
    <w:rsid w:val="003530C2"/>
    <w:rsid w:val="0035335B"/>
    <w:rsid w:val="00353E73"/>
    <w:rsid w:val="0035400D"/>
    <w:rsid w:val="003540CB"/>
    <w:rsid w:val="00354228"/>
    <w:rsid w:val="00354388"/>
    <w:rsid w:val="00354A79"/>
    <w:rsid w:val="00354E67"/>
    <w:rsid w:val="003553E5"/>
    <w:rsid w:val="0035551B"/>
    <w:rsid w:val="00355A9D"/>
    <w:rsid w:val="00355E3A"/>
    <w:rsid w:val="00356376"/>
    <w:rsid w:val="00356581"/>
    <w:rsid w:val="003569FF"/>
    <w:rsid w:val="00356F25"/>
    <w:rsid w:val="003579A4"/>
    <w:rsid w:val="003604FF"/>
    <w:rsid w:val="00360D4C"/>
    <w:rsid w:val="00361AE9"/>
    <w:rsid w:val="0036218B"/>
    <w:rsid w:val="00362216"/>
    <w:rsid w:val="0036271C"/>
    <w:rsid w:val="003627FE"/>
    <w:rsid w:val="00362B53"/>
    <w:rsid w:val="0036347F"/>
    <w:rsid w:val="003635F4"/>
    <w:rsid w:val="00363C32"/>
    <w:rsid w:val="00363D9D"/>
    <w:rsid w:val="00364113"/>
    <w:rsid w:val="0036613E"/>
    <w:rsid w:val="0036644C"/>
    <w:rsid w:val="0036668F"/>
    <w:rsid w:val="00367031"/>
    <w:rsid w:val="003670B6"/>
    <w:rsid w:val="003672EC"/>
    <w:rsid w:val="00367552"/>
    <w:rsid w:val="003700D8"/>
    <w:rsid w:val="003705B1"/>
    <w:rsid w:val="00370D32"/>
    <w:rsid w:val="00370E32"/>
    <w:rsid w:val="0037100A"/>
    <w:rsid w:val="00371536"/>
    <w:rsid w:val="00371AA7"/>
    <w:rsid w:val="00372044"/>
    <w:rsid w:val="003728CC"/>
    <w:rsid w:val="00372AAD"/>
    <w:rsid w:val="00372C60"/>
    <w:rsid w:val="003733BE"/>
    <w:rsid w:val="00373964"/>
    <w:rsid w:val="00373B03"/>
    <w:rsid w:val="00373C18"/>
    <w:rsid w:val="00373F21"/>
    <w:rsid w:val="003741C8"/>
    <w:rsid w:val="0037494F"/>
    <w:rsid w:val="00374D34"/>
    <w:rsid w:val="00374E70"/>
    <w:rsid w:val="00374EB8"/>
    <w:rsid w:val="003755DE"/>
    <w:rsid w:val="003757E3"/>
    <w:rsid w:val="003770BD"/>
    <w:rsid w:val="0037755C"/>
    <w:rsid w:val="00377648"/>
    <w:rsid w:val="003776C7"/>
    <w:rsid w:val="0037775F"/>
    <w:rsid w:val="00377D25"/>
    <w:rsid w:val="00380295"/>
    <w:rsid w:val="00380E10"/>
    <w:rsid w:val="00380EF7"/>
    <w:rsid w:val="00381284"/>
    <w:rsid w:val="0038165B"/>
    <w:rsid w:val="00381D00"/>
    <w:rsid w:val="00381EBD"/>
    <w:rsid w:val="0038263D"/>
    <w:rsid w:val="00382AB2"/>
    <w:rsid w:val="00382B84"/>
    <w:rsid w:val="00383CE9"/>
    <w:rsid w:val="00383D5A"/>
    <w:rsid w:val="003848EB"/>
    <w:rsid w:val="00384D01"/>
    <w:rsid w:val="00384FB0"/>
    <w:rsid w:val="0038535C"/>
    <w:rsid w:val="00386B77"/>
    <w:rsid w:val="00386F3C"/>
    <w:rsid w:val="00387816"/>
    <w:rsid w:val="00387B7C"/>
    <w:rsid w:val="00387FB6"/>
    <w:rsid w:val="00390962"/>
    <w:rsid w:val="00390EBD"/>
    <w:rsid w:val="00391415"/>
    <w:rsid w:val="0039178D"/>
    <w:rsid w:val="003919F0"/>
    <w:rsid w:val="00391A1C"/>
    <w:rsid w:val="00391D65"/>
    <w:rsid w:val="0039354A"/>
    <w:rsid w:val="00394024"/>
    <w:rsid w:val="00394214"/>
    <w:rsid w:val="0039423A"/>
    <w:rsid w:val="00394860"/>
    <w:rsid w:val="003949E2"/>
    <w:rsid w:val="00394D6E"/>
    <w:rsid w:val="00395000"/>
    <w:rsid w:val="003950C4"/>
    <w:rsid w:val="0039515A"/>
    <w:rsid w:val="00395335"/>
    <w:rsid w:val="00395596"/>
    <w:rsid w:val="00395EDB"/>
    <w:rsid w:val="00395F91"/>
    <w:rsid w:val="0039660F"/>
    <w:rsid w:val="003968FF"/>
    <w:rsid w:val="00396BD6"/>
    <w:rsid w:val="003974D6"/>
    <w:rsid w:val="0039762F"/>
    <w:rsid w:val="003A0074"/>
    <w:rsid w:val="003A00BF"/>
    <w:rsid w:val="003A0437"/>
    <w:rsid w:val="003A0D86"/>
    <w:rsid w:val="003A11FD"/>
    <w:rsid w:val="003A137C"/>
    <w:rsid w:val="003A1585"/>
    <w:rsid w:val="003A16EC"/>
    <w:rsid w:val="003A1B1B"/>
    <w:rsid w:val="003A1C0A"/>
    <w:rsid w:val="003A1DF7"/>
    <w:rsid w:val="003A276F"/>
    <w:rsid w:val="003A2E2E"/>
    <w:rsid w:val="003A3452"/>
    <w:rsid w:val="003A38AC"/>
    <w:rsid w:val="003A4354"/>
    <w:rsid w:val="003A4E20"/>
    <w:rsid w:val="003A50FE"/>
    <w:rsid w:val="003A5769"/>
    <w:rsid w:val="003A5C2A"/>
    <w:rsid w:val="003A5D2F"/>
    <w:rsid w:val="003A5E4A"/>
    <w:rsid w:val="003A5EA8"/>
    <w:rsid w:val="003A64F5"/>
    <w:rsid w:val="003A6668"/>
    <w:rsid w:val="003A694D"/>
    <w:rsid w:val="003A6F7B"/>
    <w:rsid w:val="003A78BD"/>
    <w:rsid w:val="003A7B65"/>
    <w:rsid w:val="003B1397"/>
    <w:rsid w:val="003B188B"/>
    <w:rsid w:val="003B2249"/>
    <w:rsid w:val="003B2943"/>
    <w:rsid w:val="003B3128"/>
    <w:rsid w:val="003B3881"/>
    <w:rsid w:val="003B3DCF"/>
    <w:rsid w:val="003B4110"/>
    <w:rsid w:val="003B57FB"/>
    <w:rsid w:val="003B6423"/>
    <w:rsid w:val="003B6562"/>
    <w:rsid w:val="003B700E"/>
    <w:rsid w:val="003B71ED"/>
    <w:rsid w:val="003B787A"/>
    <w:rsid w:val="003C0C76"/>
    <w:rsid w:val="003C1B79"/>
    <w:rsid w:val="003C20C6"/>
    <w:rsid w:val="003C2354"/>
    <w:rsid w:val="003C253A"/>
    <w:rsid w:val="003C2A78"/>
    <w:rsid w:val="003C3C20"/>
    <w:rsid w:val="003C3E23"/>
    <w:rsid w:val="003C3E4B"/>
    <w:rsid w:val="003C4D9B"/>
    <w:rsid w:val="003C4FC7"/>
    <w:rsid w:val="003C521D"/>
    <w:rsid w:val="003C5334"/>
    <w:rsid w:val="003C55C6"/>
    <w:rsid w:val="003C588F"/>
    <w:rsid w:val="003C5F3D"/>
    <w:rsid w:val="003C6666"/>
    <w:rsid w:val="003C66CC"/>
    <w:rsid w:val="003C6923"/>
    <w:rsid w:val="003C6F4F"/>
    <w:rsid w:val="003C760D"/>
    <w:rsid w:val="003C7ADE"/>
    <w:rsid w:val="003C7DF0"/>
    <w:rsid w:val="003D041C"/>
    <w:rsid w:val="003D1622"/>
    <w:rsid w:val="003D18D7"/>
    <w:rsid w:val="003D193F"/>
    <w:rsid w:val="003D1DA7"/>
    <w:rsid w:val="003D2855"/>
    <w:rsid w:val="003D3114"/>
    <w:rsid w:val="003D387C"/>
    <w:rsid w:val="003D4457"/>
    <w:rsid w:val="003D44D9"/>
    <w:rsid w:val="003D4CBD"/>
    <w:rsid w:val="003D4ED1"/>
    <w:rsid w:val="003D51E5"/>
    <w:rsid w:val="003D599D"/>
    <w:rsid w:val="003D5EFC"/>
    <w:rsid w:val="003D6492"/>
    <w:rsid w:val="003D6C9E"/>
    <w:rsid w:val="003D6F54"/>
    <w:rsid w:val="003D6F6C"/>
    <w:rsid w:val="003D70AB"/>
    <w:rsid w:val="003D7FBC"/>
    <w:rsid w:val="003E04C3"/>
    <w:rsid w:val="003E155F"/>
    <w:rsid w:val="003E16B4"/>
    <w:rsid w:val="003E1968"/>
    <w:rsid w:val="003E1A4D"/>
    <w:rsid w:val="003E1C3B"/>
    <w:rsid w:val="003E268E"/>
    <w:rsid w:val="003E318F"/>
    <w:rsid w:val="003E349E"/>
    <w:rsid w:val="003E38D8"/>
    <w:rsid w:val="003E3C96"/>
    <w:rsid w:val="003E3FAC"/>
    <w:rsid w:val="003E43AD"/>
    <w:rsid w:val="003E45D4"/>
    <w:rsid w:val="003E466A"/>
    <w:rsid w:val="003E4F5C"/>
    <w:rsid w:val="003E520B"/>
    <w:rsid w:val="003E5288"/>
    <w:rsid w:val="003E5569"/>
    <w:rsid w:val="003E5EB1"/>
    <w:rsid w:val="003E6349"/>
    <w:rsid w:val="003E6DF7"/>
    <w:rsid w:val="003E70F0"/>
    <w:rsid w:val="003E7117"/>
    <w:rsid w:val="003E7969"/>
    <w:rsid w:val="003E7B8C"/>
    <w:rsid w:val="003F0915"/>
    <w:rsid w:val="003F0B0C"/>
    <w:rsid w:val="003F0DEB"/>
    <w:rsid w:val="003F1A92"/>
    <w:rsid w:val="003F1E88"/>
    <w:rsid w:val="003F2174"/>
    <w:rsid w:val="003F2C81"/>
    <w:rsid w:val="003F2CBE"/>
    <w:rsid w:val="003F2CD2"/>
    <w:rsid w:val="003F31A4"/>
    <w:rsid w:val="003F3459"/>
    <w:rsid w:val="003F3E46"/>
    <w:rsid w:val="003F54E8"/>
    <w:rsid w:val="003F6AE4"/>
    <w:rsid w:val="003F6F5B"/>
    <w:rsid w:val="004003EE"/>
    <w:rsid w:val="00400604"/>
    <w:rsid w:val="0040086D"/>
    <w:rsid w:val="004008D5"/>
    <w:rsid w:val="00401413"/>
    <w:rsid w:val="00401514"/>
    <w:rsid w:val="004017CF"/>
    <w:rsid w:val="00402055"/>
    <w:rsid w:val="00402480"/>
    <w:rsid w:val="00402684"/>
    <w:rsid w:val="00402C7C"/>
    <w:rsid w:val="00402DFF"/>
    <w:rsid w:val="00402EEA"/>
    <w:rsid w:val="0040307E"/>
    <w:rsid w:val="004032EE"/>
    <w:rsid w:val="0040340B"/>
    <w:rsid w:val="00403606"/>
    <w:rsid w:val="00403999"/>
    <w:rsid w:val="00403A37"/>
    <w:rsid w:val="00403A54"/>
    <w:rsid w:val="00404640"/>
    <w:rsid w:val="00404A72"/>
    <w:rsid w:val="00404F8A"/>
    <w:rsid w:val="00405A97"/>
    <w:rsid w:val="00406B96"/>
    <w:rsid w:val="00406CEA"/>
    <w:rsid w:val="00407273"/>
    <w:rsid w:val="0040738D"/>
    <w:rsid w:val="00407A7D"/>
    <w:rsid w:val="00407D63"/>
    <w:rsid w:val="00407EF5"/>
    <w:rsid w:val="00410953"/>
    <w:rsid w:val="00410BDD"/>
    <w:rsid w:val="00410F15"/>
    <w:rsid w:val="004111B3"/>
    <w:rsid w:val="004113B7"/>
    <w:rsid w:val="00411504"/>
    <w:rsid w:val="004124A9"/>
    <w:rsid w:val="004125CD"/>
    <w:rsid w:val="00412D3F"/>
    <w:rsid w:val="00413731"/>
    <w:rsid w:val="0041406F"/>
    <w:rsid w:val="0041454A"/>
    <w:rsid w:val="004147AD"/>
    <w:rsid w:val="004153C3"/>
    <w:rsid w:val="00415986"/>
    <w:rsid w:val="00416836"/>
    <w:rsid w:val="00417475"/>
    <w:rsid w:val="00417D46"/>
    <w:rsid w:val="00417EF2"/>
    <w:rsid w:val="00420015"/>
    <w:rsid w:val="00420494"/>
    <w:rsid w:val="00420B0B"/>
    <w:rsid w:val="004215E2"/>
    <w:rsid w:val="00421A5D"/>
    <w:rsid w:val="00421AEE"/>
    <w:rsid w:val="00422177"/>
    <w:rsid w:val="004222C5"/>
    <w:rsid w:val="00422949"/>
    <w:rsid w:val="00422C20"/>
    <w:rsid w:val="00423151"/>
    <w:rsid w:val="00423296"/>
    <w:rsid w:val="004236BC"/>
    <w:rsid w:val="00423A84"/>
    <w:rsid w:val="00423D3A"/>
    <w:rsid w:val="00424260"/>
    <w:rsid w:val="00424432"/>
    <w:rsid w:val="00424999"/>
    <w:rsid w:val="00424B92"/>
    <w:rsid w:val="00424BA2"/>
    <w:rsid w:val="00424CCE"/>
    <w:rsid w:val="004255C1"/>
    <w:rsid w:val="0042689E"/>
    <w:rsid w:val="00426DD6"/>
    <w:rsid w:val="00427DBD"/>
    <w:rsid w:val="004302C0"/>
    <w:rsid w:val="00430495"/>
    <w:rsid w:val="00431728"/>
    <w:rsid w:val="004317FC"/>
    <w:rsid w:val="00431FB2"/>
    <w:rsid w:val="00432EC7"/>
    <w:rsid w:val="0043323D"/>
    <w:rsid w:val="004332D7"/>
    <w:rsid w:val="0043365F"/>
    <w:rsid w:val="0043392C"/>
    <w:rsid w:val="00433B63"/>
    <w:rsid w:val="00433CEE"/>
    <w:rsid w:val="0043407D"/>
    <w:rsid w:val="004343EF"/>
    <w:rsid w:val="00435048"/>
    <w:rsid w:val="0043537F"/>
    <w:rsid w:val="00435905"/>
    <w:rsid w:val="00435AA0"/>
    <w:rsid w:val="00435AD2"/>
    <w:rsid w:val="00435EC8"/>
    <w:rsid w:val="00435FFE"/>
    <w:rsid w:val="00436119"/>
    <w:rsid w:val="004364F4"/>
    <w:rsid w:val="004368B6"/>
    <w:rsid w:val="00436C6C"/>
    <w:rsid w:val="004377B7"/>
    <w:rsid w:val="00437877"/>
    <w:rsid w:val="0044022D"/>
    <w:rsid w:val="004403C2"/>
    <w:rsid w:val="00440C72"/>
    <w:rsid w:val="00441351"/>
    <w:rsid w:val="00442223"/>
    <w:rsid w:val="00442D45"/>
    <w:rsid w:val="004437C3"/>
    <w:rsid w:val="00443B3F"/>
    <w:rsid w:val="00443DD5"/>
    <w:rsid w:val="00443EC9"/>
    <w:rsid w:val="00444339"/>
    <w:rsid w:val="00444A89"/>
    <w:rsid w:val="0044510E"/>
    <w:rsid w:val="00445F57"/>
    <w:rsid w:val="00445FDB"/>
    <w:rsid w:val="00446829"/>
    <w:rsid w:val="004468A1"/>
    <w:rsid w:val="00446B13"/>
    <w:rsid w:val="00446FC4"/>
    <w:rsid w:val="004470BF"/>
    <w:rsid w:val="0044767F"/>
    <w:rsid w:val="004479E9"/>
    <w:rsid w:val="004505E4"/>
    <w:rsid w:val="004506CC"/>
    <w:rsid w:val="00450E20"/>
    <w:rsid w:val="00452D63"/>
    <w:rsid w:val="00453738"/>
    <w:rsid w:val="00453FB3"/>
    <w:rsid w:val="00454153"/>
    <w:rsid w:val="004543FA"/>
    <w:rsid w:val="00454855"/>
    <w:rsid w:val="004548ED"/>
    <w:rsid w:val="004555DC"/>
    <w:rsid w:val="00455662"/>
    <w:rsid w:val="00455DC2"/>
    <w:rsid w:val="00455E5E"/>
    <w:rsid w:val="00456226"/>
    <w:rsid w:val="004564C5"/>
    <w:rsid w:val="0045672A"/>
    <w:rsid w:val="00456A57"/>
    <w:rsid w:val="00456D94"/>
    <w:rsid w:val="0045712B"/>
    <w:rsid w:val="0045737F"/>
    <w:rsid w:val="00457511"/>
    <w:rsid w:val="00457777"/>
    <w:rsid w:val="00460824"/>
    <w:rsid w:val="004608E4"/>
    <w:rsid w:val="004619CD"/>
    <w:rsid w:val="00461FB9"/>
    <w:rsid w:val="00461FCA"/>
    <w:rsid w:val="00462273"/>
    <w:rsid w:val="004627F3"/>
    <w:rsid w:val="00462A30"/>
    <w:rsid w:val="00462A9F"/>
    <w:rsid w:val="00462DB3"/>
    <w:rsid w:val="00462E93"/>
    <w:rsid w:val="004631D2"/>
    <w:rsid w:val="00463244"/>
    <w:rsid w:val="004636BF"/>
    <w:rsid w:val="0046505F"/>
    <w:rsid w:val="0046613C"/>
    <w:rsid w:val="00466941"/>
    <w:rsid w:val="00466A16"/>
    <w:rsid w:val="00466C61"/>
    <w:rsid w:val="00466E98"/>
    <w:rsid w:val="00467604"/>
    <w:rsid w:val="004678F3"/>
    <w:rsid w:val="00467C73"/>
    <w:rsid w:val="004700E9"/>
    <w:rsid w:val="004703FA"/>
    <w:rsid w:val="004710F1"/>
    <w:rsid w:val="00471112"/>
    <w:rsid w:val="004711DC"/>
    <w:rsid w:val="00471284"/>
    <w:rsid w:val="00471647"/>
    <w:rsid w:val="00472214"/>
    <w:rsid w:val="004724BD"/>
    <w:rsid w:val="004729E7"/>
    <w:rsid w:val="00472B74"/>
    <w:rsid w:val="00473573"/>
    <w:rsid w:val="0047362D"/>
    <w:rsid w:val="004737B7"/>
    <w:rsid w:val="00474476"/>
    <w:rsid w:val="004748BF"/>
    <w:rsid w:val="00476222"/>
    <w:rsid w:val="00476BEF"/>
    <w:rsid w:val="0047753E"/>
    <w:rsid w:val="004776D1"/>
    <w:rsid w:val="00477B26"/>
    <w:rsid w:val="00477EA7"/>
    <w:rsid w:val="004802AF"/>
    <w:rsid w:val="004803D6"/>
    <w:rsid w:val="00480402"/>
    <w:rsid w:val="004819C1"/>
    <w:rsid w:val="00481FD4"/>
    <w:rsid w:val="0048287B"/>
    <w:rsid w:val="004829FE"/>
    <w:rsid w:val="00483294"/>
    <w:rsid w:val="0048358B"/>
    <w:rsid w:val="0048384A"/>
    <w:rsid w:val="00483C82"/>
    <w:rsid w:val="00483EBD"/>
    <w:rsid w:val="0048416F"/>
    <w:rsid w:val="00484967"/>
    <w:rsid w:val="004849FC"/>
    <w:rsid w:val="00484DEE"/>
    <w:rsid w:val="00484F10"/>
    <w:rsid w:val="004863B9"/>
    <w:rsid w:val="00486EBA"/>
    <w:rsid w:val="0048715D"/>
    <w:rsid w:val="0048720E"/>
    <w:rsid w:val="00487650"/>
    <w:rsid w:val="00487A20"/>
    <w:rsid w:val="00487B6C"/>
    <w:rsid w:val="00491AD2"/>
    <w:rsid w:val="00491AEC"/>
    <w:rsid w:val="004928A9"/>
    <w:rsid w:val="00492B54"/>
    <w:rsid w:val="00492E45"/>
    <w:rsid w:val="00493871"/>
    <w:rsid w:val="0049488C"/>
    <w:rsid w:val="00494BE8"/>
    <w:rsid w:val="00494D36"/>
    <w:rsid w:val="004950D6"/>
    <w:rsid w:val="004953C0"/>
    <w:rsid w:val="004954C8"/>
    <w:rsid w:val="00495750"/>
    <w:rsid w:val="00495832"/>
    <w:rsid w:val="004958BB"/>
    <w:rsid w:val="00495B4C"/>
    <w:rsid w:val="004964DB"/>
    <w:rsid w:val="0049660A"/>
    <w:rsid w:val="00496885"/>
    <w:rsid w:val="00496971"/>
    <w:rsid w:val="00496A66"/>
    <w:rsid w:val="00496AFB"/>
    <w:rsid w:val="00496B54"/>
    <w:rsid w:val="00496DA6"/>
    <w:rsid w:val="00496DB7"/>
    <w:rsid w:val="00497431"/>
    <w:rsid w:val="004979BC"/>
    <w:rsid w:val="00497BDE"/>
    <w:rsid w:val="00497CFE"/>
    <w:rsid w:val="004A0C1F"/>
    <w:rsid w:val="004A10EC"/>
    <w:rsid w:val="004A1421"/>
    <w:rsid w:val="004A189B"/>
    <w:rsid w:val="004A2363"/>
    <w:rsid w:val="004A2926"/>
    <w:rsid w:val="004A3136"/>
    <w:rsid w:val="004A34A2"/>
    <w:rsid w:val="004A354C"/>
    <w:rsid w:val="004A376B"/>
    <w:rsid w:val="004A3894"/>
    <w:rsid w:val="004A4673"/>
    <w:rsid w:val="004A46BC"/>
    <w:rsid w:val="004A4700"/>
    <w:rsid w:val="004A4E19"/>
    <w:rsid w:val="004A51BA"/>
    <w:rsid w:val="004A5590"/>
    <w:rsid w:val="004A5C53"/>
    <w:rsid w:val="004A6140"/>
    <w:rsid w:val="004A615C"/>
    <w:rsid w:val="004A6624"/>
    <w:rsid w:val="004A6C79"/>
    <w:rsid w:val="004A6EDE"/>
    <w:rsid w:val="004A777D"/>
    <w:rsid w:val="004A7CDE"/>
    <w:rsid w:val="004A7D22"/>
    <w:rsid w:val="004B068D"/>
    <w:rsid w:val="004B08FF"/>
    <w:rsid w:val="004B0D18"/>
    <w:rsid w:val="004B172B"/>
    <w:rsid w:val="004B1B63"/>
    <w:rsid w:val="004B1D70"/>
    <w:rsid w:val="004B236F"/>
    <w:rsid w:val="004B2760"/>
    <w:rsid w:val="004B28C1"/>
    <w:rsid w:val="004B301F"/>
    <w:rsid w:val="004B3968"/>
    <w:rsid w:val="004B3D75"/>
    <w:rsid w:val="004B404D"/>
    <w:rsid w:val="004B4092"/>
    <w:rsid w:val="004B4D83"/>
    <w:rsid w:val="004B4E51"/>
    <w:rsid w:val="004B5298"/>
    <w:rsid w:val="004B627A"/>
    <w:rsid w:val="004B6413"/>
    <w:rsid w:val="004B6967"/>
    <w:rsid w:val="004B69B9"/>
    <w:rsid w:val="004B69E9"/>
    <w:rsid w:val="004B6AD7"/>
    <w:rsid w:val="004B6C45"/>
    <w:rsid w:val="004B6DC8"/>
    <w:rsid w:val="004B6E07"/>
    <w:rsid w:val="004B6EE9"/>
    <w:rsid w:val="004B711E"/>
    <w:rsid w:val="004B729E"/>
    <w:rsid w:val="004B7439"/>
    <w:rsid w:val="004C03AA"/>
    <w:rsid w:val="004C0A13"/>
    <w:rsid w:val="004C0F0F"/>
    <w:rsid w:val="004C1DC9"/>
    <w:rsid w:val="004C1EEF"/>
    <w:rsid w:val="004C29E7"/>
    <w:rsid w:val="004C3687"/>
    <w:rsid w:val="004C391F"/>
    <w:rsid w:val="004C4266"/>
    <w:rsid w:val="004C4609"/>
    <w:rsid w:val="004C4F1F"/>
    <w:rsid w:val="004C51E1"/>
    <w:rsid w:val="004C5758"/>
    <w:rsid w:val="004C6392"/>
    <w:rsid w:val="004C6B6C"/>
    <w:rsid w:val="004C6D17"/>
    <w:rsid w:val="004C7334"/>
    <w:rsid w:val="004C753A"/>
    <w:rsid w:val="004C77EA"/>
    <w:rsid w:val="004D05AF"/>
    <w:rsid w:val="004D0F98"/>
    <w:rsid w:val="004D1778"/>
    <w:rsid w:val="004D1CA3"/>
    <w:rsid w:val="004D2169"/>
    <w:rsid w:val="004D22AD"/>
    <w:rsid w:val="004D301E"/>
    <w:rsid w:val="004D3ACE"/>
    <w:rsid w:val="004D3C30"/>
    <w:rsid w:val="004D3C61"/>
    <w:rsid w:val="004D3E9E"/>
    <w:rsid w:val="004D405F"/>
    <w:rsid w:val="004D430F"/>
    <w:rsid w:val="004D4849"/>
    <w:rsid w:val="004D5114"/>
    <w:rsid w:val="004D5187"/>
    <w:rsid w:val="004D51A9"/>
    <w:rsid w:val="004D5423"/>
    <w:rsid w:val="004D59F6"/>
    <w:rsid w:val="004D5CBD"/>
    <w:rsid w:val="004D6165"/>
    <w:rsid w:val="004D61D8"/>
    <w:rsid w:val="004D63EF"/>
    <w:rsid w:val="004D6486"/>
    <w:rsid w:val="004D64C4"/>
    <w:rsid w:val="004D6709"/>
    <w:rsid w:val="004D7A56"/>
    <w:rsid w:val="004D7DC5"/>
    <w:rsid w:val="004E00E3"/>
    <w:rsid w:val="004E0D15"/>
    <w:rsid w:val="004E0E86"/>
    <w:rsid w:val="004E16E7"/>
    <w:rsid w:val="004E20D7"/>
    <w:rsid w:val="004E2130"/>
    <w:rsid w:val="004E2360"/>
    <w:rsid w:val="004E237F"/>
    <w:rsid w:val="004E2390"/>
    <w:rsid w:val="004E2EBE"/>
    <w:rsid w:val="004E2FFA"/>
    <w:rsid w:val="004E3815"/>
    <w:rsid w:val="004E3905"/>
    <w:rsid w:val="004E3AF9"/>
    <w:rsid w:val="004E3C11"/>
    <w:rsid w:val="004E4041"/>
    <w:rsid w:val="004E40A2"/>
    <w:rsid w:val="004E6A0C"/>
    <w:rsid w:val="004E6B8E"/>
    <w:rsid w:val="004E6C07"/>
    <w:rsid w:val="004E7184"/>
    <w:rsid w:val="004E742C"/>
    <w:rsid w:val="004E76A2"/>
    <w:rsid w:val="004E7C31"/>
    <w:rsid w:val="004F08A9"/>
    <w:rsid w:val="004F0A3A"/>
    <w:rsid w:val="004F0DB0"/>
    <w:rsid w:val="004F1615"/>
    <w:rsid w:val="004F1641"/>
    <w:rsid w:val="004F17DE"/>
    <w:rsid w:val="004F252B"/>
    <w:rsid w:val="004F2A21"/>
    <w:rsid w:val="004F2E7D"/>
    <w:rsid w:val="004F46F8"/>
    <w:rsid w:val="004F4AEC"/>
    <w:rsid w:val="004F4FF5"/>
    <w:rsid w:val="004F59CB"/>
    <w:rsid w:val="004F6459"/>
    <w:rsid w:val="004F6597"/>
    <w:rsid w:val="004F6AD7"/>
    <w:rsid w:val="004F6C27"/>
    <w:rsid w:val="004F6C42"/>
    <w:rsid w:val="004F716E"/>
    <w:rsid w:val="004F7A0B"/>
    <w:rsid w:val="004F7E9B"/>
    <w:rsid w:val="004F7FEF"/>
    <w:rsid w:val="005010B7"/>
    <w:rsid w:val="00501A71"/>
    <w:rsid w:val="00501EFC"/>
    <w:rsid w:val="00502366"/>
    <w:rsid w:val="00502942"/>
    <w:rsid w:val="00502BB7"/>
    <w:rsid w:val="00502EE9"/>
    <w:rsid w:val="00503038"/>
    <w:rsid w:val="00503E81"/>
    <w:rsid w:val="005045A7"/>
    <w:rsid w:val="005049DB"/>
    <w:rsid w:val="00504AB9"/>
    <w:rsid w:val="005052ED"/>
    <w:rsid w:val="00505F83"/>
    <w:rsid w:val="0050634C"/>
    <w:rsid w:val="0050692A"/>
    <w:rsid w:val="00506991"/>
    <w:rsid w:val="005070FD"/>
    <w:rsid w:val="00507E61"/>
    <w:rsid w:val="00510158"/>
    <w:rsid w:val="00510C99"/>
    <w:rsid w:val="00511A65"/>
    <w:rsid w:val="00511C70"/>
    <w:rsid w:val="00511E67"/>
    <w:rsid w:val="00511FDB"/>
    <w:rsid w:val="00512179"/>
    <w:rsid w:val="005125E9"/>
    <w:rsid w:val="00512E13"/>
    <w:rsid w:val="0051304B"/>
    <w:rsid w:val="0051343F"/>
    <w:rsid w:val="005135D6"/>
    <w:rsid w:val="0051397B"/>
    <w:rsid w:val="00513D1E"/>
    <w:rsid w:val="00513E17"/>
    <w:rsid w:val="005140D9"/>
    <w:rsid w:val="005145F5"/>
    <w:rsid w:val="005174FF"/>
    <w:rsid w:val="0051783C"/>
    <w:rsid w:val="00517BE1"/>
    <w:rsid w:val="00520504"/>
    <w:rsid w:val="00521092"/>
    <w:rsid w:val="00521DE3"/>
    <w:rsid w:val="00521E79"/>
    <w:rsid w:val="00521F39"/>
    <w:rsid w:val="005220C5"/>
    <w:rsid w:val="00522A43"/>
    <w:rsid w:val="00522BB5"/>
    <w:rsid w:val="00523033"/>
    <w:rsid w:val="00523149"/>
    <w:rsid w:val="005233B3"/>
    <w:rsid w:val="00523A98"/>
    <w:rsid w:val="00523D04"/>
    <w:rsid w:val="005241D5"/>
    <w:rsid w:val="005246B5"/>
    <w:rsid w:val="00524735"/>
    <w:rsid w:val="005252C3"/>
    <w:rsid w:val="0052533C"/>
    <w:rsid w:val="00525BFA"/>
    <w:rsid w:val="00525FB2"/>
    <w:rsid w:val="005260B1"/>
    <w:rsid w:val="0052617E"/>
    <w:rsid w:val="0052670A"/>
    <w:rsid w:val="00526BA9"/>
    <w:rsid w:val="005271BD"/>
    <w:rsid w:val="00527B03"/>
    <w:rsid w:val="005302E3"/>
    <w:rsid w:val="005308F6"/>
    <w:rsid w:val="00531254"/>
    <w:rsid w:val="00531EAA"/>
    <w:rsid w:val="005326C0"/>
    <w:rsid w:val="00532850"/>
    <w:rsid w:val="0053287B"/>
    <w:rsid w:val="0053316B"/>
    <w:rsid w:val="00533206"/>
    <w:rsid w:val="005333E2"/>
    <w:rsid w:val="005338FC"/>
    <w:rsid w:val="00533D8A"/>
    <w:rsid w:val="005341B7"/>
    <w:rsid w:val="00534319"/>
    <w:rsid w:val="0053439B"/>
    <w:rsid w:val="005350CB"/>
    <w:rsid w:val="005352C0"/>
    <w:rsid w:val="00536DCC"/>
    <w:rsid w:val="005373C7"/>
    <w:rsid w:val="005401C5"/>
    <w:rsid w:val="005418C6"/>
    <w:rsid w:val="005418FF"/>
    <w:rsid w:val="00541B82"/>
    <w:rsid w:val="00541C3B"/>
    <w:rsid w:val="00541C57"/>
    <w:rsid w:val="00541DC4"/>
    <w:rsid w:val="00541E4F"/>
    <w:rsid w:val="005424A4"/>
    <w:rsid w:val="005427A5"/>
    <w:rsid w:val="00543A5B"/>
    <w:rsid w:val="00543DED"/>
    <w:rsid w:val="00543E4F"/>
    <w:rsid w:val="0054407E"/>
    <w:rsid w:val="005443B3"/>
    <w:rsid w:val="0054442F"/>
    <w:rsid w:val="00544522"/>
    <w:rsid w:val="00544A40"/>
    <w:rsid w:val="00544E1B"/>
    <w:rsid w:val="00544E50"/>
    <w:rsid w:val="00544F2F"/>
    <w:rsid w:val="00545B3B"/>
    <w:rsid w:val="00545C9B"/>
    <w:rsid w:val="005465B7"/>
    <w:rsid w:val="00546BCC"/>
    <w:rsid w:val="00546E83"/>
    <w:rsid w:val="00547472"/>
    <w:rsid w:val="00547A59"/>
    <w:rsid w:val="00547C92"/>
    <w:rsid w:val="0055001D"/>
    <w:rsid w:val="005508F6"/>
    <w:rsid w:val="005515E3"/>
    <w:rsid w:val="00551921"/>
    <w:rsid w:val="00553881"/>
    <w:rsid w:val="0055441E"/>
    <w:rsid w:val="00554AC3"/>
    <w:rsid w:val="00554D1E"/>
    <w:rsid w:val="00555397"/>
    <w:rsid w:val="00555611"/>
    <w:rsid w:val="00555A84"/>
    <w:rsid w:val="00555BB1"/>
    <w:rsid w:val="00557A55"/>
    <w:rsid w:val="00557A65"/>
    <w:rsid w:val="00557B65"/>
    <w:rsid w:val="00561184"/>
    <w:rsid w:val="005612FD"/>
    <w:rsid w:val="00561B34"/>
    <w:rsid w:val="0056229D"/>
    <w:rsid w:val="005628B0"/>
    <w:rsid w:val="005628FC"/>
    <w:rsid w:val="00562A32"/>
    <w:rsid w:val="00563E24"/>
    <w:rsid w:val="00564089"/>
    <w:rsid w:val="005641C4"/>
    <w:rsid w:val="0056461F"/>
    <w:rsid w:val="0056494F"/>
    <w:rsid w:val="005649D7"/>
    <w:rsid w:val="00564E7F"/>
    <w:rsid w:val="005654DB"/>
    <w:rsid w:val="005656DD"/>
    <w:rsid w:val="00566169"/>
    <w:rsid w:val="0056656B"/>
    <w:rsid w:val="0056665E"/>
    <w:rsid w:val="005669CC"/>
    <w:rsid w:val="00566C09"/>
    <w:rsid w:val="0056753A"/>
    <w:rsid w:val="005677EC"/>
    <w:rsid w:val="00567BF4"/>
    <w:rsid w:val="0057053F"/>
    <w:rsid w:val="00570687"/>
    <w:rsid w:val="00570BCF"/>
    <w:rsid w:val="005713C0"/>
    <w:rsid w:val="00571454"/>
    <w:rsid w:val="00571505"/>
    <w:rsid w:val="00571AC6"/>
    <w:rsid w:val="005720A9"/>
    <w:rsid w:val="005728F8"/>
    <w:rsid w:val="0057292A"/>
    <w:rsid w:val="00573142"/>
    <w:rsid w:val="0057343F"/>
    <w:rsid w:val="005735A8"/>
    <w:rsid w:val="005735C0"/>
    <w:rsid w:val="00573DCD"/>
    <w:rsid w:val="00574304"/>
    <w:rsid w:val="0057437E"/>
    <w:rsid w:val="005745F3"/>
    <w:rsid w:val="005748F8"/>
    <w:rsid w:val="00574D1F"/>
    <w:rsid w:val="005750B1"/>
    <w:rsid w:val="00575640"/>
    <w:rsid w:val="005759B6"/>
    <w:rsid w:val="00575A9A"/>
    <w:rsid w:val="005762A0"/>
    <w:rsid w:val="00576988"/>
    <w:rsid w:val="005777CE"/>
    <w:rsid w:val="00577DDF"/>
    <w:rsid w:val="00577E69"/>
    <w:rsid w:val="0058000B"/>
    <w:rsid w:val="005805EF"/>
    <w:rsid w:val="0058060E"/>
    <w:rsid w:val="005819A7"/>
    <w:rsid w:val="00581D30"/>
    <w:rsid w:val="00584A51"/>
    <w:rsid w:val="0058523B"/>
    <w:rsid w:val="0058534A"/>
    <w:rsid w:val="00585436"/>
    <w:rsid w:val="0058551F"/>
    <w:rsid w:val="00585EED"/>
    <w:rsid w:val="00586B0B"/>
    <w:rsid w:val="00587666"/>
    <w:rsid w:val="0058772C"/>
    <w:rsid w:val="0059037F"/>
    <w:rsid w:val="00590422"/>
    <w:rsid w:val="005908ED"/>
    <w:rsid w:val="005909A6"/>
    <w:rsid w:val="00590A65"/>
    <w:rsid w:val="00590EB8"/>
    <w:rsid w:val="005914FE"/>
    <w:rsid w:val="005925ED"/>
    <w:rsid w:val="00592A2F"/>
    <w:rsid w:val="00592C97"/>
    <w:rsid w:val="005931DE"/>
    <w:rsid w:val="00593C65"/>
    <w:rsid w:val="0059411F"/>
    <w:rsid w:val="0059440D"/>
    <w:rsid w:val="005957FF"/>
    <w:rsid w:val="0059580A"/>
    <w:rsid w:val="00595813"/>
    <w:rsid w:val="00596076"/>
    <w:rsid w:val="005961EA"/>
    <w:rsid w:val="00596D59"/>
    <w:rsid w:val="00596E0F"/>
    <w:rsid w:val="00596E7B"/>
    <w:rsid w:val="00597AB5"/>
    <w:rsid w:val="00597B73"/>
    <w:rsid w:val="00597C19"/>
    <w:rsid w:val="00597E70"/>
    <w:rsid w:val="005A0A24"/>
    <w:rsid w:val="005A0AA0"/>
    <w:rsid w:val="005A0D0C"/>
    <w:rsid w:val="005A13F0"/>
    <w:rsid w:val="005A1AAF"/>
    <w:rsid w:val="005A1B32"/>
    <w:rsid w:val="005A1C9E"/>
    <w:rsid w:val="005A1EC9"/>
    <w:rsid w:val="005A23FC"/>
    <w:rsid w:val="005A26BA"/>
    <w:rsid w:val="005A2BC6"/>
    <w:rsid w:val="005A2C33"/>
    <w:rsid w:val="005A2E49"/>
    <w:rsid w:val="005A2EF6"/>
    <w:rsid w:val="005A2EF8"/>
    <w:rsid w:val="005A31E5"/>
    <w:rsid w:val="005A4B7B"/>
    <w:rsid w:val="005A52C7"/>
    <w:rsid w:val="005A549E"/>
    <w:rsid w:val="005A5D53"/>
    <w:rsid w:val="005A616E"/>
    <w:rsid w:val="005A709B"/>
    <w:rsid w:val="005A7A52"/>
    <w:rsid w:val="005A7A79"/>
    <w:rsid w:val="005A7A97"/>
    <w:rsid w:val="005B00B0"/>
    <w:rsid w:val="005B03A8"/>
    <w:rsid w:val="005B06CE"/>
    <w:rsid w:val="005B0759"/>
    <w:rsid w:val="005B11EA"/>
    <w:rsid w:val="005B133B"/>
    <w:rsid w:val="005B1B3E"/>
    <w:rsid w:val="005B22F1"/>
    <w:rsid w:val="005B2B65"/>
    <w:rsid w:val="005B317A"/>
    <w:rsid w:val="005B346F"/>
    <w:rsid w:val="005B3E3A"/>
    <w:rsid w:val="005B4420"/>
    <w:rsid w:val="005B4E3E"/>
    <w:rsid w:val="005B56F3"/>
    <w:rsid w:val="005B58F0"/>
    <w:rsid w:val="005B5EF8"/>
    <w:rsid w:val="005B60D4"/>
    <w:rsid w:val="005B770B"/>
    <w:rsid w:val="005B7ABB"/>
    <w:rsid w:val="005C0C55"/>
    <w:rsid w:val="005C0D8B"/>
    <w:rsid w:val="005C1963"/>
    <w:rsid w:val="005C20E1"/>
    <w:rsid w:val="005C312B"/>
    <w:rsid w:val="005C38FE"/>
    <w:rsid w:val="005C3970"/>
    <w:rsid w:val="005C3F75"/>
    <w:rsid w:val="005C4063"/>
    <w:rsid w:val="005C415F"/>
    <w:rsid w:val="005C44BF"/>
    <w:rsid w:val="005C5502"/>
    <w:rsid w:val="005C563D"/>
    <w:rsid w:val="005C5901"/>
    <w:rsid w:val="005C59C1"/>
    <w:rsid w:val="005C5A54"/>
    <w:rsid w:val="005C5D45"/>
    <w:rsid w:val="005C63C7"/>
    <w:rsid w:val="005C6505"/>
    <w:rsid w:val="005C6728"/>
    <w:rsid w:val="005C6773"/>
    <w:rsid w:val="005C7CE2"/>
    <w:rsid w:val="005D0D1F"/>
    <w:rsid w:val="005D163B"/>
    <w:rsid w:val="005D17C6"/>
    <w:rsid w:val="005D242B"/>
    <w:rsid w:val="005D243C"/>
    <w:rsid w:val="005D2B4E"/>
    <w:rsid w:val="005D3347"/>
    <w:rsid w:val="005D410C"/>
    <w:rsid w:val="005D4485"/>
    <w:rsid w:val="005D4595"/>
    <w:rsid w:val="005D4AE5"/>
    <w:rsid w:val="005D4D6A"/>
    <w:rsid w:val="005D580A"/>
    <w:rsid w:val="005D5B87"/>
    <w:rsid w:val="005D67B9"/>
    <w:rsid w:val="005D6D6C"/>
    <w:rsid w:val="005D74B2"/>
    <w:rsid w:val="005E000E"/>
    <w:rsid w:val="005E0049"/>
    <w:rsid w:val="005E03E1"/>
    <w:rsid w:val="005E0C93"/>
    <w:rsid w:val="005E10F5"/>
    <w:rsid w:val="005E1233"/>
    <w:rsid w:val="005E267F"/>
    <w:rsid w:val="005E2C77"/>
    <w:rsid w:val="005E50CC"/>
    <w:rsid w:val="005E520F"/>
    <w:rsid w:val="005E5724"/>
    <w:rsid w:val="005E578F"/>
    <w:rsid w:val="005E586A"/>
    <w:rsid w:val="005E5C86"/>
    <w:rsid w:val="005E68EC"/>
    <w:rsid w:val="005E7ABD"/>
    <w:rsid w:val="005E7FAE"/>
    <w:rsid w:val="005F0395"/>
    <w:rsid w:val="005F07F1"/>
    <w:rsid w:val="005F0883"/>
    <w:rsid w:val="005F08E7"/>
    <w:rsid w:val="005F0AB8"/>
    <w:rsid w:val="005F0ACA"/>
    <w:rsid w:val="005F1001"/>
    <w:rsid w:val="005F10D3"/>
    <w:rsid w:val="005F22B1"/>
    <w:rsid w:val="005F22EA"/>
    <w:rsid w:val="005F33C7"/>
    <w:rsid w:val="005F3443"/>
    <w:rsid w:val="005F3A3C"/>
    <w:rsid w:val="005F3BCA"/>
    <w:rsid w:val="005F3BDB"/>
    <w:rsid w:val="005F538F"/>
    <w:rsid w:val="005F5E00"/>
    <w:rsid w:val="005F64AE"/>
    <w:rsid w:val="005F6756"/>
    <w:rsid w:val="005F7513"/>
    <w:rsid w:val="005F77C3"/>
    <w:rsid w:val="005F7889"/>
    <w:rsid w:val="005F7A9D"/>
    <w:rsid w:val="005F7F4D"/>
    <w:rsid w:val="0060033D"/>
    <w:rsid w:val="0060117E"/>
    <w:rsid w:val="0060125B"/>
    <w:rsid w:val="00601E7C"/>
    <w:rsid w:val="00601F6B"/>
    <w:rsid w:val="0060220E"/>
    <w:rsid w:val="00602AC6"/>
    <w:rsid w:val="0060369B"/>
    <w:rsid w:val="00603EC6"/>
    <w:rsid w:val="00603ECE"/>
    <w:rsid w:val="00604486"/>
    <w:rsid w:val="006047CF"/>
    <w:rsid w:val="00604C2F"/>
    <w:rsid w:val="00605096"/>
    <w:rsid w:val="00605117"/>
    <w:rsid w:val="00605390"/>
    <w:rsid w:val="006054C1"/>
    <w:rsid w:val="0060656D"/>
    <w:rsid w:val="0060694D"/>
    <w:rsid w:val="00606A83"/>
    <w:rsid w:val="0060738D"/>
    <w:rsid w:val="00610597"/>
    <w:rsid w:val="00610602"/>
    <w:rsid w:val="00610A2A"/>
    <w:rsid w:val="00610D3A"/>
    <w:rsid w:val="00610E6B"/>
    <w:rsid w:val="006111C3"/>
    <w:rsid w:val="006113DA"/>
    <w:rsid w:val="00611AB5"/>
    <w:rsid w:val="00611DBA"/>
    <w:rsid w:val="00611FB9"/>
    <w:rsid w:val="00612061"/>
    <w:rsid w:val="00612238"/>
    <w:rsid w:val="006127CD"/>
    <w:rsid w:val="0061286B"/>
    <w:rsid w:val="00612F69"/>
    <w:rsid w:val="00613077"/>
    <w:rsid w:val="0061357A"/>
    <w:rsid w:val="006136C2"/>
    <w:rsid w:val="00613A74"/>
    <w:rsid w:val="00613BAB"/>
    <w:rsid w:val="00614734"/>
    <w:rsid w:val="006147E0"/>
    <w:rsid w:val="00614E42"/>
    <w:rsid w:val="00614F82"/>
    <w:rsid w:val="00615507"/>
    <w:rsid w:val="00615B8D"/>
    <w:rsid w:val="006160E0"/>
    <w:rsid w:val="00616292"/>
    <w:rsid w:val="00616368"/>
    <w:rsid w:val="0061670D"/>
    <w:rsid w:val="00617161"/>
    <w:rsid w:val="0062035D"/>
    <w:rsid w:val="006207B1"/>
    <w:rsid w:val="006208D7"/>
    <w:rsid w:val="00621343"/>
    <w:rsid w:val="00621587"/>
    <w:rsid w:val="00621A3D"/>
    <w:rsid w:val="006224CA"/>
    <w:rsid w:val="00622E69"/>
    <w:rsid w:val="00623409"/>
    <w:rsid w:val="00623562"/>
    <w:rsid w:val="00624219"/>
    <w:rsid w:val="00624262"/>
    <w:rsid w:val="00624389"/>
    <w:rsid w:val="00625301"/>
    <w:rsid w:val="00625EDC"/>
    <w:rsid w:val="00627108"/>
    <w:rsid w:val="00627292"/>
    <w:rsid w:val="00627555"/>
    <w:rsid w:val="00627645"/>
    <w:rsid w:val="00627917"/>
    <w:rsid w:val="006304B1"/>
    <w:rsid w:val="0063061B"/>
    <w:rsid w:val="00630EA8"/>
    <w:rsid w:val="00631510"/>
    <w:rsid w:val="00631E92"/>
    <w:rsid w:val="00631F8A"/>
    <w:rsid w:val="00633496"/>
    <w:rsid w:val="00633F88"/>
    <w:rsid w:val="006342F9"/>
    <w:rsid w:val="0063452F"/>
    <w:rsid w:val="0063536D"/>
    <w:rsid w:val="00635A77"/>
    <w:rsid w:val="00635B83"/>
    <w:rsid w:val="00636B15"/>
    <w:rsid w:val="006370A6"/>
    <w:rsid w:val="00637397"/>
    <w:rsid w:val="00637DDB"/>
    <w:rsid w:val="00637EB1"/>
    <w:rsid w:val="00640221"/>
    <w:rsid w:val="0064033C"/>
    <w:rsid w:val="00640B47"/>
    <w:rsid w:val="0064131F"/>
    <w:rsid w:val="00641423"/>
    <w:rsid w:val="006415CB"/>
    <w:rsid w:val="006417D6"/>
    <w:rsid w:val="00641EE5"/>
    <w:rsid w:val="006422D5"/>
    <w:rsid w:val="0064244B"/>
    <w:rsid w:val="00642A4B"/>
    <w:rsid w:val="006441BE"/>
    <w:rsid w:val="0064457A"/>
    <w:rsid w:val="0064487F"/>
    <w:rsid w:val="00644F52"/>
    <w:rsid w:val="0064501E"/>
    <w:rsid w:val="006456FC"/>
    <w:rsid w:val="00645764"/>
    <w:rsid w:val="00645B40"/>
    <w:rsid w:val="00645CBE"/>
    <w:rsid w:val="00645DE8"/>
    <w:rsid w:val="00645F38"/>
    <w:rsid w:val="00646040"/>
    <w:rsid w:val="0064632B"/>
    <w:rsid w:val="00646554"/>
    <w:rsid w:val="006466B9"/>
    <w:rsid w:val="00646AA8"/>
    <w:rsid w:val="00646CF5"/>
    <w:rsid w:val="00646FC7"/>
    <w:rsid w:val="006470E7"/>
    <w:rsid w:val="0064740D"/>
    <w:rsid w:val="006476AE"/>
    <w:rsid w:val="00650D7C"/>
    <w:rsid w:val="00650F79"/>
    <w:rsid w:val="00651CD3"/>
    <w:rsid w:val="00651F98"/>
    <w:rsid w:val="00652D24"/>
    <w:rsid w:val="00653268"/>
    <w:rsid w:val="00653A00"/>
    <w:rsid w:val="0065461E"/>
    <w:rsid w:val="00655301"/>
    <w:rsid w:val="00655750"/>
    <w:rsid w:val="006559B9"/>
    <w:rsid w:val="00655A6E"/>
    <w:rsid w:val="00656E57"/>
    <w:rsid w:val="006570CB"/>
    <w:rsid w:val="006574C0"/>
    <w:rsid w:val="00657644"/>
    <w:rsid w:val="00657C9E"/>
    <w:rsid w:val="0066007A"/>
    <w:rsid w:val="006606AF"/>
    <w:rsid w:val="006612DC"/>
    <w:rsid w:val="00661522"/>
    <w:rsid w:val="006616C5"/>
    <w:rsid w:val="00661E39"/>
    <w:rsid w:val="00661F71"/>
    <w:rsid w:val="006624D9"/>
    <w:rsid w:val="006624E8"/>
    <w:rsid w:val="00662A98"/>
    <w:rsid w:val="0066381F"/>
    <w:rsid w:val="00663BB6"/>
    <w:rsid w:val="00663E16"/>
    <w:rsid w:val="006640BF"/>
    <w:rsid w:val="0066445B"/>
    <w:rsid w:val="006646F2"/>
    <w:rsid w:val="006650F2"/>
    <w:rsid w:val="0066538E"/>
    <w:rsid w:val="006655FF"/>
    <w:rsid w:val="00665B3F"/>
    <w:rsid w:val="00665BE3"/>
    <w:rsid w:val="00665C4C"/>
    <w:rsid w:val="00666137"/>
    <w:rsid w:val="00666578"/>
    <w:rsid w:val="0066674D"/>
    <w:rsid w:val="0066685A"/>
    <w:rsid w:val="006670A8"/>
    <w:rsid w:val="0066792B"/>
    <w:rsid w:val="00667950"/>
    <w:rsid w:val="00667CAB"/>
    <w:rsid w:val="00667E1A"/>
    <w:rsid w:val="00670097"/>
    <w:rsid w:val="00670227"/>
    <w:rsid w:val="00670329"/>
    <w:rsid w:val="00670397"/>
    <w:rsid w:val="00670737"/>
    <w:rsid w:val="006708AE"/>
    <w:rsid w:val="006708CA"/>
    <w:rsid w:val="00670A06"/>
    <w:rsid w:val="00670A0C"/>
    <w:rsid w:val="00670FDB"/>
    <w:rsid w:val="00671507"/>
    <w:rsid w:val="00671A8B"/>
    <w:rsid w:val="00671C15"/>
    <w:rsid w:val="00672AD3"/>
    <w:rsid w:val="00673355"/>
    <w:rsid w:val="00673F53"/>
    <w:rsid w:val="00674C7A"/>
    <w:rsid w:val="00674F4F"/>
    <w:rsid w:val="006750E7"/>
    <w:rsid w:val="006757F2"/>
    <w:rsid w:val="00675849"/>
    <w:rsid w:val="00675FDE"/>
    <w:rsid w:val="006764B4"/>
    <w:rsid w:val="00676A55"/>
    <w:rsid w:val="00676FCF"/>
    <w:rsid w:val="006773D5"/>
    <w:rsid w:val="00677898"/>
    <w:rsid w:val="00680054"/>
    <w:rsid w:val="00680B87"/>
    <w:rsid w:val="00680FDF"/>
    <w:rsid w:val="00681024"/>
    <w:rsid w:val="00681C60"/>
    <w:rsid w:val="006823B7"/>
    <w:rsid w:val="006829CC"/>
    <w:rsid w:val="00682D64"/>
    <w:rsid w:val="00683B10"/>
    <w:rsid w:val="00683DA3"/>
    <w:rsid w:val="006846A6"/>
    <w:rsid w:val="006850A5"/>
    <w:rsid w:val="006851DF"/>
    <w:rsid w:val="00685578"/>
    <w:rsid w:val="006865A6"/>
    <w:rsid w:val="00686845"/>
    <w:rsid w:val="00686915"/>
    <w:rsid w:val="00686F05"/>
    <w:rsid w:val="006877C1"/>
    <w:rsid w:val="00690912"/>
    <w:rsid w:val="00690B26"/>
    <w:rsid w:val="00690E8B"/>
    <w:rsid w:val="00691DB0"/>
    <w:rsid w:val="0069214D"/>
    <w:rsid w:val="006921E8"/>
    <w:rsid w:val="00692212"/>
    <w:rsid w:val="00692675"/>
    <w:rsid w:val="0069296F"/>
    <w:rsid w:val="00692A9F"/>
    <w:rsid w:val="00693579"/>
    <w:rsid w:val="006935EE"/>
    <w:rsid w:val="006936E8"/>
    <w:rsid w:val="00693855"/>
    <w:rsid w:val="00693BEB"/>
    <w:rsid w:val="00693CDC"/>
    <w:rsid w:val="00693F45"/>
    <w:rsid w:val="00694639"/>
    <w:rsid w:val="0069478F"/>
    <w:rsid w:val="00694A38"/>
    <w:rsid w:val="00695CDD"/>
    <w:rsid w:val="00695EED"/>
    <w:rsid w:val="00695F50"/>
    <w:rsid w:val="006963F1"/>
    <w:rsid w:val="00696BA7"/>
    <w:rsid w:val="006976B7"/>
    <w:rsid w:val="00697B1D"/>
    <w:rsid w:val="00697D2B"/>
    <w:rsid w:val="006A0466"/>
    <w:rsid w:val="006A04E8"/>
    <w:rsid w:val="006A0AEC"/>
    <w:rsid w:val="006A1076"/>
    <w:rsid w:val="006A168B"/>
    <w:rsid w:val="006A2559"/>
    <w:rsid w:val="006A2CDC"/>
    <w:rsid w:val="006A37FA"/>
    <w:rsid w:val="006A4340"/>
    <w:rsid w:val="006A5107"/>
    <w:rsid w:val="006A5D9B"/>
    <w:rsid w:val="006A5DFA"/>
    <w:rsid w:val="006A64BA"/>
    <w:rsid w:val="006A6560"/>
    <w:rsid w:val="006A6634"/>
    <w:rsid w:val="006A6AD5"/>
    <w:rsid w:val="006A6B2D"/>
    <w:rsid w:val="006A6D91"/>
    <w:rsid w:val="006A712D"/>
    <w:rsid w:val="006A74B1"/>
    <w:rsid w:val="006A7CF5"/>
    <w:rsid w:val="006B0212"/>
    <w:rsid w:val="006B0C13"/>
    <w:rsid w:val="006B0F7B"/>
    <w:rsid w:val="006B115A"/>
    <w:rsid w:val="006B176B"/>
    <w:rsid w:val="006B1D41"/>
    <w:rsid w:val="006B1FD6"/>
    <w:rsid w:val="006B2789"/>
    <w:rsid w:val="006B3008"/>
    <w:rsid w:val="006B32EB"/>
    <w:rsid w:val="006B3694"/>
    <w:rsid w:val="006B4300"/>
    <w:rsid w:val="006B45B4"/>
    <w:rsid w:val="006B46C2"/>
    <w:rsid w:val="006B491A"/>
    <w:rsid w:val="006B4C27"/>
    <w:rsid w:val="006B525F"/>
    <w:rsid w:val="006B5308"/>
    <w:rsid w:val="006B574E"/>
    <w:rsid w:val="006B5F08"/>
    <w:rsid w:val="006B5FB2"/>
    <w:rsid w:val="006B6015"/>
    <w:rsid w:val="006B626C"/>
    <w:rsid w:val="006B68DB"/>
    <w:rsid w:val="006B6D44"/>
    <w:rsid w:val="006B759F"/>
    <w:rsid w:val="006B7981"/>
    <w:rsid w:val="006B7F65"/>
    <w:rsid w:val="006C0429"/>
    <w:rsid w:val="006C0863"/>
    <w:rsid w:val="006C1116"/>
    <w:rsid w:val="006C1160"/>
    <w:rsid w:val="006C18F4"/>
    <w:rsid w:val="006C1B31"/>
    <w:rsid w:val="006C21CA"/>
    <w:rsid w:val="006C22F5"/>
    <w:rsid w:val="006C2E9E"/>
    <w:rsid w:val="006C302E"/>
    <w:rsid w:val="006C32AD"/>
    <w:rsid w:val="006C3662"/>
    <w:rsid w:val="006C3C6C"/>
    <w:rsid w:val="006C3FC1"/>
    <w:rsid w:val="006C491A"/>
    <w:rsid w:val="006C526E"/>
    <w:rsid w:val="006C56F0"/>
    <w:rsid w:val="006C59C8"/>
    <w:rsid w:val="006C6839"/>
    <w:rsid w:val="006C6C9A"/>
    <w:rsid w:val="006C6D73"/>
    <w:rsid w:val="006C6F4B"/>
    <w:rsid w:val="006C71DA"/>
    <w:rsid w:val="006C7BCE"/>
    <w:rsid w:val="006C7DA7"/>
    <w:rsid w:val="006D0001"/>
    <w:rsid w:val="006D0B13"/>
    <w:rsid w:val="006D1D5F"/>
    <w:rsid w:val="006D2BFA"/>
    <w:rsid w:val="006D34C7"/>
    <w:rsid w:val="006D3914"/>
    <w:rsid w:val="006D49B2"/>
    <w:rsid w:val="006D4C91"/>
    <w:rsid w:val="006D56C0"/>
    <w:rsid w:val="006D5745"/>
    <w:rsid w:val="006D5C8B"/>
    <w:rsid w:val="006D5CE8"/>
    <w:rsid w:val="006D6745"/>
    <w:rsid w:val="006D69E6"/>
    <w:rsid w:val="006D6DDA"/>
    <w:rsid w:val="006E0A11"/>
    <w:rsid w:val="006E109B"/>
    <w:rsid w:val="006E1699"/>
    <w:rsid w:val="006E1763"/>
    <w:rsid w:val="006E1D58"/>
    <w:rsid w:val="006E1E3E"/>
    <w:rsid w:val="006E28A4"/>
    <w:rsid w:val="006E3474"/>
    <w:rsid w:val="006E3E37"/>
    <w:rsid w:val="006E416C"/>
    <w:rsid w:val="006E426D"/>
    <w:rsid w:val="006E440D"/>
    <w:rsid w:val="006E48C2"/>
    <w:rsid w:val="006E4948"/>
    <w:rsid w:val="006E4989"/>
    <w:rsid w:val="006E4C64"/>
    <w:rsid w:val="006E527E"/>
    <w:rsid w:val="006E59D9"/>
    <w:rsid w:val="006E5E0C"/>
    <w:rsid w:val="006E5E11"/>
    <w:rsid w:val="006E6E66"/>
    <w:rsid w:val="006E7FFB"/>
    <w:rsid w:val="006F0271"/>
    <w:rsid w:val="006F046E"/>
    <w:rsid w:val="006F1E5F"/>
    <w:rsid w:val="006F2097"/>
    <w:rsid w:val="006F2536"/>
    <w:rsid w:val="006F2758"/>
    <w:rsid w:val="006F31A1"/>
    <w:rsid w:val="006F339B"/>
    <w:rsid w:val="006F4B0D"/>
    <w:rsid w:val="006F5AF1"/>
    <w:rsid w:val="006F5BE2"/>
    <w:rsid w:val="006F5D27"/>
    <w:rsid w:val="006F6AA3"/>
    <w:rsid w:val="006F70D1"/>
    <w:rsid w:val="006F7177"/>
    <w:rsid w:val="006F7A4C"/>
    <w:rsid w:val="006F7CB9"/>
    <w:rsid w:val="006F7EB5"/>
    <w:rsid w:val="00700129"/>
    <w:rsid w:val="00700639"/>
    <w:rsid w:val="00700AA7"/>
    <w:rsid w:val="00702286"/>
    <w:rsid w:val="00703128"/>
    <w:rsid w:val="007032E0"/>
    <w:rsid w:val="00703492"/>
    <w:rsid w:val="0070355C"/>
    <w:rsid w:val="0070391E"/>
    <w:rsid w:val="00703D53"/>
    <w:rsid w:val="00704064"/>
    <w:rsid w:val="00704639"/>
    <w:rsid w:val="00704751"/>
    <w:rsid w:val="007051C4"/>
    <w:rsid w:val="00705E35"/>
    <w:rsid w:val="00706351"/>
    <w:rsid w:val="00706447"/>
    <w:rsid w:val="007064EF"/>
    <w:rsid w:val="007071A4"/>
    <w:rsid w:val="0070753A"/>
    <w:rsid w:val="0070754E"/>
    <w:rsid w:val="00707760"/>
    <w:rsid w:val="007100CF"/>
    <w:rsid w:val="007102AC"/>
    <w:rsid w:val="0071039E"/>
    <w:rsid w:val="00710723"/>
    <w:rsid w:val="00710B76"/>
    <w:rsid w:val="00710EF9"/>
    <w:rsid w:val="007110D0"/>
    <w:rsid w:val="00711D0B"/>
    <w:rsid w:val="00711F8E"/>
    <w:rsid w:val="00712ABA"/>
    <w:rsid w:val="007136F2"/>
    <w:rsid w:val="00713B08"/>
    <w:rsid w:val="00713BF6"/>
    <w:rsid w:val="00714164"/>
    <w:rsid w:val="0071423F"/>
    <w:rsid w:val="00714F55"/>
    <w:rsid w:val="0071576D"/>
    <w:rsid w:val="00715C6D"/>
    <w:rsid w:val="00715E34"/>
    <w:rsid w:val="00715EB9"/>
    <w:rsid w:val="007164CA"/>
    <w:rsid w:val="007165F0"/>
    <w:rsid w:val="00717316"/>
    <w:rsid w:val="0071757A"/>
    <w:rsid w:val="007175A9"/>
    <w:rsid w:val="007179C4"/>
    <w:rsid w:val="00717B7D"/>
    <w:rsid w:val="00717F50"/>
    <w:rsid w:val="007200AD"/>
    <w:rsid w:val="00720A67"/>
    <w:rsid w:val="0072138C"/>
    <w:rsid w:val="0072181C"/>
    <w:rsid w:val="007219B0"/>
    <w:rsid w:val="007231F9"/>
    <w:rsid w:val="00723282"/>
    <w:rsid w:val="00723810"/>
    <w:rsid w:val="00723E7F"/>
    <w:rsid w:val="00724A53"/>
    <w:rsid w:val="00724DBD"/>
    <w:rsid w:val="00724E38"/>
    <w:rsid w:val="0072545B"/>
    <w:rsid w:val="00725604"/>
    <w:rsid w:val="00725751"/>
    <w:rsid w:val="00725BBD"/>
    <w:rsid w:val="00726EE9"/>
    <w:rsid w:val="00727641"/>
    <w:rsid w:val="007302E4"/>
    <w:rsid w:val="00730307"/>
    <w:rsid w:val="00730449"/>
    <w:rsid w:val="007304A8"/>
    <w:rsid w:val="007305BF"/>
    <w:rsid w:val="007306AC"/>
    <w:rsid w:val="007308D0"/>
    <w:rsid w:val="00730DC3"/>
    <w:rsid w:val="007319E2"/>
    <w:rsid w:val="0073245C"/>
    <w:rsid w:val="00732A8B"/>
    <w:rsid w:val="00733020"/>
    <w:rsid w:val="007336C3"/>
    <w:rsid w:val="007339F1"/>
    <w:rsid w:val="00734738"/>
    <w:rsid w:val="007347AA"/>
    <w:rsid w:val="00734A88"/>
    <w:rsid w:val="00734C59"/>
    <w:rsid w:val="00734D07"/>
    <w:rsid w:val="007351B7"/>
    <w:rsid w:val="00735959"/>
    <w:rsid w:val="00735BA7"/>
    <w:rsid w:val="00735BCE"/>
    <w:rsid w:val="00735BEC"/>
    <w:rsid w:val="00735ECC"/>
    <w:rsid w:val="00736578"/>
    <w:rsid w:val="0073664B"/>
    <w:rsid w:val="007370EA"/>
    <w:rsid w:val="00737232"/>
    <w:rsid w:val="00737243"/>
    <w:rsid w:val="00737266"/>
    <w:rsid w:val="007372A3"/>
    <w:rsid w:val="007373A8"/>
    <w:rsid w:val="00737549"/>
    <w:rsid w:val="00737BF3"/>
    <w:rsid w:val="007401F2"/>
    <w:rsid w:val="007403B9"/>
    <w:rsid w:val="0074042F"/>
    <w:rsid w:val="0074078D"/>
    <w:rsid w:val="007408EB"/>
    <w:rsid w:val="007409D2"/>
    <w:rsid w:val="007413DF"/>
    <w:rsid w:val="00741661"/>
    <w:rsid w:val="00741818"/>
    <w:rsid w:val="00741C97"/>
    <w:rsid w:val="007425DD"/>
    <w:rsid w:val="00742868"/>
    <w:rsid w:val="00742A02"/>
    <w:rsid w:val="00742C5F"/>
    <w:rsid w:val="00743151"/>
    <w:rsid w:val="007431CD"/>
    <w:rsid w:val="00743A73"/>
    <w:rsid w:val="007443F3"/>
    <w:rsid w:val="007446C6"/>
    <w:rsid w:val="00744FDE"/>
    <w:rsid w:val="0074504A"/>
    <w:rsid w:val="0074605C"/>
    <w:rsid w:val="00746067"/>
    <w:rsid w:val="00746616"/>
    <w:rsid w:val="007466D5"/>
    <w:rsid w:val="00746A0F"/>
    <w:rsid w:val="00747121"/>
    <w:rsid w:val="00747492"/>
    <w:rsid w:val="00747FBE"/>
    <w:rsid w:val="007504E9"/>
    <w:rsid w:val="00750C2C"/>
    <w:rsid w:val="007515E9"/>
    <w:rsid w:val="007528CA"/>
    <w:rsid w:val="00752A30"/>
    <w:rsid w:val="00752E74"/>
    <w:rsid w:val="00753DEB"/>
    <w:rsid w:val="00754052"/>
    <w:rsid w:val="007545B2"/>
    <w:rsid w:val="00755755"/>
    <w:rsid w:val="00755EA8"/>
    <w:rsid w:val="00755F28"/>
    <w:rsid w:val="00756047"/>
    <w:rsid w:val="00756444"/>
    <w:rsid w:val="00756BBC"/>
    <w:rsid w:val="00756CD0"/>
    <w:rsid w:val="00756DAB"/>
    <w:rsid w:val="00757034"/>
    <w:rsid w:val="007573EA"/>
    <w:rsid w:val="00757C1B"/>
    <w:rsid w:val="00760422"/>
    <w:rsid w:val="00760A5A"/>
    <w:rsid w:val="00760C34"/>
    <w:rsid w:val="00760EA8"/>
    <w:rsid w:val="00760F57"/>
    <w:rsid w:val="0076243A"/>
    <w:rsid w:val="007625D6"/>
    <w:rsid w:val="0076295B"/>
    <w:rsid w:val="007637C1"/>
    <w:rsid w:val="007638AC"/>
    <w:rsid w:val="00763FDD"/>
    <w:rsid w:val="00764521"/>
    <w:rsid w:val="0076461F"/>
    <w:rsid w:val="00764C5C"/>
    <w:rsid w:val="00764CDA"/>
    <w:rsid w:val="00764DD3"/>
    <w:rsid w:val="00765E0C"/>
    <w:rsid w:val="0076690A"/>
    <w:rsid w:val="0076795D"/>
    <w:rsid w:val="00767BD1"/>
    <w:rsid w:val="00770CBF"/>
    <w:rsid w:val="0077131A"/>
    <w:rsid w:val="007714B7"/>
    <w:rsid w:val="00771A8B"/>
    <w:rsid w:val="00771AD5"/>
    <w:rsid w:val="00771DD7"/>
    <w:rsid w:val="00771F6E"/>
    <w:rsid w:val="007733EE"/>
    <w:rsid w:val="007738C2"/>
    <w:rsid w:val="00773B8E"/>
    <w:rsid w:val="00774641"/>
    <w:rsid w:val="00774652"/>
    <w:rsid w:val="00774DC0"/>
    <w:rsid w:val="007750E4"/>
    <w:rsid w:val="007752CB"/>
    <w:rsid w:val="00775662"/>
    <w:rsid w:val="007757DA"/>
    <w:rsid w:val="007758FF"/>
    <w:rsid w:val="00775C1C"/>
    <w:rsid w:val="00775E26"/>
    <w:rsid w:val="00776435"/>
    <w:rsid w:val="007767C9"/>
    <w:rsid w:val="00776A28"/>
    <w:rsid w:val="00776EF5"/>
    <w:rsid w:val="0077737C"/>
    <w:rsid w:val="00777ACB"/>
    <w:rsid w:val="00781633"/>
    <w:rsid w:val="00781826"/>
    <w:rsid w:val="00781AB4"/>
    <w:rsid w:val="0078248B"/>
    <w:rsid w:val="007836A0"/>
    <w:rsid w:val="00783AFE"/>
    <w:rsid w:val="00783D94"/>
    <w:rsid w:val="00784375"/>
    <w:rsid w:val="007843FA"/>
    <w:rsid w:val="00784839"/>
    <w:rsid w:val="00784E94"/>
    <w:rsid w:val="00785EF8"/>
    <w:rsid w:val="0078641E"/>
    <w:rsid w:val="00786B0F"/>
    <w:rsid w:val="00786B6A"/>
    <w:rsid w:val="007902AA"/>
    <w:rsid w:val="00790A4A"/>
    <w:rsid w:val="007913A4"/>
    <w:rsid w:val="0079160C"/>
    <w:rsid w:val="00791678"/>
    <w:rsid w:val="007919A5"/>
    <w:rsid w:val="007919DF"/>
    <w:rsid w:val="0079207E"/>
    <w:rsid w:val="007920F7"/>
    <w:rsid w:val="00792807"/>
    <w:rsid w:val="0079307E"/>
    <w:rsid w:val="00793C96"/>
    <w:rsid w:val="00793FB4"/>
    <w:rsid w:val="00794380"/>
    <w:rsid w:val="007948EE"/>
    <w:rsid w:val="007955E0"/>
    <w:rsid w:val="00795C48"/>
    <w:rsid w:val="00795C8D"/>
    <w:rsid w:val="00795D92"/>
    <w:rsid w:val="00795F8A"/>
    <w:rsid w:val="0079623F"/>
    <w:rsid w:val="00796450"/>
    <w:rsid w:val="0079698F"/>
    <w:rsid w:val="00796B78"/>
    <w:rsid w:val="00797AA4"/>
    <w:rsid w:val="007A02AA"/>
    <w:rsid w:val="007A0559"/>
    <w:rsid w:val="007A0D32"/>
    <w:rsid w:val="007A1551"/>
    <w:rsid w:val="007A21FF"/>
    <w:rsid w:val="007A246F"/>
    <w:rsid w:val="007A255F"/>
    <w:rsid w:val="007A2795"/>
    <w:rsid w:val="007A4839"/>
    <w:rsid w:val="007A4B13"/>
    <w:rsid w:val="007A4D62"/>
    <w:rsid w:val="007A5788"/>
    <w:rsid w:val="007A590B"/>
    <w:rsid w:val="007A5BE3"/>
    <w:rsid w:val="007A5E61"/>
    <w:rsid w:val="007A61D3"/>
    <w:rsid w:val="007A659B"/>
    <w:rsid w:val="007A66E3"/>
    <w:rsid w:val="007A67B1"/>
    <w:rsid w:val="007A6AA7"/>
    <w:rsid w:val="007A6ECC"/>
    <w:rsid w:val="007A7108"/>
    <w:rsid w:val="007A7B6A"/>
    <w:rsid w:val="007B02BC"/>
    <w:rsid w:val="007B0623"/>
    <w:rsid w:val="007B0B66"/>
    <w:rsid w:val="007B0EF9"/>
    <w:rsid w:val="007B141C"/>
    <w:rsid w:val="007B19FC"/>
    <w:rsid w:val="007B1D78"/>
    <w:rsid w:val="007B1F33"/>
    <w:rsid w:val="007B24C1"/>
    <w:rsid w:val="007B27AE"/>
    <w:rsid w:val="007B3A46"/>
    <w:rsid w:val="007B4BA1"/>
    <w:rsid w:val="007B4D87"/>
    <w:rsid w:val="007B4FD0"/>
    <w:rsid w:val="007B5264"/>
    <w:rsid w:val="007B5871"/>
    <w:rsid w:val="007B58BB"/>
    <w:rsid w:val="007B5F39"/>
    <w:rsid w:val="007B6685"/>
    <w:rsid w:val="007B6C6D"/>
    <w:rsid w:val="007B6F82"/>
    <w:rsid w:val="007B75BC"/>
    <w:rsid w:val="007B7D0A"/>
    <w:rsid w:val="007C0D01"/>
    <w:rsid w:val="007C184E"/>
    <w:rsid w:val="007C18E9"/>
    <w:rsid w:val="007C1EAD"/>
    <w:rsid w:val="007C2796"/>
    <w:rsid w:val="007C27C9"/>
    <w:rsid w:val="007C2B93"/>
    <w:rsid w:val="007C326B"/>
    <w:rsid w:val="007C3335"/>
    <w:rsid w:val="007C3498"/>
    <w:rsid w:val="007C4883"/>
    <w:rsid w:val="007C4C6A"/>
    <w:rsid w:val="007C4DAC"/>
    <w:rsid w:val="007C4DC0"/>
    <w:rsid w:val="007C514F"/>
    <w:rsid w:val="007C5B91"/>
    <w:rsid w:val="007C6849"/>
    <w:rsid w:val="007C6D5D"/>
    <w:rsid w:val="007C7815"/>
    <w:rsid w:val="007D0350"/>
    <w:rsid w:val="007D091B"/>
    <w:rsid w:val="007D196E"/>
    <w:rsid w:val="007D1F1C"/>
    <w:rsid w:val="007D2A6F"/>
    <w:rsid w:val="007D2B3A"/>
    <w:rsid w:val="007D2EE2"/>
    <w:rsid w:val="007D3036"/>
    <w:rsid w:val="007D3199"/>
    <w:rsid w:val="007D3249"/>
    <w:rsid w:val="007D3735"/>
    <w:rsid w:val="007D3806"/>
    <w:rsid w:val="007D3F01"/>
    <w:rsid w:val="007D465F"/>
    <w:rsid w:val="007D47C0"/>
    <w:rsid w:val="007D4A0B"/>
    <w:rsid w:val="007D5284"/>
    <w:rsid w:val="007D54E8"/>
    <w:rsid w:val="007D5A44"/>
    <w:rsid w:val="007D6190"/>
    <w:rsid w:val="007D63F2"/>
    <w:rsid w:val="007D7089"/>
    <w:rsid w:val="007D778D"/>
    <w:rsid w:val="007D77AD"/>
    <w:rsid w:val="007D7B9E"/>
    <w:rsid w:val="007D7CA7"/>
    <w:rsid w:val="007D7D6D"/>
    <w:rsid w:val="007E0BC6"/>
    <w:rsid w:val="007E1344"/>
    <w:rsid w:val="007E37EB"/>
    <w:rsid w:val="007E3AB0"/>
    <w:rsid w:val="007E3D24"/>
    <w:rsid w:val="007E4323"/>
    <w:rsid w:val="007E5BC8"/>
    <w:rsid w:val="007E622B"/>
    <w:rsid w:val="007E64ED"/>
    <w:rsid w:val="007E6566"/>
    <w:rsid w:val="007E677D"/>
    <w:rsid w:val="007E679A"/>
    <w:rsid w:val="007E6FC3"/>
    <w:rsid w:val="007E7485"/>
    <w:rsid w:val="007E79EB"/>
    <w:rsid w:val="007E7EAA"/>
    <w:rsid w:val="007F0029"/>
    <w:rsid w:val="007F022D"/>
    <w:rsid w:val="007F02A2"/>
    <w:rsid w:val="007F12D8"/>
    <w:rsid w:val="007F19DE"/>
    <w:rsid w:val="007F1C13"/>
    <w:rsid w:val="007F284F"/>
    <w:rsid w:val="007F3215"/>
    <w:rsid w:val="007F3BF2"/>
    <w:rsid w:val="007F3F8D"/>
    <w:rsid w:val="007F41A4"/>
    <w:rsid w:val="007F41F2"/>
    <w:rsid w:val="007F4392"/>
    <w:rsid w:val="007F494E"/>
    <w:rsid w:val="007F4A2B"/>
    <w:rsid w:val="007F644D"/>
    <w:rsid w:val="007F67B5"/>
    <w:rsid w:val="007F687B"/>
    <w:rsid w:val="007F7671"/>
    <w:rsid w:val="007F7DA5"/>
    <w:rsid w:val="007F7F0D"/>
    <w:rsid w:val="0080051B"/>
    <w:rsid w:val="0080055D"/>
    <w:rsid w:val="00801035"/>
    <w:rsid w:val="00801224"/>
    <w:rsid w:val="008016E1"/>
    <w:rsid w:val="008019D5"/>
    <w:rsid w:val="008027A4"/>
    <w:rsid w:val="0080288A"/>
    <w:rsid w:val="008036BC"/>
    <w:rsid w:val="00803785"/>
    <w:rsid w:val="0080386B"/>
    <w:rsid w:val="00803D37"/>
    <w:rsid w:val="00804CE5"/>
    <w:rsid w:val="00804CF5"/>
    <w:rsid w:val="00805C21"/>
    <w:rsid w:val="00805DA6"/>
    <w:rsid w:val="00806255"/>
    <w:rsid w:val="00806499"/>
    <w:rsid w:val="00806572"/>
    <w:rsid w:val="00806AC0"/>
    <w:rsid w:val="00806AF2"/>
    <w:rsid w:val="00806BC9"/>
    <w:rsid w:val="008071CC"/>
    <w:rsid w:val="00807ECC"/>
    <w:rsid w:val="00810355"/>
    <w:rsid w:val="00810758"/>
    <w:rsid w:val="00810B6E"/>
    <w:rsid w:val="00810C9A"/>
    <w:rsid w:val="00811D42"/>
    <w:rsid w:val="00812075"/>
    <w:rsid w:val="00812939"/>
    <w:rsid w:val="00812A2F"/>
    <w:rsid w:val="00812B6D"/>
    <w:rsid w:val="00812DC5"/>
    <w:rsid w:val="008130EA"/>
    <w:rsid w:val="00813569"/>
    <w:rsid w:val="00813691"/>
    <w:rsid w:val="00813AB0"/>
    <w:rsid w:val="00813B5A"/>
    <w:rsid w:val="00813DC6"/>
    <w:rsid w:val="008141E6"/>
    <w:rsid w:val="0081463B"/>
    <w:rsid w:val="008147C0"/>
    <w:rsid w:val="00814C22"/>
    <w:rsid w:val="00814CE5"/>
    <w:rsid w:val="00814D59"/>
    <w:rsid w:val="00814F10"/>
    <w:rsid w:val="00815060"/>
    <w:rsid w:val="008150CB"/>
    <w:rsid w:val="0081584B"/>
    <w:rsid w:val="00815882"/>
    <w:rsid w:val="00815E19"/>
    <w:rsid w:val="00815E82"/>
    <w:rsid w:val="00815F73"/>
    <w:rsid w:val="00815FED"/>
    <w:rsid w:val="008164A4"/>
    <w:rsid w:val="00816537"/>
    <w:rsid w:val="00816711"/>
    <w:rsid w:val="00817624"/>
    <w:rsid w:val="00817E6A"/>
    <w:rsid w:val="008205BD"/>
    <w:rsid w:val="0082072F"/>
    <w:rsid w:val="0082080C"/>
    <w:rsid w:val="00820A7C"/>
    <w:rsid w:val="00820AAE"/>
    <w:rsid w:val="008217CD"/>
    <w:rsid w:val="0082189A"/>
    <w:rsid w:val="008224D5"/>
    <w:rsid w:val="00822A6F"/>
    <w:rsid w:val="00822AC9"/>
    <w:rsid w:val="00822B80"/>
    <w:rsid w:val="008231EA"/>
    <w:rsid w:val="008233D4"/>
    <w:rsid w:val="008249FE"/>
    <w:rsid w:val="00824BC8"/>
    <w:rsid w:val="00824EBA"/>
    <w:rsid w:val="00825508"/>
    <w:rsid w:val="0082574F"/>
    <w:rsid w:val="0082597F"/>
    <w:rsid w:val="00825BF1"/>
    <w:rsid w:val="00826554"/>
    <w:rsid w:val="0082673F"/>
    <w:rsid w:val="0082706D"/>
    <w:rsid w:val="00827A5F"/>
    <w:rsid w:val="0083050D"/>
    <w:rsid w:val="00830A09"/>
    <w:rsid w:val="00830BCF"/>
    <w:rsid w:val="00831110"/>
    <w:rsid w:val="00831E06"/>
    <w:rsid w:val="008320B4"/>
    <w:rsid w:val="008329FE"/>
    <w:rsid w:val="00832A0A"/>
    <w:rsid w:val="00833A1E"/>
    <w:rsid w:val="008341E9"/>
    <w:rsid w:val="00834E77"/>
    <w:rsid w:val="00835301"/>
    <w:rsid w:val="008353FE"/>
    <w:rsid w:val="00835727"/>
    <w:rsid w:val="00835820"/>
    <w:rsid w:val="0083683A"/>
    <w:rsid w:val="0083684A"/>
    <w:rsid w:val="00836949"/>
    <w:rsid w:val="00836E18"/>
    <w:rsid w:val="00837066"/>
    <w:rsid w:val="00837325"/>
    <w:rsid w:val="00837653"/>
    <w:rsid w:val="008378C6"/>
    <w:rsid w:val="00837937"/>
    <w:rsid w:val="00837F64"/>
    <w:rsid w:val="0084035E"/>
    <w:rsid w:val="00840D1C"/>
    <w:rsid w:val="00841847"/>
    <w:rsid w:val="008419FC"/>
    <w:rsid w:val="00841E30"/>
    <w:rsid w:val="00841F99"/>
    <w:rsid w:val="00842196"/>
    <w:rsid w:val="008425E6"/>
    <w:rsid w:val="00842C11"/>
    <w:rsid w:val="008432CA"/>
    <w:rsid w:val="00843BBC"/>
    <w:rsid w:val="00843DCA"/>
    <w:rsid w:val="0084413C"/>
    <w:rsid w:val="0084447C"/>
    <w:rsid w:val="00844608"/>
    <w:rsid w:val="008449D2"/>
    <w:rsid w:val="00844A40"/>
    <w:rsid w:val="00844A8F"/>
    <w:rsid w:val="008450C4"/>
    <w:rsid w:val="008453F5"/>
    <w:rsid w:val="008456A3"/>
    <w:rsid w:val="00846234"/>
    <w:rsid w:val="008463CA"/>
    <w:rsid w:val="00846D29"/>
    <w:rsid w:val="00847567"/>
    <w:rsid w:val="00847BF6"/>
    <w:rsid w:val="00847ED6"/>
    <w:rsid w:val="008504FA"/>
    <w:rsid w:val="00850A84"/>
    <w:rsid w:val="008513F1"/>
    <w:rsid w:val="008520A7"/>
    <w:rsid w:val="00852237"/>
    <w:rsid w:val="008525E1"/>
    <w:rsid w:val="00852806"/>
    <w:rsid w:val="00852898"/>
    <w:rsid w:val="00853D26"/>
    <w:rsid w:val="0085430A"/>
    <w:rsid w:val="00854315"/>
    <w:rsid w:val="00854516"/>
    <w:rsid w:val="00854950"/>
    <w:rsid w:val="008555AC"/>
    <w:rsid w:val="00855BFC"/>
    <w:rsid w:val="00855FF6"/>
    <w:rsid w:val="00856453"/>
    <w:rsid w:val="00856A4F"/>
    <w:rsid w:val="00856F5A"/>
    <w:rsid w:val="008570AD"/>
    <w:rsid w:val="00857A6C"/>
    <w:rsid w:val="00857A78"/>
    <w:rsid w:val="008600B0"/>
    <w:rsid w:val="00860115"/>
    <w:rsid w:val="0086110D"/>
    <w:rsid w:val="008611B4"/>
    <w:rsid w:val="00861DDF"/>
    <w:rsid w:val="0086215D"/>
    <w:rsid w:val="008623F6"/>
    <w:rsid w:val="00862729"/>
    <w:rsid w:val="00863130"/>
    <w:rsid w:val="00863E18"/>
    <w:rsid w:val="00863FBF"/>
    <w:rsid w:val="008641E0"/>
    <w:rsid w:val="00864258"/>
    <w:rsid w:val="00864785"/>
    <w:rsid w:val="00864800"/>
    <w:rsid w:val="00864B40"/>
    <w:rsid w:val="00865111"/>
    <w:rsid w:val="0086583D"/>
    <w:rsid w:val="00865DD0"/>
    <w:rsid w:val="00866458"/>
    <w:rsid w:val="00866C19"/>
    <w:rsid w:val="008670B3"/>
    <w:rsid w:val="008674DC"/>
    <w:rsid w:val="008676FC"/>
    <w:rsid w:val="008677B6"/>
    <w:rsid w:val="00867874"/>
    <w:rsid w:val="00867E2D"/>
    <w:rsid w:val="0087048C"/>
    <w:rsid w:val="008704DA"/>
    <w:rsid w:val="0087065C"/>
    <w:rsid w:val="008713FD"/>
    <w:rsid w:val="00872B2F"/>
    <w:rsid w:val="00872D2F"/>
    <w:rsid w:val="00872FE1"/>
    <w:rsid w:val="00873387"/>
    <w:rsid w:val="0087345D"/>
    <w:rsid w:val="00873708"/>
    <w:rsid w:val="00873912"/>
    <w:rsid w:val="00874A36"/>
    <w:rsid w:val="00874D6E"/>
    <w:rsid w:val="00874F11"/>
    <w:rsid w:val="00875E98"/>
    <w:rsid w:val="008760F2"/>
    <w:rsid w:val="0087627B"/>
    <w:rsid w:val="00877009"/>
    <w:rsid w:val="00877408"/>
    <w:rsid w:val="00877424"/>
    <w:rsid w:val="008774BD"/>
    <w:rsid w:val="00877AFD"/>
    <w:rsid w:val="00880216"/>
    <w:rsid w:val="00880330"/>
    <w:rsid w:val="00880763"/>
    <w:rsid w:val="008807C1"/>
    <w:rsid w:val="0088096F"/>
    <w:rsid w:val="00880C7F"/>
    <w:rsid w:val="00881737"/>
    <w:rsid w:val="008819C6"/>
    <w:rsid w:val="00881A36"/>
    <w:rsid w:val="00881AC5"/>
    <w:rsid w:val="00882212"/>
    <w:rsid w:val="0088257A"/>
    <w:rsid w:val="00882E7B"/>
    <w:rsid w:val="0088301B"/>
    <w:rsid w:val="00883592"/>
    <w:rsid w:val="00883704"/>
    <w:rsid w:val="00883752"/>
    <w:rsid w:val="00884623"/>
    <w:rsid w:val="008847A7"/>
    <w:rsid w:val="00885278"/>
    <w:rsid w:val="00885327"/>
    <w:rsid w:val="00885ED6"/>
    <w:rsid w:val="00886507"/>
    <w:rsid w:val="00886786"/>
    <w:rsid w:val="0088686A"/>
    <w:rsid w:val="00886895"/>
    <w:rsid w:val="00887362"/>
    <w:rsid w:val="00887986"/>
    <w:rsid w:val="00887CEF"/>
    <w:rsid w:val="00887D4E"/>
    <w:rsid w:val="00887E08"/>
    <w:rsid w:val="00887EE7"/>
    <w:rsid w:val="00890268"/>
    <w:rsid w:val="008906A4"/>
    <w:rsid w:val="00890873"/>
    <w:rsid w:val="00890981"/>
    <w:rsid w:val="00890B3A"/>
    <w:rsid w:val="00890F1F"/>
    <w:rsid w:val="0089136B"/>
    <w:rsid w:val="00892442"/>
    <w:rsid w:val="008924C2"/>
    <w:rsid w:val="008925E1"/>
    <w:rsid w:val="00892996"/>
    <w:rsid w:val="00892E71"/>
    <w:rsid w:val="00893509"/>
    <w:rsid w:val="00893754"/>
    <w:rsid w:val="008941B4"/>
    <w:rsid w:val="00894918"/>
    <w:rsid w:val="00895255"/>
    <w:rsid w:val="008957AE"/>
    <w:rsid w:val="00895802"/>
    <w:rsid w:val="00896050"/>
    <w:rsid w:val="00896FF4"/>
    <w:rsid w:val="00897011"/>
    <w:rsid w:val="0089709C"/>
    <w:rsid w:val="00897B34"/>
    <w:rsid w:val="00897C73"/>
    <w:rsid w:val="008A00FD"/>
    <w:rsid w:val="008A0168"/>
    <w:rsid w:val="008A031C"/>
    <w:rsid w:val="008A0571"/>
    <w:rsid w:val="008A0CBF"/>
    <w:rsid w:val="008A1390"/>
    <w:rsid w:val="008A21B1"/>
    <w:rsid w:val="008A23CD"/>
    <w:rsid w:val="008A2521"/>
    <w:rsid w:val="008A34AF"/>
    <w:rsid w:val="008A3C37"/>
    <w:rsid w:val="008A490F"/>
    <w:rsid w:val="008A5109"/>
    <w:rsid w:val="008A61B5"/>
    <w:rsid w:val="008A6375"/>
    <w:rsid w:val="008A63D6"/>
    <w:rsid w:val="008A6D6F"/>
    <w:rsid w:val="008A749C"/>
    <w:rsid w:val="008A7981"/>
    <w:rsid w:val="008B14AF"/>
    <w:rsid w:val="008B18FC"/>
    <w:rsid w:val="008B1C75"/>
    <w:rsid w:val="008B2251"/>
    <w:rsid w:val="008B235A"/>
    <w:rsid w:val="008B2841"/>
    <w:rsid w:val="008B29C4"/>
    <w:rsid w:val="008B2BB5"/>
    <w:rsid w:val="008B30D2"/>
    <w:rsid w:val="008B34B4"/>
    <w:rsid w:val="008B3CC5"/>
    <w:rsid w:val="008B403A"/>
    <w:rsid w:val="008B46F8"/>
    <w:rsid w:val="008B4760"/>
    <w:rsid w:val="008B4824"/>
    <w:rsid w:val="008B4EA3"/>
    <w:rsid w:val="008B4EEF"/>
    <w:rsid w:val="008B578C"/>
    <w:rsid w:val="008B6196"/>
    <w:rsid w:val="008B68A7"/>
    <w:rsid w:val="008B6CC0"/>
    <w:rsid w:val="008B6DE3"/>
    <w:rsid w:val="008B6EB1"/>
    <w:rsid w:val="008B75B3"/>
    <w:rsid w:val="008B77A8"/>
    <w:rsid w:val="008B7D18"/>
    <w:rsid w:val="008B7F93"/>
    <w:rsid w:val="008C059E"/>
    <w:rsid w:val="008C0E32"/>
    <w:rsid w:val="008C104A"/>
    <w:rsid w:val="008C20DB"/>
    <w:rsid w:val="008C25D3"/>
    <w:rsid w:val="008C2A5B"/>
    <w:rsid w:val="008C3D41"/>
    <w:rsid w:val="008C4010"/>
    <w:rsid w:val="008C49E5"/>
    <w:rsid w:val="008C4C3D"/>
    <w:rsid w:val="008C4F1F"/>
    <w:rsid w:val="008C5544"/>
    <w:rsid w:val="008C56DF"/>
    <w:rsid w:val="008C5D48"/>
    <w:rsid w:val="008C5DB4"/>
    <w:rsid w:val="008C62FD"/>
    <w:rsid w:val="008C67ED"/>
    <w:rsid w:val="008C6AA1"/>
    <w:rsid w:val="008C73A2"/>
    <w:rsid w:val="008C7F85"/>
    <w:rsid w:val="008D03FA"/>
    <w:rsid w:val="008D0495"/>
    <w:rsid w:val="008D0BAF"/>
    <w:rsid w:val="008D0E21"/>
    <w:rsid w:val="008D1A43"/>
    <w:rsid w:val="008D1BB2"/>
    <w:rsid w:val="008D1D32"/>
    <w:rsid w:val="008D2045"/>
    <w:rsid w:val="008D26F3"/>
    <w:rsid w:val="008D29DD"/>
    <w:rsid w:val="008D35AF"/>
    <w:rsid w:val="008D3837"/>
    <w:rsid w:val="008D39D1"/>
    <w:rsid w:val="008D3A2B"/>
    <w:rsid w:val="008D4D6D"/>
    <w:rsid w:val="008D5592"/>
    <w:rsid w:val="008D5827"/>
    <w:rsid w:val="008D5E18"/>
    <w:rsid w:val="008D6601"/>
    <w:rsid w:val="008D714F"/>
    <w:rsid w:val="008D7517"/>
    <w:rsid w:val="008E0237"/>
    <w:rsid w:val="008E0719"/>
    <w:rsid w:val="008E073A"/>
    <w:rsid w:val="008E0DD6"/>
    <w:rsid w:val="008E0F40"/>
    <w:rsid w:val="008E16D3"/>
    <w:rsid w:val="008E18C5"/>
    <w:rsid w:val="008E1D4C"/>
    <w:rsid w:val="008E27B9"/>
    <w:rsid w:val="008E2A2E"/>
    <w:rsid w:val="008E3716"/>
    <w:rsid w:val="008E3875"/>
    <w:rsid w:val="008E3A54"/>
    <w:rsid w:val="008E3BAE"/>
    <w:rsid w:val="008E3E31"/>
    <w:rsid w:val="008E3E56"/>
    <w:rsid w:val="008E426F"/>
    <w:rsid w:val="008E4290"/>
    <w:rsid w:val="008E490F"/>
    <w:rsid w:val="008E5E1A"/>
    <w:rsid w:val="008E6ADB"/>
    <w:rsid w:val="008E79C8"/>
    <w:rsid w:val="008F0DB9"/>
    <w:rsid w:val="008F102B"/>
    <w:rsid w:val="008F120C"/>
    <w:rsid w:val="008F2AE6"/>
    <w:rsid w:val="008F2B70"/>
    <w:rsid w:val="008F2BFA"/>
    <w:rsid w:val="008F2E10"/>
    <w:rsid w:val="008F2F28"/>
    <w:rsid w:val="008F3134"/>
    <w:rsid w:val="008F3415"/>
    <w:rsid w:val="008F403B"/>
    <w:rsid w:val="008F4422"/>
    <w:rsid w:val="008F4C8D"/>
    <w:rsid w:val="008F4CB6"/>
    <w:rsid w:val="008F546B"/>
    <w:rsid w:val="008F5564"/>
    <w:rsid w:val="008F5E37"/>
    <w:rsid w:val="008F6CA4"/>
    <w:rsid w:val="008F7423"/>
    <w:rsid w:val="008F7A79"/>
    <w:rsid w:val="008F7B9C"/>
    <w:rsid w:val="009001DC"/>
    <w:rsid w:val="00900979"/>
    <w:rsid w:val="00900CD0"/>
    <w:rsid w:val="0090105F"/>
    <w:rsid w:val="009012B5"/>
    <w:rsid w:val="009015B9"/>
    <w:rsid w:val="00901F13"/>
    <w:rsid w:val="00902389"/>
    <w:rsid w:val="00902425"/>
    <w:rsid w:val="00902461"/>
    <w:rsid w:val="00902485"/>
    <w:rsid w:val="009025CF"/>
    <w:rsid w:val="0090268A"/>
    <w:rsid w:val="00902C46"/>
    <w:rsid w:val="00902DA9"/>
    <w:rsid w:val="00902DE5"/>
    <w:rsid w:val="009031ED"/>
    <w:rsid w:val="00903220"/>
    <w:rsid w:val="00903668"/>
    <w:rsid w:val="009038F9"/>
    <w:rsid w:val="009039AB"/>
    <w:rsid w:val="00903D9E"/>
    <w:rsid w:val="00903F05"/>
    <w:rsid w:val="00904D72"/>
    <w:rsid w:val="00905285"/>
    <w:rsid w:val="0090528D"/>
    <w:rsid w:val="009052F7"/>
    <w:rsid w:val="00905D64"/>
    <w:rsid w:val="00905EE2"/>
    <w:rsid w:val="00906ADC"/>
    <w:rsid w:val="00906E24"/>
    <w:rsid w:val="00906F03"/>
    <w:rsid w:val="0091093E"/>
    <w:rsid w:val="0091114A"/>
    <w:rsid w:val="0091117F"/>
    <w:rsid w:val="00911366"/>
    <w:rsid w:val="0091252B"/>
    <w:rsid w:val="0091288C"/>
    <w:rsid w:val="00912D5A"/>
    <w:rsid w:val="00912F94"/>
    <w:rsid w:val="0091309F"/>
    <w:rsid w:val="00913474"/>
    <w:rsid w:val="00913638"/>
    <w:rsid w:val="009137EE"/>
    <w:rsid w:val="0091412F"/>
    <w:rsid w:val="0091462D"/>
    <w:rsid w:val="00914A0E"/>
    <w:rsid w:val="00914B15"/>
    <w:rsid w:val="00915347"/>
    <w:rsid w:val="00915458"/>
    <w:rsid w:val="00915542"/>
    <w:rsid w:val="00915C04"/>
    <w:rsid w:val="009164A4"/>
    <w:rsid w:val="0091655C"/>
    <w:rsid w:val="009168BB"/>
    <w:rsid w:val="0091701C"/>
    <w:rsid w:val="009171F6"/>
    <w:rsid w:val="009177A9"/>
    <w:rsid w:val="00920AB6"/>
    <w:rsid w:val="00920F44"/>
    <w:rsid w:val="00921659"/>
    <w:rsid w:val="00922230"/>
    <w:rsid w:val="00922300"/>
    <w:rsid w:val="00923101"/>
    <w:rsid w:val="009231D8"/>
    <w:rsid w:val="00923225"/>
    <w:rsid w:val="00923C9A"/>
    <w:rsid w:val="00924A20"/>
    <w:rsid w:val="00924B50"/>
    <w:rsid w:val="00925282"/>
    <w:rsid w:val="009259E6"/>
    <w:rsid w:val="00926DF6"/>
    <w:rsid w:val="00927C99"/>
    <w:rsid w:val="009300D9"/>
    <w:rsid w:val="00931571"/>
    <w:rsid w:val="00931739"/>
    <w:rsid w:val="00931A05"/>
    <w:rsid w:val="00931AE8"/>
    <w:rsid w:val="0093218A"/>
    <w:rsid w:val="0093248A"/>
    <w:rsid w:val="00932958"/>
    <w:rsid w:val="0093356F"/>
    <w:rsid w:val="00933997"/>
    <w:rsid w:val="00933AF9"/>
    <w:rsid w:val="009340BB"/>
    <w:rsid w:val="0093412F"/>
    <w:rsid w:val="00936090"/>
    <w:rsid w:val="009360CC"/>
    <w:rsid w:val="009363A7"/>
    <w:rsid w:val="00936496"/>
    <w:rsid w:val="0093687D"/>
    <w:rsid w:val="00936999"/>
    <w:rsid w:val="00936C7E"/>
    <w:rsid w:val="0093736E"/>
    <w:rsid w:val="0093768B"/>
    <w:rsid w:val="00940558"/>
    <w:rsid w:val="009406AD"/>
    <w:rsid w:val="0094160C"/>
    <w:rsid w:val="0094162E"/>
    <w:rsid w:val="00941940"/>
    <w:rsid w:val="00941DE4"/>
    <w:rsid w:val="0094216E"/>
    <w:rsid w:val="0094219F"/>
    <w:rsid w:val="009421B5"/>
    <w:rsid w:val="009421C0"/>
    <w:rsid w:val="00942E81"/>
    <w:rsid w:val="009433F6"/>
    <w:rsid w:val="00943EB1"/>
    <w:rsid w:val="00944404"/>
    <w:rsid w:val="009445A8"/>
    <w:rsid w:val="00944D6D"/>
    <w:rsid w:val="0094500D"/>
    <w:rsid w:val="0094526D"/>
    <w:rsid w:val="009456FC"/>
    <w:rsid w:val="00946214"/>
    <w:rsid w:val="00946525"/>
    <w:rsid w:val="0094684F"/>
    <w:rsid w:val="009469D9"/>
    <w:rsid w:val="00946ABC"/>
    <w:rsid w:val="00946D04"/>
    <w:rsid w:val="00946D31"/>
    <w:rsid w:val="0094709B"/>
    <w:rsid w:val="0094715D"/>
    <w:rsid w:val="009479E1"/>
    <w:rsid w:val="009504A6"/>
    <w:rsid w:val="00950990"/>
    <w:rsid w:val="009510A5"/>
    <w:rsid w:val="009512B1"/>
    <w:rsid w:val="00951513"/>
    <w:rsid w:val="00951594"/>
    <w:rsid w:val="0095197A"/>
    <w:rsid w:val="00951DAE"/>
    <w:rsid w:val="0095266C"/>
    <w:rsid w:val="00953795"/>
    <w:rsid w:val="00953D48"/>
    <w:rsid w:val="00953FA4"/>
    <w:rsid w:val="0095440E"/>
    <w:rsid w:val="00954815"/>
    <w:rsid w:val="00954C91"/>
    <w:rsid w:val="00954DD2"/>
    <w:rsid w:val="0095513B"/>
    <w:rsid w:val="00955DD4"/>
    <w:rsid w:val="009565D7"/>
    <w:rsid w:val="009566B5"/>
    <w:rsid w:val="00956B03"/>
    <w:rsid w:val="00956CE1"/>
    <w:rsid w:val="00956D22"/>
    <w:rsid w:val="00956F30"/>
    <w:rsid w:val="0095784C"/>
    <w:rsid w:val="00957EF0"/>
    <w:rsid w:val="009607F5"/>
    <w:rsid w:val="00960BCE"/>
    <w:rsid w:val="00960FE3"/>
    <w:rsid w:val="009611F2"/>
    <w:rsid w:val="00961540"/>
    <w:rsid w:val="00961727"/>
    <w:rsid w:val="00961F57"/>
    <w:rsid w:val="009626B0"/>
    <w:rsid w:val="00962D43"/>
    <w:rsid w:val="009641BB"/>
    <w:rsid w:val="009648C1"/>
    <w:rsid w:val="00964CB9"/>
    <w:rsid w:val="00964D79"/>
    <w:rsid w:val="00964F9D"/>
    <w:rsid w:val="0096511C"/>
    <w:rsid w:val="009654D2"/>
    <w:rsid w:val="00965577"/>
    <w:rsid w:val="009666E9"/>
    <w:rsid w:val="009669E2"/>
    <w:rsid w:val="00966E0E"/>
    <w:rsid w:val="00967630"/>
    <w:rsid w:val="00967D6D"/>
    <w:rsid w:val="009702CD"/>
    <w:rsid w:val="00970AD0"/>
    <w:rsid w:val="00970CB1"/>
    <w:rsid w:val="00970F03"/>
    <w:rsid w:val="0097135E"/>
    <w:rsid w:val="009714B4"/>
    <w:rsid w:val="00971CC7"/>
    <w:rsid w:val="009720FF"/>
    <w:rsid w:val="0097211E"/>
    <w:rsid w:val="00972560"/>
    <w:rsid w:val="00972A10"/>
    <w:rsid w:val="00972B56"/>
    <w:rsid w:val="00972C1A"/>
    <w:rsid w:val="00972C48"/>
    <w:rsid w:val="00972C64"/>
    <w:rsid w:val="0097355D"/>
    <w:rsid w:val="00973FEE"/>
    <w:rsid w:val="009747D4"/>
    <w:rsid w:val="00974960"/>
    <w:rsid w:val="009751AC"/>
    <w:rsid w:val="0097606A"/>
    <w:rsid w:val="0097610C"/>
    <w:rsid w:val="00976CB9"/>
    <w:rsid w:val="00976CCD"/>
    <w:rsid w:val="009779D4"/>
    <w:rsid w:val="00977E41"/>
    <w:rsid w:val="0098033C"/>
    <w:rsid w:val="009809A0"/>
    <w:rsid w:val="0098211F"/>
    <w:rsid w:val="00982244"/>
    <w:rsid w:val="00982A2E"/>
    <w:rsid w:val="0098317E"/>
    <w:rsid w:val="00983481"/>
    <w:rsid w:val="0098486F"/>
    <w:rsid w:val="00984CB6"/>
    <w:rsid w:val="00985056"/>
    <w:rsid w:val="00985476"/>
    <w:rsid w:val="0098570C"/>
    <w:rsid w:val="00985E8D"/>
    <w:rsid w:val="0098621F"/>
    <w:rsid w:val="00986405"/>
    <w:rsid w:val="0098722A"/>
    <w:rsid w:val="00987482"/>
    <w:rsid w:val="00987A80"/>
    <w:rsid w:val="00987BD9"/>
    <w:rsid w:val="00990244"/>
    <w:rsid w:val="009914CE"/>
    <w:rsid w:val="00991912"/>
    <w:rsid w:val="00992120"/>
    <w:rsid w:val="00992196"/>
    <w:rsid w:val="00992CBA"/>
    <w:rsid w:val="00992EC2"/>
    <w:rsid w:val="00993078"/>
    <w:rsid w:val="009931D5"/>
    <w:rsid w:val="009936DF"/>
    <w:rsid w:val="00993B44"/>
    <w:rsid w:val="009941A0"/>
    <w:rsid w:val="009946AB"/>
    <w:rsid w:val="00994741"/>
    <w:rsid w:val="00994B37"/>
    <w:rsid w:val="00994CE5"/>
    <w:rsid w:val="009959A3"/>
    <w:rsid w:val="00995C54"/>
    <w:rsid w:val="00995DAA"/>
    <w:rsid w:val="00995E19"/>
    <w:rsid w:val="00995E4F"/>
    <w:rsid w:val="00996D55"/>
    <w:rsid w:val="00996FC2"/>
    <w:rsid w:val="00997158"/>
    <w:rsid w:val="0099749D"/>
    <w:rsid w:val="00997AEC"/>
    <w:rsid w:val="009A08C4"/>
    <w:rsid w:val="009A0C3B"/>
    <w:rsid w:val="009A0D85"/>
    <w:rsid w:val="009A151B"/>
    <w:rsid w:val="009A15CA"/>
    <w:rsid w:val="009A18DF"/>
    <w:rsid w:val="009A2949"/>
    <w:rsid w:val="009A3015"/>
    <w:rsid w:val="009A3B7E"/>
    <w:rsid w:val="009A3C60"/>
    <w:rsid w:val="009A45ED"/>
    <w:rsid w:val="009A4F55"/>
    <w:rsid w:val="009A5019"/>
    <w:rsid w:val="009A551A"/>
    <w:rsid w:val="009A5999"/>
    <w:rsid w:val="009A5F25"/>
    <w:rsid w:val="009A63E1"/>
    <w:rsid w:val="009A69C7"/>
    <w:rsid w:val="009A7374"/>
    <w:rsid w:val="009A7562"/>
    <w:rsid w:val="009A7611"/>
    <w:rsid w:val="009A7954"/>
    <w:rsid w:val="009B0B90"/>
    <w:rsid w:val="009B1341"/>
    <w:rsid w:val="009B1CAC"/>
    <w:rsid w:val="009B1EE9"/>
    <w:rsid w:val="009B2FB0"/>
    <w:rsid w:val="009B319C"/>
    <w:rsid w:val="009B398E"/>
    <w:rsid w:val="009B3D40"/>
    <w:rsid w:val="009B3E79"/>
    <w:rsid w:val="009B4011"/>
    <w:rsid w:val="009B45F8"/>
    <w:rsid w:val="009B4779"/>
    <w:rsid w:val="009B49BB"/>
    <w:rsid w:val="009B56F9"/>
    <w:rsid w:val="009B5966"/>
    <w:rsid w:val="009B5A45"/>
    <w:rsid w:val="009B5ED4"/>
    <w:rsid w:val="009B6224"/>
    <w:rsid w:val="009B6324"/>
    <w:rsid w:val="009B64BC"/>
    <w:rsid w:val="009B65D1"/>
    <w:rsid w:val="009B69E4"/>
    <w:rsid w:val="009B6E2A"/>
    <w:rsid w:val="009B70E9"/>
    <w:rsid w:val="009B781F"/>
    <w:rsid w:val="009B7A88"/>
    <w:rsid w:val="009C00BD"/>
    <w:rsid w:val="009C0AAB"/>
    <w:rsid w:val="009C0B33"/>
    <w:rsid w:val="009C1EAC"/>
    <w:rsid w:val="009C1F95"/>
    <w:rsid w:val="009C2230"/>
    <w:rsid w:val="009C28F8"/>
    <w:rsid w:val="009C35F1"/>
    <w:rsid w:val="009C39E0"/>
    <w:rsid w:val="009C3AE5"/>
    <w:rsid w:val="009C44A4"/>
    <w:rsid w:val="009C4C90"/>
    <w:rsid w:val="009C4EB1"/>
    <w:rsid w:val="009C531A"/>
    <w:rsid w:val="009C57F7"/>
    <w:rsid w:val="009C5845"/>
    <w:rsid w:val="009C5C9D"/>
    <w:rsid w:val="009C6945"/>
    <w:rsid w:val="009C6CE1"/>
    <w:rsid w:val="009C7152"/>
    <w:rsid w:val="009C733F"/>
    <w:rsid w:val="009C7EC9"/>
    <w:rsid w:val="009C7F6E"/>
    <w:rsid w:val="009D1505"/>
    <w:rsid w:val="009D16D9"/>
    <w:rsid w:val="009D1F3C"/>
    <w:rsid w:val="009D1F99"/>
    <w:rsid w:val="009D1FA0"/>
    <w:rsid w:val="009D2427"/>
    <w:rsid w:val="009D274F"/>
    <w:rsid w:val="009D28BF"/>
    <w:rsid w:val="009D28CB"/>
    <w:rsid w:val="009D2BAB"/>
    <w:rsid w:val="009D362C"/>
    <w:rsid w:val="009D3F8E"/>
    <w:rsid w:val="009D41BB"/>
    <w:rsid w:val="009D4670"/>
    <w:rsid w:val="009D4A4C"/>
    <w:rsid w:val="009D4CDC"/>
    <w:rsid w:val="009D4F11"/>
    <w:rsid w:val="009D547E"/>
    <w:rsid w:val="009D578B"/>
    <w:rsid w:val="009D6229"/>
    <w:rsid w:val="009D6954"/>
    <w:rsid w:val="009D7117"/>
    <w:rsid w:val="009D724D"/>
    <w:rsid w:val="009D7A69"/>
    <w:rsid w:val="009E0343"/>
    <w:rsid w:val="009E0A0B"/>
    <w:rsid w:val="009E0DA7"/>
    <w:rsid w:val="009E1309"/>
    <w:rsid w:val="009E1647"/>
    <w:rsid w:val="009E16E5"/>
    <w:rsid w:val="009E1E3F"/>
    <w:rsid w:val="009E3363"/>
    <w:rsid w:val="009E3415"/>
    <w:rsid w:val="009E3623"/>
    <w:rsid w:val="009E459F"/>
    <w:rsid w:val="009E46DB"/>
    <w:rsid w:val="009E4C00"/>
    <w:rsid w:val="009E4EBA"/>
    <w:rsid w:val="009E5C67"/>
    <w:rsid w:val="009E6220"/>
    <w:rsid w:val="009E6315"/>
    <w:rsid w:val="009E67C3"/>
    <w:rsid w:val="009E6ADE"/>
    <w:rsid w:val="009E6D16"/>
    <w:rsid w:val="009E6EC5"/>
    <w:rsid w:val="009E71E0"/>
    <w:rsid w:val="009E7783"/>
    <w:rsid w:val="009E77F4"/>
    <w:rsid w:val="009E7A65"/>
    <w:rsid w:val="009E7A66"/>
    <w:rsid w:val="009E7EC1"/>
    <w:rsid w:val="009F028F"/>
    <w:rsid w:val="009F045B"/>
    <w:rsid w:val="009F0F79"/>
    <w:rsid w:val="009F1078"/>
    <w:rsid w:val="009F18B8"/>
    <w:rsid w:val="009F1A74"/>
    <w:rsid w:val="009F1C4B"/>
    <w:rsid w:val="009F1D24"/>
    <w:rsid w:val="009F2EE5"/>
    <w:rsid w:val="009F320F"/>
    <w:rsid w:val="009F3237"/>
    <w:rsid w:val="009F3383"/>
    <w:rsid w:val="009F3460"/>
    <w:rsid w:val="009F3600"/>
    <w:rsid w:val="009F37C7"/>
    <w:rsid w:val="009F397A"/>
    <w:rsid w:val="009F4B0C"/>
    <w:rsid w:val="009F55DE"/>
    <w:rsid w:val="009F5703"/>
    <w:rsid w:val="009F61B6"/>
    <w:rsid w:val="009F712C"/>
    <w:rsid w:val="009F761D"/>
    <w:rsid w:val="009F7C0E"/>
    <w:rsid w:val="009F7C96"/>
    <w:rsid w:val="00A0014A"/>
    <w:rsid w:val="00A0094B"/>
    <w:rsid w:val="00A00E62"/>
    <w:rsid w:val="00A00EA0"/>
    <w:rsid w:val="00A01658"/>
    <w:rsid w:val="00A01988"/>
    <w:rsid w:val="00A02065"/>
    <w:rsid w:val="00A02372"/>
    <w:rsid w:val="00A0279F"/>
    <w:rsid w:val="00A0283E"/>
    <w:rsid w:val="00A03611"/>
    <w:rsid w:val="00A03A8C"/>
    <w:rsid w:val="00A04B59"/>
    <w:rsid w:val="00A04E70"/>
    <w:rsid w:val="00A0507C"/>
    <w:rsid w:val="00A05104"/>
    <w:rsid w:val="00A05399"/>
    <w:rsid w:val="00A05A30"/>
    <w:rsid w:val="00A05FAA"/>
    <w:rsid w:val="00A0636F"/>
    <w:rsid w:val="00A071F6"/>
    <w:rsid w:val="00A07423"/>
    <w:rsid w:val="00A07450"/>
    <w:rsid w:val="00A07622"/>
    <w:rsid w:val="00A07F62"/>
    <w:rsid w:val="00A10430"/>
    <w:rsid w:val="00A10893"/>
    <w:rsid w:val="00A10DD8"/>
    <w:rsid w:val="00A10E97"/>
    <w:rsid w:val="00A10EB7"/>
    <w:rsid w:val="00A11260"/>
    <w:rsid w:val="00A115C8"/>
    <w:rsid w:val="00A11FB6"/>
    <w:rsid w:val="00A11FEB"/>
    <w:rsid w:val="00A11FF7"/>
    <w:rsid w:val="00A12026"/>
    <w:rsid w:val="00A125CF"/>
    <w:rsid w:val="00A126E1"/>
    <w:rsid w:val="00A130AB"/>
    <w:rsid w:val="00A13AA6"/>
    <w:rsid w:val="00A13FF2"/>
    <w:rsid w:val="00A14028"/>
    <w:rsid w:val="00A140AD"/>
    <w:rsid w:val="00A14BD1"/>
    <w:rsid w:val="00A14F5A"/>
    <w:rsid w:val="00A152BB"/>
    <w:rsid w:val="00A15A7B"/>
    <w:rsid w:val="00A17749"/>
    <w:rsid w:val="00A17FBB"/>
    <w:rsid w:val="00A17FE3"/>
    <w:rsid w:val="00A20312"/>
    <w:rsid w:val="00A206DA"/>
    <w:rsid w:val="00A21485"/>
    <w:rsid w:val="00A21A91"/>
    <w:rsid w:val="00A21ADF"/>
    <w:rsid w:val="00A22901"/>
    <w:rsid w:val="00A22943"/>
    <w:rsid w:val="00A22E51"/>
    <w:rsid w:val="00A236F2"/>
    <w:rsid w:val="00A240FF"/>
    <w:rsid w:val="00A243CC"/>
    <w:rsid w:val="00A2493E"/>
    <w:rsid w:val="00A2557B"/>
    <w:rsid w:val="00A26B4F"/>
    <w:rsid w:val="00A26D82"/>
    <w:rsid w:val="00A27112"/>
    <w:rsid w:val="00A27548"/>
    <w:rsid w:val="00A27C27"/>
    <w:rsid w:val="00A30851"/>
    <w:rsid w:val="00A317DD"/>
    <w:rsid w:val="00A31ABB"/>
    <w:rsid w:val="00A321FE"/>
    <w:rsid w:val="00A322F2"/>
    <w:rsid w:val="00A32498"/>
    <w:rsid w:val="00A32954"/>
    <w:rsid w:val="00A33584"/>
    <w:rsid w:val="00A33812"/>
    <w:rsid w:val="00A33CC3"/>
    <w:rsid w:val="00A341C3"/>
    <w:rsid w:val="00A34397"/>
    <w:rsid w:val="00A34464"/>
    <w:rsid w:val="00A34799"/>
    <w:rsid w:val="00A34824"/>
    <w:rsid w:val="00A34AA5"/>
    <w:rsid w:val="00A34D30"/>
    <w:rsid w:val="00A3530F"/>
    <w:rsid w:val="00A35864"/>
    <w:rsid w:val="00A3699E"/>
    <w:rsid w:val="00A369D2"/>
    <w:rsid w:val="00A36CE1"/>
    <w:rsid w:val="00A370D8"/>
    <w:rsid w:val="00A37779"/>
    <w:rsid w:val="00A37B63"/>
    <w:rsid w:val="00A37C7F"/>
    <w:rsid w:val="00A37DBB"/>
    <w:rsid w:val="00A37F9D"/>
    <w:rsid w:val="00A4037A"/>
    <w:rsid w:val="00A4057C"/>
    <w:rsid w:val="00A40BA2"/>
    <w:rsid w:val="00A40FF0"/>
    <w:rsid w:val="00A410FA"/>
    <w:rsid w:val="00A41280"/>
    <w:rsid w:val="00A414D7"/>
    <w:rsid w:val="00A4195A"/>
    <w:rsid w:val="00A41D08"/>
    <w:rsid w:val="00A41D21"/>
    <w:rsid w:val="00A41EA0"/>
    <w:rsid w:val="00A4210D"/>
    <w:rsid w:val="00A42571"/>
    <w:rsid w:val="00A425E6"/>
    <w:rsid w:val="00A429B6"/>
    <w:rsid w:val="00A42D8D"/>
    <w:rsid w:val="00A43030"/>
    <w:rsid w:val="00A43807"/>
    <w:rsid w:val="00A438B7"/>
    <w:rsid w:val="00A43F1B"/>
    <w:rsid w:val="00A441D8"/>
    <w:rsid w:val="00A447C5"/>
    <w:rsid w:val="00A44D19"/>
    <w:rsid w:val="00A44D6A"/>
    <w:rsid w:val="00A450B8"/>
    <w:rsid w:val="00A452EE"/>
    <w:rsid w:val="00A454F4"/>
    <w:rsid w:val="00A45687"/>
    <w:rsid w:val="00A4582E"/>
    <w:rsid w:val="00A45D7A"/>
    <w:rsid w:val="00A45FC6"/>
    <w:rsid w:val="00A46085"/>
    <w:rsid w:val="00A46C64"/>
    <w:rsid w:val="00A475DA"/>
    <w:rsid w:val="00A478A8"/>
    <w:rsid w:val="00A47E57"/>
    <w:rsid w:val="00A50119"/>
    <w:rsid w:val="00A502A9"/>
    <w:rsid w:val="00A50416"/>
    <w:rsid w:val="00A5054B"/>
    <w:rsid w:val="00A506A7"/>
    <w:rsid w:val="00A51380"/>
    <w:rsid w:val="00A515BD"/>
    <w:rsid w:val="00A5179D"/>
    <w:rsid w:val="00A5194C"/>
    <w:rsid w:val="00A51B18"/>
    <w:rsid w:val="00A51E72"/>
    <w:rsid w:val="00A51E78"/>
    <w:rsid w:val="00A52B9D"/>
    <w:rsid w:val="00A52D91"/>
    <w:rsid w:val="00A52F30"/>
    <w:rsid w:val="00A53184"/>
    <w:rsid w:val="00A533D4"/>
    <w:rsid w:val="00A5397E"/>
    <w:rsid w:val="00A53F6F"/>
    <w:rsid w:val="00A544B1"/>
    <w:rsid w:val="00A55299"/>
    <w:rsid w:val="00A55673"/>
    <w:rsid w:val="00A558C0"/>
    <w:rsid w:val="00A56B73"/>
    <w:rsid w:val="00A574C2"/>
    <w:rsid w:val="00A575A9"/>
    <w:rsid w:val="00A57D3D"/>
    <w:rsid w:val="00A600AE"/>
    <w:rsid w:val="00A6072B"/>
    <w:rsid w:val="00A60949"/>
    <w:rsid w:val="00A609A1"/>
    <w:rsid w:val="00A60D50"/>
    <w:rsid w:val="00A60EFC"/>
    <w:rsid w:val="00A61222"/>
    <w:rsid w:val="00A6158D"/>
    <w:rsid w:val="00A6180D"/>
    <w:rsid w:val="00A61FA3"/>
    <w:rsid w:val="00A62208"/>
    <w:rsid w:val="00A622BD"/>
    <w:rsid w:val="00A62600"/>
    <w:rsid w:val="00A62716"/>
    <w:rsid w:val="00A62EB6"/>
    <w:rsid w:val="00A62F22"/>
    <w:rsid w:val="00A63D19"/>
    <w:rsid w:val="00A64379"/>
    <w:rsid w:val="00A64845"/>
    <w:rsid w:val="00A65042"/>
    <w:rsid w:val="00A65791"/>
    <w:rsid w:val="00A66DC4"/>
    <w:rsid w:val="00A673AB"/>
    <w:rsid w:val="00A67411"/>
    <w:rsid w:val="00A67A52"/>
    <w:rsid w:val="00A67A7B"/>
    <w:rsid w:val="00A67CE8"/>
    <w:rsid w:val="00A70A9D"/>
    <w:rsid w:val="00A70C69"/>
    <w:rsid w:val="00A70F0C"/>
    <w:rsid w:val="00A71040"/>
    <w:rsid w:val="00A713E2"/>
    <w:rsid w:val="00A7242F"/>
    <w:rsid w:val="00A7299C"/>
    <w:rsid w:val="00A729E4"/>
    <w:rsid w:val="00A72AC0"/>
    <w:rsid w:val="00A72ACB"/>
    <w:rsid w:val="00A72DAD"/>
    <w:rsid w:val="00A74076"/>
    <w:rsid w:val="00A7431D"/>
    <w:rsid w:val="00A74415"/>
    <w:rsid w:val="00A745D1"/>
    <w:rsid w:val="00A746C6"/>
    <w:rsid w:val="00A74996"/>
    <w:rsid w:val="00A74CBE"/>
    <w:rsid w:val="00A74D08"/>
    <w:rsid w:val="00A757A6"/>
    <w:rsid w:val="00A75A60"/>
    <w:rsid w:val="00A75A7F"/>
    <w:rsid w:val="00A75D31"/>
    <w:rsid w:val="00A76930"/>
    <w:rsid w:val="00A769BA"/>
    <w:rsid w:val="00A775E2"/>
    <w:rsid w:val="00A8094A"/>
    <w:rsid w:val="00A80C53"/>
    <w:rsid w:val="00A8106F"/>
    <w:rsid w:val="00A811FB"/>
    <w:rsid w:val="00A81B84"/>
    <w:rsid w:val="00A823BD"/>
    <w:rsid w:val="00A82A73"/>
    <w:rsid w:val="00A82AC1"/>
    <w:rsid w:val="00A82AE5"/>
    <w:rsid w:val="00A82B57"/>
    <w:rsid w:val="00A8320D"/>
    <w:rsid w:val="00A8390F"/>
    <w:rsid w:val="00A83BA5"/>
    <w:rsid w:val="00A83C0E"/>
    <w:rsid w:val="00A840F0"/>
    <w:rsid w:val="00A8471B"/>
    <w:rsid w:val="00A84A94"/>
    <w:rsid w:val="00A84CE7"/>
    <w:rsid w:val="00A84DA0"/>
    <w:rsid w:val="00A84DEF"/>
    <w:rsid w:val="00A84DF4"/>
    <w:rsid w:val="00A854A2"/>
    <w:rsid w:val="00A85814"/>
    <w:rsid w:val="00A85FCC"/>
    <w:rsid w:val="00A86207"/>
    <w:rsid w:val="00A8712B"/>
    <w:rsid w:val="00A87232"/>
    <w:rsid w:val="00A875B9"/>
    <w:rsid w:val="00A87A54"/>
    <w:rsid w:val="00A87E12"/>
    <w:rsid w:val="00A90055"/>
    <w:rsid w:val="00A91355"/>
    <w:rsid w:val="00A914EB"/>
    <w:rsid w:val="00A91A89"/>
    <w:rsid w:val="00A91DB9"/>
    <w:rsid w:val="00A91FE7"/>
    <w:rsid w:val="00A921CB"/>
    <w:rsid w:val="00A922AD"/>
    <w:rsid w:val="00A93429"/>
    <w:rsid w:val="00A936F5"/>
    <w:rsid w:val="00A93790"/>
    <w:rsid w:val="00A93F8F"/>
    <w:rsid w:val="00A94A19"/>
    <w:rsid w:val="00A94C70"/>
    <w:rsid w:val="00A94C96"/>
    <w:rsid w:val="00A94F4E"/>
    <w:rsid w:val="00A9604B"/>
    <w:rsid w:val="00A963BA"/>
    <w:rsid w:val="00A96467"/>
    <w:rsid w:val="00A9671F"/>
    <w:rsid w:val="00A96A20"/>
    <w:rsid w:val="00A96A43"/>
    <w:rsid w:val="00A9793B"/>
    <w:rsid w:val="00A97CC9"/>
    <w:rsid w:val="00AA034A"/>
    <w:rsid w:val="00AA0517"/>
    <w:rsid w:val="00AA0B3B"/>
    <w:rsid w:val="00AA170B"/>
    <w:rsid w:val="00AA1754"/>
    <w:rsid w:val="00AA1CF3"/>
    <w:rsid w:val="00AA1FC7"/>
    <w:rsid w:val="00AA2C92"/>
    <w:rsid w:val="00AA2DAA"/>
    <w:rsid w:val="00AA2FB8"/>
    <w:rsid w:val="00AA4416"/>
    <w:rsid w:val="00AA5622"/>
    <w:rsid w:val="00AA5992"/>
    <w:rsid w:val="00AA5E55"/>
    <w:rsid w:val="00AA6685"/>
    <w:rsid w:val="00AA6AD9"/>
    <w:rsid w:val="00AA7D69"/>
    <w:rsid w:val="00AB004E"/>
    <w:rsid w:val="00AB008F"/>
    <w:rsid w:val="00AB03C0"/>
    <w:rsid w:val="00AB0980"/>
    <w:rsid w:val="00AB0DF9"/>
    <w:rsid w:val="00AB12AE"/>
    <w:rsid w:val="00AB15EB"/>
    <w:rsid w:val="00AB1A44"/>
    <w:rsid w:val="00AB1DF8"/>
    <w:rsid w:val="00AB1FA4"/>
    <w:rsid w:val="00AB2F29"/>
    <w:rsid w:val="00AB2F5F"/>
    <w:rsid w:val="00AB4147"/>
    <w:rsid w:val="00AB478F"/>
    <w:rsid w:val="00AB494E"/>
    <w:rsid w:val="00AB49E5"/>
    <w:rsid w:val="00AB4AB0"/>
    <w:rsid w:val="00AB5368"/>
    <w:rsid w:val="00AB53B0"/>
    <w:rsid w:val="00AB5D92"/>
    <w:rsid w:val="00AB6402"/>
    <w:rsid w:val="00AB6497"/>
    <w:rsid w:val="00AB7497"/>
    <w:rsid w:val="00AB7876"/>
    <w:rsid w:val="00AB795D"/>
    <w:rsid w:val="00AB7D7C"/>
    <w:rsid w:val="00AB7EBE"/>
    <w:rsid w:val="00AC0328"/>
    <w:rsid w:val="00AC058B"/>
    <w:rsid w:val="00AC09A9"/>
    <w:rsid w:val="00AC100E"/>
    <w:rsid w:val="00AC10E0"/>
    <w:rsid w:val="00AC132F"/>
    <w:rsid w:val="00AC2B12"/>
    <w:rsid w:val="00AC2B4C"/>
    <w:rsid w:val="00AC2E55"/>
    <w:rsid w:val="00AC2FC1"/>
    <w:rsid w:val="00AC3524"/>
    <w:rsid w:val="00AC39C4"/>
    <w:rsid w:val="00AC3E44"/>
    <w:rsid w:val="00AC44B7"/>
    <w:rsid w:val="00AC4EF9"/>
    <w:rsid w:val="00AC5A40"/>
    <w:rsid w:val="00AC67DC"/>
    <w:rsid w:val="00AC6B2E"/>
    <w:rsid w:val="00AC6F97"/>
    <w:rsid w:val="00AC7AC1"/>
    <w:rsid w:val="00AD0045"/>
    <w:rsid w:val="00AD01B5"/>
    <w:rsid w:val="00AD01C3"/>
    <w:rsid w:val="00AD13CF"/>
    <w:rsid w:val="00AD19E2"/>
    <w:rsid w:val="00AD214C"/>
    <w:rsid w:val="00AD2151"/>
    <w:rsid w:val="00AD25E1"/>
    <w:rsid w:val="00AD27BF"/>
    <w:rsid w:val="00AD2BF1"/>
    <w:rsid w:val="00AD2D29"/>
    <w:rsid w:val="00AD2E32"/>
    <w:rsid w:val="00AD2E9B"/>
    <w:rsid w:val="00AD320A"/>
    <w:rsid w:val="00AD3A87"/>
    <w:rsid w:val="00AD3B48"/>
    <w:rsid w:val="00AD3CB6"/>
    <w:rsid w:val="00AD400A"/>
    <w:rsid w:val="00AD40BD"/>
    <w:rsid w:val="00AD41ED"/>
    <w:rsid w:val="00AD45E7"/>
    <w:rsid w:val="00AD47AA"/>
    <w:rsid w:val="00AD47D2"/>
    <w:rsid w:val="00AD485B"/>
    <w:rsid w:val="00AD5CEA"/>
    <w:rsid w:val="00AD5D02"/>
    <w:rsid w:val="00AD64DE"/>
    <w:rsid w:val="00AD716E"/>
    <w:rsid w:val="00AD7F13"/>
    <w:rsid w:val="00AE034E"/>
    <w:rsid w:val="00AE0A33"/>
    <w:rsid w:val="00AE0A56"/>
    <w:rsid w:val="00AE12E9"/>
    <w:rsid w:val="00AE1397"/>
    <w:rsid w:val="00AE1875"/>
    <w:rsid w:val="00AE1AB8"/>
    <w:rsid w:val="00AE1C80"/>
    <w:rsid w:val="00AE205D"/>
    <w:rsid w:val="00AE22F9"/>
    <w:rsid w:val="00AE2461"/>
    <w:rsid w:val="00AE2527"/>
    <w:rsid w:val="00AE2588"/>
    <w:rsid w:val="00AE3A45"/>
    <w:rsid w:val="00AE4E1C"/>
    <w:rsid w:val="00AE56BD"/>
    <w:rsid w:val="00AE5857"/>
    <w:rsid w:val="00AE5E85"/>
    <w:rsid w:val="00AE5EC0"/>
    <w:rsid w:val="00AE6024"/>
    <w:rsid w:val="00AE64C2"/>
    <w:rsid w:val="00AE6A9B"/>
    <w:rsid w:val="00AE73D0"/>
    <w:rsid w:val="00AE73E1"/>
    <w:rsid w:val="00AE77CA"/>
    <w:rsid w:val="00AE7F80"/>
    <w:rsid w:val="00AF0229"/>
    <w:rsid w:val="00AF291C"/>
    <w:rsid w:val="00AF36BE"/>
    <w:rsid w:val="00AF4918"/>
    <w:rsid w:val="00AF496C"/>
    <w:rsid w:val="00AF4C3D"/>
    <w:rsid w:val="00AF4D38"/>
    <w:rsid w:val="00AF54D9"/>
    <w:rsid w:val="00AF580C"/>
    <w:rsid w:val="00AF5857"/>
    <w:rsid w:val="00AF5AAD"/>
    <w:rsid w:val="00AF6089"/>
    <w:rsid w:val="00AF6629"/>
    <w:rsid w:val="00AF6EA7"/>
    <w:rsid w:val="00AF74DD"/>
    <w:rsid w:val="00AF7AA4"/>
    <w:rsid w:val="00B00205"/>
    <w:rsid w:val="00B00443"/>
    <w:rsid w:val="00B00D42"/>
    <w:rsid w:val="00B0103C"/>
    <w:rsid w:val="00B02239"/>
    <w:rsid w:val="00B0245D"/>
    <w:rsid w:val="00B02A3B"/>
    <w:rsid w:val="00B02F0C"/>
    <w:rsid w:val="00B02FF2"/>
    <w:rsid w:val="00B030AA"/>
    <w:rsid w:val="00B03569"/>
    <w:rsid w:val="00B03C00"/>
    <w:rsid w:val="00B047FD"/>
    <w:rsid w:val="00B04E92"/>
    <w:rsid w:val="00B05007"/>
    <w:rsid w:val="00B0535A"/>
    <w:rsid w:val="00B0555B"/>
    <w:rsid w:val="00B05841"/>
    <w:rsid w:val="00B05B0D"/>
    <w:rsid w:val="00B06144"/>
    <w:rsid w:val="00B066D0"/>
    <w:rsid w:val="00B067EB"/>
    <w:rsid w:val="00B0794F"/>
    <w:rsid w:val="00B07BFC"/>
    <w:rsid w:val="00B07DDB"/>
    <w:rsid w:val="00B10F25"/>
    <w:rsid w:val="00B12544"/>
    <w:rsid w:val="00B129AE"/>
    <w:rsid w:val="00B12CA6"/>
    <w:rsid w:val="00B12EBB"/>
    <w:rsid w:val="00B131DE"/>
    <w:rsid w:val="00B13724"/>
    <w:rsid w:val="00B13DDE"/>
    <w:rsid w:val="00B1452A"/>
    <w:rsid w:val="00B15257"/>
    <w:rsid w:val="00B15271"/>
    <w:rsid w:val="00B152C9"/>
    <w:rsid w:val="00B153ED"/>
    <w:rsid w:val="00B158A8"/>
    <w:rsid w:val="00B15B00"/>
    <w:rsid w:val="00B15B19"/>
    <w:rsid w:val="00B15EAA"/>
    <w:rsid w:val="00B16AC5"/>
    <w:rsid w:val="00B1731F"/>
    <w:rsid w:val="00B17A1C"/>
    <w:rsid w:val="00B17BF9"/>
    <w:rsid w:val="00B2009F"/>
    <w:rsid w:val="00B20885"/>
    <w:rsid w:val="00B20942"/>
    <w:rsid w:val="00B209EB"/>
    <w:rsid w:val="00B20AD7"/>
    <w:rsid w:val="00B20B6F"/>
    <w:rsid w:val="00B20F07"/>
    <w:rsid w:val="00B211FA"/>
    <w:rsid w:val="00B21A27"/>
    <w:rsid w:val="00B21C33"/>
    <w:rsid w:val="00B22865"/>
    <w:rsid w:val="00B22B4C"/>
    <w:rsid w:val="00B22D1B"/>
    <w:rsid w:val="00B231C5"/>
    <w:rsid w:val="00B23628"/>
    <w:rsid w:val="00B23E02"/>
    <w:rsid w:val="00B23EBF"/>
    <w:rsid w:val="00B24611"/>
    <w:rsid w:val="00B24DAF"/>
    <w:rsid w:val="00B24EC8"/>
    <w:rsid w:val="00B250BC"/>
    <w:rsid w:val="00B25279"/>
    <w:rsid w:val="00B253BF"/>
    <w:rsid w:val="00B25499"/>
    <w:rsid w:val="00B26F1E"/>
    <w:rsid w:val="00B27410"/>
    <w:rsid w:val="00B276D4"/>
    <w:rsid w:val="00B27C0F"/>
    <w:rsid w:val="00B27DF2"/>
    <w:rsid w:val="00B3062A"/>
    <w:rsid w:val="00B306DD"/>
    <w:rsid w:val="00B30A1E"/>
    <w:rsid w:val="00B30A69"/>
    <w:rsid w:val="00B30EE9"/>
    <w:rsid w:val="00B3113C"/>
    <w:rsid w:val="00B317E1"/>
    <w:rsid w:val="00B31B51"/>
    <w:rsid w:val="00B32C0B"/>
    <w:rsid w:val="00B32C13"/>
    <w:rsid w:val="00B33282"/>
    <w:rsid w:val="00B33F2E"/>
    <w:rsid w:val="00B340BA"/>
    <w:rsid w:val="00B341FC"/>
    <w:rsid w:val="00B344B4"/>
    <w:rsid w:val="00B34EC8"/>
    <w:rsid w:val="00B355A2"/>
    <w:rsid w:val="00B35A0D"/>
    <w:rsid w:val="00B35BC7"/>
    <w:rsid w:val="00B35F3C"/>
    <w:rsid w:val="00B364A8"/>
    <w:rsid w:val="00B36581"/>
    <w:rsid w:val="00B36674"/>
    <w:rsid w:val="00B37868"/>
    <w:rsid w:val="00B40065"/>
    <w:rsid w:val="00B4045F"/>
    <w:rsid w:val="00B40B08"/>
    <w:rsid w:val="00B40C2D"/>
    <w:rsid w:val="00B4103F"/>
    <w:rsid w:val="00B410D1"/>
    <w:rsid w:val="00B417A9"/>
    <w:rsid w:val="00B417D1"/>
    <w:rsid w:val="00B4201C"/>
    <w:rsid w:val="00B4262C"/>
    <w:rsid w:val="00B426E1"/>
    <w:rsid w:val="00B42852"/>
    <w:rsid w:val="00B429BA"/>
    <w:rsid w:val="00B42D36"/>
    <w:rsid w:val="00B43616"/>
    <w:rsid w:val="00B43F2F"/>
    <w:rsid w:val="00B44230"/>
    <w:rsid w:val="00B44481"/>
    <w:rsid w:val="00B44BE1"/>
    <w:rsid w:val="00B44BEA"/>
    <w:rsid w:val="00B44E1C"/>
    <w:rsid w:val="00B4524B"/>
    <w:rsid w:val="00B45D19"/>
    <w:rsid w:val="00B462D9"/>
    <w:rsid w:val="00B467BD"/>
    <w:rsid w:val="00B46A04"/>
    <w:rsid w:val="00B46B15"/>
    <w:rsid w:val="00B46C5A"/>
    <w:rsid w:val="00B47E9F"/>
    <w:rsid w:val="00B506F3"/>
    <w:rsid w:val="00B51ADF"/>
    <w:rsid w:val="00B521D9"/>
    <w:rsid w:val="00B52676"/>
    <w:rsid w:val="00B532FD"/>
    <w:rsid w:val="00B53551"/>
    <w:rsid w:val="00B547A0"/>
    <w:rsid w:val="00B54ABC"/>
    <w:rsid w:val="00B553BE"/>
    <w:rsid w:val="00B559D1"/>
    <w:rsid w:val="00B559EA"/>
    <w:rsid w:val="00B55BEA"/>
    <w:rsid w:val="00B55CE1"/>
    <w:rsid w:val="00B564C6"/>
    <w:rsid w:val="00B56830"/>
    <w:rsid w:val="00B5697A"/>
    <w:rsid w:val="00B574DF"/>
    <w:rsid w:val="00B576E5"/>
    <w:rsid w:val="00B57A3D"/>
    <w:rsid w:val="00B57E4C"/>
    <w:rsid w:val="00B57FDE"/>
    <w:rsid w:val="00B600C4"/>
    <w:rsid w:val="00B60327"/>
    <w:rsid w:val="00B604DC"/>
    <w:rsid w:val="00B60892"/>
    <w:rsid w:val="00B609FA"/>
    <w:rsid w:val="00B61301"/>
    <w:rsid w:val="00B614F5"/>
    <w:rsid w:val="00B62509"/>
    <w:rsid w:val="00B628FB"/>
    <w:rsid w:val="00B632BD"/>
    <w:rsid w:val="00B637F2"/>
    <w:rsid w:val="00B63F64"/>
    <w:rsid w:val="00B6462A"/>
    <w:rsid w:val="00B64A40"/>
    <w:rsid w:val="00B654D9"/>
    <w:rsid w:val="00B6592F"/>
    <w:rsid w:val="00B659A0"/>
    <w:rsid w:val="00B65C96"/>
    <w:rsid w:val="00B65CC6"/>
    <w:rsid w:val="00B66295"/>
    <w:rsid w:val="00B6706A"/>
    <w:rsid w:val="00B670BA"/>
    <w:rsid w:val="00B670D7"/>
    <w:rsid w:val="00B67415"/>
    <w:rsid w:val="00B6792A"/>
    <w:rsid w:val="00B679C1"/>
    <w:rsid w:val="00B67DB1"/>
    <w:rsid w:val="00B70765"/>
    <w:rsid w:val="00B70D4E"/>
    <w:rsid w:val="00B70D7D"/>
    <w:rsid w:val="00B715A1"/>
    <w:rsid w:val="00B71872"/>
    <w:rsid w:val="00B719D6"/>
    <w:rsid w:val="00B7280F"/>
    <w:rsid w:val="00B72AB5"/>
    <w:rsid w:val="00B72D0F"/>
    <w:rsid w:val="00B73240"/>
    <w:rsid w:val="00B73473"/>
    <w:rsid w:val="00B736A3"/>
    <w:rsid w:val="00B73738"/>
    <w:rsid w:val="00B73AFB"/>
    <w:rsid w:val="00B740A5"/>
    <w:rsid w:val="00B742A8"/>
    <w:rsid w:val="00B746E7"/>
    <w:rsid w:val="00B74792"/>
    <w:rsid w:val="00B7498F"/>
    <w:rsid w:val="00B74FC4"/>
    <w:rsid w:val="00B754C1"/>
    <w:rsid w:val="00B75856"/>
    <w:rsid w:val="00B75E72"/>
    <w:rsid w:val="00B76158"/>
    <w:rsid w:val="00B76634"/>
    <w:rsid w:val="00B770CE"/>
    <w:rsid w:val="00B7710E"/>
    <w:rsid w:val="00B7772D"/>
    <w:rsid w:val="00B8017A"/>
    <w:rsid w:val="00B80424"/>
    <w:rsid w:val="00B8089C"/>
    <w:rsid w:val="00B808B0"/>
    <w:rsid w:val="00B80BB5"/>
    <w:rsid w:val="00B8103E"/>
    <w:rsid w:val="00B8108E"/>
    <w:rsid w:val="00B81287"/>
    <w:rsid w:val="00B8172E"/>
    <w:rsid w:val="00B82015"/>
    <w:rsid w:val="00B82220"/>
    <w:rsid w:val="00B8278D"/>
    <w:rsid w:val="00B830C0"/>
    <w:rsid w:val="00B83230"/>
    <w:rsid w:val="00B83600"/>
    <w:rsid w:val="00B83CBF"/>
    <w:rsid w:val="00B8452F"/>
    <w:rsid w:val="00B8483F"/>
    <w:rsid w:val="00B84D43"/>
    <w:rsid w:val="00B85418"/>
    <w:rsid w:val="00B854E1"/>
    <w:rsid w:val="00B855FA"/>
    <w:rsid w:val="00B85835"/>
    <w:rsid w:val="00B8590F"/>
    <w:rsid w:val="00B859A7"/>
    <w:rsid w:val="00B85ACA"/>
    <w:rsid w:val="00B85C4F"/>
    <w:rsid w:val="00B8624F"/>
    <w:rsid w:val="00B865E8"/>
    <w:rsid w:val="00B867F7"/>
    <w:rsid w:val="00B90164"/>
    <w:rsid w:val="00B902CA"/>
    <w:rsid w:val="00B9034B"/>
    <w:rsid w:val="00B907CE"/>
    <w:rsid w:val="00B909A7"/>
    <w:rsid w:val="00B90B2B"/>
    <w:rsid w:val="00B9104B"/>
    <w:rsid w:val="00B91130"/>
    <w:rsid w:val="00B911B3"/>
    <w:rsid w:val="00B91244"/>
    <w:rsid w:val="00B91A57"/>
    <w:rsid w:val="00B9209E"/>
    <w:rsid w:val="00B922D9"/>
    <w:rsid w:val="00B9252A"/>
    <w:rsid w:val="00B92540"/>
    <w:rsid w:val="00B92824"/>
    <w:rsid w:val="00B92EC0"/>
    <w:rsid w:val="00B931C9"/>
    <w:rsid w:val="00B9337B"/>
    <w:rsid w:val="00B933F5"/>
    <w:rsid w:val="00B93E89"/>
    <w:rsid w:val="00B9457F"/>
    <w:rsid w:val="00B94A59"/>
    <w:rsid w:val="00B94B02"/>
    <w:rsid w:val="00B95711"/>
    <w:rsid w:val="00B960C2"/>
    <w:rsid w:val="00B966CA"/>
    <w:rsid w:val="00B96CF7"/>
    <w:rsid w:val="00B970A8"/>
    <w:rsid w:val="00B970AA"/>
    <w:rsid w:val="00B97678"/>
    <w:rsid w:val="00B97732"/>
    <w:rsid w:val="00B9777A"/>
    <w:rsid w:val="00B979E8"/>
    <w:rsid w:val="00B97B8C"/>
    <w:rsid w:val="00B97FD7"/>
    <w:rsid w:val="00BA0063"/>
    <w:rsid w:val="00BA009F"/>
    <w:rsid w:val="00BA04C1"/>
    <w:rsid w:val="00BA07FB"/>
    <w:rsid w:val="00BA1016"/>
    <w:rsid w:val="00BA124D"/>
    <w:rsid w:val="00BA131A"/>
    <w:rsid w:val="00BA1872"/>
    <w:rsid w:val="00BA195C"/>
    <w:rsid w:val="00BA1B3A"/>
    <w:rsid w:val="00BA2743"/>
    <w:rsid w:val="00BA349B"/>
    <w:rsid w:val="00BA3566"/>
    <w:rsid w:val="00BA395C"/>
    <w:rsid w:val="00BA4744"/>
    <w:rsid w:val="00BA4D8D"/>
    <w:rsid w:val="00BA54C9"/>
    <w:rsid w:val="00BA5D76"/>
    <w:rsid w:val="00BA6120"/>
    <w:rsid w:val="00BA628C"/>
    <w:rsid w:val="00BA68C7"/>
    <w:rsid w:val="00BA691F"/>
    <w:rsid w:val="00BA698C"/>
    <w:rsid w:val="00BA69B6"/>
    <w:rsid w:val="00BA6FB3"/>
    <w:rsid w:val="00BA7167"/>
    <w:rsid w:val="00BA75EB"/>
    <w:rsid w:val="00BA78EB"/>
    <w:rsid w:val="00BA797D"/>
    <w:rsid w:val="00BA7CA7"/>
    <w:rsid w:val="00BB0ED0"/>
    <w:rsid w:val="00BB1474"/>
    <w:rsid w:val="00BB2094"/>
    <w:rsid w:val="00BB2357"/>
    <w:rsid w:val="00BB2B60"/>
    <w:rsid w:val="00BB2E64"/>
    <w:rsid w:val="00BB30FE"/>
    <w:rsid w:val="00BB362D"/>
    <w:rsid w:val="00BB3CA7"/>
    <w:rsid w:val="00BB4410"/>
    <w:rsid w:val="00BB499E"/>
    <w:rsid w:val="00BB4B54"/>
    <w:rsid w:val="00BB4C5C"/>
    <w:rsid w:val="00BB572D"/>
    <w:rsid w:val="00BB57CB"/>
    <w:rsid w:val="00BB5E53"/>
    <w:rsid w:val="00BB6002"/>
    <w:rsid w:val="00BB69DF"/>
    <w:rsid w:val="00BB6C14"/>
    <w:rsid w:val="00BB750C"/>
    <w:rsid w:val="00BB753B"/>
    <w:rsid w:val="00BB7EB9"/>
    <w:rsid w:val="00BC00E9"/>
    <w:rsid w:val="00BC0415"/>
    <w:rsid w:val="00BC04B9"/>
    <w:rsid w:val="00BC08C2"/>
    <w:rsid w:val="00BC0A31"/>
    <w:rsid w:val="00BC0CFE"/>
    <w:rsid w:val="00BC150C"/>
    <w:rsid w:val="00BC1E7E"/>
    <w:rsid w:val="00BC21E1"/>
    <w:rsid w:val="00BC23F6"/>
    <w:rsid w:val="00BC24F6"/>
    <w:rsid w:val="00BC25E2"/>
    <w:rsid w:val="00BC36AE"/>
    <w:rsid w:val="00BC36B9"/>
    <w:rsid w:val="00BC388D"/>
    <w:rsid w:val="00BC39A4"/>
    <w:rsid w:val="00BC427A"/>
    <w:rsid w:val="00BC4328"/>
    <w:rsid w:val="00BC4B1E"/>
    <w:rsid w:val="00BC4F44"/>
    <w:rsid w:val="00BC52F7"/>
    <w:rsid w:val="00BC5B00"/>
    <w:rsid w:val="00BC5CC1"/>
    <w:rsid w:val="00BC5F7F"/>
    <w:rsid w:val="00BC64D9"/>
    <w:rsid w:val="00BC6FE4"/>
    <w:rsid w:val="00BC731B"/>
    <w:rsid w:val="00BC7551"/>
    <w:rsid w:val="00BD06EC"/>
    <w:rsid w:val="00BD1116"/>
    <w:rsid w:val="00BD27EB"/>
    <w:rsid w:val="00BD2EAF"/>
    <w:rsid w:val="00BD3075"/>
    <w:rsid w:val="00BD3E7E"/>
    <w:rsid w:val="00BD46A9"/>
    <w:rsid w:val="00BD4BCF"/>
    <w:rsid w:val="00BD5092"/>
    <w:rsid w:val="00BD62A7"/>
    <w:rsid w:val="00BE022C"/>
    <w:rsid w:val="00BE02AE"/>
    <w:rsid w:val="00BE11BF"/>
    <w:rsid w:val="00BE13E2"/>
    <w:rsid w:val="00BE14E8"/>
    <w:rsid w:val="00BE16A0"/>
    <w:rsid w:val="00BE1961"/>
    <w:rsid w:val="00BE1FF9"/>
    <w:rsid w:val="00BE24D5"/>
    <w:rsid w:val="00BE33CE"/>
    <w:rsid w:val="00BE33D0"/>
    <w:rsid w:val="00BE3509"/>
    <w:rsid w:val="00BE37B3"/>
    <w:rsid w:val="00BE3A8F"/>
    <w:rsid w:val="00BE3EBF"/>
    <w:rsid w:val="00BE41FA"/>
    <w:rsid w:val="00BE4442"/>
    <w:rsid w:val="00BE4655"/>
    <w:rsid w:val="00BE510F"/>
    <w:rsid w:val="00BE51BF"/>
    <w:rsid w:val="00BE526C"/>
    <w:rsid w:val="00BE5FC2"/>
    <w:rsid w:val="00BE6566"/>
    <w:rsid w:val="00BE6AF2"/>
    <w:rsid w:val="00BE72D9"/>
    <w:rsid w:val="00BE74A0"/>
    <w:rsid w:val="00BE75F1"/>
    <w:rsid w:val="00BE7A7D"/>
    <w:rsid w:val="00BE7A8B"/>
    <w:rsid w:val="00BF0ABB"/>
    <w:rsid w:val="00BF0FE5"/>
    <w:rsid w:val="00BF16BC"/>
    <w:rsid w:val="00BF1B29"/>
    <w:rsid w:val="00BF2175"/>
    <w:rsid w:val="00BF25E5"/>
    <w:rsid w:val="00BF271E"/>
    <w:rsid w:val="00BF27CE"/>
    <w:rsid w:val="00BF2F8F"/>
    <w:rsid w:val="00BF3A15"/>
    <w:rsid w:val="00BF3EF3"/>
    <w:rsid w:val="00BF462D"/>
    <w:rsid w:val="00BF5090"/>
    <w:rsid w:val="00BF5215"/>
    <w:rsid w:val="00BF5905"/>
    <w:rsid w:val="00BF5B79"/>
    <w:rsid w:val="00BF667C"/>
    <w:rsid w:val="00BF70EC"/>
    <w:rsid w:val="00BF74D5"/>
    <w:rsid w:val="00BF77DF"/>
    <w:rsid w:val="00BF7D43"/>
    <w:rsid w:val="00C0034D"/>
    <w:rsid w:val="00C0036C"/>
    <w:rsid w:val="00C0049A"/>
    <w:rsid w:val="00C0059B"/>
    <w:rsid w:val="00C00B98"/>
    <w:rsid w:val="00C01106"/>
    <w:rsid w:val="00C021FB"/>
    <w:rsid w:val="00C02824"/>
    <w:rsid w:val="00C02DD2"/>
    <w:rsid w:val="00C033FE"/>
    <w:rsid w:val="00C034B5"/>
    <w:rsid w:val="00C03686"/>
    <w:rsid w:val="00C038D1"/>
    <w:rsid w:val="00C03B01"/>
    <w:rsid w:val="00C0407F"/>
    <w:rsid w:val="00C044A1"/>
    <w:rsid w:val="00C045C8"/>
    <w:rsid w:val="00C0505A"/>
    <w:rsid w:val="00C053DD"/>
    <w:rsid w:val="00C05B75"/>
    <w:rsid w:val="00C06071"/>
    <w:rsid w:val="00C060C9"/>
    <w:rsid w:val="00C0618B"/>
    <w:rsid w:val="00C06ED0"/>
    <w:rsid w:val="00C073E1"/>
    <w:rsid w:val="00C077AD"/>
    <w:rsid w:val="00C07F54"/>
    <w:rsid w:val="00C109A9"/>
    <w:rsid w:val="00C10B89"/>
    <w:rsid w:val="00C116DB"/>
    <w:rsid w:val="00C11B04"/>
    <w:rsid w:val="00C11F4C"/>
    <w:rsid w:val="00C122D7"/>
    <w:rsid w:val="00C1237A"/>
    <w:rsid w:val="00C130B4"/>
    <w:rsid w:val="00C139C8"/>
    <w:rsid w:val="00C13AB8"/>
    <w:rsid w:val="00C1474C"/>
    <w:rsid w:val="00C14E00"/>
    <w:rsid w:val="00C157CB"/>
    <w:rsid w:val="00C166F2"/>
    <w:rsid w:val="00C16750"/>
    <w:rsid w:val="00C16CF5"/>
    <w:rsid w:val="00C17239"/>
    <w:rsid w:val="00C17841"/>
    <w:rsid w:val="00C17EA0"/>
    <w:rsid w:val="00C2080E"/>
    <w:rsid w:val="00C208DD"/>
    <w:rsid w:val="00C20975"/>
    <w:rsid w:val="00C2099D"/>
    <w:rsid w:val="00C20B11"/>
    <w:rsid w:val="00C20E3B"/>
    <w:rsid w:val="00C21491"/>
    <w:rsid w:val="00C21B6A"/>
    <w:rsid w:val="00C227A5"/>
    <w:rsid w:val="00C22930"/>
    <w:rsid w:val="00C22A49"/>
    <w:rsid w:val="00C2333C"/>
    <w:rsid w:val="00C23A8A"/>
    <w:rsid w:val="00C23CA6"/>
    <w:rsid w:val="00C23CAB"/>
    <w:rsid w:val="00C23E57"/>
    <w:rsid w:val="00C24969"/>
    <w:rsid w:val="00C24A77"/>
    <w:rsid w:val="00C2503B"/>
    <w:rsid w:val="00C25A75"/>
    <w:rsid w:val="00C25B59"/>
    <w:rsid w:val="00C26644"/>
    <w:rsid w:val="00C26F8C"/>
    <w:rsid w:val="00C276D6"/>
    <w:rsid w:val="00C27C1A"/>
    <w:rsid w:val="00C30206"/>
    <w:rsid w:val="00C30779"/>
    <w:rsid w:val="00C30798"/>
    <w:rsid w:val="00C308F2"/>
    <w:rsid w:val="00C30C22"/>
    <w:rsid w:val="00C310F1"/>
    <w:rsid w:val="00C3231C"/>
    <w:rsid w:val="00C32E25"/>
    <w:rsid w:val="00C32F3F"/>
    <w:rsid w:val="00C3313B"/>
    <w:rsid w:val="00C33359"/>
    <w:rsid w:val="00C335C2"/>
    <w:rsid w:val="00C3390F"/>
    <w:rsid w:val="00C33EC9"/>
    <w:rsid w:val="00C33F4A"/>
    <w:rsid w:val="00C3424E"/>
    <w:rsid w:val="00C3550B"/>
    <w:rsid w:val="00C359FC"/>
    <w:rsid w:val="00C36160"/>
    <w:rsid w:val="00C364A5"/>
    <w:rsid w:val="00C3672F"/>
    <w:rsid w:val="00C367C5"/>
    <w:rsid w:val="00C36A6D"/>
    <w:rsid w:val="00C36C02"/>
    <w:rsid w:val="00C3761D"/>
    <w:rsid w:val="00C37C21"/>
    <w:rsid w:val="00C37C30"/>
    <w:rsid w:val="00C37D88"/>
    <w:rsid w:val="00C4026F"/>
    <w:rsid w:val="00C41038"/>
    <w:rsid w:val="00C41BCA"/>
    <w:rsid w:val="00C41DB4"/>
    <w:rsid w:val="00C42949"/>
    <w:rsid w:val="00C42E5E"/>
    <w:rsid w:val="00C43ABD"/>
    <w:rsid w:val="00C43C32"/>
    <w:rsid w:val="00C4433F"/>
    <w:rsid w:val="00C447B5"/>
    <w:rsid w:val="00C4480C"/>
    <w:rsid w:val="00C44C87"/>
    <w:rsid w:val="00C45278"/>
    <w:rsid w:val="00C45CEF"/>
    <w:rsid w:val="00C45ECF"/>
    <w:rsid w:val="00C46C6E"/>
    <w:rsid w:val="00C472E0"/>
    <w:rsid w:val="00C47801"/>
    <w:rsid w:val="00C4794A"/>
    <w:rsid w:val="00C50656"/>
    <w:rsid w:val="00C50D08"/>
    <w:rsid w:val="00C5106B"/>
    <w:rsid w:val="00C51177"/>
    <w:rsid w:val="00C515F9"/>
    <w:rsid w:val="00C52D20"/>
    <w:rsid w:val="00C52F15"/>
    <w:rsid w:val="00C5345D"/>
    <w:rsid w:val="00C53C18"/>
    <w:rsid w:val="00C53EBF"/>
    <w:rsid w:val="00C53F43"/>
    <w:rsid w:val="00C53FBA"/>
    <w:rsid w:val="00C540C6"/>
    <w:rsid w:val="00C546AD"/>
    <w:rsid w:val="00C5540F"/>
    <w:rsid w:val="00C5543F"/>
    <w:rsid w:val="00C56260"/>
    <w:rsid w:val="00C56395"/>
    <w:rsid w:val="00C563D0"/>
    <w:rsid w:val="00C568C1"/>
    <w:rsid w:val="00C56BE5"/>
    <w:rsid w:val="00C56DE6"/>
    <w:rsid w:val="00C57B02"/>
    <w:rsid w:val="00C61540"/>
    <w:rsid w:val="00C6181C"/>
    <w:rsid w:val="00C61F43"/>
    <w:rsid w:val="00C622BC"/>
    <w:rsid w:val="00C6250B"/>
    <w:rsid w:val="00C625C9"/>
    <w:rsid w:val="00C628E8"/>
    <w:rsid w:val="00C62C0D"/>
    <w:rsid w:val="00C62CD8"/>
    <w:rsid w:val="00C62DE4"/>
    <w:rsid w:val="00C637F3"/>
    <w:rsid w:val="00C63D42"/>
    <w:rsid w:val="00C63DF0"/>
    <w:rsid w:val="00C64613"/>
    <w:rsid w:val="00C64682"/>
    <w:rsid w:val="00C647EE"/>
    <w:rsid w:val="00C64F46"/>
    <w:rsid w:val="00C653BA"/>
    <w:rsid w:val="00C6564B"/>
    <w:rsid w:val="00C6605E"/>
    <w:rsid w:val="00C6665C"/>
    <w:rsid w:val="00C6696B"/>
    <w:rsid w:val="00C66A2E"/>
    <w:rsid w:val="00C7045E"/>
    <w:rsid w:val="00C70707"/>
    <w:rsid w:val="00C7075A"/>
    <w:rsid w:val="00C7083B"/>
    <w:rsid w:val="00C70948"/>
    <w:rsid w:val="00C70F1A"/>
    <w:rsid w:val="00C71D61"/>
    <w:rsid w:val="00C720C5"/>
    <w:rsid w:val="00C72B65"/>
    <w:rsid w:val="00C73162"/>
    <w:rsid w:val="00C73CDA"/>
    <w:rsid w:val="00C740C6"/>
    <w:rsid w:val="00C7434A"/>
    <w:rsid w:val="00C74D01"/>
    <w:rsid w:val="00C74D72"/>
    <w:rsid w:val="00C75047"/>
    <w:rsid w:val="00C75CB5"/>
    <w:rsid w:val="00C76577"/>
    <w:rsid w:val="00C76D38"/>
    <w:rsid w:val="00C77DD1"/>
    <w:rsid w:val="00C77FDA"/>
    <w:rsid w:val="00C80C51"/>
    <w:rsid w:val="00C80CF4"/>
    <w:rsid w:val="00C8173B"/>
    <w:rsid w:val="00C82436"/>
    <w:rsid w:val="00C82BCC"/>
    <w:rsid w:val="00C82D13"/>
    <w:rsid w:val="00C83201"/>
    <w:rsid w:val="00C834EF"/>
    <w:rsid w:val="00C83976"/>
    <w:rsid w:val="00C839FB"/>
    <w:rsid w:val="00C83FCD"/>
    <w:rsid w:val="00C840CF"/>
    <w:rsid w:val="00C84A8D"/>
    <w:rsid w:val="00C854EC"/>
    <w:rsid w:val="00C8561B"/>
    <w:rsid w:val="00C85741"/>
    <w:rsid w:val="00C8590F"/>
    <w:rsid w:val="00C85DB5"/>
    <w:rsid w:val="00C86567"/>
    <w:rsid w:val="00C86D2B"/>
    <w:rsid w:val="00C878ED"/>
    <w:rsid w:val="00C87C6A"/>
    <w:rsid w:val="00C90B96"/>
    <w:rsid w:val="00C90D4F"/>
    <w:rsid w:val="00C910F1"/>
    <w:rsid w:val="00C9145B"/>
    <w:rsid w:val="00C91741"/>
    <w:rsid w:val="00C93746"/>
    <w:rsid w:val="00C93FB3"/>
    <w:rsid w:val="00C940B7"/>
    <w:rsid w:val="00C94358"/>
    <w:rsid w:val="00C947FC"/>
    <w:rsid w:val="00C949B6"/>
    <w:rsid w:val="00C94A80"/>
    <w:rsid w:val="00C94E57"/>
    <w:rsid w:val="00C958E3"/>
    <w:rsid w:val="00C95AF3"/>
    <w:rsid w:val="00C95BB5"/>
    <w:rsid w:val="00C95F3E"/>
    <w:rsid w:val="00C95F79"/>
    <w:rsid w:val="00C96586"/>
    <w:rsid w:val="00C966F0"/>
    <w:rsid w:val="00C967CC"/>
    <w:rsid w:val="00C96C34"/>
    <w:rsid w:val="00C96D6D"/>
    <w:rsid w:val="00C96DE4"/>
    <w:rsid w:val="00C978E5"/>
    <w:rsid w:val="00CA0165"/>
    <w:rsid w:val="00CA031F"/>
    <w:rsid w:val="00CA09C3"/>
    <w:rsid w:val="00CA1039"/>
    <w:rsid w:val="00CA165C"/>
    <w:rsid w:val="00CA1680"/>
    <w:rsid w:val="00CA21B2"/>
    <w:rsid w:val="00CA2C19"/>
    <w:rsid w:val="00CA2FD3"/>
    <w:rsid w:val="00CA3775"/>
    <w:rsid w:val="00CA3969"/>
    <w:rsid w:val="00CA3996"/>
    <w:rsid w:val="00CA4517"/>
    <w:rsid w:val="00CA45EE"/>
    <w:rsid w:val="00CA4922"/>
    <w:rsid w:val="00CA4A2E"/>
    <w:rsid w:val="00CA4C4F"/>
    <w:rsid w:val="00CA4CCC"/>
    <w:rsid w:val="00CA5378"/>
    <w:rsid w:val="00CA5A3B"/>
    <w:rsid w:val="00CA5BBA"/>
    <w:rsid w:val="00CA61AF"/>
    <w:rsid w:val="00CA69E8"/>
    <w:rsid w:val="00CA6BDD"/>
    <w:rsid w:val="00CA6BF2"/>
    <w:rsid w:val="00CA7003"/>
    <w:rsid w:val="00CA719A"/>
    <w:rsid w:val="00CA71FD"/>
    <w:rsid w:val="00CA7724"/>
    <w:rsid w:val="00CA7897"/>
    <w:rsid w:val="00CA7DF0"/>
    <w:rsid w:val="00CB00DD"/>
    <w:rsid w:val="00CB05BF"/>
    <w:rsid w:val="00CB1A41"/>
    <w:rsid w:val="00CB2298"/>
    <w:rsid w:val="00CB3066"/>
    <w:rsid w:val="00CB3879"/>
    <w:rsid w:val="00CB4DFE"/>
    <w:rsid w:val="00CB4F3C"/>
    <w:rsid w:val="00CB5466"/>
    <w:rsid w:val="00CB6300"/>
    <w:rsid w:val="00CB64EB"/>
    <w:rsid w:val="00CB6540"/>
    <w:rsid w:val="00CB6560"/>
    <w:rsid w:val="00CB65EE"/>
    <w:rsid w:val="00CB6D29"/>
    <w:rsid w:val="00CB71E2"/>
    <w:rsid w:val="00CB7A62"/>
    <w:rsid w:val="00CC03B7"/>
    <w:rsid w:val="00CC215C"/>
    <w:rsid w:val="00CC245E"/>
    <w:rsid w:val="00CC27D2"/>
    <w:rsid w:val="00CC28DE"/>
    <w:rsid w:val="00CC29BB"/>
    <w:rsid w:val="00CC2A89"/>
    <w:rsid w:val="00CC30B8"/>
    <w:rsid w:val="00CC3742"/>
    <w:rsid w:val="00CC3EDE"/>
    <w:rsid w:val="00CC41FE"/>
    <w:rsid w:val="00CC4975"/>
    <w:rsid w:val="00CC4B08"/>
    <w:rsid w:val="00CC4C0C"/>
    <w:rsid w:val="00CC50B1"/>
    <w:rsid w:val="00CC53A7"/>
    <w:rsid w:val="00CC558E"/>
    <w:rsid w:val="00CC58EB"/>
    <w:rsid w:val="00CC5D66"/>
    <w:rsid w:val="00CC66F2"/>
    <w:rsid w:val="00CC67A4"/>
    <w:rsid w:val="00CC7466"/>
    <w:rsid w:val="00CC7E76"/>
    <w:rsid w:val="00CC7ECB"/>
    <w:rsid w:val="00CC7F21"/>
    <w:rsid w:val="00CD0AAE"/>
    <w:rsid w:val="00CD0FB0"/>
    <w:rsid w:val="00CD106B"/>
    <w:rsid w:val="00CD17F7"/>
    <w:rsid w:val="00CD18C8"/>
    <w:rsid w:val="00CD2215"/>
    <w:rsid w:val="00CD25F9"/>
    <w:rsid w:val="00CD307B"/>
    <w:rsid w:val="00CD308E"/>
    <w:rsid w:val="00CD30C7"/>
    <w:rsid w:val="00CD323F"/>
    <w:rsid w:val="00CD354C"/>
    <w:rsid w:val="00CD35D6"/>
    <w:rsid w:val="00CD376F"/>
    <w:rsid w:val="00CD380B"/>
    <w:rsid w:val="00CD4261"/>
    <w:rsid w:val="00CD4576"/>
    <w:rsid w:val="00CD46B5"/>
    <w:rsid w:val="00CD542D"/>
    <w:rsid w:val="00CD622B"/>
    <w:rsid w:val="00CD6382"/>
    <w:rsid w:val="00CD65E3"/>
    <w:rsid w:val="00CD67C4"/>
    <w:rsid w:val="00CD6A57"/>
    <w:rsid w:val="00CD6ACA"/>
    <w:rsid w:val="00CD7524"/>
    <w:rsid w:val="00CD7BC1"/>
    <w:rsid w:val="00CD7DCC"/>
    <w:rsid w:val="00CE0190"/>
    <w:rsid w:val="00CE0A19"/>
    <w:rsid w:val="00CE0ACA"/>
    <w:rsid w:val="00CE12F4"/>
    <w:rsid w:val="00CE1BEF"/>
    <w:rsid w:val="00CE1C44"/>
    <w:rsid w:val="00CE1D15"/>
    <w:rsid w:val="00CE1F48"/>
    <w:rsid w:val="00CE218D"/>
    <w:rsid w:val="00CE22CB"/>
    <w:rsid w:val="00CE2EA1"/>
    <w:rsid w:val="00CE2FA0"/>
    <w:rsid w:val="00CE30C5"/>
    <w:rsid w:val="00CE3300"/>
    <w:rsid w:val="00CE3601"/>
    <w:rsid w:val="00CE3674"/>
    <w:rsid w:val="00CE39BF"/>
    <w:rsid w:val="00CE3E6A"/>
    <w:rsid w:val="00CE5D88"/>
    <w:rsid w:val="00CE5E9D"/>
    <w:rsid w:val="00CE6101"/>
    <w:rsid w:val="00CE612C"/>
    <w:rsid w:val="00CE66A8"/>
    <w:rsid w:val="00CE699B"/>
    <w:rsid w:val="00CE6C21"/>
    <w:rsid w:val="00CE754B"/>
    <w:rsid w:val="00CF042B"/>
    <w:rsid w:val="00CF05CA"/>
    <w:rsid w:val="00CF07AA"/>
    <w:rsid w:val="00CF0A36"/>
    <w:rsid w:val="00CF12A6"/>
    <w:rsid w:val="00CF16EF"/>
    <w:rsid w:val="00CF2015"/>
    <w:rsid w:val="00CF214E"/>
    <w:rsid w:val="00CF23F9"/>
    <w:rsid w:val="00CF2A6F"/>
    <w:rsid w:val="00CF2DF3"/>
    <w:rsid w:val="00CF30BB"/>
    <w:rsid w:val="00CF329F"/>
    <w:rsid w:val="00CF3416"/>
    <w:rsid w:val="00CF3725"/>
    <w:rsid w:val="00CF476D"/>
    <w:rsid w:val="00CF4865"/>
    <w:rsid w:val="00CF4AFA"/>
    <w:rsid w:val="00CF519C"/>
    <w:rsid w:val="00CF52D9"/>
    <w:rsid w:val="00CF531A"/>
    <w:rsid w:val="00CF5479"/>
    <w:rsid w:val="00CF5AA4"/>
    <w:rsid w:val="00CF5B01"/>
    <w:rsid w:val="00CF7945"/>
    <w:rsid w:val="00D0052B"/>
    <w:rsid w:val="00D00A7A"/>
    <w:rsid w:val="00D01949"/>
    <w:rsid w:val="00D02001"/>
    <w:rsid w:val="00D02259"/>
    <w:rsid w:val="00D0246E"/>
    <w:rsid w:val="00D02543"/>
    <w:rsid w:val="00D02ABC"/>
    <w:rsid w:val="00D030A8"/>
    <w:rsid w:val="00D03166"/>
    <w:rsid w:val="00D03213"/>
    <w:rsid w:val="00D03988"/>
    <w:rsid w:val="00D03CEA"/>
    <w:rsid w:val="00D042F3"/>
    <w:rsid w:val="00D04407"/>
    <w:rsid w:val="00D04CFE"/>
    <w:rsid w:val="00D0506E"/>
    <w:rsid w:val="00D0530C"/>
    <w:rsid w:val="00D0675B"/>
    <w:rsid w:val="00D06A2A"/>
    <w:rsid w:val="00D06C44"/>
    <w:rsid w:val="00D0706E"/>
    <w:rsid w:val="00D07509"/>
    <w:rsid w:val="00D0758D"/>
    <w:rsid w:val="00D10104"/>
    <w:rsid w:val="00D1021A"/>
    <w:rsid w:val="00D10FD4"/>
    <w:rsid w:val="00D1162A"/>
    <w:rsid w:val="00D11FEC"/>
    <w:rsid w:val="00D126E2"/>
    <w:rsid w:val="00D12A89"/>
    <w:rsid w:val="00D1310A"/>
    <w:rsid w:val="00D135F5"/>
    <w:rsid w:val="00D13AF0"/>
    <w:rsid w:val="00D14053"/>
    <w:rsid w:val="00D1425A"/>
    <w:rsid w:val="00D1461B"/>
    <w:rsid w:val="00D14665"/>
    <w:rsid w:val="00D14749"/>
    <w:rsid w:val="00D1498C"/>
    <w:rsid w:val="00D14A74"/>
    <w:rsid w:val="00D14E3C"/>
    <w:rsid w:val="00D15B8F"/>
    <w:rsid w:val="00D15F75"/>
    <w:rsid w:val="00D160A9"/>
    <w:rsid w:val="00D169A0"/>
    <w:rsid w:val="00D16DC8"/>
    <w:rsid w:val="00D16E7D"/>
    <w:rsid w:val="00D16F95"/>
    <w:rsid w:val="00D1737E"/>
    <w:rsid w:val="00D1786B"/>
    <w:rsid w:val="00D20FDF"/>
    <w:rsid w:val="00D2164F"/>
    <w:rsid w:val="00D2172E"/>
    <w:rsid w:val="00D21F8E"/>
    <w:rsid w:val="00D229A9"/>
    <w:rsid w:val="00D22AF6"/>
    <w:rsid w:val="00D22C32"/>
    <w:rsid w:val="00D23AD0"/>
    <w:rsid w:val="00D2430D"/>
    <w:rsid w:val="00D245E0"/>
    <w:rsid w:val="00D24633"/>
    <w:rsid w:val="00D251D0"/>
    <w:rsid w:val="00D26961"/>
    <w:rsid w:val="00D26BB6"/>
    <w:rsid w:val="00D26E99"/>
    <w:rsid w:val="00D271AA"/>
    <w:rsid w:val="00D27227"/>
    <w:rsid w:val="00D27FFA"/>
    <w:rsid w:val="00D30247"/>
    <w:rsid w:val="00D30353"/>
    <w:rsid w:val="00D30967"/>
    <w:rsid w:val="00D30D98"/>
    <w:rsid w:val="00D3114A"/>
    <w:rsid w:val="00D31972"/>
    <w:rsid w:val="00D319CE"/>
    <w:rsid w:val="00D31EEA"/>
    <w:rsid w:val="00D32542"/>
    <w:rsid w:val="00D32553"/>
    <w:rsid w:val="00D330BC"/>
    <w:rsid w:val="00D33F2A"/>
    <w:rsid w:val="00D3402C"/>
    <w:rsid w:val="00D34824"/>
    <w:rsid w:val="00D34FD3"/>
    <w:rsid w:val="00D357D6"/>
    <w:rsid w:val="00D35B03"/>
    <w:rsid w:val="00D35B1E"/>
    <w:rsid w:val="00D35D33"/>
    <w:rsid w:val="00D365D4"/>
    <w:rsid w:val="00D36D0F"/>
    <w:rsid w:val="00D36DDF"/>
    <w:rsid w:val="00D36F15"/>
    <w:rsid w:val="00D3705A"/>
    <w:rsid w:val="00D37156"/>
    <w:rsid w:val="00D37752"/>
    <w:rsid w:val="00D37F30"/>
    <w:rsid w:val="00D409C8"/>
    <w:rsid w:val="00D40A9C"/>
    <w:rsid w:val="00D40E40"/>
    <w:rsid w:val="00D40E4B"/>
    <w:rsid w:val="00D4157C"/>
    <w:rsid w:val="00D41665"/>
    <w:rsid w:val="00D41766"/>
    <w:rsid w:val="00D41C8D"/>
    <w:rsid w:val="00D41FE8"/>
    <w:rsid w:val="00D422C4"/>
    <w:rsid w:val="00D42C42"/>
    <w:rsid w:val="00D42E2E"/>
    <w:rsid w:val="00D433E1"/>
    <w:rsid w:val="00D44607"/>
    <w:rsid w:val="00D448E0"/>
    <w:rsid w:val="00D45870"/>
    <w:rsid w:val="00D458CB"/>
    <w:rsid w:val="00D4597D"/>
    <w:rsid w:val="00D460A7"/>
    <w:rsid w:val="00D460AD"/>
    <w:rsid w:val="00D465DA"/>
    <w:rsid w:val="00D46D02"/>
    <w:rsid w:val="00D500BA"/>
    <w:rsid w:val="00D5049E"/>
    <w:rsid w:val="00D51251"/>
    <w:rsid w:val="00D516B2"/>
    <w:rsid w:val="00D51CE1"/>
    <w:rsid w:val="00D51D4C"/>
    <w:rsid w:val="00D520CD"/>
    <w:rsid w:val="00D520D8"/>
    <w:rsid w:val="00D521AD"/>
    <w:rsid w:val="00D52EA8"/>
    <w:rsid w:val="00D5351A"/>
    <w:rsid w:val="00D535AB"/>
    <w:rsid w:val="00D539FE"/>
    <w:rsid w:val="00D54412"/>
    <w:rsid w:val="00D54864"/>
    <w:rsid w:val="00D54E08"/>
    <w:rsid w:val="00D553B3"/>
    <w:rsid w:val="00D5564F"/>
    <w:rsid w:val="00D55705"/>
    <w:rsid w:val="00D55D13"/>
    <w:rsid w:val="00D55E6A"/>
    <w:rsid w:val="00D5639D"/>
    <w:rsid w:val="00D5649F"/>
    <w:rsid w:val="00D570B8"/>
    <w:rsid w:val="00D572B1"/>
    <w:rsid w:val="00D573E6"/>
    <w:rsid w:val="00D57447"/>
    <w:rsid w:val="00D57B0C"/>
    <w:rsid w:val="00D60BFA"/>
    <w:rsid w:val="00D6181D"/>
    <w:rsid w:val="00D62A3C"/>
    <w:rsid w:val="00D6362C"/>
    <w:rsid w:val="00D647FE"/>
    <w:rsid w:val="00D648F3"/>
    <w:rsid w:val="00D64A1B"/>
    <w:rsid w:val="00D64C28"/>
    <w:rsid w:val="00D65DCE"/>
    <w:rsid w:val="00D65DD7"/>
    <w:rsid w:val="00D65E31"/>
    <w:rsid w:val="00D66DEC"/>
    <w:rsid w:val="00D66E02"/>
    <w:rsid w:val="00D6725A"/>
    <w:rsid w:val="00D67D99"/>
    <w:rsid w:val="00D67EA4"/>
    <w:rsid w:val="00D67FD4"/>
    <w:rsid w:val="00D7033E"/>
    <w:rsid w:val="00D703E4"/>
    <w:rsid w:val="00D71633"/>
    <w:rsid w:val="00D719D8"/>
    <w:rsid w:val="00D71B93"/>
    <w:rsid w:val="00D72504"/>
    <w:rsid w:val="00D72A8F"/>
    <w:rsid w:val="00D72D2A"/>
    <w:rsid w:val="00D72E16"/>
    <w:rsid w:val="00D72E30"/>
    <w:rsid w:val="00D731E0"/>
    <w:rsid w:val="00D736B2"/>
    <w:rsid w:val="00D738D9"/>
    <w:rsid w:val="00D74070"/>
    <w:rsid w:val="00D744CB"/>
    <w:rsid w:val="00D75473"/>
    <w:rsid w:val="00D75C21"/>
    <w:rsid w:val="00D75C8B"/>
    <w:rsid w:val="00D774A9"/>
    <w:rsid w:val="00D77B4B"/>
    <w:rsid w:val="00D80347"/>
    <w:rsid w:val="00D808CD"/>
    <w:rsid w:val="00D80C4B"/>
    <w:rsid w:val="00D813A1"/>
    <w:rsid w:val="00D816E8"/>
    <w:rsid w:val="00D81F8C"/>
    <w:rsid w:val="00D8222A"/>
    <w:rsid w:val="00D83957"/>
    <w:rsid w:val="00D839B9"/>
    <w:rsid w:val="00D8437A"/>
    <w:rsid w:val="00D84781"/>
    <w:rsid w:val="00D84C93"/>
    <w:rsid w:val="00D84CAC"/>
    <w:rsid w:val="00D8542A"/>
    <w:rsid w:val="00D85712"/>
    <w:rsid w:val="00D859BA"/>
    <w:rsid w:val="00D862BA"/>
    <w:rsid w:val="00D864C8"/>
    <w:rsid w:val="00D86EA1"/>
    <w:rsid w:val="00D8776B"/>
    <w:rsid w:val="00D90D8D"/>
    <w:rsid w:val="00D91755"/>
    <w:rsid w:val="00D91E28"/>
    <w:rsid w:val="00D92A98"/>
    <w:rsid w:val="00D930C4"/>
    <w:rsid w:val="00D94469"/>
    <w:rsid w:val="00D9453B"/>
    <w:rsid w:val="00D9454A"/>
    <w:rsid w:val="00D95D74"/>
    <w:rsid w:val="00D96882"/>
    <w:rsid w:val="00D96D0E"/>
    <w:rsid w:val="00D9702F"/>
    <w:rsid w:val="00D97482"/>
    <w:rsid w:val="00D979BE"/>
    <w:rsid w:val="00D97F88"/>
    <w:rsid w:val="00DA08F0"/>
    <w:rsid w:val="00DA0C40"/>
    <w:rsid w:val="00DA11EE"/>
    <w:rsid w:val="00DA1259"/>
    <w:rsid w:val="00DA13BF"/>
    <w:rsid w:val="00DA1623"/>
    <w:rsid w:val="00DA178E"/>
    <w:rsid w:val="00DA1871"/>
    <w:rsid w:val="00DA1A3C"/>
    <w:rsid w:val="00DA1E51"/>
    <w:rsid w:val="00DA219C"/>
    <w:rsid w:val="00DA4486"/>
    <w:rsid w:val="00DA4626"/>
    <w:rsid w:val="00DA5BA9"/>
    <w:rsid w:val="00DA5D42"/>
    <w:rsid w:val="00DA5F60"/>
    <w:rsid w:val="00DA6190"/>
    <w:rsid w:val="00DA66A9"/>
    <w:rsid w:val="00DA6AE6"/>
    <w:rsid w:val="00DA739B"/>
    <w:rsid w:val="00DA77ED"/>
    <w:rsid w:val="00DA780D"/>
    <w:rsid w:val="00DA7BD6"/>
    <w:rsid w:val="00DB02AB"/>
    <w:rsid w:val="00DB0B8F"/>
    <w:rsid w:val="00DB128F"/>
    <w:rsid w:val="00DB13F8"/>
    <w:rsid w:val="00DB153C"/>
    <w:rsid w:val="00DB16A8"/>
    <w:rsid w:val="00DB1CC7"/>
    <w:rsid w:val="00DB2B26"/>
    <w:rsid w:val="00DB404A"/>
    <w:rsid w:val="00DB4245"/>
    <w:rsid w:val="00DB4E86"/>
    <w:rsid w:val="00DB4ED1"/>
    <w:rsid w:val="00DB5958"/>
    <w:rsid w:val="00DB5AB6"/>
    <w:rsid w:val="00DB5BDA"/>
    <w:rsid w:val="00DB6237"/>
    <w:rsid w:val="00DB67FC"/>
    <w:rsid w:val="00DB6E53"/>
    <w:rsid w:val="00DB706D"/>
    <w:rsid w:val="00DB7605"/>
    <w:rsid w:val="00DB77A3"/>
    <w:rsid w:val="00DB7F06"/>
    <w:rsid w:val="00DC0B07"/>
    <w:rsid w:val="00DC0E49"/>
    <w:rsid w:val="00DC0F8D"/>
    <w:rsid w:val="00DC1266"/>
    <w:rsid w:val="00DC20F0"/>
    <w:rsid w:val="00DC296F"/>
    <w:rsid w:val="00DC2AF2"/>
    <w:rsid w:val="00DC2EB3"/>
    <w:rsid w:val="00DC3081"/>
    <w:rsid w:val="00DC38CA"/>
    <w:rsid w:val="00DC3B31"/>
    <w:rsid w:val="00DC4E6A"/>
    <w:rsid w:val="00DC5632"/>
    <w:rsid w:val="00DC5C7A"/>
    <w:rsid w:val="00DC5DBF"/>
    <w:rsid w:val="00DC61D4"/>
    <w:rsid w:val="00DC6290"/>
    <w:rsid w:val="00DC636B"/>
    <w:rsid w:val="00DC6833"/>
    <w:rsid w:val="00DC74F2"/>
    <w:rsid w:val="00DC7B0E"/>
    <w:rsid w:val="00DC7E8C"/>
    <w:rsid w:val="00DD05DC"/>
    <w:rsid w:val="00DD097F"/>
    <w:rsid w:val="00DD0D4A"/>
    <w:rsid w:val="00DD1074"/>
    <w:rsid w:val="00DD1321"/>
    <w:rsid w:val="00DD1C7E"/>
    <w:rsid w:val="00DD1FB0"/>
    <w:rsid w:val="00DD2071"/>
    <w:rsid w:val="00DD29DB"/>
    <w:rsid w:val="00DD4117"/>
    <w:rsid w:val="00DD4536"/>
    <w:rsid w:val="00DD4932"/>
    <w:rsid w:val="00DD4D25"/>
    <w:rsid w:val="00DD533A"/>
    <w:rsid w:val="00DD5A61"/>
    <w:rsid w:val="00DD6134"/>
    <w:rsid w:val="00DD654E"/>
    <w:rsid w:val="00DD66B8"/>
    <w:rsid w:val="00DD71C7"/>
    <w:rsid w:val="00DD7A54"/>
    <w:rsid w:val="00DD7E84"/>
    <w:rsid w:val="00DD7F2A"/>
    <w:rsid w:val="00DE03FE"/>
    <w:rsid w:val="00DE071E"/>
    <w:rsid w:val="00DE0903"/>
    <w:rsid w:val="00DE1562"/>
    <w:rsid w:val="00DE329F"/>
    <w:rsid w:val="00DE32CF"/>
    <w:rsid w:val="00DE37FA"/>
    <w:rsid w:val="00DE41A0"/>
    <w:rsid w:val="00DE4C70"/>
    <w:rsid w:val="00DE52F6"/>
    <w:rsid w:val="00DE62BA"/>
    <w:rsid w:val="00DE66D9"/>
    <w:rsid w:val="00DE6CD4"/>
    <w:rsid w:val="00DE7068"/>
    <w:rsid w:val="00DE73E3"/>
    <w:rsid w:val="00DE747F"/>
    <w:rsid w:val="00DE76C7"/>
    <w:rsid w:val="00DE7800"/>
    <w:rsid w:val="00DE79C2"/>
    <w:rsid w:val="00DF0425"/>
    <w:rsid w:val="00DF0584"/>
    <w:rsid w:val="00DF094D"/>
    <w:rsid w:val="00DF0AAA"/>
    <w:rsid w:val="00DF1105"/>
    <w:rsid w:val="00DF1252"/>
    <w:rsid w:val="00DF132E"/>
    <w:rsid w:val="00DF145E"/>
    <w:rsid w:val="00DF156D"/>
    <w:rsid w:val="00DF16B6"/>
    <w:rsid w:val="00DF1907"/>
    <w:rsid w:val="00DF258E"/>
    <w:rsid w:val="00DF26DC"/>
    <w:rsid w:val="00DF2DEF"/>
    <w:rsid w:val="00DF2EB2"/>
    <w:rsid w:val="00DF30FA"/>
    <w:rsid w:val="00DF3425"/>
    <w:rsid w:val="00DF3B4B"/>
    <w:rsid w:val="00DF3C33"/>
    <w:rsid w:val="00DF4BEE"/>
    <w:rsid w:val="00DF4CB2"/>
    <w:rsid w:val="00DF511E"/>
    <w:rsid w:val="00DF5C8C"/>
    <w:rsid w:val="00DF6270"/>
    <w:rsid w:val="00DF6434"/>
    <w:rsid w:val="00DF64B9"/>
    <w:rsid w:val="00DF653D"/>
    <w:rsid w:val="00DF6EE9"/>
    <w:rsid w:val="00DF6F27"/>
    <w:rsid w:val="00DF7228"/>
    <w:rsid w:val="00DF77D1"/>
    <w:rsid w:val="00DF7AE3"/>
    <w:rsid w:val="00E00122"/>
    <w:rsid w:val="00E007B9"/>
    <w:rsid w:val="00E00905"/>
    <w:rsid w:val="00E00C72"/>
    <w:rsid w:val="00E00F36"/>
    <w:rsid w:val="00E0105D"/>
    <w:rsid w:val="00E01E74"/>
    <w:rsid w:val="00E027D5"/>
    <w:rsid w:val="00E02E00"/>
    <w:rsid w:val="00E03580"/>
    <w:rsid w:val="00E03F44"/>
    <w:rsid w:val="00E043E5"/>
    <w:rsid w:val="00E04993"/>
    <w:rsid w:val="00E049F6"/>
    <w:rsid w:val="00E0529F"/>
    <w:rsid w:val="00E056D3"/>
    <w:rsid w:val="00E056F5"/>
    <w:rsid w:val="00E05F16"/>
    <w:rsid w:val="00E060FF"/>
    <w:rsid w:val="00E062BB"/>
    <w:rsid w:val="00E064A0"/>
    <w:rsid w:val="00E06665"/>
    <w:rsid w:val="00E06685"/>
    <w:rsid w:val="00E069C4"/>
    <w:rsid w:val="00E07530"/>
    <w:rsid w:val="00E0755B"/>
    <w:rsid w:val="00E075A7"/>
    <w:rsid w:val="00E10405"/>
    <w:rsid w:val="00E1097F"/>
    <w:rsid w:val="00E1184C"/>
    <w:rsid w:val="00E11EAD"/>
    <w:rsid w:val="00E12278"/>
    <w:rsid w:val="00E12454"/>
    <w:rsid w:val="00E128AE"/>
    <w:rsid w:val="00E12CEB"/>
    <w:rsid w:val="00E12ECA"/>
    <w:rsid w:val="00E12EF9"/>
    <w:rsid w:val="00E145B8"/>
    <w:rsid w:val="00E14669"/>
    <w:rsid w:val="00E14705"/>
    <w:rsid w:val="00E148C5"/>
    <w:rsid w:val="00E14A9B"/>
    <w:rsid w:val="00E14B18"/>
    <w:rsid w:val="00E1515C"/>
    <w:rsid w:val="00E15541"/>
    <w:rsid w:val="00E15DDA"/>
    <w:rsid w:val="00E1628B"/>
    <w:rsid w:val="00E16574"/>
    <w:rsid w:val="00E16840"/>
    <w:rsid w:val="00E16F03"/>
    <w:rsid w:val="00E16F19"/>
    <w:rsid w:val="00E17178"/>
    <w:rsid w:val="00E171E2"/>
    <w:rsid w:val="00E172FB"/>
    <w:rsid w:val="00E17A35"/>
    <w:rsid w:val="00E208D6"/>
    <w:rsid w:val="00E20DA3"/>
    <w:rsid w:val="00E21388"/>
    <w:rsid w:val="00E21A2C"/>
    <w:rsid w:val="00E224B7"/>
    <w:rsid w:val="00E226E4"/>
    <w:rsid w:val="00E22719"/>
    <w:rsid w:val="00E2294F"/>
    <w:rsid w:val="00E22C54"/>
    <w:rsid w:val="00E22CE3"/>
    <w:rsid w:val="00E236CC"/>
    <w:rsid w:val="00E23D33"/>
    <w:rsid w:val="00E23D47"/>
    <w:rsid w:val="00E24538"/>
    <w:rsid w:val="00E247B3"/>
    <w:rsid w:val="00E24E28"/>
    <w:rsid w:val="00E25096"/>
    <w:rsid w:val="00E2519F"/>
    <w:rsid w:val="00E25387"/>
    <w:rsid w:val="00E25B06"/>
    <w:rsid w:val="00E263BB"/>
    <w:rsid w:val="00E26B70"/>
    <w:rsid w:val="00E273EA"/>
    <w:rsid w:val="00E27AED"/>
    <w:rsid w:val="00E27EF2"/>
    <w:rsid w:val="00E3080B"/>
    <w:rsid w:val="00E30EA0"/>
    <w:rsid w:val="00E314BC"/>
    <w:rsid w:val="00E31A0C"/>
    <w:rsid w:val="00E31B97"/>
    <w:rsid w:val="00E31ED7"/>
    <w:rsid w:val="00E322D8"/>
    <w:rsid w:val="00E32352"/>
    <w:rsid w:val="00E32B66"/>
    <w:rsid w:val="00E32F9B"/>
    <w:rsid w:val="00E339D4"/>
    <w:rsid w:val="00E33D6F"/>
    <w:rsid w:val="00E343F0"/>
    <w:rsid w:val="00E34655"/>
    <w:rsid w:val="00E36278"/>
    <w:rsid w:val="00E36377"/>
    <w:rsid w:val="00E36439"/>
    <w:rsid w:val="00E36550"/>
    <w:rsid w:val="00E36813"/>
    <w:rsid w:val="00E376E6"/>
    <w:rsid w:val="00E40FBE"/>
    <w:rsid w:val="00E41066"/>
    <w:rsid w:val="00E4159D"/>
    <w:rsid w:val="00E417DF"/>
    <w:rsid w:val="00E41875"/>
    <w:rsid w:val="00E41CE2"/>
    <w:rsid w:val="00E42422"/>
    <w:rsid w:val="00E43076"/>
    <w:rsid w:val="00E43A20"/>
    <w:rsid w:val="00E43BA5"/>
    <w:rsid w:val="00E44793"/>
    <w:rsid w:val="00E448C3"/>
    <w:rsid w:val="00E4496A"/>
    <w:rsid w:val="00E4514F"/>
    <w:rsid w:val="00E45E55"/>
    <w:rsid w:val="00E45FFD"/>
    <w:rsid w:val="00E46829"/>
    <w:rsid w:val="00E46D6E"/>
    <w:rsid w:val="00E46F24"/>
    <w:rsid w:val="00E47733"/>
    <w:rsid w:val="00E50024"/>
    <w:rsid w:val="00E50457"/>
    <w:rsid w:val="00E50520"/>
    <w:rsid w:val="00E511F4"/>
    <w:rsid w:val="00E51263"/>
    <w:rsid w:val="00E51763"/>
    <w:rsid w:val="00E51B4E"/>
    <w:rsid w:val="00E52190"/>
    <w:rsid w:val="00E52264"/>
    <w:rsid w:val="00E529A7"/>
    <w:rsid w:val="00E529E5"/>
    <w:rsid w:val="00E52B17"/>
    <w:rsid w:val="00E5381B"/>
    <w:rsid w:val="00E53B75"/>
    <w:rsid w:val="00E53F6B"/>
    <w:rsid w:val="00E54090"/>
    <w:rsid w:val="00E54620"/>
    <w:rsid w:val="00E546AF"/>
    <w:rsid w:val="00E550DF"/>
    <w:rsid w:val="00E557E4"/>
    <w:rsid w:val="00E55E51"/>
    <w:rsid w:val="00E56E93"/>
    <w:rsid w:val="00E571CB"/>
    <w:rsid w:val="00E57FA2"/>
    <w:rsid w:val="00E60443"/>
    <w:rsid w:val="00E61006"/>
    <w:rsid w:val="00E61BCC"/>
    <w:rsid w:val="00E61C35"/>
    <w:rsid w:val="00E61CAF"/>
    <w:rsid w:val="00E62038"/>
    <w:rsid w:val="00E6215A"/>
    <w:rsid w:val="00E63804"/>
    <w:rsid w:val="00E6381D"/>
    <w:rsid w:val="00E639AC"/>
    <w:rsid w:val="00E64613"/>
    <w:rsid w:val="00E647AD"/>
    <w:rsid w:val="00E64977"/>
    <w:rsid w:val="00E64BA0"/>
    <w:rsid w:val="00E64D42"/>
    <w:rsid w:val="00E65A69"/>
    <w:rsid w:val="00E65C78"/>
    <w:rsid w:val="00E674E8"/>
    <w:rsid w:val="00E67542"/>
    <w:rsid w:val="00E6760F"/>
    <w:rsid w:val="00E70078"/>
    <w:rsid w:val="00E70260"/>
    <w:rsid w:val="00E7060C"/>
    <w:rsid w:val="00E70BBE"/>
    <w:rsid w:val="00E71915"/>
    <w:rsid w:val="00E7197E"/>
    <w:rsid w:val="00E742D5"/>
    <w:rsid w:val="00E74BBE"/>
    <w:rsid w:val="00E75909"/>
    <w:rsid w:val="00E75E9A"/>
    <w:rsid w:val="00E76999"/>
    <w:rsid w:val="00E76C59"/>
    <w:rsid w:val="00E77401"/>
    <w:rsid w:val="00E77E64"/>
    <w:rsid w:val="00E800DD"/>
    <w:rsid w:val="00E80116"/>
    <w:rsid w:val="00E8143C"/>
    <w:rsid w:val="00E814F2"/>
    <w:rsid w:val="00E8152F"/>
    <w:rsid w:val="00E8181E"/>
    <w:rsid w:val="00E81A3B"/>
    <w:rsid w:val="00E81D1C"/>
    <w:rsid w:val="00E82169"/>
    <w:rsid w:val="00E8218A"/>
    <w:rsid w:val="00E82427"/>
    <w:rsid w:val="00E826F2"/>
    <w:rsid w:val="00E828C4"/>
    <w:rsid w:val="00E82D69"/>
    <w:rsid w:val="00E83A75"/>
    <w:rsid w:val="00E83AF3"/>
    <w:rsid w:val="00E83B0E"/>
    <w:rsid w:val="00E83B4B"/>
    <w:rsid w:val="00E83E7D"/>
    <w:rsid w:val="00E84404"/>
    <w:rsid w:val="00E84688"/>
    <w:rsid w:val="00E85081"/>
    <w:rsid w:val="00E854C6"/>
    <w:rsid w:val="00E8579D"/>
    <w:rsid w:val="00E85E7B"/>
    <w:rsid w:val="00E864E7"/>
    <w:rsid w:val="00E867B0"/>
    <w:rsid w:val="00E8762B"/>
    <w:rsid w:val="00E87BC0"/>
    <w:rsid w:val="00E9025F"/>
    <w:rsid w:val="00E90609"/>
    <w:rsid w:val="00E9091E"/>
    <w:rsid w:val="00E918FA"/>
    <w:rsid w:val="00E91A3F"/>
    <w:rsid w:val="00E927C2"/>
    <w:rsid w:val="00E92F73"/>
    <w:rsid w:val="00E939B4"/>
    <w:rsid w:val="00E93C73"/>
    <w:rsid w:val="00E9486B"/>
    <w:rsid w:val="00E94F58"/>
    <w:rsid w:val="00E95359"/>
    <w:rsid w:val="00E95CE0"/>
    <w:rsid w:val="00E96426"/>
    <w:rsid w:val="00E971A4"/>
    <w:rsid w:val="00E979E5"/>
    <w:rsid w:val="00EA00B4"/>
    <w:rsid w:val="00EA06D6"/>
    <w:rsid w:val="00EA076D"/>
    <w:rsid w:val="00EA0AD5"/>
    <w:rsid w:val="00EA0D33"/>
    <w:rsid w:val="00EA102B"/>
    <w:rsid w:val="00EA1469"/>
    <w:rsid w:val="00EA172F"/>
    <w:rsid w:val="00EA18F6"/>
    <w:rsid w:val="00EA1ADA"/>
    <w:rsid w:val="00EA22DD"/>
    <w:rsid w:val="00EA3373"/>
    <w:rsid w:val="00EA3955"/>
    <w:rsid w:val="00EA3BF6"/>
    <w:rsid w:val="00EA3D2D"/>
    <w:rsid w:val="00EA3DCA"/>
    <w:rsid w:val="00EA4267"/>
    <w:rsid w:val="00EA4CD7"/>
    <w:rsid w:val="00EA55BD"/>
    <w:rsid w:val="00EA5EA6"/>
    <w:rsid w:val="00EA608F"/>
    <w:rsid w:val="00EA620B"/>
    <w:rsid w:val="00EA65A2"/>
    <w:rsid w:val="00EA6794"/>
    <w:rsid w:val="00EA6DF3"/>
    <w:rsid w:val="00EA6E87"/>
    <w:rsid w:val="00EA73A8"/>
    <w:rsid w:val="00EA7562"/>
    <w:rsid w:val="00EA783C"/>
    <w:rsid w:val="00EA7C75"/>
    <w:rsid w:val="00EB064F"/>
    <w:rsid w:val="00EB0A32"/>
    <w:rsid w:val="00EB1DD2"/>
    <w:rsid w:val="00EB1FA6"/>
    <w:rsid w:val="00EB2075"/>
    <w:rsid w:val="00EB2451"/>
    <w:rsid w:val="00EB2EF9"/>
    <w:rsid w:val="00EB2FE3"/>
    <w:rsid w:val="00EB3CA9"/>
    <w:rsid w:val="00EB4135"/>
    <w:rsid w:val="00EB42F0"/>
    <w:rsid w:val="00EB4E12"/>
    <w:rsid w:val="00EB5082"/>
    <w:rsid w:val="00EB525D"/>
    <w:rsid w:val="00EB5503"/>
    <w:rsid w:val="00EB5682"/>
    <w:rsid w:val="00EB5733"/>
    <w:rsid w:val="00EB5957"/>
    <w:rsid w:val="00EB75DF"/>
    <w:rsid w:val="00EC02A6"/>
    <w:rsid w:val="00EC0496"/>
    <w:rsid w:val="00EC08E8"/>
    <w:rsid w:val="00EC0CCF"/>
    <w:rsid w:val="00EC0DD4"/>
    <w:rsid w:val="00EC1281"/>
    <w:rsid w:val="00EC3120"/>
    <w:rsid w:val="00EC349E"/>
    <w:rsid w:val="00EC367C"/>
    <w:rsid w:val="00EC458D"/>
    <w:rsid w:val="00EC4DFE"/>
    <w:rsid w:val="00EC525C"/>
    <w:rsid w:val="00EC554F"/>
    <w:rsid w:val="00EC59D7"/>
    <w:rsid w:val="00EC5A64"/>
    <w:rsid w:val="00EC5CA4"/>
    <w:rsid w:val="00EC5F8E"/>
    <w:rsid w:val="00EC6355"/>
    <w:rsid w:val="00EC665E"/>
    <w:rsid w:val="00EC6D81"/>
    <w:rsid w:val="00EC6E33"/>
    <w:rsid w:val="00EC7B00"/>
    <w:rsid w:val="00EC7C1C"/>
    <w:rsid w:val="00ED0E5A"/>
    <w:rsid w:val="00ED2691"/>
    <w:rsid w:val="00ED361A"/>
    <w:rsid w:val="00ED39E8"/>
    <w:rsid w:val="00ED3D16"/>
    <w:rsid w:val="00ED3EDF"/>
    <w:rsid w:val="00ED4958"/>
    <w:rsid w:val="00ED4A78"/>
    <w:rsid w:val="00ED4B78"/>
    <w:rsid w:val="00ED7FC1"/>
    <w:rsid w:val="00EE002A"/>
    <w:rsid w:val="00EE0D60"/>
    <w:rsid w:val="00EE1262"/>
    <w:rsid w:val="00EE158A"/>
    <w:rsid w:val="00EE1683"/>
    <w:rsid w:val="00EE2045"/>
    <w:rsid w:val="00EE2235"/>
    <w:rsid w:val="00EE2A59"/>
    <w:rsid w:val="00EE2C9D"/>
    <w:rsid w:val="00EE2D84"/>
    <w:rsid w:val="00EE2EBE"/>
    <w:rsid w:val="00EE3390"/>
    <w:rsid w:val="00EE53A7"/>
    <w:rsid w:val="00EE54F8"/>
    <w:rsid w:val="00EE6E2F"/>
    <w:rsid w:val="00EE72D8"/>
    <w:rsid w:val="00EE7809"/>
    <w:rsid w:val="00EE7A2A"/>
    <w:rsid w:val="00EE7C70"/>
    <w:rsid w:val="00EF07B3"/>
    <w:rsid w:val="00EF086D"/>
    <w:rsid w:val="00EF0DB6"/>
    <w:rsid w:val="00EF1A7C"/>
    <w:rsid w:val="00EF1B73"/>
    <w:rsid w:val="00EF2191"/>
    <w:rsid w:val="00EF2629"/>
    <w:rsid w:val="00EF2779"/>
    <w:rsid w:val="00EF286E"/>
    <w:rsid w:val="00EF2BEA"/>
    <w:rsid w:val="00EF3145"/>
    <w:rsid w:val="00EF3B13"/>
    <w:rsid w:val="00EF3C6B"/>
    <w:rsid w:val="00EF3E6A"/>
    <w:rsid w:val="00EF4272"/>
    <w:rsid w:val="00EF4579"/>
    <w:rsid w:val="00EF48B3"/>
    <w:rsid w:val="00EF4B87"/>
    <w:rsid w:val="00EF4CF9"/>
    <w:rsid w:val="00EF4DE3"/>
    <w:rsid w:val="00EF5961"/>
    <w:rsid w:val="00EF63A8"/>
    <w:rsid w:val="00EF6A2F"/>
    <w:rsid w:val="00EF7ADC"/>
    <w:rsid w:val="00F01545"/>
    <w:rsid w:val="00F01725"/>
    <w:rsid w:val="00F01E71"/>
    <w:rsid w:val="00F01FB8"/>
    <w:rsid w:val="00F0207E"/>
    <w:rsid w:val="00F02577"/>
    <w:rsid w:val="00F029EF"/>
    <w:rsid w:val="00F02EC7"/>
    <w:rsid w:val="00F03243"/>
    <w:rsid w:val="00F0345B"/>
    <w:rsid w:val="00F03EC9"/>
    <w:rsid w:val="00F040CC"/>
    <w:rsid w:val="00F05052"/>
    <w:rsid w:val="00F05778"/>
    <w:rsid w:val="00F05D69"/>
    <w:rsid w:val="00F05FE5"/>
    <w:rsid w:val="00F062E0"/>
    <w:rsid w:val="00F06B32"/>
    <w:rsid w:val="00F06DAB"/>
    <w:rsid w:val="00F06EBE"/>
    <w:rsid w:val="00F07222"/>
    <w:rsid w:val="00F07291"/>
    <w:rsid w:val="00F075F7"/>
    <w:rsid w:val="00F07CF6"/>
    <w:rsid w:val="00F07F20"/>
    <w:rsid w:val="00F112A7"/>
    <w:rsid w:val="00F11C87"/>
    <w:rsid w:val="00F12176"/>
    <w:rsid w:val="00F124FB"/>
    <w:rsid w:val="00F12C81"/>
    <w:rsid w:val="00F12E67"/>
    <w:rsid w:val="00F131C2"/>
    <w:rsid w:val="00F1337F"/>
    <w:rsid w:val="00F138B5"/>
    <w:rsid w:val="00F1451D"/>
    <w:rsid w:val="00F14C1E"/>
    <w:rsid w:val="00F15128"/>
    <w:rsid w:val="00F15794"/>
    <w:rsid w:val="00F15FE6"/>
    <w:rsid w:val="00F16D00"/>
    <w:rsid w:val="00F17082"/>
    <w:rsid w:val="00F17639"/>
    <w:rsid w:val="00F17D40"/>
    <w:rsid w:val="00F17FD3"/>
    <w:rsid w:val="00F20870"/>
    <w:rsid w:val="00F20B8C"/>
    <w:rsid w:val="00F20BB7"/>
    <w:rsid w:val="00F21756"/>
    <w:rsid w:val="00F218EC"/>
    <w:rsid w:val="00F2206A"/>
    <w:rsid w:val="00F224B2"/>
    <w:rsid w:val="00F22765"/>
    <w:rsid w:val="00F22BEF"/>
    <w:rsid w:val="00F23653"/>
    <w:rsid w:val="00F2378E"/>
    <w:rsid w:val="00F2390E"/>
    <w:rsid w:val="00F23BD5"/>
    <w:rsid w:val="00F24CA3"/>
    <w:rsid w:val="00F24D8C"/>
    <w:rsid w:val="00F25420"/>
    <w:rsid w:val="00F2591F"/>
    <w:rsid w:val="00F26059"/>
    <w:rsid w:val="00F265BF"/>
    <w:rsid w:val="00F26865"/>
    <w:rsid w:val="00F26DC4"/>
    <w:rsid w:val="00F26FE2"/>
    <w:rsid w:val="00F27135"/>
    <w:rsid w:val="00F2796F"/>
    <w:rsid w:val="00F30753"/>
    <w:rsid w:val="00F30B4D"/>
    <w:rsid w:val="00F30E8B"/>
    <w:rsid w:val="00F316D5"/>
    <w:rsid w:val="00F31806"/>
    <w:rsid w:val="00F31976"/>
    <w:rsid w:val="00F320A8"/>
    <w:rsid w:val="00F324BC"/>
    <w:rsid w:val="00F32959"/>
    <w:rsid w:val="00F32BBC"/>
    <w:rsid w:val="00F341A7"/>
    <w:rsid w:val="00F3443D"/>
    <w:rsid w:val="00F34655"/>
    <w:rsid w:val="00F34E73"/>
    <w:rsid w:val="00F35243"/>
    <w:rsid w:val="00F353B2"/>
    <w:rsid w:val="00F35919"/>
    <w:rsid w:val="00F36224"/>
    <w:rsid w:val="00F363CE"/>
    <w:rsid w:val="00F3644A"/>
    <w:rsid w:val="00F3697A"/>
    <w:rsid w:val="00F37121"/>
    <w:rsid w:val="00F373A9"/>
    <w:rsid w:val="00F37546"/>
    <w:rsid w:val="00F37A50"/>
    <w:rsid w:val="00F40009"/>
    <w:rsid w:val="00F40259"/>
    <w:rsid w:val="00F402E0"/>
    <w:rsid w:val="00F40404"/>
    <w:rsid w:val="00F405D0"/>
    <w:rsid w:val="00F40B2D"/>
    <w:rsid w:val="00F41320"/>
    <w:rsid w:val="00F41496"/>
    <w:rsid w:val="00F416C4"/>
    <w:rsid w:val="00F4218F"/>
    <w:rsid w:val="00F42721"/>
    <w:rsid w:val="00F43E06"/>
    <w:rsid w:val="00F442D9"/>
    <w:rsid w:val="00F44745"/>
    <w:rsid w:val="00F447BF"/>
    <w:rsid w:val="00F44959"/>
    <w:rsid w:val="00F44AB1"/>
    <w:rsid w:val="00F44B44"/>
    <w:rsid w:val="00F44DDD"/>
    <w:rsid w:val="00F44EE2"/>
    <w:rsid w:val="00F45173"/>
    <w:rsid w:val="00F45AF2"/>
    <w:rsid w:val="00F45E33"/>
    <w:rsid w:val="00F46452"/>
    <w:rsid w:val="00F469D3"/>
    <w:rsid w:val="00F46CEF"/>
    <w:rsid w:val="00F46EA4"/>
    <w:rsid w:val="00F47209"/>
    <w:rsid w:val="00F477AC"/>
    <w:rsid w:val="00F478BE"/>
    <w:rsid w:val="00F47E75"/>
    <w:rsid w:val="00F47FA7"/>
    <w:rsid w:val="00F5008A"/>
    <w:rsid w:val="00F518EC"/>
    <w:rsid w:val="00F51AC7"/>
    <w:rsid w:val="00F51F74"/>
    <w:rsid w:val="00F52138"/>
    <w:rsid w:val="00F5356C"/>
    <w:rsid w:val="00F53BF7"/>
    <w:rsid w:val="00F54A30"/>
    <w:rsid w:val="00F54E9E"/>
    <w:rsid w:val="00F55DA7"/>
    <w:rsid w:val="00F566DA"/>
    <w:rsid w:val="00F56876"/>
    <w:rsid w:val="00F56999"/>
    <w:rsid w:val="00F570F5"/>
    <w:rsid w:val="00F6021C"/>
    <w:rsid w:val="00F60769"/>
    <w:rsid w:val="00F609F1"/>
    <w:rsid w:val="00F60A40"/>
    <w:rsid w:val="00F60BE6"/>
    <w:rsid w:val="00F60F48"/>
    <w:rsid w:val="00F60F59"/>
    <w:rsid w:val="00F623E2"/>
    <w:rsid w:val="00F63349"/>
    <w:rsid w:val="00F63925"/>
    <w:rsid w:val="00F63A69"/>
    <w:rsid w:val="00F63E59"/>
    <w:rsid w:val="00F65BD8"/>
    <w:rsid w:val="00F65C6A"/>
    <w:rsid w:val="00F66062"/>
    <w:rsid w:val="00F664E0"/>
    <w:rsid w:val="00F6671A"/>
    <w:rsid w:val="00F66FCD"/>
    <w:rsid w:val="00F671C4"/>
    <w:rsid w:val="00F675D9"/>
    <w:rsid w:val="00F677F3"/>
    <w:rsid w:val="00F67FCA"/>
    <w:rsid w:val="00F70325"/>
    <w:rsid w:val="00F708B9"/>
    <w:rsid w:val="00F70BC9"/>
    <w:rsid w:val="00F712EB"/>
    <w:rsid w:val="00F7135A"/>
    <w:rsid w:val="00F7176D"/>
    <w:rsid w:val="00F71C25"/>
    <w:rsid w:val="00F722C1"/>
    <w:rsid w:val="00F72810"/>
    <w:rsid w:val="00F72DC8"/>
    <w:rsid w:val="00F73190"/>
    <w:rsid w:val="00F73519"/>
    <w:rsid w:val="00F7361B"/>
    <w:rsid w:val="00F737BD"/>
    <w:rsid w:val="00F73932"/>
    <w:rsid w:val="00F73AED"/>
    <w:rsid w:val="00F73AFD"/>
    <w:rsid w:val="00F74075"/>
    <w:rsid w:val="00F74362"/>
    <w:rsid w:val="00F746AA"/>
    <w:rsid w:val="00F74758"/>
    <w:rsid w:val="00F74F31"/>
    <w:rsid w:val="00F756D9"/>
    <w:rsid w:val="00F759E4"/>
    <w:rsid w:val="00F75E29"/>
    <w:rsid w:val="00F7654B"/>
    <w:rsid w:val="00F765A5"/>
    <w:rsid w:val="00F76608"/>
    <w:rsid w:val="00F76A46"/>
    <w:rsid w:val="00F76C34"/>
    <w:rsid w:val="00F76D41"/>
    <w:rsid w:val="00F77803"/>
    <w:rsid w:val="00F8006B"/>
    <w:rsid w:val="00F8070C"/>
    <w:rsid w:val="00F80D60"/>
    <w:rsid w:val="00F81237"/>
    <w:rsid w:val="00F812CB"/>
    <w:rsid w:val="00F81C73"/>
    <w:rsid w:val="00F82A21"/>
    <w:rsid w:val="00F82AF5"/>
    <w:rsid w:val="00F82DFC"/>
    <w:rsid w:val="00F82ED6"/>
    <w:rsid w:val="00F82F7A"/>
    <w:rsid w:val="00F83C72"/>
    <w:rsid w:val="00F84006"/>
    <w:rsid w:val="00F854C0"/>
    <w:rsid w:val="00F858E0"/>
    <w:rsid w:val="00F85A4E"/>
    <w:rsid w:val="00F85C88"/>
    <w:rsid w:val="00F86BA7"/>
    <w:rsid w:val="00F86E04"/>
    <w:rsid w:val="00F86F4F"/>
    <w:rsid w:val="00F87DC5"/>
    <w:rsid w:val="00F87FCD"/>
    <w:rsid w:val="00F90A44"/>
    <w:rsid w:val="00F90D79"/>
    <w:rsid w:val="00F90D7B"/>
    <w:rsid w:val="00F90E97"/>
    <w:rsid w:val="00F90F95"/>
    <w:rsid w:val="00F90FC9"/>
    <w:rsid w:val="00F91252"/>
    <w:rsid w:val="00F914D9"/>
    <w:rsid w:val="00F92813"/>
    <w:rsid w:val="00F9301E"/>
    <w:rsid w:val="00F9359C"/>
    <w:rsid w:val="00F939EA"/>
    <w:rsid w:val="00F94396"/>
    <w:rsid w:val="00F94819"/>
    <w:rsid w:val="00F94D30"/>
    <w:rsid w:val="00F94E12"/>
    <w:rsid w:val="00F95197"/>
    <w:rsid w:val="00F9572F"/>
    <w:rsid w:val="00F95B6B"/>
    <w:rsid w:val="00F96338"/>
    <w:rsid w:val="00F96C90"/>
    <w:rsid w:val="00F96FEB"/>
    <w:rsid w:val="00F970CF"/>
    <w:rsid w:val="00F97150"/>
    <w:rsid w:val="00F97168"/>
    <w:rsid w:val="00F97847"/>
    <w:rsid w:val="00F979E1"/>
    <w:rsid w:val="00F97A07"/>
    <w:rsid w:val="00FA0302"/>
    <w:rsid w:val="00FA0561"/>
    <w:rsid w:val="00FA0DD6"/>
    <w:rsid w:val="00FA0E29"/>
    <w:rsid w:val="00FA0E87"/>
    <w:rsid w:val="00FA0F38"/>
    <w:rsid w:val="00FA130D"/>
    <w:rsid w:val="00FA1695"/>
    <w:rsid w:val="00FA1E3A"/>
    <w:rsid w:val="00FA2ABE"/>
    <w:rsid w:val="00FA354A"/>
    <w:rsid w:val="00FA39A3"/>
    <w:rsid w:val="00FA3A1B"/>
    <w:rsid w:val="00FA3B3E"/>
    <w:rsid w:val="00FA3D55"/>
    <w:rsid w:val="00FA4320"/>
    <w:rsid w:val="00FA44DB"/>
    <w:rsid w:val="00FA4960"/>
    <w:rsid w:val="00FA4D9F"/>
    <w:rsid w:val="00FA5C2F"/>
    <w:rsid w:val="00FA615F"/>
    <w:rsid w:val="00FA6553"/>
    <w:rsid w:val="00FA6A7B"/>
    <w:rsid w:val="00FA6B48"/>
    <w:rsid w:val="00FA6C1E"/>
    <w:rsid w:val="00FA718B"/>
    <w:rsid w:val="00FA72C1"/>
    <w:rsid w:val="00FA77FB"/>
    <w:rsid w:val="00FA7809"/>
    <w:rsid w:val="00FA7C90"/>
    <w:rsid w:val="00FA7F1F"/>
    <w:rsid w:val="00FA7F97"/>
    <w:rsid w:val="00FB079B"/>
    <w:rsid w:val="00FB0AE4"/>
    <w:rsid w:val="00FB1134"/>
    <w:rsid w:val="00FB241D"/>
    <w:rsid w:val="00FB29D8"/>
    <w:rsid w:val="00FB2E3E"/>
    <w:rsid w:val="00FB32A9"/>
    <w:rsid w:val="00FB36D1"/>
    <w:rsid w:val="00FB370F"/>
    <w:rsid w:val="00FB3837"/>
    <w:rsid w:val="00FB388A"/>
    <w:rsid w:val="00FB3AEE"/>
    <w:rsid w:val="00FB3D53"/>
    <w:rsid w:val="00FB3D96"/>
    <w:rsid w:val="00FB4645"/>
    <w:rsid w:val="00FB488F"/>
    <w:rsid w:val="00FB4ACB"/>
    <w:rsid w:val="00FB53F8"/>
    <w:rsid w:val="00FB5540"/>
    <w:rsid w:val="00FB580E"/>
    <w:rsid w:val="00FB5A2B"/>
    <w:rsid w:val="00FB653E"/>
    <w:rsid w:val="00FB6732"/>
    <w:rsid w:val="00FB69F1"/>
    <w:rsid w:val="00FB6B32"/>
    <w:rsid w:val="00FB71CE"/>
    <w:rsid w:val="00FB7274"/>
    <w:rsid w:val="00FB7A6F"/>
    <w:rsid w:val="00FB7F81"/>
    <w:rsid w:val="00FC0045"/>
    <w:rsid w:val="00FC0982"/>
    <w:rsid w:val="00FC14C3"/>
    <w:rsid w:val="00FC1D77"/>
    <w:rsid w:val="00FC2836"/>
    <w:rsid w:val="00FC28B8"/>
    <w:rsid w:val="00FC2997"/>
    <w:rsid w:val="00FC31F0"/>
    <w:rsid w:val="00FC32A4"/>
    <w:rsid w:val="00FC337F"/>
    <w:rsid w:val="00FC3820"/>
    <w:rsid w:val="00FC3FCE"/>
    <w:rsid w:val="00FC4A90"/>
    <w:rsid w:val="00FC4E50"/>
    <w:rsid w:val="00FC522A"/>
    <w:rsid w:val="00FC538B"/>
    <w:rsid w:val="00FC5845"/>
    <w:rsid w:val="00FC5982"/>
    <w:rsid w:val="00FC661B"/>
    <w:rsid w:val="00FC6712"/>
    <w:rsid w:val="00FC6754"/>
    <w:rsid w:val="00FC6981"/>
    <w:rsid w:val="00FC6A40"/>
    <w:rsid w:val="00FC7057"/>
    <w:rsid w:val="00FC710D"/>
    <w:rsid w:val="00FC7F44"/>
    <w:rsid w:val="00FD0517"/>
    <w:rsid w:val="00FD0817"/>
    <w:rsid w:val="00FD09B0"/>
    <w:rsid w:val="00FD1B72"/>
    <w:rsid w:val="00FD224C"/>
    <w:rsid w:val="00FD25B7"/>
    <w:rsid w:val="00FD27CB"/>
    <w:rsid w:val="00FD2C49"/>
    <w:rsid w:val="00FD3018"/>
    <w:rsid w:val="00FD39C3"/>
    <w:rsid w:val="00FD3FB1"/>
    <w:rsid w:val="00FD412E"/>
    <w:rsid w:val="00FD4958"/>
    <w:rsid w:val="00FD4C95"/>
    <w:rsid w:val="00FD4DC4"/>
    <w:rsid w:val="00FD4EAB"/>
    <w:rsid w:val="00FD586A"/>
    <w:rsid w:val="00FD614B"/>
    <w:rsid w:val="00FD667D"/>
    <w:rsid w:val="00FD689C"/>
    <w:rsid w:val="00FD6E58"/>
    <w:rsid w:val="00FD73EF"/>
    <w:rsid w:val="00FD7B33"/>
    <w:rsid w:val="00FD7D92"/>
    <w:rsid w:val="00FE089C"/>
    <w:rsid w:val="00FE090B"/>
    <w:rsid w:val="00FE10C4"/>
    <w:rsid w:val="00FE132C"/>
    <w:rsid w:val="00FE247D"/>
    <w:rsid w:val="00FE2E1F"/>
    <w:rsid w:val="00FE2E20"/>
    <w:rsid w:val="00FE34CF"/>
    <w:rsid w:val="00FE46CF"/>
    <w:rsid w:val="00FE4761"/>
    <w:rsid w:val="00FE5B88"/>
    <w:rsid w:val="00FE5BD1"/>
    <w:rsid w:val="00FE5C5C"/>
    <w:rsid w:val="00FE610A"/>
    <w:rsid w:val="00FE6128"/>
    <w:rsid w:val="00FE642B"/>
    <w:rsid w:val="00FE6719"/>
    <w:rsid w:val="00FE7AA6"/>
    <w:rsid w:val="00FF05E2"/>
    <w:rsid w:val="00FF1014"/>
    <w:rsid w:val="00FF10C5"/>
    <w:rsid w:val="00FF188D"/>
    <w:rsid w:val="00FF22D5"/>
    <w:rsid w:val="00FF24F6"/>
    <w:rsid w:val="00FF258B"/>
    <w:rsid w:val="00FF2626"/>
    <w:rsid w:val="00FF2A4B"/>
    <w:rsid w:val="00FF36AB"/>
    <w:rsid w:val="00FF38B5"/>
    <w:rsid w:val="00FF3925"/>
    <w:rsid w:val="00FF3C3E"/>
    <w:rsid w:val="00FF489B"/>
    <w:rsid w:val="00FF4AB4"/>
    <w:rsid w:val="00FF4C07"/>
    <w:rsid w:val="00FF56ED"/>
    <w:rsid w:val="00FF5909"/>
    <w:rsid w:val="00FF63B0"/>
    <w:rsid w:val="00FF63D1"/>
    <w:rsid w:val="00FF6599"/>
    <w:rsid w:val="00FF6B93"/>
    <w:rsid w:val="00FF7432"/>
    <w:rsid w:val="00FF7B0F"/>
    <w:rsid w:val="010B63F2"/>
    <w:rsid w:val="01365E97"/>
    <w:rsid w:val="01553ED7"/>
    <w:rsid w:val="01585107"/>
    <w:rsid w:val="015C693D"/>
    <w:rsid w:val="015F519C"/>
    <w:rsid w:val="01610EEE"/>
    <w:rsid w:val="0163771A"/>
    <w:rsid w:val="01891362"/>
    <w:rsid w:val="01AF6439"/>
    <w:rsid w:val="01B01D39"/>
    <w:rsid w:val="01D31202"/>
    <w:rsid w:val="01DB6007"/>
    <w:rsid w:val="01E50D53"/>
    <w:rsid w:val="01F2780B"/>
    <w:rsid w:val="02001FA1"/>
    <w:rsid w:val="020C615A"/>
    <w:rsid w:val="02134C25"/>
    <w:rsid w:val="022D1F83"/>
    <w:rsid w:val="02337A29"/>
    <w:rsid w:val="02393535"/>
    <w:rsid w:val="024D0952"/>
    <w:rsid w:val="025408DF"/>
    <w:rsid w:val="026C4FD1"/>
    <w:rsid w:val="027F4D04"/>
    <w:rsid w:val="02B26E88"/>
    <w:rsid w:val="02B560FD"/>
    <w:rsid w:val="02BD6610"/>
    <w:rsid w:val="02E131FE"/>
    <w:rsid w:val="02FD751A"/>
    <w:rsid w:val="03396446"/>
    <w:rsid w:val="03412837"/>
    <w:rsid w:val="034434C0"/>
    <w:rsid w:val="03451AAA"/>
    <w:rsid w:val="03621E60"/>
    <w:rsid w:val="03767EB5"/>
    <w:rsid w:val="038D13FF"/>
    <w:rsid w:val="038D51FF"/>
    <w:rsid w:val="038F0E5C"/>
    <w:rsid w:val="03916053"/>
    <w:rsid w:val="03986111"/>
    <w:rsid w:val="03A31AD5"/>
    <w:rsid w:val="03A77E03"/>
    <w:rsid w:val="03BA5D8A"/>
    <w:rsid w:val="03BD57D8"/>
    <w:rsid w:val="03C71110"/>
    <w:rsid w:val="03CB0F8E"/>
    <w:rsid w:val="040354C1"/>
    <w:rsid w:val="04250018"/>
    <w:rsid w:val="04347AA9"/>
    <w:rsid w:val="04583A5F"/>
    <w:rsid w:val="049C4154"/>
    <w:rsid w:val="04A42800"/>
    <w:rsid w:val="04AA138E"/>
    <w:rsid w:val="04CD5D15"/>
    <w:rsid w:val="04D61A04"/>
    <w:rsid w:val="04D97AEB"/>
    <w:rsid w:val="04E672BC"/>
    <w:rsid w:val="04FA1774"/>
    <w:rsid w:val="050C204E"/>
    <w:rsid w:val="051536FE"/>
    <w:rsid w:val="05183DDF"/>
    <w:rsid w:val="051B1C94"/>
    <w:rsid w:val="05263B5D"/>
    <w:rsid w:val="05311962"/>
    <w:rsid w:val="054F6C10"/>
    <w:rsid w:val="05510B6C"/>
    <w:rsid w:val="0551589E"/>
    <w:rsid w:val="05A52CD4"/>
    <w:rsid w:val="05C23044"/>
    <w:rsid w:val="05CF1AFF"/>
    <w:rsid w:val="05EF144A"/>
    <w:rsid w:val="05F3040F"/>
    <w:rsid w:val="05FA0769"/>
    <w:rsid w:val="05FB0B46"/>
    <w:rsid w:val="06035C82"/>
    <w:rsid w:val="062A7F3D"/>
    <w:rsid w:val="0630558F"/>
    <w:rsid w:val="06466FB8"/>
    <w:rsid w:val="06533ACC"/>
    <w:rsid w:val="06551162"/>
    <w:rsid w:val="06585F73"/>
    <w:rsid w:val="066F04FF"/>
    <w:rsid w:val="0673786C"/>
    <w:rsid w:val="06947021"/>
    <w:rsid w:val="06AA0717"/>
    <w:rsid w:val="06B2286E"/>
    <w:rsid w:val="06E350E0"/>
    <w:rsid w:val="06F47D56"/>
    <w:rsid w:val="06F66F8D"/>
    <w:rsid w:val="06FD269B"/>
    <w:rsid w:val="07067163"/>
    <w:rsid w:val="070B35AB"/>
    <w:rsid w:val="07152E97"/>
    <w:rsid w:val="071C6FC5"/>
    <w:rsid w:val="073A0795"/>
    <w:rsid w:val="073D5DE6"/>
    <w:rsid w:val="0740505A"/>
    <w:rsid w:val="07510C64"/>
    <w:rsid w:val="0774588F"/>
    <w:rsid w:val="078549F2"/>
    <w:rsid w:val="07A56FBB"/>
    <w:rsid w:val="07AD2313"/>
    <w:rsid w:val="07B15465"/>
    <w:rsid w:val="07B47A48"/>
    <w:rsid w:val="07BE007D"/>
    <w:rsid w:val="07C65825"/>
    <w:rsid w:val="07D829F1"/>
    <w:rsid w:val="07D85CCA"/>
    <w:rsid w:val="07E94D14"/>
    <w:rsid w:val="07E9602D"/>
    <w:rsid w:val="07ED09D6"/>
    <w:rsid w:val="08017F69"/>
    <w:rsid w:val="080B7A15"/>
    <w:rsid w:val="08121EAD"/>
    <w:rsid w:val="082A5712"/>
    <w:rsid w:val="085308A8"/>
    <w:rsid w:val="08583F5B"/>
    <w:rsid w:val="0867413F"/>
    <w:rsid w:val="087776F9"/>
    <w:rsid w:val="0878647D"/>
    <w:rsid w:val="08787CA6"/>
    <w:rsid w:val="08A903C1"/>
    <w:rsid w:val="08C56F31"/>
    <w:rsid w:val="08C90C5A"/>
    <w:rsid w:val="08CC2817"/>
    <w:rsid w:val="08D65C03"/>
    <w:rsid w:val="08DD3B45"/>
    <w:rsid w:val="08DE3E9F"/>
    <w:rsid w:val="08DF04C0"/>
    <w:rsid w:val="08F57A97"/>
    <w:rsid w:val="0922706A"/>
    <w:rsid w:val="093C5FCC"/>
    <w:rsid w:val="09507B23"/>
    <w:rsid w:val="096E162E"/>
    <w:rsid w:val="096F6820"/>
    <w:rsid w:val="097A07E5"/>
    <w:rsid w:val="098F6C67"/>
    <w:rsid w:val="09B2421D"/>
    <w:rsid w:val="09BC47EC"/>
    <w:rsid w:val="09CF4DC3"/>
    <w:rsid w:val="09E004BA"/>
    <w:rsid w:val="09EE6494"/>
    <w:rsid w:val="0A00406F"/>
    <w:rsid w:val="0A011395"/>
    <w:rsid w:val="0A0501E5"/>
    <w:rsid w:val="0A122902"/>
    <w:rsid w:val="0A1D2B9D"/>
    <w:rsid w:val="0A281923"/>
    <w:rsid w:val="0A397E8E"/>
    <w:rsid w:val="0A416391"/>
    <w:rsid w:val="0A6940F3"/>
    <w:rsid w:val="0A7464E2"/>
    <w:rsid w:val="0A831AD7"/>
    <w:rsid w:val="0AAF3CCE"/>
    <w:rsid w:val="0AB33846"/>
    <w:rsid w:val="0AE51318"/>
    <w:rsid w:val="0AF65D7F"/>
    <w:rsid w:val="0AFB1F4A"/>
    <w:rsid w:val="0B043FF8"/>
    <w:rsid w:val="0B29471D"/>
    <w:rsid w:val="0B3F59DA"/>
    <w:rsid w:val="0B41349E"/>
    <w:rsid w:val="0B6E3B68"/>
    <w:rsid w:val="0B722744"/>
    <w:rsid w:val="0B7C68FD"/>
    <w:rsid w:val="0B8415DD"/>
    <w:rsid w:val="0B862976"/>
    <w:rsid w:val="0B9F37D1"/>
    <w:rsid w:val="0BA51888"/>
    <w:rsid w:val="0BB377CC"/>
    <w:rsid w:val="0BC85C86"/>
    <w:rsid w:val="0BDE2B04"/>
    <w:rsid w:val="0BE613FE"/>
    <w:rsid w:val="0C120997"/>
    <w:rsid w:val="0C341CAA"/>
    <w:rsid w:val="0C4C592C"/>
    <w:rsid w:val="0C5734B3"/>
    <w:rsid w:val="0C5E5A67"/>
    <w:rsid w:val="0C6D4FAE"/>
    <w:rsid w:val="0C7451AE"/>
    <w:rsid w:val="0C7C45D5"/>
    <w:rsid w:val="0C97400E"/>
    <w:rsid w:val="0C9B5CB0"/>
    <w:rsid w:val="0CBC0071"/>
    <w:rsid w:val="0CBC3BE7"/>
    <w:rsid w:val="0CE66A78"/>
    <w:rsid w:val="0CEA25B6"/>
    <w:rsid w:val="0CEC568C"/>
    <w:rsid w:val="0D0C25B8"/>
    <w:rsid w:val="0D190BF4"/>
    <w:rsid w:val="0D1A7540"/>
    <w:rsid w:val="0D2D3A1C"/>
    <w:rsid w:val="0D3965FB"/>
    <w:rsid w:val="0D4C00B6"/>
    <w:rsid w:val="0D4E3261"/>
    <w:rsid w:val="0D517FD5"/>
    <w:rsid w:val="0D6671EC"/>
    <w:rsid w:val="0D770B24"/>
    <w:rsid w:val="0D84334A"/>
    <w:rsid w:val="0DB9365C"/>
    <w:rsid w:val="0DBF28C6"/>
    <w:rsid w:val="0DC343D2"/>
    <w:rsid w:val="0DC76B42"/>
    <w:rsid w:val="0DDF1BCC"/>
    <w:rsid w:val="0DE71226"/>
    <w:rsid w:val="0DFC1DC3"/>
    <w:rsid w:val="0E0B5E5A"/>
    <w:rsid w:val="0E17388F"/>
    <w:rsid w:val="0E224B6C"/>
    <w:rsid w:val="0E3E222B"/>
    <w:rsid w:val="0E3E3CC5"/>
    <w:rsid w:val="0E462B7A"/>
    <w:rsid w:val="0E5715B3"/>
    <w:rsid w:val="0E6327CB"/>
    <w:rsid w:val="0E80395D"/>
    <w:rsid w:val="0E920758"/>
    <w:rsid w:val="0E991DE5"/>
    <w:rsid w:val="0EC3672F"/>
    <w:rsid w:val="0EF218A2"/>
    <w:rsid w:val="0F1113DA"/>
    <w:rsid w:val="0F1C68CA"/>
    <w:rsid w:val="0F2C2CE5"/>
    <w:rsid w:val="0F2E654C"/>
    <w:rsid w:val="0F2F41E0"/>
    <w:rsid w:val="0F505563"/>
    <w:rsid w:val="0F7554C5"/>
    <w:rsid w:val="0F7E4EC1"/>
    <w:rsid w:val="0FCF535A"/>
    <w:rsid w:val="0FDE4C29"/>
    <w:rsid w:val="0FEB1003"/>
    <w:rsid w:val="101F5B2D"/>
    <w:rsid w:val="103200BC"/>
    <w:rsid w:val="10494528"/>
    <w:rsid w:val="10664AAA"/>
    <w:rsid w:val="106E5249"/>
    <w:rsid w:val="107A748D"/>
    <w:rsid w:val="10843154"/>
    <w:rsid w:val="108F68F6"/>
    <w:rsid w:val="10D95F27"/>
    <w:rsid w:val="10F062DE"/>
    <w:rsid w:val="111A3BD5"/>
    <w:rsid w:val="114A0EC6"/>
    <w:rsid w:val="116021A5"/>
    <w:rsid w:val="116B42A8"/>
    <w:rsid w:val="11713EF6"/>
    <w:rsid w:val="117C374F"/>
    <w:rsid w:val="11820923"/>
    <w:rsid w:val="118A4D0E"/>
    <w:rsid w:val="118C2720"/>
    <w:rsid w:val="118D341C"/>
    <w:rsid w:val="119D7C95"/>
    <w:rsid w:val="11AB3069"/>
    <w:rsid w:val="11AE1162"/>
    <w:rsid w:val="11CC552C"/>
    <w:rsid w:val="11CE3E3B"/>
    <w:rsid w:val="11DC7A7D"/>
    <w:rsid w:val="11F155F5"/>
    <w:rsid w:val="11F3539A"/>
    <w:rsid w:val="11FA6155"/>
    <w:rsid w:val="11FA621D"/>
    <w:rsid w:val="12060492"/>
    <w:rsid w:val="120C3D90"/>
    <w:rsid w:val="123A45C7"/>
    <w:rsid w:val="123E4BDE"/>
    <w:rsid w:val="1285461C"/>
    <w:rsid w:val="12997CE5"/>
    <w:rsid w:val="12A41533"/>
    <w:rsid w:val="12AB6F21"/>
    <w:rsid w:val="12B4465E"/>
    <w:rsid w:val="12C37DE1"/>
    <w:rsid w:val="12CB321A"/>
    <w:rsid w:val="12CB3313"/>
    <w:rsid w:val="12D34E3F"/>
    <w:rsid w:val="12E76E7A"/>
    <w:rsid w:val="12F0702C"/>
    <w:rsid w:val="12FA4679"/>
    <w:rsid w:val="12FE5212"/>
    <w:rsid w:val="130B2C99"/>
    <w:rsid w:val="13201BEB"/>
    <w:rsid w:val="133820BB"/>
    <w:rsid w:val="133A5F47"/>
    <w:rsid w:val="1346727C"/>
    <w:rsid w:val="13521355"/>
    <w:rsid w:val="135265EE"/>
    <w:rsid w:val="13714B85"/>
    <w:rsid w:val="137361BF"/>
    <w:rsid w:val="13785584"/>
    <w:rsid w:val="137912FC"/>
    <w:rsid w:val="137F100B"/>
    <w:rsid w:val="13866040"/>
    <w:rsid w:val="13887774"/>
    <w:rsid w:val="138F02D5"/>
    <w:rsid w:val="13920DB3"/>
    <w:rsid w:val="139C262A"/>
    <w:rsid w:val="13B95A46"/>
    <w:rsid w:val="13C51B57"/>
    <w:rsid w:val="13D7645F"/>
    <w:rsid w:val="13F67518"/>
    <w:rsid w:val="13F83926"/>
    <w:rsid w:val="141C60E0"/>
    <w:rsid w:val="143F7558"/>
    <w:rsid w:val="144B0B5A"/>
    <w:rsid w:val="144E4EA1"/>
    <w:rsid w:val="146A4030"/>
    <w:rsid w:val="146D0E60"/>
    <w:rsid w:val="1472517C"/>
    <w:rsid w:val="14812311"/>
    <w:rsid w:val="14887A48"/>
    <w:rsid w:val="148A2C9A"/>
    <w:rsid w:val="148F4035"/>
    <w:rsid w:val="14995169"/>
    <w:rsid w:val="14A10B0A"/>
    <w:rsid w:val="14AE7EB0"/>
    <w:rsid w:val="14DC1B42"/>
    <w:rsid w:val="14E264A6"/>
    <w:rsid w:val="14EF7AC7"/>
    <w:rsid w:val="14F055ED"/>
    <w:rsid w:val="14F90946"/>
    <w:rsid w:val="14FA004B"/>
    <w:rsid w:val="150125CC"/>
    <w:rsid w:val="150B034A"/>
    <w:rsid w:val="151F5513"/>
    <w:rsid w:val="1520577E"/>
    <w:rsid w:val="152B5E45"/>
    <w:rsid w:val="15491E75"/>
    <w:rsid w:val="154B0C6D"/>
    <w:rsid w:val="15525091"/>
    <w:rsid w:val="15607F35"/>
    <w:rsid w:val="158D7D2C"/>
    <w:rsid w:val="15AF2718"/>
    <w:rsid w:val="15EC2EC7"/>
    <w:rsid w:val="15FD3B21"/>
    <w:rsid w:val="160B6B83"/>
    <w:rsid w:val="163253A6"/>
    <w:rsid w:val="16367BDF"/>
    <w:rsid w:val="1651030E"/>
    <w:rsid w:val="165C4B84"/>
    <w:rsid w:val="1662251B"/>
    <w:rsid w:val="166450AA"/>
    <w:rsid w:val="167D2D79"/>
    <w:rsid w:val="167E7957"/>
    <w:rsid w:val="16801A04"/>
    <w:rsid w:val="16931812"/>
    <w:rsid w:val="16A20CD0"/>
    <w:rsid w:val="16A63B94"/>
    <w:rsid w:val="16C07D8D"/>
    <w:rsid w:val="16C24531"/>
    <w:rsid w:val="16C50388"/>
    <w:rsid w:val="16EB0762"/>
    <w:rsid w:val="16FD527D"/>
    <w:rsid w:val="1708485D"/>
    <w:rsid w:val="171657DF"/>
    <w:rsid w:val="171E2541"/>
    <w:rsid w:val="17400B06"/>
    <w:rsid w:val="17587B45"/>
    <w:rsid w:val="17642758"/>
    <w:rsid w:val="17671DD7"/>
    <w:rsid w:val="17677B93"/>
    <w:rsid w:val="17722186"/>
    <w:rsid w:val="17822E75"/>
    <w:rsid w:val="17A56101"/>
    <w:rsid w:val="17AD1749"/>
    <w:rsid w:val="17E01949"/>
    <w:rsid w:val="17E22AF6"/>
    <w:rsid w:val="17F45558"/>
    <w:rsid w:val="180C273E"/>
    <w:rsid w:val="18167EC0"/>
    <w:rsid w:val="18335F1D"/>
    <w:rsid w:val="18447847"/>
    <w:rsid w:val="185675F5"/>
    <w:rsid w:val="186662F2"/>
    <w:rsid w:val="187F440A"/>
    <w:rsid w:val="18852AB8"/>
    <w:rsid w:val="188B0ACD"/>
    <w:rsid w:val="1894209D"/>
    <w:rsid w:val="189F26FA"/>
    <w:rsid w:val="18A706B9"/>
    <w:rsid w:val="18AC1B27"/>
    <w:rsid w:val="18B90440"/>
    <w:rsid w:val="18D01243"/>
    <w:rsid w:val="18D05E62"/>
    <w:rsid w:val="18D17C5E"/>
    <w:rsid w:val="18E25FF0"/>
    <w:rsid w:val="19095749"/>
    <w:rsid w:val="19121769"/>
    <w:rsid w:val="19395441"/>
    <w:rsid w:val="19396D5A"/>
    <w:rsid w:val="1957287E"/>
    <w:rsid w:val="195C76F5"/>
    <w:rsid w:val="198253AE"/>
    <w:rsid w:val="19BB3FA4"/>
    <w:rsid w:val="19C811A6"/>
    <w:rsid w:val="19D91C69"/>
    <w:rsid w:val="19DB1B97"/>
    <w:rsid w:val="19DE635C"/>
    <w:rsid w:val="19E80917"/>
    <w:rsid w:val="19FA5E02"/>
    <w:rsid w:val="1A202A3F"/>
    <w:rsid w:val="1A2E3138"/>
    <w:rsid w:val="1A41469E"/>
    <w:rsid w:val="1A5F1601"/>
    <w:rsid w:val="1A6243DB"/>
    <w:rsid w:val="1A796B0B"/>
    <w:rsid w:val="1A960366"/>
    <w:rsid w:val="1A971DF2"/>
    <w:rsid w:val="1AB67775"/>
    <w:rsid w:val="1AC67AF6"/>
    <w:rsid w:val="1AC86743"/>
    <w:rsid w:val="1AE42312"/>
    <w:rsid w:val="1AF8419E"/>
    <w:rsid w:val="1B017F64"/>
    <w:rsid w:val="1B36173B"/>
    <w:rsid w:val="1B3872EB"/>
    <w:rsid w:val="1B5946A7"/>
    <w:rsid w:val="1B5B3CED"/>
    <w:rsid w:val="1B897B34"/>
    <w:rsid w:val="1B8D003A"/>
    <w:rsid w:val="1B907A04"/>
    <w:rsid w:val="1B9518E2"/>
    <w:rsid w:val="1BBB0703"/>
    <w:rsid w:val="1BBE4AEF"/>
    <w:rsid w:val="1BC35DCC"/>
    <w:rsid w:val="1BC61780"/>
    <w:rsid w:val="1BCE3FF6"/>
    <w:rsid w:val="1BE43322"/>
    <w:rsid w:val="1BF83465"/>
    <w:rsid w:val="1C1F3DBA"/>
    <w:rsid w:val="1C2269D4"/>
    <w:rsid w:val="1C2F794E"/>
    <w:rsid w:val="1C385254"/>
    <w:rsid w:val="1C710F9C"/>
    <w:rsid w:val="1C802D0F"/>
    <w:rsid w:val="1C872109"/>
    <w:rsid w:val="1C87387F"/>
    <w:rsid w:val="1C8F7336"/>
    <w:rsid w:val="1C9C2C9F"/>
    <w:rsid w:val="1C9D42AD"/>
    <w:rsid w:val="1CA436B3"/>
    <w:rsid w:val="1CAC2742"/>
    <w:rsid w:val="1CB02571"/>
    <w:rsid w:val="1CB1649A"/>
    <w:rsid w:val="1CB4137D"/>
    <w:rsid w:val="1CC730D8"/>
    <w:rsid w:val="1CDB6B83"/>
    <w:rsid w:val="1D0D1432"/>
    <w:rsid w:val="1D0E2879"/>
    <w:rsid w:val="1D1F3436"/>
    <w:rsid w:val="1D7E04F4"/>
    <w:rsid w:val="1D7E3337"/>
    <w:rsid w:val="1D905BC0"/>
    <w:rsid w:val="1D921938"/>
    <w:rsid w:val="1D9740E8"/>
    <w:rsid w:val="1D9A4B9E"/>
    <w:rsid w:val="1DA815EA"/>
    <w:rsid w:val="1DC47649"/>
    <w:rsid w:val="1DCB7120"/>
    <w:rsid w:val="1DD85316"/>
    <w:rsid w:val="1DDE4B7D"/>
    <w:rsid w:val="1DE43C0E"/>
    <w:rsid w:val="1DF1234D"/>
    <w:rsid w:val="1E42510C"/>
    <w:rsid w:val="1E4C1AE7"/>
    <w:rsid w:val="1E6A42B4"/>
    <w:rsid w:val="1E845724"/>
    <w:rsid w:val="1E86425F"/>
    <w:rsid w:val="1EBF34C5"/>
    <w:rsid w:val="1EC03055"/>
    <w:rsid w:val="1ECD7E3A"/>
    <w:rsid w:val="1ED03AC5"/>
    <w:rsid w:val="1F047A9A"/>
    <w:rsid w:val="1F122143"/>
    <w:rsid w:val="1F2B5BA0"/>
    <w:rsid w:val="1F384757"/>
    <w:rsid w:val="1F3A6D0E"/>
    <w:rsid w:val="1F54209D"/>
    <w:rsid w:val="1F5D7D23"/>
    <w:rsid w:val="1F813A12"/>
    <w:rsid w:val="1F833C2E"/>
    <w:rsid w:val="1FA705EA"/>
    <w:rsid w:val="1FA75AB7"/>
    <w:rsid w:val="1FAA613D"/>
    <w:rsid w:val="1FAB0A8F"/>
    <w:rsid w:val="1FAD4807"/>
    <w:rsid w:val="1FC36A91"/>
    <w:rsid w:val="1FC87893"/>
    <w:rsid w:val="1FD04999"/>
    <w:rsid w:val="1FD37A51"/>
    <w:rsid w:val="1FDD404F"/>
    <w:rsid w:val="1FF95C9E"/>
    <w:rsid w:val="20046D2C"/>
    <w:rsid w:val="20104B3E"/>
    <w:rsid w:val="202459F7"/>
    <w:rsid w:val="20322137"/>
    <w:rsid w:val="203376F5"/>
    <w:rsid w:val="203B62B7"/>
    <w:rsid w:val="20473FA7"/>
    <w:rsid w:val="205F77CA"/>
    <w:rsid w:val="206178F6"/>
    <w:rsid w:val="206F42A1"/>
    <w:rsid w:val="20776EAE"/>
    <w:rsid w:val="20A04BBF"/>
    <w:rsid w:val="20AC689B"/>
    <w:rsid w:val="20D95FC1"/>
    <w:rsid w:val="20EC4D57"/>
    <w:rsid w:val="20FC61C2"/>
    <w:rsid w:val="21070644"/>
    <w:rsid w:val="21162880"/>
    <w:rsid w:val="21354AB4"/>
    <w:rsid w:val="21494E33"/>
    <w:rsid w:val="21854343"/>
    <w:rsid w:val="2199758A"/>
    <w:rsid w:val="21B17B59"/>
    <w:rsid w:val="21BD06EB"/>
    <w:rsid w:val="21FB2220"/>
    <w:rsid w:val="22006E6C"/>
    <w:rsid w:val="222C6195"/>
    <w:rsid w:val="22402375"/>
    <w:rsid w:val="22441677"/>
    <w:rsid w:val="22537DC0"/>
    <w:rsid w:val="225E36D5"/>
    <w:rsid w:val="225F5D90"/>
    <w:rsid w:val="22645B7F"/>
    <w:rsid w:val="22660E1A"/>
    <w:rsid w:val="22685E0F"/>
    <w:rsid w:val="226932DB"/>
    <w:rsid w:val="22874CCD"/>
    <w:rsid w:val="228B30D2"/>
    <w:rsid w:val="22BC66DC"/>
    <w:rsid w:val="22D506BA"/>
    <w:rsid w:val="22E57796"/>
    <w:rsid w:val="22FD5A3B"/>
    <w:rsid w:val="230D1471"/>
    <w:rsid w:val="23526D24"/>
    <w:rsid w:val="235502E4"/>
    <w:rsid w:val="236266FA"/>
    <w:rsid w:val="23717F7E"/>
    <w:rsid w:val="2375591E"/>
    <w:rsid w:val="23880ED2"/>
    <w:rsid w:val="238F72B6"/>
    <w:rsid w:val="23B1534D"/>
    <w:rsid w:val="23D37054"/>
    <w:rsid w:val="23E50626"/>
    <w:rsid w:val="23F878E6"/>
    <w:rsid w:val="23FC3E4B"/>
    <w:rsid w:val="24150BCD"/>
    <w:rsid w:val="242C5FCB"/>
    <w:rsid w:val="242D23BA"/>
    <w:rsid w:val="243C43AB"/>
    <w:rsid w:val="2442484C"/>
    <w:rsid w:val="244C5A39"/>
    <w:rsid w:val="245D5525"/>
    <w:rsid w:val="2467722D"/>
    <w:rsid w:val="246833F2"/>
    <w:rsid w:val="246C2EE2"/>
    <w:rsid w:val="24821174"/>
    <w:rsid w:val="24864C40"/>
    <w:rsid w:val="248B78E4"/>
    <w:rsid w:val="248F28BE"/>
    <w:rsid w:val="24967F5F"/>
    <w:rsid w:val="249A4682"/>
    <w:rsid w:val="249D3E05"/>
    <w:rsid w:val="24A102F4"/>
    <w:rsid w:val="24BE4B7C"/>
    <w:rsid w:val="24C21763"/>
    <w:rsid w:val="24C70631"/>
    <w:rsid w:val="24F26AD5"/>
    <w:rsid w:val="24F372E5"/>
    <w:rsid w:val="25020A55"/>
    <w:rsid w:val="25073371"/>
    <w:rsid w:val="25180EBD"/>
    <w:rsid w:val="25237319"/>
    <w:rsid w:val="252A06A8"/>
    <w:rsid w:val="252E562E"/>
    <w:rsid w:val="253E4DA8"/>
    <w:rsid w:val="255460BE"/>
    <w:rsid w:val="25551BC9"/>
    <w:rsid w:val="25641237"/>
    <w:rsid w:val="2584425C"/>
    <w:rsid w:val="259C7B08"/>
    <w:rsid w:val="25A5657F"/>
    <w:rsid w:val="25BD6F9D"/>
    <w:rsid w:val="25BF7042"/>
    <w:rsid w:val="25C51AB5"/>
    <w:rsid w:val="25CD3DA7"/>
    <w:rsid w:val="25E638C6"/>
    <w:rsid w:val="25FC2115"/>
    <w:rsid w:val="2604539D"/>
    <w:rsid w:val="260D4223"/>
    <w:rsid w:val="260D7B98"/>
    <w:rsid w:val="262129B2"/>
    <w:rsid w:val="26263C86"/>
    <w:rsid w:val="262A057A"/>
    <w:rsid w:val="263233A5"/>
    <w:rsid w:val="263E440B"/>
    <w:rsid w:val="26595900"/>
    <w:rsid w:val="2659678D"/>
    <w:rsid w:val="266A32CA"/>
    <w:rsid w:val="267623D8"/>
    <w:rsid w:val="26775B6F"/>
    <w:rsid w:val="267D5CFA"/>
    <w:rsid w:val="268838D8"/>
    <w:rsid w:val="26942ED0"/>
    <w:rsid w:val="26B80661"/>
    <w:rsid w:val="26E9233C"/>
    <w:rsid w:val="26EF6560"/>
    <w:rsid w:val="27336A3B"/>
    <w:rsid w:val="27377E18"/>
    <w:rsid w:val="274307B3"/>
    <w:rsid w:val="27535555"/>
    <w:rsid w:val="275763A5"/>
    <w:rsid w:val="276C144B"/>
    <w:rsid w:val="276C4FA7"/>
    <w:rsid w:val="27731952"/>
    <w:rsid w:val="278A297D"/>
    <w:rsid w:val="2806203B"/>
    <w:rsid w:val="283E338B"/>
    <w:rsid w:val="284C58C5"/>
    <w:rsid w:val="2862546E"/>
    <w:rsid w:val="2868242A"/>
    <w:rsid w:val="287909D9"/>
    <w:rsid w:val="28A40E67"/>
    <w:rsid w:val="28AB624A"/>
    <w:rsid w:val="28E20280"/>
    <w:rsid w:val="28F5240A"/>
    <w:rsid w:val="2908530B"/>
    <w:rsid w:val="290E2F67"/>
    <w:rsid w:val="290E59DA"/>
    <w:rsid w:val="292410C7"/>
    <w:rsid w:val="295C1E5E"/>
    <w:rsid w:val="29732249"/>
    <w:rsid w:val="29843C9A"/>
    <w:rsid w:val="299A41C5"/>
    <w:rsid w:val="299B6C6E"/>
    <w:rsid w:val="29AF659C"/>
    <w:rsid w:val="29B50A73"/>
    <w:rsid w:val="29F57B3D"/>
    <w:rsid w:val="2A2B114A"/>
    <w:rsid w:val="2A2B7343"/>
    <w:rsid w:val="2A4A0390"/>
    <w:rsid w:val="2A5A48DF"/>
    <w:rsid w:val="2A8E4D1E"/>
    <w:rsid w:val="2A8F781B"/>
    <w:rsid w:val="2A9F6079"/>
    <w:rsid w:val="2AB22B0A"/>
    <w:rsid w:val="2AB75625"/>
    <w:rsid w:val="2AB8290D"/>
    <w:rsid w:val="2ABB3ABA"/>
    <w:rsid w:val="2ACB7FDE"/>
    <w:rsid w:val="2AD81173"/>
    <w:rsid w:val="2AE2142E"/>
    <w:rsid w:val="2AE22602"/>
    <w:rsid w:val="2B2A413E"/>
    <w:rsid w:val="2B2C517A"/>
    <w:rsid w:val="2B417185"/>
    <w:rsid w:val="2B471FB3"/>
    <w:rsid w:val="2B4E5AE3"/>
    <w:rsid w:val="2B8A00F2"/>
    <w:rsid w:val="2B9E48D8"/>
    <w:rsid w:val="2BC21007"/>
    <w:rsid w:val="2BC82625"/>
    <w:rsid w:val="2BD559B4"/>
    <w:rsid w:val="2BE52245"/>
    <w:rsid w:val="2BF652CC"/>
    <w:rsid w:val="2C015FA4"/>
    <w:rsid w:val="2C22742F"/>
    <w:rsid w:val="2C31056E"/>
    <w:rsid w:val="2C4818EC"/>
    <w:rsid w:val="2C4E2ECE"/>
    <w:rsid w:val="2C5D22BD"/>
    <w:rsid w:val="2C682624"/>
    <w:rsid w:val="2C71247D"/>
    <w:rsid w:val="2C844E52"/>
    <w:rsid w:val="2C8F31A6"/>
    <w:rsid w:val="2C9B0659"/>
    <w:rsid w:val="2CBB58B2"/>
    <w:rsid w:val="2CC278AA"/>
    <w:rsid w:val="2CC77EF2"/>
    <w:rsid w:val="2CD05FD9"/>
    <w:rsid w:val="2CD244F2"/>
    <w:rsid w:val="2CE720ED"/>
    <w:rsid w:val="2CF05C9A"/>
    <w:rsid w:val="2D252BB1"/>
    <w:rsid w:val="2D331691"/>
    <w:rsid w:val="2D3D3568"/>
    <w:rsid w:val="2D4A0193"/>
    <w:rsid w:val="2D546C0A"/>
    <w:rsid w:val="2D5524DE"/>
    <w:rsid w:val="2D671623"/>
    <w:rsid w:val="2D726026"/>
    <w:rsid w:val="2D727090"/>
    <w:rsid w:val="2DA1541A"/>
    <w:rsid w:val="2DAF3F50"/>
    <w:rsid w:val="2DB564DC"/>
    <w:rsid w:val="2DBF3691"/>
    <w:rsid w:val="2DDF5C3D"/>
    <w:rsid w:val="2DF92FC6"/>
    <w:rsid w:val="2DFD762F"/>
    <w:rsid w:val="2E016F46"/>
    <w:rsid w:val="2E132621"/>
    <w:rsid w:val="2E2032EA"/>
    <w:rsid w:val="2E24038A"/>
    <w:rsid w:val="2E3D4D40"/>
    <w:rsid w:val="2E47204E"/>
    <w:rsid w:val="2E5844D8"/>
    <w:rsid w:val="2E6A0B12"/>
    <w:rsid w:val="2E6D0359"/>
    <w:rsid w:val="2EB427DD"/>
    <w:rsid w:val="2EBA6F40"/>
    <w:rsid w:val="2EC93BCC"/>
    <w:rsid w:val="2EFD0DB2"/>
    <w:rsid w:val="2F0C0203"/>
    <w:rsid w:val="2F162F21"/>
    <w:rsid w:val="2F2D3161"/>
    <w:rsid w:val="2F413D17"/>
    <w:rsid w:val="2F426E5E"/>
    <w:rsid w:val="2F4E568E"/>
    <w:rsid w:val="2F604859"/>
    <w:rsid w:val="2F75430C"/>
    <w:rsid w:val="2F9B5727"/>
    <w:rsid w:val="2FA17B10"/>
    <w:rsid w:val="2FA453F6"/>
    <w:rsid w:val="2FB14F22"/>
    <w:rsid w:val="2FB77419"/>
    <w:rsid w:val="2FB944BA"/>
    <w:rsid w:val="2FC242FE"/>
    <w:rsid w:val="2FD41817"/>
    <w:rsid w:val="2FD83EE4"/>
    <w:rsid w:val="2FF02D37"/>
    <w:rsid w:val="2FF344B8"/>
    <w:rsid w:val="300B2CBB"/>
    <w:rsid w:val="30110A03"/>
    <w:rsid w:val="301601A6"/>
    <w:rsid w:val="30224C39"/>
    <w:rsid w:val="3038636F"/>
    <w:rsid w:val="304A5035"/>
    <w:rsid w:val="304A5286"/>
    <w:rsid w:val="304C3BC8"/>
    <w:rsid w:val="30680F3D"/>
    <w:rsid w:val="30882CC3"/>
    <w:rsid w:val="30950F01"/>
    <w:rsid w:val="309B37FF"/>
    <w:rsid w:val="309D40A4"/>
    <w:rsid w:val="30A7698B"/>
    <w:rsid w:val="30D047F9"/>
    <w:rsid w:val="30DD77BD"/>
    <w:rsid w:val="30F51885"/>
    <w:rsid w:val="30F60D22"/>
    <w:rsid w:val="30F85B6B"/>
    <w:rsid w:val="311C0CD6"/>
    <w:rsid w:val="312A2D89"/>
    <w:rsid w:val="31394E14"/>
    <w:rsid w:val="31594100"/>
    <w:rsid w:val="315B14A9"/>
    <w:rsid w:val="316207B7"/>
    <w:rsid w:val="316C53F6"/>
    <w:rsid w:val="31774A03"/>
    <w:rsid w:val="317A6513"/>
    <w:rsid w:val="317D6604"/>
    <w:rsid w:val="317F0319"/>
    <w:rsid w:val="319C59FB"/>
    <w:rsid w:val="31A0233A"/>
    <w:rsid w:val="31A554F3"/>
    <w:rsid w:val="31A60F11"/>
    <w:rsid w:val="31AF5721"/>
    <w:rsid w:val="31B16997"/>
    <w:rsid w:val="31B25CAD"/>
    <w:rsid w:val="31BC7A3B"/>
    <w:rsid w:val="31C16041"/>
    <w:rsid w:val="31C5732F"/>
    <w:rsid w:val="31D166A8"/>
    <w:rsid w:val="31D9592F"/>
    <w:rsid w:val="31DF128C"/>
    <w:rsid w:val="31EE5191"/>
    <w:rsid w:val="31F45DAB"/>
    <w:rsid w:val="32116ABC"/>
    <w:rsid w:val="321971F8"/>
    <w:rsid w:val="321A4B18"/>
    <w:rsid w:val="32236107"/>
    <w:rsid w:val="322E0ED4"/>
    <w:rsid w:val="32656909"/>
    <w:rsid w:val="326700E6"/>
    <w:rsid w:val="328F567D"/>
    <w:rsid w:val="329314E1"/>
    <w:rsid w:val="329439E0"/>
    <w:rsid w:val="32CF751E"/>
    <w:rsid w:val="32E3347C"/>
    <w:rsid w:val="32E94953"/>
    <w:rsid w:val="332B3F69"/>
    <w:rsid w:val="335828AB"/>
    <w:rsid w:val="336708D1"/>
    <w:rsid w:val="33690F44"/>
    <w:rsid w:val="336A5A65"/>
    <w:rsid w:val="338419E7"/>
    <w:rsid w:val="338E5561"/>
    <w:rsid w:val="3390207E"/>
    <w:rsid w:val="3394135A"/>
    <w:rsid w:val="33954BE3"/>
    <w:rsid w:val="33A17C92"/>
    <w:rsid w:val="33A27F6A"/>
    <w:rsid w:val="33A955C5"/>
    <w:rsid w:val="33CD6CAF"/>
    <w:rsid w:val="33E505BB"/>
    <w:rsid w:val="3452382B"/>
    <w:rsid w:val="34547B25"/>
    <w:rsid w:val="34B76CCA"/>
    <w:rsid w:val="34BB7790"/>
    <w:rsid w:val="34CB46BE"/>
    <w:rsid w:val="34CD146F"/>
    <w:rsid w:val="34CE5780"/>
    <w:rsid w:val="34F02889"/>
    <w:rsid w:val="350117E0"/>
    <w:rsid w:val="35437CA5"/>
    <w:rsid w:val="354E2190"/>
    <w:rsid w:val="35527A6D"/>
    <w:rsid w:val="355A1620"/>
    <w:rsid w:val="355A28E3"/>
    <w:rsid w:val="35752187"/>
    <w:rsid w:val="3579545F"/>
    <w:rsid w:val="358B11E4"/>
    <w:rsid w:val="35904557"/>
    <w:rsid w:val="35904F6D"/>
    <w:rsid w:val="35B93686"/>
    <w:rsid w:val="35BA7826"/>
    <w:rsid w:val="35C521A3"/>
    <w:rsid w:val="35CF5088"/>
    <w:rsid w:val="35EC7DEA"/>
    <w:rsid w:val="35F03248"/>
    <w:rsid w:val="35F23360"/>
    <w:rsid w:val="36196B42"/>
    <w:rsid w:val="3628793A"/>
    <w:rsid w:val="362973B1"/>
    <w:rsid w:val="362A0508"/>
    <w:rsid w:val="36663170"/>
    <w:rsid w:val="36895A8E"/>
    <w:rsid w:val="36AD71B0"/>
    <w:rsid w:val="36D66E5D"/>
    <w:rsid w:val="36E337E9"/>
    <w:rsid w:val="37011AD7"/>
    <w:rsid w:val="37151E08"/>
    <w:rsid w:val="37152F66"/>
    <w:rsid w:val="37160A8C"/>
    <w:rsid w:val="371B1227"/>
    <w:rsid w:val="37795E9D"/>
    <w:rsid w:val="378A2B8C"/>
    <w:rsid w:val="37932FED"/>
    <w:rsid w:val="3799230A"/>
    <w:rsid w:val="37A155C2"/>
    <w:rsid w:val="37B2537F"/>
    <w:rsid w:val="37B94697"/>
    <w:rsid w:val="37C00717"/>
    <w:rsid w:val="37C07C57"/>
    <w:rsid w:val="37E02AB9"/>
    <w:rsid w:val="37E03A99"/>
    <w:rsid w:val="37EF17C0"/>
    <w:rsid w:val="37FF0925"/>
    <w:rsid w:val="380B1F00"/>
    <w:rsid w:val="382A5863"/>
    <w:rsid w:val="382F7E4E"/>
    <w:rsid w:val="384554A1"/>
    <w:rsid w:val="384E7501"/>
    <w:rsid w:val="38554CE3"/>
    <w:rsid w:val="3862042D"/>
    <w:rsid w:val="3864179A"/>
    <w:rsid w:val="388242B4"/>
    <w:rsid w:val="38A16A57"/>
    <w:rsid w:val="38A722E3"/>
    <w:rsid w:val="38B7004D"/>
    <w:rsid w:val="38BF3A9E"/>
    <w:rsid w:val="38E250CA"/>
    <w:rsid w:val="38F66DC7"/>
    <w:rsid w:val="38F83A22"/>
    <w:rsid w:val="38F9036E"/>
    <w:rsid w:val="38FD22F4"/>
    <w:rsid w:val="3916444D"/>
    <w:rsid w:val="391D0123"/>
    <w:rsid w:val="391D1AFA"/>
    <w:rsid w:val="392A2FD2"/>
    <w:rsid w:val="39474DC8"/>
    <w:rsid w:val="3951224F"/>
    <w:rsid w:val="39561B76"/>
    <w:rsid w:val="395A7356"/>
    <w:rsid w:val="39856BF6"/>
    <w:rsid w:val="399D204D"/>
    <w:rsid w:val="39BB4A8C"/>
    <w:rsid w:val="39CD3505"/>
    <w:rsid w:val="39E01277"/>
    <w:rsid w:val="39E13E5C"/>
    <w:rsid w:val="39E14D9F"/>
    <w:rsid w:val="3A06416C"/>
    <w:rsid w:val="3A2765CA"/>
    <w:rsid w:val="3A4B3142"/>
    <w:rsid w:val="3A75699A"/>
    <w:rsid w:val="3A8B17B5"/>
    <w:rsid w:val="3A917F1D"/>
    <w:rsid w:val="3A9E240D"/>
    <w:rsid w:val="3AB71C62"/>
    <w:rsid w:val="3ACB3AAD"/>
    <w:rsid w:val="3AFB4802"/>
    <w:rsid w:val="3B0551E9"/>
    <w:rsid w:val="3B0E03F8"/>
    <w:rsid w:val="3B1C762B"/>
    <w:rsid w:val="3B3B4F65"/>
    <w:rsid w:val="3B5878C5"/>
    <w:rsid w:val="3B9062F7"/>
    <w:rsid w:val="3BAB02CC"/>
    <w:rsid w:val="3BAE5737"/>
    <w:rsid w:val="3BB75E2F"/>
    <w:rsid w:val="3BBB1D09"/>
    <w:rsid w:val="3BBF5B96"/>
    <w:rsid w:val="3BCB06A4"/>
    <w:rsid w:val="3C017F5D"/>
    <w:rsid w:val="3C2269E8"/>
    <w:rsid w:val="3C2725F2"/>
    <w:rsid w:val="3C2C30F0"/>
    <w:rsid w:val="3C2C4E99"/>
    <w:rsid w:val="3C2E6878"/>
    <w:rsid w:val="3C4D34A4"/>
    <w:rsid w:val="3C4F6F1A"/>
    <w:rsid w:val="3C5410C5"/>
    <w:rsid w:val="3C693F3D"/>
    <w:rsid w:val="3C7B1D92"/>
    <w:rsid w:val="3C90505E"/>
    <w:rsid w:val="3C945797"/>
    <w:rsid w:val="3CA15212"/>
    <w:rsid w:val="3CAB60D6"/>
    <w:rsid w:val="3CCF6C70"/>
    <w:rsid w:val="3CE55188"/>
    <w:rsid w:val="3D0E6600"/>
    <w:rsid w:val="3D136199"/>
    <w:rsid w:val="3D141191"/>
    <w:rsid w:val="3D153B92"/>
    <w:rsid w:val="3D2A410C"/>
    <w:rsid w:val="3D2F226D"/>
    <w:rsid w:val="3D32737A"/>
    <w:rsid w:val="3D424B76"/>
    <w:rsid w:val="3D50324F"/>
    <w:rsid w:val="3D912441"/>
    <w:rsid w:val="3DA94FDF"/>
    <w:rsid w:val="3DB73FDF"/>
    <w:rsid w:val="3DD464FE"/>
    <w:rsid w:val="3E133F77"/>
    <w:rsid w:val="3E171CB9"/>
    <w:rsid w:val="3E2379A5"/>
    <w:rsid w:val="3E24689A"/>
    <w:rsid w:val="3E2A1BFF"/>
    <w:rsid w:val="3E331A5C"/>
    <w:rsid w:val="3E365628"/>
    <w:rsid w:val="3E442382"/>
    <w:rsid w:val="3E483F7D"/>
    <w:rsid w:val="3E824086"/>
    <w:rsid w:val="3E894239"/>
    <w:rsid w:val="3EAD617A"/>
    <w:rsid w:val="3EC803EB"/>
    <w:rsid w:val="3ED5266A"/>
    <w:rsid w:val="3F2201B4"/>
    <w:rsid w:val="3F493F90"/>
    <w:rsid w:val="3F4C7741"/>
    <w:rsid w:val="3F546C30"/>
    <w:rsid w:val="3F6B2247"/>
    <w:rsid w:val="3F8F3AD1"/>
    <w:rsid w:val="3FBD04BE"/>
    <w:rsid w:val="3FBF2A67"/>
    <w:rsid w:val="3FC15ED1"/>
    <w:rsid w:val="3FDE2F88"/>
    <w:rsid w:val="3FE017A1"/>
    <w:rsid w:val="3FED763F"/>
    <w:rsid w:val="3FF41CB5"/>
    <w:rsid w:val="400370E7"/>
    <w:rsid w:val="40B228F1"/>
    <w:rsid w:val="40B34031"/>
    <w:rsid w:val="40BC7611"/>
    <w:rsid w:val="40DE3BF3"/>
    <w:rsid w:val="40F260C6"/>
    <w:rsid w:val="412F10C8"/>
    <w:rsid w:val="41575125"/>
    <w:rsid w:val="41594F1D"/>
    <w:rsid w:val="41640DB8"/>
    <w:rsid w:val="4171743B"/>
    <w:rsid w:val="417A2563"/>
    <w:rsid w:val="418516EC"/>
    <w:rsid w:val="41856013"/>
    <w:rsid w:val="41AD4867"/>
    <w:rsid w:val="41D4383A"/>
    <w:rsid w:val="421107CE"/>
    <w:rsid w:val="42156510"/>
    <w:rsid w:val="42595756"/>
    <w:rsid w:val="425B7083"/>
    <w:rsid w:val="42695F7F"/>
    <w:rsid w:val="429541B1"/>
    <w:rsid w:val="42A76F9E"/>
    <w:rsid w:val="42B51AA1"/>
    <w:rsid w:val="42CE096C"/>
    <w:rsid w:val="42D25FA6"/>
    <w:rsid w:val="42D4273F"/>
    <w:rsid w:val="42D47C93"/>
    <w:rsid w:val="43012771"/>
    <w:rsid w:val="43171E14"/>
    <w:rsid w:val="4317361B"/>
    <w:rsid w:val="43525AA9"/>
    <w:rsid w:val="43770B04"/>
    <w:rsid w:val="43804025"/>
    <w:rsid w:val="43821950"/>
    <w:rsid w:val="43944BA4"/>
    <w:rsid w:val="43A73934"/>
    <w:rsid w:val="43AA5683"/>
    <w:rsid w:val="43CD6976"/>
    <w:rsid w:val="43DB14D1"/>
    <w:rsid w:val="44187FD3"/>
    <w:rsid w:val="44312E4B"/>
    <w:rsid w:val="44426FE5"/>
    <w:rsid w:val="446E3A67"/>
    <w:rsid w:val="447C4E02"/>
    <w:rsid w:val="448D5C33"/>
    <w:rsid w:val="44BF1C4E"/>
    <w:rsid w:val="44D00962"/>
    <w:rsid w:val="44EB7578"/>
    <w:rsid w:val="44FC5765"/>
    <w:rsid w:val="44FF4A10"/>
    <w:rsid w:val="450F0B0C"/>
    <w:rsid w:val="450F4A4B"/>
    <w:rsid w:val="45215851"/>
    <w:rsid w:val="45274413"/>
    <w:rsid w:val="452B429C"/>
    <w:rsid w:val="4530035A"/>
    <w:rsid w:val="453168C3"/>
    <w:rsid w:val="45356661"/>
    <w:rsid w:val="454A2864"/>
    <w:rsid w:val="455523D4"/>
    <w:rsid w:val="455B6CCD"/>
    <w:rsid w:val="4568724B"/>
    <w:rsid w:val="45790B64"/>
    <w:rsid w:val="45863281"/>
    <w:rsid w:val="45870130"/>
    <w:rsid w:val="45881569"/>
    <w:rsid w:val="459B4F7E"/>
    <w:rsid w:val="45A976FC"/>
    <w:rsid w:val="45B94C7C"/>
    <w:rsid w:val="45BC4EF4"/>
    <w:rsid w:val="45C07655"/>
    <w:rsid w:val="45D810B0"/>
    <w:rsid w:val="46133B47"/>
    <w:rsid w:val="46295A30"/>
    <w:rsid w:val="46424BF2"/>
    <w:rsid w:val="464A028A"/>
    <w:rsid w:val="4660390B"/>
    <w:rsid w:val="46713F31"/>
    <w:rsid w:val="46974BAA"/>
    <w:rsid w:val="46993E91"/>
    <w:rsid w:val="469D4D26"/>
    <w:rsid w:val="46A20950"/>
    <w:rsid w:val="46A62A01"/>
    <w:rsid w:val="46B87C68"/>
    <w:rsid w:val="46CC427B"/>
    <w:rsid w:val="46D3709C"/>
    <w:rsid w:val="46EE1C68"/>
    <w:rsid w:val="470A5822"/>
    <w:rsid w:val="471879B2"/>
    <w:rsid w:val="47294E0A"/>
    <w:rsid w:val="472E3D7F"/>
    <w:rsid w:val="47304FD5"/>
    <w:rsid w:val="4774202F"/>
    <w:rsid w:val="479003E6"/>
    <w:rsid w:val="479B730B"/>
    <w:rsid w:val="47CF1B07"/>
    <w:rsid w:val="47DB2E8F"/>
    <w:rsid w:val="47DB78B4"/>
    <w:rsid w:val="47DD5FE8"/>
    <w:rsid w:val="47E53686"/>
    <w:rsid w:val="48043FA3"/>
    <w:rsid w:val="480F1EC9"/>
    <w:rsid w:val="480F57AF"/>
    <w:rsid w:val="481F1473"/>
    <w:rsid w:val="48210CBF"/>
    <w:rsid w:val="48260B79"/>
    <w:rsid w:val="48325167"/>
    <w:rsid w:val="48653621"/>
    <w:rsid w:val="48A05E4C"/>
    <w:rsid w:val="48A15B18"/>
    <w:rsid w:val="48B060C5"/>
    <w:rsid w:val="48BB7806"/>
    <w:rsid w:val="48D01AA1"/>
    <w:rsid w:val="48D027A5"/>
    <w:rsid w:val="48E00EFA"/>
    <w:rsid w:val="48F348C2"/>
    <w:rsid w:val="48FB5D34"/>
    <w:rsid w:val="49040A9A"/>
    <w:rsid w:val="49116582"/>
    <w:rsid w:val="49141E78"/>
    <w:rsid w:val="491C0C88"/>
    <w:rsid w:val="491C7E06"/>
    <w:rsid w:val="49411BC2"/>
    <w:rsid w:val="495930C9"/>
    <w:rsid w:val="49822DE7"/>
    <w:rsid w:val="498D01F3"/>
    <w:rsid w:val="49AA6A39"/>
    <w:rsid w:val="49D918C8"/>
    <w:rsid w:val="49DA246F"/>
    <w:rsid w:val="49DE053E"/>
    <w:rsid w:val="49DE63B9"/>
    <w:rsid w:val="49EB354E"/>
    <w:rsid w:val="4A0C6B1B"/>
    <w:rsid w:val="4A1569AF"/>
    <w:rsid w:val="4A2819C9"/>
    <w:rsid w:val="4A406A9C"/>
    <w:rsid w:val="4A445186"/>
    <w:rsid w:val="4A66487C"/>
    <w:rsid w:val="4A893739"/>
    <w:rsid w:val="4A8D1239"/>
    <w:rsid w:val="4AC5484B"/>
    <w:rsid w:val="4AEF2EF5"/>
    <w:rsid w:val="4AFF035A"/>
    <w:rsid w:val="4B296B88"/>
    <w:rsid w:val="4B49169D"/>
    <w:rsid w:val="4B644D4C"/>
    <w:rsid w:val="4B906C07"/>
    <w:rsid w:val="4B943815"/>
    <w:rsid w:val="4B984771"/>
    <w:rsid w:val="4BA3439A"/>
    <w:rsid w:val="4BBD4AE3"/>
    <w:rsid w:val="4BC22170"/>
    <w:rsid w:val="4C0D0258"/>
    <w:rsid w:val="4C2579BB"/>
    <w:rsid w:val="4C275BF5"/>
    <w:rsid w:val="4C292A4A"/>
    <w:rsid w:val="4C2F3DE8"/>
    <w:rsid w:val="4C3D1BD1"/>
    <w:rsid w:val="4C4D44CC"/>
    <w:rsid w:val="4C5734F8"/>
    <w:rsid w:val="4C6205A3"/>
    <w:rsid w:val="4C6A41EE"/>
    <w:rsid w:val="4C726240"/>
    <w:rsid w:val="4C883D82"/>
    <w:rsid w:val="4C8A2925"/>
    <w:rsid w:val="4C960B2C"/>
    <w:rsid w:val="4C9D782D"/>
    <w:rsid w:val="4CA30BBC"/>
    <w:rsid w:val="4CBA11A5"/>
    <w:rsid w:val="4CC1507F"/>
    <w:rsid w:val="4CD27423"/>
    <w:rsid w:val="4CE247F5"/>
    <w:rsid w:val="4CEC2563"/>
    <w:rsid w:val="4CF17B79"/>
    <w:rsid w:val="4D026CB4"/>
    <w:rsid w:val="4D0A3DC7"/>
    <w:rsid w:val="4D0E61C5"/>
    <w:rsid w:val="4D174586"/>
    <w:rsid w:val="4D302450"/>
    <w:rsid w:val="4D383626"/>
    <w:rsid w:val="4D4D44B0"/>
    <w:rsid w:val="4D596829"/>
    <w:rsid w:val="4D6B16DA"/>
    <w:rsid w:val="4D894869"/>
    <w:rsid w:val="4D975119"/>
    <w:rsid w:val="4D9F56BF"/>
    <w:rsid w:val="4DAC584E"/>
    <w:rsid w:val="4DC13A1B"/>
    <w:rsid w:val="4DCD455E"/>
    <w:rsid w:val="4DD17738"/>
    <w:rsid w:val="4DD34EBB"/>
    <w:rsid w:val="4DDD5C99"/>
    <w:rsid w:val="4DE3545D"/>
    <w:rsid w:val="4DE642E6"/>
    <w:rsid w:val="4DF052B7"/>
    <w:rsid w:val="4DFF1E22"/>
    <w:rsid w:val="4E0A0EF3"/>
    <w:rsid w:val="4E0F6509"/>
    <w:rsid w:val="4E353548"/>
    <w:rsid w:val="4E473FDC"/>
    <w:rsid w:val="4E4F113A"/>
    <w:rsid w:val="4E57226C"/>
    <w:rsid w:val="4E5D3F72"/>
    <w:rsid w:val="4E6209C3"/>
    <w:rsid w:val="4E707CB4"/>
    <w:rsid w:val="4E7520E4"/>
    <w:rsid w:val="4E7814D7"/>
    <w:rsid w:val="4EA76545"/>
    <w:rsid w:val="4EAA716F"/>
    <w:rsid w:val="4EB10E37"/>
    <w:rsid w:val="4EC07803"/>
    <w:rsid w:val="4EE75F53"/>
    <w:rsid w:val="4EFC2211"/>
    <w:rsid w:val="4EFC4D0B"/>
    <w:rsid w:val="4F1D3951"/>
    <w:rsid w:val="4F37471C"/>
    <w:rsid w:val="4F497E29"/>
    <w:rsid w:val="4F643D18"/>
    <w:rsid w:val="4F773D1A"/>
    <w:rsid w:val="4F892831"/>
    <w:rsid w:val="4F936CC6"/>
    <w:rsid w:val="4F9A199D"/>
    <w:rsid w:val="4FBB0D21"/>
    <w:rsid w:val="4FD04EFF"/>
    <w:rsid w:val="4FF701FD"/>
    <w:rsid w:val="4FFA0AF3"/>
    <w:rsid w:val="50016951"/>
    <w:rsid w:val="5002786B"/>
    <w:rsid w:val="50067073"/>
    <w:rsid w:val="500707B0"/>
    <w:rsid w:val="501E0A62"/>
    <w:rsid w:val="501F74AB"/>
    <w:rsid w:val="5043043A"/>
    <w:rsid w:val="504A0F29"/>
    <w:rsid w:val="505615DC"/>
    <w:rsid w:val="50757A0B"/>
    <w:rsid w:val="507E74E4"/>
    <w:rsid w:val="50850CED"/>
    <w:rsid w:val="508E744F"/>
    <w:rsid w:val="508F3DFC"/>
    <w:rsid w:val="5096206B"/>
    <w:rsid w:val="50966A6E"/>
    <w:rsid w:val="509947B0"/>
    <w:rsid w:val="50A66346"/>
    <w:rsid w:val="50C15464"/>
    <w:rsid w:val="50C52D82"/>
    <w:rsid w:val="50C64D9F"/>
    <w:rsid w:val="50D17FC2"/>
    <w:rsid w:val="50E35C21"/>
    <w:rsid w:val="50EA0AF8"/>
    <w:rsid w:val="50EA5EA6"/>
    <w:rsid w:val="50FC4976"/>
    <w:rsid w:val="510D7FA6"/>
    <w:rsid w:val="512027DB"/>
    <w:rsid w:val="51247F7F"/>
    <w:rsid w:val="512B3940"/>
    <w:rsid w:val="512C3D39"/>
    <w:rsid w:val="513257CE"/>
    <w:rsid w:val="51564148"/>
    <w:rsid w:val="516D1EC9"/>
    <w:rsid w:val="5172503A"/>
    <w:rsid w:val="51764B4B"/>
    <w:rsid w:val="517A341B"/>
    <w:rsid w:val="519A7544"/>
    <w:rsid w:val="519C16D9"/>
    <w:rsid w:val="51B37B91"/>
    <w:rsid w:val="51BB3C7A"/>
    <w:rsid w:val="51CF027C"/>
    <w:rsid w:val="51F53734"/>
    <w:rsid w:val="521074C0"/>
    <w:rsid w:val="52457331"/>
    <w:rsid w:val="525D71A0"/>
    <w:rsid w:val="527A53C8"/>
    <w:rsid w:val="527E2CFA"/>
    <w:rsid w:val="52903990"/>
    <w:rsid w:val="52C97AC4"/>
    <w:rsid w:val="52D24483"/>
    <w:rsid w:val="52DF13E6"/>
    <w:rsid w:val="52E25143"/>
    <w:rsid w:val="52E27CC1"/>
    <w:rsid w:val="52E52E6D"/>
    <w:rsid w:val="52E54374"/>
    <w:rsid w:val="52F97ADE"/>
    <w:rsid w:val="52FC401D"/>
    <w:rsid w:val="532A7941"/>
    <w:rsid w:val="53310C4C"/>
    <w:rsid w:val="53641925"/>
    <w:rsid w:val="539179C0"/>
    <w:rsid w:val="53B96874"/>
    <w:rsid w:val="53D9756F"/>
    <w:rsid w:val="53ED0404"/>
    <w:rsid w:val="53F341D7"/>
    <w:rsid w:val="5423169F"/>
    <w:rsid w:val="543640C4"/>
    <w:rsid w:val="545428EA"/>
    <w:rsid w:val="545532C4"/>
    <w:rsid w:val="545A676F"/>
    <w:rsid w:val="54672AA1"/>
    <w:rsid w:val="54792782"/>
    <w:rsid w:val="547965E7"/>
    <w:rsid w:val="547E6FED"/>
    <w:rsid w:val="54946274"/>
    <w:rsid w:val="54D44008"/>
    <w:rsid w:val="54E4368F"/>
    <w:rsid w:val="54EA5D15"/>
    <w:rsid w:val="54F47C8D"/>
    <w:rsid w:val="54F800D0"/>
    <w:rsid w:val="55087255"/>
    <w:rsid w:val="553F5485"/>
    <w:rsid w:val="554A61FE"/>
    <w:rsid w:val="55507A13"/>
    <w:rsid w:val="555467FF"/>
    <w:rsid w:val="555A65F9"/>
    <w:rsid w:val="555F06A0"/>
    <w:rsid w:val="55630EE8"/>
    <w:rsid w:val="55703CB0"/>
    <w:rsid w:val="5573638D"/>
    <w:rsid w:val="55825DB3"/>
    <w:rsid w:val="559B299D"/>
    <w:rsid w:val="55BE54A3"/>
    <w:rsid w:val="55C547D7"/>
    <w:rsid w:val="55CB6983"/>
    <w:rsid w:val="55E457EA"/>
    <w:rsid w:val="55E84ECF"/>
    <w:rsid w:val="56064695"/>
    <w:rsid w:val="56267C51"/>
    <w:rsid w:val="562D57E3"/>
    <w:rsid w:val="56331CA2"/>
    <w:rsid w:val="56344877"/>
    <w:rsid w:val="563A1917"/>
    <w:rsid w:val="5640198B"/>
    <w:rsid w:val="56754E6D"/>
    <w:rsid w:val="569137D8"/>
    <w:rsid w:val="56A87511"/>
    <w:rsid w:val="56AF159A"/>
    <w:rsid w:val="56B63C41"/>
    <w:rsid w:val="56BA5480"/>
    <w:rsid w:val="56E6683F"/>
    <w:rsid w:val="57135F46"/>
    <w:rsid w:val="572A03F6"/>
    <w:rsid w:val="572B4BFE"/>
    <w:rsid w:val="572F3778"/>
    <w:rsid w:val="573C5F32"/>
    <w:rsid w:val="573D7946"/>
    <w:rsid w:val="574F419F"/>
    <w:rsid w:val="57776382"/>
    <w:rsid w:val="579D3207"/>
    <w:rsid w:val="57C932A4"/>
    <w:rsid w:val="57D646C7"/>
    <w:rsid w:val="57E9707B"/>
    <w:rsid w:val="58024220"/>
    <w:rsid w:val="580E5A83"/>
    <w:rsid w:val="581E48AF"/>
    <w:rsid w:val="58260F8E"/>
    <w:rsid w:val="58534140"/>
    <w:rsid w:val="585977FD"/>
    <w:rsid w:val="586B6A32"/>
    <w:rsid w:val="58760A89"/>
    <w:rsid w:val="58797CEB"/>
    <w:rsid w:val="5888101F"/>
    <w:rsid w:val="589817E7"/>
    <w:rsid w:val="58A46FA9"/>
    <w:rsid w:val="58B46148"/>
    <w:rsid w:val="58BC3125"/>
    <w:rsid w:val="58C14DF5"/>
    <w:rsid w:val="58C87D34"/>
    <w:rsid w:val="58C93758"/>
    <w:rsid w:val="58E6430A"/>
    <w:rsid w:val="59107F8D"/>
    <w:rsid w:val="59162AAF"/>
    <w:rsid w:val="592C23CA"/>
    <w:rsid w:val="59320CEB"/>
    <w:rsid w:val="59376B13"/>
    <w:rsid w:val="593D2196"/>
    <w:rsid w:val="5948367F"/>
    <w:rsid w:val="594F1AC0"/>
    <w:rsid w:val="595A2405"/>
    <w:rsid w:val="59645A89"/>
    <w:rsid w:val="59871007"/>
    <w:rsid w:val="598C4EB2"/>
    <w:rsid w:val="59A23C18"/>
    <w:rsid w:val="59B34921"/>
    <w:rsid w:val="59BA3148"/>
    <w:rsid w:val="59CA168A"/>
    <w:rsid w:val="59D83AC2"/>
    <w:rsid w:val="59EE7129"/>
    <w:rsid w:val="59F04784"/>
    <w:rsid w:val="59F6057D"/>
    <w:rsid w:val="59FB3DE5"/>
    <w:rsid w:val="59FF159B"/>
    <w:rsid w:val="5A0270F9"/>
    <w:rsid w:val="5A09123B"/>
    <w:rsid w:val="5A501622"/>
    <w:rsid w:val="5A5E34AE"/>
    <w:rsid w:val="5A601E9A"/>
    <w:rsid w:val="5A676C4F"/>
    <w:rsid w:val="5A934199"/>
    <w:rsid w:val="5A9369D8"/>
    <w:rsid w:val="5A9D7BEB"/>
    <w:rsid w:val="5ACC50B0"/>
    <w:rsid w:val="5ACF7990"/>
    <w:rsid w:val="5AF26F96"/>
    <w:rsid w:val="5AFE6CD3"/>
    <w:rsid w:val="5AFF4D71"/>
    <w:rsid w:val="5B072516"/>
    <w:rsid w:val="5B1E5F8A"/>
    <w:rsid w:val="5B264E92"/>
    <w:rsid w:val="5B276A29"/>
    <w:rsid w:val="5B3448CF"/>
    <w:rsid w:val="5B3C4B45"/>
    <w:rsid w:val="5B446D1A"/>
    <w:rsid w:val="5B544766"/>
    <w:rsid w:val="5B6C2C66"/>
    <w:rsid w:val="5B74529F"/>
    <w:rsid w:val="5B793214"/>
    <w:rsid w:val="5B7965CC"/>
    <w:rsid w:val="5B7D432C"/>
    <w:rsid w:val="5BA769B2"/>
    <w:rsid w:val="5BAE61BC"/>
    <w:rsid w:val="5BB27764"/>
    <w:rsid w:val="5BDB2B3E"/>
    <w:rsid w:val="5BE014E5"/>
    <w:rsid w:val="5BE302BA"/>
    <w:rsid w:val="5C052CF9"/>
    <w:rsid w:val="5C0D67E5"/>
    <w:rsid w:val="5C3A44C3"/>
    <w:rsid w:val="5C65182B"/>
    <w:rsid w:val="5C861DD6"/>
    <w:rsid w:val="5CC417A3"/>
    <w:rsid w:val="5CD61CA6"/>
    <w:rsid w:val="5CD62E8A"/>
    <w:rsid w:val="5CDD6343"/>
    <w:rsid w:val="5D1543D7"/>
    <w:rsid w:val="5D245401"/>
    <w:rsid w:val="5D31104D"/>
    <w:rsid w:val="5D3B27EE"/>
    <w:rsid w:val="5D5B3A51"/>
    <w:rsid w:val="5D83599D"/>
    <w:rsid w:val="5D9D50A4"/>
    <w:rsid w:val="5DA0516C"/>
    <w:rsid w:val="5DAD189A"/>
    <w:rsid w:val="5DE352BC"/>
    <w:rsid w:val="5DFE5C52"/>
    <w:rsid w:val="5E064FB2"/>
    <w:rsid w:val="5E1A697B"/>
    <w:rsid w:val="5E267F22"/>
    <w:rsid w:val="5E2C27BF"/>
    <w:rsid w:val="5E6957C1"/>
    <w:rsid w:val="5E7F08DB"/>
    <w:rsid w:val="5E857041"/>
    <w:rsid w:val="5E93262F"/>
    <w:rsid w:val="5E9B6B68"/>
    <w:rsid w:val="5EBA7F96"/>
    <w:rsid w:val="5EC117AD"/>
    <w:rsid w:val="5EC21B89"/>
    <w:rsid w:val="5EE96BB1"/>
    <w:rsid w:val="5EF81A3D"/>
    <w:rsid w:val="5F08759F"/>
    <w:rsid w:val="5F12752B"/>
    <w:rsid w:val="5F76095C"/>
    <w:rsid w:val="5F7E014E"/>
    <w:rsid w:val="5F9F7457"/>
    <w:rsid w:val="5FD03595"/>
    <w:rsid w:val="5FD311E5"/>
    <w:rsid w:val="5FE01748"/>
    <w:rsid w:val="5FE208EF"/>
    <w:rsid w:val="5FE93324"/>
    <w:rsid w:val="600C56CA"/>
    <w:rsid w:val="601930B3"/>
    <w:rsid w:val="603A4AE0"/>
    <w:rsid w:val="604F6C39"/>
    <w:rsid w:val="60535900"/>
    <w:rsid w:val="60673A4D"/>
    <w:rsid w:val="606755E6"/>
    <w:rsid w:val="606A7E70"/>
    <w:rsid w:val="60970D83"/>
    <w:rsid w:val="609D5FDA"/>
    <w:rsid w:val="60A65F25"/>
    <w:rsid w:val="60AB1ADF"/>
    <w:rsid w:val="60B25B18"/>
    <w:rsid w:val="60BB66C5"/>
    <w:rsid w:val="60D3786A"/>
    <w:rsid w:val="60DB4787"/>
    <w:rsid w:val="60FE3819"/>
    <w:rsid w:val="610B0DB2"/>
    <w:rsid w:val="611600BB"/>
    <w:rsid w:val="61241E74"/>
    <w:rsid w:val="61370872"/>
    <w:rsid w:val="6138369D"/>
    <w:rsid w:val="61446072"/>
    <w:rsid w:val="615000D8"/>
    <w:rsid w:val="617526CF"/>
    <w:rsid w:val="6183303E"/>
    <w:rsid w:val="61B6039E"/>
    <w:rsid w:val="61B825BC"/>
    <w:rsid w:val="61CF15B1"/>
    <w:rsid w:val="61E4480D"/>
    <w:rsid w:val="61FE6BE8"/>
    <w:rsid w:val="62154E6E"/>
    <w:rsid w:val="621B2024"/>
    <w:rsid w:val="628232F6"/>
    <w:rsid w:val="629C4617"/>
    <w:rsid w:val="62AD2C0A"/>
    <w:rsid w:val="62C4092B"/>
    <w:rsid w:val="62EA2C49"/>
    <w:rsid w:val="62FA0D86"/>
    <w:rsid w:val="631D4DCC"/>
    <w:rsid w:val="63310878"/>
    <w:rsid w:val="63370F64"/>
    <w:rsid w:val="63377DE5"/>
    <w:rsid w:val="633A43D9"/>
    <w:rsid w:val="633B7C26"/>
    <w:rsid w:val="63573F06"/>
    <w:rsid w:val="63670574"/>
    <w:rsid w:val="636A6640"/>
    <w:rsid w:val="639A19A7"/>
    <w:rsid w:val="639C3F43"/>
    <w:rsid w:val="639E033C"/>
    <w:rsid w:val="63B1721D"/>
    <w:rsid w:val="63B37B09"/>
    <w:rsid w:val="63D543C0"/>
    <w:rsid w:val="63D62AEC"/>
    <w:rsid w:val="63DE2680"/>
    <w:rsid w:val="64122FF3"/>
    <w:rsid w:val="64AE07FA"/>
    <w:rsid w:val="64BB2AEF"/>
    <w:rsid w:val="64CD519D"/>
    <w:rsid w:val="64D15E6F"/>
    <w:rsid w:val="64DB626C"/>
    <w:rsid w:val="64FF1026"/>
    <w:rsid w:val="650C289F"/>
    <w:rsid w:val="65173050"/>
    <w:rsid w:val="653E7366"/>
    <w:rsid w:val="654A267E"/>
    <w:rsid w:val="65534D95"/>
    <w:rsid w:val="656971DE"/>
    <w:rsid w:val="65697811"/>
    <w:rsid w:val="656C7823"/>
    <w:rsid w:val="657741F0"/>
    <w:rsid w:val="6577683D"/>
    <w:rsid w:val="659916C9"/>
    <w:rsid w:val="65B818F2"/>
    <w:rsid w:val="65B95B7B"/>
    <w:rsid w:val="65DB57A8"/>
    <w:rsid w:val="65DE4198"/>
    <w:rsid w:val="65EC2E36"/>
    <w:rsid w:val="660052D7"/>
    <w:rsid w:val="66096DDE"/>
    <w:rsid w:val="66621F4E"/>
    <w:rsid w:val="666405CC"/>
    <w:rsid w:val="6667564D"/>
    <w:rsid w:val="666D0BE2"/>
    <w:rsid w:val="666D7E19"/>
    <w:rsid w:val="66766FD8"/>
    <w:rsid w:val="6692162D"/>
    <w:rsid w:val="669878B8"/>
    <w:rsid w:val="669A2A11"/>
    <w:rsid w:val="66AD4542"/>
    <w:rsid w:val="66BE2423"/>
    <w:rsid w:val="66C25AAC"/>
    <w:rsid w:val="66C529FA"/>
    <w:rsid w:val="66D67F34"/>
    <w:rsid w:val="66E37976"/>
    <w:rsid w:val="670A6D6A"/>
    <w:rsid w:val="672F4040"/>
    <w:rsid w:val="674D365B"/>
    <w:rsid w:val="674E4BFD"/>
    <w:rsid w:val="676B7FAA"/>
    <w:rsid w:val="676C00D0"/>
    <w:rsid w:val="676C6322"/>
    <w:rsid w:val="677E50C7"/>
    <w:rsid w:val="679109C3"/>
    <w:rsid w:val="67917B37"/>
    <w:rsid w:val="679C778A"/>
    <w:rsid w:val="679E26E5"/>
    <w:rsid w:val="67A115E3"/>
    <w:rsid w:val="67A447A2"/>
    <w:rsid w:val="67A45ABC"/>
    <w:rsid w:val="67AA7AA3"/>
    <w:rsid w:val="67B76E30"/>
    <w:rsid w:val="67BA4677"/>
    <w:rsid w:val="680577D0"/>
    <w:rsid w:val="68082D21"/>
    <w:rsid w:val="68152516"/>
    <w:rsid w:val="681A5781"/>
    <w:rsid w:val="68371CED"/>
    <w:rsid w:val="68495C18"/>
    <w:rsid w:val="684C2C02"/>
    <w:rsid w:val="686D5EAE"/>
    <w:rsid w:val="686E7780"/>
    <w:rsid w:val="689803C3"/>
    <w:rsid w:val="689B2C61"/>
    <w:rsid w:val="68A03E38"/>
    <w:rsid w:val="68BE67DC"/>
    <w:rsid w:val="68BF3FC8"/>
    <w:rsid w:val="68C2714F"/>
    <w:rsid w:val="68C62880"/>
    <w:rsid w:val="68CE19BF"/>
    <w:rsid w:val="68D70634"/>
    <w:rsid w:val="68DF0B2B"/>
    <w:rsid w:val="68F858F2"/>
    <w:rsid w:val="69034616"/>
    <w:rsid w:val="690B3356"/>
    <w:rsid w:val="691926A0"/>
    <w:rsid w:val="69234468"/>
    <w:rsid w:val="692C7B17"/>
    <w:rsid w:val="696A093F"/>
    <w:rsid w:val="6975479F"/>
    <w:rsid w:val="698C2D6A"/>
    <w:rsid w:val="69A84A79"/>
    <w:rsid w:val="69BA3375"/>
    <w:rsid w:val="69D76CCD"/>
    <w:rsid w:val="69E750C7"/>
    <w:rsid w:val="69EC54F9"/>
    <w:rsid w:val="69EC70EA"/>
    <w:rsid w:val="69EE5F7E"/>
    <w:rsid w:val="6A0047BF"/>
    <w:rsid w:val="6A0B427A"/>
    <w:rsid w:val="6A1F18D9"/>
    <w:rsid w:val="6A610E13"/>
    <w:rsid w:val="6A7231A4"/>
    <w:rsid w:val="6A746E3D"/>
    <w:rsid w:val="6A8B3453"/>
    <w:rsid w:val="6A912090"/>
    <w:rsid w:val="6A956704"/>
    <w:rsid w:val="6A9C3B0B"/>
    <w:rsid w:val="6ACC6695"/>
    <w:rsid w:val="6AD72F81"/>
    <w:rsid w:val="6B174C46"/>
    <w:rsid w:val="6B2E3471"/>
    <w:rsid w:val="6B3735FE"/>
    <w:rsid w:val="6B586B6E"/>
    <w:rsid w:val="6B6A20B0"/>
    <w:rsid w:val="6B721E37"/>
    <w:rsid w:val="6B7F56E3"/>
    <w:rsid w:val="6B831E74"/>
    <w:rsid w:val="6B9F458A"/>
    <w:rsid w:val="6BAC16E6"/>
    <w:rsid w:val="6BAE5032"/>
    <w:rsid w:val="6BBA3B00"/>
    <w:rsid w:val="6BD11D7F"/>
    <w:rsid w:val="6BF33F0C"/>
    <w:rsid w:val="6BFB190F"/>
    <w:rsid w:val="6C001913"/>
    <w:rsid w:val="6C367B57"/>
    <w:rsid w:val="6C5D2094"/>
    <w:rsid w:val="6C666B08"/>
    <w:rsid w:val="6C691082"/>
    <w:rsid w:val="6C7D31DD"/>
    <w:rsid w:val="6C8639E2"/>
    <w:rsid w:val="6C8A20C6"/>
    <w:rsid w:val="6C8A5C22"/>
    <w:rsid w:val="6C8E0AE9"/>
    <w:rsid w:val="6C9A5CD2"/>
    <w:rsid w:val="6CA87502"/>
    <w:rsid w:val="6CE801F9"/>
    <w:rsid w:val="6CFD705D"/>
    <w:rsid w:val="6D090170"/>
    <w:rsid w:val="6D10386B"/>
    <w:rsid w:val="6D29137F"/>
    <w:rsid w:val="6D2E66E8"/>
    <w:rsid w:val="6D346E28"/>
    <w:rsid w:val="6D37068B"/>
    <w:rsid w:val="6D5A39FE"/>
    <w:rsid w:val="6D60079F"/>
    <w:rsid w:val="6D7E0B5E"/>
    <w:rsid w:val="6D8E7BFB"/>
    <w:rsid w:val="6D9C18B4"/>
    <w:rsid w:val="6D9D7687"/>
    <w:rsid w:val="6DAA75B7"/>
    <w:rsid w:val="6DB27FAC"/>
    <w:rsid w:val="6DD96336"/>
    <w:rsid w:val="6E2330E2"/>
    <w:rsid w:val="6E250F04"/>
    <w:rsid w:val="6E557DCD"/>
    <w:rsid w:val="6E5B2C4D"/>
    <w:rsid w:val="6E630012"/>
    <w:rsid w:val="6E8F2893"/>
    <w:rsid w:val="6E9205BC"/>
    <w:rsid w:val="6EA3152C"/>
    <w:rsid w:val="6EA82FDA"/>
    <w:rsid w:val="6ECD67E9"/>
    <w:rsid w:val="6F1168E9"/>
    <w:rsid w:val="6F157BD2"/>
    <w:rsid w:val="6F1B5DF9"/>
    <w:rsid w:val="6F31607D"/>
    <w:rsid w:val="6F4F630E"/>
    <w:rsid w:val="6F514CA8"/>
    <w:rsid w:val="6F722D3A"/>
    <w:rsid w:val="6F7B6AA3"/>
    <w:rsid w:val="6F7C019D"/>
    <w:rsid w:val="6F7F7E66"/>
    <w:rsid w:val="6FB74D99"/>
    <w:rsid w:val="6FB85A03"/>
    <w:rsid w:val="6FF55CBD"/>
    <w:rsid w:val="701A6807"/>
    <w:rsid w:val="70386C15"/>
    <w:rsid w:val="705739B7"/>
    <w:rsid w:val="706001CE"/>
    <w:rsid w:val="70694030"/>
    <w:rsid w:val="70822628"/>
    <w:rsid w:val="70826F9A"/>
    <w:rsid w:val="70891CF3"/>
    <w:rsid w:val="70897652"/>
    <w:rsid w:val="7092224A"/>
    <w:rsid w:val="709224D7"/>
    <w:rsid w:val="70A3551A"/>
    <w:rsid w:val="70B12176"/>
    <w:rsid w:val="70D54E38"/>
    <w:rsid w:val="70DB52F3"/>
    <w:rsid w:val="70E929A1"/>
    <w:rsid w:val="71084B43"/>
    <w:rsid w:val="71245578"/>
    <w:rsid w:val="7141612A"/>
    <w:rsid w:val="716234E4"/>
    <w:rsid w:val="71694073"/>
    <w:rsid w:val="717464FF"/>
    <w:rsid w:val="7175731B"/>
    <w:rsid w:val="717604C9"/>
    <w:rsid w:val="71771B57"/>
    <w:rsid w:val="717E6A09"/>
    <w:rsid w:val="71930F7D"/>
    <w:rsid w:val="719E1E76"/>
    <w:rsid w:val="71BA55AA"/>
    <w:rsid w:val="71C06D9D"/>
    <w:rsid w:val="71D074AE"/>
    <w:rsid w:val="71D524B7"/>
    <w:rsid w:val="71EB7EFE"/>
    <w:rsid w:val="71EC253A"/>
    <w:rsid w:val="71F31B1A"/>
    <w:rsid w:val="720C5758"/>
    <w:rsid w:val="720F7FD6"/>
    <w:rsid w:val="72280D85"/>
    <w:rsid w:val="723B0DCB"/>
    <w:rsid w:val="72432764"/>
    <w:rsid w:val="72456480"/>
    <w:rsid w:val="729130E1"/>
    <w:rsid w:val="729564A4"/>
    <w:rsid w:val="72B1517D"/>
    <w:rsid w:val="72DC3AEC"/>
    <w:rsid w:val="72E24F16"/>
    <w:rsid w:val="72E84252"/>
    <w:rsid w:val="72F67302"/>
    <w:rsid w:val="730F7362"/>
    <w:rsid w:val="73164A2A"/>
    <w:rsid w:val="731B4A7C"/>
    <w:rsid w:val="731C27E1"/>
    <w:rsid w:val="7327134F"/>
    <w:rsid w:val="733671CD"/>
    <w:rsid w:val="733F5862"/>
    <w:rsid w:val="73417929"/>
    <w:rsid w:val="734B492C"/>
    <w:rsid w:val="735714C8"/>
    <w:rsid w:val="73637750"/>
    <w:rsid w:val="73645120"/>
    <w:rsid w:val="736C0925"/>
    <w:rsid w:val="73716460"/>
    <w:rsid w:val="73791ED0"/>
    <w:rsid w:val="737E5413"/>
    <w:rsid w:val="73855C11"/>
    <w:rsid w:val="73866EC6"/>
    <w:rsid w:val="738F3B2D"/>
    <w:rsid w:val="739F3F2E"/>
    <w:rsid w:val="73A75B51"/>
    <w:rsid w:val="73CA5CB6"/>
    <w:rsid w:val="73D952F6"/>
    <w:rsid w:val="73D97DC9"/>
    <w:rsid w:val="73DE032A"/>
    <w:rsid w:val="73E25B57"/>
    <w:rsid w:val="7416389E"/>
    <w:rsid w:val="741B2C4A"/>
    <w:rsid w:val="7423420D"/>
    <w:rsid w:val="74426811"/>
    <w:rsid w:val="745800F8"/>
    <w:rsid w:val="74872B40"/>
    <w:rsid w:val="7492300D"/>
    <w:rsid w:val="749800C3"/>
    <w:rsid w:val="74A074BC"/>
    <w:rsid w:val="74AC12D8"/>
    <w:rsid w:val="74B3579F"/>
    <w:rsid w:val="74C20352"/>
    <w:rsid w:val="74E03EAC"/>
    <w:rsid w:val="75303848"/>
    <w:rsid w:val="75685A29"/>
    <w:rsid w:val="75833C60"/>
    <w:rsid w:val="75A1363B"/>
    <w:rsid w:val="75AF12A8"/>
    <w:rsid w:val="75C13CDD"/>
    <w:rsid w:val="75D477FF"/>
    <w:rsid w:val="75DE7033"/>
    <w:rsid w:val="75E414B9"/>
    <w:rsid w:val="75E844CD"/>
    <w:rsid w:val="75FD2F4E"/>
    <w:rsid w:val="761603CE"/>
    <w:rsid w:val="76165F72"/>
    <w:rsid w:val="763C69AD"/>
    <w:rsid w:val="764346F2"/>
    <w:rsid w:val="765161F6"/>
    <w:rsid w:val="765B7DD4"/>
    <w:rsid w:val="765C68EA"/>
    <w:rsid w:val="76636B42"/>
    <w:rsid w:val="76764AC8"/>
    <w:rsid w:val="76960CC6"/>
    <w:rsid w:val="769C4D14"/>
    <w:rsid w:val="76B26248"/>
    <w:rsid w:val="76CB7891"/>
    <w:rsid w:val="76D55AE0"/>
    <w:rsid w:val="76E51C7B"/>
    <w:rsid w:val="76EF03D6"/>
    <w:rsid w:val="770437EB"/>
    <w:rsid w:val="77315593"/>
    <w:rsid w:val="77427FAF"/>
    <w:rsid w:val="778F5AEE"/>
    <w:rsid w:val="7791148D"/>
    <w:rsid w:val="779A1E54"/>
    <w:rsid w:val="77AB2946"/>
    <w:rsid w:val="77BC4921"/>
    <w:rsid w:val="77FC6FAA"/>
    <w:rsid w:val="7800244D"/>
    <w:rsid w:val="781400F4"/>
    <w:rsid w:val="782C2386"/>
    <w:rsid w:val="783A3344"/>
    <w:rsid w:val="784B7A8E"/>
    <w:rsid w:val="785904A0"/>
    <w:rsid w:val="7859644F"/>
    <w:rsid w:val="7866470B"/>
    <w:rsid w:val="786A0221"/>
    <w:rsid w:val="78816041"/>
    <w:rsid w:val="78880027"/>
    <w:rsid w:val="788B1F4E"/>
    <w:rsid w:val="788B24A3"/>
    <w:rsid w:val="78A41CD1"/>
    <w:rsid w:val="78A72395"/>
    <w:rsid w:val="78C25DA2"/>
    <w:rsid w:val="78C30681"/>
    <w:rsid w:val="78E53320"/>
    <w:rsid w:val="78F72663"/>
    <w:rsid w:val="78F821C0"/>
    <w:rsid w:val="78FA3DC0"/>
    <w:rsid w:val="790F1978"/>
    <w:rsid w:val="79195CA0"/>
    <w:rsid w:val="791C1C3D"/>
    <w:rsid w:val="7932148B"/>
    <w:rsid w:val="793D682E"/>
    <w:rsid w:val="79453BB3"/>
    <w:rsid w:val="794F71DC"/>
    <w:rsid w:val="795F05C1"/>
    <w:rsid w:val="797033AA"/>
    <w:rsid w:val="797B3F4E"/>
    <w:rsid w:val="79935D15"/>
    <w:rsid w:val="79A234B3"/>
    <w:rsid w:val="79C46FEF"/>
    <w:rsid w:val="79CE4FA2"/>
    <w:rsid w:val="79D044EF"/>
    <w:rsid w:val="79D50A26"/>
    <w:rsid w:val="79D7095F"/>
    <w:rsid w:val="79E81839"/>
    <w:rsid w:val="79EF6DED"/>
    <w:rsid w:val="79F0275E"/>
    <w:rsid w:val="79FD5AA6"/>
    <w:rsid w:val="7A222C5A"/>
    <w:rsid w:val="7A4A7787"/>
    <w:rsid w:val="7A4D5B40"/>
    <w:rsid w:val="7A521FF4"/>
    <w:rsid w:val="7A564AD6"/>
    <w:rsid w:val="7A7F0F85"/>
    <w:rsid w:val="7AE61CC6"/>
    <w:rsid w:val="7AF9101D"/>
    <w:rsid w:val="7B0D095C"/>
    <w:rsid w:val="7B0F393E"/>
    <w:rsid w:val="7B205BA0"/>
    <w:rsid w:val="7B212B99"/>
    <w:rsid w:val="7B274F5F"/>
    <w:rsid w:val="7B2867CF"/>
    <w:rsid w:val="7B3D5458"/>
    <w:rsid w:val="7B554FA3"/>
    <w:rsid w:val="7B6207F8"/>
    <w:rsid w:val="7B801A43"/>
    <w:rsid w:val="7B8A438C"/>
    <w:rsid w:val="7B8E5D1F"/>
    <w:rsid w:val="7B9831B0"/>
    <w:rsid w:val="7BB4518B"/>
    <w:rsid w:val="7BB60ED5"/>
    <w:rsid w:val="7BC260B9"/>
    <w:rsid w:val="7BC7130B"/>
    <w:rsid w:val="7BD24004"/>
    <w:rsid w:val="7BE9711D"/>
    <w:rsid w:val="7BFB025C"/>
    <w:rsid w:val="7BFC004B"/>
    <w:rsid w:val="7BFE17E7"/>
    <w:rsid w:val="7C012CC2"/>
    <w:rsid w:val="7C040D49"/>
    <w:rsid w:val="7C4F208D"/>
    <w:rsid w:val="7C85263D"/>
    <w:rsid w:val="7C9217D1"/>
    <w:rsid w:val="7C9D2C0B"/>
    <w:rsid w:val="7CA010C3"/>
    <w:rsid w:val="7CA852AF"/>
    <w:rsid w:val="7CB00608"/>
    <w:rsid w:val="7CF15D44"/>
    <w:rsid w:val="7CF57C9E"/>
    <w:rsid w:val="7D133C7D"/>
    <w:rsid w:val="7D256900"/>
    <w:rsid w:val="7D4139B6"/>
    <w:rsid w:val="7D43322A"/>
    <w:rsid w:val="7D605B8A"/>
    <w:rsid w:val="7D653255"/>
    <w:rsid w:val="7D751E6F"/>
    <w:rsid w:val="7D92634A"/>
    <w:rsid w:val="7DAA5057"/>
    <w:rsid w:val="7DB24F02"/>
    <w:rsid w:val="7DC06C91"/>
    <w:rsid w:val="7DC93A4A"/>
    <w:rsid w:val="7DD413E6"/>
    <w:rsid w:val="7DDF246B"/>
    <w:rsid w:val="7DE33513"/>
    <w:rsid w:val="7DEB6583"/>
    <w:rsid w:val="7E0C568F"/>
    <w:rsid w:val="7E0D5D12"/>
    <w:rsid w:val="7E1370A0"/>
    <w:rsid w:val="7E25732C"/>
    <w:rsid w:val="7E26276E"/>
    <w:rsid w:val="7E4A184C"/>
    <w:rsid w:val="7E69000B"/>
    <w:rsid w:val="7E6E53C4"/>
    <w:rsid w:val="7E800748"/>
    <w:rsid w:val="7E8E0A88"/>
    <w:rsid w:val="7EB064AD"/>
    <w:rsid w:val="7EC02D84"/>
    <w:rsid w:val="7ECE313B"/>
    <w:rsid w:val="7ED00AED"/>
    <w:rsid w:val="7ED06D3F"/>
    <w:rsid w:val="7EDC1B88"/>
    <w:rsid w:val="7F035DB8"/>
    <w:rsid w:val="7F083DE5"/>
    <w:rsid w:val="7F140829"/>
    <w:rsid w:val="7F1B26B0"/>
    <w:rsid w:val="7F211349"/>
    <w:rsid w:val="7F2265BE"/>
    <w:rsid w:val="7F280929"/>
    <w:rsid w:val="7F6831E2"/>
    <w:rsid w:val="7F6E5620"/>
    <w:rsid w:val="7F80262C"/>
    <w:rsid w:val="7F8A7331"/>
    <w:rsid w:val="7F934BD8"/>
    <w:rsid w:val="7FB4040F"/>
    <w:rsid w:val="7FB419C0"/>
    <w:rsid w:val="7FC44AF6"/>
    <w:rsid w:val="7FC44E6B"/>
    <w:rsid w:val="7FC81C95"/>
    <w:rsid w:val="7FD92360"/>
    <w:rsid w:val="7FDC74F5"/>
    <w:rsid w:val="7FEB0A9B"/>
    <w:rsid w:val="7FFC07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qFormat="1" w:uiPriority="0"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name="List Paragraph"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80"/>
    <w:qFormat/>
    <w:uiPriority w:val="9"/>
    <w:pPr>
      <w:keepNext/>
    </w:pPr>
    <w:rPr>
      <w:sz w:val="44"/>
    </w:rPr>
  </w:style>
  <w:style w:type="paragraph" w:styleId="4">
    <w:name w:val="heading 2"/>
    <w:basedOn w:val="1"/>
    <w:next w:val="1"/>
    <w:link w:val="81"/>
    <w:qFormat/>
    <w:uiPriority w:val="0"/>
    <w:pPr>
      <w:keepNext/>
      <w:keepLines/>
      <w:spacing w:before="260" w:after="260" w:line="413" w:lineRule="auto"/>
      <w:outlineLvl w:val="1"/>
    </w:pPr>
    <w:rPr>
      <w:rFonts w:ascii="Arial" w:hAnsi="Arial" w:eastAsia="黑体"/>
      <w:b/>
      <w:bCs/>
      <w:sz w:val="28"/>
      <w:szCs w:val="32"/>
    </w:rPr>
  </w:style>
  <w:style w:type="paragraph" w:styleId="5">
    <w:name w:val="heading 3"/>
    <w:basedOn w:val="1"/>
    <w:next w:val="1"/>
    <w:link w:val="82"/>
    <w:qFormat/>
    <w:uiPriority w:val="0"/>
    <w:pPr>
      <w:keepNext/>
      <w:keepLines/>
      <w:spacing w:before="120"/>
      <w:ind w:left="720" w:hanging="720"/>
      <w:outlineLvl w:val="2"/>
    </w:pPr>
    <w:rPr>
      <w:rFonts w:ascii="黑体" w:eastAsia="黑体"/>
      <w:spacing w:val="6"/>
      <w:sz w:val="24"/>
      <w:szCs w:val="30"/>
    </w:rPr>
  </w:style>
  <w:style w:type="paragraph" w:styleId="6">
    <w:name w:val="heading 4"/>
    <w:basedOn w:val="1"/>
    <w:next w:val="1"/>
    <w:link w:val="77"/>
    <w:qFormat/>
    <w:uiPriority w:val="9"/>
    <w:pPr>
      <w:wordWrap w:val="0"/>
      <w:topLinePunct/>
      <w:autoSpaceDN w:val="0"/>
      <w:spacing w:line="520" w:lineRule="exact"/>
      <w:ind w:firstLine="560" w:firstLineChars="200"/>
      <w:outlineLvl w:val="3"/>
    </w:pPr>
    <w:rPr>
      <w:rFonts w:eastAsia="楷体_GB2312"/>
      <w:bCs/>
      <w:color w:val="000000"/>
      <w:sz w:val="28"/>
      <w:szCs w:val="28"/>
    </w:rPr>
  </w:style>
  <w:style w:type="paragraph" w:styleId="7">
    <w:name w:val="heading 5"/>
    <w:basedOn w:val="1"/>
    <w:next w:val="1"/>
    <w:link w:val="83"/>
    <w:qFormat/>
    <w:uiPriority w:val="0"/>
    <w:pPr>
      <w:keepNext/>
      <w:keepLines/>
      <w:spacing w:before="280" w:after="290" w:line="376" w:lineRule="auto"/>
      <w:outlineLvl w:val="4"/>
    </w:pPr>
    <w:rPr>
      <w:b/>
      <w:bCs/>
      <w:sz w:val="28"/>
      <w:szCs w:val="28"/>
    </w:rPr>
  </w:style>
  <w:style w:type="paragraph" w:styleId="8">
    <w:name w:val="heading 6"/>
    <w:basedOn w:val="1"/>
    <w:next w:val="1"/>
    <w:link w:val="84"/>
    <w:qFormat/>
    <w:uiPriority w:val="0"/>
    <w:pPr>
      <w:keepNext/>
      <w:keepLines/>
      <w:adjustRightInd w:val="0"/>
      <w:snapToGrid w:val="0"/>
      <w:spacing w:before="240" w:after="64" w:line="320" w:lineRule="auto"/>
      <w:textAlignment w:val="baseline"/>
      <w:outlineLvl w:val="5"/>
    </w:pPr>
    <w:rPr>
      <w:rFonts w:ascii="Arial" w:hAnsi="Arial" w:eastAsia="黑体"/>
      <w:b/>
      <w:bCs/>
      <w:spacing w:val="4"/>
      <w:kern w:val="0"/>
      <w:sz w:val="24"/>
    </w:rPr>
  </w:style>
  <w:style w:type="paragraph" w:styleId="9">
    <w:name w:val="heading 7"/>
    <w:basedOn w:val="1"/>
    <w:next w:val="1"/>
    <w:link w:val="85"/>
    <w:qFormat/>
    <w:uiPriority w:val="0"/>
    <w:pPr>
      <w:keepNext/>
      <w:keepLines/>
      <w:spacing w:before="240" w:after="64" w:line="320" w:lineRule="auto"/>
      <w:outlineLvl w:val="6"/>
    </w:pPr>
    <w:rPr>
      <w:b/>
      <w:bCs/>
      <w:sz w:val="24"/>
    </w:rPr>
  </w:style>
  <w:style w:type="paragraph" w:styleId="10">
    <w:name w:val="heading 8"/>
    <w:basedOn w:val="1"/>
    <w:next w:val="1"/>
    <w:link w:val="86"/>
    <w:qFormat/>
    <w:uiPriority w:val="0"/>
    <w:pPr>
      <w:keepNext/>
      <w:keepLines/>
      <w:tabs>
        <w:tab w:val="left" w:pos="1440"/>
      </w:tabs>
      <w:adjustRightInd w:val="0"/>
      <w:snapToGrid w:val="0"/>
      <w:spacing w:before="240" w:after="64" w:line="320" w:lineRule="atLeast"/>
      <w:ind w:left="1440" w:firstLine="200" w:firstLineChars="200"/>
      <w:outlineLvl w:val="7"/>
    </w:pPr>
    <w:rPr>
      <w:rFonts w:ascii="Arial" w:hAnsi="Arial" w:eastAsia="黑体" w:cs="Arial"/>
      <w:kern w:val="22"/>
      <w:sz w:val="24"/>
    </w:rPr>
  </w:style>
  <w:style w:type="paragraph" w:styleId="11">
    <w:name w:val="heading 9"/>
    <w:basedOn w:val="1"/>
    <w:next w:val="1"/>
    <w:link w:val="87"/>
    <w:qFormat/>
    <w:uiPriority w:val="0"/>
    <w:pPr>
      <w:keepNext/>
      <w:keepLines/>
      <w:tabs>
        <w:tab w:val="left" w:pos="1584"/>
      </w:tabs>
      <w:adjustRightInd w:val="0"/>
      <w:snapToGrid w:val="0"/>
      <w:spacing w:before="240" w:after="64" w:line="320" w:lineRule="atLeast"/>
      <w:ind w:left="1584" w:firstLine="200" w:firstLineChars="200"/>
      <w:outlineLvl w:val="8"/>
    </w:pPr>
    <w:rPr>
      <w:rFonts w:ascii="Arial" w:hAnsi="Arial" w:eastAsia="黑体" w:cs="Arial"/>
      <w:kern w:val="22"/>
      <w:sz w:val="24"/>
    </w:rPr>
  </w:style>
  <w:style w:type="character" w:default="1" w:styleId="58">
    <w:name w:val="Default Paragraph Font"/>
    <w:semiHidden/>
    <w:unhideWhenUsed/>
    <w:qFormat/>
    <w:uiPriority w:val="1"/>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3">
    <w:name w:val="Title"/>
    <w:basedOn w:val="1"/>
    <w:link w:val="212"/>
    <w:qFormat/>
    <w:uiPriority w:val="0"/>
    <w:pPr>
      <w:spacing w:before="240" w:after="60" w:line="360" w:lineRule="auto"/>
      <w:ind w:firstLine="200" w:firstLineChars="200"/>
      <w:jc w:val="center"/>
      <w:outlineLvl w:val="0"/>
    </w:pPr>
    <w:rPr>
      <w:rFonts w:ascii="Cambria" w:hAnsi="Cambria" w:cs="宋体"/>
      <w:b/>
      <w:bCs/>
      <w:sz w:val="32"/>
      <w:szCs w:val="32"/>
    </w:rPr>
  </w:style>
  <w:style w:type="paragraph" w:styleId="12">
    <w:name w:val="toc 7"/>
    <w:basedOn w:val="1"/>
    <w:next w:val="1"/>
    <w:qFormat/>
    <w:uiPriority w:val="39"/>
    <w:pPr>
      <w:ind w:left="2520" w:leftChars="1200"/>
    </w:pPr>
  </w:style>
  <w:style w:type="paragraph" w:styleId="13">
    <w:name w:val="Note Heading"/>
    <w:basedOn w:val="1"/>
    <w:next w:val="1"/>
    <w:link w:val="164"/>
    <w:qFormat/>
    <w:uiPriority w:val="0"/>
    <w:pPr>
      <w:spacing w:beforeLines="50" w:afterLines="50"/>
      <w:jc w:val="center"/>
    </w:pPr>
    <w:rPr>
      <w:rFonts w:ascii="宋体" w:hAnsi="宋体" w:eastAsia="黑体" w:cs="宋体"/>
      <w:sz w:val="24"/>
    </w:rPr>
  </w:style>
  <w:style w:type="paragraph" w:styleId="14">
    <w:name w:val="E-mail Signature"/>
    <w:basedOn w:val="1"/>
    <w:link w:val="456"/>
    <w:qFormat/>
    <w:uiPriority w:val="0"/>
    <w:rPr>
      <w:rFonts w:ascii="宋体" w:hAnsi="宋体" w:cs="宋体" w:eastAsiaTheme="minorEastAsia"/>
    </w:rPr>
  </w:style>
  <w:style w:type="paragraph" w:styleId="15">
    <w:name w:val="Normal Indent"/>
    <w:basedOn w:val="1"/>
    <w:link w:val="121"/>
    <w:qFormat/>
    <w:uiPriority w:val="0"/>
    <w:pPr>
      <w:ind w:firstLine="420"/>
    </w:pPr>
    <w:rPr>
      <w:rFonts w:asciiTheme="minorHAnsi" w:hAnsiTheme="minorHAnsi" w:cstheme="minorBidi"/>
    </w:rPr>
  </w:style>
  <w:style w:type="paragraph" w:styleId="16">
    <w:name w:val="caption"/>
    <w:basedOn w:val="1"/>
    <w:next w:val="1"/>
    <w:link w:val="112"/>
    <w:qFormat/>
    <w:uiPriority w:val="35"/>
    <w:pPr>
      <w:spacing w:line="520" w:lineRule="exact"/>
      <w:ind w:firstLine="200" w:firstLineChars="200"/>
    </w:pPr>
    <w:rPr>
      <w:rFonts w:ascii="Arial" w:hAnsi="Arial" w:eastAsia="黑体" w:cs="Arial"/>
      <w:sz w:val="24"/>
      <w:szCs w:val="26"/>
    </w:rPr>
  </w:style>
  <w:style w:type="paragraph" w:styleId="17">
    <w:name w:val="Document Map"/>
    <w:basedOn w:val="1"/>
    <w:link w:val="147"/>
    <w:qFormat/>
    <w:uiPriority w:val="0"/>
    <w:pPr>
      <w:shd w:val="clear" w:color="auto" w:fill="000080"/>
    </w:pPr>
    <w:rPr>
      <w:rFonts w:ascii="宋体" w:hAnsi="宋体" w:cs="宋体"/>
    </w:rPr>
  </w:style>
  <w:style w:type="paragraph" w:styleId="18">
    <w:name w:val="annotation text"/>
    <w:basedOn w:val="1"/>
    <w:link w:val="307"/>
    <w:qFormat/>
    <w:uiPriority w:val="0"/>
    <w:pPr>
      <w:jc w:val="left"/>
    </w:pPr>
    <w:rPr>
      <w:rFonts w:ascii="宋体" w:hAnsi="宋体" w:cs="宋体"/>
    </w:rPr>
  </w:style>
  <w:style w:type="paragraph" w:styleId="19">
    <w:name w:val="Salutation"/>
    <w:basedOn w:val="1"/>
    <w:next w:val="1"/>
    <w:link w:val="525"/>
    <w:qFormat/>
    <w:uiPriority w:val="0"/>
    <w:rPr>
      <w:rFonts w:ascii="宋体" w:hAnsi="宋体" w:cs="宋体" w:eastAsiaTheme="minorEastAsia"/>
    </w:rPr>
  </w:style>
  <w:style w:type="paragraph" w:styleId="20">
    <w:name w:val="Body Text 3"/>
    <w:basedOn w:val="1"/>
    <w:link w:val="367"/>
    <w:qFormat/>
    <w:uiPriority w:val="0"/>
    <w:pPr>
      <w:spacing w:after="120"/>
    </w:pPr>
    <w:rPr>
      <w:rFonts w:ascii="宋体" w:hAnsi="宋体" w:cs="宋体"/>
      <w:sz w:val="16"/>
      <w:szCs w:val="16"/>
    </w:rPr>
  </w:style>
  <w:style w:type="paragraph" w:styleId="21">
    <w:name w:val="Closing"/>
    <w:basedOn w:val="1"/>
    <w:link w:val="400"/>
    <w:qFormat/>
    <w:uiPriority w:val="0"/>
    <w:pPr>
      <w:ind w:left="100" w:leftChars="2100"/>
    </w:pPr>
    <w:rPr>
      <w:rFonts w:ascii="宋体" w:hAnsi="宋体" w:cs="宋体" w:eastAsiaTheme="minorEastAsia"/>
    </w:rPr>
  </w:style>
  <w:style w:type="paragraph" w:styleId="22">
    <w:name w:val="Body Text"/>
    <w:basedOn w:val="1"/>
    <w:link w:val="94"/>
    <w:unhideWhenUsed/>
    <w:qFormat/>
    <w:uiPriority w:val="0"/>
    <w:pPr>
      <w:spacing w:after="120"/>
    </w:pPr>
  </w:style>
  <w:style w:type="paragraph" w:styleId="23">
    <w:name w:val="Body Text Indent"/>
    <w:basedOn w:val="1"/>
    <w:link w:val="117"/>
    <w:qFormat/>
    <w:uiPriority w:val="0"/>
    <w:pPr>
      <w:autoSpaceDE w:val="0"/>
      <w:autoSpaceDN w:val="0"/>
      <w:adjustRightInd w:val="0"/>
      <w:spacing w:line="460" w:lineRule="atLeast"/>
      <w:ind w:firstLine="549"/>
    </w:pPr>
    <w:rPr>
      <w:rFonts w:hint="eastAsia" w:ascii="宋体" w:hAnsi="宋体" w:cs="宋体" w:eastAsiaTheme="minorEastAsia"/>
      <w:color w:val="000000"/>
      <w:kern w:val="0"/>
      <w:sz w:val="24"/>
      <w:szCs w:val="26"/>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ind w:left="525" w:right="651"/>
      <w:jc w:val="left"/>
    </w:pPr>
    <w:rPr>
      <w:rFonts w:eastAsia="仿宋_GB2312"/>
      <w:sz w:val="32"/>
      <w:szCs w:val="20"/>
    </w:rPr>
  </w:style>
  <w:style w:type="paragraph" w:styleId="26">
    <w:name w:val="HTML Address"/>
    <w:basedOn w:val="1"/>
    <w:link w:val="473"/>
    <w:qFormat/>
    <w:uiPriority w:val="0"/>
    <w:rPr>
      <w:rFonts w:ascii="宋体" w:hAnsi="宋体" w:cs="宋体" w:eastAsiaTheme="minorEastAsia"/>
      <w:i/>
      <w:iCs/>
    </w:rPr>
  </w:style>
  <w:style w:type="paragraph" w:styleId="27">
    <w:name w:val="toc 5"/>
    <w:basedOn w:val="1"/>
    <w:next w:val="1"/>
    <w:qFormat/>
    <w:uiPriority w:val="39"/>
    <w:pPr>
      <w:ind w:left="1680" w:leftChars="800"/>
    </w:pPr>
  </w:style>
  <w:style w:type="paragraph" w:styleId="28">
    <w:name w:val="toc 3"/>
    <w:basedOn w:val="1"/>
    <w:next w:val="1"/>
    <w:qFormat/>
    <w:uiPriority w:val="39"/>
    <w:pPr>
      <w:ind w:left="840" w:leftChars="400"/>
    </w:pPr>
  </w:style>
  <w:style w:type="paragraph" w:styleId="29">
    <w:name w:val="Plain Text"/>
    <w:basedOn w:val="1"/>
    <w:next w:val="30"/>
    <w:link w:val="230"/>
    <w:qFormat/>
    <w:uiPriority w:val="0"/>
    <w:pPr>
      <w:spacing w:line="500" w:lineRule="exact"/>
    </w:pPr>
    <w:rPr>
      <w:rFonts w:ascii="宋体" w:hAnsi="Courier New" w:cstheme="minorBidi"/>
      <w:sz w:val="28"/>
      <w:szCs w:val="21"/>
    </w:rPr>
  </w:style>
  <w:style w:type="paragraph" w:styleId="30">
    <w:name w:val="List Number 5"/>
    <w:basedOn w:val="1"/>
    <w:unhideWhenUsed/>
    <w:qFormat/>
    <w:uiPriority w:val="99"/>
    <w:pPr>
      <w:numPr>
        <w:ilvl w:val="0"/>
        <w:numId w:val="1"/>
      </w:numPr>
    </w:pPr>
  </w:style>
  <w:style w:type="paragraph" w:styleId="31">
    <w:name w:val="toc 8"/>
    <w:basedOn w:val="1"/>
    <w:next w:val="1"/>
    <w:qFormat/>
    <w:uiPriority w:val="39"/>
    <w:pPr>
      <w:ind w:left="2940" w:leftChars="1400"/>
    </w:pPr>
  </w:style>
  <w:style w:type="paragraph" w:styleId="32">
    <w:name w:val="Date"/>
    <w:basedOn w:val="1"/>
    <w:next w:val="1"/>
    <w:link w:val="283"/>
    <w:qFormat/>
    <w:uiPriority w:val="99"/>
    <w:pPr>
      <w:ind w:left="100" w:leftChars="2500"/>
    </w:pPr>
    <w:rPr>
      <w:rFonts w:asciiTheme="minorHAnsi" w:hAnsiTheme="minorHAnsi" w:eastAsiaTheme="minorEastAsia" w:cstheme="minorBidi"/>
    </w:rPr>
  </w:style>
  <w:style w:type="paragraph" w:styleId="33">
    <w:name w:val="Body Text Indent 2"/>
    <w:basedOn w:val="1"/>
    <w:link w:val="566"/>
    <w:qFormat/>
    <w:uiPriority w:val="0"/>
    <w:pPr>
      <w:adjustRightInd w:val="0"/>
      <w:snapToGrid w:val="0"/>
      <w:spacing w:line="360" w:lineRule="auto"/>
      <w:ind w:firstLine="527"/>
    </w:pPr>
    <w:rPr>
      <w:rFonts w:ascii="宋体" w:hAnsi="宋体"/>
      <w:sz w:val="24"/>
    </w:rPr>
  </w:style>
  <w:style w:type="paragraph" w:styleId="34">
    <w:name w:val="endnote text"/>
    <w:basedOn w:val="1"/>
    <w:link w:val="201"/>
    <w:unhideWhenUsed/>
    <w:qFormat/>
    <w:uiPriority w:val="0"/>
    <w:pPr>
      <w:snapToGrid w:val="0"/>
      <w:spacing w:line="500" w:lineRule="exact"/>
      <w:jc w:val="left"/>
    </w:pPr>
    <w:rPr>
      <w:rFonts w:ascii="楷体_GB2312" w:hAnsi="楷体_GB2312" w:eastAsia="楷体_GB2312" w:cs="宋体"/>
      <w:sz w:val="24"/>
    </w:rPr>
  </w:style>
  <w:style w:type="paragraph" w:styleId="35">
    <w:name w:val="Balloon Text"/>
    <w:basedOn w:val="1"/>
    <w:link w:val="530"/>
    <w:qFormat/>
    <w:uiPriority w:val="99"/>
    <w:rPr>
      <w:rFonts w:asciiTheme="minorHAnsi" w:hAnsiTheme="minorHAnsi" w:eastAsiaTheme="minorEastAsia" w:cstheme="minorBidi"/>
      <w:sz w:val="18"/>
      <w:szCs w:val="18"/>
    </w:rPr>
  </w:style>
  <w:style w:type="paragraph" w:styleId="36">
    <w:name w:val="footer"/>
    <w:basedOn w:val="1"/>
    <w:link w:val="89"/>
    <w:unhideWhenUsed/>
    <w:qFormat/>
    <w:uiPriority w:val="99"/>
    <w:pPr>
      <w:tabs>
        <w:tab w:val="center" w:pos="4153"/>
        <w:tab w:val="right" w:pos="8306"/>
      </w:tabs>
      <w:snapToGrid w:val="0"/>
      <w:jc w:val="left"/>
    </w:pPr>
    <w:rPr>
      <w:sz w:val="18"/>
      <w:szCs w:val="18"/>
    </w:rPr>
  </w:style>
  <w:style w:type="paragraph" w:styleId="37">
    <w:name w:val="header"/>
    <w:basedOn w:val="1"/>
    <w:link w:val="88"/>
    <w:unhideWhenUsed/>
    <w:qFormat/>
    <w:uiPriority w:val="0"/>
    <w:pPr>
      <w:pBdr>
        <w:bottom w:val="single" w:color="auto" w:sz="6" w:space="1"/>
      </w:pBdr>
      <w:tabs>
        <w:tab w:val="center" w:pos="4153"/>
        <w:tab w:val="right" w:pos="8306"/>
      </w:tabs>
      <w:snapToGrid w:val="0"/>
      <w:jc w:val="center"/>
    </w:pPr>
    <w:rPr>
      <w:sz w:val="18"/>
      <w:szCs w:val="18"/>
    </w:rPr>
  </w:style>
  <w:style w:type="paragraph" w:styleId="38">
    <w:name w:val="Signature"/>
    <w:basedOn w:val="1"/>
    <w:link w:val="384"/>
    <w:qFormat/>
    <w:uiPriority w:val="0"/>
    <w:pPr>
      <w:ind w:left="100" w:leftChars="2100"/>
    </w:pPr>
    <w:rPr>
      <w:rFonts w:ascii="宋体" w:hAnsi="宋体" w:cs="宋体" w:eastAsiaTheme="minorEastAsia"/>
    </w:rPr>
  </w:style>
  <w:style w:type="paragraph" w:styleId="39">
    <w:name w:val="toc 1"/>
    <w:basedOn w:val="1"/>
    <w:next w:val="1"/>
    <w:link w:val="493"/>
    <w:qFormat/>
    <w:uiPriority w:val="39"/>
    <w:pPr>
      <w:ind w:firstLine="420" w:firstLineChars="200"/>
    </w:pPr>
    <w:rPr>
      <w:rFonts w:ascii="楷体_GB2312" w:eastAsia="楷体_GB2312" w:hAnsiTheme="minorHAnsi" w:cstheme="minorBidi"/>
      <w:color w:val="000000"/>
      <w:szCs w:val="21"/>
    </w:rPr>
  </w:style>
  <w:style w:type="paragraph" w:styleId="40">
    <w:name w:val="toc 4"/>
    <w:basedOn w:val="1"/>
    <w:next w:val="1"/>
    <w:qFormat/>
    <w:uiPriority w:val="39"/>
    <w:pPr>
      <w:ind w:left="1260" w:leftChars="600"/>
    </w:pPr>
  </w:style>
  <w:style w:type="paragraph" w:styleId="41">
    <w:name w:val="Subtitle"/>
    <w:basedOn w:val="1"/>
    <w:next w:val="1"/>
    <w:link w:val="459"/>
    <w:qFormat/>
    <w:uiPriority w:val="0"/>
    <w:pPr>
      <w:widowControl/>
      <w:spacing w:after="200" w:line="276" w:lineRule="auto"/>
      <w:ind w:firstLine="200" w:firstLineChars="200"/>
      <w:jc w:val="left"/>
    </w:pPr>
    <w:rPr>
      <w:rFonts w:ascii="Cambria" w:hAnsi="Cambria" w:cs="宋体"/>
      <w:i/>
      <w:iCs/>
      <w:color w:val="4F81BD"/>
      <w:spacing w:val="15"/>
      <w:sz w:val="24"/>
      <w:lang w:eastAsia="en-US" w:bidi="en-US"/>
    </w:rPr>
  </w:style>
  <w:style w:type="paragraph" w:styleId="42">
    <w:name w:val="List"/>
    <w:basedOn w:val="1"/>
    <w:qFormat/>
    <w:uiPriority w:val="0"/>
    <w:pPr>
      <w:ind w:left="200" w:hanging="200" w:hangingChars="200"/>
    </w:pPr>
  </w:style>
  <w:style w:type="paragraph" w:styleId="43">
    <w:name w:val="footnote text"/>
    <w:basedOn w:val="1"/>
    <w:link w:val="397"/>
    <w:qFormat/>
    <w:uiPriority w:val="0"/>
    <w:pPr>
      <w:snapToGrid w:val="0"/>
      <w:spacing w:line="360" w:lineRule="auto"/>
      <w:ind w:firstLine="200" w:firstLineChars="200"/>
      <w:jc w:val="left"/>
    </w:pPr>
    <w:rPr>
      <w:rFonts w:ascii="Arial" w:hAnsi="Arial" w:cs="宋体"/>
      <w:sz w:val="18"/>
      <w:szCs w:val="18"/>
    </w:rPr>
  </w:style>
  <w:style w:type="paragraph" w:styleId="44">
    <w:name w:val="toc 6"/>
    <w:basedOn w:val="1"/>
    <w:next w:val="1"/>
    <w:qFormat/>
    <w:uiPriority w:val="39"/>
    <w:pPr>
      <w:ind w:left="2100" w:leftChars="1000"/>
    </w:pPr>
  </w:style>
  <w:style w:type="paragraph" w:styleId="45">
    <w:name w:val="Body Text Indent 3"/>
    <w:basedOn w:val="1"/>
    <w:link w:val="453"/>
    <w:qFormat/>
    <w:uiPriority w:val="0"/>
    <w:pPr>
      <w:autoSpaceDE w:val="0"/>
      <w:autoSpaceDN w:val="0"/>
      <w:adjustRightInd w:val="0"/>
      <w:snapToGrid w:val="0"/>
      <w:spacing w:line="460" w:lineRule="exact"/>
      <w:ind w:firstLine="490"/>
    </w:pPr>
    <w:rPr>
      <w:rFonts w:ascii="宋体" w:hAnsi="宋体" w:cs="宋体"/>
      <w:sz w:val="24"/>
    </w:rPr>
  </w:style>
  <w:style w:type="paragraph" w:styleId="46">
    <w:name w:val="table of figures"/>
    <w:basedOn w:val="1"/>
    <w:next w:val="1"/>
    <w:link w:val="447"/>
    <w:qFormat/>
    <w:uiPriority w:val="0"/>
    <w:pPr>
      <w:ind w:left="-115" w:leftChars="-41" w:right="-106" w:rightChars="-38" w:firstLine="6" w:firstLineChars="3"/>
      <w:jc w:val="center"/>
    </w:pPr>
    <w:rPr>
      <w:rFonts w:ascii="宋体" w:hAnsi="宋体" w:eastAsia="楷体_GB2312" w:cs="宋体"/>
      <w:color w:val="000000"/>
    </w:rPr>
  </w:style>
  <w:style w:type="paragraph" w:styleId="47">
    <w:name w:val="toc 2"/>
    <w:basedOn w:val="1"/>
    <w:next w:val="1"/>
    <w:qFormat/>
    <w:uiPriority w:val="39"/>
    <w:pPr>
      <w:ind w:left="420" w:leftChars="200"/>
    </w:pPr>
  </w:style>
  <w:style w:type="paragraph" w:styleId="48">
    <w:name w:val="toc 9"/>
    <w:basedOn w:val="1"/>
    <w:next w:val="1"/>
    <w:qFormat/>
    <w:uiPriority w:val="39"/>
    <w:pPr>
      <w:ind w:left="3360" w:leftChars="1600"/>
    </w:pPr>
  </w:style>
  <w:style w:type="paragraph" w:styleId="49">
    <w:name w:val="Body Text 2"/>
    <w:basedOn w:val="1"/>
    <w:link w:val="186"/>
    <w:qFormat/>
    <w:uiPriority w:val="0"/>
    <w:pPr>
      <w:spacing w:after="120" w:line="480" w:lineRule="auto"/>
    </w:pPr>
    <w:rPr>
      <w:rFonts w:ascii="宋体" w:hAnsi="宋体" w:cs="宋体"/>
    </w:rPr>
  </w:style>
  <w:style w:type="paragraph" w:styleId="50">
    <w:name w:val="Message Header"/>
    <w:basedOn w:val="1"/>
    <w:link w:val="236"/>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宋体" w:eastAsiaTheme="minorEastAsia"/>
      <w:sz w:val="24"/>
      <w:shd w:val="pct20" w:color="auto" w:fill="auto"/>
    </w:rPr>
  </w:style>
  <w:style w:type="paragraph" w:styleId="51">
    <w:name w:val="HTML Preformatted"/>
    <w:basedOn w:val="1"/>
    <w:link w:val="9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color w:val="000000"/>
      <w:szCs w:val="21"/>
    </w:rPr>
  </w:style>
  <w:style w:type="paragraph" w:styleId="52">
    <w:name w:val="Normal (Web)"/>
    <w:basedOn w:val="1"/>
    <w:link w:val="222"/>
    <w:qFormat/>
    <w:uiPriority w:val="99"/>
    <w:pPr>
      <w:widowControl/>
      <w:spacing w:before="100" w:beforeAutospacing="1" w:after="100" w:afterAutospacing="1"/>
      <w:jc w:val="left"/>
    </w:pPr>
    <w:rPr>
      <w:rFonts w:ascii="宋体" w:hAnsi="宋体" w:cs="宋体"/>
      <w:sz w:val="24"/>
    </w:rPr>
  </w:style>
  <w:style w:type="paragraph" w:styleId="53">
    <w:name w:val="annotation subject"/>
    <w:basedOn w:val="18"/>
    <w:next w:val="18"/>
    <w:link w:val="559"/>
    <w:qFormat/>
    <w:uiPriority w:val="99"/>
    <w:rPr>
      <w:b/>
      <w:bCs/>
    </w:rPr>
  </w:style>
  <w:style w:type="paragraph" w:styleId="54">
    <w:name w:val="Body Text First Indent"/>
    <w:basedOn w:val="22"/>
    <w:next w:val="1"/>
    <w:link w:val="95"/>
    <w:qFormat/>
    <w:uiPriority w:val="99"/>
    <w:pPr>
      <w:ind w:firstLine="420" w:firstLineChars="100"/>
    </w:pPr>
    <w:rPr>
      <w:rFonts w:ascii="宋体" w:hAnsi="宋体" w:cs="宋体"/>
    </w:rPr>
  </w:style>
  <w:style w:type="paragraph" w:styleId="55">
    <w:name w:val="Body Text First Indent 2"/>
    <w:basedOn w:val="23"/>
    <w:link w:val="118"/>
    <w:qFormat/>
    <w:uiPriority w:val="0"/>
    <w:pPr>
      <w:spacing w:after="120"/>
      <w:ind w:left="420" w:leftChars="200" w:firstLine="420" w:firstLineChars="200"/>
    </w:pPr>
  </w:style>
  <w:style w:type="table" w:styleId="57">
    <w:name w:val="Table Grid"/>
    <w:basedOn w:val="56"/>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9">
    <w:name w:val="Strong"/>
    <w:basedOn w:val="58"/>
    <w:qFormat/>
    <w:uiPriority w:val="0"/>
    <w:rPr>
      <w:b/>
      <w:bCs/>
    </w:rPr>
  </w:style>
  <w:style w:type="character" w:styleId="60">
    <w:name w:val="page number"/>
    <w:basedOn w:val="58"/>
    <w:qFormat/>
    <w:uiPriority w:val="0"/>
    <w:rPr>
      <w:rFonts w:ascii="宋体" w:hAnsi="宋体" w:cs="宋体"/>
      <w:sz w:val="24"/>
      <w:szCs w:val="26"/>
    </w:rPr>
  </w:style>
  <w:style w:type="character" w:styleId="61">
    <w:name w:val="FollowedHyperlink"/>
    <w:basedOn w:val="58"/>
    <w:qFormat/>
    <w:uiPriority w:val="0"/>
    <w:rPr>
      <w:rFonts w:ascii="微软雅黑" w:hAnsi="微软雅黑" w:eastAsia="微软雅黑" w:cs="微软雅黑"/>
      <w:color w:val="800080"/>
      <w:sz w:val="24"/>
      <w:szCs w:val="26"/>
      <w:u w:val="none"/>
    </w:rPr>
  </w:style>
  <w:style w:type="character" w:styleId="62">
    <w:name w:val="Emphasis"/>
    <w:basedOn w:val="58"/>
    <w:qFormat/>
    <w:uiPriority w:val="0"/>
    <w:rPr>
      <w:rFonts w:ascii="宋体" w:hAnsi="宋体" w:cs="宋体"/>
      <w:i/>
      <w:iCs/>
      <w:sz w:val="24"/>
      <w:szCs w:val="26"/>
    </w:rPr>
  </w:style>
  <w:style w:type="character" w:styleId="63">
    <w:name w:val="line number"/>
    <w:basedOn w:val="58"/>
    <w:qFormat/>
    <w:uiPriority w:val="0"/>
    <w:rPr>
      <w:rFonts w:ascii="宋体" w:hAnsi="宋体" w:cs="宋体"/>
      <w:sz w:val="24"/>
      <w:szCs w:val="26"/>
    </w:rPr>
  </w:style>
  <w:style w:type="character" w:styleId="64">
    <w:name w:val="Hyperlink"/>
    <w:basedOn w:val="58"/>
    <w:qFormat/>
    <w:uiPriority w:val="99"/>
    <w:rPr>
      <w:rFonts w:ascii="宋体" w:hAnsi="宋体" w:cs="宋体"/>
      <w:color w:val="000000"/>
      <w:sz w:val="24"/>
      <w:szCs w:val="26"/>
      <w:u w:val="none"/>
    </w:rPr>
  </w:style>
  <w:style w:type="character" w:styleId="65">
    <w:name w:val="annotation reference"/>
    <w:basedOn w:val="58"/>
    <w:qFormat/>
    <w:uiPriority w:val="99"/>
    <w:rPr>
      <w:sz w:val="21"/>
      <w:szCs w:val="21"/>
    </w:rPr>
  </w:style>
  <w:style w:type="paragraph" w:customStyle="1" w:styleId="66">
    <w:name w:val="Default"/>
    <w:basedOn w:val="67"/>
    <w:next w:val="1"/>
    <w:link w:val="55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7">
    <w:name w:val="表格标题"/>
    <w:basedOn w:val="16"/>
    <w:next w:val="1"/>
    <w:qFormat/>
    <w:uiPriority w:val="0"/>
    <w:pPr>
      <w:adjustRightInd/>
      <w:snapToGrid/>
      <w:spacing w:line="360" w:lineRule="auto"/>
      <w:ind w:firstLine="0" w:firstLineChars="0"/>
      <w:jc w:val="center"/>
    </w:pPr>
    <w:rPr>
      <w:rFonts w:eastAsia="宋体" w:cs="Arial"/>
      <w:b/>
      <w:sz w:val="21"/>
    </w:rPr>
  </w:style>
  <w:style w:type="paragraph" w:customStyle="1" w:styleId="68">
    <w:name w:val="表格内"/>
    <w:basedOn w:val="1"/>
    <w:qFormat/>
    <w:uiPriority w:val="0"/>
    <w:pPr>
      <w:spacing w:line="360" w:lineRule="exact"/>
      <w:jc w:val="center"/>
    </w:pPr>
    <w:rPr>
      <w:snapToGrid w:val="0"/>
      <w:szCs w:val="21"/>
    </w:rPr>
  </w:style>
  <w:style w:type="paragraph" w:customStyle="1" w:styleId="69">
    <w:name w:val="RFI Heading 2nd Level Char"/>
    <w:basedOn w:val="1"/>
    <w:next w:val="70"/>
    <w:qFormat/>
    <w:uiPriority w:val="0"/>
    <w:pPr>
      <w:widowControl/>
      <w:spacing w:before="240" w:after="240"/>
      <w:ind w:left="1152" w:hanging="1152"/>
      <w:outlineLvl w:val="1"/>
    </w:pPr>
    <w:rPr>
      <w:rFonts w:ascii="Arial (W1)" w:eastAsia="Times New Roman"/>
      <w:b/>
      <w:color w:val="3366FF"/>
    </w:rPr>
  </w:style>
  <w:style w:type="paragraph" w:customStyle="1" w:styleId="70">
    <w:name w:val="Normal 0.51"/>
    <w:basedOn w:val="1"/>
    <w:next w:val="1"/>
    <w:qFormat/>
    <w:uiPriority w:val="0"/>
    <w:pPr>
      <w:widowControl/>
      <w:spacing w:before="180" w:after="120"/>
      <w:ind w:left="720"/>
    </w:pPr>
    <w:rPr>
      <w:rFonts w:ascii="Times New Roman"/>
      <w:sz w:val="24"/>
    </w:rPr>
  </w:style>
  <w:style w:type="paragraph" w:customStyle="1" w:styleId="71">
    <w:name w:val="正文格式"/>
    <w:basedOn w:val="54"/>
    <w:next w:val="1"/>
    <w:link w:val="92"/>
    <w:qFormat/>
    <w:uiPriority w:val="0"/>
    <w:pPr>
      <w:spacing w:after="0" w:line="360" w:lineRule="auto"/>
      <w:ind w:firstLine="200" w:firstLineChars="200"/>
    </w:pPr>
    <w:rPr>
      <w:rFonts w:eastAsiaTheme="minorEastAsia"/>
      <w:sz w:val="24"/>
    </w:rPr>
  </w:style>
  <w:style w:type="paragraph" w:customStyle="1" w:styleId="72">
    <w:name w:val="样式5"/>
    <w:basedOn w:val="73"/>
    <w:link w:val="231"/>
    <w:qFormat/>
    <w:uiPriority w:val="0"/>
    <w:pPr>
      <w:spacing w:line="360" w:lineRule="auto"/>
      <w:ind w:firstLine="480" w:firstLineChars="200"/>
    </w:pPr>
    <w:rPr>
      <w:rFonts w:hAnsi="宋体" w:eastAsia="仿宋_GB2312" w:cs="宋体"/>
    </w:rPr>
  </w:style>
  <w:style w:type="paragraph" w:customStyle="1" w:styleId="73">
    <w:name w:val="正文1"/>
    <w:basedOn w:val="15"/>
    <w:next w:val="15"/>
    <w:link w:val="407"/>
    <w:qFormat/>
    <w:uiPriority w:val="0"/>
    <w:pPr>
      <w:adjustRightInd w:val="0"/>
      <w:spacing w:line="315" w:lineRule="atLeast"/>
      <w:textAlignment w:val="baseline"/>
    </w:pPr>
    <w:rPr>
      <w:rFonts w:ascii="宋体" w:eastAsia="Times New Roman"/>
      <w:sz w:val="24"/>
      <w:szCs w:val="22"/>
    </w:rPr>
  </w:style>
  <w:style w:type="paragraph" w:customStyle="1" w:styleId="74">
    <w:name w:val="BodyText1I2"/>
    <w:basedOn w:val="75"/>
    <w:qFormat/>
    <w:uiPriority w:val="0"/>
    <w:pPr>
      <w:spacing w:after="0"/>
      <w:ind w:firstLine="200" w:firstLineChars="200"/>
    </w:pPr>
    <w:rPr>
      <w:rFonts w:ascii="Calibri" w:hAnsi="Calibri"/>
    </w:rPr>
  </w:style>
  <w:style w:type="paragraph" w:customStyle="1" w:styleId="75">
    <w:name w:val="BodyTextIndent"/>
    <w:basedOn w:val="1"/>
    <w:next w:val="76"/>
    <w:qFormat/>
    <w:uiPriority w:val="0"/>
    <w:pPr>
      <w:spacing w:after="120"/>
      <w:ind w:left="200" w:leftChars="200"/>
      <w:textAlignment w:val="baseline"/>
    </w:pPr>
  </w:style>
  <w:style w:type="paragraph" w:customStyle="1" w:styleId="76">
    <w:name w:val="NormalIndent"/>
    <w:basedOn w:val="1"/>
    <w:qFormat/>
    <w:uiPriority w:val="0"/>
    <w:pPr>
      <w:ind w:firstLine="200" w:firstLineChars="200"/>
      <w:textAlignment w:val="baseline"/>
    </w:pPr>
    <w:rPr>
      <w:rFonts w:eastAsia="仿宋"/>
      <w:sz w:val="32"/>
    </w:rPr>
  </w:style>
  <w:style w:type="character" w:customStyle="1" w:styleId="77">
    <w:name w:val="标题 4 字符"/>
    <w:basedOn w:val="58"/>
    <w:link w:val="6"/>
    <w:qFormat/>
    <w:uiPriority w:val="9"/>
    <w:rPr>
      <w:rFonts w:ascii="Times New Roman" w:hAnsi="Times New Roman" w:eastAsia="楷体_GB2312" w:cs="Times New Roman"/>
      <w:bCs/>
      <w:color w:val="000000"/>
      <w:sz w:val="28"/>
      <w:szCs w:val="28"/>
    </w:rPr>
  </w:style>
  <w:style w:type="paragraph" w:customStyle="1" w:styleId="78">
    <w:name w:val="正文 首行缩进:  2 字符"/>
    <w:basedOn w:val="1"/>
    <w:qFormat/>
    <w:uiPriority w:val="0"/>
    <w:pPr>
      <w:adjustRightInd w:val="0"/>
      <w:snapToGrid w:val="0"/>
      <w:spacing w:line="500" w:lineRule="exact"/>
      <w:ind w:firstLine="480"/>
    </w:pPr>
    <w:rPr>
      <w:rFonts w:eastAsia="楷体_GB2312"/>
      <w:lang w:val="zh-CN"/>
    </w:rPr>
  </w:style>
  <w:style w:type="paragraph" w:customStyle="1" w:styleId="79">
    <w:name w:val="Char Char Char Char"/>
    <w:basedOn w:val="1"/>
    <w:qFormat/>
    <w:uiPriority w:val="0"/>
  </w:style>
  <w:style w:type="character" w:customStyle="1" w:styleId="80">
    <w:name w:val="标题 1 字符"/>
    <w:link w:val="2"/>
    <w:qFormat/>
    <w:uiPriority w:val="0"/>
    <w:rPr>
      <w:rFonts w:ascii="Times New Roman" w:hAnsi="Times New Roman" w:eastAsia="宋体" w:cs="Times New Roman"/>
      <w:sz w:val="44"/>
      <w:szCs w:val="24"/>
    </w:rPr>
  </w:style>
  <w:style w:type="character" w:customStyle="1" w:styleId="81">
    <w:name w:val="标题 2 字符"/>
    <w:basedOn w:val="58"/>
    <w:link w:val="4"/>
    <w:qFormat/>
    <w:uiPriority w:val="0"/>
    <w:rPr>
      <w:rFonts w:ascii="Arial" w:hAnsi="Arial" w:eastAsia="黑体" w:cs="Times New Roman"/>
      <w:b/>
      <w:bCs/>
      <w:sz w:val="28"/>
      <w:szCs w:val="32"/>
    </w:rPr>
  </w:style>
  <w:style w:type="character" w:customStyle="1" w:styleId="82">
    <w:name w:val="标题 3 字符"/>
    <w:basedOn w:val="58"/>
    <w:link w:val="5"/>
    <w:qFormat/>
    <w:uiPriority w:val="0"/>
    <w:rPr>
      <w:rFonts w:ascii="黑体" w:hAnsi="Times New Roman" w:eastAsia="黑体" w:cs="Times New Roman"/>
      <w:spacing w:val="6"/>
      <w:sz w:val="24"/>
      <w:szCs w:val="30"/>
    </w:rPr>
  </w:style>
  <w:style w:type="character" w:customStyle="1" w:styleId="83">
    <w:name w:val="标题 5 字符"/>
    <w:basedOn w:val="58"/>
    <w:link w:val="7"/>
    <w:qFormat/>
    <w:uiPriority w:val="0"/>
    <w:rPr>
      <w:rFonts w:ascii="Times New Roman" w:hAnsi="Times New Roman" w:eastAsia="宋体" w:cs="Times New Roman"/>
      <w:b/>
      <w:bCs/>
      <w:sz w:val="28"/>
      <w:szCs w:val="28"/>
    </w:rPr>
  </w:style>
  <w:style w:type="character" w:customStyle="1" w:styleId="84">
    <w:name w:val="标题 6 字符"/>
    <w:basedOn w:val="58"/>
    <w:link w:val="8"/>
    <w:qFormat/>
    <w:uiPriority w:val="0"/>
    <w:rPr>
      <w:rFonts w:ascii="Arial" w:hAnsi="Arial" w:eastAsia="黑体" w:cs="Times New Roman"/>
      <w:b/>
      <w:bCs/>
      <w:spacing w:val="4"/>
      <w:kern w:val="0"/>
      <w:sz w:val="24"/>
      <w:szCs w:val="24"/>
    </w:rPr>
  </w:style>
  <w:style w:type="character" w:customStyle="1" w:styleId="85">
    <w:name w:val="标题 7 字符"/>
    <w:basedOn w:val="58"/>
    <w:link w:val="9"/>
    <w:qFormat/>
    <w:uiPriority w:val="0"/>
    <w:rPr>
      <w:rFonts w:ascii="Times New Roman" w:hAnsi="Times New Roman" w:eastAsia="宋体" w:cs="Times New Roman"/>
      <w:b/>
      <w:bCs/>
      <w:sz w:val="24"/>
      <w:szCs w:val="24"/>
    </w:rPr>
  </w:style>
  <w:style w:type="character" w:customStyle="1" w:styleId="86">
    <w:name w:val="标题 8 字符"/>
    <w:basedOn w:val="58"/>
    <w:link w:val="10"/>
    <w:qFormat/>
    <w:uiPriority w:val="0"/>
    <w:rPr>
      <w:rFonts w:ascii="Arial" w:hAnsi="Arial" w:eastAsia="黑体" w:cs="Arial"/>
      <w:kern w:val="22"/>
      <w:sz w:val="24"/>
      <w:szCs w:val="24"/>
    </w:rPr>
  </w:style>
  <w:style w:type="character" w:customStyle="1" w:styleId="87">
    <w:name w:val="标题 9 字符"/>
    <w:basedOn w:val="58"/>
    <w:link w:val="11"/>
    <w:qFormat/>
    <w:uiPriority w:val="0"/>
    <w:rPr>
      <w:rFonts w:ascii="Arial" w:hAnsi="Arial" w:eastAsia="黑体" w:cs="Arial"/>
      <w:kern w:val="22"/>
      <w:sz w:val="24"/>
      <w:szCs w:val="24"/>
    </w:rPr>
  </w:style>
  <w:style w:type="character" w:customStyle="1" w:styleId="88">
    <w:name w:val="页眉 字符"/>
    <w:basedOn w:val="58"/>
    <w:link w:val="37"/>
    <w:qFormat/>
    <w:uiPriority w:val="0"/>
    <w:rPr>
      <w:sz w:val="18"/>
      <w:szCs w:val="18"/>
    </w:rPr>
  </w:style>
  <w:style w:type="character" w:customStyle="1" w:styleId="89">
    <w:name w:val="页脚 字符"/>
    <w:basedOn w:val="58"/>
    <w:link w:val="36"/>
    <w:qFormat/>
    <w:uiPriority w:val="99"/>
    <w:rPr>
      <w:sz w:val="18"/>
      <w:szCs w:val="18"/>
    </w:rPr>
  </w:style>
  <w:style w:type="character" w:customStyle="1" w:styleId="90">
    <w:name w:val="标题 1 Char"/>
    <w:basedOn w:val="58"/>
    <w:qFormat/>
    <w:uiPriority w:val="9"/>
    <w:rPr>
      <w:rFonts w:ascii="Times New Roman" w:hAnsi="Times New Roman" w:eastAsia="宋体" w:cs="Times New Roman"/>
      <w:b/>
      <w:bCs/>
      <w:kern w:val="44"/>
      <w:sz w:val="44"/>
      <w:szCs w:val="44"/>
    </w:rPr>
  </w:style>
  <w:style w:type="character" w:customStyle="1" w:styleId="91">
    <w:name w:val="HTML 预设格式 字符"/>
    <w:basedOn w:val="58"/>
    <w:link w:val="51"/>
    <w:qFormat/>
    <w:uiPriority w:val="0"/>
    <w:rPr>
      <w:rFonts w:ascii="宋体" w:hAnsi="宋体" w:cs="宋体"/>
      <w:color w:val="000000"/>
      <w:szCs w:val="21"/>
    </w:rPr>
  </w:style>
  <w:style w:type="character" w:customStyle="1" w:styleId="92">
    <w:name w:val="正文格式 Char"/>
    <w:basedOn w:val="58"/>
    <w:link w:val="71"/>
    <w:qFormat/>
    <w:uiPriority w:val="0"/>
    <w:rPr>
      <w:rFonts w:ascii="宋体" w:hAnsi="宋体" w:cs="宋体"/>
      <w:sz w:val="24"/>
      <w:szCs w:val="24"/>
    </w:rPr>
  </w:style>
  <w:style w:type="paragraph" w:customStyle="1" w:styleId="93">
    <w:name w:val="正文文本首行缩进1"/>
    <w:basedOn w:val="22"/>
    <w:qFormat/>
    <w:uiPriority w:val="0"/>
    <w:pPr>
      <w:ind w:firstLine="420" w:firstLineChars="100"/>
    </w:pPr>
  </w:style>
  <w:style w:type="character" w:customStyle="1" w:styleId="94">
    <w:name w:val="正文文本 字符"/>
    <w:basedOn w:val="58"/>
    <w:link w:val="22"/>
    <w:semiHidden/>
    <w:qFormat/>
    <w:uiPriority w:val="1"/>
    <w:rPr>
      <w:rFonts w:ascii="Times New Roman" w:hAnsi="Times New Roman" w:eastAsia="宋体" w:cs="Times New Roman"/>
      <w:szCs w:val="24"/>
    </w:rPr>
  </w:style>
  <w:style w:type="character" w:customStyle="1" w:styleId="95">
    <w:name w:val="正文首行缩进 字符"/>
    <w:basedOn w:val="58"/>
    <w:link w:val="54"/>
    <w:qFormat/>
    <w:uiPriority w:val="99"/>
    <w:rPr>
      <w:rFonts w:ascii="宋体" w:hAnsi="宋体" w:eastAsia="宋体" w:cs="宋体"/>
      <w:szCs w:val="24"/>
    </w:rPr>
  </w:style>
  <w:style w:type="character" w:customStyle="1" w:styleId="96">
    <w:name w:val="报告正文 Char"/>
    <w:link w:val="97"/>
    <w:qFormat/>
    <w:uiPriority w:val="0"/>
    <w:rPr>
      <w:rFonts w:eastAsia="宋体"/>
      <w:sz w:val="24"/>
      <w:szCs w:val="21"/>
    </w:rPr>
  </w:style>
  <w:style w:type="paragraph" w:customStyle="1" w:styleId="97">
    <w:name w:val="报告正文"/>
    <w:basedOn w:val="1"/>
    <w:link w:val="96"/>
    <w:qFormat/>
    <w:uiPriority w:val="0"/>
    <w:pPr>
      <w:adjustRightInd w:val="0"/>
      <w:snapToGrid w:val="0"/>
      <w:spacing w:line="360" w:lineRule="auto"/>
      <w:ind w:firstLine="200" w:firstLineChars="200"/>
      <w:jc w:val="left"/>
    </w:pPr>
    <w:rPr>
      <w:rFonts w:asciiTheme="minorHAnsi" w:hAnsiTheme="minorHAnsi" w:cstheme="minorBidi"/>
      <w:sz w:val="24"/>
      <w:szCs w:val="21"/>
    </w:rPr>
  </w:style>
  <w:style w:type="character" w:customStyle="1" w:styleId="98">
    <w:name w:val="样式 5 + 首行缩进:  2 字符 Char"/>
    <w:basedOn w:val="58"/>
    <w:link w:val="99"/>
    <w:qFormat/>
    <w:uiPriority w:val="0"/>
    <w:rPr>
      <w:rFonts w:ascii="楷体_GB2312" w:hAnsi="宋体" w:eastAsia="楷体_GB2312" w:cs="宋体"/>
      <w:color w:val="000000"/>
      <w:spacing w:val="-2"/>
      <w:sz w:val="30"/>
      <w:szCs w:val="30"/>
    </w:rPr>
  </w:style>
  <w:style w:type="paragraph" w:customStyle="1" w:styleId="99">
    <w:name w:val="样式 5 + 首行缩进:  2 字符"/>
    <w:basedOn w:val="1"/>
    <w:link w:val="98"/>
    <w:qFormat/>
    <w:uiPriority w:val="0"/>
    <w:pPr>
      <w:ind w:firstLine="592" w:firstLineChars="200"/>
    </w:pPr>
    <w:rPr>
      <w:rFonts w:ascii="楷体_GB2312" w:hAnsi="宋体" w:eastAsia="楷体_GB2312" w:cs="宋体"/>
      <w:color w:val="000000"/>
      <w:spacing w:val="-2"/>
      <w:sz w:val="30"/>
      <w:szCs w:val="30"/>
    </w:rPr>
  </w:style>
  <w:style w:type="character" w:customStyle="1" w:styleId="100">
    <w:name w:val="cucd-0 Char1"/>
    <w:basedOn w:val="58"/>
    <w:link w:val="101"/>
    <w:qFormat/>
    <w:uiPriority w:val="0"/>
    <w:rPr>
      <w:rFonts w:ascii="宋体" w:hAnsi="宋体" w:eastAsia="Times New Roman" w:cs="宋体"/>
      <w:sz w:val="24"/>
      <w:szCs w:val="24"/>
      <w:lang w:eastAsia="en-US" w:bidi="en-US"/>
    </w:rPr>
  </w:style>
  <w:style w:type="paragraph" w:customStyle="1" w:styleId="101">
    <w:name w:val="cucd-0"/>
    <w:link w:val="100"/>
    <w:qFormat/>
    <w:uiPriority w:val="0"/>
    <w:pPr>
      <w:spacing w:after="200" w:line="360" w:lineRule="auto"/>
      <w:ind w:firstLine="480" w:firstLineChars="200"/>
    </w:pPr>
    <w:rPr>
      <w:rFonts w:ascii="宋体" w:hAnsi="宋体" w:eastAsia="Times New Roman" w:cs="宋体"/>
      <w:kern w:val="2"/>
      <w:sz w:val="24"/>
      <w:szCs w:val="24"/>
      <w:lang w:val="en-US" w:eastAsia="en-US" w:bidi="en-US"/>
    </w:rPr>
  </w:style>
  <w:style w:type="character" w:customStyle="1" w:styleId="102">
    <w:name w:val="标题 2 + 行距: 标题2+首行缩进 0倍 Char"/>
    <w:basedOn w:val="58"/>
    <w:link w:val="103"/>
    <w:qFormat/>
    <w:uiPriority w:val="0"/>
    <w:rPr>
      <w:rFonts w:ascii="黑体" w:hAnsi="宋体" w:eastAsia="黑体" w:cs="宋体"/>
      <w:sz w:val="30"/>
      <w:szCs w:val="26"/>
    </w:rPr>
  </w:style>
  <w:style w:type="paragraph" w:customStyle="1" w:styleId="103">
    <w:name w:val="标题 2 + 行距: 标题2+首行缩进 0倍"/>
    <w:basedOn w:val="4"/>
    <w:link w:val="102"/>
    <w:qFormat/>
    <w:uiPriority w:val="0"/>
    <w:pPr>
      <w:tabs>
        <w:tab w:val="left" w:pos="8140"/>
      </w:tabs>
      <w:spacing w:before="0" w:after="0" w:line="360" w:lineRule="auto"/>
    </w:pPr>
    <w:rPr>
      <w:rFonts w:ascii="黑体" w:hAnsi="宋体" w:cs="宋体"/>
      <w:b w:val="0"/>
      <w:bCs w:val="0"/>
      <w:sz w:val="30"/>
      <w:szCs w:val="26"/>
    </w:rPr>
  </w:style>
  <w:style w:type="character" w:customStyle="1" w:styleId="104">
    <w:name w:val="样式 正文文本 + 首行缩进:  2 字符 Char"/>
    <w:link w:val="105"/>
    <w:qFormat/>
    <w:uiPriority w:val="0"/>
    <w:rPr>
      <w:color w:val="FF0000"/>
      <w:sz w:val="24"/>
      <w:szCs w:val="24"/>
    </w:rPr>
  </w:style>
  <w:style w:type="paragraph" w:customStyle="1" w:styleId="105">
    <w:name w:val="样式 正文文本 + 首行缩进:  2 字符"/>
    <w:basedOn w:val="22"/>
    <w:link w:val="104"/>
    <w:qFormat/>
    <w:uiPriority w:val="0"/>
    <w:pPr>
      <w:adjustRightInd w:val="0"/>
      <w:snapToGrid w:val="0"/>
      <w:spacing w:before="120" w:after="0" w:line="300" w:lineRule="auto"/>
      <w:ind w:firstLine="200" w:firstLineChars="200"/>
      <w:textAlignment w:val="baseline"/>
    </w:pPr>
    <w:rPr>
      <w:rFonts w:asciiTheme="minorHAnsi" w:hAnsiTheme="minorHAnsi" w:eastAsiaTheme="minorEastAsia" w:cstheme="minorBidi"/>
      <w:color w:val="FF0000"/>
      <w:sz w:val="24"/>
    </w:rPr>
  </w:style>
  <w:style w:type="character" w:customStyle="1" w:styleId="106">
    <w:name w:val="标题二!!!!!!!!!!!!!!!! Char"/>
    <w:basedOn w:val="107"/>
    <w:link w:val="109"/>
    <w:qFormat/>
    <w:uiPriority w:val="0"/>
    <w:rPr>
      <w:rFonts w:ascii="楷体_GB2312" w:hAnsi="楷体_GB2312" w:eastAsia="楷体_GB2312" w:cs="楷体_GB2312"/>
      <w:sz w:val="30"/>
      <w:szCs w:val="30"/>
    </w:rPr>
  </w:style>
  <w:style w:type="character" w:customStyle="1" w:styleId="107">
    <w:name w:val="标题二！！！！！ Char"/>
    <w:basedOn w:val="58"/>
    <w:link w:val="108"/>
    <w:qFormat/>
    <w:uiPriority w:val="0"/>
    <w:rPr>
      <w:rFonts w:ascii="楷体_GB2312" w:hAnsi="楷体_GB2312" w:eastAsia="楷体_GB2312" w:cs="楷体_GB2312"/>
      <w:b/>
      <w:bCs/>
      <w:sz w:val="30"/>
      <w:szCs w:val="30"/>
    </w:rPr>
  </w:style>
  <w:style w:type="paragraph" w:customStyle="1" w:styleId="108">
    <w:name w:val="标题二！！！！！"/>
    <w:basedOn w:val="4"/>
    <w:link w:val="107"/>
    <w:qFormat/>
    <w:uiPriority w:val="0"/>
    <w:pPr>
      <w:keepNext w:val="0"/>
      <w:keepLines w:val="0"/>
      <w:spacing w:before="120" w:after="120" w:line="500" w:lineRule="exact"/>
    </w:pPr>
    <w:rPr>
      <w:rFonts w:ascii="楷体_GB2312" w:hAnsi="楷体_GB2312" w:eastAsia="楷体_GB2312" w:cs="楷体_GB2312"/>
      <w:sz w:val="30"/>
      <w:szCs w:val="30"/>
    </w:rPr>
  </w:style>
  <w:style w:type="paragraph" w:customStyle="1" w:styleId="109">
    <w:name w:val="标题二!!!!!!!!!!!!!!!!"/>
    <w:basedOn w:val="108"/>
    <w:link w:val="106"/>
    <w:qFormat/>
    <w:uiPriority w:val="0"/>
  </w:style>
  <w:style w:type="character" w:customStyle="1" w:styleId="110">
    <w:name w:val="样式 题注 + 黑体 小四 加粗 Char"/>
    <w:basedOn w:val="58"/>
    <w:link w:val="111"/>
    <w:qFormat/>
    <w:uiPriority w:val="0"/>
    <w:rPr>
      <w:rFonts w:ascii="黑体" w:hAnsi="黑体" w:eastAsia="黑体" w:cs="宋体"/>
      <w:b/>
      <w:bCs/>
      <w:sz w:val="24"/>
      <w:szCs w:val="26"/>
    </w:rPr>
  </w:style>
  <w:style w:type="paragraph" w:customStyle="1" w:styleId="111">
    <w:name w:val="样式 题注 + 黑体 小四 加粗"/>
    <w:basedOn w:val="16"/>
    <w:link w:val="110"/>
    <w:qFormat/>
    <w:uiPriority w:val="0"/>
    <w:pPr>
      <w:spacing w:line="240" w:lineRule="auto"/>
      <w:ind w:firstLine="0" w:firstLineChars="0"/>
      <w:jc w:val="center"/>
    </w:pPr>
    <w:rPr>
      <w:rFonts w:ascii="黑体" w:hAnsi="黑体" w:cs="宋体"/>
      <w:b/>
      <w:bCs/>
    </w:rPr>
  </w:style>
  <w:style w:type="character" w:customStyle="1" w:styleId="112">
    <w:name w:val="题注 字符"/>
    <w:basedOn w:val="58"/>
    <w:link w:val="16"/>
    <w:qFormat/>
    <w:uiPriority w:val="35"/>
    <w:rPr>
      <w:rFonts w:ascii="Arial" w:hAnsi="Arial" w:eastAsia="黑体" w:cs="Arial"/>
      <w:sz w:val="24"/>
      <w:szCs w:val="26"/>
    </w:rPr>
  </w:style>
  <w:style w:type="character" w:customStyle="1" w:styleId="113">
    <w:name w:val="样式 正文首行缩进 2 + (符号) 宋体 + (符号) 宋体 Char Char"/>
    <w:basedOn w:val="114"/>
    <w:link w:val="116"/>
    <w:qFormat/>
    <w:uiPriority w:val="0"/>
    <w:rPr>
      <w:rFonts w:ascii="宋体" w:hAnsi="宋体" w:cs="宋体"/>
      <w:sz w:val="24"/>
      <w:szCs w:val="24"/>
    </w:rPr>
  </w:style>
  <w:style w:type="character" w:customStyle="1" w:styleId="114">
    <w:name w:val="样式 正文首行缩进 2 + (符号) 宋体 Char"/>
    <w:basedOn w:val="58"/>
    <w:link w:val="115"/>
    <w:qFormat/>
    <w:uiPriority w:val="0"/>
    <w:rPr>
      <w:rFonts w:ascii="宋体" w:hAnsi="宋体" w:cs="宋体"/>
      <w:sz w:val="24"/>
      <w:szCs w:val="24"/>
    </w:rPr>
  </w:style>
  <w:style w:type="paragraph" w:customStyle="1" w:styleId="115">
    <w:name w:val="样式 正文首行缩进 2 + (符号) 宋体"/>
    <w:basedOn w:val="55"/>
    <w:link w:val="114"/>
    <w:qFormat/>
    <w:uiPriority w:val="0"/>
    <w:pPr>
      <w:spacing w:after="0" w:line="360" w:lineRule="auto"/>
      <w:ind w:left="0" w:leftChars="0" w:firstLine="200"/>
    </w:pPr>
    <w:rPr>
      <w:sz w:val="24"/>
    </w:rPr>
  </w:style>
  <w:style w:type="paragraph" w:customStyle="1" w:styleId="116">
    <w:name w:val="样式 正文首行缩进 2 + (符号) 宋体 + (符号) 宋体"/>
    <w:basedOn w:val="115"/>
    <w:link w:val="113"/>
    <w:qFormat/>
    <w:uiPriority w:val="0"/>
  </w:style>
  <w:style w:type="character" w:customStyle="1" w:styleId="117">
    <w:name w:val="正文文本缩进 字符"/>
    <w:basedOn w:val="58"/>
    <w:link w:val="23"/>
    <w:qFormat/>
    <w:uiPriority w:val="0"/>
    <w:rPr>
      <w:rFonts w:ascii="宋体" w:hAnsi="宋体" w:cs="宋体"/>
      <w:color w:val="000000"/>
      <w:kern w:val="0"/>
      <w:sz w:val="24"/>
      <w:szCs w:val="26"/>
    </w:rPr>
  </w:style>
  <w:style w:type="character" w:customStyle="1" w:styleId="118">
    <w:name w:val="正文首行缩进 2 字符"/>
    <w:basedOn w:val="58"/>
    <w:link w:val="55"/>
    <w:qFormat/>
    <w:uiPriority w:val="0"/>
    <w:rPr>
      <w:rFonts w:ascii="宋体" w:hAnsi="宋体" w:cs="宋体"/>
      <w:szCs w:val="26"/>
    </w:rPr>
  </w:style>
  <w:style w:type="character" w:customStyle="1" w:styleId="119">
    <w:name w:val="正文(首行缩进)宋旭峰 Char Char"/>
    <w:basedOn w:val="58"/>
    <w:link w:val="120"/>
    <w:qFormat/>
    <w:uiPriority w:val="0"/>
    <w:rPr>
      <w:rFonts w:ascii="宋体" w:hAnsi="宋体" w:cs="宋体"/>
      <w:snapToGrid w:val="0"/>
      <w:sz w:val="24"/>
      <w:szCs w:val="24"/>
    </w:rPr>
  </w:style>
  <w:style w:type="paragraph" w:customStyle="1" w:styleId="120">
    <w:name w:val="正文(首行缩进)宋旭峰"/>
    <w:basedOn w:val="15"/>
    <w:link w:val="119"/>
    <w:qFormat/>
    <w:uiPriority w:val="0"/>
    <w:pPr>
      <w:spacing w:line="560" w:lineRule="exact"/>
      <w:ind w:firstLine="480" w:firstLineChars="200"/>
      <w:contextualSpacing/>
    </w:pPr>
    <w:rPr>
      <w:rFonts w:ascii="宋体" w:hAnsi="宋体" w:cs="宋体" w:eastAsiaTheme="minorEastAsia"/>
      <w:snapToGrid w:val="0"/>
      <w:sz w:val="24"/>
    </w:rPr>
  </w:style>
  <w:style w:type="character" w:customStyle="1" w:styleId="121">
    <w:name w:val="正文缩进 字符"/>
    <w:link w:val="15"/>
    <w:qFormat/>
    <w:uiPriority w:val="0"/>
    <w:rPr>
      <w:rFonts w:eastAsia="宋体"/>
      <w:szCs w:val="24"/>
    </w:rPr>
  </w:style>
  <w:style w:type="character" w:customStyle="1" w:styleId="122">
    <w:name w:val="样式 样式 标题 2 + 楷体_GB2312 + 字距调整三号 Char"/>
    <w:basedOn w:val="123"/>
    <w:link w:val="125"/>
    <w:qFormat/>
    <w:uiPriority w:val="0"/>
    <w:rPr>
      <w:rFonts w:ascii="楷体_GB2312" w:hAnsi="楷体_GB2312" w:eastAsia="楷体_GB2312" w:cs="宋体"/>
      <w:kern w:val="32"/>
      <w:sz w:val="30"/>
      <w:szCs w:val="30"/>
    </w:rPr>
  </w:style>
  <w:style w:type="character" w:customStyle="1" w:styleId="123">
    <w:name w:val="样式 标题 2 + 楷体_GB2312 Char"/>
    <w:basedOn w:val="58"/>
    <w:link w:val="124"/>
    <w:qFormat/>
    <w:uiPriority w:val="0"/>
    <w:rPr>
      <w:rFonts w:ascii="楷体_GB2312" w:hAnsi="楷体_GB2312" w:eastAsia="楷体_GB2312" w:cs="宋体"/>
      <w:b/>
      <w:bCs/>
      <w:sz w:val="30"/>
      <w:szCs w:val="32"/>
    </w:rPr>
  </w:style>
  <w:style w:type="paragraph" w:customStyle="1" w:styleId="124">
    <w:name w:val="样式 标题 2 + 楷体_GB2312"/>
    <w:basedOn w:val="4"/>
    <w:link w:val="123"/>
    <w:qFormat/>
    <w:uiPriority w:val="0"/>
    <w:pPr>
      <w:keepNext w:val="0"/>
      <w:keepLines w:val="0"/>
      <w:spacing w:before="120" w:after="120" w:line="500" w:lineRule="exact"/>
    </w:pPr>
    <w:rPr>
      <w:rFonts w:ascii="楷体_GB2312" w:hAnsi="楷体_GB2312" w:eastAsia="楷体_GB2312" w:cs="宋体"/>
      <w:sz w:val="30"/>
    </w:rPr>
  </w:style>
  <w:style w:type="paragraph" w:customStyle="1" w:styleId="125">
    <w:name w:val="样式 样式 标题 2 + 楷体_GB2312 + 字距调整三号"/>
    <w:basedOn w:val="124"/>
    <w:link w:val="122"/>
    <w:qFormat/>
    <w:uiPriority w:val="0"/>
    <w:rPr>
      <w:kern w:val="32"/>
      <w:szCs w:val="30"/>
    </w:rPr>
  </w:style>
  <w:style w:type="character" w:customStyle="1" w:styleId="126">
    <w:name w:val="222 Char"/>
    <w:basedOn w:val="58"/>
    <w:link w:val="127"/>
    <w:qFormat/>
    <w:uiPriority w:val="0"/>
    <w:rPr>
      <w:rFonts w:ascii="Arial" w:hAnsi="Arial" w:eastAsia="楷体_GB2312" w:cs="宋体"/>
      <w:b/>
      <w:bCs/>
      <w:sz w:val="24"/>
      <w:szCs w:val="28"/>
    </w:rPr>
  </w:style>
  <w:style w:type="paragraph" w:customStyle="1" w:styleId="127">
    <w:name w:val="222"/>
    <w:basedOn w:val="4"/>
    <w:link w:val="126"/>
    <w:qFormat/>
    <w:uiPriority w:val="0"/>
    <w:pPr>
      <w:keepLines w:val="0"/>
      <w:spacing w:before="0" w:after="0" w:line="360" w:lineRule="auto"/>
    </w:pPr>
    <w:rPr>
      <w:rFonts w:eastAsia="楷体_GB2312" w:cs="宋体"/>
      <w:sz w:val="24"/>
      <w:szCs w:val="28"/>
    </w:rPr>
  </w:style>
  <w:style w:type="character" w:customStyle="1" w:styleId="128">
    <w:name w:val="文档结构图 Char1"/>
    <w:basedOn w:val="58"/>
    <w:link w:val="129"/>
    <w:qFormat/>
    <w:uiPriority w:val="0"/>
    <w:rPr>
      <w:rFonts w:ascii="宋体" w:hAnsi="宋体" w:cs="宋体"/>
      <w:sz w:val="18"/>
      <w:szCs w:val="18"/>
    </w:rPr>
  </w:style>
  <w:style w:type="paragraph" w:customStyle="1" w:styleId="129">
    <w:name w:val="文档结构图1"/>
    <w:basedOn w:val="1"/>
    <w:link w:val="128"/>
    <w:qFormat/>
    <w:uiPriority w:val="0"/>
    <w:rPr>
      <w:rFonts w:ascii="宋体" w:hAnsi="宋体" w:cs="宋体" w:eastAsiaTheme="minorEastAsia"/>
      <w:sz w:val="18"/>
      <w:szCs w:val="18"/>
    </w:rPr>
  </w:style>
  <w:style w:type="character" w:customStyle="1" w:styleId="130">
    <w:name w:val="+正文 Char"/>
    <w:basedOn w:val="58"/>
    <w:link w:val="131"/>
    <w:qFormat/>
    <w:uiPriority w:val="0"/>
    <w:rPr>
      <w:rFonts w:ascii="宋体" w:hAnsi="宋体" w:cs="宋体"/>
      <w:sz w:val="24"/>
      <w:szCs w:val="28"/>
    </w:rPr>
  </w:style>
  <w:style w:type="paragraph" w:customStyle="1" w:styleId="131">
    <w:name w:val="+正文"/>
    <w:basedOn w:val="1"/>
    <w:link w:val="130"/>
    <w:qFormat/>
    <w:uiPriority w:val="0"/>
    <w:pPr>
      <w:spacing w:line="360" w:lineRule="auto"/>
      <w:ind w:firstLine="200" w:firstLineChars="200"/>
    </w:pPr>
    <w:rPr>
      <w:rFonts w:ascii="宋体" w:hAnsi="宋体" w:cs="宋体" w:eastAsiaTheme="minorEastAsia"/>
      <w:sz w:val="24"/>
      <w:szCs w:val="28"/>
    </w:rPr>
  </w:style>
  <w:style w:type="character" w:customStyle="1" w:styleId="132">
    <w:name w:val="正文001 Char"/>
    <w:basedOn w:val="58"/>
    <w:link w:val="133"/>
    <w:qFormat/>
    <w:uiPriority w:val="0"/>
    <w:rPr>
      <w:rFonts w:ascii="Arial" w:hAnsi="Arial" w:cs="宋体"/>
      <w:sz w:val="24"/>
      <w:szCs w:val="26"/>
    </w:rPr>
  </w:style>
  <w:style w:type="paragraph" w:customStyle="1" w:styleId="133">
    <w:name w:val="正文001"/>
    <w:basedOn w:val="1"/>
    <w:link w:val="132"/>
    <w:qFormat/>
    <w:uiPriority w:val="0"/>
    <w:pPr>
      <w:spacing w:before="60" w:line="360" w:lineRule="auto"/>
      <w:ind w:firstLine="200" w:firstLineChars="200"/>
    </w:pPr>
    <w:rPr>
      <w:rFonts w:ascii="Arial" w:hAnsi="Arial" w:cs="宋体" w:eastAsiaTheme="minorEastAsia"/>
      <w:sz w:val="24"/>
      <w:szCs w:val="26"/>
    </w:rPr>
  </w:style>
  <w:style w:type="character" w:customStyle="1" w:styleId="134">
    <w:name w:val="标题3 Char Char"/>
    <w:link w:val="135"/>
    <w:qFormat/>
    <w:uiPriority w:val="0"/>
    <w:rPr>
      <w:rFonts w:ascii="黑体" w:eastAsia="宋体"/>
      <w:b/>
      <w:bCs/>
      <w:color w:val="0000FF"/>
      <w:spacing w:val="6"/>
      <w:sz w:val="28"/>
      <w:szCs w:val="32"/>
    </w:rPr>
  </w:style>
  <w:style w:type="paragraph" w:customStyle="1" w:styleId="135">
    <w:name w:val="标题3"/>
    <w:basedOn w:val="5"/>
    <w:link w:val="134"/>
    <w:qFormat/>
    <w:uiPriority w:val="0"/>
    <w:pPr>
      <w:widowControl/>
      <w:tabs>
        <w:tab w:val="left" w:pos="720"/>
      </w:tabs>
      <w:spacing w:before="156" w:line="360" w:lineRule="auto"/>
    </w:pPr>
    <w:rPr>
      <w:rFonts w:eastAsia="宋体" w:hAnsiTheme="minorHAnsi" w:cstheme="minorBidi"/>
      <w:b/>
      <w:bCs/>
      <w:color w:val="0000FF"/>
      <w:sz w:val="28"/>
      <w:szCs w:val="32"/>
    </w:rPr>
  </w:style>
  <w:style w:type="character" w:customStyle="1" w:styleId="136">
    <w:name w:val="样式9 Char"/>
    <w:basedOn w:val="58"/>
    <w:link w:val="137"/>
    <w:qFormat/>
    <w:uiPriority w:val="0"/>
    <w:rPr>
      <w:rFonts w:ascii="宋体" w:hAnsi="宋体" w:cs="宋体"/>
      <w:sz w:val="24"/>
      <w:szCs w:val="26"/>
    </w:rPr>
  </w:style>
  <w:style w:type="paragraph" w:customStyle="1" w:styleId="137">
    <w:name w:val="样式9"/>
    <w:basedOn w:val="1"/>
    <w:link w:val="136"/>
    <w:qFormat/>
    <w:uiPriority w:val="0"/>
    <w:pPr>
      <w:spacing w:line="360" w:lineRule="auto"/>
      <w:ind w:firstLine="480" w:firstLineChars="200"/>
    </w:pPr>
    <w:rPr>
      <w:rFonts w:ascii="宋体" w:hAnsi="宋体" w:cs="宋体" w:eastAsiaTheme="minorEastAsia"/>
      <w:sz w:val="24"/>
      <w:szCs w:val="26"/>
    </w:rPr>
  </w:style>
  <w:style w:type="character" w:customStyle="1" w:styleId="138">
    <w:name w:val="表格文字-居中 Char Char"/>
    <w:link w:val="139"/>
    <w:qFormat/>
    <w:uiPriority w:val="0"/>
    <w:rPr>
      <w:rFonts w:eastAsia="宋体"/>
      <w:szCs w:val="21"/>
    </w:rPr>
  </w:style>
  <w:style w:type="paragraph" w:customStyle="1" w:styleId="139">
    <w:name w:val="表格文字-居中"/>
    <w:basedOn w:val="1"/>
    <w:link w:val="138"/>
    <w:qFormat/>
    <w:uiPriority w:val="0"/>
    <w:pPr>
      <w:widowControl/>
      <w:adjustRightInd w:val="0"/>
      <w:spacing w:line="400" w:lineRule="exact"/>
      <w:jc w:val="center"/>
      <w:textAlignment w:val="center"/>
    </w:pPr>
    <w:rPr>
      <w:rFonts w:asciiTheme="minorHAnsi" w:hAnsiTheme="minorHAnsi" w:cstheme="minorBidi"/>
      <w:szCs w:val="21"/>
    </w:rPr>
  </w:style>
  <w:style w:type="character" w:customStyle="1" w:styleId="140">
    <w:name w:val="特点标题 Char"/>
    <w:basedOn w:val="58"/>
    <w:qFormat/>
    <w:uiPriority w:val="0"/>
    <w:rPr>
      <w:rFonts w:ascii="宋体" w:hAnsi="宋体" w:eastAsia="宋体" w:cs="宋体"/>
      <w:kern w:val="2"/>
      <w:sz w:val="24"/>
      <w:szCs w:val="24"/>
      <w:lang w:val="en-US" w:eastAsia="zh-CN" w:bidi="ar-SA"/>
    </w:rPr>
  </w:style>
  <w:style w:type="character" w:customStyle="1" w:styleId="141">
    <w:name w:val="文本框小五 Char Char"/>
    <w:basedOn w:val="58"/>
    <w:link w:val="142"/>
    <w:qFormat/>
    <w:uiPriority w:val="0"/>
    <w:rPr>
      <w:rFonts w:ascii="宋体" w:hAnsi="宋体" w:eastAsia="仿宋_GB2312" w:cs="宋体"/>
      <w:sz w:val="18"/>
      <w:szCs w:val="21"/>
    </w:rPr>
  </w:style>
  <w:style w:type="paragraph" w:customStyle="1" w:styleId="142">
    <w:name w:val="文本框小五"/>
    <w:basedOn w:val="1"/>
    <w:link w:val="141"/>
    <w:qFormat/>
    <w:uiPriority w:val="0"/>
    <w:pPr>
      <w:jc w:val="center"/>
    </w:pPr>
    <w:rPr>
      <w:rFonts w:ascii="宋体" w:hAnsi="宋体" w:eastAsia="仿宋_GB2312" w:cs="宋体"/>
      <w:sz w:val="18"/>
      <w:szCs w:val="21"/>
    </w:rPr>
  </w:style>
  <w:style w:type="character" w:customStyle="1" w:styleId="143">
    <w:name w:val="样式 样式 标题 2节H2节标题 1.1二级标题标题 lxb21.1h2第一层条二级标题 Char表标题单位名... + 宋体... Char Char"/>
    <w:basedOn w:val="144"/>
    <w:link w:val="146"/>
    <w:qFormat/>
    <w:uiPriority w:val="0"/>
    <w:rPr>
      <w:rFonts w:ascii="宋体" w:hAnsi="宋体" w:eastAsia="黑体" w:cs="宋体"/>
      <w:color w:val="000000"/>
      <w:sz w:val="24"/>
      <w:szCs w:val="28"/>
    </w:rPr>
  </w:style>
  <w:style w:type="character" w:customStyle="1" w:styleId="144">
    <w:name w:val="样式 标题 2节H2节标题 1.1二级标题标题 lxb21.1h2第一层条二级标题 Char表标题单位名... Char Char"/>
    <w:basedOn w:val="58"/>
    <w:link w:val="145"/>
    <w:qFormat/>
    <w:uiPriority w:val="0"/>
    <w:rPr>
      <w:rFonts w:ascii="黑体" w:hAnsi="宋体" w:eastAsia="黑体" w:cs="宋体"/>
      <w:bCs/>
      <w:color w:val="000000"/>
      <w:sz w:val="28"/>
      <w:szCs w:val="28"/>
    </w:rPr>
  </w:style>
  <w:style w:type="paragraph" w:customStyle="1" w:styleId="145">
    <w:name w:val="样式 标题 2节H2节标题 1.1二级标题标题 lxb21.1h2第一层条二级标题 Char表标题单位名... Char"/>
    <w:basedOn w:val="4"/>
    <w:link w:val="144"/>
    <w:qFormat/>
    <w:uiPriority w:val="0"/>
    <w:pPr>
      <w:keepNext w:val="0"/>
      <w:keepLines w:val="0"/>
      <w:overflowPunct w:val="0"/>
      <w:autoSpaceDE w:val="0"/>
      <w:autoSpaceDN w:val="0"/>
      <w:adjustRightInd w:val="0"/>
      <w:spacing w:before="0" w:after="0" w:line="360" w:lineRule="auto"/>
      <w:ind w:left="314" w:hanging="314"/>
      <w:textAlignment w:val="baseline"/>
    </w:pPr>
    <w:rPr>
      <w:rFonts w:ascii="黑体" w:hAnsi="宋体" w:cs="宋体"/>
      <w:b w:val="0"/>
      <w:color w:val="000000"/>
      <w:szCs w:val="28"/>
    </w:rPr>
  </w:style>
  <w:style w:type="paragraph" w:customStyle="1" w:styleId="146">
    <w:name w:val="样式 样式 标题 2节H2节标题 1.1二级标题标题 lxb21.1h2第一层条二级标题 Char表标题单位名... + 宋体... Char"/>
    <w:basedOn w:val="145"/>
    <w:link w:val="143"/>
    <w:qFormat/>
    <w:uiPriority w:val="0"/>
    <w:pPr>
      <w:ind w:left="0"/>
    </w:pPr>
    <w:rPr>
      <w:rFonts w:ascii="宋体"/>
      <w:sz w:val="24"/>
    </w:rPr>
  </w:style>
  <w:style w:type="character" w:customStyle="1" w:styleId="147">
    <w:name w:val="文档结构图 字符"/>
    <w:basedOn w:val="58"/>
    <w:link w:val="17"/>
    <w:qFormat/>
    <w:uiPriority w:val="0"/>
    <w:rPr>
      <w:rFonts w:ascii="宋体" w:hAnsi="宋体" w:eastAsia="宋体" w:cs="宋体"/>
      <w:szCs w:val="24"/>
      <w:shd w:val="clear" w:color="auto" w:fill="000080"/>
    </w:rPr>
  </w:style>
  <w:style w:type="character" w:customStyle="1" w:styleId="148">
    <w:name w:val="纯文本 Char"/>
    <w:qFormat/>
    <w:uiPriority w:val="0"/>
    <w:rPr>
      <w:rFonts w:ascii="宋体" w:hAnsi="Courier New" w:eastAsia="宋体"/>
      <w:kern w:val="2"/>
      <w:sz w:val="28"/>
      <w:lang w:val="en-US" w:eastAsia="zh-CN" w:bidi="ar-SA"/>
    </w:rPr>
  </w:style>
  <w:style w:type="character" w:customStyle="1" w:styleId="149">
    <w:name w:val="表格文字 Char"/>
    <w:basedOn w:val="58"/>
    <w:link w:val="150"/>
    <w:qFormat/>
    <w:uiPriority w:val="0"/>
    <w:rPr>
      <w:rFonts w:ascii="宋体" w:hAnsi="宋体" w:eastAsia="宋体" w:cs="宋体"/>
      <w:szCs w:val="21"/>
    </w:rPr>
  </w:style>
  <w:style w:type="paragraph" w:customStyle="1" w:styleId="150">
    <w:name w:val="表格文字"/>
    <w:basedOn w:val="22"/>
    <w:next w:val="1"/>
    <w:link w:val="149"/>
    <w:qFormat/>
    <w:uiPriority w:val="0"/>
    <w:pPr>
      <w:adjustRightInd w:val="0"/>
      <w:spacing w:line="400" w:lineRule="exact"/>
      <w:jc w:val="center"/>
      <w:textAlignment w:val="baseline"/>
    </w:pPr>
    <w:rPr>
      <w:rFonts w:ascii="宋体" w:hAnsi="宋体" w:cs="宋体"/>
      <w:szCs w:val="21"/>
    </w:rPr>
  </w:style>
  <w:style w:type="character" w:customStyle="1" w:styleId="151">
    <w:name w:val="正文样式1 Char"/>
    <w:basedOn w:val="58"/>
    <w:link w:val="152"/>
    <w:qFormat/>
    <w:uiPriority w:val="0"/>
    <w:rPr>
      <w:rFonts w:ascii="宋体" w:hAnsi="宋体" w:eastAsia="宋体" w:cs="Calibri"/>
      <w:sz w:val="28"/>
      <w:szCs w:val="26"/>
    </w:rPr>
  </w:style>
  <w:style w:type="paragraph" w:customStyle="1" w:styleId="152">
    <w:name w:val="正文样式1"/>
    <w:basedOn w:val="1"/>
    <w:link w:val="151"/>
    <w:qFormat/>
    <w:uiPriority w:val="0"/>
    <w:pPr>
      <w:adjustRightInd w:val="0"/>
      <w:spacing w:line="480" w:lineRule="atLeast"/>
      <w:ind w:firstLine="567"/>
      <w:jc w:val="left"/>
      <w:textAlignment w:val="baseline"/>
    </w:pPr>
    <w:rPr>
      <w:rFonts w:ascii="宋体" w:hAnsi="宋体" w:cs="Calibri"/>
      <w:sz w:val="28"/>
      <w:szCs w:val="26"/>
    </w:rPr>
  </w:style>
  <w:style w:type="character" w:customStyle="1" w:styleId="153">
    <w:name w:val="报告 Char"/>
    <w:basedOn w:val="58"/>
    <w:link w:val="154"/>
    <w:qFormat/>
    <w:uiPriority w:val="0"/>
    <w:rPr>
      <w:rFonts w:ascii="宋体" w:hAnsi="宋体" w:cs="宋体"/>
      <w:sz w:val="24"/>
      <w:szCs w:val="26"/>
    </w:rPr>
  </w:style>
  <w:style w:type="paragraph" w:customStyle="1" w:styleId="154">
    <w:name w:val="报告"/>
    <w:basedOn w:val="1"/>
    <w:link w:val="153"/>
    <w:qFormat/>
    <w:uiPriority w:val="0"/>
    <w:pPr>
      <w:adjustRightInd w:val="0"/>
      <w:spacing w:line="360" w:lineRule="auto"/>
      <w:ind w:firstLine="505"/>
      <w:textAlignment w:val="center"/>
    </w:pPr>
    <w:rPr>
      <w:rFonts w:ascii="宋体" w:hAnsi="宋体" w:cs="宋体" w:eastAsiaTheme="minorEastAsia"/>
      <w:sz w:val="24"/>
      <w:szCs w:val="26"/>
    </w:rPr>
  </w:style>
  <w:style w:type="character" w:customStyle="1" w:styleId="155">
    <w:name w:val="Char Char4"/>
    <w:basedOn w:val="58"/>
    <w:qFormat/>
    <w:uiPriority w:val="0"/>
    <w:rPr>
      <w:rFonts w:ascii="宋体" w:hAnsi="宋体" w:eastAsia="宋体" w:cs="宋体"/>
      <w:b/>
      <w:bCs/>
      <w:spacing w:val="4"/>
      <w:kern w:val="44"/>
      <w:sz w:val="44"/>
      <w:szCs w:val="44"/>
      <w:lang w:val="en-US" w:eastAsia="zh-CN" w:bidi="ar-SA"/>
    </w:rPr>
  </w:style>
  <w:style w:type="character" w:customStyle="1" w:styleId="156">
    <w:name w:val="标题三A Char"/>
    <w:basedOn w:val="58"/>
    <w:link w:val="157"/>
    <w:qFormat/>
    <w:uiPriority w:val="0"/>
    <w:rPr>
      <w:rFonts w:ascii="华文仿宋" w:hAnsi="华文仿宋" w:eastAsia="华文仿宋" w:cs="宋体"/>
      <w:b/>
      <w:bCs/>
      <w:sz w:val="28"/>
      <w:szCs w:val="28"/>
    </w:rPr>
  </w:style>
  <w:style w:type="paragraph" w:customStyle="1" w:styleId="157">
    <w:name w:val="标题三A"/>
    <w:basedOn w:val="5"/>
    <w:link w:val="156"/>
    <w:qFormat/>
    <w:uiPriority w:val="0"/>
    <w:pPr>
      <w:keepNext w:val="0"/>
      <w:keepLines w:val="0"/>
      <w:spacing w:before="0" w:line="500" w:lineRule="exact"/>
    </w:pPr>
    <w:rPr>
      <w:rFonts w:ascii="华文仿宋" w:hAnsi="华文仿宋" w:eastAsia="华文仿宋" w:cs="宋体"/>
      <w:b/>
      <w:bCs/>
      <w:spacing w:val="0"/>
      <w:sz w:val="28"/>
      <w:szCs w:val="28"/>
    </w:rPr>
  </w:style>
  <w:style w:type="character" w:customStyle="1" w:styleId="158">
    <w:name w:val="报告正文 Char1"/>
    <w:basedOn w:val="58"/>
    <w:qFormat/>
    <w:uiPriority w:val="0"/>
    <w:rPr>
      <w:rFonts w:ascii="宋体" w:hAnsi="宋体" w:eastAsia="宋体" w:cs="宋体"/>
      <w:bCs/>
      <w:spacing w:val="-4"/>
      <w:kern w:val="2"/>
      <w:sz w:val="24"/>
      <w:szCs w:val="24"/>
      <w:lang w:val="en-US" w:eastAsia="zh-CN" w:bidi="ar-SA"/>
    </w:rPr>
  </w:style>
  <w:style w:type="character" w:customStyle="1" w:styleId="159">
    <w:name w:val="样式 楷体_GB2312 小四 居中 行距: 单倍行距 Char"/>
    <w:basedOn w:val="58"/>
    <w:link w:val="160"/>
    <w:qFormat/>
    <w:uiPriority w:val="0"/>
    <w:rPr>
      <w:rFonts w:ascii="宋体" w:hAnsi="宋体" w:eastAsia="楷体_GB2312" w:cs="宋体"/>
      <w:sz w:val="24"/>
      <w:szCs w:val="24"/>
    </w:rPr>
  </w:style>
  <w:style w:type="paragraph" w:customStyle="1" w:styleId="160">
    <w:name w:val="样式 楷体_GB2312 小四 居中 行距: 单倍行距"/>
    <w:basedOn w:val="1"/>
    <w:link w:val="159"/>
    <w:qFormat/>
    <w:uiPriority w:val="0"/>
    <w:pPr>
      <w:jc w:val="center"/>
    </w:pPr>
    <w:rPr>
      <w:rFonts w:ascii="宋体" w:hAnsi="宋体" w:eastAsia="楷体_GB2312" w:cs="宋体"/>
      <w:sz w:val="24"/>
    </w:rPr>
  </w:style>
  <w:style w:type="character" w:customStyle="1" w:styleId="161">
    <w:name w:val="正文(首行缩进) Char"/>
    <w:basedOn w:val="58"/>
    <w:link w:val="162"/>
    <w:qFormat/>
    <w:uiPriority w:val="0"/>
    <w:rPr>
      <w:rFonts w:ascii="宋体" w:hAnsi="宋体" w:eastAsia="宋体" w:cs="宋体"/>
      <w:snapToGrid w:val="0"/>
      <w:color w:val="000000"/>
      <w:sz w:val="24"/>
      <w:szCs w:val="26"/>
    </w:rPr>
  </w:style>
  <w:style w:type="paragraph" w:customStyle="1" w:styleId="162">
    <w:name w:val="正文(首行缩进)"/>
    <w:basedOn w:val="1"/>
    <w:link w:val="161"/>
    <w:qFormat/>
    <w:uiPriority w:val="0"/>
    <w:pPr>
      <w:spacing w:line="360" w:lineRule="auto"/>
      <w:ind w:firstLine="540" w:firstLineChars="225"/>
    </w:pPr>
    <w:rPr>
      <w:rFonts w:ascii="宋体" w:hAnsi="宋体" w:cs="宋体"/>
      <w:snapToGrid w:val="0"/>
      <w:color w:val="000000"/>
      <w:sz w:val="24"/>
      <w:szCs w:val="26"/>
    </w:rPr>
  </w:style>
  <w:style w:type="character" w:customStyle="1" w:styleId="163">
    <w:name w:val="上标"/>
    <w:basedOn w:val="58"/>
    <w:qFormat/>
    <w:uiPriority w:val="0"/>
    <w:rPr>
      <w:rFonts w:ascii="宋体" w:hAnsi="宋体" w:cs="宋体"/>
      <w:sz w:val="24"/>
      <w:szCs w:val="26"/>
      <w:vertAlign w:val="superscript"/>
    </w:rPr>
  </w:style>
  <w:style w:type="character" w:customStyle="1" w:styleId="164">
    <w:name w:val="注释标题 字符"/>
    <w:basedOn w:val="58"/>
    <w:link w:val="13"/>
    <w:qFormat/>
    <w:uiPriority w:val="0"/>
    <w:rPr>
      <w:rFonts w:ascii="宋体" w:hAnsi="宋体" w:eastAsia="黑体" w:cs="宋体"/>
      <w:sz w:val="24"/>
      <w:szCs w:val="24"/>
    </w:rPr>
  </w:style>
  <w:style w:type="character" w:customStyle="1" w:styleId="165">
    <w:name w:val="正文A Char"/>
    <w:basedOn w:val="166"/>
    <w:link w:val="170"/>
    <w:qFormat/>
    <w:uiPriority w:val="0"/>
    <w:rPr>
      <w:rFonts w:ascii="华文仿宋" w:hAnsi="华文仿宋" w:eastAsia="华文仿宋" w:cs="宋体"/>
      <w:sz w:val="24"/>
      <w:szCs w:val="24"/>
    </w:rPr>
  </w:style>
  <w:style w:type="character" w:customStyle="1" w:styleId="166">
    <w:name w:val="正文!!!!!!!!!!! Char"/>
    <w:basedOn w:val="167"/>
    <w:link w:val="169"/>
    <w:qFormat/>
    <w:uiPriority w:val="0"/>
    <w:rPr>
      <w:rFonts w:ascii="华文仿宋" w:hAnsi="华文仿宋" w:eastAsia="华文仿宋" w:cs="宋体"/>
      <w:sz w:val="24"/>
      <w:szCs w:val="24"/>
    </w:rPr>
  </w:style>
  <w:style w:type="character" w:customStyle="1" w:styleId="167">
    <w:name w:val="正文 楷体 Char Char"/>
    <w:basedOn w:val="58"/>
    <w:link w:val="168"/>
    <w:qFormat/>
    <w:uiPriority w:val="0"/>
    <w:rPr>
      <w:rFonts w:ascii="华文仿宋" w:hAnsi="华文仿宋" w:eastAsia="华文仿宋" w:cs="宋体"/>
      <w:sz w:val="24"/>
      <w:szCs w:val="24"/>
    </w:rPr>
  </w:style>
  <w:style w:type="paragraph" w:customStyle="1" w:styleId="168">
    <w:name w:val="正文 楷体"/>
    <w:basedOn w:val="1"/>
    <w:link w:val="167"/>
    <w:qFormat/>
    <w:uiPriority w:val="0"/>
    <w:pPr>
      <w:spacing w:line="500" w:lineRule="exact"/>
      <w:ind w:firstLine="200" w:firstLineChars="200"/>
      <w:jc w:val="left"/>
    </w:pPr>
    <w:rPr>
      <w:rFonts w:ascii="华文仿宋" w:hAnsi="华文仿宋" w:eastAsia="华文仿宋" w:cs="宋体"/>
      <w:sz w:val="24"/>
    </w:rPr>
  </w:style>
  <w:style w:type="paragraph" w:customStyle="1" w:styleId="169">
    <w:name w:val="正文!!!!!!!!!!!"/>
    <w:basedOn w:val="168"/>
    <w:link w:val="166"/>
    <w:qFormat/>
    <w:uiPriority w:val="0"/>
    <w:pPr>
      <w:ind w:firstLine="480"/>
      <w:jc w:val="both"/>
    </w:pPr>
  </w:style>
  <w:style w:type="paragraph" w:customStyle="1" w:styleId="170">
    <w:name w:val="正文A"/>
    <w:basedOn w:val="169"/>
    <w:link w:val="165"/>
    <w:qFormat/>
    <w:uiPriority w:val="0"/>
  </w:style>
  <w:style w:type="character" w:customStyle="1" w:styleId="171">
    <w:name w:val="可研正文 Char"/>
    <w:basedOn w:val="172"/>
    <w:link w:val="174"/>
    <w:qFormat/>
    <w:uiPriority w:val="0"/>
    <w:rPr>
      <w:rFonts w:ascii="宋体" w:hAnsi="Arial" w:eastAsia="楷体_GB2312" w:cs="宋体"/>
      <w:sz w:val="24"/>
      <w:szCs w:val="24"/>
    </w:rPr>
  </w:style>
  <w:style w:type="character" w:customStyle="1" w:styleId="172">
    <w:name w:val="正文样式 Char"/>
    <w:basedOn w:val="58"/>
    <w:link w:val="173"/>
    <w:qFormat/>
    <w:uiPriority w:val="0"/>
    <w:rPr>
      <w:rFonts w:ascii="楷体_GB2312" w:hAnsi="宋体" w:eastAsia="楷体_GB2312" w:cs="宋体"/>
      <w:sz w:val="24"/>
      <w:szCs w:val="24"/>
    </w:rPr>
  </w:style>
  <w:style w:type="paragraph" w:customStyle="1" w:styleId="173">
    <w:name w:val="正文样式"/>
    <w:basedOn w:val="1"/>
    <w:link w:val="172"/>
    <w:qFormat/>
    <w:uiPriority w:val="0"/>
    <w:pPr>
      <w:adjustRightInd w:val="0"/>
      <w:spacing w:line="360" w:lineRule="auto"/>
      <w:ind w:firstLine="480" w:firstLineChars="200"/>
    </w:pPr>
    <w:rPr>
      <w:rFonts w:ascii="楷体_GB2312" w:hAnsi="宋体" w:eastAsia="楷体_GB2312" w:cs="宋体"/>
      <w:sz w:val="24"/>
    </w:rPr>
  </w:style>
  <w:style w:type="paragraph" w:customStyle="1" w:styleId="174">
    <w:name w:val="可研正文"/>
    <w:basedOn w:val="173"/>
    <w:link w:val="171"/>
    <w:qFormat/>
    <w:uiPriority w:val="0"/>
    <w:pPr>
      <w:snapToGrid w:val="0"/>
      <w:spacing w:line="440" w:lineRule="exact"/>
      <w:ind w:firstLine="200"/>
    </w:pPr>
    <w:rPr>
      <w:rFonts w:ascii="宋体" w:hAnsi="Arial"/>
    </w:rPr>
  </w:style>
  <w:style w:type="character" w:customStyle="1" w:styleId="175">
    <w:name w:val="样式 样式 楷体_GB2312 小四 居中 行距: 单倍行距 + 宋体 Char"/>
    <w:basedOn w:val="159"/>
    <w:link w:val="176"/>
    <w:qFormat/>
    <w:uiPriority w:val="0"/>
    <w:rPr>
      <w:rFonts w:ascii="宋体" w:hAnsi="宋体" w:eastAsia="楷体_GB2312" w:cs="宋体"/>
      <w:sz w:val="24"/>
      <w:szCs w:val="24"/>
    </w:rPr>
  </w:style>
  <w:style w:type="paragraph" w:customStyle="1" w:styleId="176">
    <w:name w:val="样式 样式 楷体_GB2312 小四 居中 行距: 单倍行距 + 宋体"/>
    <w:basedOn w:val="160"/>
    <w:link w:val="175"/>
    <w:qFormat/>
    <w:uiPriority w:val="0"/>
  </w:style>
  <w:style w:type="character" w:customStyle="1" w:styleId="177">
    <w:name w:val="样式 标题 3 Char"/>
    <w:basedOn w:val="58"/>
    <w:link w:val="178"/>
    <w:qFormat/>
    <w:uiPriority w:val="0"/>
    <w:rPr>
      <w:rFonts w:ascii="黑体" w:hAnsi="宋体" w:eastAsia="黑体" w:cs="宋体"/>
      <w:b/>
      <w:bCs/>
      <w:color w:val="FF0000"/>
      <w:sz w:val="24"/>
      <w:szCs w:val="32"/>
    </w:rPr>
  </w:style>
  <w:style w:type="paragraph" w:customStyle="1" w:styleId="178">
    <w:name w:val="样式 标题 3"/>
    <w:basedOn w:val="5"/>
    <w:link w:val="177"/>
    <w:qFormat/>
    <w:uiPriority w:val="0"/>
    <w:pPr>
      <w:spacing w:before="0" w:line="360" w:lineRule="auto"/>
    </w:pPr>
    <w:rPr>
      <w:rFonts w:hAnsi="宋体" w:cs="宋体"/>
      <w:b/>
      <w:bCs/>
      <w:color w:val="FF0000"/>
      <w:spacing w:val="0"/>
      <w:szCs w:val="32"/>
    </w:rPr>
  </w:style>
  <w:style w:type="character" w:customStyle="1" w:styleId="179">
    <w:name w:val="Char Char Char Char Char Char Char Char"/>
    <w:link w:val="180"/>
    <w:qFormat/>
    <w:uiPriority w:val="0"/>
    <w:rPr>
      <w:rFonts w:ascii="宋体" w:hAnsi="宋体"/>
      <w:b/>
      <w:szCs w:val="24"/>
    </w:rPr>
  </w:style>
  <w:style w:type="paragraph" w:customStyle="1" w:styleId="180">
    <w:name w:val="Char3"/>
    <w:basedOn w:val="1"/>
    <w:link w:val="179"/>
    <w:qFormat/>
    <w:uiPriority w:val="0"/>
    <w:pPr>
      <w:widowControl/>
      <w:snapToGrid w:val="0"/>
      <w:spacing w:line="360" w:lineRule="auto"/>
      <w:ind w:firstLine="529" w:firstLineChars="200"/>
      <w:jc w:val="left"/>
    </w:pPr>
    <w:rPr>
      <w:rFonts w:ascii="宋体" w:hAnsi="宋体" w:eastAsiaTheme="minorEastAsia" w:cstheme="minorBidi"/>
      <w:b/>
    </w:rPr>
  </w:style>
  <w:style w:type="character" w:customStyle="1" w:styleId="181">
    <w:name w:val="正文JWJ Char"/>
    <w:basedOn w:val="58"/>
    <w:link w:val="182"/>
    <w:semiHidden/>
    <w:qFormat/>
    <w:uiPriority w:val="0"/>
    <w:rPr>
      <w:rFonts w:ascii="宋体" w:hAnsi="宋体" w:cs="宋体"/>
      <w:sz w:val="24"/>
      <w:szCs w:val="24"/>
    </w:rPr>
  </w:style>
  <w:style w:type="paragraph" w:customStyle="1" w:styleId="182">
    <w:name w:val="正文JWJ"/>
    <w:basedOn w:val="1"/>
    <w:link w:val="181"/>
    <w:semiHidden/>
    <w:qFormat/>
    <w:uiPriority w:val="0"/>
    <w:pPr>
      <w:spacing w:line="360" w:lineRule="auto"/>
      <w:ind w:firstLine="480" w:firstLineChars="200"/>
    </w:pPr>
    <w:rPr>
      <w:rFonts w:ascii="宋体" w:hAnsi="宋体" w:cs="宋体" w:eastAsiaTheme="minorEastAsia"/>
      <w:sz w:val="24"/>
    </w:rPr>
  </w:style>
  <w:style w:type="character" w:customStyle="1" w:styleId="183">
    <w:name w:val="tz_input"/>
    <w:basedOn w:val="58"/>
    <w:qFormat/>
    <w:uiPriority w:val="0"/>
    <w:rPr>
      <w:rFonts w:ascii="宋体" w:hAnsi="宋体" w:cs="宋体"/>
      <w:color w:val="A01211"/>
      <w:sz w:val="24"/>
      <w:szCs w:val="24"/>
    </w:rPr>
  </w:style>
  <w:style w:type="character" w:customStyle="1" w:styleId="184">
    <w:name w:val="标题5 Char Char1"/>
    <w:basedOn w:val="58"/>
    <w:link w:val="185"/>
    <w:qFormat/>
    <w:uiPriority w:val="0"/>
    <w:rPr>
      <w:rFonts w:ascii="宋体" w:hAnsi="宋体" w:cs="宋体"/>
      <w:b/>
      <w:spacing w:val="10"/>
      <w:sz w:val="28"/>
      <w:szCs w:val="26"/>
    </w:rPr>
  </w:style>
  <w:style w:type="paragraph" w:customStyle="1" w:styleId="185">
    <w:name w:val="标题5"/>
    <w:basedOn w:val="15"/>
    <w:link w:val="184"/>
    <w:qFormat/>
    <w:uiPriority w:val="0"/>
    <w:pPr>
      <w:tabs>
        <w:tab w:val="left" w:pos="900"/>
      </w:tabs>
      <w:ind w:left="900" w:hanging="900"/>
    </w:pPr>
    <w:rPr>
      <w:rFonts w:ascii="宋体" w:hAnsi="宋体" w:cs="宋体" w:eastAsiaTheme="minorEastAsia"/>
      <w:b/>
      <w:spacing w:val="10"/>
      <w:sz w:val="28"/>
      <w:szCs w:val="26"/>
    </w:rPr>
  </w:style>
  <w:style w:type="character" w:customStyle="1" w:styleId="186">
    <w:name w:val="正文文本 2 字符"/>
    <w:basedOn w:val="58"/>
    <w:link w:val="49"/>
    <w:qFormat/>
    <w:uiPriority w:val="0"/>
    <w:rPr>
      <w:rFonts w:ascii="宋体" w:hAnsi="宋体" w:eastAsia="宋体" w:cs="宋体"/>
      <w:szCs w:val="24"/>
    </w:rPr>
  </w:style>
  <w:style w:type="character" w:customStyle="1" w:styleId="187">
    <w:name w:val="报告书正文 Char"/>
    <w:basedOn w:val="58"/>
    <w:link w:val="188"/>
    <w:qFormat/>
    <w:uiPriority w:val="0"/>
    <w:rPr>
      <w:rFonts w:ascii="宋体" w:hAnsi="宋体" w:eastAsia="宋体" w:cs="宋体"/>
      <w:sz w:val="28"/>
      <w:szCs w:val="28"/>
    </w:rPr>
  </w:style>
  <w:style w:type="paragraph" w:customStyle="1" w:styleId="188">
    <w:name w:val="报告书正文"/>
    <w:basedOn w:val="1"/>
    <w:link w:val="187"/>
    <w:qFormat/>
    <w:uiPriority w:val="0"/>
    <w:pPr>
      <w:autoSpaceDE w:val="0"/>
      <w:autoSpaceDN w:val="0"/>
      <w:spacing w:line="520" w:lineRule="exact"/>
      <w:ind w:firstLine="200" w:firstLineChars="200"/>
    </w:pPr>
    <w:rPr>
      <w:rFonts w:ascii="宋体" w:hAnsi="宋体" w:cs="宋体"/>
      <w:sz w:val="28"/>
      <w:szCs w:val="28"/>
    </w:rPr>
  </w:style>
  <w:style w:type="character" w:customStyle="1" w:styleId="189">
    <w:name w:val="项目正文内容 Char1"/>
    <w:basedOn w:val="58"/>
    <w:link w:val="190"/>
    <w:qFormat/>
    <w:uiPriority w:val="0"/>
    <w:rPr>
      <w:rFonts w:ascii="宋体" w:hAnsi="Courier New" w:cs="宋体"/>
      <w:sz w:val="24"/>
      <w:szCs w:val="21"/>
    </w:rPr>
  </w:style>
  <w:style w:type="paragraph" w:customStyle="1" w:styleId="190">
    <w:name w:val="项目正文内容"/>
    <w:basedOn w:val="1"/>
    <w:link w:val="189"/>
    <w:qFormat/>
    <w:uiPriority w:val="0"/>
    <w:pPr>
      <w:adjustRightInd w:val="0"/>
      <w:snapToGrid w:val="0"/>
      <w:spacing w:line="360" w:lineRule="auto"/>
      <w:ind w:firstLine="200" w:firstLineChars="200"/>
    </w:pPr>
    <w:rPr>
      <w:rFonts w:ascii="宋体" w:hAnsi="Courier New" w:cs="宋体" w:eastAsiaTheme="minorEastAsia"/>
      <w:sz w:val="24"/>
      <w:szCs w:val="21"/>
    </w:rPr>
  </w:style>
  <w:style w:type="character" w:customStyle="1" w:styleId="191">
    <w:name w:val="正文86 Char"/>
    <w:basedOn w:val="192"/>
    <w:link w:val="194"/>
    <w:qFormat/>
    <w:uiPriority w:val="0"/>
    <w:rPr>
      <w:rFonts w:ascii="楷体_GB2312" w:hAnsi="宋体" w:eastAsia="楷体_GB2312" w:cs="宋体"/>
      <w:sz w:val="24"/>
      <w:szCs w:val="24"/>
    </w:rPr>
  </w:style>
  <w:style w:type="character" w:customStyle="1" w:styleId="192">
    <w:name w:val="正文88 Char"/>
    <w:basedOn w:val="58"/>
    <w:link w:val="193"/>
    <w:qFormat/>
    <w:uiPriority w:val="0"/>
    <w:rPr>
      <w:rFonts w:ascii="楷体_GB2312" w:hAnsi="宋体" w:eastAsia="楷体_GB2312" w:cs="宋体"/>
      <w:sz w:val="24"/>
      <w:szCs w:val="24"/>
    </w:rPr>
  </w:style>
  <w:style w:type="paragraph" w:customStyle="1" w:styleId="193">
    <w:name w:val="正文88"/>
    <w:basedOn w:val="1"/>
    <w:link w:val="192"/>
    <w:qFormat/>
    <w:uiPriority w:val="0"/>
    <w:pPr>
      <w:tabs>
        <w:tab w:val="left" w:pos="567"/>
      </w:tabs>
      <w:adjustRightInd w:val="0"/>
      <w:spacing w:line="500" w:lineRule="exact"/>
      <w:ind w:firstLine="480" w:firstLineChars="200"/>
    </w:pPr>
    <w:rPr>
      <w:rFonts w:ascii="楷体_GB2312" w:hAnsi="宋体" w:eastAsia="楷体_GB2312" w:cs="宋体"/>
      <w:sz w:val="24"/>
    </w:rPr>
  </w:style>
  <w:style w:type="paragraph" w:customStyle="1" w:styleId="194">
    <w:name w:val="正文86"/>
    <w:basedOn w:val="193"/>
    <w:link w:val="191"/>
    <w:qFormat/>
    <w:uiPriority w:val="0"/>
  </w:style>
  <w:style w:type="character" w:customStyle="1" w:styleId="195">
    <w:name w:val="表格后空行 Char Char"/>
    <w:basedOn w:val="58"/>
    <w:link w:val="196"/>
    <w:qFormat/>
    <w:uiPriority w:val="0"/>
    <w:rPr>
      <w:rFonts w:ascii="宋体" w:hAnsi="宋体" w:cs="宋体"/>
      <w:color w:val="000000"/>
      <w:szCs w:val="26"/>
      <w:u w:color="000000"/>
    </w:rPr>
  </w:style>
  <w:style w:type="paragraph" w:customStyle="1" w:styleId="196">
    <w:name w:val="表格后空行"/>
    <w:basedOn w:val="1"/>
    <w:link w:val="195"/>
    <w:qFormat/>
    <w:uiPriority w:val="0"/>
    <w:pPr>
      <w:widowControl/>
      <w:spacing w:line="240" w:lineRule="exact"/>
      <w:textAlignment w:val="baseline"/>
    </w:pPr>
    <w:rPr>
      <w:rFonts w:ascii="宋体" w:hAnsi="宋体" w:cs="宋体" w:eastAsiaTheme="minorEastAsia"/>
      <w:color w:val="000000"/>
      <w:szCs w:val="26"/>
      <w:u w:color="000000"/>
    </w:rPr>
  </w:style>
  <w:style w:type="character" w:customStyle="1" w:styleId="197">
    <w:name w:val="标题四！！！！！！！！！！！！！！！！！！ Char"/>
    <w:basedOn w:val="58"/>
    <w:link w:val="198"/>
    <w:qFormat/>
    <w:uiPriority w:val="0"/>
    <w:rPr>
      <w:rFonts w:ascii="楷体_GB2312" w:hAnsi="宋体" w:eastAsia="楷体_GB2312" w:cs="宋体"/>
      <w:b/>
      <w:sz w:val="24"/>
      <w:szCs w:val="21"/>
    </w:rPr>
  </w:style>
  <w:style w:type="paragraph" w:customStyle="1" w:styleId="198">
    <w:name w:val="标题四！！！！！！！！！！！！！！！！！！"/>
    <w:basedOn w:val="1"/>
    <w:link w:val="197"/>
    <w:qFormat/>
    <w:uiPriority w:val="0"/>
    <w:pPr>
      <w:spacing w:line="500" w:lineRule="exact"/>
    </w:pPr>
    <w:rPr>
      <w:rFonts w:ascii="楷体_GB2312" w:hAnsi="宋体" w:eastAsia="楷体_GB2312" w:cs="宋体"/>
      <w:b/>
      <w:sz w:val="24"/>
      <w:szCs w:val="21"/>
    </w:rPr>
  </w:style>
  <w:style w:type="character" w:customStyle="1" w:styleId="199">
    <w:name w:val="样式 标题 3H3B Head标题 3 Char条标题1.1.1三级标题标题3h33rd level第二层条...1 Char Char"/>
    <w:basedOn w:val="58"/>
    <w:link w:val="200"/>
    <w:qFormat/>
    <w:uiPriority w:val="0"/>
    <w:rPr>
      <w:rFonts w:ascii="黑体" w:hAnsi="宋体" w:eastAsia="黑体" w:cs="宋体"/>
      <w:b/>
      <w:bCs/>
      <w:snapToGrid w:val="0"/>
      <w:color w:val="FF0000"/>
      <w:sz w:val="24"/>
      <w:szCs w:val="24"/>
    </w:rPr>
  </w:style>
  <w:style w:type="paragraph" w:customStyle="1" w:styleId="200">
    <w:name w:val="样式 标题 3H3B Head标题 3 Char条标题1.1.1三级标题标题3h33rd level第二层条...1 Char"/>
    <w:basedOn w:val="5"/>
    <w:link w:val="199"/>
    <w:qFormat/>
    <w:uiPriority w:val="0"/>
    <w:pPr>
      <w:keepNext w:val="0"/>
      <w:keepLines w:val="0"/>
      <w:overflowPunct w:val="0"/>
      <w:autoSpaceDE w:val="0"/>
      <w:autoSpaceDN w:val="0"/>
      <w:adjustRightInd w:val="0"/>
      <w:snapToGrid w:val="0"/>
      <w:spacing w:before="31" w:after="31" w:line="360" w:lineRule="auto"/>
      <w:textAlignment w:val="baseline"/>
    </w:pPr>
    <w:rPr>
      <w:rFonts w:hAnsi="宋体" w:cs="宋体"/>
      <w:b/>
      <w:bCs/>
      <w:snapToGrid w:val="0"/>
      <w:color w:val="FF0000"/>
      <w:spacing w:val="0"/>
      <w:szCs w:val="24"/>
    </w:rPr>
  </w:style>
  <w:style w:type="character" w:customStyle="1" w:styleId="201">
    <w:name w:val="尾注文本 字符"/>
    <w:basedOn w:val="58"/>
    <w:link w:val="34"/>
    <w:qFormat/>
    <w:uiPriority w:val="0"/>
    <w:rPr>
      <w:rFonts w:ascii="楷体_GB2312" w:hAnsi="楷体_GB2312" w:eastAsia="楷体_GB2312" w:cs="宋体"/>
      <w:sz w:val="24"/>
      <w:szCs w:val="24"/>
    </w:rPr>
  </w:style>
  <w:style w:type="character" w:customStyle="1" w:styleId="202">
    <w:name w:val="正文表格 Char"/>
    <w:basedOn w:val="58"/>
    <w:link w:val="203"/>
    <w:qFormat/>
    <w:uiPriority w:val="0"/>
    <w:rPr>
      <w:rFonts w:ascii="宋体" w:hAnsi="宋体" w:cs="宋体"/>
      <w:szCs w:val="24"/>
    </w:rPr>
  </w:style>
  <w:style w:type="paragraph" w:customStyle="1" w:styleId="203">
    <w:name w:val="正文表格"/>
    <w:basedOn w:val="1"/>
    <w:link w:val="202"/>
    <w:qFormat/>
    <w:uiPriority w:val="0"/>
    <w:pPr>
      <w:keepNext/>
      <w:keepLines/>
      <w:spacing w:before="80"/>
      <w:jc w:val="center"/>
      <w:textAlignment w:val="bottom"/>
    </w:pPr>
    <w:rPr>
      <w:rFonts w:ascii="宋体" w:hAnsi="宋体" w:cs="宋体" w:eastAsiaTheme="minorEastAsia"/>
    </w:rPr>
  </w:style>
  <w:style w:type="character" w:customStyle="1" w:styleId="204">
    <w:name w:val="样式 标题 2 + 黑色 Char"/>
    <w:basedOn w:val="58"/>
    <w:link w:val="205"/>
    <w:qFormat/>
    <w:uiPriority w:val="0"/>
    <w:rPr>
      <w:rFonts w:ascii="黑体" w:hAnsi="Arial" w:eastAsia="黑体" w:cs="宋体"/>
      <w:b/>
      <w:bCs/>
      <w:color w:val="000000"/>
      <w:kern w:val="18"/>
      <w:sz w:val="30"/>
      <w:szCs w:val="30"/>
    </w:rPr>
  </w:style>
  <w:style w:type="paragraph" w:customStyle="1" w:styleId="205">
    <w:name w:val="样式 标题 2 + 黑色"/>
    <w:basedOn w:val="4"/>
    <w:next w:val="55"/>
    <w:link w:val="204"/>
    <w:qFormat/>
    <w:uiPriority w:val="0"/>
    <w:pPr>
      <w:snapToGrid w:val="0"/>
      <w:spacing w:before="100" w:beforeAutospacing="1" w:after="0" w:line="360" w:lineRule="auto"/>
    </w:pPr>
    <w:rPr>
      <w:rFonts w:ascii="黑体" w:cs="宋体"/>
      <w:color w:val="000000"/>
      <w:kern w:val="18"/>
      <w:sz w:val="30"/>
      <w:szCs w:val="30"/>
    </w:rPr>
  </w:style>
  <w:style w:type="character" w:customStyle="1" w:styleId="206">
    <w:name w:val="四级 Char"/>
    <w:basedOn w:val="207"/>
    <w:link w:val="211"/>
    <w:qFormat/>
    <w:uiPriority w:val="0"/>
    <w:rPr>
      <w:rFonts w:ascii="宋体" w:hAnsi="宋体" w:eastAsia="Times New Roman" w:cs="Arial"/>
      <w:sz w:val="32"/>
      <w:szCs w:val="32"/>
    </w:rPr>
  </w:style>
  <w:style w:type="character" w:customStyle="1" w:styleId="207">
    <w:name w:val="三级 Char"/>
    <w:basedOn w:val="208"/>
    <w:link w:val="210"/>
    <w:qFormat/>
    <w:uiPriority w:val="0"/>
    <w:rPr>
      <w:rFonts w:ascii="宋体" w:hAnsi="宋体" w:eastAsia="Times New Roman" w:cs="Arial"/>
      <w:sz w:val="32"/>
      <w:szCs w:val="32"/>
    </w:rPr>
  </w:style>
  <w:style w:type="character" w:customStyle="1" w:styleId="208">
    <w:name w:val="二级 Char"/>
    <w:basedOn w:val="58"/>
    <w:link w:val="209"/>
    <w:qFormat/>
    <w:uiPriority w:val="0"/>
    <w:rPr>
      <w:rFonts w:ascii="宋体" w:hAnsi="宋体" w:eastAsia="Times New Roman" w:cs="Arial"/>
      <w:b/>
      <w:bCs/>
      <w:sz w:val="32"/>
      <w:szCs w:val="32"/>
    </w:rPr>
  </w:style>
  <w:style w:type="paragraph" w:customStyle="1" w:styleId="209">
    <w:name w:val="二级"/>
    <w:link w:val="208"/>
    <w:qFormat/>
    <w:uiPriority w:val="0"/>
    <w:pPr>
      <w:spacing w:beforeLines="50" w:afterLines="50"/>
      <w:outlineLvl w:val="1"/>
    </w:pPr>
    <w:rPr>
      <w:rFonts w:ascii="宋体" w:hAnsi="宋体" w:eastAsia="Times New Roman" w:cs="Arial"/>
      <w:b/>
      <w:bCs/>
      <w:kern w:val="2"/>
      <w:sz w:val="32"/>
      <w:szCs w:val="32"/>
      <w:lang w:val="en-US" w:eastAsia="zh-CN" w:bidi="ar-SA"/>
    </w:rPr>
  </w:style>
  <w:style w:type="paragraph" w:customStyle="1" w:styleId="210">
    <w:name w:val="三级"/>
    <w:basedOn w:val="3"/>
    <w:link w:val="207"/>
    <w:qFormat/>
    <w:uiPriority w:val="0"/>
    <w:pPr>
      <w:widowControl/>
      <w:adjustRightInd w:val="0"/>
      <w:snapToGrid w:val="0"/>
      <w:spacing w:beforeLines="50" w:afterLines="50" w:line="240" w:lineRule="auto"/>
      <w:ind w:firstLine="0" w:firstLineChars="0"/>
      <w:contextualSpacing/>
      <w:jc w:val="both"/>
      <w:outlineLvl w:val="2"/>
    </w:pPr>
    <w:rPr>
      <w:rFonts w:ascii="宋体" w:hAnsi="宋体" w:eastAsia="Times New Roman" w:cs="Arial"/>
    </w:rPr>
  </w:style>
  <w:style w:type="paragraph" w:customStyle="1" w:styleId="211">
    <w:name w:val="四级"/>
    <w:link w:val="206"/>
    <w:qFormat/>
    <w:uiPriority w:val="0"/>
    <w:pPr>
      <w:outlineLvl w:val="3"/>
    </w:pPr>
    <w:rPr>
      <w:rFonts w:ascii="宋体" w:hAnsi="宋体" w:eastAsia="Times New Roman" w:cs="Arial"/>
      <w:b/>
      <w:bCs/>
      <w:kern w:val="2"/>
      <w:sz w:val="32"/>
      <w:szCs w:val="32"/>
      <w:lang w:val="en-US" w:eastAsia="zh-CN" w:bidi="ar-SA"/>
    </w:rPr>
  </w:style>
  <w:style w:type="character" w:customStyle="1" w:styleId="212">
    <w:name w:val="标题 字符"/>
    <w:basedOn w:val="58"/>
    <w:link w:val="3"/>
    <w:qFormat/>
    <w:uiPriority w:val="0"/>
    <w:rPr>
      <w:rFonts w:ascii="Cambria" w:hAnsi="Cambria" w:eastAsia="宋体" w:cs="宋体"/>
      <w:b/>
      <w:bCs/>
      <w:sz w:val="32"/>
      <w:szCs w:val="32"/>
    </w:rPr>
  </w:style>
  <w:style w:type="character" w:customStyle="1" w:styleId="213">
    <w:name w:val="正文3 Char Char"/>
    <w:link w:val="214"/>
    <w:qFormat/>
    <w:uiPriority w:val="0"/>
    <w:rPr>
      <w:rFonts w:ascii="宋体" w:hAnsi="宋体" w:eastAsia="宋体" w:cs="宋体"/>
      <w:sz w:val="24"/>
      <w:szCs w:val="24"/>
    </w:rPr>
  </w:style>
  <w:style w:type="paragraph" w:customStyle="1" w:styleId="214">
    <w:name w:val="正文3"/>
    <w:basedOn w:val="1"/>
    <w:next w:val="1"/>
    <w:link w:val="213"/>
    <w:qFormat/>
    <w:uiPriority w:val="0"/>
    <w:pPr>
      <w:spacing w:line="529" w:lineRule="exact"/>
      <w:ind w:firstLine="200" w:firstLineChars="200"/>
    </w:pPr>
    <w:rPr>
      <w:rFonts w:ascii="宋体" w:hAnsi="宋体" w:cs="宋体"/>
      <w:sz w:val="24"/>
    </w:rPr>
  </w:style>
  <w:style w:type="character" w:customStyle="1" w:styleId="215">
    <w:name w:val="二级标题 Char"/>
    <w:link w:val="216"/>
    <w:qFormat/>
    <w:uiPriority w:val="0"/>
    <w:rPr>
      <w:b/>
      <w:bCs/>
      <w:sz w:val="30"/>
      <w:szCs w:val="32"/>
    </w:rPr>
  </w:style>
  <w:style w:type="paragraph" w:customStyle="1" w:styleId="216">
    <w:name w:val="二级标题"/>
    <w:basedOn w:val="4"/>
    <w:link w:val="215"/>
    <w:qFormat/>
    <w:uiPriority w:val="0"/>
    <w:pPr>
      <w:spacing w:beforeLines="50" w:after="0" w:line="420" w:lineRule="exact"/>
      <w:jc w:val="left"/>
    </w:pPr>
    <w:rPr>
      <w:rFonts w:asciiTheme="minorHAnsi" w:hAnsiTheme="minorHAnsi" w:eastAsiaTheme="minorEastAsia" w:cstheme="minorBidi"/>
      <w:sz w:val="30"/>
    </w:rPr>
  </w:style>
  <w:style w:type="character" w:customStyle="1" w:styleId="217">
    <w:name w:val="123 Char"/>
    <w:basedOn w:val="58"/>
    <w:qFormat/>
    <w:uiPriority w:val="0"/>
    <w:rPr>
      <w:rFonts w:ascii="宋体" w:hAnsi="Courier New" w:eastAsia="宋体" w:cs="Courier New"/>
      <w:spacing w:val="4"/>
      <w:sz w:val="24"/>
      <w:szCs w:val="21"/>
      <w:lang w:val="en-US" w:eastAsia="zh-CN" w:bidi="ar-SA"/>
    </w:rPr>
  </w:style>
  <w:style w:type="character" w:customStyle="1" w:styleId="218">
    <w:name w:val="样式15 Char"/>
    <w:basedOn w:val="58"/>
    <w:link w:val="219"/>
    <w:qFormat/>
    <w:uiPriority w:val="0"/>
    <w:rPr>
      <w:rFonts w:ascii="宋体" w:hAnsi="宋体" w:cs="宋体"/>
      <w:b/>
      <w:sz w:val="28"/>
      <w:szCs w:val="26"/>
    </w:rPr>
  </w:style>
  <w:style w:type="paragraph" w:customStyle="1" w:styleId="219">
    <w:name w:val="样式15"/>
    <w:basedOn w:val="220"/>
    <w:link w:val="218"/>
    <w:qFormat/>
    <w:uiPriority w:val="0"/>
  </w:style>
  <w:style w:type="paragraph" w:customStyle="1" w:styleId="220">
    <w:name w:val="样式1.1.1三级标题"/>
    <w:basedOn w:val="1"/>
    <w:next w:val="1"/>
    <w:link w:val="221"/>
    <w:qFormat/>
    <w:uiPriority w:val="0"/>
    <w:pPr>
      <w:spacing w:line="360" w:lineRule="auto"/>
      <w:outlineLvl w:val="2"/>
    </w:pPr>
    <w:rPr>
      <w:rFonts w:ascii="宋体" w:hAnsi="宋体" w:cs="宋体" w:eastAsiaTheme="minorEastAsia"/>
      <w:b/>
      <w:sz w:val="28"/>
      <w:szCs w:val="26"/>
    </w:rPr>
  </w:style>
  <w:style w:type="character" w:customStyle="1" w:styleId="221">
    <w:name w:val="样式1.1.1三级标题 Char"/>
    <w:basedOn w:val="58"/>
    <w:link w:val="220"/>
    <w:qFormat/>
    <w:uiPriority w:val="0"/>
    <w:rPr>
      <w:rFonts w:ascii="宋体" w:hAnsi="宋体" w:cs="宋体"/>
      <w:b/>
      <w:sz w:val="28"/>
      <w:szCs w:val="26"/>
    </w:rPr>
  </w:style>
  <w:style w:type="character" w:customStyle="1" w:styleId="222">
    <w:name w:val="普通(网站) 字符"/>
    <w:basedOn w:val="58"/>
    <w:link w:val="52"/>
    <w:qFormat/>
    <w:uiPriority w:val="0"/>
    <w:rPr>
      <w:rFonts w:ascii="宋体" w:hAnsi="宋体" w:eastAsia="宋体" w:cs="宋体"/>
      <w:sz w:val="24"/>
      <w:szCs w:val="24"/>
    </w:rPr>
  </w:style>
  <w:style w:type="character" w:customStyle="1" w:styleId="223">
    <w:name w:val="样式 仿宋_GB2312 四号"/>
    <w:basedOn w:val="58"/>
    <w:qFormat/>
    <w:uiPriority w:val="0"/>
    <w:rPr>
      <w:rFonts w:ascii="仿宋_GB2312" w:hAnsi="宋体" w:eastAsia="仿宋_GB2312" w:cs="宋体"/>
      <w:sz w:val="28"/>
      <w:szCs w:val="28"/>
    </w:rPr>
  </w:style>
  <w:style w:type="character" w:customStyle="1" w:styleId="224">
    <w:name w:val="正文(首行缩进) Char Char Char Char"/>
    <w:basedOn w:val="58"/>
    <w:link w:val="225"/>
    <w:qFormat/>
    <w:uiPriority w:val="0"/>
    <w:rPr>
      <w:rFonts w:ascii="宋体" w:hAnsi="宋体" w:cs="宋体"/>
      <w:snapToGrid w:val="0"/>
      <w:sz w:val="24"/>
      <w:szCs w:val="24"/>
    </w:rPr>
  </w:style>
  <w:style w:type="paragraph" w:customStyle="1" w:styleId="225">
    <w:name w:val="正文(首行缩进) Char Char Char"/>
    <w:basedOn w:val="1"/>
    <w:link w:val="224"/>
    <w:qFormat/>
    <w:uiPriority w:val="0"/>
    <w:pPr>
      <w:spacing w:line="360" w:lineRule="auto"/>
      <w:ind w:firstLine="480" w:firstLineChars="200"/>
    </w:pPr>
    <w:rPr>
      <w:rFonts w:ascii="宋体" w:hAnsi="宋体" w:cs="宋体" w:eastAsiaTheme="minorEastAsia"/>
      <w:snapToGrid w:val="0"/>
      <w:sz w:val="24"/>
    </w:rPr>
  </w:style>
  <w:style w:type="character" w:customStyle="1" w:styleId="226">
    <w:name w:val="样式 首行缩进:  2 字符 Char"/>
    <w:link w:val="227"/>
    <w:qFormat/>
    <w:uiPriority w:val="0"/>
    <w:rPr>
      <w:rFonts w:ascii="宋体" w:hAnsi="宋体" w:eastAsia="宋体"/>
      <w:sz w:val="24"/>
      <w:szCs w:val="18"/>
    </w:rPr>
  </w:style>
  <w:style w:type="paragraph" w:customStyle="1" w:styleId="227">
    <w:name w:val="样式 首行缩进:  2 字符"/>
    <w:basedOn w:val="1"/>
    <w:link w:val="226"/>
    <w:qFormat/>
    <w:uiPriority w:val="0"/>
    <w:pPr>
      <w:spacing w:line="360" w:lineRule="auto"/>
      <w:ind w:firstLine="480" w:firstLineChars="200"/>
    </w:pPr>
    <w:rPr>
      <w:rFonts w:ascii="宋体" w:hAnsi="宋体" w:cstheme="minorBidi"/>
      <w:sz w:val="24"/>
      <w:szCs w:val="18"/>
    </w:rPr>
  </w:style>
  <w:style w:type="character" w:customStyle="1" w:styleId="228">
    <w:name w:val="样式 纯文本表格内容纯文本 Char普通文字加粗正文普通文字 Char Char普通文字 Char Char Cha...3 Char"/>
    <w:basedOn w:val="58"/>
    <w:link w:val="229"/>
    <w:qFormat/>
    <w:uiPriority w:val="0"/>
    <w:rPr>
      <w:rFonts w:ascii="楷体_GB2312" w:hAnsi="楷体_GB2312" w:eastAsia="楷体_GB2312" w:cs="宋体"/>
      <w:sz w:val="24"/>
      <w:szCs w:val="24"/>
    </w:rPr>
  </w:style>
  <w:style w:type="paragraph" w:customStyle="1" w:styleId="229">
    <w:name w:val="样式 纯文本表格内容纯文本 Char普通文字加粗正文普通文字 Char Char普通文字 Char Char Cha...3"/>
    <w:basedOn w:val="29"/>
    <w:link w:val="228"/>
    <w:qFormat/>
    <w:uiPriority w:val="0"/>
    <w:pPr>
      <w:ind w:firstLine="200" w:firstLineChars="200"/>
    </w:pPr>
    <w:rPr>
      <w:rFonts w:ascii="楷体_GB2312" w:hAnsi="楷体_GB2312" w:eastAsia="楷体_GB2312" w:cs="宋体"/>
      <w:sz w:val="24"/>
      <w:szCs w:val="24"/>
    </w:rPr>
  </w:style>
  <w:style w:type="character" w:customStyle="1" w:styleId="230">
    <w:name w:val="纯文本 字符"/>
    <w:link w:val="29"/>
    <w:qFormat/>
    <w:uiPriority w:val="0"/>
    <w:rPr>
      <w:rFonts w:ascii="宋体" w:hAnsi="Courier New" w:eastAsia="宋体"/>
      <w:sz w:val="28"/>
      <w:szCs w:val="21"/>
    </w:rPr>
  </w:style>
  <w:style w:type="character" w:customStyle="1" w:styleId="231">
    <w:name w:val="样式5 Char"/>
    <w:basedOn w:val="58"/>
    <w:link w:val="72"/>
    <w:qFormat/>
    <w:uiPriority w:val="0"/>
    <w:rPr>
      <w:rFonts w:ascii="宋体" w:hAnsi="宋体" w:eastAsia="仿宋_GB2312" w:cs="宋体"/>
      <w:sz w:val="24"/>
      <w:szCs w:val="24"/>
    </w:rPr>
  </w:style>
  <w:style w:type="character" w:customStyle="1" w:styleId="232">
    <w:name w:val="2级标题 Char"/>
    <w:link w:val="233"/>
    <w:qFormat/>
    <w:uiPriority w:val="0"/>
    <w:rPr>
      <w:rFonts w:ascii="Arial" w:hAnsi="Arial"/>
      <w:b/>
      <w:sz w:val="28"/>
      <w:szCs w:val="28"/>
    </w:rPr>
  </w:style>
  <w:style w:type="paragraph" w:customStyle="1" w:styleId="233">
    <w:name w:val="2级标题"/>
    <w:basedOn w:val="1"/>
    <w:link w:val="232"/>
    <w:qFormat/>
    <w:uiPriority w:val="0"/>
    <w:pPr>
      <w:keepNext/>
      <w:keepLines/>
      <w:spacing w:line="240" w:lineRule="atLeast"/>
      <w:outlineLvl w:val="1"/>
    </w:pPr>
    <w:rPr>
      <w:rFonts w:ascii="Arial" w:hAnsi="Arial" w:eastAsiaTheme="minorEastAsia" w:cstheme="minorBidi"/>
      <w:b/>
      <w:sz w:val="28"/>
      <w:szCs w:val="28"/>
    </w:rPr>
  </w:style>
  <w:style w:type="character" w:customStyle="1" w:styleId="234">
    <w:name w:val="表蕊 Char1"/>
    <w:basedOn w:val="58"/>
    <w:link w:val="235"/>
    <w:qFormat/>
    <w:uiPriority w:val="0"/>
    <w:rPr>
      <w:rFonts w:ascii="宋体" w:hAnsi="宋体" w:eastAsia="楷体_GB2312" w:cs="宋体"/>
      <w:spacing w:val="-10"/>
      <w:szCs w:val="26"/>
    </w:rPr>
  </w:style>
  <w:style w:type="paragraph" w:customStyle="1" w:styleId="235">
    <w:name w:val="表蕊"/>
    <w:basedOn w:val="1"/>
    <w:link w:val="234"/>
    <w:qFormat/>
    <w:uiPriority w:val="0"/>
    <w:pPr>
      <w:adjustRightInd w:val="0"/>
      <w:spacing w:line="320" w:lineRule="atLeast"/>
      <w:jc w:val="left"/>
      <w:textAlignment w:val="baseline"/>
    </w:pPr>
    <w:rPr>
      <w:rFonts w:ascii="宋体" w:hAnsi="宋体" w:eastAsia="楷体_GB2312" w:cs="宋体"/>
      <w:spacing w:val="-10"/>
      <w:szCs w:val="26"/>
    </w:rPr>
  </w:style>
  <w:style w:type="character" w:customStyle="1" w:styleId="236">
    <w:name w:val="信息标题 字符"/>
    <w:basedOn w:val="58"/>
    <w:link w:val="50"/>
    <w:qFormat/>
    <w:uiPriority w:val="0"/>
    <w:rPr>
      <w:rFonts w:ascii="Arial" w:hAnsi="Arial" w:cs="宋体"/>
      <w:sz w:val="24"/>
      <w:szCs w:val="24"/>
      <w:shd w:val="pct20" w:color="auto" w:fill="auto"/>
    </w:rPr>
  </w:style>
  <w:style w:type="character" w:customStyle="1" w:styleId="237">
    <w:name w:val="Char Char Char1"/>
    <w:basedOn w:val="58"/>
    <w:qFormat/>
    <w:uiPriority w:val="0"/>
    <w:rPr>
      <w:rFonts w:ascii="宋体" w:hAnsi="Courier New" w:eastAsia="宋体" w:cs="Courier New"/>
      <w:kern w:val="2"/>
      <w:sz w:val="21"/>
      <w:szCs w:val="21"/>
      <w:lang w:val="en-US" w:eastAsia="zh-CN" w:bidi="ar-SA"/>
    </w:rPr>
  </w:style>
  <w:style w:type="character" w:customStyle="1" w:styleId="238">
    <w:name w:val="Char Char12"/>
    <w:basedOn w:val="58"/>
    <w:qFormat/>
    <w:uiPriority w:val="0"/>
    <w:rPr>
      <w:rFonts w:ascii="宋体" w:hAnsi="宋体" w:eastAsia="宋体" w:cs="宋体"/>
      <w:kern w:val="2"/>
      <w:sz w:val="18"/>
      <w:szCs w:val="18"/>
      <w:lang w:val="en-US" w:eastAsia="zh-CN" w:bidi="ar-SA"/>
    </w:rPr>
  </w:style>
  <w:style w:type="character" w:customStyle="1" w:styleId="239">
    <w:name w:val="环保专篇 Char"/>
    <w:basedOn w:val="58"/>
    <w:link w:val="240"/>
    <w:qFormat/>
    <w:uiPriority w:val="0"/>
    <w:rPr>
      <w:rFonts w:ascii="宋体" w:hAnsi="宋体" w:eastAsia="Times New Roman" w:cs="宋体"/>
      <w:sz w:val="24"/>
      <w:szCs w:val="24"/>
    </w:rPr>
  </w:style>
  <w:style w:type="paragraph" w:customStyle="1" w:styleId="240">
    <w:name w:val="环保专篇"/>
    <w:link w:val="239"/>
    <w:qFormat/>
    <w:uiPriority w:val="0"/>
    <w:pPr>
      <w:spacing w:line="360" w:lineRule="auto"/>
      <w:ind w:firstLine="200" w:firstLineChars="200"/>
      <w:jc w:val="both"/>
    </w:pPr>
    <w:rPr>
      <w:rFonts w:ascii="宋体" w:hAnsi="宋体" w:eastAsia="Times New Roman" w:cs="宋体"/>
      <w:kern w:val="2"/>
      <w:sz w:val="24"/>
      <w:szCs w:val="24"/>
      <w:lang w:val="en-US" w:eastAsia="zh-CN" w:bidi="ar-SA"/>
    </w:rPr>
  </w:style>
  <w:style w:type="character" w:customStyle="1" w:styleId="241">
    <w:name w:val="1正文段落 Char"/>
    <w:link w:val="242"/>
    <w:qFormat/>
    <w:uiPriority w:val="0"/>
    <w:rPr>
      <w:rFonts w:eastAsia="宋体"/>
      <w:snapToGrid w:val="0"/>
      <w:sz w:val="24"/>
      <w:szCs w:val="24"/>
    </w:rPr>
  </w:style>
  <w:style w:type="paragraph" w:customStyle="1" w:styleId="242">
    <w:name w:val="1正文段落"/>
    <w:basedOn w:val="1"/>
    <w:link w:val="241"/>
    <w:qFormat/>
    <w:uiPriority w:val="0"/>
    <w:pPr>
      <w:spacing w:line="360" w:lineRule="auto"/>
      <w:ind w:firstLine="480" w:firstLineChars="200"/>
      <w:jc w:val="left"/>
    </w:pPr>
    <w:rPr>
      <w:rFonts w:asciiTheme="minorHAnsi" w:hAnsiTheme="minorHAnsi" w:cstheme="minorBidi"/>
      <w:snapToGrid w:val="0"/>
      <w:sz w:val="24"/>
    </w:rPr>
  </w:style>
  <w:style w:type="character" w:customStyle="1" w:styleId="243">
    <w:name w:val="标2 Char"/>
    <w:basedOn w:val="58"/>
    <w:link w:val="244"/>
    <w:qFormat/>
    <w:uiPriority w:val="0"/>
    <w:rPr>
      <w:rFonts w:ascii="宋体" w:hAnsi="宋体" w:cs="宋体"/>
      <w:b/>
      <w:color w:val="FF0000"/>
      <w:sz w:val="30"/>
      <w:szCs w:val="30"/>
    </w:rPr>
  </w:style>
  <w:style w:type="paragraph" w:customStyle="1" w:styleId="244">
    <w:name w:val="标2"/>
    <w:basedOn w:val="4"/>
    <w:next w:val="29"/>
    <w:link w:val="243"/>
    <w:qFormat/>
    <w:uiPriority w:val="0"/>
    <w:pPr>
      <w:tabs>
        <w:tab w:val="left" w:pos="315"/>
        <w:tab w:val="left" w:pos="1134"/>
        <w:tab w:val="left" w:pos="1400"/>
        <w:tab w:val="center" w:pos="6804"/>
        <w:tab w:val="right" w:pos="7371"/>
      </w:tabs>
      <w:spacing w:before="0" w:after="0" w:line="500" w:lineRule="exact"/>
      <w:ind w:left="1400" w:hanging="420" w:firstLineChars="200"/>
      <w:jc w:val="left"/>
    </w:pPr>
    <w:rPr>
      <w:rFonts w:ascii="宋体" w:hAnsi="宋体" w:cs="宋体" w:eastAsiaTheme="minorEastAsia"/>
      <w:bCs w:val="0"/>
      <w:color w:val="FF0000"/>
      <w:sz w:val="30"/>
      <w:szCs w:val="30"/>
    </w:rPr>
  </w:style>
  <w:style w:type="character" w:customStyle="1" w:styleId="245">
    <w:name w:val="（1）标题 Char"/>
    <w:basedOn w:val="58"/>
    <w:link w:val="246"/>
    <w:qFormat/>
    <w:uiPriority w:val="0"/>
    <w:rPr>
      <w:rFonts w:ascii="宋体" w:hAnsi="宋体" w:cs="宋体"/>
      <w:sz w:val="28"/>
      <w:szCs w:val="26"/>
    </w:rPr>
  </w:style>
  <w:style w:type="paragraph" w:customStyle="1" w:styleId="246">
    <w:name w:val="（1）标题"/>
    <w:basedOn w:val="1"/>
    <w:link w:val="245"/>
    <w:qFormat/>
    <w:uiPriority w:val="0"/>
    <w:pPr>
      <w:widowControl/>
      <w:ind w:firstLine="560" w:firstLineChars="200"/>
      <w:jc w:val="left"/>
    </w:pPr>
    <w:rPr>
      <w:rFonts w:ascii="宋体" w:hAnsi="宋体" w:cs="宋体" w:eastAsiaTheme="minorEastAsia"/>
      <w:sz w:val="28"/>
      <w:szCs w:val="26"/>
    </w:rPr>
  </w:style>
  <w:style w:type="character" w:customStyle="1" w:styleId="247">
    <w:name w:val="text2"/>
    <w:basedOn w:val="58"/>
    <w:qFormat/>
    <w:uiPriority w:val="0"/>
    <w:rPr>
      <w:rFonts w:ascii="宋体" w:hAnsi="宋体" w:cs="宋体"/>
      <w:sz w:val="24"/>
      <w:szCs w:val="26"/>
    </w:rPr>
  </w:style>
  <w:style w:type="character" w:customStyle="1" w:styleId="248">
    <w:name w:val="我的表格文字 Char"/>
    <w:basedOn w:val="58"/>
    <w:link w:val="249"/>
    <w:qFormat/>
    <w:uiPriority w:val="0"/>
    <w:rPr>
      <w:rFonts w:ascii="宋体" w:hAnsi="宋体" w:cs="宋体"/>
      <w:szCs w:val="21"/>
    </w:rPr>
  </w:style>
  <w:style w:type="paragraph" w:customStyle="1" w:styleId="249">
    <w:name w:val="我的表格文字"/>
    <w:basedOn w:val="1"/>
    <w:link w:val="248"/>
    <w:qFormat/>
    <w:uiPriority w:val="0"/>
    <w:pPr>
      <w:adjustRightInd w:val="0"/>
      <w:spacing w:line="320" w:lineRule="exact"/>
      <w:jc w:val="center"/>
      <w:textAlignment w:val="center"/>
    </w:pPr>
    <w:rPr>
      <w:rFonts w:ascii="宋体" w:hAnsi="宋体" w:cs="宋体" w:eastAsiaTheme="minorEastAsia"/>
      <w:szCs w:val="21"/>
    </w:rPr>
  </w:style>
  <w:style w:type="character" w:customStyle="1" w:styleId="250">
    <w:name w:val="标题 1[858D7CFB-ED40-4347-BF05-701D383B685F]"/>
    <w:qFormat/>
    <w:uiPriority w:val="0"/>
    <w:rPr>
      <w:sz w:val="44"/>
    </w:rPr>
  </w:style>
  <w:style w:type="character" w:customStyle="1" w:styleId="251">
    <w:name w:val="四级标题 Char"/>
    <w:link w:val="252"/>
    <w:qFormat/>
    <w:uiPriority w:val="0"/>
    <w:rPr>
      <w:b/>
      <w:bCs/>
      <w:sz w:val="28"/>
      <w:szCs w:val="28"/>
    </w:rPr>
  </w:style>
  <w:style w:type="paragraph" w:customStyle="1" w:styleId="252">
    <w:name w:val="四级标题"/>
    <w:basedOn w:val="6"/>
    <w:link w:val="251"/>
    <w:qFormat/>
    <w:uiPriority w:val="0"/>
    <w:pPr>
      <w:keepNext/>
      <w:keepLines/>
      <w:wordWrap/>
      <w:topLinePunct w:val="0"/>
      <w:autoSpaceDN/>
      <w:spacing w:beforeLines="50" w:line="420" w:lineRule="exact"/>
      <w:ind w:firstLine="0" w:firstLineChars="0"/>
      <w:jc w:val="left"/>
    </w:pPr>
    <w:rPr>
      <w:rFonts w:asciiTheme="minorHAnsi" w:hAnsiTheme="minorHAnsi" w:eastAsiaTheme="minorEastAsia" w:cstheme="minorBidi"/>
      <w:b/>
      <w:color w:val="auto"/>
    </w:rPr>
  </w:style>
  <w:style w:type="character" w:customStyle="1" w:styleId="253">
    <w:name w:val="L4 Char Char Char Char2"/>
    <w:basedOn w:val="58"/>
    <w:qFormat/>
    <w:uiPriority w:val="0"/>
    <w:rPr>
      <w:rFonts w:ascii="Arial" w:hAnsi="Arial" w:eastAsia="黑体" w:cs="宋体"/>
      <w:b/>
      <w:bCs/>
      <w:kern w:val="2"/>
      <w:sz w:val="28"/>
      <w:szCs w:val="28"/>
      <w:lang w:val="en-US" w:eastAsia="zh-CN" w:bidi="ar-SA"/>
    </w:rPr>
  </w:style>
  <w:style w:type="character" w:customStyle="1" w:styleId="254">
    <w:name w:val="说明书1 Char Char"/>
    <w:basedOn w:val="58"/>
    <w:link w:val="255"/>
    <w:qFormat/>
    <w:uiPriority w:val="0"/>
    <w:rPr>
      <w:rFonts w:ascii="宋体" w:hAnsi="宋体" w:cs="宋体"/>
      <w:sz w:val="28"/>
      <w:szCs w:val="26"/>
    </w:rPr>
  </w:style>
  <w:style w:type="paragraph" w:customStyle="1" w:styleId="255">
    <w:name w:val="说明书1"/>
    <w:basedOn w:val="1"/>
    <w:link w:val="254"/>
    <w:qFormat/>
    <w:uiPriority w:val="0"/>
    <w:pPr>
      <w:spacing w:line="520" w:lineRule="exact"/>
      <w:ind w:firstLine="567"/>
    </w:pPr>
    <w:rPr>
      <w:rFonts w:ascii="宋体" w:hAnsi="宋体" w:cs="宋体" w:eastAsiaTheme="minorEastAsia"/>
      <w:sz w:val="28"/>
      <w:szCs w:val="26"/>
    </w:rPr>
  </w:style>
  <w:style w:type="character" w:customStyle="1" w:styleId="256">
    <w:name w:val="表格名称 Char Char"/>
    <w:basedOn w:val="58"/>
    <w:link w:val="257"/>
    <w:qFormat/>
    <w:uiPriority w:val="0"/>
    <w:rPr>
      <w:rFonts w:ascii="宋体" w:hAnsi="宋体" w:cs="宋体"/>
      <w:sz w:val="28"/>
      <w:szCs w:val="28"/>
    </w:rPr>
  </w:style>
  <w:style w:type="paragraph" w:customStyle="1" w:styleId="257">
    <w:name w:val="表格名称"/>
    <w:basedOn w:val="1"/>
    <w:next w:val="258"/>
    <w:link w:val="256"/>
    <w:qFormat/>
    <w:uiPriority w:val="0"/>
    <w:pPr>
      <w:spacing w:line="480" w:lineRule="exact"/>
    </w:pPr>
    <w:rPr>
      <w:rFonts w:ascii="宋体" w:hAnsi="宋体" w:cs="宋体" w:eastAsiaTheme="minorEastAsia"/>
      <w:sz w:val="28"/>
      <w:szCs w:val="28"/>
    </w:rPr>
  </w:style>
  <w:style w:type="paragraph" w:customStyle="1" w:styleId="258">
    <w:name w:val="表格"/>
    <w:next w:val="1"/>
    <w:link w:val="259"/>
    <w:qFormat/>
    <w:uiPriority w:val="0"/>
    <w:pPr>
      <w:spacing w:line="360" w:lineRule="exact"/>
      <w:jc w:val="center"/>
    </w:pPr>
    <w:rPr>
      <w:rFonts w:asciiTheme="minorHAnsi" w:hAnsiTheme="minorHAnsi" w:eastAsiaTheme="minorEastAsia" w:cstheme="minorBidi"/>
      <w:kern w:val="2"/>
      <w:sz w:val="21"/>
      <w:szCs w:val="21"/>
      <w:lang w:val="en-US" w:eastAsia="zh-CN" w:bidi="ar-SA"/>
    </w:rPr>
  </w:style>
  <w:style w:type="character" w:customStyle="1" w:styleId="259">
    <w:name w:val="表格 Char"/>
    <w:link w:val="258"/>
    <w:qFormat/>
    <w:uiPriority w:val="0"/>
    <w:rPr>
      <w:szCs w:val="21"/>
    </w:rPr>
  </w:style>
  <w:style w:type="character" w:customStyle="1" w:styleId="260">
    <w:name w:val="表格标题自定 Char"/>
    <w:basedOn w:val="261"/>
    <w:link w:val="263"/>
    <w:qFormat/>
    <w:uiPriority w:val="0"/>
    <w:rPr>
      <w:rFonts w:ascii="宋体" w:hAnsi="宋体" w:eastAsia="华文仿宋" w:cs="宋体"/>
      <w:color w:val="000000"/>
      <w:sz w:val="24"/>
      <w:szCs w:val="24"/>
    </w:rPr>
  </w:style>
  <w:style w:type="character" w:customStyle="1" w:styleId="261">
    <w:name w:val="样式7 Char"/>
    <w:basedOn w:val="166"/>
    <w:link w:val="262"/>
    <w:qFormat/>
    <w:uiPriority w:val="0"/>
    <w:rPr>
      <w:rFonts w:ascii="宋体" w:hAnsi="华文仿宋" w:eastAsia="华文仿宋" w:cs="宋体"/>
      <w:b/>
      <w:sz w:val="24"/>
      <w:szCs w:val="24"/>
    </w:rPr>
  </w:style>
  <w:style w:type="paragraph" w:customStyle="1" w:styleId="262">
    <w:name w:val="样式7"/>
    <w:basedOn w:val="9"/>
    <w:link w:val="261"/>
    <w:qFormat/>
    <w:uiPriority w:val="0"/>
    <w:pPr>
      <w:spacing w:before="0" w:after="0" w:line="360" w:lineRule="auto"/>
    </w:pPr>
    <w:rPr>
      <w:rFonts w:ascii="宋体" w:hAnsi="华文仿宋" w:eastAsia="华文仿宋" w:cs="宋体"/>
      <w:bCs w:val="0"/>
    </w:rPr>
  </w:style>
  <w:style w:type="paragraph" w:customStyle="1" w:styleId="263">
    <w:name w:val="表格标题自定"/>
    <w:basedOn w:val="262"/>
    <w:link w:val="260"/>
    <w:qFormat/>
    <w:uiPriority w:val="0"/>
    <w:pPr>
      <w:keepNext w:val="0"/>
      <w:keepLines w:val="0"/>
      <w:jc w:val="center"/>
      <w:outlineLvl w:val="9"/>
    </w:pPr>
    <w:rPr>
      <w:rFonts w:hAnsi="宋体"/>
      <w:color w:val="000000"/>
    </w:rPr>
  </w:style>
  <w:style w:type="character" w:customStyle="1" w:styleId="264">
    <w:name w:val="五级 Char"/>
    <w:basedOn w:val="206"/>
    <w:link w:val="265"/>
    <w:qFormat/>
    <w:uiPriority w:val="0"/>
    <w:rPr>
      <w:rFonts w:ascii="宋体" w:hAnsi="宋体" w:eastAsia="Times New Roman" w:cs="Arial"/>
      <w:sz w:val="32"/>
      <w:szCs w:val="32"/>
    </w:rPr>
  </w:style>
  <w:style w:type="paragraph" w:customStyle="1" w:styleId="265">
    <w:name w:val="五级"/>
    <w:basedOn w:val="211"/>
    <w:link w:val="264"/>
    <w:qFormat/>
    <w:uiPriority w:val="0"/>
    <w:pPr>
      <w:outlineLvl w:val="4"/>
    </w:pPr>
  </w:style>
  <w:style w:type="character" w:customStyle="1" w:styleId="266">
    <w:name w:val="777777777 Char"/>
    <w:basedOn w:val="58"/>
    <w:link w:val="267"/>
    <w:qFormat/>
    <w:uiPriority w:val="0"/>
    <w:rPr>
      <w:rFonts w:ascii="宋体" w:hAnsi="宋体" w:cs="宋体"/>
      <w:sz w:val="28"/>
      <w:szCs w:val="26"/>
    </w:rPr>
  </w:style>
  <w:style w:type="paragraph" w:customStyle="1" w:styleId="267">
    <w:name w:val="777777777"/>
    <w:basedOn w:val="1"/>
    <w:link w:val="266"/>
    <w:qFormat/>
    <w:uiPriority w:val="0"/>
    <w:pPr>
      <w:widowControl/>
      <w:spacing w:line="400" w:lineRule="exact"/>
      <w:ind w:firstLine="560" w:firstLineChars="200"/>
      <w:jc w:val="left"/>
    </w:pPr>
    <w:rPr>
      <w:rFonts w:ascii="宋体" w:hAnsi="宋体" w:cs="宋体" w:eastAsiaTheme="minorEastAsia"/>
      <w:sz w:val="28"/>
      <w:szCs w:val="26"/>
    </w:rPr>
  </w:style>
  <w:style w:type="character" w:customStyle="1" w:styleId="268">
    <w:name w:val="Char Char15"/>
    <w:qFormat/>
    <w:uiPriority w:val="0"/>
    <w:rPr>
      <w:kern w:val="2"/>
      <w:sz w:val="21"/>
      <w:szCs w:val="24"/>
    </w:rPr>
  </w:style>
  <w:style w:type="character" w:customStyle="1" w:styleId="269">
    <w:name w:val="文本_zxj Char"/>
    <w:link w:val="270"/>
    <w:qFormat/>
    <w:uiPriority w:val="0"/>
    <w:rPr>
      <w:sz w:val="28"/>
    </w:rPr>
  </w:style>
  <w:style w:type="paragraph" w:customStyle="1" w:styleId="270">
    <w:name w:val="文本_zxj"/>
    <w:basedOn w:val="1"/>
    <w:link w:val="269"/>
    <w:qFormat/>
    <w:uiPriority w:val="0"/>
    <w:pPr>
      <w:spacing w:line="360" w:lineRule="auto"/>
      <w:ind w:firstLine="560"/>
    </w:pPr>
    <w:rPr>
      <w:rFonts w:asciiTheme="minorHAnsi" w:hAnsiTheme="minorHAnsi" w:eastAsiaTheme="minorEastAsia" w:cstheme="minorBidi"/>
      <w:sz w:val="28"/>
      <w:szCs w:val="22"/>
    </w:rPr>
  </w:style>
  <w:style w:type="character" w:customStyle="1" w:styleId="271">
    <w:name w:val="表底说明 Char"/>
    <w:basedOn w:val="58"/>
    <w:link w:val="272"/>
    <w:qFormat/>
    <w:uiPriority w:val="0"/>
    <w:rPr>
      <w:rFonts w:ascii="宋体" w:hAnsi="宋体" w:cs="宋体"/>
      <w:sz w:val="18"/>
      <w:szCs w:val="24"/>
    </w:rPr>
  </w:style>
  <w:style w:type="paragraph" w:customStyle="1" w:styleId="272">
    <w:name w:val="表底说明"/>
    <w:basedOn w:val="1"/>
    <w:link w:val="271"/>
    <w:qFormat/>
    <w:uiPriority w:val="0"/>
    <w:rPr>
      <w:rFonts w:ascii="宋体" w:hAnsi="宋体" w:cs="宋体" w:eastAsiaTheme="minorEastAsia"/>
      <w:sz w:val="18"/>
    </w:rPr>
  </w:style>
  <w:style w:type="character" w:customStyle="1" w:styleId="273">
    <w:name w:val="纯文本 Char Char"/>
    <w:qFormat/>
    <w:uiPriority w:val="0"/>
    <w:rPr>
      <w:rFonts w:ascii="宋体" w:hAnsi="Courier New" w:eastAsia="宋体"/>
      <w:kern w:val="2"/>
      <w:sz w:val="28"/>
      <w:lang w:val="en-US" w:eastAsia="zh-CN" w:bidi="ar-SA"/>
    </w:rPr>
  </w:style>
  <w:style w:type="character" w:customStyle="1" w:styleId="274">
    <w:name w:val="666666-正文文本 Char"/>
    <w:basedOn w:val="58"/>
    <w:link w:val="275"/>
    <w:semiHidden/>
    <w:qFormat/>
    <w:uiPriority w:val="0"/>
    <w:rPr>
      <w:rFonts w:ascii="宋体" w:hAnsi="宋体" w:eastAsia="Times New Roman" w:cs="宋体"/>
      <w:sz w:val="24"/>
      <w:szCs w:val="24"/>
    </w:rPr>
  </w:style>
  <w:style w:type="paragraph" w:customStyle="1" w:styleId="275">
    <w:name w:val="666666-正文文本"/>
    <w:link w:val="274"/>
    <w:semiHidden/>
    <w:qFormat/>
    <w:uiPriority w:val="0"/>
    <w:pPr>
      <w:autoSpaceDE w:val="0"/>
      <w:autoSpaceDN w:val="0"/>
      <w:adjustRightInd w:val="0"/>
      <w:spacing w:line="360" w:lineRule="auto"/>
      <w:ind w:firstLine="200" w:firstLineChars="200"/>
      <w:jc w:val="both"/>
    </w:pPr>
    <w:rPr>
      <w:rFonts w:ascii="宋体" w:hAnsi="宋体" w:eastAsia="Times New Roman" w:cs="宋体"/>
      <w:kern w:val="2"/>
      <w:sz w:val="24"/>
      <w:szCs w:val="24"/>
      <w:lang w:val="en-US" w:eastAsia="zh-CN" w:bidi="ar-SA"/>
    </w:rPr>
  </w:style>
  <w:style w:type="character" w:customStyle="1" w:styleId="276">
    <w:name w:val="自定表格 Char"/>
    <w:basedOn w:val="248"/>
    <w:link w:val="277"/>
    <w:qFormat/>
    <w:uiPriority w:val="0"/>
    <w:rPr>
      <w:rFonts w:ascii="宋体" w:hAnsi="宋体" w:cs="宋体"/>
      <w:szCs w:val="21"/>
    </w:rPr>
  </w:style>
  <w:style w:type="paragraph" w:customStyle="1" w:styleId="277">
    <w:name w:val="自定表格"/>
    <w:basedOn w:val="249"/>
    <w:link w:val="276"/>
    <w:qFormat/>
    <w:uiPriority w:val="0"/>
  </w:style>
  <w:style w:type="character" w:customStyle="1" w:styleId="278">
    <w:name w:val="标题4！！！！！ Char"/>
    <w:basedOn w:val="279"/>
    <w:link w:val="280"/>
    <w:qFormat/>
    <w:uiPriority w:val="0"/>
    <w:rPr>
      <w:rFonts w:ascii="楷体_GB2312" w:hAnsi="楷体_GB2312" w:eastAsia="楷体_GB2312" w:cs="宋体"/>
      <w:b/>
      <w:kern w:val="2"/>
      <w:sz w:val="24"/>
      <w:szCs w:val="24"/>
    </w:rPr>
  </w:style>
  <w:style w:type="character" w:customStyle="1" w:styleId="279">
    <w:name w:val="正文 楷体 Char"/>
    <w:basedOn w:val="58"/>
    <w:qFormat/>
    <w:uiPriority w:val="0"/>
    <w:rPr>
      <w:rFonts w:ascii="楷体_GB2312" w:hAnsi="楷体_GB2312" w:eastAsia="楷体_GB2312" w:cs="宋体"/>
      <w:kern w:val="2"/>
      <w:sz w:val="24"/>
      <w:szCs w:val="24"/>
    </w:rPr>
  </w:style>
  <w:style w:type="paragraph" w:customStyle="1" w:styleId="280">
    <w:name w:val="标题4！！！！！"/>
    <w:basedOn w:val="168"/>
    <w:link w:val="278"/>
    <w:qFormat/>
    <w:uiPriority w:val="0"/>
    <w:pPr>
      <w:ind w:firstLine="0" w:firstLineChars="0"/>
    </w:pPr>
    <w:rPr>
      <w:rFonts w:ascii="楷体_GB2312" w:hAnsi="楷体_GB2312" w:eastAsia="楷体_GB2312"/>
      <w:b/>
    </w:rPr>
  </w:style>
  <w:style w:type="character" w:customStyle="1" w:styleId="281">
    <w:name w:val="标题003 Char"/>
    <w:basedOn w:val="58"/>
    <w:link w:val="282"/>
    <w:qFormat/>
    <w:uiPriority w:val="0"/>
    <w:rPr>
      <w:rFonts w:ascii="宋体" w:hAnsi="Monospac821 BT" w:eastAsia="楷体_GB2312" w:cs="宋体"/>
      <w:b/>
      <w:bCs/>
      <w:color w:val="000000"/>
      <w:sz w:val="28"/>
      <w:szCs w:val="24"/>
    </w:rPr>
  </w:style>
  <w:style w:type="paragraph" w:customStyle="1" w:styleId="282">
    <w:name w:val="标题003"/>
    <w:basedOn w:val="5"/>
    <w:link w:val="281"/>
    <w:qFormat/>
    <w:uiPriority w:val="0"/>
    <w:pPr>
      <w:adjustRightInd w:val="0"/>
      <w:snapToGrid w:val="0"/>
      <w:spacing w:before="0" w:line="360" w:lineRule="auto"/>
      <w:ind w:firstLine="562" w:firstLineChars="200"/>
    </w:pPr>
    <w:rPr>
      <w:rFonts w:ascii="宋体" w:hAnsi="Monospac821 BT" w:eastAsia="楷体_GB2312" w:cs="宋体"/>
      <w:b/>
      <w:bCs/>
      <w:color w:val="000000"/>
      <w:spacing w:val="0"/>
      <w:sz w:val="28"/>
      <w:szCs w:val="24"/>
    </w:rPr>
  </w:style>
  <w:style w:type="character" w:customStyle="1" w:styleId="283">
    <w:name w:val="日期 字符"/>
    <w:link w:val="32"/>
    <w:qFormat/>
    <w:uiPriority w:val="99"/>
    <w:rPr>
      <w:szCs w:val="24"/>
    </w:rPr>
  </w:style>
  <w:style w:type="character" w:customStyle="1" w:styleId="284">
    <w:name w:val="中文报告书样式 Char"/>
    <w:basedOn w:val="58"/>
    <w:link w:val="285"/>
    <w:qFormat/>
    <w:uiPriority w:val="0"/>
    <w:rPr>
      <w:rFonts w:ascii="宋体" w:hAnsi="宋体" w:cs="宋体"/>
      <w:kern w:val="24"/>
      <w:sz w:val="24"/>
      <w:szCs w:val="26"/>
    </w:rPr>
  </w:style>
  <w:style w:type="paragraph" w:customStyle="1" w:styleId="285">
    <w:name w:val="中文报告书样式"/>
    <w:basedOn w:val="1"/>
    <w:link w:val="284"/>
    <w:qFormat/>
    <w:uiPriority w:val="0"/>
    <w:pPr>
      <w:adjustRightInd w:val="0"/>
      <w:spacing w:line="480" w:lineRule="atLeast"/>
      <w:ind w:firstLine="482"/>
      <w:textAlignment w:val="baseline"/>
    </w:pPr>
    <w:rPr>
      <w:rFonts w:ascii="宋体" w:hAnsi="宋体" w:cs="宋体" w:eastAsiaTheme="minorEastAsia"/>
      <w:kern w:val="24"/>
      <w:sz w:val="24"/>
      <w:szCs w:val="26"/>
    </w:rPr>
  </w:style>
  <w:style w:type="character" w:customStyle="1" w:styleId="286">
    <w:name w:val="Quote Char"/>
    <w:basedOn w:val="58"/>
    <w:link w:val="287"/>
    <w:semiHidden/>
    <w:qFormat/>
    <w:uiPriority w:val="0"/>
    <w:rPr>
      <w:rFonts w:ascii="宋体" w:hAnsi="宋体" w:cs="宋体"/>
      <w:i/>
      <w:iCs/>
      <w:color w:val="000000"/>
      <w:sz w:val="22"/>
      <w:lang w:eastAsia="en-US"/>
    </w:rPr>
  </w:style>
  <w:style w:type="paragraph" w:customStyle="1" w:styleId="287">
    <w:name w:val="引用1"/>
    <w:basedOn w:val="1"/>
    <w:next w:val="1"/>
    <w:link w:val="286"/>
    <w:semiHidden/>
    <w:qFormat/>
    <w:uiPriority w:val="0"/>
    <w:pPr>
      <w:widowControl/>
      <w:spacing w:after="200" w:line="276" w:lineRule="auto"/>
      <w:jc w:val="left"/>
    </w:pPr>
    <w:rPr>
      <w:rFonts w:ascii="宋体" w:hAnsi="宋体" w:cs="宋体" w:eastAsiaTheme="minorEastAsia"/>
      <w:i/>
      <w:iCs/>
      <w:color w:val="000000"/>
      <w:sz w:val="22"/>
      <w:szCs w:val="22"/>
      <w:lang w:eastAsia="en-US"/>
    </w:rPr>
  </w:style>
  <w:style w:type="character" w:customStyle="1" w:styleId="288">
    <w:name w:val="a) Char"/>
    <w:basedOn w:val="58"/>
    <w:link w:val="289"/>
    <w:qFormat/>
    <w:uiPriority w:val="0"/>
    <w:rPr>
      <w:rFonts w:ascii="宋体" w:hAnsi="宋体" w:cs="宋体"/>
      <w:sz w:val="28"/>
      <w:szCs w:val="26"/>
    </w:rPr>
  </w:style>
  <w:style w:type="paragraph" w:customStyle="1" w:styleId="289">
    <w:name w:val="a)"/>
    <w:basedOn w:val="1"/>
    <w:link w:val="288"/>
    <w:qFormat/>
    <w:uiPriority w:val="0"/>
    <w:pPr>
      <w:widowControl/>
      <w:adjustRightInd w:val="0"/>
      <w:spacing w:line="360" w:lineRule="auto"/>
      <w:ind w:firstLine="567"/>
      <w:jc w:val="left"/>
      <w:textAlignment w:val="baseline"/>
    </w:pPr>
    <w:rPr>
      <w:rFonts w:ascii="宋体" w:hAnsi="宋体" w:cs="宋体" w:eastAsiaTheme="minorEastAsia"/>
      <w:sz w:val="28"/>
      <w:szCs w:val="26"/>
    </w:rPr>
  </w:style>
  <w:style w:type="character" w:customStyle="1" w:styleId="290">
    <w:name w:val="样式 标题 3H3 + 黑色 Char"/>
    <w:link w:val="291"/>
    <w:qFormat/>
    <w:uiPriority w:val="0"/>
    <w:rPr>
      <w:b/>
      <w:snapToGrid w:val="0"/>
      <w:color w:val="000000"/>
      <w:sz w:val="24"/>
      <w:szCs w:val="24"/>
    </w:rPr>
  </w:style>
  <w:style w:type="paragraph" w:customStyle="1" w:styleId="291">
    <w:name w:val="样式 标题 3H3 + 黑色"/>
    <w:basedOn w:val="5"/>
    <w:link w:val="290"/>
    <w:qFormat/>
    <w:uiPriority w:val="0"/>
    <w:pPr>
      <w:keepNext w:val="0"/>
      <w:keepLines w:val="0"/>
      <w:adjustRightInd w:val="0"/>
      <w:snapToGrid w:val="0"/>
      <w:spacing w:before="0" w:line="460" w:lineRule="exact"/>
    </w:pPr>
    <w:rPr>
      <w:rFonts w:asciiTheme="minorHAnsi" w:hAnsiTheme="minorHAnsi" w:eastAsiaTheme="minorEastAsia" w:cstheme="minorBidi"/>
      <w:b/>
      <w:snapToGrid w:val="0"/>
      <w:color w:val="000000"/>
      <w:spacing w:val="0"/>
      <w:szCs w:val="24"/>
    </w:rPr>
  </w:style>
  <w:style w:type="character" w:customStyle="1" w:styleId="292">
    <w:name w:val="表头1 Char"/>
    <w:link w:val="293"/>
    <w:qFormat/>
    <w:uiPriority w:val="0"/>
    <w:rPr>
      <w:rFonts w:eastAsia="黑体"/>
      <w:szCs w:val="28"/>
    </w:rPr>
  </w:style>
  <w:style w:type="paragraph" w:customStyle="1" w:styleId="293">
    <w:name w:val="表头1"/>
    <w:basedOn w:val="1"/>
    <w:next w:val="1"/>
    <w:link w:val="292"/>
    <w:qFormat/>
    <w:uiPriority w:val="0"/>
    <w:pPr>
      <w:tabs>
        <w:tab w:val="left" w:pos="605"/>
      </w:tabs>
      <w:adjustRightInd w:val="0"/>
      <w:snapToGrid w:val="0"/>
      <w:jc w:val="center"/>
    </w:pPr>
    <w:rPr>
      <w:rFonts w:eastAsia="黑体" w:asciiTheme="minorHAnsi" w:hAnsiTheme="minorHAnsi" w:cstheme="minorBidi"/>
      <w:szCs w:val="28"/>
    </w:rPr>
  </w:style>
  <w:style w:type="character" w:customStyle="1" w:styleId="294">
    <w:name w:val="Char Char"/>
    <w:basedOn w:val="58"/>
    <w:link w:val="295"/>
    <w:qFormat/>
    <w:uiPriority w:val="0"/>
    <w:rPr>
      <w:rFonts w:ascii="仿宋_GB2312" w:hAnsi="宋体" w:eastAsia="仿宋_GB2312" w:cs="宋体"/>
      <w:b/>
      <w:sz w:val="32"/>
      <w:szCs w:val="32"/>
    </w:rPr>
  </w:style>
  <w:style w:type="paragraph" w:customStyle="1" w:styleId="295">
    <w:name w:val="Char1"/>
    <w:basedOn w:val="1"/>
    <w:link w:val="294"/>
    <w:qFormat/>
    <w:uiPriority w:val="0"/>
    <w:rPr>
      <w:rFonts w:ascii="仿宋_GB2312" w:hAnsi="宋体" w:eastAsia="仿宋_GB2312" w:cs="宋体"/>
      <w:b/>
      <w:sz w:val="32"/>
      <w:szCs w:val="32"/>
    </w:rPr>
  </w:style>
  <w:style w:type="character" w:customStyle="1" w:styleId="296">
    <w:name w:val="表头标题格式 Char"/>
    <w:basedOn w:val="58"/>
    <w:link w:val="297"/>
    <w:qFormat/>
    <w:uiPriority w:val="0"/>
    <w:rPr>
      <w:rFonts w:ascii="黑体" w:hAnsi="宋体" w:eastAsia="黑体" w:cs="宋体"/>
      <w:b/>
      <w:bCs/>
      <w:sz w:val="24"/>
      <w:szCs w:val="26"/>
    </w:rPr>
  </w:style>
  <w:style w:type="paragraph" w:customStyle="1" w:styleId="297">
    <w:name w:val="表头标题格式"/>
    <w:basedOn w:val="1"/>
    <w:link w:val="296"/>
    <w:qFormat/>
    <w:uiPriority w:val="0"/>
    <w:pPr>
      <w:tabs>
        <w:tab w:val="left" w:pos="360"/>
        <w:tab w:val="left" w:pos="1620"/>
      </w:tabs>
      <w:spacing w:line="360" w:lineRule="auto"/>
      <w:jc w:val="center"/>
    </w:pPr>
    <w:rPr>
      <w:rFonts w:ascii="黑体" w:hAnsi="宋体" w:eastAsia="黑体" w:cs="宋体"/>
      <w:b/>
      <w:bCs/>
      <w:sz w:val="24"/>
      <w:szCs w:val="26"/>
    </w:rPr>
  </w:style>
  <w:style w:type="character" w:customStyle="1" w:styleId="298">
    <w:name w:val="标题二A Char"/>
    <w:basedOn w:val="106"/>
    <w:link w:val="299"/>
    <w:qFormat/>
    <w:uiPriority w:val="0"/>
    <w:rPr>
      <w:rFonts w:ascii="华文仿宋" w:hAnsi="华文仿宋" w:eastAsia="华文仿宋" w:cs="楷体_GB2312"/>
      <w:sz w:val="30"/>
      <w:szCs w:val="30"/>
    </w:rPr>
  </w:style>
  <w:style w:type="paragraph" w:customStyle="1" w:styleId="299">
    <w:name w:val="标题二A"/>
    <w:basedOn w:val="109"/>
    <w:link w:val="298"/>
    <w:qFormat/>
    <w:uiPriority w:val="0"/>
    <w:rPr>
      <w:rFonts w:ascii="华文仿宋" w:hAnsi="华文仿宋" w:eastAsia="华文仿宋"/>
    </w:rPr>
  </w:style>
  <w:style w:type="character" w:customStyle="1" w:styleId="300">
    <w:name w:val="无间隔 Char"/>
    <w:basedOn w:val="58"/>
    <w:link w:val="301"/>
    <w:qFormat/>
    <w:uiPriority w:val="0"/>
    <w:rPr>
      <w:rFonts w:ascii="宋体" w:hAnsi="宋体" w:eastAsia="Times New Roman" w:cs="宋体"/>
      <w:sz w:val="22"/>
      <w:lang w:eastAsia="en-US" w:bidi="en-US"/>
    </w:rPr>
  </w:style>
  <w:style w:type="paragraph" w:customStyle="1" w:styleId="301">
    <w:name w:val="无间隔1"/>
    <w:link w:val="300"/>
    <w:qFormat/>
    <w:uiPriority w:val="0"/>
    <w:rPr>
      <w:rFonts w:ascii="宋体" w:hAnsi="宋体" w:eastAsia="Times New Roman" w:cs="宋体"/>
      <w:kern w:val="2"/>
      <w:sz w:val="22"/>
      <w:szCs w:val="22"/>
      <w:lang w:val="en-US" w:eastAsia="en-US" w:bidi="en-US"/>
    </w:rPr>
  </w:style>
  <w:style w:type="character" w:customStyle="1" w:styleId="302">
    <w:name w:val="表名 Char"/>
    <w:basedOn w:val="58"/>
    <w:link w:val="303"/>
    <w:qFormat/>
    <w:uiPriority w:val="0"/>
    <w:rPr>
      <w:rFonts w:ascii="宋体" w:hAnsi="宋体" w:eastAsia="宋体" w:cs="宋体"/>
      <w:b/>
      <w:szCs w:val="24"/>
    </w:rPr>
  </w:style>
  <w:style w:type="paragraph" w:customStyle="1" w:styleId="303">
    <w:name w:val="表名"/>
    <w:basedOn w:val="1"/>
    <w:next w:val="304"/>
    <w:link w:val="302"/>
    <w:qFormat/>
    <w:uiPriority w:val="0"/>
    <w:pPr>
      <w:keepNext/>
      <w:spacing w:before="120"/>
      <w:jc w:val="center"/>
    </w:pPr>
    <w:rPr>
      <w:rFonts w:ascii="宋体" w:hAnsi="宋体" w:cs="宋体"/>
      <w:b/>
    </w:rPr>
  </w:style>
  <w:style w:type="paragraph" w:customStyle="1" w:styleId="304">
    <w:name w:val="表头，alt+D"/>
    <w:basedOn w:val="1"/>
    <w:qFormat/>
    <w:uiPriority w:val="0"/>
    <w:pPr>
      <w:spacing w:before="60" w:after="60" w:line="240" w:lineRule="atLeast"/>
      <w:ind w:left="-113" w:right="-113"/>
      <w:jc w:val="center"/>
      <w:textAlignment w:val="center"/>
    </w:pPr>
    <w:rPr>
      <w:color w:val="808000"/>
      <w:sz w:val="24"/>
    </w:rPr>
  </w:style>
  <w:style w:type="character" w:customStyle="1" w:styleId="305">
    <w:name w:val="报告正文小四 Char"/>
    <w:basedOn w:val="58"/>
    <w:link w:val="306"/>
    <w:qFormat/>
    <w:uiPriority w:val="0"/>
    <w:rPr>
      <w:rFonts w:ascii="宋体" w:hAnsi="宋体" w:eastAsia="宋体" w:cs="宋体"/>
      <w:sz w:val="24"/>
      <w:szCs w:val="24"/>
    </w:rPr>
  </w:style>
  <w:style w:type="paragraph" w:customStyle="1" w:styleId="306">
    <w:name w:val="报告正文小四"/>
    <w:basedOn w:val="1"/>
    <w:link w:val="305"/>
    <w:qFormat/>
    <w:uiPriority w:val="0"/>
    <w:pPr>
      <w:adjustRightInd w:val="0"/>
      <w:snapToGrid w:val="0"/>
      <w:spacing w:before="120" w:line="360" w:lineRule="atLeast"/>
      <w:ind w:firstLine="750"/>
    </w:pPr>
    <w:rPr>
      <w:rFonts w:ascii="宋体" w:hAnsi="宋体" w:cs="宋体"/>
      <w:sz w:val="24"/>
    </w:rPr>
  </w:style>
  <w:style w:type="character" w:customStyle="1" w:styleId="307">
    <w:name w:val="批注文字 字符"/>
    <w:basedOn w:val="58"/>
    <w:link w:val="18"/>
    <w:qFormat/>
    <w:uiPriority w:val="0"/>
    <w:rPr>
      <w:rFonts w:ascii="宋体" w:hAnsi="宋体" w:eastAsia="宋体" w:cs="宋体"/>
      <w:szCs w:val="24"/>
    </w:rPr>
  </w:style>
  <w:style w:type="character" w:customStyle="1" w:styleId="308">
    <w:name w:val="000 Char"/>
    <w:basedOn w:val="58"/>
    <w:link w:val="309"/>
    <w:qFormat/>
    <w:uiPriority w:val="0"/>
    <w:rPr>
      <w:rFonts w:ascii="Arial" w:hAnsi="Arial" w:eastAsia="楷体_GB2312" w:cs="宋体"/>
      <w:color w:val="000000"/>
      <w:sz w:val="24"/>
      <w:szCs w:val="26"/>
    </w:rPr>
  </w:style>
  <w:style w:type="paragraph" w:customStyle="1" w:styleId="309">
    <w:name w:val="000"/>
    <w:basedOn w:val="1"/>
    <w:link w:val="308"/>
    <w:qFormat/>
    <w:uiPriority w:val="0"/>
    <w:pPr>
      <w:ind w:firstLine="2" w:firstLineChars="2"/>
      <w:jc w:val="center"/>
    </w:pPr>
    <w:rPr>
      <w:rFonts w:ascii="Arial" w:hAnsi="Arial" w:eastAsia="楷体_GB2312" w:cs="宋体"/>
      <w:color w:val="000000"/>
      <w:sz w:val="24"/>
      <w:szCs w:val="26"/>
    </w:rPr>
  </w:style>
  <w:style w:type="character" w:customStyle="1" w:styleId="310">
    <w:name w:val="样式 居中 首行缩进:  0 字符 Char"/>
    <w:basedOn w:val="58"/>
    <w:link w:val="311"/>
    <w:qFormat/>
    <w:uiPriority w:val="0"/>
    <w:rPr>
      <w:rFonts w:ascii="宋体" w:hAnsi="宋体" w:eastAsia="仿宋_GB2312" w:cs="宋体"/>
      <w:szCs w:val="26"/>
    </w:rPr>
  </w:style>
  <w:style w:type="paragraph" w:customStyle="1" w:styleId="311">
    <w:name w:val="样式 居中 首行缩进:  0 字符"/>
    <w:basedOn w:val="1"/>
    <w:next w:val="1"/>
    <w:link w:val="310"/>
    <w:qFormat/>
    <w:uiPriority w:val="0"/>
    <w:pPr>
      <w:tabs>
        <w:tab w:val="left" w:pos="9128"/>
      </w:tabs>
      <w:spacing w:line="500" w:lineRule="exact"/>
      <w:jc w:val="center"/>
    </w:pPr>
    <w:rPr>
      <w:rFonts w:ascii="宋体" w:hAnsi="宋体" w:eastAsia="仿宋_GB2312" w:cs="宋体"/>
      <w:szCs w:val="26"/>
    </w:rPr>
  </w:style>
  <w:style w:type="character" w:customStyle="1" w:styleId="312">
    <w:name w:val="样式16 Char"/>
    <w:basedOn w:val="58"/>
    <w:link w:val="313"/>
    <w:qFormat/>
    <w:uiPriority w:val="0"/>
    <w:rPr>
      <w:rFonts w:ascii="宋体" w:hAnsi="宋体" w:eastAsia="黑体" w:cs="宋体"/>
      <w:b/>
      <w:sz w:val="30"/>
      <w:szCs w:val="26"/>
    </w:rPr>
  </w:style>
  <w:style w:type="paragraph" w:customStyle="1" w:styleId="313">
    <w:name w:val="样式16"/>
    <w:basedOn w:val="314"/>
    <w:link w:val="312"/>
    <w:qFormat/>
    <w:uiPriority w:val="0"/>
    <w:pPr>
      <w:spacing w:before="163"/>
    </w:pPr>
  </w:style>
  <w:style w:type="paragraph" w:customStyle="1" w:styleId="314">
    <w:name w:val="1.1二级标题"/>
    <w:basedOn w:val="1"/>
    <w:link w:val="315"/>
    <w:qFormat/>
    <w:uiPriority w:val="0"/>
    <w:pPr>
      <w:spacing w:beforeLines="50" w:line="360" w:lineRule="auto"/>
      <w:outlineLvl w:val="1"/>
    </w:pPr>
    <w:rPr>
      <w:rFonts w:ascii="宋体" w:hAnsi="宋体" w:eastAsia="黑体" w:cs="宋体"/>
      <w:b/>
      <w:sz w:val="30"/>
      <w:szCs w:val="26"/>
    </w:rPr>
  </w:style>
  <w:style w:type="character" w:customStyle="1" w:styleId="315">
    <w:name w:val="1.1二级标题 Char"/>
    <w:basedOn w:val="58"/>
    <w:link w:val="314"/>
    <w:qFormat/>
    <w:uiPriority w:val="0"/>
    <w:rPr>
      <w:rFonts w:ascii="宋体" w:hAnsi="宋体" w:eastAsia="黑体" w:cs="宋体"/>
      <w:b/>
      <w:sz w:val="30"/>
      <w:szCs w:val="26"/>
    </w:rPr>
  </w:style>
  <w:style w:type="character" w:customStyle="1" w:styleId="316">
    <w:name w:val="样式 标题4 1.1.1.1 Char"/>
    <w:basedOn w:val="58"/>
    <w:link w:val="317"/>
    <w:qFormat/>
    <w:uiPriority w:val="0"/>
    <w:rPr>
      <w:rFonts w:ascii="宋体" w:hAnsi="宋体" w:cs="宋体"/>
      <w:bCs/>
      <w:color w:val="000000"/>
      <w:sz w:val="24"/>
      <w:szCs w:val="26"/>
    </w:rPr>
  </w:style>
  <w:style w:type="paragraph" w:customStyle="1" w:styleId="317">
    <w:name w:val="样式 标题4 1.1.1.1"/>
    <w:basedOn w:val="6"/>
    <w:next w:val="71"/>
    <w:link w:val="316"/>
    <w:qFormat/>
    <w:uiPriority w:val="0"/>
    <w:pPr>
      <w:keepNext/>
      <w:keepLines/>
      <w:wordWrap/>
      <w:topLinePunct w:val="0"/>
      <w:autoSpaceDN/>
      <w:spacing w:line="360" w:lineRule="auto"/>
      <w:ind w:firstLine="470" w:firstLineChars="196"/>
      <w:outlineLvl w:val="9"/>
    </w:pPr>
    <w:rPr>
      <w:rFonts w:ascii="宋体" w:hAnsi="宋体" w:cs="宋体" w:eastAsiaTheme="minorEastAsia"/>
      <w:sz w:val="24"/>
      <w:szCs w:val="26"/>
    </w:rPr>
  </w:style>
  <w:style w:type="character" w:customStyle="1" w:styleId="318">
    <w:name w:val="Char Char3"/>
    <w:link w:val="319"/>
    <w:qFormat/>
    <w:uiPriority w:val="0"/>
    <w:rPr>
      <w:szCs w:val="24"/>
    </w:rPr>
  </w:style>
  <w:style w:type="paragraph" w:customStyle="1" w:styleId="319">
    <w:name w:val="Char2"/>
    <w:basedOn w:val="1"/>
    <w:link w:val="318"/>
    <w:qFormat/>
    <w:uiPriority w:val="0"/>
    <w:rPr>
      <w:rFonts w:asciiTheme="minorHAnsi" w:hAnsiTheme="minorHAnsi" w:eastAsiaTheme="minorEastAsia" w:cstheme="minorBidi"/>
    </w:rPr>
  </w:style>
  <w:style w:type="character" w:customStyle="1" w:styleId="320">
    <w:name w:val="样式 1.1二级标题 Char"/>
    <w:basedOn w:val="58"/>
    <w:link w:val="321"/>
    <w:qFormat/>
    <w:uiPriority w:val="0"/>
    <w:rPr>
      <w:rFonts w:ascii="黑体" w:hAnsi="宋体" w:eastAsia="黑体" w:cs="宋体"/>
      <w:b/>
      <w:sz w:val="30"/>
      <w:szCs w:val="30"/>
    </w:rPr>
  </w:style>
  <w:style w:type="paragraph" w:customStyle="1" w:styleId="321">
    <w:name w:val="样式 1.1二级标题"/>
    <w:basedOn w:val="314"/>
    <w:link w:val="320"/>
    <w:qFormat/>
    <w:uiPriority w:val="0"/>
    <w:pPr>
      <w:spacing w:before="120"/>
    </w:pPr>
    <w:rPr>
      <w:rFonts w:ascii="黑体"/>
      <w:szCs w:val="30"/>
    </w:rPr>
  </w:style>
  <w:style w:type="character" w:customStyle="1" w:styleId="322">
    <w:name w:val="表格内部样式 Char"/>
    <w:basedOn w:val="58"/>
    <w:link w:val="323"/>
    <w:qFormat/>
    <w:uiPriority w:val="0"/>
    <w:rPr>
      <w:rFonts w:ascii="楷体_GB2312" w:hAnsi="宋体" w:eastAsia="楷体_GB2312" w:cs="宋体"/>
      <w:color w:val="000000"/>
      <w:sz w:val="18"/>
      <w:szCs w:val="18"/>
    </w:rPr>
  </w:style>
  <w:style w:type="paragraph" w:customStyle="1" w:styleId="323">
    <w:name w:val="表格内部样式"/>
    <w:basedOn w:val="1"/>
    <w:link w:val="322"/>
    <w:qFormat/>
    <w:uiPriority w:val="0"/>
    <w:pPr>
      <w:widowControl/>
      <w:spacing w:line="280" w:lineRule="exact"/>
      <w:jc w:val="center"/>
    </w:pPr>
    <w:rPr>
      <w:rFonts w:ascii="楷体_GB2312" w:hAnsi="宋体" w:eastAsia="楷体_GB2312" w:cs="宋体"/>
      <w:color w:val="000000"/>
      <w:sz w:val="18"/>
      <w:szCs w:val="18"/>
    </w:rPr>
  </w:style>
  <w:style w:type="character" w:customStyle="1" w:styleId="324">
    <w:name w:val="自定正文 Char"/>
    <w:basedOn w:val="261"/>
    <w:link w:val="325"/>
    <w:qFormat/>
    <w:uiPriority w:val="0"/>
    <w:rPr>
      <w:rFonts w:ascii="宋体" w:hAnsi="宋体" w:eastAsia="华文仿宋" w:cs="宋体"/>
      <w:color w:val="000000"/>
      <w:sz w:val="24"/>
      <w:szCs w:val="24"/>
    </w:rPr>
  </w:style>
  <w:style w:type="paragraph" w:customStyle="1" w:styleId="325">
    <w:name w:val="自定正文"/>
    <w:basedOn w:val="262"/>
    <w:link w:val="324"/>
    <w:qFormat/>
    <w:uiPriority w:val="0"/>
    <w:pPr>
      <w:keepNext w:val="0"/>
      <w:keepLines w:val="0"/>
      <w:ind w:firstLine="480" w:firstLineChars="200"/>
      <w:outlineLvl w:val="9"/>
    </w:pPr>
    <w:rPr>
      <w:rFonts w:hAnsi="宋体"/>
      <w:color w:val="000000"/>
    </w:rPr>
  </w:style>
  <w:style w:type="character" w:customStyle="1" w:styleId="326">
    <w:name w:val="引用 Char"/>
    <w:basedOn w:val="58"/>
    <w:link w:val="327"/>
    <w:qFormat/>
    <w:uiPriority w:val="0"/>
    <w:rPr>
      <w:rFonts w:ascii="Calibri" w:hAnsi="Calibri" w:eastAsia="宋体" w:cs="宋体"/>
      <w:i/>
      <w:iCs/>
      <w:color w:val="000000"/>
      <w:sz w:val="22"/>
      <w:szCs w:val="26"/>
      <w:lang w:eastAsia="en-US" w:bidi="en-US"/>
    </w:rPr>
  </w:style>
  <w:style w:type="paragraph" w:customStyle="1" w:styleId="327">
    <w:name w:val="引用2"/>
    <w:basedOn w:val="1"/>
    <w:next w:val="1"/>
    <w:link w:val="326"/>
    <w:qFormat/>
    <w:uiPriority w:val="0"/>
    <w:pPr>
      <w:widowControl/>
      <w:spacing w:after="200" w:line="276" w:lineRule="auto"/>
      <w:jc w:val="left"/>
    </w:pPr>
    <w:rPr>
      <w:rFonts w:ascii="Calibri" w:hAnsi="Calibri" w:cs="宋体"/>
      <w:i/>
      <w:iCs/>
      <w:color w:val="000000"/>
      <w:sz w:val="22"/>
      <w:szCs w:val="26"/>
      <w:lang w:eastAsia="en-US" w:bidi="en-US"/>
    </w:rPr>
  </w:style>
  <w:style w:type="character" w:customStyle="1" w:styleId="328">
    <w:name w:val="样式 题注 + 首行缩进:  2 字符2 Char"/>
    <w:link w:val="329"/>
    <w:qFormat/>
    <w:uiPriority w:val="0"/>
    <w:rPr>
      <w:rFonts w:ascii="黑体" w:hAnsi="宋体" w:eastAsia="黑体"/>
      <w:color w:val="000000"/>
      <w:sz w:val="24"/>
      <w:szCs w:val="28"/>
    </w:rPr>
  </w:style>
  <w:style w:type="paragraph" w:customStyle="1" w:styleId="329">
    <w:name w:val="样式 题注 + 首行缩进:  2 字符2"/>
    <w:basedOn w:val="16"/>
    <w:link w:val="328"/>
    <w:qFormat/>
    <w:uiPriority w:val="0"/>
    <w:pPr>
      <w:keepNext/>
      <w:adjustRightInd w:val="0"/>
      <w:snapToGrid w:val="0"/>
      <w:spacing w:line="240" w:lineRule="auto"/>
      <w:ind w:firstLine="0" w:firstLineChars="0"/>
      <w:jc w:val="center"/>
    </w:pPr>
    <w:rPr>
      <w:rFonts w:ascii="黑体" w:hAnsi="宋体" w:cstheme="minorBidi"/>
      <w:color w:val="000000"/>
      <w:szCs w:val="28"/>
    </w:rPr>
  </w:style>
  <w:style w:type="character" w:customStyle="1" w:styleId="330">
    <w:name w:val="段落 Char1 Char Char Char Char Char Char Char"/>
    <w:link w:val="331"/>
    <w:qFormat/>
    <w:uiPriority w:val="0"/>
    <w:rPr>
      <w:color w:val="000000"/>
      <w:kern w:val="24"/>
      <w:sz w:val="24"/>
      <w:szCs w:val="24"/>
    </w:rPr>
  </w:style>
  <w:style w:type="paragraph" w:customStyle="1" w:styleId="331">
    <w:name w:val="段落 Char1 Char Char Char Char Char Char"/>
    <w:basedOn w:val="1"/>
    <w:link w:val="330"/>
    <w:qFormat/>
    <w:uiPriority w:val="0"/>
    <w:pPr>
      <w:tabs>
        <w:tab w:val="left" w:pos="1021"/>
      </w:tabs>
      <w:spacing w:line="326" w:lineRule="auto"/>
      <w:ind w:firstLine="480" w:firstLineChars="200"/>
    </w:pPr>
    <w:rPr>
      <w:rFonts w:asciiTheme="minorHAnsi" w:hAnsiTheme="minorHAnsi" w:eastAsiaTheme="minorEastAsia" w:cstheme="minorBidi"/>
      <w:color w:val="000000"/>
      <w:kern w:val="24"/>
      <w:sz w:val="24"/>
    </w:rPr>
  </w:style>
  <w:style w:type="character" w:customStyle="1" w:styleId="332">
    <w:name w:val="正文缩进 Char"/>
    <w:qFormat/>
    <w:uiPriority w:val="0"/>
    <w:rPr>
      <w:rFonts w:eastAsia="宋体"/>
      <w:kern w:val="2"/>
      <w:sz w:val="21"/>
      <w:szCs w:val="24"/>
      <w:lang w:val="en-US" w:eastAsia="zh-CN" w:bidi="ar-SA"/>
    </w:rPr>
  </w:style>
  <w:style w:type="character" w:customStyle="1" w:styleId="333">
    <w:name w:val="正文01 Char Char"/>
    <w:basedOn w:val="58"/>
    <w:link w:val="334"/>
    <w:qFormat/>
    <w:uiPriority w:val="0"/>
    <w:rPr>
      <w:rFonts w:ascii="Arial" w:hAnsi="Arial" w:cs="宋体"/>
      <w:sz w:val="24"/>
      <w:szCs w:val="26"/>
    </w:rPr>
  </w:style>
  <w:style w:type="paragraph" w:customStyle="1" w:styleId="334">
    <w:name w:val="正文01"/>
    <w:basedOn w:val="1"/>
    <w:link w:val="333"/>
    <w:qFormat/>
    <w:uiPriority w:val="0"/>
    <w:pPr>
      <w:spacing w:before="60" w:line="460" w:lineRule="exact"/>
      <w:ind w:firstLine="200" w:firstLineChars="200"/>
    </w:pPr>
    <w:rPr>
      <w:rFonts w:ascii="Arial" w:hAnsi="Arial" w:cs="宋体" w:eastAsiaTheme="minorEastAsia"/>
      <w:sz w:val="24"/>
      <w:szCs w:val="26"/>
    </w:rPr>
  </w:style>
  <w:style w:type="character" w:customStyle="1" w:styleId="335">
    <w:name w:val="正文四号 Char"/>
    <w:link w:val="336"/>
    <w:qFormat/>
    <w:uiPriority w:val="0"/>
    <w:rPr>
      <w:sz w:val="24"/>
      <w:szCs w:val="24"/>
    </w:rPr>
  </w:style>
  <w:style w:type="paragraph" w:customStyle="1" w:styleId="336">
    <w:name w:val="正文四号"/>
    <w:basedOn w:val="1"/>
    <w:link w:val="335"/>
    <w:qFormat/>
    <w:uiPriority w:val="0"/>
    <w:pPr>
      <w:spacing w:line="360" w:lineRule="auto"/>
      <w:ind w:firstLine="200" w:firstLineChars="200"/>
    </w:pPr>
    <w:rPr>
      <w:rFonts w:asciiTheme="minorHAnsi" w:hAnsiTheme="minorHAnsi" w:eastAsiaTheme="minorEastAsia" w:cstheme="minorBidi"/>
      <w:sz w:val="24"/>
    </w:rPr>
  </w:style>
  <w:style w:type="character" w:customStyle="1" w:styleId="337">
    <w:name w:val="样式 列表1 + 左侧:  0 厘米 悬挂缩进: 2 字符1 Char Char"/>
    <w:basedOn w:val="58"/>
    <w:link w:val="338"/>
    <w:semiHidden/>
    <w:qFormat/>
    <w:uiPriority w:val="0"/>
    <w:rPr>
      <w:rFonts w:ascii="仿宋_GB2312" w:hAnsi="宋体" w:eastAsia="仿宋_GB2312" w:cs="宋体"/>
      <w:sz w:val="28"/>
      <w:szCs w:val="26"/>
    </w:rPr>
  </w:style>
  <w:style w:type="paragraph" w:customStyle="1" w:styleId="338">
    <w:name w:val="样式 列表1 + 左侧:  0 厘米 悬挂缩进: 2 字符1"/>
    <w:basedOn w:val="1"/>
    <w:link w:val="337"/>
    <w:semiHidden/>
    <w:qFormat/>
    <w:uiPriority w:val="0"/>
    <w:rPr>
      <w:rFonts w:ascii="仿宋_GB2312" w:hAnsi="宋体" w:eastAsia="仿宋_GB2312" w:cs="宋体"/>
      <w:sz w:val="28"/>
      <w:szCs w:val="26"/>
    </w:rPr>
  </w:style>
  <w:style w:type="character" w:customStyle="1" w:styleId="339">
    <w:name w:val="单晶硅表头 Char"/>
    <w:basedOn w:val="58"/>
    <w:link w:val="340"/>
    <w:qFormat/>
    <w:uiPriority w:val="0"/>
    <w:rPr>
      <w:rFonts w:ascii="黑体" w:hAnsi="宋体" w:eastAsia="黑体" w:cs="宋体"/>
      <w:sz w:val="24"/>
      <w:szCs w:val="24"/>
      <w14:shadow w14:blurRad="50800" w14:dist="38100" w14:dir="2700000" w14:sx="100000" w14:sy="100000" w14:kx="0" w14:ky="0" w14:algn="tl">
        <w14:srgbClr w14:val="000000">
          <w14:alpha w14:val="60000"/>
        </w14:srgbClr>
      </w14:shadow>
    </w:rPr>
  </w:style>
  <w:style w:type="paragraph" w:customStyle="1" w:styleId="340">
    <w:name w:val="单晶硅表头"/>
    <w:basedOn w:val="1"/>
    <w:link w:val="339"/>
    <w:qFormat/>
    <w:uiPriority w:val="0"/>
    <w:pPr>
      <w:spacing w:line="560" w:lineRule="exact"/>
      <w:jc w:val="center"/>
    </w:pPr>
    <w:rPr>
      <w:rFonts w:ascii="黑体" w:hAnsi="宋体" w:eastAsia="黑体" w:cs="宋体"/>
      <w:sz w:val="24"/>
      <w14:shadow w14:blurRad="50800" w14:dist="38100" w14:dir="2700000" w14:sx="100000" w14:sy="100000" w14:kx="0" w14:ky="0" w14:algn="tl">
        <w14:srgbClr w14:val="000000">
          <w14:alpha w14:val="60000"/>
        </w14:srgbClr>
      </w14:shadow>
    </w:rPr>
  </w:style>
  <w:style w:type="character" w:customStyle="1" w:styleId="341">
    <w:name w:val="表体 Char"/>
    <w:basedOn w:val="58"/>
    <w:link w:val="342"/>
    <w:qFormat/>
    <w:uiPriority w:val="0"/>
    <w:rPr>
      <w:rFonts w:ascii="宋体" w:hAnsi="宋体" w:cs="宋体"/>
      <w:color w:val="000080"/>
      <w:sz w:val="24"/>
      <w:szCs w:val="24"/>
    </w:rPr>
  </w:style>
  <w:style w:type="paragraph" w:customStyle="1" w:styleId="342">
    <w:name w:val="表体"/>
    <w:link w:val="341"/>
    <w:qFormat/>
    <w:uiPriority w:val="0"/>
    <w:pPr>
      <w:spacing w:before="40" w:after="40"/>
      <w:jc w:val="center"/>
    </w:pPr>
    <w:rPr>
      <w:rFonts w:ascii="宋体" w:hAnsi="宋体" w:cs="宋体" w:eastAsiaTheme="minorEastAsia"/>
      <w:color w:val="000080"/>
      <w:kern w:val="2"/>
      <w:sz w:val="24"/>
      <w:szCs w:val="24"/>
      <w:lang w:val="en-US" w:eastAsia="zh-CN" w:bidi="ar-SA"/>
    </w:rPr>
  </w:style>
  <w:style w:type="character" w:customStyle="1" w:styleId="343">
    <w:name w:val="预案3号 Char"/>
    <w:basedOn w:val="58"/>
    <w:link w:val="344"/>
    <w:qFormat/>
    <w:uiPriority w:val="0"/>
    <w:rPr>
      <w:rFonts w:ascii="宋体" w:hAnsi="宋体" w:eastAsia="宋体" w:cs="楷体_GB2312"/>
      <w:b/>
      <w:color w:val="000000"/>
      <w:sz w:val="28"/>
      <w:szCs w:val="28"/>
    </w:rPr>
  </w:style>
  <w:style w:type="paragraph" w:customStyle="1" w:styleId="344">
    <w:name w:val="预案3号"/>
    <w:basedOn w:val="345"/>
    <w:link w:val="343"/>
    <w:qFormat/>
    <w:uiPriority w:val="0"/>
    <w:pPr>
      <w:keepNext w:val="0"/>
      <w:keepLines w:val="0"/>
      <w:widowControl w:val="0"/>
      <w:spacing w:before="0" w:after="0" w:line="360" w:lineRule="auto"/>
      <w:jc w:val="both"/>
    </w:pPr>
    <w:rPr>
      <w:rFonts w:ascii="宋体" w:hAnsi="宋体" w:eastAsia="宋体"/>
      <w:b/>
      <w:color w:val="000000"/>
      <w:kern w:val="2"/>
    </w:rPr>
  </w:style>
  <w:style w:type="paragraph" w:customStyle="1" w:styleId="345">
    <w:name w:val="标题三！！！！！！！"/>
    <w:basedOn w:val="5"/>
    <w:qFormat/>
    <w:uiPriority w:val="0"/>
    <w:pPr>
      <w:widowControl/>
      <w:spacing w:before="260" w:after="260" w:line="500" w:lineRule="exact"/>
      <w:jc w:val="left"/>
    </w:pPr>
    <w:rPr>
      <w:rFonts w:ascii="楷体_GB2312" w:hAnsi="楷体_GB2312" w:eastAsia="楷体_GB2312" w:cs="楷体_GB2312"/>
      <w:spacing w:val="0"/>
      <w:kern w:val="0"/>
      <w:sz w:val="28"/>
      <w:szCs w:val="28"/>
    </w:rPr>
  </w:style>
  <w:style w:type="character" w:customStyle="1" w:styleId="346">
    <w:name w:val="J【表头】 Char"/>
    <w:basedOn w:val="58"/>
    <w:link w:val="347"/>
    <w:qFormat/>
    <w:uiPriority w:val="0"/>
    <w:rPr>
      <w:rFonts w:ascii="宋体" w:hAnsi="宋体" w:cs="宋体"/>
      <w:b/>
      <w:sz w:val="24"/>
      <w:szCs w:val="24"/>
    </w:rPr>
  </w:style>
  <w:style w:type="paragraph" w:customStyle="1" w:styleId="347">
    <w:name w:val="J【表头】"/>
    <w:basedOn w:val="1"/>
    <w:link w:val="346"/>
    <w:qFormat/>
    <w:uiPriority w:val="0"/>
    <w:pPr>
      <w:spacing w:line="360" w:lineRule="auto"/>
      <w:jc w:val="center"/>
    </w:pPr>
    <w:rPr>
      <w:rFonts w:ascii="宋体" w:hAnsi="宋体" w:cs="宋体" w:eastAsiaTheme="minorEastAsia"/>
      <w:b/>
      <w:sz w:val="24"/>
    </w:rPr>
  </w:style>
  <w:style w:type="character" w:customStyle="1" w:styleId="348">
    <w:name w:val="样式 样式 正文文本 + 首行缩进:  2 字符 + 宋体 首行缩进:  2 字符 Char"/>
    <w:link w:val="349"/>
    <w:qFormat/>
    <w:uiPriority w:val="0"/>
    <w:rPr>
      <w:color w:val="FF0000"/>
      <w:sz w:val="24"/>
      <w:szCs w:val="24"/>
    </w:rPr>
  </w:style>
  <w:style w:type="paragraph" w:customStyle="1" w:styleId="349">
    <w:name w:val="样式 样式 正文文本 + 首行缩进:  2 字符 + 宋体 首行缩进:  2 字符"/>
    <w:basedOn w:val="105"/>
    <w:link w:val="348"/>
    <w:qFormat/>
    <w:uiPriority w:val="0"/>
    <w:pPr>
      <w:ind w:firstLine="480"/>
    </w:pPr>
  </w:style>
  <w:style w:type="character" w:customStyle="1" w:styleId="350">
    <w:name w:val="正文（首行缩进两字） Char"/>
    <w:basedOn w:val="58"/>
    <w:qFormat/>
    <w:uiPriority w:val="0"/>
    <w:rPr>
      <w:rFonts w:ascii="宋体" w:hAnsi="宋体" w:eastAsia="宋体" w:cs="宋体"/>
      <w:kern w:val="2"/>
      <w:sz w:val="28"/>
      <w:szCs w:val="26"/>
      <w:lang w:val="en-US" w:eastAsia="zh-CN" w:bidi="ar-SA"/>
    </w:rPr>
  </w:style>
  <w:style w:type="character" w:customStyle="1" w:styleId="351">
    <w:name w:val="文本框五号 Char"/>
    <w:basedOn w:val="58"/>
    <w:link w:val="352"/>
    <w:qFormat/>
    <w:uiPriority w:val="0"/>
    <w:rPr>
      <w:rFonts w:ascii="宋体" w:hAnsi="宋体" w:eastAsia="仿宋_GB2312" w:cs="宋体"/>
      <w:szCs w:val="21"/>
    </w:rPr>
  </w:style>
  <w:style w:type="paragraph" w:customStyle="1" w:styleId="352">
    <w:name w:val="文本框五号"/>
    <w:basedOn w:val="1"/>
    <w:link w:val="351"/>
    <w:qFormat/>
    <w:uiPriority w:val="0"/>
    <w:pPr>
      <w:jc w:val="center"/>
    </w:pPr>
    <w:rPr>
      <w:rFonts w:ascii="宋体" w:hAnsi="宋体" w:eastAsia="仿宋_GB2312" w:cs="宋体"/>
      <w:szCs w:val="21"/>
    </w:rPr>
  </w:style>
  <w:style w:type="character" w:customStyle="1" w:styleId="353">
    <w:name w:val="样式 标题 3H3 + 黑色1 Char"/>
    <w:link w:val="354"/>
    <w:qFormat/>
    <w:uiPriority w:val="0"/>
    <w:rPr>
      <w:b/>
      <w:snapToGrid w:val="0"/>
      <w:color w:val="000000"/>
      <w:sz w:val="24"/>
      <w:szCs w:val="24"/>
    </w:rPr>
  </w:style>
  <w:style w:type="paragraph" w:customStyle="1" w:styleId="354">
    <w:name w:val="样式 标题 3H3 + 黑色1"/>
    <w:basedOn w:val="5"/>
    <w:link w:val="353"/>
    <w:qFormat/>
    <w:uiPriority w:val="0"/>
    <w:pPr>
      <w:keepNext w:val="0"/>
      <w:keepLines w:val="0"/>
      <w:adjustRightInd w:val="0"/>
      <w:snapToGrid w:val="0"/>
      <w:spacing w:before="0" w:line="460" w:lineRule="exact"/>
      <w:jc w:val="left"/>
    </w:pPr>
    <w:rPr>
      <w:rFonts w:asciiTheme="minorHAnsi" w:hAnsiTheme="minorHAnsi" w:eastAsiaTheme="minorEastAsia" w:cstheme="minorBidi"/>
      <w:b/>
      <w:snapToGrid w:val="0"/>
      <w:color w:val="000000"/>
      <w:spacing w:val="0"/>
      <w:szCs w:val="24"/>
    </w:rPr>
  </w:style>
  <w:style w:type="character" w:customStyle="1" w:styleId="355">
    <w:name w:val="样式 (符号) 宋体 小四 行距: 固定值 26 磅 Char Char Char"/>
    <w:basedOn w:val="58"/>
    <w:link w:val="356"/>
    <w:qFormat/>
    <w:uiPriority w:val="0"/>
    <w:rPr>
      <w:rFonts w:ascii="宋体" w:hAnsi="宋体" w:cs="宋体"/>
      <w:color w:val="000000"/>
      <w:sz w:val="28"/>
      <w:szCs w:val="28"/>
    </w:rPr>
  </w:style>
  <w:style w:type="paragraph" w:customStyle="1" w:styleId="356">
    <w:name w:val="样式 (符号) 宋体 小四 行距: 固定值 26 磅 Char Char"/>
    <w:basedOn w:val="1"/>
    <w:link w:val="355"/>
    <w:qFormat/>
    <w:uiPriority w:val="0"/>
    <w:pPr>
      <w:spacing w:line="360" w:lineRule="auto"/>
      <w:ind w:firstLine="480" w:firstLineChars="200"/>
    </w:pPr>
    <w:rPr>
      <w:rFonts w:ascii="宋体" w:hAnsi="宋体" w:cs="宋体" w:eastAsiaTheme="minorEastAsia"/>
      <w:color w:val="000000"/>
      <w:sz w:val="28"/>
      <w:szCs w:val="28"/>
    </w:rPr>
  </w:style>
  <w:style w:type="character" w:customStyle="1" w:styleId="357">
    <w:name w:val="表文字 Char Char"/>
    <w:basedOn w:val="58"/>
    <w:link w:val="358"/>
    <w:qFormat/>
    <w:uiPriority w:val="0"/>
    <w:rPr>
      <w:rFonts w:ascii="仿宋_GB2312" w:hAnsi="宋体" w:eastAsia="仿宋_GB2312" w:cs="宋体"/>
      <w:b/>
      <w:bCs/>
      <w:sz w:val="18"/>
      <w:szCs w:val="18"/>
    </w:rPr>
  </w:style>
  <w:style w:type="paragraph" w:customStyle="1" w:styleId="358">
    <w:name w:val="表文字 Char"/>
    <w:basedOn w:val="1"/>
    <w:link w:val="357"/>
    <w:qFormat/>
    <w:uiPriority w:val="0"/>
    <w:pPr>
      <w:keepNext/>
      <w:widowControl/>
      <w:spacing w:line="240" w:lineRule="exact"/>
    </w:pPr>
    <w:rPr>
      <w:rFonts w:ascii="仿宋_GB2312" w:hAnsi="宋体" w:eastAsia="仿宋_GB2312" w:cs="宋体"/>
      <w:b/>
      <w:bCs/>
      <w:sz w:val="18"/>
      <w:szCs w:val="18"/>
    </w:rPr>
  </w:style>
  <w:style w:type="character" w:customStyle="1" w:styleId="359">
    <w:name w:val="图框 Char"/>
    <w:link w:val="360"/>
    <w:qFormat/>
    <w:uiPriority w:val="0"/>
    <w:rPr>
      <w:rFonts w:eastAsia="宋体"/>
      <w:szCs w:val="21"/>
      <w:lang w:val="zh-CN"/>
    </w:rPr>
  </w:style>
  <w:style w:type="paragraph" w:customStyle="1" w:styleId="360">
    <w:name w:val="图框"/>
    <w:basedOn w:val="1"/>
    <w:link w:val="359"/>
    <w:qFormat/>
    <w:uiPriority w:val="0"/>
    <w:pPr>
      <w:jc w:val="center"/>
    </w:pPr>
    <w:rPr>
      <w:rFonts w:asciiTheme="minorHAnsi" w:hAnsiTheme="minorHAnsi" w:cstheme="minorBidi"/>
      <w:szCs w:val="21"/>
      <w:lang w:val="zh-CN"/>
    </w:rPr>
  </w:style>
  <w:style w:type="character" w:customStyle="1" w:styleId="361">
    <w:name w:val="预案2号 Char"/>
    <w:basedOn w:val="58"/>
    <w:link w:val="362"/>
    <w:qFormat/>
    <w:uiPriority w:val="0"/>
    <w:rPr>
      <w:rFonts w:ascii="宋体" w:hAnsi="宋体" w:eastAsia="宋体" w:cs="楷体_GB2312"/>
      <w:b/>
      <w:bCs/>
      <w:sz w:val="30"/>
      <w:szCs w:val="30"/>
    </w:rPr>
  </w:style>
  <w:style w:type="paragraph" w:customStyle="1" w:styleId="362">
    <w:name w:val="预案2号"/>
    <w:basedOn w:val="108"/>
    <w:link w:val="361"/>
    <w:qFormat/>
    <w:uiPriority w:val="0"/>
    <w:rPr>
      <w:rFonts w:ascii="宋体" w:hAnsi="宋体" w:eastAsia="宋体"/>
    </w:rPr>
  </w:style>
  <w:style w:type="character" w:customStyle="1" w:styleId="363">
    <w:name w:val="表格后 Char"/>
    <w:basedOn w:val="58"/>
    <w:link w:val="364"/>
    <w:qFormat/>
    <w:uiPriority w:val="0"/>
    <w:rPr>
      <w:rFonts w:ascii="宋体" w:hAnsi="宋体" w:eastAsia="宋体" w:cs="宋体"/>
      <w:sz w:val="24"/>
      <w:szCs w:val="24"/>
    </w:rPr>
  </w:style>
  <w:style w:type="paragraph" w:customStyle="1" w:styleId="364">
    <w:name w:val="表格后"/>
    <w:basedOn w:val="1"/>
    <w:next w:val="1"/>
    <w:link w:val="363"/>
    <w:qFormat/>
    <w:uiPriority w:val="0"/>
    <w:pPr>
      <w:spacing w:beforeLines="50" w:line="360" w:lineRule="auto"/>
      <w:ind w:firstLine="200" w:firstLineChars="200"/>
    </w:pPr>
    <w:rPr>
      <w:rFonts w:ascii="宋体" w:hAnsi="宋体" w:cs="宋体"/>
      <w:sz w:val="24"/>
    </w:rPr>
  </w:style>
  <w:style w:type="character" w:customStyle="1" w:styleId="365">
    <w:name w:val="5 Char"/>
    <w:basedOn w:val="58"/>
    <w:link w:val="366"/>
    <w:qFormat/>
    <w:uiPriority w:val="0"/>
    <w:rPr>
      <w:rFonts w:ascii="宋体" w:hAnsi="宋体" w:cs="宋体"/>
      <w:sz w:val="24"/>
      <w:szCs w:val="26"/>
    </w:rPr>
  </w:style>
  <w:style w:type="paragraph" w:customStyle="1" w:styleId="366">
    <w:name w:val="5"/>
    <w:basedOn w:val="1"/>
    <w:next w:val="15"/>
    <w:link w:val="365"/>
    <w:qFormat/>
    <w:uiPriority w:val="0"/>
    <w:pPr>
      <w:snapToGrid w:val="0"/>
      <w:spacing w:before="120" w:line="360" w:lineRule="auto"/>
      <w:ind w:firstLine="510"/>
    </w:pPr>
    <w:rPr>
      <w:rFonts w:ascii="宋体" w:hAnsi="宋体" w:cs="宋体" w:eastAsiaTheme="minorEastAsia"/>
      <w:sz w:val="24"/>
      <w:szCs w:val="26"/>
    </w:rPr>
  </w:style>
  <w:style w:type="character" w:customStyle="1" w:styleId="367">
    <w:name w:val="正文文本 3 字符"/>
    <w:basedOn w:val="58"/>
    <w:link w:val="20"/>
    <w:qFormat/>
    <w:uiPriority w:val="0"/>
    <w:rPr>
      <w:rFonts w:ascii="宋体" w:hAnsi="宋体" w:eastAsia="宋体" w:cs="宋体"/>
      <w:sz w:val="16"/>
      <w:szCs w:val="16"/>
    </w:rPr>
  </w:style>
  <w:style w:type="character" w:customStyle="1" w:styleId="368">
    <w:name w:val="正文首行不缩进 Char Char"/>
    <w:basedOn w:val="186"/>
    <w:link w:val="369"/>
    <w:semiHidden/>
    <w:qFormat/>
    <w:uiPriority w:val="0"/>
    <w:rPr>
      <w:rFonts w:ascii="宋体" w:hAnsi="宋体" w:eastAsia="宋体" w:cs="宋体"/>
      <w:sz w:val="24"/>
      <w:szCs w:val="28"/>
      <w:lang w:eastAsia="en-US" w:bidi="en-US"/>
    </w:rPr>
  </w:style>
  <w:style w:type="paragraph" w:customStyle="1" w:styleId="369">
    <w:name w:val="正文首行不缩进"/>
    <w:basedOn w:val="1"/>
    <w:link w:val="368"/>
    <w:semiHidden/>
    <w:qFormat/>
    <w:uiPriority w:val="0"/>
    <w:pPr>
      <w:widowControl/>
      <w:spacing w:line="360" w:lineRule="auto"/>
    </w:pPr>
    <w:rPr>
      <w:rFonts w:ascii="宋体" w:hAnsi="宋体" w:cs="宋体"/>
      <w:sz w:val="24"/>
      <w:szCs w:val="28"/>
      <w:lang w:eastAsia="en-US" w:bidi="en-US"/>
    </w:rPr>
  </w:style>
  <w:style w:type="character" w:customStyle="1" w:styleId="370">
    <w:name w:val="标题四 Char"/>
    <w:basedOn w:val="279"/>
    <w:link w:val="371"/>
    <w:qFormat/>
    <w:uiPriority w:val="0"/>
    <w:rPr>
      <w:rFonts w:ascii="楷体_GB2312" w:hAnsi="楷体_GB2312" w:eastAsia="楷体_GB2312" w:cs="宋体"/>
      <w:b/>
      <w:kern w:val="2"/>
      <w:sz w:val="24"/>
      <w:szCs w:val="24"/>
    </w:rPr>
  </w:style>
  <w:style w:type="paragraph" w:customStyle="1" w:styleId="371">
    <w:name w:val="标题四"/>
    <w:basedOn w:val="168"/>
    <w:link w:val="370"/>
    <w:qFormat/>
    <w:uiPriority w:val="0"/>
    <w:pPr>
      <w:ind w:firstLine="0" w:firstLineChars="0"/>
    </w:pPr>
    <w:rPr>
      <w:rFonts w:ascii="楷体_GB2312" w:hAnsi="楷体_GB2312" w:eastAsia="楷体_GB2312"/>
      <w:b/>
    </w:rPr>
  </w:style>
  <w:style w:type="character" w:customStyle="1" w:styleId="372">
    <w:name w:val="4 Char"/>
    <w:basedOn w:val="58"/>
    <w:link w:val="373"/>
    <w:qFormat/>
    <w:uiPriority w:val="0"/>
    <w:rPr>
      <w:rFonts w:ascii="宋体" w:hAnsi="宋体" w:eastAsia="汉鼎简书宋" w:cs="宋体"/>
      <w:szCs w:val="21"/>
    </w:rPr>
  </w:style>
  <w:style w:type="paragraph" w:customStyle="1" w:styleId="373">
    <w:name w:val="4"/>
    <w:basedOn w:val="1"/>
    <w:next w:val="15"/>
    <w:link w:val="372"/>
    <w:qFormat/>
    <w:uiPriority w:val="0"/>
    <w:pPr>
      <w:ind w:firstLine="482" w:firstLineChars="200"/>
    </w:pPr>
    <w:rPr>
      <w:rFonts w:ascii="宋体" w:hAnsi="宋体" w:eastAsia="汉鼎简书宋" w:cs="宋体"/>
      <w:szCs w:val="21"/>
    </w:rPr>
  </w:style>
  <w:style w:type="character" w:customStyle="1" w:styleId="374">
    <w:name w:val="标题四A Char"/>
    <w:basedOn w:val="58"/>
    <w:link w:val="375"/>
    <w:qFormat/>
    <w:uiPriority w:val="0"/>
    <w:rPr>
      <w:rFonts w:ascii="华文仿宋" w:hAnsi="华文仿宋" w:eastAsia="华文仿宋" w:cs="宋体"/>
      <w:b/>
      <w:sz w:val="24"/>
      <w:szCs w:val="24"/>
    </w:rPr>
  </w:style>
  <w:style w:type="paragraph" w:customStyle="1" w:styleId="375">
    <w:name w:val="标题四A"/>
    <w:basedOn w:val="1"/>
    <w:link w:val="374"/>
    <w:qFormat/>
    <w:uiPriority w:val="0"/>
    <w:pPr>
      <w:spacing w:line="500" w:lineRule="exact"/>
      <w:outlineLvl w:val="3"/>
    </w:pPr>
    <w:rPr>
      <w:rFonts w:ascii="华文仿宋" w:hAnsi="华文仿宋" w:eastAsia="华文仿宋" w:cs="宋体"/>
      <w:b/>
      <w:sz w:val="24"/>
    </w:rPr>
  </w:style>
  <w:style w:type="character" w:customStyle="1" w:styleId="376">
    <w:name w:val="Char Char41"/>
    <w:basedOn w:val="58"/>
    <w:link w:val="377"/>
    <w:qFormat/>
    <w:uiPriority w:val="0"/>
    <w:rPr>
      <w:rFonts w:ascii="宋体" w:hAnsi="宋体" w:eastAsia="宋体" w:cs="宋体"/>
      <w:b/>
      <w:bCs/>
      <w:kern w:val="44"/>
      <w:sz w:val="28"/>
      <w:szCs w:val="28"/>
    </w:rPr>
  </w:style>
  <w:style w:type="paragraph" w:customStyle="1" w:styleId="377">
    <w:name w:val="Char4"/>
    <w:basedOn w:val="1"/>
    <w:link w:val="376"/>
    <w:qFormat/>
    <w:uiPriority w:val="0"/>
    <w:pPr>
      <w:widowControl/>
      <w:snapToGrid w:val="0"/>
      <w:spacing w:line="360" w:lineRule="auto"/>
      <w:ind w:firstLine="529" w:firstLineChars="200"/>
      <w:jc w:val="left"/>
    </w:pPr>
    <w:rPr>
      <w:rFonts w:ascii="宋体" w:hAnsi="宋体" w:cs="宋体"/>
      <w:b/>
      <w:bCs/>
      <w:kern w:val="44"/>
      <w:sz w:val="28"/>
      <w:szCs w:val="28"/>
    </w:rPr>
  </w:style>
  <w:style w:type="character" w:customStyle="1" w:styleId="378">
    <w:name w:val="表格注 Char"/>
    <w:basedOn w:val="58"/>
    <w:link w:val="379"/>
    <w:qFormat/>
    <w:uiPriority w:val="0"/>
    <w:rPr>
      <w:rFonts w:ascii="宋体" w:hAnsi="宋体" w:eastAsia="宋体" w:cs="宋体"/>
      <w:sz w:val="18"/>
      <w:szCs w:val="24"/>
    </w:rPr>
  </w:style>
  <w:style w:type="paragraph" w:customStyle="1" w:styleId="379">
    <w:name w:val="表格注"/>
    <w:basedOn w:val="1"/>
    <w:next w:val="1"/>
    <w:link w:val="378"/>
    <w:qFormat/>
    <w:uiPriority w:val="0"/>
    <w:pPr>
      <w:spacing w:line="240" w:lineRule="exact"/>
      <w:jc w:val="left"/>
    </w:pPr>
    <w:rPr>
      <w:rFonts w:ascii="宋体" w:hAnsi="宋体" w:cs="宋体"/>
      <w:sz w:val="18"/>
    </w:rPr>
  </w:style>
  <w:style w:type="character" w:customStyle="1" w:styleId="380">
    <w:name w:val="标题一!!!! Char"/>
    <w:basedOn w:val="58"/>
    <w:link w:val="381"/>
    <w:qFormat/>
    <w:uiPriority w:val="0"/>
    <w:rPr>
      <w:rFonts w:ascii="华文仿宋" w:hAnsi="华文仿宋" w:eastAsia="华文仿宋" w:cs="宋体"/>
      <w:b/>
      <w:bCs/>
      <w:color w:val="000000"/>
      <w:spacing w:val="5"/>
      <w:kern w:val="44"/>
      <w:sz w:val="32"/>
      <w:szCs w:val="32"/>
      <w:lang w:val="zh-CN"/>
    </w:rPr>
  </w:style>
  <w:style w:type="paragraph" w:customStyle="1" w:styleId="381">
    <w:name w:val="标题一!!!!"/>
    <w:basedOn w:val="2"/>
    <w:link w:val="380"/>
    <w:qFormat/>
    <w:uiPriority w:val="0"/>
    <w:pPr>
      <w:keepNext w:val="0"/>
      <w:tabs>
        <w:tab w:val="left" w:pos="2100"/>
        <w:tab w:val="center" w:pos="4170"/>
      </w:tabs>
      <w:adjustRightInd w:val="0"/>
      <w:snapToGrid w:val="0"/>
      <w:spacing w:beforeLines="200" w:afterLines="100"/>
    </w:pPr>
    <w:rPr>
      <w:rFonts w:ascii="华文仿宋" w:hAnsi="华文仿宋" w:eastAsia="华文仿宋"/>
      <w:color w:val="000000"/>
      <w:spacing w:val="5"/>
      <w:kern w:val="44"/>
      <w:sz w:val="32"/>
      <w:lang w:val="zh-CN"/>
    </w:rPr>
  </w:style>
  <w:style w:type="character" w:customStyle="1" w:styleId="382">
    <w:name w:val="表格头 Char Char"/>
    <w:link w:val="383"/>
    <w:qFormat/>
    <w:uiPriority w:val="0"/>
    <w:rPr>
      <w:rFonts w:ascii="宋体" w:hAnsi="宋体" w:eastAsia="宋体"/>
      <w:sz w:val="24"/>
      <w:szCs w:val="24"/>
    </w:rPr>
  </w:style>
  <w:style w:type="paragraph" w:customStyle="1" w:styleId="383">
    <w:name w:val="表格头"/>
    <w:basedOn w:val="1"/>
    <w:link w:val="382"/>
    <w:qFormat/>
    <w:uiPriority w:val="0"/>
    <w:pPr>
      <w:spacing w:line="360" w:lineRule="auto"/>
      <w:jc w:val="left"/>
    </w:pPr>
    <w:rPr>
      <w:rFonts w:ascii="宋体" w:hAnsi="宋体" w:cstheme="minorBidi"/>
      <w:sz w:val="24"/>
    </w:rPr>
  </w:style>
  <w:style w:type="character" w:customStyle="1" w:styleId="384">
    <w:name w:val="签名 字符"/>
    <w:basedOn w:val="58"/>
    <w:link w:val="38"/>
    <w:qFormat/>
    <w:uiPriority w:val="0"/>
    <w:rPr>
      <w:rFonts w:ascii="宋体" w:hAnsi="宋体" w:cs="宋体"/>
      <w:szCs w:val="24"/>
    </w:rPr>
  </w:style>
  <w:style w:type="character" w:customStyle="1" w:styleId="385">
    <w:name w:val="dl正文 Char"/>
    <w:link w:val="386"/>
    <w:qFormat/>
    <w:uiPriority w:val="0"/>
    <w:rPr>
      <w:rFonts w:eastAsia="宋体"/>
      <w:color w:val="000000"/>
      <w:kern w:val="10"/>
      <w:sz w:val="28"/>
      <w:szCs w:val="28"/>
    </w:rPr>
  </w:style>
  <w:style w:type="paragraph" w:customStyle="1" w:styleId="386">
    <w:name w:val="dl正文"/>
    <w:basedOn w:val="1"/>
    <w:link w:val="385"/>
    <w:qFormat/>
    <w:uiPriority w:val="0"/>
    <w:pPr>
      <w:ind w:firstLine="708" w:firstLineChars="253"/>
    </w:pPr>
    <w:rPr>
      <w:rFonts w:asciiTheme="minorHAnsi" w:hAnsiTheme="minorHAnsi" w:cstheme="minorBidi"/>
      <w:color w:val="000000"/>
      <w:kern w:val="10"/>
      <w:sz w:val="28"/>
      <w:szCs w:val="28"/>
    </w:rPr>
  </w:style>
  <w:style w:type="character" w:customStyle="1" w:styleId="387">
    <w:name w:val="表头 Char2"/>
    <w:basedOn w:val="58"/>
    <w:qFormat/>
    <w:uiPriority w:val="0"/>
    <w:rPr>
      <w:rFonts w:ascii="宋体" w:hAnsi="宋体" w:eastAsia="仿宋_GB2312" w:cs="宋体"/>
      <w:bCs/>
      <w:color w:val="000000"/>
      <w:sz w:val="28"/>
      <w:szCs w:val="24"/>
    </w:rPr>
  </w:style>
  <w:style w:type="character" w:customStyle="1" w:styleId="388">
    <w:name w:val="标题1 Char"/>
    <w:basedOn w:val="58"/>
    <w:qFormat/>
    <w:uiPriority w:val="0"/>
    <w:rPr>
      <w:rFonts w:ascii="Arial" w:hAnsi="Arial" w:eastAsia="黑体" w:cs="宋体"/>
      <w:b/>
      <w:bCs/>
      <w:kern w:val="44"/>
      <w:sz w:val="44"/>
      <w:szCs w:val="44"/>
      <w:lang w:val="en-US" w:eastAsia="zh-CN" w:bidi="ar-SA"/>
    </w:rPr>
  </w:style>
  <w:style w:type="character" w:customStyle="1" w:styleId="389">
    <w:name w:val="_正文格式 Char Char"/>
    <w:link w:val="390"/>
    <w:qFormat/>
    <w:uiPriority w:val="0"/>
    <w:rPr>
      <w:rFonts w:eastAsia="宋体"/>
      <w:sz w:val="24"/>
      <w:szCs w:val="24"/>
    </w:rPr>
  </w:style>
  <w:style w:type="paragraph" w:customStyle="1" w:styleId="390">
    <w:name w:val="_正文格式"/>
    <w:basedOn w:val="1"/>
    <w:link w:val="389"/>
    <w:qFormat/>
    <w:uiPriority w:val="0"/>
    <w:pPr>
      <w:spacing w:line="500" w:lineRule="exact"/>
      <w:ind w:firstLine="567"/>
      <w:jc w:val="left"/>
    </w:pPr>
    <w:rPr>
      <w:rFonts w:asciiTheme="minorHAnsi" w:hAnsiTheme="minorHAnsi" w:cstheme="minorBidi"/>
      <w:sz w:val="24"/>
    </w:rPr>
  </w:style>
  <w:style w:type="character" w:customStyle="1" w:styleId="391">
    <w:name w:val="自定图标题 Char"/>
    <w:basedOn w:val="58"/>
    <w:link w:val="392"/>
    <w:qFormat/>
    <w:uiPriority w:val="0"/>
    <w:rPr>
      <w:rFonts w:ascii="宋体" w:hAnsi="宋体" w:cs="宋体"/>
      <w:b/>
      <w:sz w:val="24"/>
      <w:szCs w:val="24"/>
    </w:rPr>
  </w:style>
  <w:style w:type="paragraph" w:customStyle="1" w:styleId="392">
    <w:name w:val="自定图标题"/>
    <w:basedOn w:val="1"/>
    <w:link w:val="391"/>
    <w:qFormat/>
    <w:uiPriority w:val="0"/>
    <w:pPr>
      <w:widowControl/>
      <w:jc w:val="center"/>
    </w:pPr>
    <w:rPr>
      <w:rFonts w:ascii="宋体" w:hAnsi="宋体" w:cs="宋体" w:eastAsiaTheme="minorEastAsia"/>
      <w:b/>
      <w:sz w:val="24"/>
    </w:rPr>
  </w:style>
  <w:style w:type="character" w:customStyle="1" w:styleId="393">
    <w:name w:val="样式 正文001 + 首行缩进:  2 字符 Char"/>
    <w:link w:val="394"/>
    <w:qFormat/>
    <w:uiPriority w:val="0"/>
    <w:rPr>
      <w:sz w:val="24"/>
    </w:rPr>
  </w:style>
  <w:style w:type="paragraph" w:customStyle="1" w:styleId="394">
    <w:name w:val="样式 正文001 + 首行缩进:  2 字符"/>
    <w:basedOn w:val="1"/>
    <w:link w:val="393"/>
    <w:qFormat/>
    <w:uiPriority w:val="0"/>
    <w:pPr>
      <w:spacing w:before="60" w:line="460" w:lineRule="atLeast"/>
      <w:ind w:firstLine="480" w:firstLineChars="200"/>
    </w:pPr>
    <w:rPr>
      <w:rFonts w:asciiTheme="minorHAnsi" w:hAnsiTheme="minorHAnsi" w:eastAsiaTheme="minorEastAsia" w:cstheme="minorBidi"/>
      <w:sz w:val="24"/>
      <w:szCs w:val="22"/>
    </w:rPr>
  </w:style>
  <w:style w:type="character" w:customStyle="1" w:styleId="395">
    <w:name w:val="★正文缩进2字符 Char"/>
    <w:basedOn w:val="58"/>
    <w:link w:val="396"/>
    <w:qFormat/>
    <w:uiPriority w:val="0"/>
    <w:rPr>
      <w:rFonts w:ascii="宋体" w:hAnsi="宋体" w:eastAsia="宋体" w:cs="宋体"/>
      <w:color w:val="000000"/>
      <w:sz w:val="22"/>
      <w:szCs w:val="26"/>
      <w:lang w:val="en-GB" w:eastAsia="en-US" w:bidi="en-US"/>
    </w:rPr>
  </w:style>
  <w:style w:type="paragraph" w:customStyle="1" w:styleId="396">
    <w:name w:val="★正文缩进2字符"/>
    <w:basedOn w:val="1"/>
    <w:link w:val="395"/>
    <w:qFormat/>
    <w:uiPriority w:val="0"/>
    <w:pPr>
      <w:widowControl/>
      <w:spacing w:after="200" w:line="500" w:lineRule="exact"/>
      <w:ind w:firstLine="480"/>
      <w:jc w:val="left"/>
    </w:pPr>
    <w:rPr>
      <w:rFonts w:ascii="宋体" w:hAnsi="宋体" w:cs="宋体"/>
      <w:color w:val="000000"/>
      <w:sz w:val="22"/>
      <w:szCs w:val="26"/>
      <w:lang w:val="en-GB" w:eastAsia="en-US" w:bidi="en-US"/>
    </w:rPr>
  </w:style>
  <w:style w:type="character" w:customStyle="1" w:styleId="397">
    <w:name w:val="脚注文本 字符"/>
    <w:basedOn w:val="58"/>
    <w:link w:val="43"/>
    <w:qFormat/>
    <w:uiPriority w:val="0"/>
    <w:rPr>
      <w:rFonts w:ascii="Arial" w:hAnsi="Arial" w:eastAsia="宋体" w:cs="宋体"/>
      <w:sz w:val="18"/>
      <w:szCs w:val="18"/>
    </w:rPr>
  </w:style>
  <w:style w:type="character" w:customStyle="1" w:styleId="398">
    <w:name w:val="表头标题 Char"/>
    <w:basedOn w:val="58"/>
    <w:link w:val="399"/>
    <w:qFormat/>
    <w:uiPriority w:val="0"/>
    <w:rPr>
      <w:rFonts w:ascii="黑体" w:hAnsi="微软雅黑" w:eastAsia="黑体" w:cs="宋体"/>
      <w:bCs/>
      <w:sz w:val="24"/>
      <w:szCs w:val="24"/>
      <w:lang w:val="zh-CN"/>
    </w:rPr>
  </w:style>
  <w:style w:type="paragraph" w:customStyle="1" w:styleId="399">
    <w:name w:val="表头标题"/>
    <w:basedOn w:val="1"/>
    <w:link w:val="398"/>
    <w:qFormat/>
    <w:uiPriority w:val="0"/>
    <w:pPr>
      <w:tabs>
        <w:tab w:val="left" w:pos="905"/>
      </w:tabs>
      <w:snapToGrid w:val="0"/>
      <w:jc w:val="center"/>
    </w:pPr>
    <w:rPr>
      <w:rFonts w:ascii="黑体" w:hAnsi="微软雅黑" w:eastAsia="黑体" w:cs="宋体"/>
      <w:bCs/>
      <w:sz w:val="24"/>
      <w:lang w:val="zh-CN"/>
    </w:rPr>
  </w:style>
  <w:style w:type="character" w:customStyle="1" w:styleId="400">
    <w:name w:val="结束语 字符"/>
    <w:basedOn w:val="58"/>
    <w:link w:val="21"/>
    <w:qFormat/>
    <w:uiPriority w:val="0"/>
    <w:rPr>
      <w:rFonts w:ascii="宋体" w:hAnsi="宋体" w:cs="宋体"/>
      <w:szCs w:val="24"/>
    </w:rPr>
  </w:style>
  <w:style w:type="character" w:customStyle="1" w:styleId="401">
    <w:name w:val="样式12 Char"/>
    <w:basedOn w:val="324"/>
    <w:link w:val="402"/>
    <w:qFormat/>
    <w:uiPriority w:val="0"/>
    <w:rPr>
      <w:rFonts w:ascii="宋体" w:hAnsi="宋体" w:eastAsia="华文仿宋" w:cs="宋体"/>
      <w:snapToGrid w:val="0"/>
      <w:color w:val="000000"/>
      <w:sz w:val="24"/>
      <w:szCs w:val="24"/>
    </w:rPr>
  </w:style>
  <w:style w:type="paragraph" w:customStyle="1" w:styleId="402">
    <w:name w:val="样式12"/>
    <w:basedOn w:val="325"/>
    <w:link w:val="401"/>
    <w:qFormat/>
    <w:uiPriority w:val="0"/>
    <w:pPr>
      <w:ind w:firstLine="0" w:firstLineChars="0"/>
    </w:pPr>
    <w:rPr>
      <w:snapToGrid w:val="0"/>
    </w:rPr>
  </w:style>
  <w:style w:type="character" w:customStyle="1" w:styleId="403">
    <w:name w:val="CEE正文 Char"/>
    <w:link w:val="404"/>
    <w:qFormat/>
    <w:uiPriority w:val="0"/>
    <w:rPr>
      <w:sz w:val="24"/>
      <w:szCs w:val="24"/>
    </w:rPr>
  </w:style>
  <w:style w:type="paragraph" w:customStyle="1" w:styleId="404">
    <w:name w:val="CEE正文"/>
    <w:basedOn w:val="1"/>
    <w:link w:val="403"/>
    <w:qFormat/>
    <w:uiPriority w:val="0"/>
    <w:pPr>
      <w:spacing w:line="312" w:lineRule="auto"/>
      <w:ind w:firstLine="200" w:firstLineChars="200"/>
    </w:pPr>
    <w:rPr>
      <w:rFonts w:asciiTheme="minorHAnsi" w:hAnsiTheme="minorHAnsi" w:eastAsiaTheme="minorEastAsia" w:cstheme="minorBidi"/>
      <w:sz w:val="24"/>
    </w:rPr>
  </w:style>
  <w:style w:type="character" w:customStyle="1" w:styleId="405">
    <w:name w:val="一标题 Char Char"/>
    <w:basedOn w:val="58"/>
    <w:link w:val="406"/>
    <w:qFormat/>
    <w:uiPriority w:val="0"/>
    <w:rPr>
      <w:rFonts w:ascii="宋体" w:hAnsi="宋体" w:cs="宋体"/>
      <w:sz w:val="28"/>
      <w:szCs w:val="26"/>
    </w:rPr>
  </w:style>
  <w:style w:type="paragraph" w:customStyle="1" w:styleId="406">
    <w:name w:val="一标题 Char"/>
    <w:basedOn w:val="1"/>
    <w:link w:val="405"/>
    <w:qFormat/>
    <w:uiPriority w:val="0"/>
    <w:pPr>
      <w:widowControl/>
      <w:ind w:firstLine="538" w:firstLineChars="192"/>
      <w:jc w:val="left"/>
    </w:pPr>
    <w:rPr>
      <w:rFonts w:ascii="宋体" w:hAnsi="宋体" w:cs="宋体" w:eastAsiaTheme="minorEastAsia"/>
      <w:sz w:val="28"/>
      <w:szCs w:val="26"/>
    </w:rPr>
  </w:style>
  <w:style w:type="character" w:customStyle="1" w:styleId="407">
    <w:name w:val="Normal Char"/>
    <w:link w:val="73"/>
    <w:qFormat/>
    <w:uiPriority w:val="0"/>
    <w:rPr>
      <w:rFonts w:ascii="宋体" w:eastAsia="Times New Roman"/>
      <w:sz w:val="24"/>
    </w:rPr>
  </w:style>
  <w:style w:type="character" w:customStyle="1" w:styleId="408">
    <w:name w:val="正文样板 Char"/>
    <w:basedOn w:val="58"/>
    <w:link w:val="409"/>
    <w:qFormat/>
    <w:uiPriority w:val="0"/>
    <w:rPr>
      <w:rFonts w:ascii="宋体" w:hAnsi="宋体" w:cs="宋体"/>
      <w:snapToGrid w:val="0"/>
      <w:spacing w:val="6"/>
      <w:sz w:val="24"/>
      <w:szCs w:val="26"/>
    </w:rPr>
  </w:style>
  <w:style w:type="paragraph" w:customStyle="1" w:styleId="409">
    <w:name w:val="正文样板"/>
    <w:basedOn w:val="1"/>
    <w:link w:val="408"/>
    <w:qFormat/>
    <w:uiPriority w:val="0"/>
    <w:pPr>
      <w:adjustRightInd w:val="0"/>
      <w:snapToGrid w:val="0"/>
      <w:spacing w:line="360" w:lineRule="auto"/>
      <w:ind w:firstLine="504" w:firstLineChars="200"/>
    </w:pPr>
    <w:rPr>
      <w:rFonts w:ascii="宋体" w:hAnsi="宋体" w:cs="宋体" w:eastAsiaTheme="minorEastAsia"/>
      <w:snapToGrid w:val="0"/>
      <w:spacing w:val="6"/>
      <w:sz w:val="24"/>
      <w:szCs w:val="26"/>
    </w:rPr>
  </w:style>
  <w:style w:type="character" w:customStyle="1" w:styleId="410">
    <w:name w:val="单晶硅图中文字格式 Char"/>
    <w:basedOn w:val="387"/>
    <w:link w:val="411"/>
    <w:qFormat/>
    <w:uiPriority w:val="0"/>
    <w:rPr>
      <w:rFonts w:ascii="楷体_GB2312" w:hAnsi="宋体" w:eastAsia="楷体_GB2312" w:cs="楷体_GB2312"/>
      <w:b/>
      <w:color w:val="000000"/>
      <w:sz w:val="28"/>
      <w:szCs w:val="21"/>
    </w:rPr>
  </w:style>
  <w:style w:type="paragraph" w:customStyle="1" w:styleId="411">
    <w:name w:val="单晶硅图中文字格式"/>
    <w:basedOn w:val="412"/>
    <w:link w:val="410"/>
    <w:qFormat/>
    <w:uiPriority w:val="0"/>
    <w:pPr>
      <w:widowControl/>
      <w:tabs>
        <w:tab w:val="left" w:pos="360"/>
        <w:tab w:val="left" w:pos="1620"/>
        <w:tab w:val="left" w:pos="6840"/>
      </w:tabs>
      <w:topLinePunct w:val="0"/>
      <w:snapToGrid/>
      <w:spacing w:line="320" w:lineRule="exact"/>
    </w:pPr>
    <w:rPr>
      <w:rFonts w:ascii="楷体_GB2312" w:eastAsia="楷体_GB2312" w:cs="楷体_GB2312"/>
      <w:color w:val="000000"/>
      <w:kern w:val="2"/>
      <w:sz w:val="21"/>
      <w:szCs w:val="21"/>
    </w:rPr>
  </w:style>
  <w:style w:type="paragraph" w:customStyle="1" w:styleId="412">
    <w:name w:val="表头"/>
    <w:basedOn w:val="42"/>
    <w:next w:val="1"/>
    <w:link w:val="413"/>
    <w:qFormat/>
    <w:uiPriority w:val="99"/>
    <w:pPr>
      <w:tabs>
        <w:tab w:val="left" w:pos="6840"/>
      </w:tabs>
      <w:topLinePunct/>
      <w:snapToGrid w:val="0"/>
      <w:spacing w:line="529" w:lineRule="exact"/>
      <w:jc w:val="center"/>
    </w:pPr>
    <w:rPr>
      <w:rFonts w:ascii="宋体" w:hAnsi="宋体" w:eastAsiaTheme="minorEastAsia" w:cstheme="minorBidi"/>
      <w:b/>
      <w:bCs/>
      <w:kern w:val="24"/>
      <w:sz w:val="24"/>
      <w:szCs w:val="28"/>
    </w:rPr>
  </w:style>
  <w:style w:type="character" w:customStyle="1" w:styleId="413">
    <w:name w:val="表头 Char"/>
    <w:link w:val="412"/>
    <w:qFormat/>
    <w:uiPriority w:val="99"/>
    <w:rPr>
      <w:rFonts w:ascii="宋体" w:hAnsi="宋体"/>
      <w:b/>
      <w:bCs/>
      <w:kern w:val="24"/>
      <w:sz w:val="24"/>
      <w:szCs w:val="28"/>
    </w:rPr>
  </w:style>
  <w:style w:type="character" w:customStyle="1" w:styleId="414">
    <w:name w:val="自定三级标题 Char"/>
    <w:basedOn w:val="58"/>
    <w:link w:val="415"/>
    <w:qFormat/>
    <w:uiPriority w:val="0"/>
    <w:rPr>
      <w:rFonts w:ascii="宋体" w:hAnsi="宋体" w:cs="宋体"/>
      <w:b/>
      <w:sz w:val="28"/>
      <w:szCs w:val="28"/>
    </w:rPr>
  </w:style>
  <w:style w:type="paragraph" w:customStyle="1" w:styleId="415">
    <w:name w:val="自定三级标题"/>
    <w:basedOn w:val="1"/>
    <w:link w:val="414"/>
    <w:qFormat/>
    <w:uiPriority w:val="0"/>
    <w:pPr>
      <w:widowControl/>
      <w:spacing w:line="360" w:lineRule="auto"/>
      <w:jc w:val="left"/>
    </w:pPr>
    <w:rPr>
      <w:rFonts w:ascii="宋体" w:hAnsi="宋体" w:cs="宋体" w:eastAsiaTheme="minorEastAsia"/>
      <w:b/>
      <w:sz w:val="28"/>
      <w:szCs w:val="28"/>
    </w:rPr>
  </w:style>
  <w:style w:type="character" w:customStyle="1" w:styleId="416">
    <w:name w:val="样式 标题 3s Char"/>
    <w:basedOn w:val="58"/>
    <w:link w:val="417"/>
    <w:qFormat/>
    <w:uiPriority w:val="0"/>
    <w:rPr>
      <w:rFonts w:ascii="黑体" w:hAnsi="黑体" w:eastAsia="黑体" w:cs="宋体"/>
      <w:b/>
      <w:bCs/>
      <w:sz w:val="24"/>
      <w:szCs w:val="32"/>
    </w:rPr>
  </w:style>
  <w:style w:type="paragraph" w:customStyle="1" w:styleId="417">
    <w:name w:val="样式 标题 3s"/>
    <w:basedOn w:val="5"/>
    <w:link w:val="416"/>
    <w:qFormat/>
    <w:uiPriority w:val="0"/>
    <w:pPr>
      <w:spacing w:beforeLines="50" w:afterLines="50" w:line="360" w:lineRule="auto"/>
    </w:pPr>
    <w:rPr>
      <w:rFonts w:hAnsi="黑体" w:cs="宋体"/>
      <w:b/>
      <w:bCs/>
      <w:spacing w:val="0"/>
      <w:szCs w:val="32"/>
    </w:rPr>
  </w:style>
  <w:style w:type="character" w:customStyle="1" w:styleId="418">
    <w:name w:val="样式 居中 首行缩进:  0 字符 Char Char Char"/>
    <w:basedOn w:val="58"/>
    <w:link w:val="419"/>
    <w:qFormat/>
    <w:uiPriority w:val="0"/>
    <w:rPr>
      <w:rFonts w:ascii="宋体" w:hAnsi="宋体" w:cs="宋体"/>
      <w:color w:val="000000"/>
      <w:sz w:val="18"/>
      <w:szCs w:val="18"/>
    </w:rPr>
  </w:style>
  <w:style w:type="paragraph" w:customStyle="1" w:styleId="419">
    <w:name w:val="样式 居中 首行缩进:  0 字符 Char Char"/>
    <w:basedOn w:val="1"/>
    <w:next w:val="1"/>
    <w:link w:val="418"/>
    <w:qFormat/>
    <w:uiPriority w:val="0"/>
    <w:pPr>
      <w:tabs>
        <w:tab w:val="left" w:pos="9128"/>
      </w:tabs>
      <w:snapToGrid w:val="0"/>
      <w:jc w:val="center"/>
    </w:pPr>
    <w:rPr>
      <w:rFonts w:ascii="宋体" w:hAnsi="宋体" w:cs="宋体" w:eastAsiaTheme="minorEastAsia"/>
      <w:color w:val="000000"/>
      <w:sz w:val="18"/>
      <w:szCs w:val="18"/>
    </w:rPr>
  </w:style>
  <w:style w:type="character" w:customStyle="1" w:styleId="420">
    <w:name w:val="样式 样式 首行缩进:  0.85 厘米 + 段前: 0.5 行 Char1"/>
    <w:basedOn w:val="58"/>
    <w:link w:val="421"/>
    <w:qFormat/>
    <w:uiPriority w:val="0"/>
    <w:rPr>
      <w:rFonts w:ascii="宋体" w:hAnsi="宋体" w:cs="宋体"/>
      <w:sz w:val="24"/>
      <w:szCs w:val="26"/>
    </w:rPr>
  </w:style>
  <w:style w:type="paragraph" w:customStyle="1" w:styleId="421">
    <w:name w:val="样式 样式 首行缩进:  0.85 厘米 + 段前: 0.5 行"/>
    <w:basedOn w:val="1"/>
    <w:link w:val="420"/>
    <w:qFormat/>
    <w:uiPriority w:val="0"/>
    <w:pPr>
      <w:spacing w:before="50" w:line="360" w:lineRule="auto"/>
      <w:ind w:firstLine="482"/>
    </w:pPr>
    <w:rPr>
      <w:rFonts w:ascii="宋体" w:hAnsi="宋体" w:cs="宋体" w:eastAsiaTheme="minorEastAsia"/>
      <w:sz w:val="24"/>
      <w:szCs w:val="26"/>
    </w:rPr>
  </w:style>
  <w:style w:type="character" w:customStyle="1" w:styleId="422">
    <w:name w:val="三级标题 Char1"/>
    <w:basedOn w:val="58"/>
    <w:link w:val="423"/>
    <w:qFormat/>
    <w:uiPriority w:val="0"/>
    <w:rPr>
      <w:rFonts w:ascii="宋体" w:hAnsi="宋体" w:eastAsia="宋体" w:cs="宋体"/>
      <w:b/>
      <w:bCs/>
      <w:sz w:val="28"/>
      <w:szCs w:val="32"/>
    </w:rPr>
  </w:style>
  <w:style w:type="paragraph" w:customStyle="1" w:styleId="423">
    <w:name w:val="三级标题"/>
    <w:basedOn w:val="5"/>
    <w:link w:val="422"/>
    <w:qFormat/>
    <w:uiPriority w:val="0"/>
    <w:pPr>
      <w:spacing w:beforeLines="50" w:line="420" w:lineRule="exact"/>
      <w:jc w:val="left"/>
    </w:pPr>
    <w:rPr>
      <w:rFonts w:ascii="宋体" w:hAnsi="宋体" w:eastAsia="宋体" w:cs="宋体"/>
      <w:b/>
      <w:bCs/>
      <w:spacing w:val="0"/>
      <w:sz w:val="28"/>
      <w:szCs w:val="32"/>
    </w:rPr>
  </w:style>
  <w:style w:type="character" w:customStyle="1" w:styleId="424">
    <w:name w:val="正文-ls Char"/>
    <w:basedOn w:val="58"/>
    <w:link w:val="425"/>
    <w:qFormat/>
    <w:uiPriority w:val="0"/>
    <w:rPr>
      <w:rFonts w:ascii="宋体" w:hAnsi="宋体" w:cs="宋体"/>
      <w:sz w:val="24"/>
      <w:szCs w:val="26"/>
    </w:rPr>
  </w:style>
  <w:style w:type="paragraph" w:customStyle="1" w:styleId="425">
    <w:name w:val="正文-ls"/>
    <w:basedOn w:val="1"/>
    <w:link w:val="424"/>
    <w:qFormat/>
    <w:uiPriority w:val="0"/>
    <w:pPr>
      <w:spacing w:line="360" w:lineRule="auto"/>
      <w:ind w:firstLine="200" w:firstLineChars="200"/>
    </w:pPr>
    <w:rPr>
      <w:rFonts w:ascii="宋体" w:hAnsi="宋体" w:cs="宋体" w:eastAsiaTheme="minorEastAsia"/>
      <w:sz w:val="24"/>
      <w:szCs w:val="26"/>
    </w:rPr>
  </w:style>
  <w:style w:type="character" w:customStyle="1" w:styleId="426">
    <w:name w:val="Подзаголовок главы Знак"/>
    <w:link w:val="427"/>
    <w:qFormat/>
    <w:uiPriority w:val="0"/>
    <w:rPr>
      <w:rFonts w:ascii="Arial Narrow" w:hAnsi="Arial Narrow"/>
      <w:b/>
      <w:sz w:val="24"/>
      <w:lang w:eastAsia="ru-RU"/>
    </w:rPr>
  </w:style>
  <w:style w:type="paragraph" w:customStyle="1" w:styleId="427">
    <w:name w:val="Подзаголовок главы"/>
    <w:basedOn w:val="1"/>
    <w:link w:val="426"/>
    <w:qFormat/>
    <w:uiPriority w:val="0"/>
    <w:pPr>
      <w:widowControl/>
      <w:ind w:firstLine="720"/>
    </w:pPr>
    <w:rPr>
      <w:rFonts w:ascii="Arial Narrow" w:hAnsi="Arial Narrow" w:eastAsiaTheme="minorEastAsia" w:cstheme="minorBidi"/>
      <w:b/>
      <w:sz w:val="24"/>
      <w:szCs w:val="22"/>
      <w:lang w:eastAsia="ru-RU"/>
    </w:rPr>
  </w:style>
  <w:style w:type="character" w:customStyle="1" w:styleId="428">
    <w:name w:val="节标题 Char"/>
    <w:basedOn w:val="58"/>
    <w:qFormat/>
    <w:uiPriority w:val="0"/>
    <w:rPr>
      <w:rFonts w:ascii="Arial" w:hAnsi="Arial" w:eastAsia="黑体" w:cs="宋体"/>
      <w:b/>
      <w:bCs/>
      <w:kern w:val="2"/>
      <w:sz w:val="32"/>
      <w:szCs w:val="32"/>
      <w:lang w:val="en-US" w:eastAsia="zh-CN" w:bidi="ar-SA"/>
    </w:rPr>
  </w:style>
  <w:style w:type="character" w:customStyle="1" w:styleId="429">
    <w:name w:val="正文小四首缩1.3行距 Char"/>
    <w:basedOn w:val="58"/>
    <w:link w:val="430"/>
    <w:qFormat/>
    <w:uiPriority w:val="0"/>
    <w:rPr>
      <w:rFonts w:ascii="宋体" w:hAnsi="宋体" w:cs="宋体"/>
      <w:sz w:val="24"/>
      <w:szCs w:val="24"/>
    </w:rPr>
  </w:style>
  <w:style w:type="paragraph" w:customStyle="1" w:styleId="430">
    <w:name w:val="正文小四首缩1.3行距"/>
    <w:basedOn w:val="1"/>
    <w:link w:val="429"/>
    <w:qFormat/>
    <w:uiPriority w:val="0"/>
    <w:pPr>
      <w:spacing w:line="312" w:lineRule="auto"/>
      <w:ind w:firstLine="420" w:firstLineChars="200"/>
    </w:pPr>
    <w:rPr>
      <w:rFonts w:ascii="宋体" w:hAnsi="宋体" w:cs="宋体" w:eastAsiaTheme="minorEastAsia"/>
      <w:sz w:val="24"/>
    </w:rPr>
  </w:style>
  <w:style w:type="character" w:customStyle="1" w:styleId="431">
    <w:name w:val="表头A Char"/>
    <w:basedOn w:val="387"/>
    <w:link w:val="432"/>
    <w:qFormat/>
    <w:uiPriority w:val="0"/>
    <w:rPr>
      <w:rFonts w:ascii="华文仿宋" w:hAnsi="华文仿宋" w:eastAsia="华文仿宋" w:cs="楷体_GB2312"/>
      <w:b/>
      <w:color w:val="000000"/>
      <w:sz w:val="24"/>
      <w:szCs w:val="24"/>
    </w:rPr>
  </w:style>
  <w:style w:type="paragraph" w:customStyle="1" w:styleId="432">
    <w:name w:val="表头A"/>
    <w:basedOn w:val="412"/>
    <w:link w:val="431"/>
    <w:qFormat/>
    <w:uiPriority w:val="0"/>
    <w:pPr>
      <w:tabs>
        <w:tab w:val="clear" w:pos="6840"/>
      </w:tabs>
      <w:topLinePunct w:val="0"/>
      <w:snapToGrid/>
      <w:spacing w:line="400" w:lineRule="exact"/>
    </w:pPr>
    <w:rPr>
      <w:rFonts w:ascii="华文仿宋" w:hAnsi="华文仿宋" w:eastAsia="华文仿宋" w:cs="楷体_GB2312"/>
      <w:color w:val="000000"/>
      <w:kern w:val="2"/>
      <w:szCs w:val="24"/>
    </w:rPr>
  </w:style>
  <w:style w:type="character" w:customStyle="1" w:styleId="433">
    <w:name w:val="333 Char"/>
    <w:basedOn w:val="434"/>
    <w:link w:val="436"/>
    <w:qFormat/>
    <w:uiPriority w:val="0"/>
    <w:rPr>
      <w:rFonts w:ascii="Arial" w:hAnsi="Arial" w:eastAsia="楷体_GB2312" w:cs="宋体"/>
      <w:sz w:val="28"/>
      <w:szCs w:val="26"/>
      <w:lang w:eastAsia="en-US" w:bidi="en-US"/>
    </w:rPr>
  </w:style>
  <w:style w:type="character" w:customStyle="1" w:styleId="434">
    <w:name w:val="444 Char"/>
    <w:basedOn w:val="58"/>
    <w:link w:val="435"/>
    <w:qFormat/>
    <w:uiPriority w:val="0"/>
    <w:rPr>
      <w:rFonts w:ascii="Arial" w:hAnsi="Arial" w:eastAsia="楷体_GB2312" w:cs="宋体"/>
      <w:b/>
      <w:bCs/>
      <w:sz w:val="28"/>
      <w:szCs w:val="26"/>
      <w:lang w:eastAsia="en-US" w:bidi="en-US"/>
    </w:rPr>
  </w:style>
  <w:style w:type="paragraph" w:customStyle="1" w:styleId="435">
    <w:name w:val="444"/>
    <w:basedOn w:val="29"/>
    <w:link w:val="434"/>
    <w:qFormat/>
    <w:uiPriority w:val="0"/>
    <w:pPr>
      <w:spacing w:line="360" w:lineRule="auto"/>
    </w:pPr>
    <w:rPr>
      <w:rFonts w:ascii="Arial" w:hAnsi="Arial" w:eastAsia="楷体_GB2312" w:cs="宋体"/>
      <w:b/>
      <w:bCs/>
      <w:szCs w:val="26"/>
      <w:lang w:eastAsia="en-US" w:bidi="en-US"/>
    </w:rPr>
  </w:style>
  <w:style w:type="paragraph" w:customStyle="1" w:styleId="436">
    <w:name w:val="333"/>
    <w:basedOn w:val="435"/>
    <w:link w:val="433"/>
    <w:qFormat/>
    <w:uiPriority w:val="0"/>
    <w:pPr>
      <w:ind w:firstLine="132" w:firstLineChars="50"/>
    </w:pPr>
  </w:style>
  <w:style w:type="character" w:customStyle="1" w:styleId="437">
    <w:name w:val="段落1 Char1"/>
    <w:basedOn w:val="58"/>
    <w:link w:val="438"/>
    <w:qFormat/>
    <w:uiPriority w:val="0"/>
    <w:rPr>
      <w:rFonts w:ascii="宋体" w:hAnsi="宋体" w:eastAsia="宋体" w:cs="宋体"/>
      <w:iCs/>
      <w:color w:val="000000"/>
      <w:spacing w:val="6"/>
      <w:sz w:val="24"/>
      <w:szCs w:val="24"/>
    </w:rPr>
  </w:style>
  <w:style w:type="paragraph" w:customStyle="1" w:styleId="438">
    <w:name w:val="段落1"/>
    <w:basedOn w:val="1"/>
    <w:link w:val="437"/>
    <w:qFormat/>
    <w:uiPriority w:val="0"/>
    <w:pPr>
      <w:adjustRightInd w:val="0"/>
      <w:spacing w:line="360" w:lineRule="auto"/>
      <w:jc w:val="left"/>
    </w:pPr>
    <w:rPr>
      <w:rFonts w:ascii="宋体" w:hAnsi="宋体" w:cs="宋体"/>
      <w:iCs/>
      <w:color w:val="000000"/>
      <w:spacing w:val="6"/>
      <w:sz w:val="24"/>
    </w:rPr>
  </w:style>
  <w:style w:type="character" w:customStyle="1" w:styleId="439">
    <w:name w:val="正文样式自定 Char"/>
    <w:basedOn w:val="261"/>
    <w:link w:val="440"/>
    <w:qFormat/>
    <w:uiPriority w:val="0"/>
    <w:rPr>
      <w:rFonts w:ascii="宋体" w:hAnsi="宋体" w:eastAsia="华文仿宋" w:cs="宋体"/>
      <w:color w:val="000000"/>
      <w:sz w:val="24"/>
      <w:szCs w:val="24"/>
    </w:rPr>
  </w:style>
  <w:style w:type="paragraph" w:customStyle="1" w:styleId="440">
    <w:name w:val="正文样式自定"/>
    <w:basedOn w:val="262"/>
    <w:link w:val="439"/>
    <w:qFormat/>
    <w:uiPriority w:val="0"/>
    <w:pPr>
      <w:keepNext w:val="0"/>
      <w:keepLines w:val="0"/>
      <w:ind w:firstLine="480" w:firstLineChars="200"/>
      <w:outlineLvl w:val="9"/>
    </w:pPr>
    <w:rPr>
      <w:rFonts w:hAnsi="宋体"/>
      <w:color w:val="000000"/>
    </w:rPr>
  </w:style>
  <w:style w:type="character" w:customStyle="1" w:styleId="441">
    <w:name w:val="1级标题 Char"/>
    <w:basedOn w:val="58"/>
    <w:link w:val="442"/>
    <w:qFormat/>
    <w:uiPriority w:val="0"/>
    <w:rPr>
      <w:rFonts w:ascii="Arial" w:hAnsi="Arial" w:eastAsia="宋体" w:cs="宋体"/>
      <w:b/>
      <w:bCs/>
      <w:kern w:val="44"/>
      <w:sz w:val="28"/>
      <w:szCs w:val="28"/>
    </w:rPr>
  </w:style>
  <w:style w:type="paragraph" w:customStyle="1" w:styleId="442">
    <w:name w:val="1级标题"/>
    <w:basedOn w:val="1"/>
    <w:link w:val="441"/>
    <w:qFormat/>
    <w:uiPriority w:val="0"/>
    <w:pPr>
      <w:keepNext/>
      <w:keepLines/>
      <w:spacing w:line="240" w:lineRule="atLeast"/>
      <w:outlineLvl w:val="0"/>
    </w:pPr>
    <w:rPr>
      <w:rFonts w:ascii="Arial" w:hAnsi="Arial" w:cs="宋体"/>
      <w:b/>
      <w:bCs/>
      <w:kern w:val="44"/>
      <w:sz w:val="28"/>
      <w:szCs w:val="28"/>
    </w:rPr>
  </w:style>
  <w:style w:type="character" w:customStyle="1" w:styleId="443">
    <w:name w:val="表格标题004 Char"/>
    <w:basedOn w:val="58"/>
    <w:link w:val="444"/>
    <w:qFormat/>
    <w:uiPriority w:val="0"/>
    <w:rPr>
      <w:rFonts w:ascii="Arial" w:hAnsi="Arial" w:eastAsia="楷体_GB2312" w:cs="宋体"/>
      <w:b/>
      <w:color w:val="000000"/>
      <w:spacing w:val="20"/>
      <w:sz w:val="28"/>
      <w:szCs w:val="28"/>
    </w:rPr>
  </w:style>
  <w:style w:type="paragraph" w:customStyle="1" w:styleId="444">
    <w:name w:val="表格标题004"/>
    <w:basedOn w:val="1"/>
    <w:link w:val="443"/>
    <w:qFormat/>
    <w:uiPriority w:val="0"/>
    <w:pPr>
      <w:adjustRightInd w:val="0"/>
      <w:snapToGrid w:val="0"/>
      <w:spacing w:line="360" w:lineRule="auto"/>
      <w:jc w:val="center"/>
    </w:pPr>
    <w:rPr>
      <w:rFonts w:ascii="Arial" w:hAnsi="Arial" w:eastAsia="楷体_GB2312" w:cs="宋体"/>
      <w:b/>
      <w:color w:val="000000"/>
      <w:spacing w:val="20"/>
      <w:sz w:val="28"/>
      <w:szCs w:val="28"/>
    </w:rPr>
  </w:style>
  <w:style w:type="character" w:customStyle="1" w:styleId="445">
    <w:name w:val="表题重复 Char"/>
    <w:basedOn w:val="248"/>
    <w:link w:val="446"/>
    <w:qFormat/>
    <w:uiPriority w:val="0"/>
    <w:rPr>
      <w:rFonts w:ascii="宋体" w:hAnsi="宋体" w:cs="宋体"/>
      <w:szCs w:val="21"/>
    </w:rPr>
  </w:style>
  <w:style w:type="paragraph" w:customStyle="1" w:styleId="446">
    <w:name w:val="表题重复"/>
    <w:basedOn w:val="249"/>
    <w:link w:val="445"/>
    <w:qFormat/>
    <w:uiPriority w:val="0"/>
  </w:style>
  <w:style w:type="character" w:customStyle="1" w:styleId="447">
    <w:name w:val="图表目录 字符"/>
    <w:basedOn w:val="58"/>
    <w:link w:val="46"/>
    <w:qFormat/>
    <w:uiPriority w:val="0"/>
    <w:rPr>
      <w:rFonts w:ascii="宋体" w:hAnsi="宋体" w:eastAsia="楷体_GB2312" w:cs="宋体"/>
      <w:color w:val="000000"/>
      <w:szCs w:val="24"/>
    </w:rPr>
  </w:style>
  <w:style w:type="character" w:customStyle="1" w:styleId="448">
    <w:name w:val="Intense Quote Char"/>
    <w:basedOn w:val="58"/>
    <w:link w:val="449"/>
    <w:semiHidden/>
    <w:qFormat/>
    <w:uiPriority w:val="0"/>
    <w:rPr>
      <w:rFonts w:ascii="宋体" w:hAnsi="宋体" w:cs="宋体"/>
      <w:b/>
      <w:bCs/>
      <w:i/>
      <w:iCs/>
      <w:color w:val="4F81BD"/>
      <w:sz w:val="22"/>
      <w:lang w:eastAsia="en-US"/>
    </w:rPr>
  </w:style>
  <w:style w:type="paragraph" w:customStyle="1" w:styleId="449">
    <w:name w:val="明显引用11"/>
    <w:basedOn w:val="1"/>
    <w:next w:val="1"/>
    <w:link w:val="448"/>
    <w:semiHidden/>
    <w:qFormat/>
    <w:uiPriority w:val="0"/>
    <w:pPr>
      <w:widowControl/>
      <w:pBdr>
        <w:bottom w:val="single" w:color="4F81BD" w:sz="4" w:space="4"/>
      </w:pBdr>
      <w:spacing w:before="200" w:after="280" w:line="276" w:lineRule="auto"/>
      <w:ind w:left="936" w:right="936"/>
      <w:jc w:val="left"/>
    </w:pPr>
    <w:rPr>
      <w:rFonts w:ascii="宋体" w:hAnsi="宋体" w:cs="宋体" w:eastAsiaTheme="minorEastAsia"/>
      <w:b/>
      <w:bCs/>
      <w:i/>
      <w:iCs/>
      <w:color w:val="4F81BD"/>
      <w:sz w:val="22"/>
      <w:szCs w:val="22"/>
      <w:lang w:eastAsia="en-US"/>
    </w:rPr>
  </w:style>
  <w:style w:type="character" w:customStyle="1" w:styleId="450">
    <w:name w:val="正文文本 Char"/>
    <w:basedOn w:val="58"/>
    <w:qFormat/>
    <w:uiPriority w:val="0"/>
    <w:rPr>
      <w:rFonts w:ascii="宋体" w:hAnsi="宋体" w:cs="宋体"/>
      <w:sz w:val="24"/>
      <w:szCs w:val="26"/>
    </w:rPr>
  </w:style>
  <w:style w:type="character" w:customStyle="1" w:styleId="451">
    <w:name w:val="cauc-0 Char"/>
    <w:basedOn w:val="58"/>
    <w:link w:val="452"/>
    <w:qFormat/>
    <w:uiPriority w:val="0"/>
    <w:rPr>
      <w:rFonts w:ascii="宋体" w:hAnsi="宋体" w:eastAsia="Times New Roman" w:cs="宋体"/>
      <w:sz w:val="24"/>
      <w:szCs w:val="24"/>
      <w:lang w:eastAsia="en-US" w:bidi="en-US"/>
    </w:rPr>
  </w:style>
  <w:style w:type="paragraph" w:customStyle="1" w:styleId="452">
    <w:name w:val="cauc-0"/>
    <w:link w:val="451"/>
    <w:qFormat/>
    <w:uiPriority w:val="0"/>
    <w:pPr>
      <w:spacing w:after="200" w:line="360" w:lineRule="auto"/>
      <w:ind w:firstLine="480" w:firstLineChars="200"/>
    </w:pPr>
    <w:rPr>
      <w:rFonts w:ascii="宋体" w:hAnsi="宋体" w:eastAsia="Times New Roman" w:cs="宋体"/>
      <w:kern w:val="2"/>
      <w:sz w:val="24"/>
      <w:szCs w:val="24"/>
      <w:lang w:val="en-US" w:eastAsia="en-US" w:bidi="en-US"/>
    </w:rPr>
  </w:style>
  <w:style w:type="character" w:customStyle="1" w:styleId="453">
    <w:name w:val="正文文本缩进 3 字符"/>
    <w:basedOn w:val="58"/>
    <w:link w:val="45"/>
    <w:qFormat/>
    <w:uiPriority w:val="0"/>
    <w:rPr>
      <w:rFonts w:ascii="宋体" w:hAnsi="宋体" w:eastAsia="宋体" w:cs="宋体"/>
      <w:sz w:val="24"/>
      <w:szCs w:val="24"/>
    </w:rPr>
  </w:style>
  <w:style w:type="character" w:customStyle="1" w:styleId="454">
    <w:name w:val="正文（首行式样2） Char"/>
    <w:link w:val="455"/>
    <w:qFormat/>
    <w:uiPriority w:val="0"/>
    <w:rPr>
      <w:rFonts w:ascii="宋体" w:hAnsi="宋体"/>
      <w:color w:val="000000"/>
      <w:sz w:val="24"/>
      <w:szCs w:val="24"/>
    </w:rPr>
  </w:style>
  <w:style w:type="paragraph" w:customStyle="1" w:styleId="455">
    <w:name w:val="正文（首行式样2）"/>
    <w:basedOn w:val="15"/>
    <w:link w:val="454"/>
    <w:qFormat/>
    <w:uiPriority w:val="0"/>
    <w:pPr>
      <w:snapToGrid w:val="0"/>
      <w:spacing w:line="360" w:lineRule="auto"/>
      <w:ind w:right="-13" w:rightChars="-6" w:firstLine="526" w:firstLineChars="219"/>
    </w:pPr>
    <w:rPr>
      <w:rFonts w:ascii="宋体" w:hAnsi="宋体" w:eastAsiaTheme="minorEastAsia"/>
      <w:color w:val="000000"/>
      <w:sz w:val="24"/>
    </w:rPr>
  </w:style>
  <w:style w:type="character" w:customStyle="1" w:styleId="456">
    <w:name w:val="电子邮件签名 字符"/>
    <w:basedOn w:val="58"/>
    <w:link w:val="14"/>
    <w:qFormat/>
    <w:uiPriority w:val="0"/>
    <w:rPr>
      <w:rFonts w:ascii="宋体" w:hAnsi="宋体" w:cs="宋体"/>
      <w:szCs w:val="24"/>
    </w:rPr>
  </w:style>
  <w:style w:type="character" w:customStyle="1" w:styleId="457">
    <w:name w:val="样式 正文1 + 首行缩进:  2 字符 Char3"/>
    <w:link w:val="458"/>
    <w:qFormat/>
    <w:uiPriority w:val="0"/>
    <w:rPr>
      <w:rFonts w:ascii="宋体" w:eastAsia="宋体"/>
      <w:sz w:val="24"/>
    </w:rPr>
  </w:style>
  <w:style w:type="paragraph" w:customStyle="1" w:styleId="458">
    <w:name w:val="样式 正文1 + 首行缩进:  2 字符"/>
    <w:basedOn w:val="1"/>
    <w:link w:val="457"/>
    <w:qFormat/>
    <w:uiPriority w:val="0"/>
    <w:pPr>
      <w:spacing w:line="360" w:lineRule="auto"/>
      <w:ind w:firstLine="200" w:firstLineChars="200"/>
    </w:pPr>
    <w:rPr>
      <w:rFonts w:ascii="宋体" w:hAnsiTheme="minorHAnsi" w:cstheme="minorBidi"/>
      <w:sz w:val="24"/>
      <w:szCs w:val="22"/>
    </w:rPr>
  </w:style>
  <w:style w:type="character" w:customStyle="1" w:styleId="459">
    <w:name w:val="副标题 字符"/>
    <w:basedOn w:val="58"/>
    <w:link w:val="41"/>
    <w:qFormat/>
    <w:uiPriority w:val="0"/>
    <w:rPr>
      <w:rFonts w:ascii="Cambria" w:hAnsi="Cambria" w:eastAsia="宋体" w:cs="宋体"/>
      <w:i/>
      <w:iCs/>
      <w:color w:val="4F81BD"/>
      <w:spacing w:val="15"/>
      <w:sz w:val="24"/>
      <w:szCs w:val="24"/>
      <w:lang w:eastAsia="en-US" w:bidi="en-US"/>
    </w:rPr>
  </w:style>
  <w:style w:type="character" w:customStyle="1" w:styleId="460">
    <w:name w:val="表号 Char Char"/>
    <w:link w:val="461"/>
    <w:qFormat/>
    <w:uiPriority w:val="0"/>
    <w:rPr>
      <w:rFonts w:eastAsia="Times New Roman"/>
      <w:sz w:val="24"/>
      <w:szCs w:val="24"/>
    </w:rPr>
  </w:style>
  <w:style w:type="paragraph" w:customStyle="1" w:styleId="461">
    <w:name w:val="表号"/>
    <w:link w:val="460"/>
    <w:qFormat/>
    <w:uiPriority w:val="0"/>
    <w:pPr>
      <w:adjustRightInd w:val="0"/>
      <w:snapToGrid w:val="0"/>
      <w:spacing w:line="240" w:lineRule="atLeast"/>
      <w:jc w:val="both"/>
      <w:outlineLvl w:val="4"/>
    </w:pPr>
    <w:rPr>
      <w:rFonts w:eastAsia="Times New Roman" w:asciiTheme="minorHAnsi" w:hAnsiTheme="minorHAnsi" w:cstheme="minorBidi"/>
      <w:kern w:val="2"/>
      <w:sz w:val="24"/>
      <w:szCs w:val="24"/>
      <w:lang w:val="en-US" w:eastAsia="zh-CN" w:bidi="ar-SA"/>
    </w:rPr>
  </w:style>
  <w:style w:type="character" w:customStyle="1" w:styleId="462">
    <w:name w:val="下标"/>
    <w:basedOn w:val="58"/>
    <w:qFormat/>
    <w:uiPriority w:val="0"/>
    <w:rPr>
      <w:rFonts w:ascii="宋体" w:hAnsi="宋体" w:cs="宋体"/>
      <w:sz w:val="24"/>
      <w:szCs w:val="26"/>
      <w:vertAlign w:val="subscript"/>
    </w:rPr>
  </w:style>
  <w:style w:type="character" w:customStyle="1" w:styleId="463">
    <w:name w:val="1标题 Char"/>
    <w:basedOn w:val="58"/>
    <w:link w:val="464"/>
    <w:qFormat/>
    <w:uiPriority w:val="0"/>
    <w:rPr>
      <w:rFonts w:ascii="宋体" w:hAnsi="宋体" w:cs="宋体"/>
      <w:sz w:val="28"/>
      <w:szCs w:val="26"/>
    </w:rPr>
  </w:style>
  <w:style w:type="paragraph" w:customStyle="1" w:styleId="464">
    <w:name w:val="1标题"/>
    <w:basedOn w:val="1"/>
    <w:link w:val="463"/>
    <w:qFormat/>
    <w:uiPriority w:val="0"/>
    <w:pPr>
      <w:widowControl/>
      <w:ind w:firstLine="560" w:firstLineChars="200"/>
      <w:jc w:val="left"/>
    </w:pPr>
    <w:rPr>
      <w:rFonts w:ascii="宋体" w:hAnsi="宋体" w:cs="宋体" w:eastAsiaTheme="minorEastAsia"/>
      <w:sz w:val="28"/>
      <w:szCs w:val="26"/>
    </w:rPr>
  </w:style>
  <w:style w:type="character" w:customStyle="1" w:styleId="465">
    <w:name w:val="正文的样式 Char Char"/>
    <w:basedOn w:val="58"/>
    <w:link w:val="466"/>
    <w:qFormat/>
    <w:uiPriority w:val="0"/>
    <w:rPr>
      <w:rFonts w:ascii="宋体" w:hAnsi="Symbol" w:cs="宋体"/>
      <w:bCs/>
      <w:sz w:val="24"/>
      <w:szCs w:val="24"/>
    </w:rPr>
  </w:style>
  <w:style w:type="paragraph" w:customStyle="1" w:styleId="466">
    <w:name w:val="正文的样式 Char"/>
    <w:basedOn w:val="1"/>
    <w:link w:val="465"/>
    <w:qFormat/>
    <w:uiPriority w:val="0"/>
    <w:pPr>
      <w:adjustRightInd w:val="0"/>
      <w:snapToGrid w:val="0"/>
      <w:spacing w:line="360" w:lineRule="auto"/>
      <w:ind w:firstLine="480" w:firstLineChars="200"/>
    </w:pPr>
    <w:rPr>
      <w:rFonts w:ascii="宋体" w:hAnsi="Symbol" w:cs="宋体" w:eastAsiaTheme="minorEastAsia"/>
      <w:bCs/>
      <w:sz w:val="24"/>
    </w:rPr>
  </w:style>
  <w:style w:type="character" w:customStyle="1" w:styleId="467">
    <w:name w:val="预案正文 Char"/>
    <w:basedOn w:val="58"/>
    <w:link w:val="468"/>
    <w:qFormat/>
    <w:uiPriority w:val="0"/>
    <w:rPr>
      <w:rFonts w:ascii="宋体" w:hAnsi="宋体" w:eastAsia="宋体" w:cs="宋体"/>
      <w:color w:val="000000"/>
      <w:sz w:val="28"/>
      <w:szCs w:val="28"/>
    </w:rPr>
  </w:style>
  <w:style w:type="paragraph" w:customStyle="1" w:styleId="468">
    <w:name w:val="预案正文"/>
    <w:basedOn w:val="1"/>
    <w:link w:val="467"/>
    <w:qFormat/>
    <w:uiPriority w:val="0"/>
    <w:pPr>
      <w:snapToGrid w:val="0"/>
      <w:spacing w:line="500" w:lineRule="exact"/>
      <w:ind w:firstLine="560" w:firstLineChars="200"/>
      <w:contextualSpacing/>
    </w:pPr>
    <w:rPr>
      <w:rFonts w:ascii="宋体" w:hAnsi="宋体" w:cs="宋体"/>
      <w:color w:val="000000"/>
      <w:sz w:val="28"/>
      <w:szCs w:val="28"/>
    </w:rPr>
  </w:style>
  <w:style w:type="character" w:customStyle="1" w:styleId="469">
    <w:name w:val="表头！！！！！！！！！！ Char"/>
    <w:basedOn w:val="58"/>
    <w:link w:val="470"/>
    <w:qFormat/>
    <w:uiPriority w:val="0"/>
    <w:rPr>
      <w:rFonts w:ascii="楷体_GB2312" w:hAnsi="宋体" w:eastAsia="楷体_GB2312" w:cs="宋体"/>
      <w:b/>
      <w:snapToGrid w:val="0"/>
      <w:sz w:val="24"/>
      <w:szCs w:val="24"/>
    </w:rPr>
  </w:style>
  <w:style w:type="paragraph" w:customStyle="1" w:styleId="470">
    <w:name w:val="表头！！！！！！！！！！"/>
    <w:basedOn w:val="15"/>
    <w:link w:val="469"/>
    <w:qFormat/>
    <w:uiPriority w:val="0"/>
    <w:pPr>
      <w:autoSpaceDE w:val="0"/>
      <w:autoSpaceDN w:val="0"/>
      <w:adjustRightInd w:val="0"/>
      <w:spacing w:line="500" w:lineRule="exact"/>
      <w:ind w:firstLine="0"/>
      <w:jc w:val="center"/>
      <w:textAlignment w:val="baseline"/>
    </w:pPr>
    <w:rPr>
      <w:rFonts w:ascii="楷体_GB2312" w:hAnsi="宋体" w:eastAsia="楷体_GB2312" w:cs="宋体"/>
      <w:b/>
      <w:snapToGrid w:val="0"/>
      <w:sz w:val="24"/>
    </w:rPr>
  </w:style>
  <w:style w:type="character" w:customStyle="1" w:styleId="471">
    <w:name w:val="表格1 Char"/>
    <w:basedOn w:val="58"/>
    <w:link w:val="472"/>
    <w:qFormat/>
    <w:uiPriority w:val="0"/>
    <w:rPr>
      <w:rFonts w:ascii="宋体" w:hAnsi="宋体" w:eastAsia="宋体" w:cs="宋体"/>
      <w:sz w:val="24"/>
      <w:szCs w:val="26"/>
    </w:rPr>
  </w:style>
  <w:style w:type="paragraph" w:customStyle="1" w:styleId="472">
    <w:name w:val="表格1"/>
    <w:basedOn w:val="1"/>
    <w:link w:val="471"/>
    <w:qFormat/>
    <w:uiPriority w:val="0"/>
    <w:pPr>
      <w:adjustRightInd w:val="0"/>
      <w:spacing w:line="400" w:lineRule="atLeast"/>
      <w:jc w:val="center"/>
      <w:textAlignment w:val="baseline"/>
    </w:pPr>
    <w:rPr>
      <w:rFonts w:ascii="宋体" w:hAnsi="宋体" w:cs="宋体"/>
      <w:sz w:val="24"/>
      <w:szCs w:val="26"/>
    </w:rPr>
  </w:style>
  <w:style w:type="character" w:customStyle="1" w:styleId="473">
    <w:name w:val="HTML 地址 字符"/>
    <w:basedOn w:val="58"/>
    <w:link w:val="26"/>
    <w:qFormat/>
    <w:uiPriority w:val="0"/>
    <w:rPr>
      <w:rFonts w:ascii="宋体" w:hAnsi="宋体" w:cs="宋体"/>
      <w:i/>
      <w:iCs/>
      <w:szCs w:val="24"/>
    </w:rPr>
  </w:style>
  <w:style w:type="character" w:customStyle="1" w:styleId="474">
    <w:name w:val="样式 (符号) 宋体 小四 加粗"/>
    <w:qFormat/>
    <w:uiPriority w:val="0"/>
    <w:rPr>
      <w:b/>
      <w:bCs/>
      <w:sz w:val="24"/>
    </w:rPr>
  </w:style>
  <w:style w:type="character" w:customStyle="1" w:styleId="475">
    <w:name w:val="分目录1 Char"/>
    <w:basedOn w:val="58"/>
    <w:link w:val="476"/>
    <w:qFormat/>
    <w:uiPriority w:val="0"/>
    <w:rPr>
      <w:rFonts w:ascii="宋体" w:hAnsi="宋体" w:cs="宋体"/>
      <w:snapToGrid w:val="0"/>
      <w:sz w:val="28"/>
      <w:szCs w:val="26"/>
    </w:rPr>
  </w:style>
  <w:style w:type="paragraph" w:customStyle="1" w:styleId="476">
    <w:name w:val="分目录1"/>
    <w:basedOn w:val="1"/>
    <w:link w:val="475"/>
    <w:qFormat/>
    <w:uiPriority w:val="0"/>
    <w:pPr>
      <w:tabs>
        <w:tab w:val="right" w:leader="dot" w:pos="8304"/>
      </w:tabs>
      <w:adjustRightInd w:val="0"/>
      <w:snapToGrid w:val="0"/>
      <w:spacing w:line="360" w:lineRule="auto"/>
    </w:pPr>
    <w:rPr>
      <w:rFonts w:ascii="宋体" w:hAnsi="宋体" w:cs="宋体" w:eastAsiaTheme="minorEastAsia"/>
      <w:snapToGrid w:val="0"/>
      <w:sz w:val="28"/>
      <w:szCs w:val="26"/>
    </w:rPr>
  </w:style>
  <w:style w:type="character" w:customStyle="1" w:styleId="477">
    <w:name w:val="正文wang Char"/>
    <w:basedOn w:val="58"/>
    <w:link w:val="478"/>
    <w:qFormat/>
    <w:uiPriority w:val="0"/>
    <w:rPr>
      <w:rFonts w:ascii="宋体" w:hAnsi="宋体" w:cs="宋体"/>
      <w:szCs w:val="21"/>
    </w:rPr>
  </w:style>
  <w:style w:type="paragraph" w:customStyle="1" w:styleId="478">
    <w:name w:val="正文wang"/>
    <w:basedOn w:val="1"/>
    <w:link w:val="477"/>
    <w:qFormat/>
    <w:uiPriority w:val="0"/>
    <w:pPr>
      <w:adjustRightInd w:val="0"/>
      <w:spacing w:beforeLines="25"/>
      <w:ind w:firstLine="420"/>
    </w:pPr>
    <w:rPr>
      <w:rFonts w:ascii="宋体" w:hAnsi="宋体" w:cs="宋体" w:eastAsiaTheme="minorEastAsia"/>
      <w:szCs w:val="21"/>
    </w:rPr>
  </w:style>
  <w:style w:type="character" w:customStyle="1" w:styleId="479">
    <w:name w:val="样式 样式 表格 + (符号) 宋体 五号 居中 + 小五 Char"/>
    <w:basedOn w:val="58"/>
    <w:link w:val="480"/>
    <w:qFormat/>
    <w:uiPriority w:val="0"/>
    <w:rPr>
      <w:rFonts w:ascii="宋体" w:hAnsi="宋体" w:cs="宋体"/>
      <w:snapToGrid w:val="0"/>
      <w:sz w:val="18"/>
      <w:szCs w:val="21"/>
    </w:rPr>
  </w:style>
  <w:style w:type="paragraph" w:customStyle="1" w:styleId="480">
    <w:name w:val="样式 样式 表格 + (符号) 宋体 五号 居中 + 小五"/>
    <w:basedOn w:val="1"/>
    <w:link w:val="479"/>
    <w:qFormat/>
    <w:uiPriority w:val="0"/>
    <w:pPr>
      <w:kinsoku w:val="0"/>
      <w:overflowPunct w:val="0"/>
      <w:adjustRightInd w:val="0"/>
      <w:snapToGrid w:val="0"/>
      <w:jc w:val="center"/>
    </w:pPr>
    <w:rPr>
      <w:rFonts w:ascii="宋体" w:hAnsi="宋体" w:cs="宋体" w:eastAsiaTheme="minorEastAsia"/>
      <w:snapToGrid w:val="0"/>
      <w:sz w:val="18"/>
      <w:szCs w:val="21"/>
    </w:rPr>
  </w:style>
  <w:style w:type="character" w:customStyle="1" w:styleId="481">
    <w:name w:val="表、图名 Char"/>
    <w:basedOn w:val="58"/>
    <w:link w:val="482"/>
    <w:qFormat/>
    <w:uiPriority w:val="0"/>
    <w:rPr>
      <w:rFonts w:ascii="宋体" w:hAnsi="宋体" w:eastAsia="宋体" w:cs="宋体"/>
      <w:b/>
      <w:bCs/>
      <w:color w:val="000000"/>
      <w:szCs w:val="21"/>
    </w:rPr>
  </w:style>
  <w:style w:type="paragraph" w:customStyle="1" w:styleId="482">
    <w:name w:val="表、图名"/>
    <w:basedOn w:val="1"/>
    <w:link w:val="481"/>
    <w:qFormat/>
    <w:uiPriority w:val="0"/>
    <w:pPr>
      <w:ind w:firstLine="482"/>
      <w:textAlignment w:val="baseline"/>
    </w:pPr>
    <w:rPr>
      <w:rFonts w:ascii="宋体" w:hAnsi="宋体" w:cs="宋体"/>
      <w:b/>
      <w:bCs/>
      <w:color w:val="000000"/>
      <w:szCs w:val="21"/>
    </w:rPr>
  </w:style>
  <w:style w:type="character" w:customStyle="1" w:styleId="483">
    <w:name w:val="报告书表格 Char"/>
    <w:basedOn w:val="58"/>
    <w:link w:val="484"/>
    <w:qFormat/>
    <w:uiPriority w:val="0"/>
    <w:rPr>
      <w:rFonts w:ascii="宋体" w:hAnsi="宋体" w:cs="宋体"/>
      <w:sz w:val="24"/>
      <w:szCs w:val="26"/>
    </w:rPr>
  </w:style>
  <w:style w:type="paragraph" w:customStyle="1" w:styleId="484">
    <w:name w:val="报告书表格"/>
    <w:basedOn w:val="1"/>
    <w:link w:val="483"/>
    <w:qFormat/>
    <w:uiPriority w:val="0"/>
    <w:pPr>
      <w:adjustRightInd w:val="0"/>
      <w:spacing w:before="60" w:after="60" w:line="240" w:lineRule="atLeast"/>
      <w:jc w:val="center"/>
      <w:textAlignment w:val="baseline"/>
    </w:pPr>
    <w:rPr>
      <w:rFonts w:ascii="宋体" w:hAnsi="宋体" w:cs="宋体" w:eastAsiaTheme="minorEastAsia"/>
      <w:sz w:val="24"/>
      <w:szCs w:val="26"/>
    </w:rPr>
  </w:style>
  <w:style w:type="character" w:customStyle="1" w:styleId="485">
    <w:name w:val="表小4 Char"/>
    <w:basedOn w:val="58"/>
    <w:link w:val="486"/>
    <w:qFormat/>
    <w:uiPriority w:val="0"/>
    <w:rPr>
      <w:rFonts w:ascii="宋体" w:hAnsi="宋体" w:cs="宋体"/>
      <w:sz w:val="28"/>
      <w:szCs w:val="26"/>
    </w:rPr>
  </w:style>
  <w:style w:type="paragraph" w:customStyle="1" w:styleId="486">
    <w:name w:val="表小4"/>
    <w:basedOn w:val="1"/>
    <w:link w:val="485"/>
    <w:qFormat/>
    <w:uiPriority w:val="0"/>
    <w:pPr>
      <w:tabs>
        <w:tab w:val="left" w:pos="0"/>
        <w:tab w:val="left" w:pos="2619"/>
      </w:tabs>
      <w:adjustRightInd w:val="0"/>
      <w:spacing w:line="0" w:lineRule="atLeast"/>
      <w:jc w:val="center"/>
    </w:pPr>
    <w:rPr>
      <w:rFonts w:ascii="宋体" w:hAnsi="宋体" w:cs="宋体" w:eastAsiaTheme="minorEastAsia"/>
      <w:sz w:val="28"/>
      <w:szCs w:val="26"/>
    </w:rPr>
  </w:style>
  <w:style w:type="character" w:customStyle="1" w:styleId="487">
    <w:name w:val="环评正文 Char"/>
    <w:link w:val="488"/>
    <w:qFormat/>
    <w:uiPriority w:val="0"/>
    <w:rPr>
      <w:sz w:val="24"/>
      <w:szCs w:val="24"/>
    </w:rPr>
  </w:style>
  <w:style w:type="paragraph" w:customStyle="1" w:styleId="488">
    <w:name w:val="环评正文"/>
    <w:basedOn w:val="1"/>
    <w:link w:val="487"/>
    <w:qFormat/>
    <w:uiPriority w:val="0"/>
    <w:pPr>
      <w:spacing w:line="360" w:lineRule="auto"/>
      <w:ind w:firstLine="200" w:firstLineChars="200"/>
    </w:pPr>
    <w:rPr>
      <w:rFonts w:asciiTheme="minorHAnsi" w:hAnsiTheme="minorHAnsi" w:eastAsiaTheme="minorEastAsia" w:cstheme="minorBidi"/>
      <w:sz w:val="24"/>
    </w:rPr>
  </w:style>
  <w:style w:type="character" w:customStyle="1" w:styleId="489">
    <w:name w:val="样式 标题 2 + (西文) Times New Roman (中文) 黑体 三号 自动设置 Char"/>
    <w:basedOn w:val="58"/>
    <w:link w:val="490"/>
    <w:semiHidden/>
    <w:qFormat/>
    <w:uiPriority w:val="0"/>
    <w:rPr>
      <w:rFonts w:ascii="楷体_GB2312" w:hAnsi="宋体" w:eastAsia="黑体" w:cs="宋体"/>
      <w:b/>
      <w:spacing w:val="10"/>
      <w:sz w:val="30"/>
      <w:szCs w:val="30"/>
    </w:rPr>
  </w:style>
  <w:style w:type="paragraph" w:customStyle="1" w:styleId="490">
    <w:name w:val="样式 标题 2 + (西文) Times New Roman (中文) 黑体 三号 自动设置"/>
    <w:basedOn w:val="4"/>
    <w:link w:val="489"/>
    <w:semiHidden/>
    <w:qFormat/>
    <w:uiPriority w:val="0"/>
    <w:pPr>
      <w:snapToGrid w:val="0"/>
      <w:spacing w:before="120" w:after="0" w:line="360" w:lineRule="auto"/>
      <w:ind w:left="723" w:hanging="723" w:hangingChars="240"/>
    </w:pPr>
    <w:rPr>
      <w:rFonts w:ascii="楷体_GB2312" w:hAnsi="宋体" w:cs="宋体"/>
      <w:bCs w:val="0"/>
      <w:spacing w:val="10"/>
      <w:sz w:val="30"/>
      <w:szCs w:val="30"/>
    </w:rPr>
  </w:style>
  <w:style w:type="character" w:customStyle="1" w:styleId="491">
    <w:name w:val="正文内容 Char"/>
    <w:basedOn w:val="58"/>
    <w:link w:val="492"/>
    <w:qFormat/>
    <w:uiPriority w:val="0"/>
    <w:rPr>
      <w:rFonts w:ascii="宋体" w:hAnsi="宋体" w:cs="宋体"/>
      <w:color w:val="1C1C1C"/>
      <w:spacing w:val="8"/>
      <w:sz w:val="24"/>
      <w:szCs w:val="26"/>
    </w:rPr>
  </w:style>
  <w:style w:type="paragraph" w:customStyle="1" w:styleId="492">
    <w:name w:val="正文内容"/>
    <w:basedOn w:val="49"/>
    <w:link w:val="491"/>
    <w:qFormat/>
    <w:uiPriority w:val="0"/>
    <w:pPr>
      <w:spacing w:before="60" w:after="0" w:line="360" w:lineRule="auto"/>
      <w:ind w:firstLine="200" w:firstLineChars="200"/>
    </w:pPr>
    <w:rPr>
      <w:rFonts w:eastAsiaTheme="minorEastAsia"/>
      <w:color w:val="1C1C1C"/>
      <w:spacing w:val="8"/>
      <w:sz w:val="24"/>
      <w:szCs w:val="26"/>
    </w:rPr>
  </w:style>
  <w:style w:type="character" w:customStyle="1" w:styleId="493">
    <w:name w:val="目录 1 字符"/>
    <w:link w:val="39"/>
    <w:qFormat/>
    <w:uiPriority w:val="0"/>
    <w:rPr>
      <w:rFonts w:ascii="楷体_GB2312" w:eastAsia="楷体_GB2312"/>
      <w:color w:val="000000"/>
      <w:szCs w:val="21"/>
    </w:rPr>
  </w:style>
  <w:style w:type="character" w:customStyle="1" w:styleId="494">
    <w:name w:val="Footer-Even Char2"/>
    <w:qFormat/>
    <w:uiPriority w:val="99"/>
    <w:rPr>
      <w:rFonts w:ascii="Calibri" w:hAnsi="Calibri" w:eastAsia="宋体" w:cs="Times New Roman"/>
      <w:sz w:val="18"/>
      <w:szCs w:val="18"/>
    </w:rPr>
  </w:style>
  <w:style w:type="character" w:customStyle="1" w:styleId="495">
    <w:name w:val="555 Char"/>
    <w:basedOn w:val="58"/>
    <w:link w:val="496"/>
    <w:qFormat/>
    <w:uiPriority w:val="0"/>
    <w:rPr>
      <w:rFonts w:ascii="Arial" w:hAnsi="Arial" w:eastAsia="楷体_GB2312" w:cs="宋体"/>
      <w:sz w:val="28"/>
      <w:szCs w:val="26"/>
    </w:rPr>
  </w:style>
  <w:style w:type="paragraph" w:customStyle="1" w:styleId="496">
    <w:name w:val="555"/>
    <w:basedOn w:val="1"/>
    <w:link w:val="495"/>
    <w:qFormat/>
    <w:uiPriority w:val="0"/>
    <w:pPr>
      <w:spacing w:line="360" w:lineRule="auto"/>
      <w:ind w:firstLine="527" w:firstLineChars="200"/>
    </w:pPr>
    <w:rPr>
      <w:rFonts w:ascii="Arial" w:hAnsi="Arial" w:eastAsia="楷体_GB2312" w:cs="宋体"/>
      <w:sz w:val="28"/>
      <w:szCs w:val="26"/>
    </w:rPr>
  </w:style>
  <w:style w:type="character" w:customStyle="1" w:styleId="497">
    <w:name w:val="正文1 Char Char"/>
    <w:basedOn w:val="58"/>
    <w:link w:val="498"/>
    <w:qFormat/>
    <w:uiPriority w:val="0"/>
    <w:rPr>
      <w:rFonts w:ascii="宋体" w:hAnsi="宋体" w:cs="宋体"/>
      <w:sz w:val="24"/>
      <w:szCs w:val="24"/>
    </w:rPr>
  </w:style>
  <w:style w:type="paragraph" w:customStyle="1" w:styleId="498">
    <w:name w:val="正文11"/>
    <w:basedOn w:val="1"/>
    <w:link w:val="497"/>
    <w:qFormat/>
    <w:uiPriority w:val="0"/>
    <w:pPr>
      <w:spacing w:line="480" w:lineRule="exact"/>
      <w:ind w:firstLine="200" w:firstLineChars="200"/>
    </w:pPr>
    <w:rPr>
      <w:rFonts w:ascii="宋体" w:hAnsi="宋体" w:cs="宋体" w:eastAsiaTheme="minorEastAsia"/>
      <w:sz w:val="24"/>
    </w:rPr>
  </w:style>
  <w:style w:type="character" w:customStyle="1" w:styleId="499">
    <w:name w:val="缩进 Char"/>
    <w:basedOn w:val="58"/>
    <w:link w:val="500"/>
    <w:qFormat/>
    <w:uiPriority w:val="0"/>
    <w:rPr>
      <w:rFonts w:ascii="宋体" w:hAnsi="宋体" w:eastAsia="宋体" w:cs="宋体"/>
      <w:sz w:val="24"/>
      <w:szCs w:val="26"/>
    </w:rPr>
  </w:style>
  <w:style w:type="paragraph" w:customStyle="1" w:styleId="500">
    <w:name w:val="缩进"/>
    <w:basedOn w:val="1"/>
    <w:link w:val="499"/>
    <w:qFormat/>
    <w:uiPriority w:val="0"/>
    <w:pPr>
      <w:autoSpaceDE w:val="0"/>
      <w:autoSpaceDN w:val="0"/>
      <w:adjustRightInd w:val="0"/>
      <w:spacing w:line="400" w:lineRule="atLeast"/>
      <w:ind w:firstLine="200" w:firstLineChars="200"/>
      <w:textAlignment w:val="baseline"/>
    </w:pPr>
    <w:rPr>
      <w:rFonts w:ascii="宋体" w:hAnsi="宋体" w:cs="宋体"/>
      <w:sz w:val="24"/>
      <w:szCs w:val="26"/>
    </w:rPr>
  </w:style>
  <w:style w:type="character" w:customStyle="1" w:styleId="501">
    <w:name w:val="表后空格 Char"/>
    <w:basedOn w:val="279"/>
    <w:link w:val="502"/>
    <w:qFormat/>
    <w:uiPriority w:val="0"/>
    <w:rPr>
      <w:rFonts w:ascii="楷体_GB2312" w:hAnsi="楷体_GB2312" w:eastAsia="楷体_GB2312" w:cs="宋体"/>
      <w:kern w:val="2"/>
      <w:sz w:val="24"/>
      <w:szCs w:val="24"/>
    </w:rPr>
  </w:style>
  <w:style w:type="paragraph" w:customStyle="1" w:styleId="502">
    <w:name w:val="表后空格"/>
    <w:basedOn w:val="168"/>
    <w:link w:val="501"/>
    <w:qFormat/>
    <w:uiPriority w:val="0"/>
    <w:pPr>
      <w:spacing w:line="240" w:lineRule="exact"/>
      <w:ind w:firstLine="480"/>
      <w:jc w:val="both"/>
    </w:pPr>
    <w:rPr>
      <w:rFonts w:ascii="楷体_GB2312" w:hAnsi="楷体_GB2312" w:eastAsia="楷体_GB2312"/>
    </w:rPr>
  </w:style>
  <w:style w:type="character" w:customStyle="1" w:styleId="503">
    <w:name w:val="！正文 Char"/>
    <w:link w:val="504"/>
    <w:qFormat/>
    <w:uiPriority w:val="0"/>
    <w:rPr>
      <w:sz w:val="24"/>
      <w:szCs w:val="24"/>
    </w:rPr>
  </w:style>
  <w:style w:type="paragraph" w:customStyle="1" w:styleId="504">
    <w:name w:val="！正文"/>
    <w:basedOn w:val="1"/>
    <w:link w:val="503"/>
    <w:qFormat/>
    <w:uiPriority w:val="0"/>
    <w:pPr>
      <w:spacing w:line="500" w:lineRule="exact"/>
      <w:ind w:firstLine="200" w:firstLineChars="200"/>
    </w:pPr>
    <w:rPr>
      <w:rFonts w:asciiTheme="minorHAnsi" w:hAnsiTheme="minorHAnsi" w:eastAsiaTheme="minorEastAsia" w:cstheme="minorBidi"/>
      <w:sz w:val="24"/>
    </w:rPr>
  </w:style>
  <w:style w:type="character" w:customStyle="1" w:styleId="505">
    <w:name w:val="单晶硅项目正文 Char"/>
    <w:basedOn w:val="58"/>
    <w:link w:val="506"/>
    <w:qFormat/>
    <w:uiPriority w:val="0"/>
    <w:rPr>
      <w:rFonts w:ascii="宋体" w:hAnsi="宋体" w:cs="宋体"/>
      <w:color w:val="000000"/>
      <w:sz w:val="24"/>
      <w:szCs w:val="24"/>
    </w:rPr>
  </w:style>
  <w:style w:type="paragraph" w:customStyle="1" w:styleId="506">
    <w:name w:val="单晶硅项目正文"/>
    <w:basedOn w:val="1"/>
    <w:link w:val="505"/>
    <w:qFormat/>
    <w:uiPriority w:val="0"/>
    <w:pPr>
      <w:spacing w:line="560" w:lineRule="exact"/>
      <w:ind w:firstLine="480" w:firstLineChars="200"/>
    </w:pPr>
    <w:rPr>
      <w:rFonts w:ascii="宋体" w:hAnsi="宋体" w:cs="宋体" w:eastAsiaTheme="minorEastAsia"/>
      <w:color w:val="000000"/>
      <w:sz w:val="24"/>
    </w:rPr>
  </w:style>
  <w:style w:type="character" w:customStyle="1" w:styleId="507">
    <w:name w:val="Char Char25"/>
    <w:basedOn w:val="58"/>
    <w:link w:val="508"/>
    <w:qFormat/>
    <w:uiPriority w:val="0"/>
    <w:rPr>
      <w:rFonts w:ascii="宋体" w:hAnsi="宋体" w:cs="宋体"/>
      <w:b/>
      <w:bCs/>
      <w:kern w:val="44"/>
      <w:sz w:val="44"/>
      <w:szCs w:val="44"/>
    </w:rPr>
  </w:style>
  <w:style w:type="paragraph" w:customStyle="1" w:styleId="508">
    <w:name w:val="Char Char25 Para"/>
    <w:basedOn w:val="1"/>
    <w:link w:val="507"/>
    <w:qFormat/>
    <w:uiPriority w:val="0"/>
    <w:pPr>
      <w:widowControl/>
      <w:jc w:val="left"/>
    </w:pPr>
    <w:rPr>
      <w:rFonts w:ascii="宋体" w:hAnsi="宋体" w:cs="宋体" w:eastAsiaTheme="minorEastAsia"/>
      <w:b/>
      <w:bCs/>
      <w:kern w:val="44"/>
      <w:sz w:val="44"/>
      <w:szCs w:val="44"/>
    </w:rPr>
  </w:style>
  <w:style w:type="character" w:customStyle="1" w:styleId="509">
    <w:name w:val="5级正文 Char"/>
    <w:basedOn w:val="58"/>
    <w:link w:val="510"/>
    <w:qFormat/>
    <w:uiPriority w:val="0"/>
    <w:rPr>
      <w:rFonts w:ascii="宋体" w:hAnsi="宋体" w:eastAsia="宋体" w:cs="宋体"/>
      <w:b/>
      <w:sz w:val="24"/>
      <w:szCs w:val="24"/>
    </w:rPr>
  </w:style>
  <w:style w:type="paragraph" w:customStyle="1" w:styleId="510">
    <w:name w:val="5级正文"/>
    <w:basedOn w:val="1"/>
    <w:next w:val="500"/>
    <w:link w:val="509"/>
    <w:qFormat/>
    <w:uiPriority w:val="0"/>
    <w:pPr>
      <w:tabs>
        <w:tab w:val="left" w:pos="420"/>
        <w:tab w:val="left" w:pos="432"/>
      </w:tabs>
      <w:spacing w:line="360" w:lineRule="auto"/>
      <w:ind w:left="432" w:hanging="432"/>
      <w:outlineLvl w:val="4"/>
    </w:pPr>
    <w:rPr>
      <w:rFonts w:ascii="宋体" w:hAnsi="宋体" w:cs="宋体"/>
      <w:b/>
      <w:sz w:val="24"/>
    </w:rPr>
  </w:style>
  <w:style w:type="character" w:customStyle="1" w:styleId="511">
    <w:name w:val="无间隔 Char Char"/>
    <w:basedOn w:val="58"/>
    <w:link w:val="512"/>
    <w:qFormat/>
    <w:uiPriority w:val="0"/>
    <w:rPr>
      <w:rFonts w:ascii="宋体" w:hAnsi="宋体" w:eastAsia="Times New Roman" w:cs="宋体"/>
      <w:sz w:val="22"/>
      <w:szCs w:val="26"/>
    </w:rPr>
  </w:style>
  <w:style w:type="paragraph" w:customStyle="1" w:styleId="512">
    <w:name w:val="无间隔11"/>
    <w:link w:val="511"/>
    <w:qFormat/>
    <w:uiPriority w:val="0"/>
    <w:rPr>
      <w:rFonts w:ascii="宋体" w:hAnsi="宋体" w:eastAsia="Times New Roman" w:cs="宋体"/>
      <w:kern w:val="2"/>
      <w:sz w:val="22"/>
      <w:szCs w:val="26"/>
      <w:lang w:val="en-US" w:eastAsia="zh-CN" w:bidi="ar-SA"/>
    </w:rPr>
  </w:style>
  <w:style w:type="character" w:customStyle="1" w:styleId="513">
    <w:name w:val="样式 标题 2 Char"/>
    <w:basedOn w:val="58"/>
    <w:link w:val="514"/>
    <w:qFormat/>
    <w:uiPriority w:val="0"/>
    <w:rPr>
      <w:rFonts w:ascii="黑体" w:hAnsi="黑体" w:eastAsia="黑体" w:cs="宋体"/>
      <w:color w:val="000000"/>
      <w:sz w:val="28"/>
      <w:szCs w:val="32"/>
    </w:rPr>
  </w:style>
  <w:style w:type="paragraph" w:customStyle="1" w:styleId="514">
    <w:name w:val="样式 标题 2"/>
    <w:basedOn w:val="4"/>
    <w:link w:val="513"/>
    <w:qFormat/>
    <w:uiPriority w:val="0"/>
    <w:pPr>
      <w:spacing w:after="0" w:line="360" w:lineRule="auto"/>
    </w:pPr>
    <w:rPr>
      <w:rFonts w:ascii="黑体" w:hAnsi="黑体" w:cs="宋体"/>
      <w:b w:val="0"/>
      <w:bCs w:val="0"/>
      <w:color w:val="000000"/>
    </w:rPr>
  </w:style>
  <w:style w:type="character" w:customStyle="1" w:styleId="515">
    <w:name w:val="样式 标题 3 + 宋体 Char Char Char"/>
    <w:basedOn w:val="58"/>
    <w:link w:val="516"/>
    <w:qFormat/>
    <w:uiPriority w:val="0"/>
    <w:rPr>
      <w:rFonts w:ascii="宋体" w:hAnsi="宋体" w:cs="宋体"/>
      <w:b/>
      <w:bCs/>
      <w:sz w:val="32"/>
      <w:szCs w:val="32"/>
    </w:rPr>
  </w:style>
  <w:style w:type="paragraph" w:customStyle="1" w:styleId="516">
    <w:name w:val="样式 标题 3 + 宋体 Char Char"/>
    <w:basedOn w:val="5"/>
    <w:link w:val="515"/>
    <w:qFormat/>
    <w:uiPriority w:val="0"/>
    <w:pPr>
      <w:spacing w:before="200" w:line="420" w:lineRule="auto"/>
    </w:pPr>
    <w:rPr>
      <w:rFonts w:ascii="宋体" w:hAnsi="宋体" w:cs="宋体" w:eastAsiaTheme="minorEastAsia"/>
      <w:b/>
      <w:bCs/>
      <w:spacing w:val="0"/>
      <w:sz w:val="32"/>
      <w:szCs w:val="32"/>
    </w:rPr>
  </w:style>
  <w:style w:type="character" w:customStyle="1" w:styleId="517">
    <w:name w:val="表格后缀 Char"/>
    <w:basedOn w:val="279"/>
    <w:link w:val="518"/>
    <w:qFormat/>
    <w:uiPriority w:val="0"/>
    <w:rPr>
      <w:rFonts w:ascii="楷体_GB2312" w:hAnsi="楷体_GB2312" w:eastAsia="楷体_GB2312" w:cs="宋体"/>
      <w:kern w:val="2"/>
      <w:sz w:val="24"/>
      <w:szCs w:val="24"/>
    </w:rPr>
  </w:style>
  <w:style w:type="paragraph" w:customStyle="1" w:styleId="518">
    <w:name w:val="表格后缀"/>
    <w:basedOn w:val="168"/>
    <w:link w:val="517"/>
    <w:qFormat/>
    <w:uiPriority w:val="0"/>
    <w:pPr>
      <w:spacing w:line="240" w:lineRule="exact"/>
      <w:ind w:firstLine="480"/>
    </w:pPr>
    <w:rPr>
      <w:rFonts w:ascii="楷体_GB2312" w:hAnsi="楷体_GB2312" w:eastAsia="楷体_GB2312"/>
    </w:rPr>
  </w:style>
  <w:style w:type="character" w:customStyle="1" w:styleId="519">
    <w:name w:val="表头应急预案 Char"/>
    <w:basedOn w:val="58"/>
    <w:link w:val="520"/>
    <w:qFormat/>
    <w:uiPriority w:val="0"/>
    <w:rPr>
      <w:rFonts w:ascii="宋体" w:hAnsi="宋体" w:eastAsia="宋体" w:cs="宋体"/>
      <w:b/>
      <w:color w:val="000000"/>
      <w:sz w:val="24"/>
      <w:szCs w:val="24"/>
    </w:rPr>
  </w:style>
  <w:style w:type="paragraph" w:customStyle="1" w:styleId="520">
    <w:name w:val="表头应急预案"/>
    <w:basedOn w:val="1"/>
    <w:link w:val="519"/>
    <w:qFormat/>
    <w:uiPriority w:val="0"/>
    <w:pPr>
      <w:snapToGrid w:val="0"/>
      <w:spacing w:line="500" w:lineRule="exact"/>
      <w:contextualSpacing/>
      <w:jc w:val="center"/>
    </w:pPr>
    <w:rPr>
      <w:rFonts w:ascii="宋体" w:hAnsi="宋体" w:cs="宋体"/>
      <w:b/>
      <w:color w:val="000000"/>
      <w:sz w:val="24"/>
    </w:rPr>
  </w:style>
  <w:style w:type="character" w:customStyle="1" w:styleId="521">
    <w:name w:val="文本框小四 Char Char"/>
    <w:basedOn w:val="58"/>
    <w:link w:val="522"/>
    <w:qFormat/>
    <w:uiPriority w:val="0"/>
    <w:rPr>
      <w:rFonts w:ascii="宋体" w:hAnsi="宋体" w:eastAsia="仿宋_GB2312" w:cs="宋体"/>
      <w:sz w:val="24"/>
      <w:szCs w:val="24"/>
    </w:rPr>
  </w:style>
  <w:style w:type="paragraph" w:customStyle="1" w:styleId="522">
    <w:name w:val="文本框小四"/>
    <w:basedOn w:val="1"/>
    <w:link w:val="521"/>
    <w:qFormat/>
    <w:uiPriority w:val="0"/>
    <w:pPr>
      <w:spacing w:line="360" w:lineRule="auto"/>
      <w:jc w:val="center"/>
    </w:pPr>
    <w:rPr>
      <w:rFonts w:ascii="宋体" w:hAnsi="宋体" w:eastAsia="仿宋_GB2312" w:cs="宋体"/>
      <w:sz w:val="24"/>
    </w:rPr>
  </w:style>
  <w:style w:type="character" w:customStyle="1" w:styleId="523">
    <w:name w:val="样式1 Char"/>
    <w:basedOn w:val="58"/>
    <w:link w:val="524"/>
    <w:qFormat/>
    <w:uiPriority w:val="0"/>
    <w:rPr>
      <w:rFonts w:ascii="仿宋_GB2312" w:hAnsi="宋体" w:eastAsia="仿宋_GB2312" w:cs="宋体"/>
      <w:sz w:val="28"/>
      <w:szCs w:val="24"/>
    </w:rPr>
  </w:style>
  <w:style w:type="paragraph" w:customStyle="1" w:styleId="524">
    <w:name w:val="样式1"/>
    <w:basedOn w:val="1"/>
    <w:link w:val="523"/>
    <w:qFormat/>
    <w:uiPriority w:val="0"/>
    <w:pPr>
      <w:spacing w:line="500" w:lineRule="exact"/>
    </w:pPr>
    <w:rPr>
      <w:rFonts w:ascii="仿宋_GB2312" w:hAnsi="宋体" w:eastAsia="仿宋_GB2312" w:cs="宋体"/>
      <w:sz w:val="28"/>
    </w:rPr>
  </w:style>
  <w:style w:type="character" w:customStyle="1" w:styleId="525">
    <w:name w:val="称呼 字符"/>
    <w:basedOn w:val="58"/>
    <w:link w:val="19"/>
    <w:qFormat/>
    <w:uiPriority w:val="0"/>
    <w:rPr>
      <w:rFonts w:ascii="宋体" w:hAnsi="宋体" w:cs="宋体"/>
      <w:szCs w:val="24"/>
    </w:rPr>
  </w:style>
  <w:style w:type="character" w:customStyle="1" w:styleId="526">
    <w:name w:val="文字 Char"/>
    <w:basedOn w:val="58"/>
    <w:link w:val="527"/>
    <w:qFormat/>
    <w:uiPriority w:val="0"/>
    <w:rPr>
      <w:rFonts w:ascii="宋体" w:hAnsi="宋体" w:cs="宋体"/>
      <w:sz w:val="24"/>
      <w:szCs w:val="24"/>
    </w:rPr>
  </w:style>
  <w:style w:type="paragraph" w:customStyle="1" w:styleId="527">
    <w:name w:val="文字"/>
    <w:basedOn w:val="1"/>
    <w:link w:val="526"/>
    <w:qFormat/>
    <w:uiPriority w:val="0"/>
    <w:pPr>
      <w:widowControl/>
      <w:spacing w:afterLines="50" w:line="360" w:lineRule="auto"/>
      <w:ind w:firstLine="420"/>
    </w:pPr>
    <w:rPr>
      <w:rFonts w:ascii="宋体" w:hAnsi="宋体" w:cs="宋体" w:eastAsiaTheme="minorEastAsia"/>
      <w:sz w:val="24"/>
    </w:rPr>
  </w:style>
  <w:style w:type="character" w:customStyle="1" w:styleId="528">
    <w:name w:val="样式8 Char Char"/>
    <w:basedOn w:val="58"/>
    <w:link w:val="529"/>
    <w:qFormat/>
    <w:uiPriority w:val="0"/>
    <w:rPr>
      <w:rFonts w:ascii="宋体" w:hAnsi="宋体" w:cs="宋体"/>
      <w:sz w:val="24"/>
      <w:szCs w:val="26"/>
    </w:rPr>
  </w:style>
  <w:style w:type="paragraph" w:customStyle="1" w:styleId="529">
    <w:name w:val="样式8"/>
    <w:basedOn w:val="1"/>
    <w:link w:val="528"/>
    <w:qFormat/>
    <w:uiPriority w:val="0"/>
    <w:pPr>
      <w:ind w:firstLine="499"/>
    </w:pPr>
    <w:rPr>
      <w:rFonts w:ascii="宋体" w:hAnsi="宋体" w:cs="宋体" w:eastAsiaTheme="minorEastAsia"/>
      <w:sz w:val="24"/>
      <w:szCs w:val="26"/>
    </w:rPr>
  </w:style>
  <w:style w:type="character" w:customStyle="1" w:styleId="530">
    <w:name w:val="批注框文本 字符"/>
    <w:link w:val="35"/>
    <w:qFormat/>
    <w:uiPriority w:val="99"/>
    <w:rPr>
      <w:sz w:val="18"/>
      <w:szCs w:val="18"/>
    </w:rPr>
  </w:style>
  <w:style w:type="character" w:customStyle="1" w:styleId="531">
    <w:name w:val="样式 标题 2_Heading 2HEAD_2HEAD_21HEAD_22HEAD_211HEAD_23HEAD_... Char"/>
    <w:link w:val="532"/>
    <w:qFormat/>
    <w:uiPriority w:val="0"/>
    <w:rPr>
      <w:rFonts w:hAnsi="宋体"/>
      <w:b/>
      <w:snapToGrid w:val="0"/>
      <w:color w:val="000000"/>
      <w:sz w:val="24"/>
      <w:szCs w:val="24"/>
    </w:rPr>
  </w:style>
  <w:style w:type="paragraph" w:customStyle="1" w:styleId="532">
    <w:name w:val="样式 标题 2_Heading 2HEAD_2HEAD_21HEAD_22HEAD_211HEAD_23HEAD_..."/>
    <w:basedOn w:val="4"/>
    <w:link w:val="531"/>
    <w:qFormat/>
    <w:uiPriority w:val="0"/>
    <w:pPr>
      <w:keepNext w:val="0"/>
      <w:keepLines w:val="0"/>
      <w:widowControl/>
      <w:adjustRightInd w:val="0"/>
      <w:snapToGrid w:val="0"/>
      <w:spacing w:before="0" w:after="0" w:line="460" w:lineRule="exact"/>
      <w:ind w:firstLine="445" w:firstLineChars="196"/>
      <w:jc w:val="left"/>
    </w:pPr>
    <w:rPr>
      <w:rFonts w:hAnsi="宋体" w:asciiTheme="minorHAnsi" w:eastAsiaTheme="minorEastAsia" w:cstheme="minorBidi"/>
      <w:bCs w:val="0"/>
      <w:snapToGrid w:val="0"/>
      <w:color w:val="000000"/>
      <w:sz w:val="24"/>
      <w:szCs w:val="24"/>
    </w:rPr>
  </w:style>
  <w:style w:type="character" w:customStyle="1" w:styleId="533">
    <w:name w:val="样式 标题 2标题 2 Char Char节标题标题 2 Char1节1标题 2 Char标题 2 Char Ch... Char"/>
    <w:link w:val="534"/>
    <w:qFormat/>
    <w:uiPriority w:val="0"/>
    <w:rPr>
      <w:rFonts w:ascii="宋体" w:hAnsi="宋体"/>
      <w:bCs/>
      <w:color w:val="FF0000"/>
      <w:sz w:val="24"/>
      <w:szCs w:val="24"/>
    </w:rPr>
  </w:style>
  <w:style w:type="paragraph" w:customStyle="1" w:styleId="534">
    <w:name w:val="样式 标题 2标题 2 Char Char节标题标题 2 Char1节1标题 2 Char标题 2 Char Ch..."/>
    <w:basedOn w:val="4"/>
    <w:link w:val="533"/>
    <w:qFormat/>
    <w:uiPriority w:val="0"/>
    <w:pPr>
      <w:spacing w:before="100" w:beforeAutospacing="1" w:after="100" w:afterAutospacing="1" w:line="360" w:lineRule="auto"/>
      <w:ind w:firstLine="240"/>
      <w:jc w:val="left"/>
    </w:pPr>
    <w:rPr>
      <w:rFonts w:ascii="宋体" w:hAnsi="宋体" w:eastAsiaTheme="minorEastAsia" w:cstheme="minorBidi"/>
      <w:b w:val="0"/>
      <w:color w:val="FF0000"/>
      <w:sz w:val="24"/>
      <w:szCs w:val="24"/>
    </w:rPr>
  </w:style>
  <w:style w:type="character" w:customStyle="1" w:styleId="535">
    <w:name w:val="样式 样式1 + Char"/>
    <w:link w:val="536"/>
    <w:qFormat/>
    <w:uiPriority w:val="0"/>
    <w:rPr>
      <w:sz w:val="24"/>
      <w:szCs w:val="24"/>
    </w:rPr>
  </w:style>
  <w:style w:type="paragraph" w:customStyle="1" w:styleId="536">
    <w:name w:val="样式 样式1 +"/>
    <w:basedOn w:val="524"/>
    <w:link w:val="535"/>
    <w:qFormat/>
    <w:uiPriority w:val="0"/>
    <w:pPr>
      <w:spacing w:line="480" w:lineRule="exact"/>
      <w:ind w:firstLine="200" w:firstLineChars="200"/>
    </w:pPr>
    <w:rPr>
      <w:rFonts w:asciiTheme="minorHAnsi" w:hAnsiTheme="minorHAnsi" w:eastAsiaTheme="minorEastAsia" w:cstheme="minorBidi"/>
      <w:sz w:val="24"/>
    </w:rPr>
  </w:style>
  <w:style w:type="character" w:customStyle="1" w:styleId="537">
    <w:name w:val="1) Char"/>
    <w:basedOn w:val="288"/>
    <w:link w:val="538"/>
    <w:qFormat/>
    <w:uiPriority w:val="0"/>
    <w:rPr>
      <w:rFonts w:ascii="宋体" w:hAnsi="宋体" w:cs="宋体"/>
      <w:sz w:val="28"/>
      <w:szCs w:val="26"/>
    </w:rPr>
  </w:style>
  <w:style w:type="paragraph" w:customStyle="1" w:styleId="538">
    <w:name w:val="1)"/>
    <w:basedOn w:val="289"/>
    <w:link w:val="537"/>
    <w:qFormat/>
    <w:uiPriority w:val="0"/>
    <w:pPr>
      <w:ind w:firstLine="845"/>
    </w:pPr>
  </w:style>
  <w:style w:type="character" w:customStyle="1" w:styleId="539">
    <w:name w:val="设计四号 Char"/>
    <w:basedOn w:val="58"/>
    <w:link w:val="540"/>
    <w:qFormat/>
    <w:uiPriority w:val="0"/>
    <w:rPr>
      <w:rFonts w:ascii="仿宋_GB2312" w:hAnsi="仿宋_GB2312" w:eastAsia="仿宋_GB2312" w:cs="宋体"/>
      <w:bCs/>
      <w:sz w:val="28"/>
      <w:szCs w:val="26"/>
    </w:rPr>
  </w:style>
  <w:style w:type="paragraph" w:customStyle="1" w:styleId="540">
    <w:name w:val="设计四号"/>
    <w:basedOn w:val="1"/>
    <w:link w:val="539"/>
    <w:qFormat/>
    <w:uiPriority w:val="0"/>
    <w:pPr>
      <w:adjustRightInd w:val="0"/>
      <w:snapToGrid w:val="0"/>
      <w:spacing w:before="120" w:line="500" w:lineRule="atLeast"/>
      <w:ind w:firstLine="624"/>
      <w:jc w:val="left"/>
      <w:textAlignment w:val="baseline"/>
    </w:pPr>
    <w:rPr>
      <w:rFonts w:ascii="仿宋_GB2312" w:hAnsi="仿宋_GB2312" w:eastAsia="仿宋_GB2312" w:cs="宋体"/>
      <w:bCs/>
      <w:sz w:val="28"/>
      <w:szCs w:val="26"/>
    </w:rPr>
  </w:style>
  <w:style w:type="character" w:customStyle="1" w:styleId="541">
    <w:name w:val="分目录2 Char"/>
    <w:basedOn w:val="475"/>
    <w:link w:val="542"/>
    <w:qFormat/>
    <w:uiPriority w:val="0"/>
    <w:rPr>
      <w:rFonts w:ascii="宋体" w:hAnsi="宋体" w:cs="宋体"/>
      <w:snapToGrid w:val="0"/>
      <w:sz w:val="24"/>
      <w:szCs w:val="26"/>
    </w:rPr>
  </w:style>
  <w:style w:type="paragraph" w:customStyle="1" w:styleId="542">
    <w:name w:val="分目录2"/>
    <w:basedOn w:val="476"/>
    <w:link w:val="541"/>
    <w:qFormat/>
    <w:uiPriority w:val="0"/>
    <w:pPr>
      <w:ind w:firstLine="480" w:firstLineChars="200"/>
    </w:pPr>
    <w:rPr>
      <w:sz w:val="24"/>
    </w:rPr>
  </w:style>
  <w:style w:type="character" w:customStyle="1" w:styleId="543">
    <w:name w:val="4号宋体左齐行距1.5倍 Char"/>
    <w:basedOn w:val="58"/>
    <w:qFormat/>
    <w:uiPriority w:val="0"/>
    <w:rPr>
      <w:rFonts w:ascii="黑体" w:hAnsi="宋体" w:eastAsia="黑体" w:cs="宋体"/>
      <w:spacing w:val="6"/>
      <w:kern w:val="2"/>
      <w:sz w:val="30"/>
      <w:szCs w:val="30"/>
      <w:lang w:val="en-US" w:eastAsia="zh-CN" w:bidi="ar-SA"/>
    </w:rPr>
  </w:style>
  <w:style w:type="character" w:customStyle="1" w:styleId="544">
    <w:name w:val="普通文字 Char Char Char1"/>
    <w:basedOn w:val="58"/>
    <w:qFormat/>
    <w:uiPriority w:val="0"/>
    <w:rPr>
      <w:rFonts w:ascii="宋体" w:hAnsi="Courier New" w:eastAsia="宋体" w:cs="Courier New"/>
      <w:kern w:val="2"/>
      <w:sz w:val="21"/>
      <w:szCs w:val="21"/>
      <w:lang w:val="en-US" w:eastAsia="zh-CN" w:bidi="ar-SA"/>
    </w:rPr>
  </w:style>
  <w:style w:type="character" w:customStyle="1" w:styleId="545">
    <w:name w:val="正文！！！！！ Char"/>
    <w:basedOn w:val="58"/>
    <w:link w:val="546"/>
    <w:qFormat/>
    <w:uiPriority w:val="0"/>
    <w:rPr>
      <w:rFonts w:ascii="宋体" w:hAnsi="宋体" w:cs="宋体"/>
      <w:snapToGrid w:val="0"/>
      <w:sz w:val="24"/>
      <w:szCs w:val="24"/>
    </w:rPr>
  </w:style>
  <w:style w:type="paragraph" w:customStyle="1" w:styleId="546">
    <w:name w:val="正文！！！！！"/>
    <w:basedOn w:val="168"/>
    <w:link w:val="545"/>
    <w:qFormat/>
    <w:uiPriority w:val="0"/>
    <w:pPr>
      <w:adjustRightInd w:val="0"/>
      <w:snapToGrid w:val="0"/>
      <w:spacing w:line="360" w:lineRule="auto"/>
    </w:pPr>
    <w:rPr>
      <w:rFonts w:ascii="宋体" w:hAnsi="宋体" w:eastAsiaTheme="minorEastAsia"/>
      <w:snapToGrid w:val="0"/>
    </w:rPr>
  </w:style>
  <w:style w:type="character" w:customStyle="1" w:styleId="547">
    <w:name w:val="样式 首行缩进:  0.85 厘米 Char1"/>
    <w:basedOn w:val="58"/>
    <w:link w:val="548"/>
    <w:qFormat/>
    <w:uiPriority w:val="0"/>
    <w:rPr>
      <w:rFonts w:ascii="楷体_GB2312" w:hAnsi="楷体_GB2312" w:eastAsia="楷体_GB2312" w:cs="宋体"/>
      <w:sz w:val="24"/>
      <w:szCs w:val="24"/>
    </w:rPr>
  </w:style>
  <w:style w:type="paragraph" w:customStyle="1" w:styleId="548">
    <w:name w:val="样式 首行缩进:  0.85 厘米"/>
    <w:basedOn w:val="1"/>
    <w:link w:val="547"/>
    <w:qFormat/>
    <w:uiPriority w:val="0"/>
    <w:pPr>
      <w:spacing w:line="500" w:lineRule="exact"/>
      <w:ind w:firstLine="200" w:firstLineChars="200"/>
    </w:pPr>
    <w:rPr>
      <w:rFonts w:ascii="楷体_GB2312" w:hAnsi="楷体_GB2312" w:eastAsia="楷体_GB2312" w:cs="宋体"/>
      <w:sz w:val="24"/>
    </w:rPr>
  </w:style>
  <w:style w:type="character" w:customStyle="1" w:styleId="549">
    <w:name w:val="hb4 Char"/>
    <w:basedOn w:val="58"/>
    <w:link w:val="550"/>
    <w:qFormat/>
    <w:uiPriority w:val="0"/>
    <w:rPr>
      <w:rFonts w:ascii="宋体" w:hAnsi="宋体" w:eastAsia="宋体" w:cs="宋体"/>
      <w:b/>
      <w:sz w:val="24"/>
      <w:szCs w:val="24"/>
    </w:rPr>
  </w:style>
  <w:style w:type="paragraph" w:customStyle="1" w:styleId="550">
    <w:name w:val="hb4"/>
    <w:basedOn w:val="6"/>
    <w:link w:val="549"/>
    <w:qFormat/>
    <w:uiPriority w:val="0"/>
    <w:pPr>
      <w:keepNext/>
      <w:keepLines/>
      <w:wordWrap/>
      <w:autoSpaceDN/>
      <w:spacing w:before="360" w:after="360" w:line="240" w:lineRule="auto"/>
      <w:ind w:firstLine="0" w:firstLineChars="0"/>
    </w:pPr>
    <w:rPr>
      <w:rFonts w:ascii="宋体" w:hAnsi="宋体" w:eastAsia="宋体" w:cs="宋体"/>
      <w:b/>
      <w:bCs w:val="0"/>
      <w:color w:val="auto"/>
      <w:sz w:val="24"/>
      <w:szCs w:val="24"/>
    </w:rPr>
  </w:style>
  <w:style w:type="character" w:customStyle="1" w:styleId="551">
    <w:name w:val="Default Char"/>
    <w:link w:val="66"/>
    <w:qFormat/>
    <w:uiPriority w:val="0"/>
    <w:rPr>
      <w:rFonts w:ascii="宋体" w:hAnsi="Times New Roman" w:eastAsia="宋体" w:cs="宋体"/>
      <w:color w:val="000000"/>
      <w:kern w:val="0"/>
      <w:sz w:val="24"/>
      <w:szCs w:val="24"/>
    </w:rPr>
  </w:style>
  <w:style w:type="character" w:customStyle="1" w:styleId="552">
    <w:name w:val="称呼 Char1"/>
    <w:basedOn w:val="58"/>
    <w:semiHidden/>
    <w:qFormat/>
    <w:uiPriority w:val="99"/>
    <w:rPr>
      <w:rFonts w:ascii="Times New Roman" w:hAnsi="Times New Roman" w:eastAsia="宋体" w:cs="Times New Roman"/>
      <w:szCs w:val="24"/>
    </w:rPr>
  </w:style>
  <w:style w:type="character" w:customStyle="1" w:styleId="553">
    <w:name w:val="文档结构图 Char2"/>
    <w:basedOn w:val="58"/>
    <w:semiHidden/>
    <w:qFormat/>
    <w:uiPriority w:val="99"/>
    <w:rPr>
      <w:rFonts w:ascii="宋体" w:hAnsi="Times New Roman" w:eastAsia="宋体" w:cs="Times New Roman"/>
      <w:sz w:val="18"/>
      <w:szCs w:val="18"/>
    </w:rPr>
  </w:style>
  <w:style w:type="character" w:customStyle="1" w:styleId="554">
    <w:name w:val="注释标题 Char1"/>
    <w:basedOn w:val="58"/>
    <w:semiHidden/>
    <w:qFormat/>
    <w:uiPriority w:val="99"/>
    <w:rPr>
      <w:rFonts w:ascii="Times New Roman" w:hAnsi="Times New Roman" w:eastAsia="宋体" w:cs="Times New Roman"/>
      <w:szCs w:val="24"/>
    </w:rPr>
  </w:style>
  <w:style w:type="character" w:customStyle="1" w:styleId="555">
    <w:name w:val="正文首行缩进 Char1"/>
    <w:basedOn w:val="94"/>
    <w:semiHidden/>
    <w:qFormat/>
    <w:uiPriority w:val="99"/>
    <w:rPr>
      <w:rFonts w:ascii="Times New Roman" w:hAnsi="Times New Roman" w:eastAsia="宋体" w:cs="Times New Roman"/>
      <w:szCs w:val="24"/>
    </w:rPr>
  </w:style>
  <w:style w:type="character" w:customStyle="1" w:styleId="556">
    <w:name w:val="正文文本缩进 Char1"/>
    <w:basedOn w:val="58"/>
    <w:semiHidden/>
    <w:qFormat/>
    <w:uiPriority w:val="0"/>
    <w:rPr>
      <w:rFonts w:ascii="Times New Roman" w:hAnsi="Times New Roman" w:eastAsia="宋体" w:cs="Times New Roman"/>
      <w:szCs w:val="24"/>
    </w:rPr>
  </w:style>
  <w:style w:type="character" w:customStyle="1" w:styleId="557">
    <w:name w:val="结束语 Char1"/>
    <w:basedOn w:val="58"/>
    <w:semiHidden/>
    <w:qFormat/>
    <w:uiPriority w:val="99"/>
    <w:rPr>
      <w:rFonts w:ascii="Times New Roman" w:hAnsi="Times New Roman" w:eastAsia="宋体" w:cs="Times New Roman"/>
      <w:szCs w:val="24"/>
    </w:rPr>
  </w:style>
  <w:style w:type="character" w:customStyle="1" w:styleId="558">
    <w:name w:val="批注文字 Char1"/>
    <w:basedOn w:val="58"/>
    <w:semiHidden/>
    <w:qFormat/>
    <w:uiPriority w:val="0"/>
    <w:rPr>
      <w:rFonts w:ascii="Times New Roman" w:hAnsi="Times New Roman" w:eastAsia="宋体" w:cs="Times New Roman"/>
      <w:szCs w:val="24"/>
    </w:rPr>
  </w:style>
  <w:style w:type="character" w:customStyle="1" w:styleId="559">
    <w:name w:val="批注主题 字符"/>
    <w:basedOn w:val="558"/>
    <w:link w:val="53"/>
    <w:qFormat/>
    <w:uiPriority w:val="99"/>
    <w:rPr>
      <w:rFonts w:ascii="宋体" w:hAnsi="宋体" w:eastAsia="宋体" w:cs="宋体"/>
      <w:b/>
      <w:bCs/>
      <w:szCs w:val="24"/>
    </w:rPr>
  </w:style>
  <w:style w:type="character" w:customStyle="1" w:styleId="560">
    <w:name w:val="HTML 地址 Char1"/>
    <w:basedOn w:val="58"/>
    <w:semiHidden/>
    <w:qFormat/>
    <w:uiPriority w:val="99"/>
    <w:rPr>
      <w:rFonts w:ascii="Times New Roman" w:hAnsi="Times New Roman" w:eastAsia="宋体" w:cs="Times New Roman"/>
      <w:i/>
      <w:iCs/>
      <w:szCs w:val="24"/>
    </w:rPr>
  </w:style>
  <w:style w:type="paragraph" w:customStyle="1" w:styleId="561">
    <w:name w:val="Char Char Char Char Char2 Char Char Char Char"/>
    <w:basedOn w:val="1"/>
    <w:semiHidden/>
    <w:qFormat/>
    <w:uiPriority w:val="0"/>
    <w:pPr>
      <w:adjustRightInd w:val="0"/>
      <w:snapToGrid w:val="0"/>
      <w:spacing w:line="360" w:lineRule="auto"/>
      <w:ind w:firstLine="200" w:firstLineChars="200"/>
    </w:pPr>
    <w:rPr>
      <w:rFonts w:ascii="宋体" w:hAnsi="宋体" w:cs="宋体"/>
      <w:sz w:val="24"/>
      <w:szCs w:val="26"/>
    </w:rPr>
  </w:style>
  <w:style w:type="character" w:customStyle="1" w:styleId="562">
    <w:name w:val="正文文本 3 Char1"/>
    <w:basedOn w:val="58"/>
    <w:semiHidden/>
    <w:qFormat/>
    <w:uiPriority w:val="99"/>
    <w:rPr>
      <w:rFonts w:ascii="Times New Roman" w:hAnsi="Times New Roman" w:eastAsia="宋体" w:cs="Times New Roman"/>
      <w:sz w:val="16"/>
      <w:szCs w:val="16"/>
    </w:rPr>
  </w:style>
  <w:style w:type="character" w:customStyle="1" w:styleId="563">
    <w:name w:val="电子邮件签名 Char1"/>
    <w:basedOn w:val="58"/>
    <w:semiHidden/>
    <w:qFormat/>
    <w:uiPriority w:val="99"/>
    <w:rPr>
      <w:rFonts w:ascii="Times New Roman" w:hAnsi="Times New Roman" w:eastAsia="宋体" w:cs="Times New Roman"/>
      <w:szCs w:val="24"/>
    </w:rPr>
  </w:style>
  <w:style w:type="character" w:customStyle="1" w:styleId="564">
    <w:name w:val="日期 Char1"/>
    <w:basedOn w:val="58"/>
    <w:semiHidden/>
    <w:qFormat/>
    <w:uiPriority w:val="99"/>
    <w:rPr>
      <w:rFonts w:ascii="Times New Roman" w:hAnsi="Times New Roman" w:eastAsia="宋体" w:cs="Times New Roman"/>
      <w:szCs w:val="24"/>
    </w:rPr>
  </w:style>
  <w:style w:type="character" w:customStyle="1" w:styleId="565">
    <w:name w:val="副标题 Char1"/>
    <w:basedOn w:val="58"/>
    <w:qFormat/>
    <w:uiPriority w:val="11"/>
    <w:rPr>
      <w:rFonts w:eastAsia="宋体" w:asciiTheme="majorHAnsi" w:hAnsiTheme="majorHAnsi" w:cstheme="majorBidi"/>
      <w:b/>
      <w:bCs/>
      <w:kern w:val="28"/>
      <w:sz w:val="32"/>
      <w:szCs w:val="32"/>
    </w:rPr>
  </w:style>
  <w:style w:type="character" w:customStyle="1" w:styleId="566">
    <w:name w:val="正文文本缩进 2 字符"/>
    <w:basedOn w:val="58"/>
    <w:link w:val="33"/>
    <w:qFormat/>
    <w:uiPriority w:val="0"/>
    <w:rPr>
      <w:rFonts w:ascii="宋体" w:hAnsi="宋体" w:eastAsia="宋体" w:cs="Times New Roman"/>
      <w:sz w:val="24"/>
      <w:szCs w:val="24"/>
    </w:rPr>
  </w:style>
  <w:style w:type="character" w:customStyle="1" w:styleId="567">
    <w:name w:val="HTML 预设格式 Char1"/>
    <w:basedOn w:val="58"/>
    <w:semiHidden/>
    <w:qFormat/>
    <w:uiPriority w:val="99"/>
    <w:rPr>
      <w:rFonts w:ascii="Courier New" w:hAnsi="Courier New" w:eastAsia="宋体" w:cs="Courier New"/>
      <w:sz w:val="20"/>
      <w:szCs w:val="20"/>
    </w:rPr>
  </w:style>
  <w:style w:type="character" w:customStyle="1" w:styleId="568">
    <w:name w:val="正文文本 2 Char1"/>
    <w:basedOn w:val="58"/>
    <w:semiHidden/>
    <w:qFormat/>
    <w:uiPriority w:val="99"/>
    <w:rPr>
      <w:rFonts w:ascii="Times New Roman" w:hAnsi="Times New Roman" w:eastAsia="宋体" w:cs="Times New Roman"/>
      <w:szCs w:val="24"/>
    </w:rPr>
  </w:style>
  <w:style w:type="character" w:customStyle="1" w:styleId="569">
    <w:name w:val="脚注文本 Char1"/>
    <w:basedOn w:val="58"/>
    <w:semiHidden/>
    <w:qFormat/>
    <w:uiPriority w:val="99"/>
    <w:rPr>
      <w:rFonts w:ascii="Times New Roman" w:hAnsi="Times New Roman" w:eastAsia="宋体" w:cs="Times New Roman"/>
      <w:sz w:val="18"/>
      <w:szCs w:val="18"/>
    </w:rPr>
  </w:style>
  <w:style w:type="character" w:customStyle="1" w:styleId="570">
    <w:name w:val="批注框文本 Char1"/>
    <w:basedOn w:val="58"/>
    <w:semiHidden/>
    <w:qFormat/>
    <w:uiPriority w:val="99"/>
    <w:rPr>
      <w:rFonts w:ascii="Times New Roman" w:hAnsi="Times New Roman" w:eastAsia="宋体" w:cs="Times New Roman"/>
      <w:sz w:val="18"/>
      <w:szCs w:val="18"/>
    </w:rPr>
  </w:style>
  <w:style w:type="character" w:customStyle="1" w:styleId="571">
    <w:name w:val="签名 Char1"/>
    <w:basedOn w:val="58"/>
    <w:semiHidden/>
    <w:qFormat/>
    <w:uiPriority w:val="99"/>
    <w:rPr>
      <w:rFonts w:ascii="Times New Roman" w:hAnsi="Times New Roman" w:eastAsia="宋体" w:cs="Times New Roman"/>
      <w:szCs w:val="24"/>
    </w:rPr>
  </w:style>
  <w:style w:type="character" w:customStyle="1" w:styleId="572">
    <w:name w:val="信息标题 Char1"/>
    <w:basedOn w:val="58"/>
    <w:semiHidden/>
    <w:qFormat/>
    <w:uiPriority w:val="99"/>
    <w:rPr>
      <w:rFonts w:asciiTheme="majorHAnsi" w:hAnsiTheme="majorHAnsi" w:eastAsiaTheme="majorEastAsia" w:cstheme="majorBidi"/>
      <w:sz w:val="24"/>
      <w:szCs w:val="24"/>
      <w:shd w:val="pct20" w:color="auto" w:fill="auto"/>
    </w:rPr>
  </w:style>
  <w:style w:type="character" w:customStyle="1" w:styleId="573">
    <w:name w:val="正文文本缩进 3 Char1"/>
    <w:basedOn w:val="58"/>
    <w:semiHidden/>
    <w:qFormat/>
    <w:uiPriority w:val="0"/>
    <w:rPr>
      <w:rFonts w:ascii="Times New Roman" w:hAnsi="Times New Roman" w:eastAsia="宋体" w:cs="Times New Roman"/>
      <w:sz w:val="16"/>
      <w:szCs w:val="16"/>
    </w:rPr>
  </w:style>
  <w:style w:type="character" w:customStyle="1" w:styleId="574">
    <w:name w:val="正文首行缩进 2 Char1"/>
    <w:basedOn w:val="556"/>
    <w:semiHidden/>
    <w:qFormat/>
    <w:uiPriority w:val="99"/>
    <w:rPr>
      <w:rFonts w:ascii="Times New Roman" w:hAnsi="Times New Roman" w:eastAsia="宋体" w:cs="Times New Roman"/>
      <w:szCs w:val="24"/>
    </w:rPr>
  </w:style>
  <w:style w:type="character" w:customStyle="1" w:styleId="575">
    <w:name w:val="纯文本 Char2"/>
    <w:basedOn w:val="58"/>
    <w:semiHidden/>
    <w:qFormat/>
    <w:uiPriority w:val="99"/>
    <w:rPr>
      <w:rFonts w:ascii="宋体" w:hAnsi="Courier New" w:eastAsia="宋体" w:cs="Courier New"/>
      <w:szCs w:val="21"/>
    </w:rPr>
  </w:style>
  <w:style w:type="character" w:customStyle="1" w:styleId="576">
    <w:name w:val="尾注文本 Char1"/>
    <w:basedOn w:val="58"/>
    <w:semiHidden/>
    <w:qFormat/>
    <w:uiPriority w:val="99"/>
    <w:rPr>
      <w:rFonts w:ascii="Times New Roman" w:hAnsi="Times New Roman" w:eastAsia="宋体" w:cs="Times New Roman"/>
      <w:szCs w:val="24"/>
    </w:rPr>
  </w:style>
  <w:style w:type="character" w:customStyle="1" w:styleId="577">
    <w:name w:val="标题 Char1"/>
    <w:basedOn w:val="58"/>
    <w:qFormat/>
    <w:uiPriority w:val="10"/>
    <w:rPr>
      <w:rFonts w:eastAsia="宋体" w:asciiTheme="majorHAnsi" w:hAnsiTheme="majorHAnsi" w:cstheme="majorBidi"/>
      <w:b/>
      <w:bCs/>
      <w:sz w:val="32"/>
      <w:szCs w:val="32"/>
    </w:rPr>
  </w:style>
  <w:style w:type="paragraph" w:customStyle="1" w:styleId="5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18"/>
      <w:szCs w:val="18"/>
    </w:rPr>
  </w:style>
  <w:style w:type="paragraph" w:customStyle="1" w:styleId="579">
    <w:name w:val="样式2"/>
    <w:basedOn w:val="1"/>
    <w:qFormat/>
    <w:uiPriority w:val="99"/>
    <w:pPr>
      <w:adjustRightInd w:val="0"/>
      <w:ind w:left="170"/>
      <w:jc w:val="left"/>
    </w:pPr>
    <w:rPr>
      <w:b/>
      <w:kern w:val="0"/>
      <w:sz w:val="24"/>
      <w:szCs w:val="20"/>
    </w:rPr>
  </w:style>
  <w:style w:type="paragraph" w:customStyle="1" w:styleId="580">
    <w:name w:val="Char Char Char Char Char Char Char Char Char Char Char Char Char Char Char Char Char Char Char Char Char Char Char Char"/>
    <w:basedOn w:val="1"/>
    <w:qFormat/>
    <w:uiPriority w:val="0"/>
    <w:pPr>
      <w:widowControl/>
      <w:spacing w:line="360" w:lineRule="auto"/>
      <w:jc w:val="left"/>
    </w:pPr>
    <w:rPr>
      <w:szCs w:val="21"/>
    </w:rPr>
  </w:style>
  <w:style w:type="paragraph" w:customStyle="1" w:styleId="581">
    <w:name w:val="列出段落1"/>
    <w:basedOn w:val="1"/>
    <w:qFormat/>
    <w:uiPriority w:val="1"/>
    <w:pPr>
      <w:spacing w:line="360" w:lineRule="auto"/>
      <w:ind w:firstLine="420" w:firstLineChars="200"/>
    </w:pPr>
    <w:rPr>
      <w:sz w:val="24"/>
      <w:szCs w:val="20"/>
    </w:rPr>
  </w:style>
  <w:style w:type="paragraph" w:customStyle="1" w:styleId="582">
    <w:name w:val="表正文"/>
    <w:basedOn w:val="1"/>
    <w:qFormat/>
    <w:uiPriority w:val="0"/>
    <w:pPr>
      <w:keepNext/>
      <w:spacing w:line="320" w:lineRule="exact"/>
      <w:jc w:val="center"/>
    </w:pPr>
    <w:rPr>
      <w:rFonts w:eastAsia="仿宋_GB2312"/>
      <w:bCs/>
      <w:sz w:val="28"/>
      <w:szCs w:val="16"/>
    </w:rPr>
  </w:style>
  <w:style w:type="paragraph" w:customStyle="1" w:styleId="583">
    <w:name w:val="节"/>
    <w:basedOn w:val="7"/>
    <w:next w:val="1"/>
    <w:qFormat/>
    <w:uiPriority w:val="0"/>
    <w:pPr>
      <w:spacing w:line="480" w:lineRule="exact"/>
      <w:ind w:firstLine="560" w:firstLineChars="200"/>
    </w:pPr>
    <w:rPr>
      <w:rFonts w:ascii="宋体"/>
    </w:rPr>
  </w:style>
  <w:style w:type="paragraph" w:customStyle="1" w:styleId="584">
    <w:name w:val="样式 标题 23号宋体居中行距2倍三号宋体居中行距2倍标题 2 Char Char Char Char节3号宋体居中2...2"/>
    <w:basedOn w:val="4"/>
    <w:qFormat/>
    <w:uiPriority w:val="0"/>
    <w:pPr>
      <w:keepLines w:val="0"/>
      <w:adjustRightInd w:val="0"/>
      <w:snapToGrid w:val="0"/>
      <w:spacing w:before="100" w:beforeAutospacing="1" w:after="100" w:afterAutospacing="1" w:line="360" w:lineRule="auto"/>
      <w:ind w:left="882" w:hanging="567"/>
      <w:jc w:val="left"/>
    </w:pPr>
    <w:rPr>
      <w:rFonts w:ascii="宋体" w:hAnsi="宋体" w:eastAsia="宋体" w:cs="宋体"/>
      <w:color w:val="2E74B5"/>
      <w:sz w:val="30"/>
      <w:szCs w:val="30"/>
    </w:rPr>
  </w:style>
  <w:style w:type="paragraph" w:customStyle="1" w:styleId="585">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586">
    <w:name w:val="001"/>
    <w:basedOn w:val="1"/>
    <w:next w:val="1"/>
    <w:qFormat/>
    <w:uiPriority w:val="0"/>
    <w:pPr>
      <w:spacing w:line="480" w:lineRule="exact"/>
      <w:ind w:firstLine="200" w:firstLineChars="200"/>
    </w:pPr>
    <w:rPr>
      <w:rFonts w:ascii="宋体" w:hAnsi="宋体"/>
      <w:sz w:val="24"/>
    </w:rPr>
  </w:style>
  <w:style w:type="paragraph" w:customStyle="1" w:styleId="587">
    <w:name w:val="条"/>
    <w:basedOn w:val="8"/>
    <w:next w:val="1"/>
    <w:qFormat/>
    <w:uiPriority w:val="0"/>
    <w:pPr>
      <w:adjustRightInd/>
      <w:snapToGrid/>
      <w:spacing w:line="480" w:lineRule="exact"/>
      <w:ind w:firstLine="560" w:firstLineChars="200"/>
      <w:textAlignment w:val="auto"/>
    </w:pPr>
    <w:rPr>
      <w:rFonts w:ascii="宋体" w:eastAsia="宋体"/>
      <w:spacing w:val="0"/>
      <w:kern w:val="2"/>
      <w:sz w:val="28"/>
    </w:rPr>
  </w:style>
  <w:style w:type="paragraph" w:customStyle="1" w:styleId="588">
    <w:name w:val="正文位子1"/>
    <w:basedOn w:val="22"/>
    <w:qFormat/>
    <w:uiPriority w:val="0"/>
    <w:pPr>
      <w:wordWrap w:val="0"/>
      <w:topLinePunct/>
      <w:autoSpaceDN w:val="0"/>
      <w:spacing w:after="0"/>
      <w:jc w:val="center"/>
    </w:pPr>
    <w:rPr>
      <w:rFonts w:eastAsia="楷体_GB2312"/>
      <w:color w:val="000000"/>
      <w:w w:val="90"/>
    </w:rPr>
  </w:style>
  <w:style w:type="paragraph" w:customStyle="1" w:styleId="589">
    <w:name w:val="样式 1正文段落 + 黑色1"/>
    <w:basedOn w:val="1"/>
    <w:qFormat/>
    <w:uiPriority w:val="0"/>
    <w:pPr>
      <w:widowControl/>
      <w:spacing w:after="200" w:line="540" w:lineRule="exact"/>
      <w:ind w:firstLine="200" w:firstLineChars="200"/>
      <w:jc w:val="left"/>
    </w:pPr>
    <w:rPr>
      <w:rFonts w:ascii="宋体" w:hAnsi="宋体" w:eastAsia="华文中宋"/>
      <w:color w:val="000000"/>
      <w:spacing w:val="2"/>
      <w:kern w:val="0"/>
      <w:sz w:val="24"/>
      <w:szCs w:val="21"/>
    </w:rPr>
  </w:style>
  <w:style w:type="paragraph" w:customStyle="1" w:styleId="5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591">
    <w:name w:val="样式 小四"/>
    <w:basedOn w:val="1"/>
    <w:qFormat/>
    <w:uiPriority w:val="0"/>
    <w:pPr>
      <w:adjustRightInd w:val="0"/>
      <w:snapToGrid w:val="0"/>
      <w:spacing w:line="360" w:lineRule="auto"/>
      <w:ind w:firstLine="200" w:firstLineChars="200"/>
    </w:pPr>
    <w:rPr>
      <w:sz w:val="24"/>
    </w:rPr>
  </w:style>
  <w:style w:type="paragraph" w:customStyle="1" w:styleId="592">
    <w:name w:val="四号正文"/>
    <w:basedOn w:val="1"/>
    <w:qFormat/>
    <w:uiPriority w:val="0"/>
    <w:rPr>
      <w:sz w:val="28"/>
    </w:rPr>
  </w:style>
  <w:style w:type="paragraph" w:customStyle="1" w:styleId="593">
    <w:name w:val="标准正文"/>
    <w:basedOn w:val="1"/>
    <w:qFormat/>
    <w:uiPriority w:val="0"/>
    <w:pPr>
      <w:spacing w:line="360" w:lineRule="auto"/>
      <w:ind w:firstLine="480" w:firstLineChars="200"/>
      <w:jc w:val="left"/>
    </w:pPr>
    <w:rPr>
      <w:rFonts w:ascii="宋体"/>
      <w:sz w:val="28"/>
      <w:szCs w:val="22"/>
    </w:rPr>
  </w:style>
  <w:style w:type="paragraph" w:customStyle="1" w:styleId="594">
    <w:name w:val="表文字"/>
    <w:basedOn w:val="1"/>
    <w:qFormat/>
    <w:uiPriority w:val="0"/>
    <w:pPr>
      <w:topLinePunct/>
      <w:adjustRightInd w:val="0"/>
      <w:spacing w:line="240" w:lineRule="exact"/>
      <w:jc w:val="center"/>
      <w:textAlignment w:val="baseline"/>
    </w:pPr>
    <w:rPr>
      <w:szCs w:val="21"/>
    </w:rPr>
  </w:style>
  <w:style w:type="paragraph" w:customStyle="1" w:styleId="595">
    <w:name w:val="xl27"/>
    <w:basedOn w:val="1"/>
    <w:qFormat/>
    <w:uiPriority w:val="0"/>
    <w:pPr>
      <w:widowControl/>
      <w:spacing w:before="100" w:beforeAutospacing="1" w:after="100" w:afterAutospacing="1"/>
      <w:jc w:val="center"/>
    </w:pPr>
    <w:rPr>
      <w:rFonts w:eastAsia="Arial Unicode MS"/>
      <w:kern w:val="0"/>
      <w:szCs w:val="21"/>
    </w:rPr>
  </w:style>
  <w:style w:type="paragraph" w:customStyle="1" w:styleId="596">
    <w:name w:val="表后空行"/>
    <w:basedOn w:val="1"/>
    <w:next w:val="1"/>
    <w:qFormat/>
    <w:uiPriority w:val="0"/>
    <w:rPr>
      <w:kern w:val="18"/>
    </w:rPr>
  </w:style>
  <w:style w:type="paragraph" w:customStyle="1" w:styleId="597">
    <w:name w:val="CC Char Char Char Char Char Char"/>
    <w:basedOn w:val="33"/>
    <w:next w:val="33"/>
    <w:qFormat/>
    <w:uiPriority w:val="0"/>
    <w:pPr>
      <w:adjustRightInd/>
      <w:snapToGrid/>
      <w:spacing w:after="120" w:line="480" w:lineRule="auto"/>
      <w:ind w:left="630" w:leftChars="100" w:right="100" w:rightChars="100" w:firstLine="0"/>
    </w:pPr>
    <w:rPr>
      <w:rFonts w:ascii="Times New Roman" w:hAnsi="Times New Roman" w:eastAsia="黑体"/>
    </w:rPr>
  </w:style>
  <w:style w:type="paragraph" w:customStyle="1" w:styleId="598">
    <w:name w:val="样式 仿宋_GB2312 四号 黑色 行距: 1.5 倍行距"/>
    <w:basedOn w:val="1"/>
    <w:qFormat/>
    <w:uiPriority w:val="0"/>
    <w:pPr>
      <w:ind w:firstLine="200" w:firstLineChars="200"/>
    </w:pPr>
    <w:rPr>
      <w:rFonts w:ascii="仿宋_GB2312" w:hAnsi="宋体" w:eastAsia="仿宋_GB2312" w:cs="宋体"/>
      <w:color w:val="000000"/>
      <w:sz w:val="28"/>
      <w:szCs w:val="20"/>
    </w:rPr>
  </w:style>
  <w:style w:type="paragraph" w:customStyle="1" w:styleId="599">
    <w:name w:val="p0"/>
    <w:basedOn w:val="1"/>
    <w:qFormat/>
    <w:uiPriority w:val="0"/>
    <w:pPr>
      <w:widowControl/>
      <w:spacing w:line="520" w:lineRule="atLeast"/>
    </w:pPr>
    <w:rPr>
      <w:kern w:val="0"/>
      <w:sz w:val="26"/>
      <w:szCs w:val="26"/>
    </w:rPr>
  </w:style>
  <w:style w:type="paragraph" w:customStyle="1" w:styleId="600">
    <w:name w:val="图标题"/>
    <w:basedOn w:val="412"/>
    <w:qFormat/>
    <w:uiPriority w:val="0"/>
    <w:pPr>
      <w:widowControl/>
      <w:tabs>
        <w:tab w:val="clear" w:pos="6840"/>
      </w:tabs>
      <w:topLinePunct w:val="0"/>
      <w:snapToGrid/>
      <w:spacing w:beforeLines="25" w:line="360" w:lineRule="auto"/>
    </w:pPr>
    <w:rPr>
      <w:rFonts w:ascii="Arial" w:hAnsi="Arial" w:eastAsia="黑体"/>
      <w:b w:val="0"/>
      <w:kern w:val="2"/>
      <w:szCs w:val="24"/>
    </w:rPr>
  </w:style>
  <w:style w:type="paragraph" w:customStyle="1" w:styleId="601">
    <w:name w:val="默认段落字体 Para Char Char Char Char"/>
    <w:basedOn w:val="1"/>
    <w:qFormat/>
    <w:uiPriority w:val="0"/>
    <w:pPr>
      <w:spacing w:beforeLines="50" w:afterLines="50" w:line="360" w:lineRule="auto"/>
      <w:jc w:val="left"/>
    </w:pPr>
    <w:rPr>
      <w:rFonts w:eastAsia="黑体"/>
      <w:sz w:val="30"/>
    </w:rPr>
  </w:style>
  <w:style w:type="paragraph" w:customStyle="1" w:styleId="602">
    <w:name w:val="Char Char Char Char11"/>
    <w:basedOn w:val="1"/>
    <w:qFormat/>
    <w:uiPriority w:val="0"/>
  </w:style>
  <w:style w:type="paragraph" w:customStyle="1" w:styleId="603">
    <w:name w:val="样式 正文首行缩进 + 首行缩进:  2 字符1"/>
    <w:basedOn w:val="54"/>
    <w:qFormat/>
    <w:uiPriority w:val="0"/>
    <w:pPr>
      <w:spacing w:after="0" w:line="360" w:lineRule="auto"/>
      <w:ind w:firstLine="480" w:firstLineChars="200"/>
    </w:pPr>
    <w:rPr>
      <w:sz w:val="24"/>
    </w:rPr>
  </w:style>
  <w:style w:type="paragraph" w:customStyle="1" w:styleId="604">
    <w:name w:val="1.1.1.1"/>
    <w:basedOn w:val="1"/>
    <w:qFormat/>
    <w:uiPriority w:val="0"/>
    <w:pPr>
      <w:adjustRightInd w:val="0"/>
      <w:snapToGrid w:val="0"/>
      <w:spacing w:before="40" w:after="40" w:line="288" w:lineRule="auto"/>
      <w:jc w:val="left"/>
      <w:textAlignment w:val="baseline"/>
    </w:pPr>
    <w:rPr>
      <w:rFonts w:ascii="黑体" w:eastAsia="黑体"/>
      <w:spacing w:val="4"/>
      <w:kern w:val="0"/>
      <w:szCs w:val="20"/>
    </w:rPr>
  </w:style>
  <w:style w:type="paragraph" w:customStyle="1" w:styleId="605">
    <w:name w:val="表格居中"/>
    <w:basedOn w:val="1"/>
    <w:qFormat/>
    <w:uiPriority w:val="0"/>
    <w:pPr>
      <w:adjustRightInd w:val="0"/>
      <w:spacing w:line="240" w:lineRule="exact"/>
      <w:jc w:val="center"/>
      <w:textAlignment w:val="baseline"/>
    </w:pPr>
    <w:rPr>
      <w:rFonts w:ascii="仿宋_GB2312" w:hAnsi="宋体" w:eastAsia="仿宋_GB2312"/>
      <w:bCs/>
      <w:kern w:val="0"/>
      <w:sz w:val="18"/>
      <w:szCs w:val="20"/>
    </w:rPr>
  </w:style>
  <w:style w:type="character" w:customStyle="1" w:styleId="606">
    <w:name w:val="引用 Char1"/>
    <w:basedOn w:val="58"/>
    <w:qFormat/>
    <w:uiPriority w:val="29"/>
    <w:rPr>
      <w:rFonts w:ascii="Times New Roman" w:hAnsi="Times New Roman" w:eastAsia="宋体" w:cs="Times New Roman"/>
      <w:i/>
      <w:iCs/>
      <w:color w:val="000000" w:themeColor="text1"/>
      <w:szCs w:val="24"/>
      <w14:textFill>
        <w14:solidFill>
          <w14:schemeClr w14:val="tx1"/>
        </w14:solidFill>
      </w14:textFill>
    </w:rPr>
  </w:style>
  <w:style w:type="paragraph" w:customStyle="1" w:styleId="607">
    <w:name w:val="Char Char11"/>
    <w:basedOn w:val="1"/>
    <w:qFormat/>
    <w:uiPriority w:val="0"/>
  </w:style>
  <w:style w:type="paragraph" w:customStyle="1" w:styleId="608">
    <w:name w:val="默认段落字体 Para Char"/>
    <w:basedOn w:val="1"/>
    <w:next w:val="1"/>
    <w:qFormat/>
    <w:uiPriority w:val="0"/>
    <w:pPr>
      <w:spacing w:line="360" w:lineRule="auto"/>
      <w:ind w:firstLine="200" w:firstLineChars="200"/>
    </w:pPr>
    <w:rPr>
      <w:rFonts w:ascii="宋体" w:hAnsi="宋体" w:cs="宋体"/>
      <w:sz w:val="24"/>
    </w:rPr>
  </w:style>
  <w:style w:type="paragraph" w:customStyle="1" w:styleId="609">
    <w:name w:val="Char Char Char Char Char Char Char"/>
    <w:basedOn w:val="1"/>
    <w:qFormat/>
    <w:uiPriority w:val="0"/>
    <w:pPr>
      <w:widowControl/>
      <w:spacing w:after="160" w:line="240" w:lineRule="exact"/>
      <w:jc w:val="left"/>
    </w:pPr>
  </w:style>
  <w:style w:type="paragraph" w:customStyle="1" w:styleId="610">
    <w:name w:val="xl29"/>
    <w:basedOn w:val="1"/>
    <w:qFormat/>
    <w:uiPriority w:val="0"/>
    <w:pPr>
      <w:widowControl/>
      <w:pBdr>
        <w:left w:val="single" w:color="auto" w:sz="4" w:space="0"/>
        <w:bottom w:val="single" w:color="auto" w:sz="4" w:space="0"/>
        <w:right w:val="single" w:color="auto" w:sz="4" w:space="0"/>
      </w:pBdr>
      <w:adjustRightInd w:val="0"/>
      <w:snapToGrid w:val="0"/>
      <w:spacing w:before="100" w:beforeAutospacing="1" w:after="100" w:afterAutospacing="1" w:line="300" w:lineRule="auto"/>
      <w:jc w:val="center"/>
      <w:textAlignment w:val="center"/>
    </w:pPr>
    <w:rPr>
      <w:rFonts w:hint="eastAsia" w:ascii="仿宋_GB2312" w:hAnsi="Arial Unicode MS" w:eastAsia="仿宋_GB2312" w:cs="Arial Unicode MS"/>
      <w:spacing w:val="4"/>
      <w:kern w:val="0"/>
      <w:sz w:val="24"/>
      <w:szCs w:val="21"/>
    </w:rPr>
  </w:style>
  <w:style w:type="paragraph" w:customStyle="1" w:styleId="611">
    <w:name w:val="font8"/>
    <w:basedOn w:val="1"/>
    <w:qFormat/>
    <w:uiPriority w:val="0"/>
    <w:pPr>
      <w:widowControl/>
      <w:spacing w:before="100" w:beforeAutospacing="1" w:after="100" w:afterAutospacing="1"/>
      <w:jc w:val="left"/>
    </w:pPr>
    <w:rPr>
      <w:rFonts w:eastAsia="Arial Unicode MS"/>
      <w:kern w:val="0"/>
      <w:sz w:val="36"/>
      <w:szCs w:val="36"/>
    </w:rPr>
  </w:style>
  <w:style w:type="paragraph" w:customStyle="1" w:styleId="612">
    <w:name w:val="Char Char Char Char1"/>
    <w:basedOn w:val="1"/>
    <w:qFormat/>
    <w:uiPriority w:val="0"/>
    <w:pPr>
      <w:spacing w:line="360" w:lineRule="auto"/>
      <w:ind w:firstLine="640" w:firstLineChars="200"/>
    </w:pPr>
    <w:rPr>
      <w:sz w:val="24"/>
    </w:rPr>
  </w:style>
  <w:style w:type="paragraph" w:customStyle="1" w:styleId="613">
    <w:name w:val="font6"/>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614">
    <w:name w:val="xl28"/>
    <w:basedOn w:val="1"/>
    <w:qFormat/>
    <w:uiPriority w:val="0"/>
    <w:pPr>
      <w:widowControl/>
      <w:spacing w:before="100" w:beforeAutospacing="1" w:after="100" w:afterAutospacing="1"/>
      <w:jc w:val="center"/>
    </w:pPr>
    <w:rPr>
      <w:rFonts w:hint="eastAsia" w:ascii="Arial Unicode MS" w:hAnsi="Arial Unicode MS" w:eastAsia="Arial Unicode MS" w:cs="Arial Unicode MS"/>
      <w:kern w:val="0"/>
      <w:sz w:val="24"/>
    </w:rPr>
  </w:style>
  <w:style w:type="paragraph" w:customStyle="1" w:styleId="615">
    <w:name w:val="表"/>
    <w:basedOn w:val="616"/>
    <w:qFormat/>
    <w:uiPriority w:val="0"/>
    <w:pPr>
      <w:overflowPunct w:val="0"/>
      <w:adjustRightInd w:val="0"/>
      <w:snapToGrid w:val="0"/>
      <w:contextualSpacing/>
    </w:pPr>
    <w:rPr>
      <w:szCs w:val="20"/>
    </w:rPr>
  </w:style>
  <w:style w:type="paragraph" w:customStyle="1" w:styleId="616">
    <w:name w:val="图表标题"/>
    <w:basedOn w:val="1"/>
    <w:qFormat/>
    <w:uiPriority w:val="0"/>
    <w:pPr>
      <w:jc w:val="center"/>
    </w:pPr>
    <w:rPr>
      <w:b/>
      <w:bCs/>
      <w:sz w:val="24"/>
    </w:rPr>
  </w:style>
  <w:style w:type="paragraph" w:customStyle="1" w:styleId="617">
    <w:name w:val="总结正文"/>
    <w:basedOn w:val="1"/>
    <w:qFormat/>
    <w:uiPriority w:val="0"/>
    <w:pPr>
      <w:adjustRightInd w:val="0"/>
      <w:snapToGrid w:val="0"/>
      <w:spacing w:line="300" w:lineRule="auto"/>
      <w:ind w:firstLine="560" w:firstLineChars="200"/>
      <w:textAlignment w:val="baseline"/>
    </w:pPr>
    <w:rPr>
      <w:rFonts w:ascii="宋体" w:hAnsi="宋体"/>
      <w:spacing w:val="4"/>
      <w:kern w:val="0"/>
      <w:sz w:val="28"/>
      <w:szCs w:val="28"/>
    </w:rPr>
  </w:style>
  <w:style w:type="paragraph" w:customStyle="1" w:styleId="618">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619">
    <w:name w:val="正文小四缩"/>
    <w:basedOn w:val="1"/>
    <w:qFormat/>
    <w:uiPriority w:val="0"/>
    <w:pPr>
      <w:adjustRightInd w:val="0"/>
      <w:spacing w:before="120" w:line="420" w:lineRule="atLeast"/>
      <w:ind w:firstLine="510"/>
      <w:textAlignment w:val="baseline"/>
    </w:pPr>
    <w:rPr>
      <w:rFonts w:ascii="宋体"/>
      <w:bCs/>
      <w:kern w:val="0"/>
      <w:sz w:val="24"/>
      <w:szCs w:val="20"/>
    </w:rPr>
  </w:style>
  <w:style w:type="paragraph" w:customStyle="1" w:styleId="620">
    <w:name w:val="正文文本 21"/>
    <w:basedOn w:val="1"/>
    <w:next w:val="1"/>
    <w:qFormat/>
    <w:uiPriority w:val="0"/>
    <w:pPr>
      <w:spacing w:line="360" w:lineRule="auto"/>
      <w:ind w:firstLine="480" w:firstLineChars="200"/>
      <w:jc w:val="left"/>
    </w:pPr>
    <w:rPr>
      <w:rFonts w:ascii="宋体" w:hAnsi="宋体"/>
      <w:sz w:val="24"/>
    </w:rPr>
  </w:style>
  <w:style w:type="paragraph" w:customStyle="1" w:styleId="621">
    <w:name w:val="Char"/>
    <w:basedOn w:val="1"/>
    <w:qFormat/>
    <w:uiPriority w:val="0"/>
    <w:rPr>
      <w:szCs w:val="20"/>
    </w:rPr>
  </w:style>
  <w:style w:type="paragraph" w:customStyle="1" w:styleId="622">
    <w:name w:val="样式 标题 4 + (西文) Times New Roman (中文) 楷体_GB2312 非加粗 黑色 首行缩进:  ..."/>
    <w:basedOn w:val="6"/>
    <w:qFormat/>
    <w:uiPriority w:val="0"/>
    <w:pPr>
      <w:keepNext/>
      <w:keepLines/>
      <w:wordWrap/>
      <w:topLinePunct w:val="0"/>
      <w:autoSpaceDN/>
      <w:spacing w:line="360" w:lineRule="auto"/>
      <w:ind w:firstLine="0" w:firstLineChars="0"/>
      <w:jc w:val="left"/>
    </w:pPr>
    <w:rPr>
      <w:rFonts w:eastAsia="宋体"/>
      <w:b/>
      <w:bCs w:val="0"/>
      <w:kern w:val="0"/>
      <w:sz w:val="24"/>
      <w:szCs w:val="20"/>
    </w:rPr>
  </w:style>
  <w:style w:type="paragraph" w:customStyle="1" w:styleId="623">
    <w:name w:val="表注"/>
    <w:basedOn w:val="1"/>
    <w:next w:val="596"/>
    <w:qFormat/>
    <w:uiPriority w:val="0"/>
    <w:pPr>
      <w:keepLines/>
      <w:ind w:left="300" w:leftChars="100" w:right="50" w:rightChars="50" w:hanging="200" w:hangingChars="200"/>
    </w:pPr>
    <w:rPr>
      <w:rFonts w:ascii="宋体"/>
      <w:color w:val="FF0000"/>
      <w:szCs w:val="20"/>
    </w:rPr>
  </w:style>
  <w:style w:type="paragraph" w:customStyle="1" w:styleId="624">
    <w:name w:val="Char Char Char Char Char Char1 Char"/>
    <w:basedOn w:val="1"/>
    <w:qFormat/>
    <w:uiPriority w:val="0"/>
  </w:style>
  <w:style w:type="paragraph" w:customStyle="1" w:styleId="625">
    <w:name w:val="Char Char Char Char Char Char Char Char Char Char Char Char Char Char Char Char"/>
    <w:basedOn w:val="1"/>
    <w:qFormat/>
    <w:uiPriority w:val="0"/>
  </w:style>
  <w:style w:type="paragraph" w:customStyle="1" w:styleId="626">
    <w:name w:val="区调设计标题1"/>
    <w:basedOn w:val="1"/>
    <w:qFormat/>
    <w:uiPriority w:val="0"/>
    <w:pPr>
      <w:pageBreakBefore/>
      <w:spacing w:beforeLines="50" w:afterLines="50" w:line="480" w:lineRule="exact"/>
      <w:jc w:val="center"/>
    </w:pPr>
    <w:rPr>
      <w:rFonts w:ascii="宋体"/>
      <w:b/>
      <w:bCs/>
      <w:sz w:val="28"/>
    </w:rPr>
  </w:style>
  <w:style w:type="character" w:customStyle="1" w:styleId="627">
    <w:name w:val="明显引用 Char1"/>
    <w:basedOn w:val="58"/>
    <w:qFormat/>
    <w:uiPriority w:val="30"/>
    <w:rPr>
      <w:rFonts w:ascii="Times New Roman" w:hAnsi="Times New Roman" w:eastAsia="宋体" w:cs="Times New Roman"/>
      <w:b/>
      <w:bCs/>
      <w:i/>
      <w:iCs/>
      <w:color w:val="4F81BD" w:themeColor="accent1"/>
      <w:szCs w:val="24"/>
      <w14:textFill>
        <w14:solidFill>
          <w14:schemeClr w14:val="accent1"/>
        </w14:solidFill>
      </w14:textFill>
    </w:rPr>
  </w:style>
  <w:style w:type="paragraph" w:customStyle="1" w:styleId="628">
    <w:name w:val="样式 标题 3 + 首行缩进:  2 字符"/>
    <w:basedOn w:val="5"/>
    <w:next w:val="1"/>
    <w:semiHidden/>
    <w:qFormat/>
    <w:uiPriority w:val="0"/>
    <w:pPr>
      <w:snapToGrid w:val="0"/>
      <w:spacing w:before="0" w:after="120"/>
    </w:pPr>
    <w:rPr>
      <w:rFonts w:ascii="Times New Roman" w:cs="宋体"/>
      <w:bCs/>
      <w:spacing w:val="-6"/>
      <w:sz w:val="28"/>
      <w:szCs w:val="24"/>
    </w:rPr>
  </w:style>
  <w:style w:type="paragraph" w:customStyle="1" w:styleId="629">
    <w:name w:val="表内容"/>
    <w:qFormat/>
    <w:uiPriority w:val="0"/>
    <w:pPr>
      <w:adjustRightInd w:val="0"/>
      <w:snapToGrid w:val="0"/>
      <w:spacing w:line="288" w:lineRule="auto"/>
      <w:jc w:val="both"/>
    </w:pPr>
    <w:rPr>
      <w:rFonts w:ascii="仿宋_GB2312" w:hAnsi="宋体" w:eastAsia="仿宋_GB2312" w:cs="Times New Roman"/>
      <w:sz w:val="18"/>
      <w:lang w:val="en-US" w:eastAsia="zh-CN" w:bidi="ar-SA"/>
    </w:rPr>
  </w:style>
  <w:style w:type="paragraph" w:customStyle="1" w:styleId="630">
    <w:name w:val="表格字体"/>
    <w:basedOn w:val="1"/>
    <w:qFormat/>
    <w:uiPriority w:val="0"/>
    <w:pPr>
      <w:framePr w:hSpace="180" w:wrap="around" w:vAnchor="page" w:hAnchor="margin" w:y="1887"/>
      <w:adjustRightInd w:val="0"/>
      <w:ind w:left="28" w:right="-65" w:rightChars="-31"/>
      <w:jc w:val="center"/>
      <w:textAlignment w:val="baseline"/>
    </w:pPr>
    <w:rPr>
      <w:rFonts w:ascii="宋体" w:hAnsi="宋体"/>
      <w:kern w:val="12"/>
      <w:sz w:val="18"/>
      <w:szCs w:val="20"/>
    </w:rPr>
  </w:style>
  <w:style w:type="paragraph" w:customStyle="1" w:styleId="631">
    <w:name w:val="xl24"/>
    <w:basedOn w:val="1"/>
    <w:qFormat/>
    <w:uiPriority w:val="0"/>
    <w:pPr>
      <w:widowControl/>
      <w:spacing w:before="100" w:beforeAutospacing="1" w:after="100" w:afterAutospacing="1"/>
      <w:jc w:val="center"/>
    </w:pPr>
    <w:rPr>
      <w:rFonts w:ascii="宋体" w:hAnsi="宋体"/>
      <w:kern w:val="0"/>
      <w:sz w:val="24"/>
    </w:rPr>
  </w:style>
  <w:style w:type="paragraph" w:customStyle="1" w:styleId="632">
    <w:name w:val="日期1"/>
    <w:basedOn w:val="1"/>
    <w:next w:val="1"/>
    <w:qFormat/>
    <w:uiPriority w:val="0"/>
    <w:pPr>
      <w:adjustRightInd w:val="0"/>
      <w:spacing w:line="360" w:lineRule="atLeast"/>
      <w:textAlignment w:val="baseline"/>
    </w:pPr>
    <w:rPr>
      <w:rFonts w:ascii="宋体" w:eastAsia="Times New Roman"/>
      <w:kern w:val="0"/>
      <w:sz w:val="24"/>
      <w:szCs w:val="20"/>
    </w:rPr>
  </w:style>
  <w:style w:type="paragraph" w:customStyle="1" w:styleId="633">
    <w:name w:val="font7"/>
    <w:basedOn w:val="1"/>
    <w:qFormat/>
    <w:uiPriority w:val="0"/>
    <w:pPr>
      <w:widowControl/>
      <w:spacing w:before="100" w:beforeAutospacing="1" w:after="100" w:afterAutospacing="1"/>
      <w:jc w:val="left"/>
    </w:pPr>
    <w:rPr>
      <w:rFonts w:hint="eastAsia" w:ascii="宋体" w:hAnsi="宋体" w:cs="Arial Unicode MS"/>
      <w:kern w:val="0"/>
      <w:sz w:val="36"/>
      <w:szCs w:val="36"/>
    </w:rPr>
  </w:style>
  <w:style w:type="paragraph" w:customStyle="1" w:styleId="634">
    <w:name w:val="表格2"/>
    <w:basedOn w:val="1"/>
    <w:qFormat/>
    <w:uiPriority w:val="0"/>
    <w:pPr>
      <w:tabs>
        <w:tab w:val="left" w:pos="3105"/>
      </w:tabs>
      <w:spacing w:line="240" w:lineRule="atLeast"/>
      <w:ind w:left="-1" w:leftChars="-52" w:right="-125" w:rightChars="-52" w:hanging="124" w:hangingChars="59"/>
      <w:jc w:val="center"/>
    </w:pPr>
    <w:rPr>
      <w:rFonts w:ascii="华文中宋" w:hAnsi="华文中宋" w:eastAsia="华文中宋"/>
      <w:szCs w:val="21"/>
    </w:rPr>
  </w:style>
  <w:style w:type="paragraph" w:customStyle="1" w:styleId="635">
    <w:name w:val="样式 左侧:  -0.23 字符 右侧:  -0.21 字符1"/>
    <w:basedOn w:val="1"/>
    <w:qFormat/>
    <w:uiPriority w:val="0"/>
    <w:pPr>
      <w:widowControl/>
      <w:adjustRightInd w:val="0"/>
      <w:spacing w:line="500" w:lineRule="exact"/>
      <w:ind w:firstLine="200" w:firstLineChars="200"/>
    </w:pPr>
    <w:rPr>
      <w:rFonts w:ascii="宋体" w:hAnsi="宋体" w:cs="宋体"/>
      <w:kern w:val="0"/>
      <w:sz w:val="24"/>
      <w:szCs w:val="20"/>
    </w:rPr>
  </w:style>
  <w:style w:type="paragraph" w:customStyle="1" w:styleId="636">
    <w:name w:val="Char5"/>
    <w:basedOn w:val="1"/>
    <w:qFormat/>
    <w:uiPriority w:val="0"/>
    <w:pPr>
      <w:spacing w:line="360" w:lineRule="auto"/>
      <w:ind w:firstLine="200" w:firstLineChars="200"/>
    </w:pPr>
    <w:rPr>
      <w:szCs w:val="20"/>
    </w:rPr>
  </w:style>
  <w:style w:type="paragraph" w:customStyle="1" w:styleId="637">
    <w:name w:val="Char Char Char Char Char Char Char Char Char Char Char Char Char Char Char Char Char Char Char"/>
    <w:basedOn w:val="1"/>
    <w:qFormat/>
    <w:uiPriority w:val="0"/>
    <w:rPr>
      <w:sz w:val="24"/>
      <w:szCs w:val="20"/>
    </w:rPr>
  </w:style>
  <w:style w:type="paragraph" w:customStyle="1" w:styleId="638">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639">
    <w:name w:val="正文首行缩进 21"/>
    <w:qFormat/>
    <w:uiPriority w:val="0"/>
    <w:pPr>
      <w:spacing w:line="360" w:lineRule="auto"/>
      <w:ind w:firstLine="420" w:firstLineChars="200"/>
    </w:pPr>
    <w:rPr>
      <w:rFonts w:ascii="Times New Roman" w:hAnsi="Times New Roman" w:eastAsia="宋体" w:cs="Times New Roman"/>
      <w:kern w:val="2"/>
      <w:sz w:val="24"/>
      <w:szCs w:val="24"/>
      <w:lang w:val="en-US" w:eastAsia="zh-CN" w:bidi="ar-SA"/>
    </w:rPr>
  </w:style>
  <w:style w:type="paragraph" w:customStyle="1" w:styleId="640">
    <w:name w:val="列出段落11"/>
    <w:basedOn w:val="1"/>
    <w:qFormat/>
    <w:uiPriority w:val="0"/>
    <w:pPr>
      <w:ind w:firstLine="420" w:firstLineChars="200"/>
    </w:pPr>
    <w:rPr>
      <w:rFonts w:ascii="Calibri" w:hAnsi="Calibri"/>
      <w:szCs w:val="22"/>
    </w:rPr>
  </w:style>
  <w:style w:type="paragraph" w:customStyle="1" w:styleId="641">
    <w:name w:val="Char Char Char Char Char Char Char Char Char Char Char Char Char Char Char Char Char Char Char1"/>
    <w:basedOn w:val="1"/>
    <w:qFormat/>
    <w:uiPriority w:val="0"/>
    <w:pPr>
      <w:keepNext/>
      <w:spacing w:beforeLines="100" w:afterLines="100" w:line="720" w:lineRule="auto"/>
      <w:ind w:firstLine="567"/>
    </w:pPr>
    <w:rPr>
      <w:rFonts w:eastAsia="仿宋_GB2312"/>
      <w:sz w:val="28"/>
      <w:szCs w:val="20"/>
    </w:rPr>
  </w:style>
  <w:style w:type="paragraph" w:customStyle="1" w:styleId="642">
    <w:name w:val="正文a"/>
    <w:basedOn w:val="1"/>
    <w:qFormat/>
    <w:uiPriority w:val="0"/>
    <w:pPr>
      <w:adjustRightInd w:val="0"/>
      <w:snapToGrid w:val="0"/>
      <w:spacing w:line="360" w:lineRule="auto"/>
      <w:ind w:firstLine="200" w:firstLineChars="200"/>
      <w:textAlignment w:val="baseline"/>
    </w:pPr>
    <w:rPr>
      <w:rFonts w:ascii="宋体" w:hAnsi="宋体"/>
      <w:spacing w:val="4"/>
      <w:kern w:val="0"/>
      <w:sz w:val="24"/>
      <w:szCs w:val="20"/>
    </w:rPr>
  </w:style>
  <w:style w:type="paragraph" w:customStyle="1" w:styleId="643">
    <w:name w:val="zw1"/>
    <w:basedOn w:val="15"/>
    <w:qFormat/>
    <w:uiPriority w:val="0"/>
    <w:pPr>
      <w:spacing w:line="480" w:lineRule="exact"/>
      <w:ind w:firstLine="567"/>
      <w:textAlignment w:val="center"/>
    </w:pPr>
    <w:rPr>
      <w:rFonts w:ascii="仿宋_GB2312" w:hAnsi="宋体" w:eastAsia="仿宋_GB2312"/>
      <w:sz w:val="28"/>
      <w:szCs w:val="20"/>
    </w:rPr>
  </w:style>
  <w:style w:type="paragraph" w:customStyle="1" w:styleId="644">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宋体" w:hAnsi="宋体"/>
      <w:kern w:val="0"/>
      <w:sz w:val="24"/>
    </w:rPr>
  </w:style>
  <w:style w:type="paragraph" w:customStyle="1" w:styleId="645">
    <w:name w:val="_Style 2"/>
    <w:basedOn w:val="646"/>
    <w:next w:val="646"/>
    <w:qFormat/>
    <w:uiPriority w:val="1"/>
    <w:rPr>
      <w:szCs w:val="21"/>
    </w:rPr>
  </w:style>
  <w:style w:type="paragraph" w:customStyle="1" w:styleId="646">
    <w:name w:val="书正文"/>
    <w:basedOn w:val="1"/>
    <w:qFormat/>
    <w:uiPriority w:val="0"/>
    <w:pPr>
      <w:ind w:firstLine="480"/>
    </w:pPr>
    <w:rPr>
      <w:color w:val="6600FF"/>
      <w:shd w:val="clear" w:color="auto" w:fill="FFFFFF"/>
    </w:rPr>
  </w:style>
  <w:style w:type="paragraph" w:customStyle="1" w:styleId="647">
    <w:name w:val="标题2 Char Char Char Char Char Char Char Char Char Char"/>
    <w:basedOn w:val="1"/>
    <w:qFormat/>
    <w:uiPriority w:val="0"/>
    <w:pPr>
      <w:snapToGrid w:val="0"/>
      <w:spacing w:line="520" w:lineRule="exact"/>
    </w:pPr>
    <w:rPr>
      <w:szCs w:val="20"/>
    </w:rPr>
  </w:style>
  <w:style w:type="paragraph" w:customStyle="1" w:styleId="648">
    <w:name w:val="简单回函地址"/>
    <w:basedOn w:val="1"/>
    <w:qFormat/>
    <w:uiPriority w:val="0"/>
  </w:style>
  <w:style w:type="paragraph" w:customStyle="1" w:styleId="649">
    <w:name w:val="正文 小四 行距: 1.5 倍行距"/>
    <w:basedOn w:val="1"/>
    <w:qFormat/>
    <w:uiPriority w:val="0"/>
    <w:pPr>
      <w:spacing w:line="360" w:lineRule="auto"/>
      <w:ind w:firstLine="480" w:firstLineChars="200"/>
    </w:pPr>
    <w:rPr>
      <w:sz w:val="24"/>
      <w:szCs w:val="20"/>
    </w:rPr>
  </w:style>
  <w:style w:type="paragraph" w:customStyle="1" w:styleId="650">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color w:val="000000"/>
      <w:kern w:val="0"/>
      <w:sz w:val="24"/>
      <w:szCs w:val="21"/>
      <w:lang w:eastAsia="en-US"/>
    </w:rPr>
  </w:style>
  <w:style w:type="paragraph" w:customStyle="1" w:styleId="651">
    <w:name w:val="样式 标题 3 + 段前: 6 磅"/>
    <w:basedOn w:val="5"/>
    <w:qFormat/>
    <w:uiPriority w:val="0"/>
    <w:pPr>
      <w:spacing w:before="0" w:line="413" w:lineRule="auto"/>
    </w:pPr>
    <w:rPr>
      <w:rFonts w:ascii="Times New Roman" w:eastAsia="宋体"/>
      <w:b/>
      <w:bCs/>
      <w:spacing w:val="0"/>
      <w:sz w:val="28"/>
      <w:szCs w:val="20"/>
    </w:rPr>
  </w:style>
  <w:style w:type="paragraph" w:customStyle="1" w:styleId="652">
    <w:name w:val="zw-con-con"/>
    <w:basedOn w:val="1"/>
    <w:qFormat/>
    <w:uiPriority w:val="0"/>
    <w:pPr>
      <w:widowControl/>
      <w:spacing w:before="100" w:beforeAutospacing="1" w:after="100" w:afterAutospacing="1"/>
      <w:jc w:val="left"/>
    </w:pPr>
    <w:rPr>
      <w:rFonts w:ascii="宋体" w:hAnsi="宋体" w:cs="宋体"/>
      <w:kern w:val="0"/>
      <w:sz w:val="24"/>
    </w:rPr>
  </w:style>
  <w:style w:type="paragraph" w:customStyle="1" w:styleId="653">
    <w:name w:val="样式 (符号) 宋体 小四 行距: 固定值 25 磅"/>
    <w:basedOn w:val="1"/>
    <w:qFormat/>
    <w:uiPriority w:val="0"/>
    <w:pPr>
      <w:spacing w:line="500" w:lineRule="exact"/>
      <w:ind w:firstLine="200" w:firstLineChars="200"/>
    </w:pPr>
    <w:rPr>
      <w:rFonts w:hAnsi="宋体" w:cs="宋体"/>
      <w:sz w:val="24"/>
    </w:rPr>
  </w:style>
  <w:style w:type="paragraph" w:customStyle="1" w:styleId="654">
    <w:name w:val="正文（首行缩进）"/>
    <w:basedOn w:val="1"/>
    <w:qFormat/>
    <w:uiPriority w:val="99"/>
    <w:pPr>
      <w:widowControl/>
      <w:spacing w:line="360" w:lineRule="auto"/>
      <w:ind w:firstLine="200" w:firstLineChars="200"/>
      <w:jc w:val="left"/>
    </w:pPr>
    <w:rPr>
      <w:rFonts w:ascii="宋体" w:hAnsi="宋体"/>
      <w:snapToGrid w:val="0"/>
      <w:color w:val="000000"/>
      <w:sz w:val="24"/>
      <w:szCs w:val="20"/>
    </w:rPr>
  </w:style>
  <w:style w:type="paragraph" w:customStyle="1" w:styleId="655">
    <w:name w:val="Char11"/>
    <w:basedOn w:val="1"/>
    <w:qFormat/>
    <w:uiPriority w:val="0"/>
    <w:rPr>
      <w:rFonts w:ascii="宋体"/>
      <w:spacing w:val="4"/>
      <w:kern w:val="0"/>
      <w:sz w:val="24"/>
      <w:szCs w:val="20"/>
    </w:rPr>
  </w:style>
  <w:style w:type="paragraph" w:customStyle="1" w:styleId="656">
    <w:name w:val="p16"/>
    <w:basedOn w:val="1"/>
    <w:qFormat/>
    <w:uiPriority w:val="0"/>
    <w:pPr>
      <w:widowControl/>
      <w:spacing w:after="120" w:line="480" w:lineRule="auto"/>
      <w:ind w:left="420"/>
    </w:pPr>
    <w:rPr>
      <w:kern w:val="0"/>
      <w:sz w:val="26"/>
      <w:szCs w:val="26"/>
    </w:rPr>
  </w:style>
  <w:style w:type="paragraph" w:customStyle="1" w:styleId="657">
    <w:name w:val="报告表格"/>
    <w:basedOn w:val="1"/>
    <w:qFormat/>
    <w:uiPriority w:val="0"/>
    <w:pPr>
      <w:autoSpaceDE w:val="0"/>
      <w:autoSpaceDN w:val="0"/>
      <w:adjustRightInd w:val="0"/>
      <w:spacing w:before="40" w:after="40"/>
      <w:jc w:val="center"/>
      <w:textAlignment w:val="baseline"/>
    </w:pPr>
    <w:rPr>
      <w:kern w:val="0"/>
      <w:szCs w:val="20"/>
    </w:rPr>
  </w:style>
  <w:style w:type="paragraph" w:customStyle="1" w:styleId="658">
    <w:name w:val="样式 标题 2H2节标题 1.1节标题 1.1 Char + 非加粗 首行缩进:  0 厘米"/>
    <w:basedOn w:val="4"/>
    <w:qFormat/>
    <w:uiPriority w:val="0"/>
    <w:pPr>
      <w:tabs>
        <w:tab w:val="left" w:pos="720"/>
      </w:tabs>
      <w:adjustRightInd w:val="0"/>
      <w:spacing w:before="0" w:after="0" w:line="560" w:lineRule="exact"/>
      <w:textAlignment w:val="baseline"/>
    </w:pPr>
    <w:rPr>
      <w:rFonts w:ascii="Times New Roman" w:hAnsi="Times New Roman" w:eastAsia="宋体"/>
      <w:b w:val="0"/>
      <w:bCs w:val="0"/>
      <w:kern w:val="0"/>
      <w:szCs w:val="28"/>
    </w:rPr>
  </w:style>
  <w:style w:type="paragraph" w:customStyle="1" w:styleId="659">
    <w:name w:val="表格式"/>
    <w:basedOn w:val="42"/>
    <w:qFormat/>
    <w:uiPriority w:val="0"/>
    <w:pPr>
      <w:spacing w:beforeLines="50" w:afterLines="50" w:line="200" w:lineRule="exact"/>
      <w:ind w:left="0" w:firstLine="0" w:firstLineChars="0"/>
      <w:jc w:val="center"/>
    </w:pPr>
    <w:rPr>
      <w:szCs w:val="20"/>
    </w:rPr>
  </w:style>
  <w:style w:type="paragraph" w:customStyle="1" w:styleId="660">
    <w:name w:val="款"/>
    <w:basedOn w:val="9"/>
    <w:next w:val="1"/>
    <w:qFormat/>
    <w:uiPriority w:val="0"/>
    <w:pPr>
      <w:spacing w:before="0" w:after="0" w:line="400" w:lineRule="exact"/>
    </w:pPr>
    <w:rPr>
      <w:rFonts w:ascii="宋体" w:hAnsi="宋体"/>
    </w:rPr>
  </w:style>
  <w:style w:type="paragraph" w:customStyle="1" w:styleId="661">
    <w:name w:val="图表"/>
    <w:basedOn w:val="46"/>
    <w:qFormat/>
    <w:uiPriority w:val="0"/>
    <w:pPr>
      <w:wordWrap w:val="0"/>
      <w:topLinePunct/>
      <w:autoSpaceDN w:val="0"/>
      <w:spacing w:line="240" w:lineRule="atLeast"/>
      <w:ind w:left="0" w:leftChars="0" w:right="0" w:rightChars="0" w:firstLine="0" w:firstLineChars="0"/>
      <w:jc w:val="both"/>
    </w:pPr>
    <w:rPr>
      <w:color w:val="auto"/>
    </w:rPr>
  </w:style>
  <w:style w:type="paragraph" w:customStyle="1" w:styleId="662">
    <w:name w:val="正文文本2"/>
    <w:basedOn w:val="1"/>
    <w:qFormat/>
    <w:uiPriority w:val="0"/>
    <w:pPr>
      <w:shd w:val="clear" w:color="auto" w:fill="FFFFFF"/>
      <w:spacing w:after="200" w:line="518" w:lineRule="exact"/>
      <w:ind w:hanging="1120"/>
      <w:jc w:val="distribute"/>
    </w:pPr>
    <w:rPr>
      <w:rFonts w:ascii="MingLiU" w:eastAsia="MingLiU"/>
      <w:spacing w:val="10"/>
      <w:kern w:val="0"/>
      <w:sz w:val="22"/>
      <w:szCs w:val="22"/>
    </w:rPr>
  </w:style>
  <w:style w:type="table" w:customStyle="1" w:styleId="663">
    <w:name w:val="网格型2"/>
    <w:basedOn w:val="5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64">
    <w:name w:val="00表格"/>
    <w:basedOn w:val="1"/>
    <w:qFormat/>
    <w:uiPriority w:val="0"/>
    <w:pPr>
      <w:jc w:val="center"/>
    </w:pPr>
    <w:rPr>
      <w:szCs w:val="20"/>
    </w:rPr>
  </w:style>
  <w:style w:type="paragraph" w:customStyle="1" w:styleId="665">
    <w:name w:val="。。表头"/>
    <w:basedOn w:val="1"/>
    <w:qFormat/>
    <w:uiPriority w:val="0"/>
    <w:pPr>
      <w:spacing w:line="360" w:lineRule="auto"/>
      <w:ind w:firstLine="602" w:firstLineChars="200"/>
      <w:jc w:val="center"/>
    </w:pPr>
    <w:rPr>
      <w:b/>
      <w:bCs/>
      <w:sz w:val="24"/>
    </w:rPr>
  </w:style>
  <w:style w:type="paragraph" w:customStyle="1" w:styleId="666">
    <w:name w:val="农贸市场表格表头"/>
    <w:basedOn w:val="1"/>
    <w:qFormat/>
    <w:uiPriority w:val="0"/>
    <w:pPr>
      <w:ind w:firstLine="640" w:firstLineChars="200"/>
      <w:jc w:val="center"/>
    </w:pPr>
    <w:rPr>
      <w:rFonts w:ascii="宋体" w:hAnsi="宋体" w:cs="仿宋_GB2312"/>
      <w:b/>
      <w:kern w:val="0"/>
      <w:szCs w:val="21"/>
    </w:rPr>
  </w:style>
  <w:style w:type="paragraph" w:customStyle="1" w:styleId="667">
    <w:name w:val="农贸市场正文"/>
    <w:basedOn w:val="1"/>
    <w:qFormat/>
    <w:uiPriority w:val="0"/>
    <w:pPr>
      <w:spacing w:line="460" w:lineRule="exact"/>
      <w:ind w:firstLine="200" w:firstLineChars="200"/>
    </w:pPr>
    <w:rPr>
      <w:snapToGrid w:val="0"/>
      <w:color w:val="000000"/>
      <w:kern w:val="0"/>
      <w:sz w:val="24"/>
    </w:rPr>
  </w:style>
  <w:style w:type="paragraph" w:customStyle="1" w:styleId="668">
    <w:name w:val="3级标题"/>
    <w:basedOn w:val="5"/>
    <w:qFormat/>
    <w:uiPriority w:val="0"/>
    <w:pPr>
      <w:spacing w:before="0" w:line="360" w:lineRule="auto"/>
    </w:pPr>
    <w:rPr>
      <w:rFonts w:ascii="Times New Roman" w:eastAsia="宋体"/>
      <w:b/>
      <w:bCs/>
      <w:spacing w:val="0"/>
      <w:sz w:val="28"/>
      <w:szCs w:val="32"/>
    </w:rPr>
  </w:style>
  <w:style w:type="paragraph" w:customStyle="1" w:styleId="669">
    <w:name w:val="。正文格式"/>
    <w:basedOn w:val="1"/>
    <w:qFormat/>
    <w:uiPriority w:val="0"/>
    <w:pPr>
      <w:spacing w:line="360" w:lineRule="auto"/>
      <w:ind w:firstLine="200" w:firstLineChars="200"/>
      <w:jc w:val="left"/>
    </w:pPr>
    <w:rPr>
      <w:kern w:val="0"/>
      <w:sz w:val="24"/>
      <w:szCs w:val="20"/>
    </w:rPr>
  </w:style>
  <w:style w:type="character" w:customStyle="1" w:styleId="670">
    <w:name w:val="占位符文本1"/>
    <w:basedOn w:val="58"/>
    <w:semiHidden/>
    <w:qFormat/>
    <w:uiPriority w:val="99"/>
    <w:rPr>
      <w:color w:val="808080"/>
    </w:rPr>
  </w:style>
  <w:style w:type="character" w:customStyle="1" w:styleId="671">
    <w:name w:val="正文-1 Char"/>
    <w:link w:val="672"/>
    <w:qFormat/>
    <w:uiPriority w:val="0"/>
    <w:rPr>
      <w:rFonts w:ascii="宋体" w:hAnsi="宋体" w:eastAsia="宋体" w:cs="宋体"/>
      <w:sz w:val="24"/>
    </w:rPr>
  </w:style>
  <w:style w:type="paragraph" w:customStyle="1" w:styleId="672">
    <w:name w:val="正文-1"/>
    <w:link w:val="671"/>
    <w:qFormat/>
    <w:uiPriority w:val="0"/>
    <w:pPr>
      <w:spacing w:line="480" w:lineRule="exact"/>
      <w:ind w:firstLine="200" w:firstLineChars="200"/>
      <w:jc w:val="both"/>
    </w:pPr>
    <w:rPr>
      <w:rFonts w:ascii="宋体" w:hAnsi="宋体" w:eastAsia="宋体" w:cs="宋体"/>
      <w:kern w:val="2"/>
      <w:sz w:val="24"/>
      <w:szCs w:val="22"/>
      <w:lang w:val="en-US" w:eastAsia="zh-CN" w:bidi="ar-SA"/>
    </w:rPr>
  </w:style>
  <w:style w:type="character" w:customStyle="1" w:styleId="673">
    <w:name w:val="表格正文 Char"/>
    <w:link w:val="674"/>
    <w:qFormat/>
    <w:uiPriority w:val="0"/>
    <w:rPr>
      <w:rFonts w:ascii="Times New Roman" w:hAnsi="Times New Roman" w:cs="Times New Roman"/>
      <w:szCs w:val="24"/>
    </w:rPr>
  </w:style>
  <w:style w:type="paragraph" w:customStyle="1" w:styleId="674">
    <w:name w:val="表格正文"/>
    <w:basedOn w:val="1"/>
    <w:link w:val="673"/>
    <w:qFormat/>
    <w:uiPriority w:val="0"/>
    <w:pPr>
      <w:adjustRightInd w:val="0"/>
      <w:snapToGrid w:val="0"/>
      <w:jc w:val="center"/>
    </w:pPr>
    <w:rPr>
      <w:rFonts w:eastAsiaTheme="minorEastAsia"/>
    </w:rPr>
  </w:style>
  <w:style w:type="character" w:customStyle="1" w:styleId="675">
    <w:name w:val="表格题目新 字符"/>
    <w:link w:val="676"/>
    <w:qFormat/>
    <w:uiPriority w:val="0"/>
    <w:rPr>
      <w:rFonts w:ascii="黑体" w:hAnsi="黑体" w:eastAsia="黑体" w:cs="宋体"/>
      <w:szCs w:val="24"/>
    </w:rPr>
  </w:style>
  <w:style w:type="paragraph" w:customStyle="1" w:styleId="676">
    <w:name w:val="表格题目新"/>
    <w:basedOn w:val="1"/>
    <w:link w:val="675"/>
    <w:qFormat/>
    <w:uiPriority w:val="0"/>
    <w:pPr>
      <w:autoSpaceDE w:val="0"/>
      <w:autoSpaceDN w:val="0"/>
      <w:spacing w:line="312" w:lineRule="auto"/>
      <w:jc w:val="center"/>
    </w:pPr>
    <w:rPr>
      <w:rFonts w:ascii="黑体" w:hAnsi="黑体" w:eastAsia="黑体" w:cs="宋体"/>
    </w:rPr>
  </w:style>
  <w:style w:type="character" w:customStyle="1" w:styleId="677">
    <w:name w:val="表格新 字符"/>
    <w:link w:val="678"/>
    <w:qFormat/>
    <w:uiPriority w:val="0"/>
    <w:rPr>
      <w:bCs/>
      <w:szCs w:val="21"/>
    </w:rPr>
  </w:style>
  <w:style w:type="paragraph" w:customStyle="1" w:styleId="678">
    <w:name w:val="表格新"/>
    <w:basedOn w:val="1"/>
    <w:link w:val="677"/>
    <w:qFormat/>
    <w:uiPriority w:val="0"/>
    <w:pPr>
      <w:jc w:val="center"/>
    </w:pPr>
    <w:rPr>
      <w:rFonts w:asciiTheme="minorHAnsi" w:hAnsiTheme="minorHAnsi" w:eastAsiaTheme="minorEastAsia" w:cstheme="minorBidi"/>
      <w:bCs/>
      <w:szCs w:val="21"/>
    </w:rPr>
  </w:style>
  <w:style w:type="paragraph" w:customStyle="1" w:styleId="679">
    <w:name w:val="表内"/>
    <w:basedOn w:val="1"/>
    <w:next w:val="1"/>
    <w:qFormat/>
    <w:uiPriority w:val="0"/>
    <w:pPr>
      <w:jc w:val="center"/>
    </w:pPr>
    <w:rPr>
      <w:szCs w:val="21"/>
    </w:rPr>
  </w:style>
  <w:style w:type="paragraph" w:customStyle="1" w:styleId="680">
    <w:name w:val="Table Paragraph"/>
    <w:basedOn w:val="1"/>
    <w:qFormat/>
    <w:uiPriority w:val="1"/>
    <w:rPr>
      <w:rFonts w:ascii="Noto Sans CJK JP Regular" w:hAnsi="Noto Sans CJK JP Regular" w:eastAsia="Noto Sans CJK JP Regular" w:cs="Noto Sans CJK JP Regular"/>
      <w:lang w:val="zh-CN" w:bidi="zh-CN"/>
    </w:rPr>
  </w:style>
  <w:style w:type="character" w:customStyle="1" w:styleId="681">
    <w:name w:val="表格内容1 字符"/>
    <w:link w:val="682"/>
    <w:qFormat/>
    <w:uiPriority w:val="0"/>
    <w:rPr>
      <w:rFonts w:ascii="Times New Roman" w:hAnsi="Times New Roman" w:eastAsia="宋体" w:cs="Times New Roman"/>
      <w:kern w:val="0"/>
      <w:szCs w:val="21"/>
      <w:lang w:eastAsia="en-US" w:bidi="en-US"/>
    </w:rPr>
  </w:style>
  <w:style w:type="paragraph" w:customStyle="1" w:styleId="682">
    <w:name w:val="表格内容1"/>
    <w:basedOn w:val="1"/>
    <w:link w:val="681"/>
    <w:qFormat/>
    <w:uiPriority w:val="0"/>
    <w:pPr>
      <w:widowControl/>
      <w:spacing w:line="300" w:lineRule="exact"/>
      <w:jc w:val="center"/>
    </w:pPr>
    <w:rPr>
      <w:kern w:val="0"/>
      <w:szCs w:val="21"/>
      <w:lang w:eastAsia="en-US" w:bidi="en-US"/>
    </w:rPr>
  </w:style>
  <w:style w:type="character" w:customStyle="1" w:styleId="683">
    <w:name w:val="A-z正文 Char"/>
    <w:basedOn w:val="58"/>
    <w:link w:val="684"/>
    <w:qFormat/>
    <w:uiPriority w:val="0"/>
    <w:rPr>
      <w:rFonts w:ascii="宋体" w:hAnsi="宋体" w:eastAsia="宋体" w:cs="宋体"/>
      <w:sz w:val="24"/>
    </w:rPr>
  </w:style>
  <w:style w:type="paragraph" w:customStyle="1" w:styleId="684">
    <w:name w:val="A-z正文"/>
    <w:basedOn w:val="1"/>
    <w:link w:val="683"/>
    <w:qFormat/>
    <w:uiPriority w:val="0"/>
    <w:pPr>
      <w:spacing w:after="160" w:line="360" w:lineRule="auto"/>
      <w:ind w:firstLine="200" w:firstLineChars="200"/>
    </w:pPr>
    <w:rPr>
      <w:rFonts w:ascii="宋体" w:hAnsi="宋体" w:cs="宋体"/>
      <w:sz w:val="24"/>
      <w:szCs w:val="22"/>
    </w:rPr>
  </w:style>
  <w:style w:type="character" w:customStyle="1" w:styleId="685">
    <w:name w:val="正文新 字符"/>
    <w:link w:val="686"/>
    <w:qFormat/>
    <w:uiPriority w:val="0"/>
    <w:rPr>
      <w:sz w:val="24"/>
      <w:szCs w:val="24"/>
    </w:rPr>
  </w:style>
  <w:style w:type="paragraph" w:customStyle="1" w:styleId="686">
    <w:name w:val="正文新"/>
    <w:basedOn w:val="1"/>
    <w:link w:val="685"/>
    <w:qFormat/>
    <w:uiPriority w:val="0"/>
    <w:pPr>
      <w:spacing w:line="460" w:lineRule="exact"/>
      <w:ind w:firstLine="480" w:firstLineChars="200"/>
    </w:pPr>
    <w:rPr>
      <w:rFonts w:asciiTheme="minorHAnsi" w:hAnsiTheme="minorHAnsi" w:eastAsiaTheme="minorEastAsia" w:cstheme="minorBidi"/>
      <w:sz w:val="24"/>
    </w:rPr>
  </w:style>
  <w:style w:type="character" w:customStyle="1" w:styleId="687">
    <w:name w:val="表格内容 字符"/>
    <w:basedOn w:val="58"/>
    <w:link w:val="688"/>
    <w:qFormat/>
    <w:uiPriority w:val="0"/>
    <w:rPr>
      <w:szCs w:val="21"/>
      <w:lang w:eastAsia="en-US" w:bidi="en-US"/>
    </w:rPr>
  </w:style>
  <w:style w:type="paragraph" w:customStyle="1" w:styleId="688">
    <w:name w:val="表格内容"/>
    <w:basedOn w:val="689"/>
    <w:link w:val="687"/>
    <w:qFormat/>
    <w:uiPriority w:val="0"/>
    <w:pPr>
      <w:widowControl/>
      <w:spacing w:line="300" w:lineRule="exact"/>
      <w:jc w:val="center"/>
    </w:pPr>
    <w:rPr>
      <w:rFonts w:asciiTheme="minorHAnsi" w:hAnsiTheme="minorHAnsi" w:eastAsiaTheme="minorEastAsia" w:cstheme="minorBidi"/>
      <w:szCs w:val="21"/>
      <w:lang w:eastAsia="en-US" w:bidi="en-US"/>
    </w:rPr>
  </w:style>
  <w:style w:type="paragraph" w:customStyle="1" w:styleId="689">
    <w:name w:val="表格内容居中"/>
    <w:basedOn w:val="1"/>
    <w:qFormat/>
    <w:uiPriority w:val="0"/>
    <w:pPr>
      <w:adjustRightInd w:val="0"/>
      <w:snapToGrid w:val="0"/>
      <w:spacing w:line="0" w:lineRule="atLeast"/>
      <w:jc w:val="center"/>
    </w:pPr>
    <w:rPr>
      <w:szCs w:val="24"/>
    </w:rPr>
  </w:style>
  <w:style w:type="character" w:customStyle="1" w:styleId="690">
    <w:name w:val="表题 Char"/>
    <w:link w:val="691"/>
    <w:qFormat/>
    <w:uiPriority w:val="0"/>
    <w:rPr>
      <w:rFonts w:ascii="宋体" w:hAnsi="宋体" w:eastAsia="宋体"/>
      <w:b/>
      <w:szCs w:val="24"/>
    </w:rPr>
  </w:style>
  <w:style w:type="paragraph" w:customStyle="1" w:styleId="691">
    <w:name w:val="表题"/>
    <w:link w:val="690"/>
    <w:qFormat/>
    <w:uiPriority w:val="0"/>
    <w:pPr>
      <w:spacing w:line="480" w:lineRule="exact"/>
      <w:jc w:val="center"/>
    </w:pPr>
    <w:rPr>
      <w:rFonts w:ascii="宋体" w:hAnsi="宋体" w:eastAsia="宋体" w:cstheme="minorBidi"/>
      <w:b/>
      <w:kern w:val="2"/>
      <w:sz w:val="21"/>
      <w:szCs w:val="24"/>
      <w:lang w:val="en-US" w:eastAsia="zh-CN" w:bidi="ar-SA"/>
    </w:rPr>
  </w:style>
  <w:style w:type="character" w:customStyle="1" w:styleId="692">
    <w:name w:val="表格题目1 字符"/>
    <w:basedOn w:val="58"/>
    <w:link w:val="693"/>
    <w:qFormat/>
    <w:uiPriority w:val="0"/>
    <w:rPr>
      <w:rFonts w:ascii="黑体" w:hAnsi="黑体" w:eastAsia="黑体"/>
      <w:color w:val="000000"/>
      <w:szCs w:val="24"/>
    </w:rPr>
  </w:style>
  <w:style w:type="paragraph" w:customStyle="1" w:styleId="693">
    <w:name w:val="表格题目1"/>
    <w:basedOn w:val="1"/>
    <w:link w:val="692"/>
    <w:qFormat/>
    <w:uiPriority w:val="0"/>
    <w:pPr>
      <w:ind w:firstLine="525" w:firstLineChars="250"/>
      <w:jc w:val="left"/>
    </w:pPr>
    <w:rPr>
      <w:rFonts w:ascii="黑体" w:hAnsi="黑体" w:eastAsia="黑体" w:cstheme="minorBidi"/>
      <w:color w:val="000000"/>
    </w:rPr>
  </w:style>
  <w:style w:type="character" w:customStyle="1" w:styleId="694">
    <w:name w:val="-表格 Char"/>
    <w:link w:val="695"/>
    <w:qFormat/>
    <w:uiPriority w:val="0"/>
    <w:rPr>
      <w:szCs w:val="24"/>
    </w:rPr>
  </w:style>
  <w:style w:type="paragraph" w:customStyle="1" w:styleId="695">
    <w:name w:val="-表格"/>
    <w:basedOn w:val="1"/>
    <w:link w:val="694"/>
    <w:qFormat/>
    <w:uiPriority w:val="0"/>
    <w:rPr>
      <w:rFonts w:asciiTheme="minorHAnsi" w:hAnsiTheme="minorHAnsi" w:eastAsiaTheme="minorEastAsia" w:cstheme="minorBidi"/>
    </w:rPr>
  </w:style>
  <w:style w:type="paragraph" w:customStyle="1" w:styleId="696">
    <w:name w:val="邓表格文字"/>
    <w:basedOn w:val="697"/>
    <w:qFormat/>
    <w:uiPriority w:val="0"/>
    <w:pPr>
      <w:spacing w:line="280" w:lineRule="exact"/>
      <w:jc w:val="left"/>
    </w:pPr>
    <w:rPr>
      <w:kern w:val="0"/>
      <w:szCs w:val="21"/>
    </w:rPr>
  </w:style>
  <w:style w:type="paragraph" w:customStyle="1" w:styleId="697">
    <w:name w:val="表格文字邓"/>
    <w:basedOn w:val="1"/>
    <w:qFormat/>
    <w:uiPriority w:val="0"/>
    <w:pPr>
      <w:widowControl/>
      <w:snapToGrid w:val="0"/>
      <w:spacing w:line="200" w:lineRule="exact"/>
      <w:jc w:val="center"/>
    </w:pPr>
    <w:rPr>
      <w:rFonts w:eastAsia="华文中宋"/>
      <w:color w:val="000000"/>
      <w:sz w:val="18"/>
      <w:szCs w:val="18"/>
    </w:rPr>
  </w:style>
  <w:style w:type="paragraph" w:customStyle="1" w:styleId="698">
    <w:name w:val="表内字"/>
    <w:basedOn w:val="1"/>
    <w:qFormat/>
    <w:uiPriority w:val="0"/>
    <w:pPr>
      <w:widowControl/>
      <w:snapToGrid w:val="0"/>
      <w:spacing w:line="320" w:lineRule="exact"/>
      <w:jc w:val="center"/>
    </w:pPr>
    <w:rPr>
      <w:kern w:val="0"/>
      <w:sz w:val="24"/>
    </w:rPr>
  </w:style>
  <w:style w:type="paragraph" w:customStyle="1" w:styleId="699">
    <w:name w:val="邓表头"/>
    <w:basedOn w:val="1"/>
    <w:qFormat/>
    <w:uiPriority w:val="0"/>
    <w:pPr>
      <w:widowControl/>
      <w:snapToGrid w:val="0"/>
      <w:ind w:firstLine="883" w:firstLineChars="200"/>
      <w:contextualSpacing/>
      <w:jc w:val="center"/>
    </w:pPr>
    <w:rPr>
      <w:rFonts w:hAnsi="宋体" w:eastAsia="Times New Roman"/>
      <w:b/>
      <w:kern w:val="0"/>
      <w:sz w:val="24"/>
    </w:rPr>
  </w:style>
  <w:style w:type="paragraph" w:customStyle="1" w:styleId="700">
    <w:name w:val="表格内文字"/>
    <w:basedOn w:val="1"/>
    <w:qFormat/>
    <w:uiPriority w:val="0"/>
    <w:pPr>
      <w:jc w:val="center"/>
    </w:pPr>
    <w:rPr>
      <w:szCs w:val="20"/>
    </w:rPr>
  </w:style>
  <w:style w:type="table" w:customStyle="1" w:styleId="701">
    <w:name w:val="表格样式"/>
    <w:basedOn w:val="56"/>
    <w:qFormat/>
    <w:uiPriority w:val="99"/>
    <w:pPr>
      <w:adjustRightInd w:val="0"/>
      <w:snapToGrid w:val="0"/>
      <w:jc w:val="center"/>
    </w:pPr>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cPr>
      <w:vAlign w:val="center"/>
    </w:tcPr>
    <w:tblStylePr w:type="firstRow">
      <w:pPr>
        <w:jc w:val="center"/>
      </w:pPr>
      <w:rPr>
        <w:rFonts w:hint="default" w:ascii="Times New Roman" w:hAnsi="Times New Roman" w:eastAsia="宋体" w:cs="Times New Roman"/>
        <w:b/>
        <w:i w:val="0"/>
        <w:sz w:val="24"/>
        <w:szCs w:val="24"/>
      </w:rPr>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pct10" w:color="auto" w:fill="auto"/>
      </w:tcPr>
    </w:tblStylePr>
  </w:style>
  <w:style w:type="paragraph" w:customStyle="1" w:styleId="702">
    <w:name w:val="分点段落文字"/>
    <w:basedOn w:val="1"/>
    <w:qFormat/>
    <w:uiPriority w:val="0"/>
    <w:pPr>
      <w:numPr>
        <w:ilvl w:val="0"/>
        <w:numId w:val="2"/>
      </w:numPr>
      <w:spacing w:line="360" w:lineRule="auto"/>
    </w:pPr>
    <w:rPr>
      <w:sz w:val="24"/>
    </w:rPr>
  </w:style>
  <w:style w:type="paragraph" w:customStyle="1" w:styleId="703">
    <w:name w:val="样式 样式 表格标题 + 段前: 0.5 行 + 段前: 0.5 行1"/>
    <w:basedOn w:val="1"/>
    <w:qFormat/>
    <w:uiPriority w:val="0"/>
    <w:pPr>
      <w:autoSpaceDE w:val="0"/>
      <w:autoSpaceDN w:val="0"/>
      <w:adjustRightInd w:val="0"/>
      <w:spacing w:beforeLines="50" w:line="400" w:lineRule="exact"/>
      <w:jc w:val="center"/>
    </w:pPr>
    <w:rPr>
      <w:rFonts w:ascii="宋体" w:hAnsi="宋体" w:cs="宋体"/>
      <w:b/>
      <w:szCs w:val="21"/>
      <w:lang w:val="zh-CN"/>
    </w:rPr>
  </w:style>
  <w:style w:type="paragraph" w:customStyle="1" w:styleId="704">
    <w:name w:val="表头！！！！！！！！！！！！！！！"/>
    <w:basedOn w:val="1"/>
    <w:qFormat/>
    <w:uiPriority w:val="0"/>
    <w:pPr>
      <w:spacing w:line="500" w:lineRule="exact"/>
      <w:jc w:val="center"/>
    </w:pPr>
    <w:rPr>
      <w:rFonts w:ascii="宋体" w:hAnsi="宋体" w:cs="宋体"/>
      <w:b/>
      <w:sz w:val="24"/>
    </w:rPr>
  </w:style>
  <w:style w:type="character" w:customStyle="1" w:styleId="705">
    <w:name w:val="表内文字 Char"/>
    <w:basedOn w:val="58"/>
    <w:qFormat/>
    <w:uiPriority w:val="0"/>
    <w:rPr>
      <w:rFonts w:ascii="宋体" w:hAnsi="宋体"/>
      <w:szCs w:val="21"/>
    </w:rPr>
  </w:style>
  <w:style w:type="character" w:customStyle="1" w:styleId="706">
    <w:name w:val="fontstyle01"/>
    <w:qFormat/>
    <w:uiPriority w:val="0"/>
    <w:rPr>
      <w:rFonts w:hint="eastAsia" w:ascii="宋体" w:hAnsi="宋体" w:eastAsia="宋体"/>
      <w:color w:val="000000"/>
      <w:sz w:val="24"/>
      <w:szCs w:val="24"/>
    </w:rPr>
  </w:style>
  <w:style w:type="character" w:customStyle="1" w:styleId="707">
    <w:name w:val="fontstyle21"/>
    <w:qFormat/>
    <w:uiPriority w:val="0"/>
    <w:rPr>
      <w:rFonts w:hint="default" w:ascii="TimesNewRomanPSMT" w:hAnsi="TimesNewRomanPSMT" w:eastAsia="TimesNewRomanPSMT" w:cs="TimesNewRomanPSMT"/>
      <w:color w:val="000000"/>
      <w:sz w:val="24"/>
      <w:szCs w:val="24"/>
    </w:rPr>
  </w:style>
  <w:style w:type="character" w:customStyle="1" w:styleId="708">
    <w:name w:val="fontstyle11"/>
    <w:qFormat/>
    <w:uiPriority w:val="0"/>
    <w:rPr>
      <w:rFonts w:hint="default" w:ascii="TimesNewRomanPSMT" w:hAnsi="TimesNewRomanPSMT" w:eastAsia="TimesNewRomanPSMT" w:cs="TimesNewRomanPSMT"/>
      <w:color w:val="000000"/>
      <w:sz w:val="24"/>
      <w:szCs w:val="24"/>
    </w:rPr>
  </w:style>
  <w:style w:type="paragraph" w:customStyle="1" w:styleId="709">
    <w:name w:val="环评一室报告四级标题"/>
    <w:basedOn w:val="1"/>
    <w:qFormat/>
    <w:uiPriority w:val="0"/>
    <w:pPr>
      <w:spacing w:line="360" w:lineRule="auto"/>
      <w:ind w:firstLine="200" w:firstLineChars="200"/>
      <w:outlineLvl w:val="3"/>
    </w:pPr>
    <w:rPr>
      <w:rFonts w:ascii="宋体" w:hAnsi="宋体"/>
      <w:b/>
      <w:sz w:val="24"/>
    </w:rPr>
  </w:style>
  <w:style w:type="character" w:customStyle="1" w:styleId="710">
    <w:name w:val="【正文】 Char Char"/>
    <w:link w:val="711"/>
    <w:qFormat/>
    <w:uiPriority w:val="0"/>
    <w:rPr>
      <w:rFonts w:ascii="宋体" w:hAnsi="宋体" w:eastAsia="宋体" w:cs="宋体"/>
      <w:sz w:val="24"/>
    </w:rPr>
  </w:style>
  <w:style w:type="paragraph" w:customStyle="1" w:styleId="711">
    <w:name w:val="【正文】"/>
    <w:basedOn w:val="1"/>
    <w:next w:val="1"/>
    <w:link w:val="710"/>
    <w:qFormat/>
    <w:uiPriority w:val="0"/>
    <w:pPr>
      <w:spacing w:line="440" w:lineRule="exact"/>
      <w:ind w:firstLine="544" w:firstLineChars="200"/>
    </w:pPr>
    <w:rPr>
      <w:rFonts w:ascii="宋体" w:hAnsi="宋体" w:cs="宋体"/>
      <w:sz w:val="24"/>
      <w:szCs w:val="22"/>
    </w:rPr>
  </w:style>
  <w:style w:type="character" w:customStyle="1" w:styleId="712">
    <w:name w:val="正文-ls Char Char"/>
    <w:qFormat/>
    <w:uiPriority w:val="0"/>
    <w:rPr>
      <w:rFonts w:ascii="宋体" w:hAnsi="宋体" w:eastAsia="宋体" w:cs="宋体"/>
      <w:sz w:val="24"/>
    </w:rPr>
  </w:style>
  <w:style w:type="paragraph" w:customStyle="1" w:styleId="713">
    <w:name w:val="环评一室报告表格文字"/>
    <w:basedOn w:val="1"/>
    <w:qFormat/>
    <w:uiPriority w:val="0"/>
    <w:pPr>
      <w:autoSpaceDE w:val="0"/>
      <w:autoSpaceDN w:val="0"/>
      <w:adjustRightInd w:val="0"/>
      <w:jc w:val="center"/>
    </w:pPr>
    <w:rPr>
      <w:rFonts w:hAnsi="宋体" w:cs="黑体"/>
      <w:szCs w:val="21"/>
      <w:lang w:val="zh-CN"/>
    </w:rPr>
  </w:style>
  <w:style w:type="paragraph" w:customStyle="1" w:styleId="714">
    <w:name w:val="环评一室报告报告正文"/>
    <w:basedOn w:val="1"/>
    <w:qFormat/>
    <w:uiPriority w:val="0"/>
    <w:pPr>
      <w:spacing w:line="360" w:lineRule="auto"/>
      <w:ind w:firstLine="480" w:firstLineChars="200"/>
    </w:pPr>
    <w:rPr>
      <w:rFonts w:ascii="宋体" w:hAnsi="宋体" w:cs="宋体"/>
      <w:sz w:val="24"/>
    </w:rPr>
  </w:style>
  <w:style w:type="character" w:customStyle="1" w:styleId="715">
    <w:name w:val="apple-style-span"/>
    <w:basedOn w:val="58"/>
    <w:qFormat/>
    <w:uiPriority w:val="0"/>
  </w:style>
  <w:style w:type="character" w:customStyle="1" w:styleId="716">
    <w:name w:val="h31"/>
    <w:basedOn w:val="58"/>
    <w:qFormat/>
    <w:uiPriority w:val="0"/>
    <w:rPr>
      <w:sz w:val="21"/>
      <w:szCs w:val="21"/>
    </w:rPr>
  </w:style>
  <w:style w:type="character" w:customStyle="1" w:styleId="717">
    <w:name w:val="style51"/>
    <w:qFormat/>
    <w:uiPriority w:val="0"/>
    <w:rPr>
      <w:color w:val="FF0000"/>
    </w:rPr>
  </w:style>
  <w:style w:type="paragraph" w:customStyle="1" w:styleId="718">
    <w:name w:val="【表格文字】"/>
    <w:next w:val="1"/>
    <w:qFormat/>
    <w:uiPriority w:val="0"/>
    <w:pPr>
      <w:jc w:val="center"/>
    </w:pPr>
    <w:rPr>
      <w:rFonts w:ascii="Times New Roman" w:hAnsi="Times New Roman" w:eastAsia="宋体" w:cs="宋体"/>
      <w:sz w:val="21"/>
      <w:szCs w:val="22"/>
      <w:lang w:val="en-US" w:eastAsia="zh-CN" w:bidi="ar-SA"/>
    </w:rPr>
  </w:style>
  <w:style w:type="paragraph" w:customStyle="1" w:styleId="719">
    <w:name w:val="@正文缩进"/>
    <w:basedOn w:val="1"/>
    <w:qFormat/>
    <w:uiPriority w:val="0"/>
    <w:pPr>
      <w:ind w:firstLine="200" w:firstLineChars="200"/>
      <w:jc w:val="left"/>
    </w:pPr>
    <w:rPr>
      <w:kern w:val="0"/>
    </w:rPr>
  </w:style>
  <w:style w:type="paragraph" w:customStyle="1" w:styleId="720">
    <w:name w:val="表内文字"/>
    <w:basedOn w:val="1"/>
    <w:qFormat/>
    <w:uiPriority w:val="0"/>
    <w:pPr>
      <w:adjustRightInd w:val="0"/>
      <w:snapToGrid w:val="0"/>
      <w:jc w:val="center"/>
    </w:pPr>
    <w:rPr>
      <w:szCs w:val="21"/>
    </w:rPr>
  </w:style>
  <w:style w:type="table" w:customStyle="1" w:styleId="721">
    <w:name w:val="网格型29"/>
    <w:basedOn w:val="5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2">
    <w:name w:val="网格型110"/>
    <w:basedOn w:val="56"/>
    <w:qFormat/>
    <w:uiPriority w:val="0"/>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23">
    <w:name w:val="报告表标题"/>
    <w:basedOn w:val="1"/>
    <w:qFormat/>
    <w:uiPriority w:val="0"/>
    <w:pPr>
      <w:tabs>
        <w:tab w:val="left" w:pos="360"/>
        <w:tab w:val="left" w:pos="900"/>
      </w:tabs>
      <w:spacing w:before="156" w:beforeLines="50"/>
      <w:jc w:val="center"/>
    </w:pPr>
    <w:rPr>
      <w:rFonts w:ascii="仿宋_GB2312" w:hAnsi="仿宋_GB2312"/>
      <w:b/>
    </w:rPr>
  </w:style>
  <w:style w:type="paragraph" w:customStyle="1" w:styleId="724">
    <w:name w:val="表图题注"/>
    <w:qFormat/>
    <w:uiPriority w:val="0"/>
    <w:pPr>
      <w:widowControl w:val="0"/>
      <w:autoSpaceDE w:val="0"/>
      <w:autoSpaceDN w:val="0"/>
      <w:adjustRightInd w:val="0"/>
      <w:spacing w:after="50" w:afterLines="50"/>
      <w:jc w:val="center"/>
    </w:pPr>
    <w:rPr>
      <w:rFonts w:ascii="Times New Roman" w:hAnsi="Times New Roman" w:eastAsia="宋体" w:cs="Times New Roman"/>
      <w:b/>
      <w:color w:val="000000"/>
      <w:sz w:val="21"/>
      <w:szCs w:val="24"/>
      <w:lang w:val="en-US" w:eastAsia="zh-CN" w:bidi="ar-SA"/>
    </w:rPr>
  </w:style>
  <w:style w:type="paragraph" w:customStyle="1" w:styleId="725">
    <w:name w:val="标书正文"/>
    <w:basedOn w:val="1"/>
    <w:qFormat/>
    <w:uiPriority w:val="0"/>
    <w:pPr>
      <w:spacing w:line="500" w:lineRule="exact"/>
      <w:ind w:firstLine="560" w:firstLineChars="200"/>
    </w:pPr>
    <w:rPr>
      <w:rFonts w:ascii="仿宋_GB2312" w:hAnsi="仿宋" w:eastAsia="仿宋_GB2312" w:cs="宋体"/>
      <w:sz w:val="28"/>
      <w:szCs w:val="20"/>
    </w:rPr>
  </w:style>
  <w:style w:type="table" w:customStyle="1" w:styleId="726">
    <w:name w:val="网格型3"/>
    <w:basedOn w:val="56"/>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7">
    <w:name w:val="网格型33"/>
    <w:basedOn w:val="56"/>
    <w:qFormat/>
    <w:uiPriority w:val="59"/>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8">
    <w:name w:val="网格型30"/>
    <w:basedOn w:val="56"/>
    <w:qFormat/>
    <w:uiPriority w:val="39"/>
    <w:pPr>
      <w:jc w:val="both"/>
    </w:pPr>
    <w:rPr>
      <w:rFonts w:ascii="等线" w:hAnsi="宋体"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9">
    <w:name w:val="网格型28"/>
    <w:basedOn w:val="56"/>
    <w:qFormat/>
    <w:uiPriority w:val="39"/>
    <w:pPr>
      <w:jc w:val="both"/>
    </w:pPr>
    <w:rPr>
      <w:rFonts w:ascii="等线" w:hAnsi="宋体"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0">
    <w:name w:val="网格型291"/>
    <w:basedOn w:val="56"/>
    <w:qFormat/>
    <w:uiPriority w:val="39"/>
    <w:pPr>
      <w:jc w:val="both"/>
    </w:pPr>
    <w:rPr>
      <w:rFonts w:ascii="等线" w:hAnsi="宋体"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1">
    <w:name w:val="表格粗"/>
    <w:basedOn w:val="646"/>
    <w:qFormat/>
    <w:uiPriority w:val="0"/>
    <w:pPr>
      <w:adjustRightInd w:val="0"/>
      <w:snapToGrid w:val="0"/>
      <w:ind w:firstLine="0"/>
      <w:jc w:val="center"/>
    </w:pPr>
    <w:rPr>
      <w:rFonts w:asciiTheme="minorHAnsi" w:hAnsiTheme="minorHAnsi" w:eastAsiaTheme="minorEastAsia"/>
      <w:b/>
      <w:shd w:val="clear" w:color="auto" w:fill="auto"/>
    </w:rPr>
  </w:style>
  <w:style w:type="paragraph" w:customStyle="1" w:styleId="732">
    <w:name w:val="无间隔2"/>
    <w:qFormat/>
    <w:uiPriority w:val="0"/>
    <w:rPr>
      <w:rFonts w:asciiTheme="minorHAnsi" w:hAnsiTheme="minorHAnsi" w:eastAsiaTheme="minorEastAsia" w:cstheme="minorBidi"/>
      <w:sz w:val="22"/>
      <w:szCs w:val="22"/>
      <w:lang w:val="en-US" w:eastAsia="zh-CN" w:bidi="ar-SA"/>
    </w:rPr>
  </w:style>
  <w:style w:type="paragraph" w:customStyle="1" w:styleId="733">
    <w:name w:val="表内式样"/>
    <w:qFormat/>
    <w:uiPriority w:val="0"/>
    <w:pPr>
      <w:keepLines/>
      <w:widowControl w:val="0"/>
      <w:kinsoku w:val="0"/>
      <w:overflowPunct w:val="0"/>
      <w:adjustRightInd w:val="0"/>
      <w:spacing w:line="240" w:lineRule="atLeast"/>
      <w:jc w:val="center"/>
    </w:pPr>
    <w:rPr>
      <w:rFonts w:ascii="宋体" w:hAnsi="Times New Roman" w:eastAsia="宋体" w:cs="Times New Roman"/>
      <w:kern w:val="21"/>
      <w:sz w:val="21"/>
      <w:szCs w:val="22"/>
      <w:lang w:val="en-US" w:eastAsia="zh-CN" w:bidi="ar-SA"/>
    </w:rPr>
  </w:style>
  <w:style w:type="table" w:customStyle="1" w:styleId="734">
    <w:name w:val="网格型10"/>
    <w:basedOn w:val="56"/>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5">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736">
    <w:name w:val="表格标题5.21"/>
    <w:basedOn w:val="1"/>
    <w:qFormat/>
    <w:uiPriority w:val="0"/>
    <w:pPr>
      <w:adjustRightInd w:val="0"/>
      <w:snapToGrid w:val="0"/>
      <w:spacing w:line="520" w:lineRule="exact"/>
      <w:jc w:val="center"/>
      <w:textAlignment w:val="baseline"/>
    </w:pPr>
    <w:rPr>
      <w:rFonts w:ascii="黑体" w:hAnsi="黑体" w:eastAsia="黑体" w:cs="宋体"/>
      <w:snapToGrid w:val="0"/>
      <w:kern w:val="0"/>
    </w:rPr>
  </w:style>
  <w:style w:type="paragraph" w:customStyle="1" w:styleId="737">
    <w:name w:val="表左侧"/>
    <w:basedOn w:val="731"/>
    <w:next w:val="646"/>
    <w:qFormat/>
    <w:uiPriority w:val="99"/>
    <w:pPr>
      <w:jc w:val="left"/>
    </w:pPr>
    <w:rPr>
      <w:b w:val="0"/>
    </w:rPr>
  </w:style>
  <w:style w:type="paragraph" w:customStyle="1" w:styleId="738">
    <w:name w:val="表中文字X"/>
    <w:next w:val="1"/>
    <w:qFormat/>
    <w:uiPriority w:val="0"/>
    <w:pPr>
      <w:spacing w:line="340" w:lineRule="exact"/>
      <w:jc w:val="center"/>
    </w:pPr>
    <w:rPr>
      <w:rFonts w:ascii="Times New Roman" w:hAnsi="Times New Roman" w:eastAsia="宋体" w:cs="Times New Roman"/>
      <w:color w:val="000000"/>
      <w:kern w:val="2"/>
      <w:sz w:val="21"/>
      <w:szCs w:val="24"/>
      <w:lang w:val="en-US" w:eastAsia="zh-CN" w:bidi="ar-SA"/>
    </w:rPr>
  </w:style>
  <w:style w:type="paragraph" w:customStyle="1" w:styleId="739">
    <w:name w:val="A正文"/>
    <w:basedOn w:val="71"/>
    <w:qFormat/>
    <w:uiPriority w:val="0"/>
    <w:rPr>
      <w:color w:val="000000" w:themeColor="text1"/>
      <w14:textFill>
        <w14:solidFill>
          <w14:schemeClr w14:val="tx1"/>
        </w14:solidFill>
      </w14:textFill>
    </w:rPr>
  </w:style>
  <w:style w:type="paragraph" w:customStyle="1" w:styleId="740">
    <w:name w:val="A表内容"/>
    <w:basedOn w:val="71"/>
    <w:qFormat/>
    <w:uiPriority w:val="0"/>
    <w:pPr>
      <w:spacing w:line="340" w:lineRule="exact"/>
      <w:ind w:firstLine="0" w:firstLineChars="0"/>
      <w:jc w:val="center"/>
    </w:pPr>
    <w:rPr>
      <w:sz w:val="21"/>
      <w:szCs w:val="21"/>
    </w:rPr>
  </w:style>
  <w:style w:type="paragraph" w:customStyle="1" w:styleId="741">
    <w:name w:val="A表"/>
    <w:basedOn w:val="1"/>
    <w:qFormat/>
    <w:uiPriority w:val="0"/>
    <w:pPr>
      <w:spacing w:beforeLines="50"/>
      <w:jc w:val="center"/>
    </w:pPr>
    <w:rPr>
      <w:rFonts w:eastAsia="黑体"/>
      <w:color w:val="000000" w:themeColor="text1"/>
      <w:sz w:val="24"/>
      <w14:textFill>
        <w14:solidFill>
          <w14:schemeClr w14:val="tx1"/>
        </w14:solidFill>
      </w14:textFill>
    </w:rPr>
  </w:style>
  <w:style w:type="paragraph" w:customStyle="1" w:styleId="742">
    <w:name w:val="Table Text"/>
    <w:basedOn w:val="1"/>
    <w:semiHidden/>
    <w:qFormat/>
    <w:uiPriority w:val="0"/>
    <w:rPr>
      <w:rFonts w:ascii="宋体" w:hAnsi="宋体" w:cs="宋体"/>
      <w:szCs w:val="21"/>
      <w:lang w:eastAsia="en-US"/>
    </w:rPr>
  </w:style>
  <w:style w:type="paragraph" w:customStyle="1" w:styleId="743">
    <w:name w:val="SpireTableThStyle1a98f599-3fdb-43b8-85d7-2c9ecaee1b336"/>
    <w:basedOn w:val="1"/>
    <w:qFormat/>
    <w:uiPriority w:val="0"/>
    <w:pPr>
      <w:jc w:val="center"/>
    </w:pPr>
    <w:rPr>
      <w:b/>
    </w:rPr>
  </w:style>
  <w:style w:type="paragraph" w:customStyle="1" w:styleId="744">
    <w:name w:val="正文文本 (2)"/>
    <w:basedOn w:val="1"/>
    <w:qFormat/>
    <w:uiPriority w:val="0"/>
    <w:pPr>
      <w:shd w:val="clear" w:color="auto" w:fill="FFFFFF"/>
      <w:spacing w:line="482" w:lineRule="exact"/>
    </w:pPr>
    <w:rPr>
      <w:rFonts w:ascii="宋体" w:hAnsi="宋体"/>
      <w:kern w:val="0"/>
      <w:sz w:val="22"/>
      <w:szCs w:val="20"/>
    </w:rPr>
  </w:style>
  <w:style w:type="character" w:customStyle="1" w:styleId="745">
    <w:name w:val="正文文本 (2) + 粗体"/>
    <w:qFormat/>
    <w:uiPriority w:val="0"/>
    <w:rPr>
      <w:rFonts w:hint="eastAsia" w:ascii="宋体" w:hAnsi="宋体" w:eastAsia="宋体" w:cs="宋体"/>
      <w:b/>
      <w:bCs/>
      <w:color w:val="000000"/>
      <w:spacing w:val="0"/>
      <w:w w:val="100"/>
      <w:position w:val="0"/>
      <w:sz w:val="22"/>
      <w:szCs w:val="22"/>
      <w:u w:val="none"/>
      <w:lang w:val="zh-CN" w:eastAsia="zh-CN"/>
    </w:rPr>
  </w:style>
  <w:style w:type="paragraph" w:customStyle="1" w:styleId="746">
    <w:name w:val="表字"/>
    <w:basedOn w:val="1"/>
    <w:qFormat/>
    <w:uiPriority w:val="0"/>
    <w:pPr>
      <w:adjustRightInd w:val="0"/>
      <w:snapToGrid w:val="0"/>
      <w:jc w:val="center"/>
    </w:pPr>
    <w:rPr>
      <w:color w:val="0070C0"/>
    </w:rPr>
  </w:style>
  <w:style w:type="paragraph" w:customStyle="1" w:styleId="747">
    <w:name w:val="J【表中文字】"/>
    <w:basedOn w:val="1"/>
    <w:qFormat/>
    <w:uiPriority w:val="99"/>
    <w:pPr>
      <w:jc w:val="center"/>
    </w:pPr>
    <w:rPr>
      <w:rFonts w:cs="宋体"/>
      <w:szCs w:val="21"/>
    </w:rPr>
  </w:style>
  <w:style w:type="paragraph" w:customStyle="1" w:styleId="748">
    <w:name w:val="新标题样式"/>
    <w:basedOn w:val="1"/>
    <w:qFormat/>
    <w:uiPriority w:val="0"/>
    <w:pPr>
      <w:tabs>
        <w:tab w:val="left" w:pos="567"/>
      </w:tabs>
      <w:spacing w:line="360" w:lineRule="auto"/>
    </w:pPr>
    <w:rPr>
      <w:rFonts w:eastAsia="黑体"/>
      <w:b/>
      <w:spacing w:val="20"/>
      <w:sz w:val="24"/>
      <w:szCs w:val="20"/>
    </w:rPr>
  </w:style>
  <w:style w:type="paragraph" w:customStyle="1" w:styleId="74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750">
    <w:name w:val="font11"/>
    <w:basedOn w:val="58"/>
    <w:qFormat/>
    <w:uiPriority w:val="0"/>
    <w:rPr>
      <w:rFonts w:hint="eastAsia" w:ascii="宋体" w:hAnsi="宋体" w:eastAsia="宋体" w:cs="宋体"/>
      <w:color w:val="000000"/>
      <w:sz w:val="21"/>
      <w:szCs w:val="21"/>
      <w:u w:val="none"/>
    </w:rPr>
  </w:style>
  <w:style w:type="character" w:customStyle="1" w:styleId="751">
    <w:name w:val="font31"/>
    <w:basedOn w:val="58"/>
    <w:qFormat/>
    <w:uiPriority w:val="0"/>
    <w:rPr>
      <w:rFonts w:hint="default" w:ascii="Times New Roman" w:hAnsi="Times New Roman" w:cs="Times New Roman"/>
      <w:color w:val="000000"/>
      <w:sz w:val="21"/>
      <w:szCs w:val="21"/>
      <w:u w:val="none"/>
    </w:rPr>
  </w:style>
  <w:style w:type="paragraph" w:customStyle="1" w:styleId="752">
    <w:name w:val="03表格正文"/>
    <w:basedOn w:val="1"/>
    <w:qFormat/>
    <w:uiPriority w:val="0"/>
    <w:pPr>
      <w:adjustRightInd w:val="0"/>
      <w:snapToGrid w:val="0"/>
      <w:jc w:val="center"/>
    </w:pPr>
    <w:rPr>
      <w:rFonts w:eastAsiaTheme="minorEastAsia"/>
      <w:szCs w:val="21"/>
    </w:rPr>
  </w:style>
  <w:style w:type="paragraph" w:customStyle="1" w:styleId="753">
    <w:name w:val="3表格正文"/>
    <w:basedOn w:val="1"/>
    <w:qFormat/>
    <w:uiPriority w:val="0"/>
    <w:pPr>
      <w:jc w:val="center"/>
    </w:pPr>
    <w:rPr>
      <w:rFonts w:eastAsiaTheme="minorEastAsia"/>
      <w:bCs/>
      <w:szCs w:val="21"/>
    </w:rPr>
  </w:style>
  <w:style w:type="table" w:customStyle="1" w:styleId="754">
    <w:name w:val="网格型47"/>
    <w:basedOn w:val="56"/>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55">
    <w:name w:val="NormalCharacter"/>
    <w:qFormat/>
    <w:uiPriority w:val="0"/>
  </w:style>
  <w:style w:type="paragraph" w:customStyle="1" w:styleId="756">
    <w:name w:val="表格&amp;图标题"/>
    <w:basedOn w:val="1"/>
    <w:qFormat/>
    <w:uiPriority w:val="0"/>
    <w:pPr>
      <w:spacing w:line="360" w:lineRule="auto"/>
      <w:jc w:val="center"/>
    </w:pPr>
    <w:rPr>
      <w:rFonts w:eastAsiaTheme="minorEastAsia" w:cstheme="minorBidi"/>
      <w:b/>
      <w:bCs/>
      <w:sz w:val="24"/>
      <w:szCs w:val="22"/>
    </w:rPr>
  </w:style>
  <w:style w:type="paragraph" w:customStyle="1" w:styleId="757">
    <w:name w:val="正文2"/>
    <w:qFormat/>
    <w:uiPriority w:val="0"/>
    <w:pPr>
      <w:jc w:val="both"/>
    </w:pPr>
    <w:rPr>
      <w:rFonts w:ascii="Times New Roman" w:hAnsi="Times New Roman" w:eastAsia="宋体" w:cs="Times New Roman"/>
      <w:kern w:val="2"/>
      <w:sz w:val="21"/>
      <w:szCs w:val="21"/>
      <w:lang w:val="en-US" w:eastAsia="zh-CN" w:bidi="ar-SA"/>
    </w:rPr>
  </w:style>
  <w:style w:type="character" w:customStyle="1" w:styleId="758">
    <w:name w:val="font41"/>
    <w:basedOn w:val="58"/>
    <w:qFormat/>
    <w:uiPriority w:val="0"/>
    <w:rPr>
      <w:rFonts w:hint="eastAsia" w:ascii="仿宋" w:hAnsi="仿宋" w:eastAsia="仿宋" w:cs="仿宋"/>
      <w:color w:val="000000"/>
      <w:sz w:val="24"/>
      <w:szCs w:val="24"/>
      <w:u w:val="none"/>
    </w:rPr>
  </w:style>
  <w:style w:type="character" w:customStyle="1" w:styleId="759">
    <w:name w:val="font51"/>
    <w:basedOn w:val="58"/>
    <w:qFormat/>
    <w:uiPriority w:val="0"/>
    <w:rPr>
      <w:rFonts w:hint="default" w:ascii="Times New Roman" w:hAnsi="Times New Roman" w:cs="Times New Roman"/>
      <w:color w:val="000000"/>
      <w:sz w:val="24"/>
      <w:szCs w:val="24"/>
      <w:u w:val="none"/>
    </w:rPr>
  </w:style>
  <w:style w:type="character" w:customStyle="1" w:styleId="760">
    <w:name w:val="font61"/>
    <w:basedOn w:val="58"/>
    <w:qFormat/>
    <w:uiPriority w:val="0"/>
    <w:rPr>
      <w:rFonts w:hint="default" w:ascii="Times New Roman" w:hAnsi="Times New Roman" w:cs="Times New Roman"/>
      <w:color w:val="000000"/>
      <w:sz w:val="14"/>
      <w:szCs w:val="14"/>
      <w:u w:val="none"/>
    </w:rPr>
  </w:style>
  <w:style w:type="paragraph" w:customStyle="1" w:styleId="761">
    <w:name w:val="我的正文"/>
    <w:basedOn w:val="1"/>
    <w:qFormat/>
    <w:uiPriority w:val="0"/>
    <w:pPr>
      <w:spacing w:line="480" w:lineRule="auto"/>
      <w:ind w:firstLine="480"/>
    </w:pPr>
    <w:rPr>
      <w:color w:val="000000"/>
      <w:sz w:val="24"/>
    </w:rPr>
  </w:style>
  <w:style w:type="character" w:customStyle="1" w:styleId="762">
    <w:name w:val="font01"/>
    <w:basedOn w:val="58"/>
    <w:qFormat/>
    <w:uiPriority w:val="0"/>
    <w:rPr>
      <w:rFonts w:hint="eastAsia" w:ascii="宋体" w:hAnsi="宋体" w:eastAsia="宋体"/>
      <w:color w:val="000000"/>
      <w:sz w:val="22"/>
      <w:szCs w:val="22"/>
      <w:u w:val="none"/>
    </w:rPr>
  </w:style>
  <w:style w:type="paragraph" w:customStyle="1" w:styleId="763">
    <w:name w:val="正文21"/>
    <w:qFormat/>
    <w:uiPriority w:val="0"/>
    <w:pPr>
      <w:jc w:val="both"/>
    </w:pPr>
    <w:rPr>
      <w:rFonts w:ascii="Times New Roman" w:hAnsi="Times New Roman" w:eastAsia="宋体" w:cs="Times New Roman"/>
      <w:kern w:val="2"/>
      <w:sz w:val="21"/>
      <w:szCs w:val="21"/>
      <w:lang w:val="en-US" w:eastAsia="zh-CN" w:bidi="ar-SA"/>
    </w:rPr>
  </w:style>
  <w:style w:type="character" w:customStyle="1" w:styleId="764">
    <w:name w:val="font21"/>
    <w:basedOn w:val="58"/>
    <w:qFormat/>
    <w:uiPriority w:val="0"/>
    <w:rPr>
      <w:rFonts w:hint="default" w:ascii="Times New Roman" w:hAnsi="Times New Roman" w:cs="Times New Roman"/>
      <w:color w:val="000000"/>
      <w:sz w:val="20"/>
      <w:szCs w:val="20"/>
      <w:u w:val="none"/>
    </w:rPr>
  </w:style>
  <w:style w:type="paragraph" w:customStyle="1" w:styleId="765">
    <w:name w:val="标号正文"/>
    <w:basedOn w:val="1"/>
    <w:next w:val="1"/>
    <w:qFormat/>
    <w:uiPriority w:val="0"/>
    <w:pPr>
      <w:tabs>
        <w:tab w:val="left" w:pos="1540"/>
      </w:tabs>
      <w:overflowPunct w:val="0"/>
      <w:snapToGrid w:val="0"/>
      <w:spacing w:line="360" w:lineRule="auto"/>
      <w:ind w:firstLine="1040"/>
      <w:jc w:val="left"/>
    </w:pPr>
    <w:rPr>
      <w:rFonts w:ascii="Arial" w:hAnsi="Arial"/>
      <w:sz w:val="24"/>
      <w:szCs w:val="20"/>
    </w:rPr>
  </w:style>
  <w:style w:type="paragraph" w:customStyle="1" w:styleId="766">
    <w:name w:val="Z表头"/>
    <w:basedOn w:val="1"/>
    <w:next w:val="1"/>
    <w:qFormat/>
    <w:uiPriority w:val="0"/>
    <w:pPr>
      <w:widowControl/>
      <w:adjustRightInd w:val="0"/>
      <w:contextualSpacing/>
      <w:jc w:val="center"/>
    </w:pPr>
    <w:rPr>
      <w:b/>
      <w:lang w:eastAsia="en-US"/>
    </w:rPr>
  </w:style>
  <w:style w:type="paragraph" w:customStyle="1" w:styleId="767">
    <w:name w:val="图表后空行"/>
    <w:next w:val="1"/>
    <w:qFormat/>
    <w:uiPriority w:val="0"/>
    <w:pPr>
      <w:ind w:firstLine="200"/>
    </w:pPr>
    <w:rPr>
      <w:rFonts w:ascii="Times New Roman" w:hAnsi="Times New Roman" w:eastAsia="宋体" w:cstheme="minorBidi"/>
      <w:kern w:val="2"/>
      <w:sz w:val="18"/>
      <w:szCs w:val="24"/>
      <w:lang w:val="en-US" w:eastAsia="zh-CN" w:bidi="ar-SA"/>
    </w:rPr>
  </w:style>
  <w:style w:type="paragraph" w:customStyle="1" w:styleId="768">
    <w:name w:val="表中文字"/>
    <w:next w:val="1"/>
    <w:qFormat/>
    <w:uiPriority w:val="0"/>
    <w:pPr>
      <w:jc w:val="center"/>
    </w:pPr>
    <w:rPr>
      <w:rFonts w:ascii="Times New Roman" w:hAnsi="Times New Roman" w:eastAsia="宋体" w:cstheme="minorBidi"/>
      <w:color w:val="000000"/>
      <w:kern w:val="2"/>
      <w:sz w:val="21"/>
      <w:szCs w:val="24"/>
      <w:lang w:val="en-US" w:eastAsia="zh-CN" w:bidi="ar-SA"/>
    </w:rPr>
  </w:style>
  <w:style w:type="paragraph" w:styleId="769">
    <w:name w:val="List Paragraph"/>
    <w:basedOn w:val="1"/>
    <w:semiHidden/>
    <w:qFormat/>
    <w:locked/>
    <w:uiPriority w:val="99"/>
    <w:pPr>
      <w:ind w:firstLine="420"/>
    </w:pPr>
  </w:style>
  <w:style w:type="table" w:customStyle="1" w:styleId="770">
    <w:name w:val="网格型11"/>
    <w:basedOn w:val="56"/>
    <w:qFormat/>
    <w:uiPriority w:val="0"/>
    <w:pPr>
      <w:spacing w:line="360" w:lineRule="exact"/>
      <w:jc w:val="center"/>
    </w:pPr>
    <w:rPr>
      <w:rFonts w:ascii="宋体"/>
      <w:sz w:val="21"/>
    </w:rPr>
    <w:tblP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left w:w="0" w:type="dxa"/>
        <w:right w:w="0" w:type="dxa"/>
      </w:tblCellMar>
    </w:tblPr>
    <w:tcPr>
      <w:vAlign w:val="center"/>
    </w:tcPr>
  </w:style>
  <w:style w:type="paragraph" w:customStyle="1" w:styleId="771">
    <w:name w:val="任表格文字"/>
    <w:next w:val="1"/>
    <w:qFormat/>
    <w:uiPriority w:val="0"/>
    <w:pPr>
      <w:spacing w:line="360" w:lineRule="exact"/>
      <w:jc w:val="center"/>
    </w:pPr>
    <w:rPr>
      <w:rFonts w:hint="eastAsia" w:ascii="Times New Roman" w:hAnsi="Times New Roman" w:eastAsia="宋体" w:cs="Times New Roman"/>
      <w:kern w:val="2"/>
      <w:sz w:val="21"/>
      <w:szCs w:val="21"/>
      <w:lang w:val="en-US" w:eastAsia="zh-CN" w:bidi="ar-SA"/>
    </w:rPr>
  </w:style>
  <w:style w:type="table" w:customStyle="1" w:styleId="772">
    <w:name w:val="标准表格"/>
    <w:qFormat/>
    <w:uiPriority w:val="99"/>
    <w:pPr>
      <w:spacing w:before="74"/>
      <w:jc w:val="center"/>
    </w:pPr>
    <w:rPr>
      <w:sz w:val="18"/>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
    <w:trPr>
      <w:jc w:val="center"/>
    </w:trPr>
    <w:tcPr>
      <w:shd w:val="clear" w:color="auto" w:fill="FFFFFF"/>
      <w:vAlign w:val="center"/>
    </w:tcPr>
    <w:tblStylePr w:type="firstRow">
      <w:pPr>
        <w:wordWrap/>
        <w:spacing w:before="0" w:beforeLines="0" w:beforeAutospacing="0" w:after="0" w:afterLines="0" w:afterAutospacing="0" w:line="240" w:lineRule="auto"/>
        <w:ind w:left="0" w:leftChars="0" w:right="0" w:firstLine="0" w:firstLineChars="0"/>
        <w:jc w:val="center"/>
      </w:pPr>
      <w:rPr>
        <w:rFonts w:eastAsia="宋体"/>
        <w:sz w:val="18"/>
      </w:rPr>
      <w:tblPr/>
      <w:trPr>
        <w:tblHeader/>
      </w:trPr>
    </w:tblStylePr>
    <w:tblStylePr w:type="firstCol">
      <w:pPr>
        <w:jc w:val="center"/>
      </w:pPr>
    </w:tblStylePr>
  </w:style>
  <w:style w:type="character" w:customStyle="1" w:styleId="773">
    <w:name w:val="font71"/>
    <w:basedOn w:val="58"/>
    <w:qFormat/>
    <w:uiPriority w:val="0"/>
    <w:rPr>
      <w:rFonts w:ascii="Arial" w:hAnsi="Arial" w:cs="Arial"/>
      <w:color w:val="000000"/>
      <w:sz w:val="22"/>
      <w:szCs w:val="22"/>
      <w:u w:val="none"/>
    </w:rPr>
  </w:style>
  <w:style w:type="character" w:customStyle="1" w:styleId="774">
    <w:name w:val="font81"/>
    <w:basedOn w:val="58"/>
    <w:qFormat/>
    <w:uiPriority w:val="0"/>
    <w:rPr>
      <w:rFonts w:hint="default" w:ascii="Arial" w:hAnsi="Arial" w:cs="Arial"/>
      <w:color w:val="000000"/>
      <w:sz w:val="18"/>
      <w:szCs w:val="18"/>
      <w:u w:val="none"/>
    </w:rPr>
  </w:style>
  <w:style w:type="paragraph" w:customStyle="1" w:styleId="775">
    <w:name w:val="A.表中文字 用"/>
    <w:basedOn w:val="1"/>
    <w:next w:val="1"/>
    <w:qFormat/>
    <w:uiPriority w:val="0"/>
    <w:pPr>
      <w:spacing w:line="360" w:lineRule="exact"/>
      <w:jc w:val="center"/>
    </w:pPr>
    <w:rPr>
      <w:snapToGrid w:val="0"/>
      <w:kern w:val="0"/>
      <w:szCs w:val="20"/>
    </w:rPr>
  </w:style>
  <w:style w:type="table" w:customStyle="1" w:styleId="776">
    <w:name w:val="表格主题2"/>
    <w:qFormat/>
    <w:uiPriority w:val="0"/>
    <w:pPr>
      <w:widowControl w:val="0"/>
      <w:jc w:val="center"/>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2" w:space="0"/>
        <w:insideV w:val="single" w:color="000000" w:themeColor="text1" w:sz="2" w:space="0"/>
      </w:tblBorders>
      <w:tblCellMar>
        <w:top w:w="0" w:type="dxa"/>
        <w:left w:w="28" w:type="dxa"/>
        <w:bottom w:w="0" w:type="dxa"/>
        <w:right w:w="28" w:type="dxa"/>
      </w:tblCellMar>
    </w:tblPr>
    <w:tcPr>
      <w:vAlign w:val="center"/>
    </w:tcPr>
  </w:style>
  <w:style w:type="table" w:customStyle="1" w:styleId="777">
    <w:name w:val="样式161"/>
    <w:basedOn w:val="56"/>
    <w:qFormat/>
    <w:uiPriority w:val="0"/>
    <w:pPr>
      <w:adjustRightInd w:val="0"/>
      <w:snapToGrid w:val="0"/>
      <w:spacing w:line="360" w:lineRule="exact"/>
      <w:jc w:val="center"/>
    </w:pPr>
    <w:rPr>
      <w:rFonts w:ascii="宋体"/>
    </w:rPr>
    <w:tblP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left w:w="0" w:type="dxa"/>
        <w:right w:w="0" w:type="dxa"/>
      </w:tblCellMar>
    </w:tblPr>
    <w:tcPr>
      <w:vAlign w:val="center"/>
    </w:tcPr>
  </w:style>
  <w:style w:type="paragraph" w:customStyle="1" w:styleId="778">
    <w:name w:val="表后空行-hs"/>
    <w:basedOn w:val="1"/>
    <w:qFormat/>
    <w:uiPriority w:val="0"/>
    <w:rPr>
      <w:rFonts w:hint="eastAsia"/>
      <w:color w:val="000000" w:themeColor="text1"/>
      <w:szCs w:val="21"/>
      <w14:textFill>
        <w14:solidFill>
          <w14:schemeClr w14:val="tx1"/>
        </w14:solidFill>
      </w14:textFill>
    </w:rPr>
  </w:style>
  <w:style w:type="table" w:customStyle="1" w:styleId="779">
    <w:name w:val="典雅型1"/>
    <w:basedOn w:val="56"/>
    <w:qFormat/>
    <w:uiPriority w:val="0"/>
    <w:pPr>
      <w:widowControl w:val="0"/>
      <w:spacing w:line="360" w:lineRule="exact"/>
      <w:jc w:val="center"/>
    </w:pPr>
    <w:rPr>
      <w:rFonts w:ascii="宋体" w:hAnsi="宋体" w:cs="宋体"/>
      <w:sz w:val="21"/>
    </w:rPr>
    <w:tblPr>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tblCellMar>
        <w:left w:w="0" w:type="dxa"/>
        <w:right w:w="0" w:type="dxa"/>
      </w:tblCellMar>
    </w:tblPr>
    <w:tcPr>
      <w:shd w:val="clear" w:color="auto" w:fill="auto"/>
      <w:vAlign w:val="center"/>
    </w:tcPr>
    <w:tblStylePr w:type="firstRow">
      <w:rPr>
        <w:caps/>
        <w:color w:val="auto"/>
      </w:rPr>
      <w:tcPr>
        <w:tcBorders>
          <w:tl2br w:val="nil"/>
          <w:tr2bl w:val="nil"/>
        </w:tcBorders>
      </w:tcPr>
    </w:tblStylePr>
  </w:style>
  <w:style w:type="paragraph" w:customStyle="1" w:styleId="780">
    <w:name w:val="Body Text First Indent 21"/>
    <w:basedOn w:val="781"/>
    <w:qFormat/>
    <w:uiPriority w:val="0"/>
    <w:pPr>
      <w:ind w:left="0" w:leftChars="0" w:firstLine="420"/>
    </w:pPr>
    <w:rPr>
      <w:szCs w:val="22"/>
    </w:rPr>
  </w:style>
  <w:style w:type="paragraph" w:customStyle="1" w:styleId="781">
    <w:name w:val="Body Text Indent1"/>
    <w:basedOn w:val="1"/>
    <w:qFormat/>
    <w:uiPriority w:val="0"/>
    <w:pPr>
      <w:ind w:left="420" w:leftChars="200"/>
    </w:pPr>
  </w:style>
  <w:style w:type="table" w:customStyle="1" w:styleId="782">
    <w:name w:val="化工院环评"/>
    <w:qFormat/>
    <w:uiPriority w:val="99"/>
    <w:pPr>
      <w:jc w:val="center"/>
    </w:pPr>
    <w:rPr>
      <w:sz w:val="21"/>
    </w:rPr>
    <w:tblPr>
      <w:jc w:val="center"/>
      <w:tblBorders>
        <w:top w:val="single" w:color="7030A0" w:sz="12" w:space="0"/>
        <w:left w:val="single" w:color="7030A0" w:sz="12" w:space="0"/>
        <w:bottom w:val="single" w:color="7030A0" w:sz="12" w:space="0"/>
        <w:right w:val="single" w:color="7030A0" w:sz="12" w:space="0"/>
        <w:insideH w:val="single" w:color="7030A0" w:sz="6" w:space="0"/>
        <w:insideV w:val="single" w:color="7030A0" w:sz="6" w:space="0"/>
      </w:tblBorders>
      <w:tblCellMar>
        <w:top w:w="0" w:type="dxa"/>
        <w:left w:w="0" w:type="dxa"/>
        <w:bottom w:w="0" w:type="dxa"/>
        <w:right w:w="0" w:type="dxa"/>
      </w:tblCellMar>
    </w:tblPr>
    <w:trPr>
      <w:jc w:val="center"/>
    </w:trPr>
    <w:tcPr>
      <w:vAlign w:val="center"/>
    </w:tcPr>
  </w:style>
  <w:style w:type="table" w:customStyle="1" w:styleId="783">
    <w:name w:val="33"/>
    <w:qFormat/>
    <w:uiPriority w:val="99"/>
    <w:pPr>
      <w:widowControl w:val="0"/>
      <w:autoSpaceDE w:val="0"/>
      <w:autoSpaceDN w:val="0"/>
      <w:adjustRightInd w:val="0"/>
    </w:pPr>
    <w:rPr>
      <w:sz w:val="24"/>
      <w:szCs w:val="24"/>
    </w:rPr>
    <w:tblPr>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tblCellMar>
        <w:top w:w="0" w:type="dxa"/>
        <w:left w:w="0" w:type="dxa"/>
        <w:bottom w:w="0" w:type="dxa"/>
        <w:right w:w="0" w:type="dxa"/>
      </w:tblCellMar>
    </w:tblPr>
    <w:tcPr>
      <w:vAlign w:val="center"/>
    </w:tcPr>
  </w:style>
  <w:style w:type="paragraph" w:customStyle="1" w:styleId="784">
    <w:name w:val="图表后空格"/>
    <w:qFormat/>
    <w:uiPriority w:val="0"/>
    <w:pPr>
      <w:widowControl w:val="0"/>
      <w:jc w:val="both"/>
    </w:pPr>
    <w:rPr>
      <w:rFonts w:hint="eastAsia" w:ascii="Times New Roman" w:hAnsi="Times New Roman" w:eastAsia="宋体" w:cstheme="minorBidi"/>
      <w:kern w:val="2"/>
      <w:sz w:val="21"/>
      <w:szCs w:val="21"/>
      <w:lang w:val="en-US" w:eastAsia="zh-CN" w:bidi="ar-SA"/>
    </w:rPr>
  </w:style>
  <w:style w:type="paragraph" w:customStyle="1" w:styleId="785">
    <w:name w:val="卓能表后空格"/>
    <w:qFormat/>
    <w:uiPriority w:val="0"/>
    <w:pPr>
      <w:widowControl w:val="0"/>
      <w:adjustRightInd w:val="0"/>
      <w:snapToGrid w:val="0"/>
      <w:spacing w:line="240" w:lineRule="exact"/>
      <w:ind w:firstLine="360" w:firstLineChars="200"/>
      <w:jc w:val="center"/>
    </w:pPr>
    <w:rPr>
      <w:rFonts w:asciiTheme="minorEastAsia" w:hAnsiTheme="minorEastAsia" w:eastAsiaTheme="minorEastAsia" w:cstheme="minorBidi"/>
      <w:spacing w:val="-20"/>
      <w:szCs w:val="24"/>
      <w:lang w:val="en-US" w:eastAsia="zh-CN" w:bidi="ar-SA"/>
    </w:rPr>
  </w:style>
  <w:style w:type="paragraph" w:customStyle="1" w:styleId="786">
    <w:name w:val="图正文"/>
    <w:qFormat/>
    <w:uiPriority w:val="99"/>
    <w:pPr>
      <w:widowControl w:val="0"/>
      <w:autoSpaceDE w:val="0"/>
      <w:autoSpaceDN w:val="0"/>
      <w:adjustRightInd w:val="0"/>
      <w:snapToGrid w:val="0"/>
      <w:spacing w:line="360" w:lineRule="auto"/>
      <w:jc w:val="center"/>
    </w:pPr>
    <w:rPr>
      <w:rFonts w:ascii="Times New Roman" w:hAnsi="Times New Roman" w:eastAsia="宋体" w:cs="Times New Roman"/>
      <w:sz w:val="24"/>
      <w:szCs w:val="24"/>
      <w:lang w:val="en-US" w:eastAsia="zh-CN" w:bidi="ar-SA"/>
    </w:rPr>
  </w:style>
  <w:style w:type="table" w:customStyle="1" w:styleId="787">
    <w:name w:val="典雅型11"/>
    <w:basedOn w:val="56"/>
    <w:qFormat/>
    <w:uiPriority w:val="0"/>
    <w:pPr>
      <w:widowControl w:val="0"/>
      <w:spacing w:line="360" w:lineRule="exact"/>
      <w:jc w:val="center"/>
    </w:pPr>
    <w:rPr>
      <w:rFonts w:ascii="宋体" w:hAnsi="宋体" w:cs="宋体"/>
      <w:sz w:val="21"/>
    </w:rPr>
    <w:tblPr>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tblCellMar>
        <w:left w:w="0" w:type="dxa"/>
        <w:right w:w="0" w:type="dxa"/>
      </w:tblCellMar>
    </w:tblPr>
    <w:tcPr>
      <w:shd w:val="clear" w:color="auto" w:fill="auto"/>
      <w:vAlign w:val="center"/>
    </w:tcPr>
    <w:tblStylePr w:type="firstRow">
      <w:rPr>
        <w:caps/>
        <w:color w:val="auto"/>
      </w:rPr>
      <w:tcPr>
        <w:tcBorders>
          <w:tl2br w:val="nil"/>
          <w:tr2bl w:val="nil"/>
        </w:tcBorders>
      </w:tcPr>
    </w:tblStylePr>
  </w:style>
  <w:style w:type="paragraph" w:customStyle="1" w:styleId="788">
    <w:name w:val="表头、图名"/>
    <w:basedOn w:val="1"/>
    <w:unhideWhenUsed/>
    <w:qFormat/>
    <w:uiPriority w:val="0"/>
    <w:pPr>
      <w:kinsoku w:val="0"/>
      <w:overflowPunct w:val="0"/>
      <w:jc w:val="center"/>
    </w:pPr>
    <w:rPr>
      <w:rFonts w:hint="eastAsia"/>
      <w:b/>
    </w:rPr>
  </w:style>
  <w:style w:type="paragraph" w:customStyle="1" w:styleId="789">
    <w:name w:val="表格（小四号）"/>
    <w:basedOn w:val="1"/>
    <w:unhideWhenUsed/>
    <w:qFormat/>
    <w:uiPriority w:val="0"/>
    <w:pPr>
      <w:kinsoku w:val="0"/>
      <w:overflowPunct w:val="0"/>
      <w:adjustRightInd w:val="0"/>
      <w:snapToGrid w:val="0"/>
      <w:jc w:val="center"/>
    </w:pPr>
    <w:rPr>
      <w:rFonts w:hint="eastAsia"/>
    </w:rPr>
  </w:style>
  <w:style w:type="paragraph" w:customStyle="1" w:styleId="790">
    <w:name w:val="0正文"/>
    <w:basedOn w:val="1"/>
    <w:next w:val="1"/>
    <w:qFormat/>
    <w:uiPriority w:val="0"/>
    <w:pPr>
      <w:suppressAutoHyphens/>
      <w:ind w:firstLine="480"/>
    </w:pPr>
    <w:rPr>
      <w:kern w:val="24"/>
      <w:lang w:bidi="en-US"/>
    </w:rPr>
  </w:style>
  <w:style w:type="table" w:customStyle="1" w:styleId="791">
    <w:name w:val="Table Normal1"/>
    <w:semiHidden/>
    <w:unhideWhenUsed/>
    <w:qFormat/>
    <w:uiPriority w:val="2"/>
    <w:tblPr>
      <w:tblCellMar>
        <w:top w:w="0" w:type="dxa"/>
        <w:left w:w="0" w:type="dxa"/>
        <w:bottom w:w="0" w:type="dxa"/>
        <w:right w:w="0" w:type="dxa"/>
      </w:tblCellMar>
    </w:tblPr>
  </w:style>
  <w:style w:type="table" w:customStyle="1" w:styleId="792">
    <w:name w:val="Table Normal2"/>
    <w:semiHidden/>
    <w:unhideWhenUsed/>
    <w:qFormat/>
    <w:uiPriority w:val="2"/>
    <w:tblPr>
      <w:tblCellMar>
        <w:top w:w="0" w:type="dxa"/>
        <w:left w:w="0" w:type="dxa"/>
        <w:bottom w:w="0" w:type="dxa"/>
        <w:right w:w="0" w:type="dxa"/>
      </w:tblCellMar>
    </w:tblPr>
  </w:style>
  <w:style w:type="table" w:customStyle="1" w:styleId="793">
    <w:name w:val="网格型4"/>
    <w:basedOn w:val="56"/>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94">
    <w:name w:val="页眉1"/>
    <w:qFormat/>
    <w:uiPriority w:val="0"/>
    <w:pPr>
      <w:widowControl w:val="0"/>
      <w:pBdr>
        <w:bottom w:val="single" w:color="auto" w:sz="4" w:space="1"/>
      </w:pBdr>
      <w:tabs>
        <w:tab w:val="center" w:pos="4153"/>
        <w:tab w:val="right" w:pos="8306"/>
      </w:tabs>
      <w:jc w:val="center"/>
    </w:pPr>
    <w:rPr>
      <w:rFonts w:hint="eastAsia" w:ascii="Times New Roman" w:hAnsi="Times New Roman" w:eastAsia="宋体" w:cs="Times New Roman"/>
      <w:kern w:val="2"/>
      <w:sz w:val="18"/>
      <w:szCs w:val="28"/>
      <w:lang w:val="en-US" w:eastAsia="zh-CN" w:bidi="ar-SA"/>
    </w:rPr>
  </w:style>
  <w:style w:type="paragraph" w:customStyle="1" w:styleId="795">
    <w:name w:val="正文-使用"/>
    <w:basedOn w:val="1"/>
    <w:qFormat/>
    <w:uiPriority w:val="0"/>
    <w:pPr>
      <w:spacing w:line="360" w:lineRule="auto"/>
      <w:ind w:firstLine="482"/>
    </w:pPr>
    <w:rPr>
      <w:rFonts w:ascii="宋体" w:hAnsi="Times New Roman"/>
      <w:kern w:val="0"/>
      <w:sz w:val="24"/>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70.png"/><Relationship Id="rId98" Type="http://schemas.openxmlformats.org/officeDocument/2006/relationships/hyperlink" Target="http://www.biaozhi.net/eNews/news/200602/0029_0000000910.shtml" TargetMode="External"/><Relationship Id="rId97" Type="http://schemas.openxmlformats.org/officeDocument/2006/relationships/image" Target="media/image69.jpeg"/><Relationship Id="rId96" Type="http://schemas.openxmlformats.org/officeDocument/2006/relationships/hyperlink" Target="http://www.biaozhi.net/eNews/news/200602/0029_0000000909.shtml" TargetMode="External"/><Relationship Id="rId95" Type="http://schemas.openxmlformats.org/officeDocument/2006/relationships/image" Target="media/image68.jpeg"/><Relationship Id="rId94" Type="http://schemas.openxmlformats.org/officeDocument/2006/relationships/image" Target="media/image67.jpeg"/><Relationship Id="rId93" Type="http://schemas.openxmlformats.org/officeDocument/2006/relationships/image" Target="media/image66.jpe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hyperlink" Target="http://www.biaozhi.net/eNews/news/200602/0029_0000000908.shtml" TargetMode="External"/><Relationship Id="rId9" Type="http://schemas.openxmlformats.org/officeDocument/2006/relationships/footer" Target="footer4.xml"/><Relationship Id="rId89" Type="http://schemas.openxmlformats.org/officeDocument/2006/relationships/image" Target="media/image63.jpeg"/><Relationship Id="rId88" Type="http://schemas.openxmlformats.org/officeDocument/2006/relationships/hyperlink" Target="http://www.biaozhi.net/eNews/news/200602/0029_0000000907.shtml" TargetMode="External"/><Relationship Id="rId87" Type="http://schemas.openxmlformats.org/officeDocument/2006/relationships/image" Target="media/image62.jpeg"/><Relationship Id="rId86" Type="http://schemas.openxmlformats.org/officeDocument/2006/relationships/image" Target="media/image61.bmp"/><Relationship Id="rId85" Type="http://schemas.openxmlformats.org/officeDocument/2006/relationships/image" Target="media/image60.png"/><Relationship Id="rId84" Type="http://schemas.openxmlformats.org/officeDocument/2006/relationships/image" Target="media/image59.jpeg"/><Relationship Id="rId83" Type="http://schemas.openxmlformats.org/officeDocument/2006/relationships/image" Target="media/image58.png"/><Relationship Id="rId82" Type="http://schemas.openxmlformats.org/officeDocument/2006/relationships/image" Target="media/image57.png"/><Relationship Id="rId81" Type="http://schemas.openxmlformats.org/officeDocument/2006/relationships/image" Target="media/image56.png"/><Relationship Id="rId80" Type="http://schemas.openxmlformats.org/officeDocument/2006/relationships/image" Target="media/image55.png"/><Relationship Id="rId8" Type="http://schemas.openxmlformats.org/officeDocument/2006/relationships/footer" Target="footer3.xml"/><Relationship Id="rId79" Type="http://schemas.openxmlformats.org/officeDocument/2006/relationships/image" Target="media/image54.png"/><Relationship Id="rId78" Type="http://schemas.openxmlformats.org/officeDocument/2006/relationships/image" Target="media/image53.png"/><Relationship Id="rId77" Type="http://schemas.openxmlformats.org/officeDocument/2006/relationships/image" Target="media/image52.png"/><Relationship Id="rId76" Type="http://schemas.openxmlformats.org/officeDocument/2006/relationships/image" Target="media/image51.png"/><Relationship Id="rId75" Type="http://schemas.openxmlformats.org/officeDocument/2006/relationships/image" Target="media/image50.wmf"/><Relationship Id="rId74" Type="http://schemas.openxmlformats.org/officeDocument/2006/relationships/oleObject" Target="embeddings/oleObject5.bin"/><Relationship Id="rId73" Type="http://schemas.openxmlformats.org/officeDocument/2006/relationships/image" Target="media/image49.png"/><Relationship Id="rId72" Type="http://schemas.openxmlformats.org/officeDocument/2006/relationships/image" Target="media/image48.png"/><Relationship Id="rId71" Type="http://schemas.openxmlformats.org/officeDocument/2006/relationships/image" Target="media/image47.png"/><Relationship Id="rId70" Type="http://schemas.openxmlformats.org/officeDocument/2006/relationships/image" Target="media/image46.png"/><Relationship Id="rId7" Type="http://schemas.openxmlformats.org/officeDocument/2006/relationships/header" Target="header3.xml"/><Relationship Id="rId69" Type="http://schemas.openxmlformats.org/officeDocument/2006/relationships/image" Target="media/image45.wmf"/><Relationship Id="rId68" Type="http://schemas.openxmlformats.org/officeDocument/2006/relationships/oleObject" Target="embeddings/oleObject4.bin"/><Relationship Id="rId67" Type="http://schemas.openxmlformats.org/officeDocument/2006/relationships/image" Target="media/image44.wmf"/><Relationship Id="rId66" Type="http://schemas.openxmlformats.org/officeDocument/2006/relationships/image" Target="media/image43.wmf"/><Relationship Id="rId65" Type="http://schemas.openxmlformats.org/officeDocument/2006/relationships/image" Target="media/image42.wmf"/><Relationship Id="rId64" Type="http://schemas.openxmlformats.org/officeDocument/2006/relationships/image" Target="media/image41.wmf"/><Relationship Id="rId63" Type="http://schemas.openxmlformats.org/officeDocument/2006/relationships/image" Target="media/image40.wmf"/><Relationship Id="rId62" Type="http://schemas.openxmlformats.org/officeDocument/2006/relationships/image" Target="media/image39.wmf"/><Relationship Id="rId61" Type="http://schemas.openxmlformats.org/officeDocument/2006/relationships/image" Target="media/image38.wmf"/><Relationship Id="rId60" Type="http://schemas.openxmlformats.org/officeDocument/2006/relationships/image" Target="media/image37.wmf"/><Relationship Id="rId6" Type="http://schemas.openxmlformats.org/officeDocument/2006/relationships/footer" Target="footer2.xml"/><Relationship Id="rId59" Type="http://schemas.openxmlformats.org/officeDocument/2006/relationships/image" Target="media/image36.wmf"/><Relationship Id="rId58" Type="http://schemas.openxmlformats.org/officeDocument/2006/relationships/image" Target="media/image35.wmf"/><Relationship Id="rId57" Type="http://schemas.openxmlformats.org/officeDocument/2006/relationships/image" Target="media/image34.wmf"/><Relationship Id="rId56" Type="http://schemas.openxmlformats.org/officeDocument/2006/relationships/image" Target="media/image33.wmf"/><Relationship Id="rId55" Type="http://schemas.openxmlformats.org/officeDocument/2006/relationships/image" Target="media/image32.wmf"/><Relationship Id="rId54" Type="http://schemas.openxmlformats.org/officeDocument/2006/relationships/image" Target="media/image31.wmf"/><Relationship Id="rId53" Type="http://schemas.openxmlformats.org/officeDocument/2006/relationships/image" Target="media/image30.wmf"/><Relationship Id="rId52" Type="http://schemas.openxmlformats.org/officeDocument/2006/relationships/image" Target="media/image29.wmf"/><Relationship Id="rId51" Type="http://schemas.openxmlformats.org/officeDocument/2006/relationships/image" Target="media/image28.wmf"/><Relationship Id="rId50" Type="http://schemas.openxmlformats.org/officeDocument/2006/relationships/image" Target="media/image27.wmf"/><Relationship Id="rId5" Type="http://schemas.openxmlformats.org/officeDocument/2006/relationships/header" Target="header2.xml"/><Relationship Id="rId49" Type="http://schemas.openxmlformats.org/officeDocument/2006/relationships/image" Target="media/image26.wmf"/><Relationship Id="rId48" Type="http://schemas.openxmlformats.org/officeDocument/2006/relationships/image" Target="media/image25.wmf"/><Relationship Id="rId47" Type="http://schemas.openxmlformats.org/officeDocument/2006/relationships/image" Target="media/image24.wmf"/><Relationship Id="rId46" Type="http://schemas.openxmlformats.org/officeDocument/2006/relationships/image" Target="media/image23.wmf"/><Relationship Id="rId45" Type="http://schemas.openxmlformats.org/officeDocument/2006/relationships/image" Target="media/image22.wmf"/><Relationship Id="rId44" Type="http://schemas.openxmlformats.org/officeDocument/2006/relationships/image" Target="media/image21.png"/><Relationship Id="rId43" Type="http://schemas.openxmlformats.org/officeDocument/2006/relationships/image" Target="media/image20.png"/><Relationship Id="rId42" Type="http://schemas.openxmlformats.org/officeDocument/2006/relationships/image" Target="media/image19.png"/><Relationship Id="rId41" Type="http://schemas.openxmlformats.org/officeDocument/2006/relationships/image" Target="media/image18.png"/><Relationship Id="rId40" Type="http://schemas.openxmlformats.org/officeDocument/2006/relationships/image" Target="media/image17.png"/><Relationship Id="rId4" Type="http://schemas.openxmlformats.org/officeDocument/2006/relationships/footer" Target="footer1.xml"/><Relationship Id="rId39" Type="http://schemas.openxmlformats.org/officeDocument/2006/relationships/image" Target="media/image16.png"/><Relationship Id="rId38" Type="http://schemas.openxmlformats.org/officeDocument/2006/relationships/image" Target="media/image15.png"/><Relationship Id="rId37" Type="http://schemas.openxmlformats.org/officeDocument/2006/relationships/image" Target="media/image14.wmf"/><Relationship Id="rId36" Type="http://schemas.openxmlformats.org/officeDocument/2006/relationships/image" Target="media/image13.png"/><Relationship Id="rId35" Type="http://schemas.openxmlformats.org/officeDocument/2006/relationships/image" Target="media/image12.png"/><Relationship Id="rId34" Type="http://schemas.openxmlformats.org/officeDocument/2006/relationships/image" Target="media/image11.png"/><Relationship Id="rId33" Type="http://schemas.openxmlformats.org/officeDocument/2006/relationships/image" Target="media/image10.emf"/><Relationship Id="rId32" Type="http://schemas.openxmlformats.org/officeDocument/2006/relationships/chart" Target="charts/chart3.xml"/><Relationship Id="rId31" Type="http://schemas.openxmlformats.org/officeDocument/2006/relationships/chart" Target="charts/chart2.xml"/><Relationship Id="rId30" Type="http://schemas.openxmlformats.org/officeDocument/2006/relationships/image" Target="media/image9.emf"/><Relationship Id="rId3" Type="http://schemas.openxmlformats.org/officeDocument/2006/relationships/header" Target="header1.xml"/><Relationship Id="rId29" Type="http://schemas.openxmlformats.org/officeDocument/2006/relationships/chart" Target="charts/chart1.xml"/><Relationship Id="rId28" Type="http://schemas.openxmlformats.org/officeDocument/2006/relationships/image" Target="media/image8.png"/><Relationship Id="rId27" Type="http://schemas.openxmlformats.org/officeDocument/2006/relationships/image" Target="media/image7.wmf"/><Relationship Id="rId26" Type="http://schemas.openxmlformats.org/officeDocument/2006/relationships/image" Target="media/image6.wmf"/><Relationship Id="rId25" Type="http://schemas.openxmlformats.org/officeDocument/2006/relationships/oleObject" Target="embeddings/oleObject3.bin"/><Relationship Id="rId24" Type="http://schemas.openxmlformats.org/officeDocument/2006/relationships/image" Target="media/image5.wmf"/><Relationship Id="rId23" Type="http://schemas.openxmlformats.org/officeDocument/2006/relationships/oleObject" Target="embeddings/oleObject2.bin"/><Relationship Id="rId22" Type="http://schemas.openxmlformats.org/officeDocument/2006/relationships/image" Target="media/image4.png"/><Relationship Id="rId21" Type="http://schemas.openxmlformats.org/officeDocument/2006/relationships/image" Target="media/image3.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4" Type="http://schemas.openxmlformats.org/officeDocument/2006/relationships/fontTable" Target="fontTable.xml"/><Relationship Id="rId103" Type="http://schemas.openxmlformats.org/officeDocument/2006/relationships/customXml" Target="../customXml/item3.xml"/><Relationship Id="rId102" Type="http://schemas.openxmlformats.org/officeDocument/2006/relationships/customXml" Target="../customXml/item2.xml"/><Relationship Id="rId101" Type="http://schemas.openxmlformats.org/officeDocument/2006/relationships/numbering" Target="numbering.xml"/><Relationship Id="rId100" Type="http://schemas.openxmlformats.org/officeDocument/2006/relationships/customXml" Target="../customXml/item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E:\&#26032;&#30086;&#39033;&#30446;\&#20975;&#36187;&#29983;&#29289;&#31185;&#25216;\&#22823;&#27668;&#39044;&#27979;\2024&#27668;&#35937;&#25968;&#25454;&#32479;&#3574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6032;&#30086;&#39033;&#30446;\&#20975;&#36187;&#29983;&#29289;&#31185;&#25216;\&#22823;&#27668;&#39044;&#27979;\2024&#27668;&#35937;&#25968;&#25454;&#32479;&#3574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6032;&#30086;&#39033;&#30446;\&#20975;&#36187;&#29983;&#29289;&#31185;&#25216;\&#22823;&#27668;&#39044;&#27979;\2024&#27668;&#35937;&#25968;&#25454;&#32479;&#3574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 年平均温度的月变化图  </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01"/>
          <c:y val="0.20225"/>
          <c:w val="0.84375"/>
          <c:h val="0.63975"/>
        </c:manualLayout>
      </c:layout>
      <c:lineChart>
        <c:grouping val="standard"/>
        <c:varyColors val="0"/>
        <c:ser>
          <c:idx val="0"/>
          <c:order val="0"/>
          <c:tx>
            <c:strRef>
              <c:f>[2024气象数据统计.XLS]数据!$A$3</c:f>
              <c:strCache>
                <c:ptCount val="1"/>
                <c:pt idx="0">
                  <c:v>  温度(℃)  </c:v>
                </c:pt>
              </c:strCache>
            </c:strRef>
          </c:tx>
          <c:spPr>
            <a:ln w="12700" cap="rnd" cmpd="sng" algn="ctr">
              <a:solidFill>
                <a:srgbClr val="000080"/>
              </a:solidFill>
              <a:prstDash val="solid"/>
              <a:round/>
            </a:ln>
          </c:spPr>
          <c:marker>
            <c:symbol val="diamond"/>
            <c:size val="5"/>
            <c:spPr>
              <a:solidFill>
                <a:srgbClr val="000080"/>
              </a:solidFill>
              <a:ln w="6350" cap="flat" cmpd="sng" algn="ctr">
                <a:solidFill>
                  <a:srgbClr val="000080"/>
                </a:solidFill>
                <a:prstDash val="solid"/>
                <a:round/>
              </a:ln>
            </c:spPr>
          </c:marker>
          <c:dLbls>
            <c:delete val="1"/>
          </c:dLbls>
          <c:cat>
            <c:strRef>
              <c:f>[2024气象数据统计.XLS]数据!$B$2:$M$2</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[2024气象数据统计.XLS]数据!$B$3:$M$3</c:f>
              <c:numCache>
                <c:formatCode>0.00_ </c:formatCode>
                <c:ptCount val="12"/>
                <c:pt idx="0">
                  <c:v>-12.5</c:v>
                </c:pt>
                <c:pt idx="1">
                  <c:v>-13.8999996185303</c:v>
                </c:pt>
                <c:pt idx="2">
                  <c:v>2.15000009536743</c:v>
                </c:pt>
                <c:pt idx="3">
                  <c:v>14.3299999237061</c:v>
                </c:pt>
                <c:pt idx="4">
                  <c:v>21.8600006103516</c:v>
                </c:pt>
                <c:pt idx="5">
                  <c:v>27.0499992370605</c:v>
                </c:pt>
                <c:pt idx="6">
                  <c:v>27.2000007629395</c:v>
                </c:pt>
                <c:pt idx="7">
                  <c:v>26.6399993896484</c:v>
                </c:pt>
                <c:pt idx="8">
                  <c:v>16.4200000762939</c:v>
                </c:pt>
                <c:pt idx="9">
                  <c:v>10.8100004196167</c:v>
                </c:pt>
                <c:pt idx="10">
                  <c:v>-0.219999998807907</c:v>
                </c:pt>
                <c:pt idx="11">
                  <c:v>-12.3000001907349</c:v>
                </c:pt>
              </c:numCache>
            </c:numRef>
          </c:val>
          <c:smooth val="0"/>
        </c:ser>
        <c:dLbls>
          <c:showLegendKey val="0"/>
          <c:showVal val="0"/>
          <c:showCatName val="0"/>
          <c:showSerName val="0"/>
          <c:showPercent val="0"/>
          <c:showBubbleSize val="0"/>
        </c:dLbls>
        <c:marker val="1"/>
        <c:smooth val="0"/>
        <c:axId val="870308742"/>
        <c:axId val="392103837"/>
      </c:lineChart>
      <c:catAx>
        <c:axId val="870308742"/>
        <c:scaling>
          <c:orientation val="minMax"/>
        </c:scaling>
        <c:delete val="0"/>
        <c:axPos val="b"/>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92103837"/>
        <c:crosses val="autoZero"/>
        <c:auto val="1"/>
        <c:lblAlgn val="ctr"/>
        <c:lblOffset val="100"/>
        <c:noMultiLvlLbl val="0"/>
      </c:catAx>
      <c:valAx>
        <c:axId val="392103837"/>
        <c:scaling>
          <c:orientation val="minMax"/>
        </c:scaling>
        <c:delete val="0"/>
        <c:axPos val="l"/>
        <c:majorGridlines>
          <c:spPr>
            <a:ln w="3175" cap="flat" cmpd="sng" algn="ctr">
              <a:solidFill>
                <a:srgbClr val="000000">
                  <a:alpha val="100000"/>
                </a:srgbClr>
              </a:solidFill>
              <a:prstDash val="solid"/>
              <a:round/>
            </a:ln>
          </c:spPr>
        </c:majorGridlines>
        <c:title>
          <c:tx>
            <c:rich>
              <a:bodyPr rot="-5400000" spcFirstLastPara="0" vertOverflow="ellipsis" vert="horz" wrap="square" anchor="ctr" anchorCtr="1"/>
              <a:lstStyle/>
              <a:p>
                <a:pPr defTabSz="914400">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温度(℃) </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
              <c:y val="0.411585607058126"/>
            </c:manualLayout>
          </c:layout>
          <c:overlay val="0"/>
        </c:title>
        <c:numFmt formatCode="0.00_ "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70308742"/>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2d0a3e85-7102-4dd0-9350-4a5e66852985}"/>
      </c:ext>
    </c:extLst>
  </c:chart>
  <c:spPr>
    <a:solidFill>
      <a:srgbClr val="FFFFFF"/>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年平均风速的月变化  </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22"/>
          <c:y val="0.20225"/>
          <c:w val="0.83075"/>
          <c:h val="0.63975"/>
        </c:manualLayout>
      </c:layout>
      <c:lineChart>
        <c:grouping val="standard"/>
        <c:varyColors val="0"/>
        <c:ser>
          <c:idx val="0"/>
          <c:order val="0"/>
          <c:tx>
            <c:strRef>
              <c:f>[2024气象数据统计.XLS]数据!$A$7</c:f>
              <c:strCache>
                <c:ptCount val="1"/>
                <c:pt idx="0">
                  <c:v> 风速(m/s)  </c:v>
                </c:pt>
              </c:strCache>
            </c:strRef>
          </c:tx>
          <c:spPr>
            <a:ln w="12700" cap="rnd" cmpd="sng" algn="ctr">
              <a:solidFill>
                <a:srgbClr val="000080"/>
              </a:solidFill>
              <a:prstDash val="solid"/>
              <a:round/>
            </a:ln>
          </c:spPr>
          <c:marker>
            <c:symbol val="diamond"/>
            <c:size val="5"/>
            <c:spPr>
              <a:solidFill>
                <a:srgbClr val="000080"/>
              </a:solidFill>
              <a:ln w="6350" cap="flat" cmpd="sng" algn="ctr">
                <a:solidFill>
                  <a:srgbClr val="000080"/>
                </a:solidFill>
                <a:prstDash val="solid"/>
                <a:round/>
              </a:ln>
            </c:spPr>
          </c:marker>
          <c:dLbls>
            <c:delete val="1"/>
          </c:dLbls>
          <c:cat>
            <c:strRef>
              <c:f>[2024气象数据统计.XLS]数据!$B$6:$M$6</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[2024气象数据统计.XLS]数据!$B$7:$M$7</c:f>
              <c:numCache>
                <c:formatCode>0.00_ </c:formatCode>
                <c:ptCount val="12"/>
                <c:pt idx="0">
                  <c:v>1.00999999046326</c:v>
                </c:pt>
                <c:pt idx="1">
                  <c:v>1.23000001907349</c:v>
                </c:pt>
                <c:pt idx="2">
                  <c:v>1.58000004291534</c:v>
                </c:pt>
                <c:pt idx="3">
                  <c:v>1.8400000333786</c:v>
                </c:pt>
                <c:pt idx="4">
                  <c:v>1.85000002384186</c:v>
                </c:pt>
                <c:pt idx="5">
                  <c:v>1.92999994754791</c:v>
                </c:pt>
                <c:pt idx="6">
                  <c:v>1.78999996185303</c:v>
                </c:pt>
                <c:pt idx="7">
                  <c:v>1.69000005722046</c:v>
                </c:pt>
                <c:pt idx="8">
                  <c:v>1.44000005722046</c:v>
                </c:pt>
                <c:pt idx="9">
                  <c:v>1.28999996185303</c:v>
                </c:pt>
                <c:pt idx="10">
                  <c:v>1.21000003814697</c:v>
                </c:pt>
                <c:pt idx="11">
                  <c:v>1.01999998092651</c:v>
                </c:pt>
              </c:numCache>
            </c:numRef>
          </c:val>
          <c:smooth val="0"/>
        </c:ser>
        <c:dLbls>
          <c:showLegendKey val="0"/>
          <c:showVal val="0"/>
          <c:showCatName val="0"/>
          <c:showSerName val="0"/>
          <c:showPercent val="0"/>
          <c:showBubbleSize val="0"/>
        </c:dLbls>
        <c:marker val="1"/>
        <c:smooth val="0"/>
        <c:axId val="224682738"/>
        <c:axId val="303756683"/>
      </c:lineChart>
      <c:catAx>
        <c:axId val="224682738"/>
        <c:scaling>
          <c:orientation val="minMax"/>
        </c:scaling>
        <c:delete val="0"/>
        <c:axPos val="b"/>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03756683"/>
        <c:crosses val="autoZero"/>
        <c:auto val="1"/>
        <c:lblAlgn val="ctr"/>
        <c:lblOffset val="100"/>
        <c:noMultiLvlLbl val="0"/>
      </c:catAx>
      <c:valAx>
        <c:axId val="303756683"/>
        <c:scaling>
          <c:orientation val="minMax"/>
        </c:scaling>
        <c:delete val="0"/>
        <c:axPos val="l"/>
        <c:majorGridlines>
          <c:spPr>
            <a:ln w="3175" cap="flat" cmpd="sng" algn="ctr">
              <a:solidFill>
                <a:srgbClr val="000000">
                  <a:alpha val="100000"/>
                </a:srgbClr>
              </a:solidFill>
              <a:prstDash val="solid"/>
              <a:round/>
            </a:ln>
          </c:spPr>
        </c:majorGridlines>
        <c:title>
          <c:tx>
            <c:rich>
              <a:bodyPr rot="-5400000" spcFirstLastPara="0" vertOverflow="ellipsis" vert="horz" wrap="square" anchor="ctr" anchorCtr="1"/>
              <a:lstStyle/>
              <a:p>
                <a:pPr defTabSz="914400">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风速(m/s) </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
              <c:y val="0.374480107058126"/>
            </c:manualLayout>
          </c:layout>
          <c:overlay val="0"/>
        </c:title>
        <c:numFmt formatCode="0.00_ " sourceLinked="0"/>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24682738"/>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ec7fc8e6-ab91-4e83-b416-e0668fd43254}"/>
      </c:ext>
    </c:extLst>
  </c:chart>
  <c:spPr>
    <a:solidFill>
      <a:srgbClr val="FFFFFF"/>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季小时平均风速的日变化</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205"/>
          <c:y val="0.142"/>
          <c:w val="0.7285"/>
          <c:h val="0.71275"/>
        </c:manualLayout>
      </c:layout>
      <c:lineChart>
        <c:grouping val="standard"/>
        <c:varyColors val="0"/>
        <c:ser>
          <c:idx val="0"/>
          <c:order val="0"/>
          <c:tx>
            <c:strRef>
              <c:f>[2024气象数据统计.XLS]图形!$A$167</c:f>
              <c:strCache>
                <c:ptCount val="1"/>
                <c:pt idx="0">
                  <c:v>春季                </c:v>
                </c:pt>
              </c:strCache>
            </c:strRef>
          </c:tx>
          <c:spPr>
            <a:ln w="12700" cap="rnd" cmpd="sng" algn="ctr">
              <a:solidFill>
                <a:srgbClr val="000080"/>
              </a:solidFill>
              <a:prstDash val="solid"/>
              <a:round/>
            </a:ln>
          </c:spPr>
          <c:marker>
            <c:symbol val="diamond"/>
            <c:size val="5"/>
            <c:spPr>
              <a:solidFill>
                <a:srgbClr val="000080"/>
              </a:solidFill>
              <a:ln w="6350" cap="flat" cmpd="sng" algn="ctr">
                <a:solidFill>
                  <a:srgbClr val="000080"/>
                </a:solidFill>
                <a:prstDash val="solid"/>
                <a:round/>
              </a:ln>
            </c:spPr>
          </c:marker>
          <c:dLbls>
            <c:delete val="1"/>
          </c:dLbls>
          <c:val>
            <c:numRef>
              <c:f>[2024气象数据统计.XLS]图形!$B$167:$Y$167</c:f>
              <c:numCache>
                <c:formatCode>General</c:formatCode>
                <c:ptCount val="24"/>
                <c:pt idx="0">
                  <c:v>1.61000001430511</c:v>
                </c:pt>
                <c:pt idx="1">
                  <c:v>1.52999997138977</c:v>
                </c:pt>
                <c:pt idx="2">
                  <c:v>1.61000001430511</c:v>
                </c:pt>
                <c:pt idx="3">
                  <c:v>1.52999997138977</c:v>
                </c:pt>
                <c:pt idx="4">
                  <c:v>1.51999998092651</c:v>
                </c:pt>
                <c:pt idx="5">
                  <c:v>1.45000004768372</c:v>
                </c:pt>
                <c:pt idx="6">
                  <c:v>1.50999999046326</c:v>
                </c:pt>
                <c:pt idx="7">
                  <c:v>1.63999998569489</c:v>
                </c:pt>
                <c:pt idx="8">
                  <c:v>1.96000003814697</c:v>
                </c:pt>
                <c:pt idx="9">
                  <c:v>2.13000011444092</c:v>
                </c:pt>
                <c:pt idx="10">
                  <c:v>2.19000005722046</c:v>
                </c:pt>
                <c:pt idx="11">
                  <c:v>2.22000002861023</c:v>
                </c:pt>
                <c:pt idx="12">
                  <c:v>2.21000003814697</c:v>
                </c:pt>
                <c:pt idx="13">
                  <c:v>2.14000010490417</c:v>
                </c:pt>
                <c:pt idx="14">
                  <c:v>2.07999992370605</c:v>
                </c:pt>
                <c:pt idx="15">
                  <c:v>2.15000009536743</c:v>
                </c:pt>
                <c:pt idx="16">
                  <c:v>2.02999997138977</c:v>
                </c:pt>
                <c:pt idx="17">
                  <c:v>1.72000002861023</c:v>
                </c:pt>
                <c:pt idx="18">
                  <c:v>1.49000000953674</c:v>
                </c:pt>
                <c:pt idx="19">
                  <c:v>1.30999994277954</c:v>
                </c:pt>
                <c:pt idx="20">
                  <c:v>1.5</c:v>
                </c:pt>
                <c:pt idx="21">
                  <c:v>1.50999999046326</c:v>
                </c:pt>
                <c:pt idx="22">
                  <c:v>1.51999998092651</c:v>
                </c:pt>
                <c:pt idx="23">
                  <c:v>1.58000004291534</c:v>
                </c:pt>
              </c:numCache>
            </c:numRef>
          </c:val>
          <c:smooth val="0"/>
        </c:ser>
        <c:ser>
          <c:idx val="1"/>
          <c:order val="1"/>
          <c:tx>
            <c:strRef>
              <c:f>[2024气象数据统计.XLS]图形!$A$168</c:f>
              <c:strCache>
                <c:ptCount val="1"/>
                <c:pt idx="0">
                  <c:v>夏季                </c:v>
                </c:pt>
              </c:strCache>
            </c:strRef>
          </c:tx>
          <c:spPr>
            <a:ln w="12700" cap="rnd" cmpd="sng" algn="ctr">
              <a:solidFill>
                <a:srgbClr val="FF00FF"/>
              </a:solidFill>
              <a:prstDash val="solid"/>
              <a:round/>
            </a:ln>
          </c:spPr>
          <c:marker>
            <c:symbol val="square"/>
            <c:size val="5"/>
            <c:spPr>
              <a:solidFill>
                <a:srgbClr val="FF00FF"/>
              </a:solidFill>
              <a:ln w="6350" cap="flat" cmpd="sng" algn="ctr">
                <a:solidFill>
                  <a:srgbClr val="FF00FF"/>
                </a:solidFill>
                <a:prstDash val="solid"/>
                <a:round/>
              </a:ln>
            </c:spPr>
          </c:marker>
          <c:dLbls>
            <c:delete val="1"/>
          </c:dLbls>
          <c:val>
            <c:numRef>
              <c:f>[2024气象数据统计.XLS]图形!$B$168:$Y$168</c:f>
              <c:numCache>
                <c:formatCode>General</c:formatCode>
                <c:ptCount val="24"/>
                <c:pt idx="0">
                  <c:v>1.62999999523163</c:v>
                </c:pt>
                <c:pt idx="1">
                  <c:v>1.54999995231628</c:v>
                </c:pt>
                <c:pt idx="2">
                  <c:v>1.62000000476837</c:v>
                </c:pt>
                <c:pt idx="3">
                  <c:v>1.64999997615814</c:v>
                </c:pt>
                <c:pt idx="4">
                  <c:v>1.5</c:v>
                </c:pt>
                <c:pt idx="5">
                  <c:v>1.39999997615814</c:v>
                </c:pt>
                <c:pt idx="6">
                  <c:v>1.35000002384186</c:v>
                </c:pt>
                <c:pt idx="7">
                  <c:v>1.71000003814697</c:v>
                </c:pt>
                <c:pt idx="8">
                  <c:v>1.95000004768372</c:v>
                </c:pt>
                <c:pt idx="9">
                  <c:v>2.14000010490417</c:v>
                </c:pt>
                <c:pt idx="10">
                  <c:v>2.20000004768372</c:v>
                </c:pt>
                <c:pt idx="11">
                  <c:v>2.19000005722046</c:v>
                </c:pt>
                <c:pt idx="12">
                  <c:v>2.26999998092651</c:v>
                </c:pt>
                <c:pt idx="13">
                  <c:v>2.38000011444092</c:v>
                </c:pt>
                <c:pt idx="14">
                  <c:v>2.20000004768372</c:v>
                </c:pt>
                <c:pt idx="15">
                  <c:v>2.13000011444092</c:v>
                </c:pt>
                <c:pt idx="16">
                  <c:v>1.97000002861023</c:v>
                </c:pt>
                <c:pt idx="17">
                  <c:v>1.79999995231628</c:v>
                </c:pt>
                <c:pt idx="18">
                  <c:v>1.58000004291534</c:v>
                </c:pt>
                <c:pt idx="19">
                  <c:v>1.44000005722046</c:v>
                </c:pt>
                <c:pt idx="20">
                  <c:v>1.49000000953674</c:v>
                </c:pt>
                <c:pt idx="21">
                  <c:v>1.6599999666214</c:v>
                </c:pt>
                <c:pt idx="22">
                  <c:v>1.74000000953674</c:v>
                </c:pt>
                <c:pt idx="23">
                  <c:v>1.69000005722046</c:v>
                </c:pt>
              </c:numCache>
            </c:numRef>
          </c:val>
          <c:smooth val="0"/>
        </c:ser>
        <c:ser>
          <c:idx val="2"/>
          <c:order val="2"/>
          <c:tx>
            <c:strRef>
              <c:f>[2024气象数据统计.XLS]图形!$A$169</c:f>
              <c:strCache>
                <c:ptCount val="1"/>
                <c:pt idx="0">
                  <c:v>秋季                </c:v>
                </c:pt>
              </c:strCache>
            </c:strRef>
          </c:tx>
          <c:spPr>
            <a:ln w="12700" cap="rnd" cmpd="sng" algn="ctr">
              <a:solidFill>
                <a:srgbClr val="FFFF00"/>
              </a:solidFill>
              <a:prstDash val="solid"/>
              <a:round/>
            </a:ln>
          </c:spPr>
          <c:marker>
            <c:symbol val="triangle"/>
            <c:size val="5"/>
            <c:spPr>
              <a:solidFill>
                <a:srgbClr val="FFFF00"/>
              </a:solidFill>
              <a:ln w="6350" cap="flat" cmpd="sng" algn="ctr">
                <a:solidFill>
                  <a:srgbClr val="FFFF00"/>
                </a:solidFill>
                <a:prstDash val="solid"/>
                <a:round/>
              </a:ln>
            </c:spPr>
          </c:marker>
          <c:dLbls>
            <c:delete val="1"/>
          </c:dLbls>
          <c:val>
            <c:numRef>
              <c:f>[2024气象数据统计.XLS]图形!$B$169:$Y$169</c:f>
              <c:numCache>
                <c:formatCode>General</c:formatCode>
                <c:ptCount val="24"/>
                <c:pt idx="0">
                  <c:v>1.21000003814697</c:v>
                </c:pt>
                <c:pt idx="1">
                  <c:v>1.26999998092651</c:v>
                </c:pt>
                <c:pt idx="2">
                  <c:v>1.17999994754791</c:v>
                </c:pt>
                <c:pt idx="3">
                  <c:v>1.16999995708466</c:v>
                </c:pt>
                <c:pt idx="4">
                  <c:v>1.21000003814697</c:v>
                </c:pt>
                <c:pt idx="5">
                  <c:v>1.1599999666214</c:v>
                </c:pt>
                <c:pt idx="6">
                  <c:v>1.22000002861023</c:v>
                </c:pt>
                <c:pt idx="7">
                  <c:v>1.11000001430511</c:v>
                </c:pt>
                <c:pt idx="8">
                  <c:v>1.29999995231628</c:v>
                </c:pt>
                <c:pt idx="9">
                  <c:v>1.55999994277954</c:v>
                </c:pt>
                <c:pt idx="10">
                  <c:v>1.69000005722046</c:v>
                </c:pt>
                <c:pt idx="11">
                  <c:v>1.73000001907349</c:v>
                </c:pt>
                <c:pt idx="12">
                  <c:v>1.66999995708466</c:v>
                </c:pt>
                <c:pt idx="13">
                  <c:v>1.61000001430511</c:v>
                </c:pt>
                <c:pt idx="14">
                  <c:v>1.69000005722046</c:v>
                </c:pt>
                <c:pt idx="15">
                  <c:v>1.42999994754791</c:v>
                </c:pt>
                <c:pt idx="16">
                  <c:v>1.24000000953674</c:v>
                </c:pt>
                <c:pt idx="17">
                  <c:v>0.930000007152557</c:v>
                </c:pt>
                <c:pt idx="18">
                  <c:v>0.990000009536743</c:v>
                </c:pt>
                <c:pt idx="19">
                  <c:v>1.19000005722046</c:v>
                </c:pt>
                <c:pt idx="20">
                  <c:v>1.25999999046326</c:v>
                </c:pt>
                <c:pt idx="21">
                  <c:v>1.16999995708466</c:v>
                </c:pt>
                <c:pt idx="22">
                  <c:v>1.23000001907349</c:v>
                </c:pt>
                <c:pt idx="23">
                  <c:v>1.25999999046326</c:v>
                </c:pt>
              </c:numCache>
            </c:numRef>
          </c:val>
          <c:smooth val="0"/>
        </c:ser>
        <c:ser>
          <c:idx val="3"/>
          <c:order val="3"/>
          <c:tx>
            <c:strRef>
              <c:f>[2024气象数据统计.XLS]图形!$A$170</c:f>
              <c:strCache>
                <c:ptCount val="1"/>
                <c:pt idx="0">
                  <c:v>冬季                </c:v>
                </c:pt>
              </c:strCache>
            </c:strRef>
          </c:tx>
          <c:spPr>
            <a:ln w="12700" cap="rnd" cmpd="sng" algn="ctr">
              <a:solidFill>
                <a:srgbClr val="00FFFF"/>
              </a:solidFill>
              <a:prstDash val="solid"/>
              <a:round/>
            </a:ln>
          </c:spPr>
          <c:marker>
            <c:symbol val="x"/>
            <c:size val="5"/>
            <c:spPr>
              <a:noFill/>
              <a:ln w="6350" cap="flat" cmpd="sng" algn="ctr">
                <a:solidFill>
                  <a:srgbClr val="00FFFF"/>
                </a:solidFill>
                <a:prstDash val="solid"/>
                <a:round/>
              </a:ln>
            </c:spPr>
          </c:marker>
          <c:dLbls>
            <c:delete val="1"/>
          </c:dLbls>
          <c:val>
            <c:numRef>
              <c:f>[2024气象数据统计.XLS]图形!$B$170:$Y$170</c:f>
              <c:numCache>
                <c:formatCode>General</c:formatCode>
                <c:ptCount val="24"/>
                <c:pt idx="0">
                  <c:v>1.03999996185303</c:v>
                </c:pt>
                <c:pt idx="1">
                  <c:v>0.970000028610229</c:v>
                </c:pt>
                <c:pt idx="2">
                  <c:v>0.959999978542328</c:v>
                </c:pt>
                <c:pt idx="3">
                  <c:v>0.920000016689301</c:v>
                </c:pt>
                <c:pt idx="4">
                  <c:v>0.959999978542328</c:v>
                </c:pt>
                <c:pt idx="5">
                  <c:v>0.939999997615814</c:v>
                </c:pt>
                <c:pt idx="6">
                  <c:v>0.990000009536743</c:v>
                </c:pt>
                <c:pt idx="7">
                  <c:v>1.03999996185303</c:v>
                </c:pt>
                <c:pt idx="8">
                  <c:v>1.01999998092651</c:v>
                </c:pt>
                <c:pt idx="9">
                  <c:v>1.1599999666214</c:v>
                </c:pt>
                <c:pt idx="10">
                  <c:v>1.27999997138977</c:v>
                </c:pt>
                <c:pt idx="11">
                  <c:v>1.4099999666214</c:v>
                </c:pt>
                <c:pt idx="12">
                  <c:v>1.37999999523163</c:v>
                </c:pt>
                <c:pt idx="13">
                  <c:v>1.45000004768372</c:v>
                </c:pt>
                <c:pt idx="14">
                  <c:v>1.37999999523163</c:v>
                </c:pt>
                <c:pt idx="15">
                  <c:v>1.25999999046326</c:v>
                </c:pt>
                <c:pt idx="16">
                  <c:v>1.07000005245209</c:v>
                </c:pt>
                <c:pt idx="17">
                  <c:v>0.930000007152557</c:v>
                </c:pt>
                <c:pt idx="18">
                  <c:v>0.839999973773956</c:v>
                </c:pt>
                <c:pt idx="19">
                  <c:v>0.850000023841858</c:v>
                </c:pt>
                <c:pt idx="20">
                  <c:v>0.990000009536743</c:v>
                </c:pt>
                <c:pt idx="21">
                  <c:v>1.05999994277954</c:v>
                </c:pt>
                <c:pt idx="22">
                  <c:v>1.01999998092651</c:v>
                </c:pt>
                <c:pt idx="23">
                  <c:v>1.02999997138977</c:v>
                </c:pt>
              </c:numCache>
            </c:numRef>
          </c:val>
          <c:smooth val="0"/>
        </c:ser>
        <c:dLbls>
          <c:showLegendKey val="0"/>
          <c:showVal val="0"/>
          <c:showCatName val="0"/>
          <c:showSerName val="0"/>
          <c:showPercent val="0"/>
          <c:showBubbleSize val="0"/>
        </c:dLbls>
        <c:marker val="1"/>
        <c:smooth val="0"/>
        <c:axId val="837594946"/>
        <c:axId val="793840257"/>
      </c:lineChart>
      <c:catAx>
        <c:axId val="837594946"/>
        <c:scaling>
          <c:orientation val="minMax"/>
        </c:scaling>
        <c:delete val="0"/>
        <c:axPos val="b"/>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93840257"/>
        <c:crosses val="autoZero"/>
        <c:auto val="1"/>
        <c:lblAlgn val="ctr"/>
        <c:lblOffset val="100"/>
        <c:noMultiLvlLbl val="0"/>
      </c:catAx>
      <c:valAx>
        <c:axId val="793840257"/>
        <c:scaling>
          <c:orientation val="minMax"/>
        </c:scaling>
        <c:delete val="0"/>
        <c:axPos val="l"/>
        <c:majorGridlines>
          <c:spPr>
            <a:ln w="3175" cap="flat" cmpd="sng" algn="ctr">
              <a:solidFill>
                <a:srgbClr val="000000">
                  <a:alpha val="100000"/>
                </a:srgbClr>
              </a:solidFill>
              <a:prstDash val="solid"/>
              <a:round/>
            </a:ln>
          </c:spPr>
        </c:majorGridlines>
        <c:title>
          <c:tx>
            <c:rich>
              <a:bodyPr rot="-5400000" spcFirstLastPara="0" vertOverflow="ellipsis" vert="horz" wrap="square" anchor="ctr" anchorCtr="1"/>
              <a:lstStyle/>
              <a:p>
                <a:pPr defTabSz="914400">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风速(m/s)</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overlay val="0"/>
        </c:title>
        <c:numFmt formatCode="0.00_ " sourceLinked="0"/>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37594946"/>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85975"/>
          <c:y val="0.18475"/>
          <c:w val="0.12568306010929"/>
          <c:h val="0.505446623093682"/>
        </c:manualLayout>
      </c:layout>
      <c:overlay val="0"/>
      <c:spPr>
        <a:solidFill>
          <a:srgbClr val="FFFFFF"/>
        </a:solidFill>
        <a:ln w="3175">
          <a:solidFill>
            <a:srgbClr val="000000">
              <a:alpha val="100000"/>
            </a:srgbClr>
          </a:solidFill>
          <a:prstDash val="soli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e68e31b8-6c50-4c60-b786-3a9d226d3dea}"/>
      </c:ext>
    </c:extLst>
  </c:chart>
  <c:spPr>
    <a:solidFill>
      <a:srgbClr val="FFFFFF"/>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273"/>
    <customShpInfo spid="_x0000_s1274"/>
    <customShpInfo spid="_x0000_s128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4b118cbf-4877-4d25-923d-4086f83a4c0c</errorID>
      <errorWord>生态优先，绿色发展</errorWord>
      <group>L1_Political</group>
      <groupName>政治性问题</groupName>
      <ability>L2_Unpolitical</ability>
      <abilityName>政治敏感错误</abilityName>
      <candidateList>
        <item>生态优先、绿色发展</item>
      </candidateList>
      <explain/>
      <paraID>361736AF</paraID>
      <start>2</start>
      <end>11</end>
      <status>ignored</status>
      <modifiedWord/>
      <trackRevisions>false</trackRevisions>
    </reviewItem>
    <reviewItem>
      <errorID>5ead3520-c451-49ba-a990-e381ff7a90ed</errorID>
      <errorWord>社会经济高质量发展</errorWord>
      <group>L1_Political</group>
      <groupName>政治性问题</groupName>
      <ability>L2_Keyword</ability>
      <abilityName>固定表述</abilityName>
      <candidateList>
        <item>经济社会高质量发展</item>
      </candidateList>
      <explain>词汇“经济社会高质量发展”在特定场景下为固定表述形式，请确认此处的“社会经济高质量发展”是否存在不当。</explain>
      <paraID>7FF9B3FF</paraID>
      <start>232</start>
      <end>241</end>
      <status>ignored</status>
      <modifiedWord/>
      <trackRevisions>false</trackRevisions>
    </reviewItem>
    <reviewItem>
      <errorID>4c956000-8d76-40e6-b537-4cbf3bb132f6</errorID>
      <errorWord>胶粘剂</errorWord>
      <group>L1_Word</group>
      <groupName>字词问题</groupName>
      <ability>L2_Typo</ability>
      <abilityName>字词错误</abilityName>
      <candidateList>
        <item>胶黏剂</item>
      </candidateList>
      <explain/>
      <paraID>52F2A121</paraID>
      <start>122</start>
      <end>125</end>
      <status>ignored</status>
      <modifiedWord/>
      <trackRevisions>false</trackRevisions>
    </reviewItem>
    <reviewItem>
      <errorID>365ddaed-ff8f-4d6e-98fa-0c844e7477ec</errorID>
      <errorWord>胶粘剂</errorWord>
      <group>L1_Word</group>
      <groupName>字词问题</groupName>
      <ability>L2_Typo</ability>
      <abilityName>字词错误</abilityName>
      <candidateList>
        <item>胶黏剂</item>
      </candidateList>
      <explain/>
      <paraID>39E9B4DA</paraID>
      <start>9</start>
      <end>12</end>
      <status>ignored</status>
      <modifiedWord/>
      <trackRevisions>false</trackRevisions>
    </reviewItem>
    <reviewItem>
      <errorID>6b192f1a-e7f8-42a5-b3ea-eff434104850</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2DFC588A</paraID>
      <start>43</start>
      <end>49</end>
      <status>ignored</status>
      <modifiedWord/>
      <trackRevisions>false</trackRevisions>
    </reviewItem>
    <reviewItem>
      <errorID>990465f8-4f55-4984-9ae9-00d6a0bc5086</errorID>
      <errorWord>地下水限采区</errorWord>
      <group>L1_Political</group>
      <groupName>政治性问题</groupName>
      <ability>L2_Keyword</ability>
      <abilityName>固定表述</abilityName>
      <candidateList>
        <item>地下水超采区</item>
      </candidateList>
      <explain>词汇“地下水超采区”在特定场景下为固定表述形式，请确认此处的“地下水限采区”是否存在不当。</explain>
      <paraID>2DFC588A</paraID>
      <start>63</start>
      <end>69</end>
      <status>ignored</status>
      <modifiedWord/>
      <trackRevisions>false</trackRevisions>
    </reviewItem>
    <reviewItem>
      <errorID>5a465f32-ea42-4e05-94ef-d3fb32af8d79</errorID>
      <errorWord>生态红线</errorWord>
      <group>L1_Political</group>
      <groupName>政治性问题</groupName>
      <ability>L2_Unpolitical</ability>
      <abilityName>政治敏感错误</abilityName>
      <candidateList>
        <item>生态保护红线</item>
      </candidateList>
      <explain/>
      <paraID>113FB068</paraID>
      <start>154</start>
      <end>158</end>
      <status>ignored</status>
      <modifiedWord/>
      <trackRevisions>false</trackRevisions>
    </reviewItem>
    <reviewItem>
      <errorID>8249073e-2995-4717-aa66-6c55c4c674ad</errorID>
      <errorWord>浓</errorWord>
      <group>L1_Word</group>
      <groupName>字词问题</groupName>
      <ability>L2_Typo</ability>
      <abilityName>字词错误</abilityName>
      <candidateList>
        <item>浓度</item>
      </candidateList>
      <explain/>
      <paraID>5717E2F0</paraID>
      <start>26</start>
      <end>27</end>
      <status>ignored</status>
      <modifiedWord/>
      <trackRevisions>false</trackRevisions>
    </reviewItem>
    <reviewItem>
      <errorID>bdf59588-67a4-436a-8ad8-66001a525eba</errorID>
      <errorWord>月1日施行</errorWord>
      <group>L1_Word</group>
      <groupName>字词问题</groupName>
      <ability>L2_Typo</ability>
      <abilityName>字词错误</abilityName>
      <candidateList>
        <item>月1日起施行</item>
      </candidateList>
      <explain/>
      <paraID>266A2280</paraID>
      <start>24</start>
      <end>29</end>
      <status>ignored</status>
      <modifiedWord/>
      <trackRevisions>false</trackRevisions>
    </reviewItem>
    <reviewItem>
      <errorID>d816cb0c-7651-4d3e-b2a1-095ae5bc4c70</errorID>
      <errorWord>月1日施行</errorWord>
      <group>L1_Word</group>
      <groupName>字词问题</groupName>
      <ability>L2_Typo</ability>
      <abilityName>字词错误</abilityName>
      <candidateList>
        <item>月1日起施行</item>
      </candidateList>
      <explain/>
      <paraID>55654303</paraID>
      <start>35</start>
      <end>40</end>
      <status>ignored</status>
      <modifiedWord/>
      <trackRevisions>false</trackRevisions>
    </reviewItem>
    <reviewItem>
      <errorID>0b3e28c3-199f-458b-83fc-fcfd9441e15d</errorID>
      <errorWord>年1月1日施行</errorWord>
      <group>L1_Word</group>
      <groupName>字词问题</groupName>
      <ability>L2_Typo</ability>
      <abilityName>字词错误</abilityName>
      <candidateList>
        <item>年1月1日起施行</item>
      </candidateList>
      <explain/>
      <paraID>2A31CFD0</paraID>
      <start>32</start>
      <end>39</end>
      <status>ignored</status>
      <modifiedWord/>
      <trackRevisions>false</trackRevisions>
    </reviewItem>
    <reviewItem>
      <errorID>76804fe4-d154-40d1-8709-dc9660c97f73</errorID>
      <errorWord>年1月1日施行</errorWord>
      <group>L1_Word</group>
      <groupName>字词问题</groupName>
      <ability>L2_Typo</ability>
      <abilityName>字词错误</abilityName>
      <candidateList>
        <item>年1月1日起施行</item>
      </candidateList>
      <explain/>
      <paraID>6A91FB78</paraID>
      <start>68</start>
      <end>75</end>
      <status>ignored</status>
      <modifiedWord/>
      <trackRevisions>false</trackRevisions>
    </reviewItem>
    <reviewItem>
      <errorID>431c2f26-65bc-4053-846a-eb14edcdd818</errorID>
      <errorWord>月1日施行</errorWord>
      <group>L1_Word</group>
      <groupName>字词问题</groupName>
      <ability>L2_Typo</ability>
      <abilityName>字词错误</abilityName>
      <candidateList>
        <item>月1日起施行</item>
      </candidateList>
      <explain/>
      <paraID>786728B3</paraID>
      <start>31</start>
      <end>36</end>
      <status>ignored</status>
      <modifiedWord/>
      <trackRevisions>false</trackRevisions>
    </reviewItem>
    <reviewItem>
      <errorID>7691fa8c-565b-42a2-8adb-f6ca185e3f80</errorID>
      <errorWord>年1月1日施行</errorWord>
      <group>L1_Word</group>
      <groupName>字词问题</groupName>
      <ability>L2_Typo</ability>
      <abilityName>字词错误</abilityName>
      <candidateList>
        <item>年1月1日起施行</item>
      </candidateList>
      <explain/>
      <paraID>2D446AF6</paraID>
      <start>30</start>
      <end>37</end>
      <status>ignored</status>
      <modifiedWord/>
      <trackRevisions>false</trackRevisions>
    </reviewItem>
    <reviewItem>
      <errorID>150eedbf-8e4c-4279-b225-d7b000e52d54</errorID>
      <errorWord>&lt;</errorWord>
      <group>L1_Format</group>
      <groupName>格式问题</groupName>
      <ability>L2_HalfPunc_CN</ability>
      <abilityName>全半角问题</abilityName>
      <candidateList>
        <item>〈</item>
      </candidateList>
      <explain>文本全半角错误。</explain>
      <paraID>4F66080A</paraID>
      <start>9</start>
      <end>10</end>
      <status>ignored</status>
      <modifiedWord/>
      <trackRevisions>false</trackRevisions>
    </reviewItem>
    <reviewItem>
      <errorID>142b55d1-ac6c-4ab7-8540-1a189307119c</errorID>
      <errorWord>&gt;的通知》</errorWord>
      <group>L1_Punc</group>
      <groupName>标点问题</groupName>
      <ability>L2_Punc_CN</ability>
      <abilityName>标点符号问题</abilityName>
      <candidateList>
        <item>〉的通知》</item>
      </candidateList>
      <explain/>
      <paraID>4F66080A</paraID>
      <start>26</start>
      <end>31</end>
      <status>ignored</status>
      <modifiedWord/>
      <trackRevisions>false</trackRevisions>
    </reviewItem>
    <reviewItem>
      <errorID>0b5b3c79-3cf5-4c24-b738-30c691f5b80f</errorID>
      <errorWord>&lt;</errorWord>
      <group>L1_Format</group>
      <groupName>格式问题</groupName>
      <ability>L2_HalfPunc_CN</ability>
      <abilityName>全半角问题</abilityName>
      <candidateList>
        <item>〈</item>
      </candidateList>
      <explain>文本全半角错误。</explain>
      <paraID> E4B68A5</paraID>
      <start>9</start>
      <end>10</end>
      <status>ignored</status>
      <modifiedWord/>
      <trackRevisions>false</trackRevisions>
    </reviewItem>
    <reviewItem>
      <errorID>42748f0b-9ff9-4b61-9146-6b6b5ec97849</errorID>
      <errorWord>&gt;的通知》</errorWord>
      <group>L1_Punc</group>
      <groupName>标点问题</groupName>
      <ability>L2_Punc_CN</ability>
      <abilityName>标点符号问题</abilityName>
      <candidateList>
        <item>〉的通知》</item>
      </candidateList>
      <explain/>
      <paraID> E4B68A5</paraID>
      <start>24</start>
      <end>29</end>
      <status>ignored</status>
      <modifiedWord/>
      <trackRevisions>false</trackRevisions>
    </reviewItem>
    <reviewItem>
      <errorID>6151dc2b-b462-4c6c-bd65-98ddf3cf8546</errorID>
      <errorWord>&lt;</errorWord>
      <group>L1_Format</group>
      <groupName>格式问题</groupName>
      <ability>L2_HalfPunc_CN</ability>
      <abilityName>全半角问题</abilityName>
      <candidateList>
        <item>〈</item>
      </candidateList>
      <explain>文本全半角错误。</explain>
      <paraID>16FA9D44</paraID>
      <start>9</start>
      <end>10</end>
      <status>ignored</status>
      <modifiedWord/>
      <trackRevisions>false</trackRevisions>
    </reviewItem>
    <reviewItem>
      <errorID>82d3dabb-ac9e-472b-8bad-4df0b89868c6</errorID>
      <errorWord>&gt;的通知》</errorWord>
      <group>L1_Punc</group>
      <groupName>标点问题</groupName>
      <ability>L2_Punc_CN</ability>
      <abilityName>标点符号问题</abilityName>
      <candidateList>
        <item>〉的通知》</item>
      </candidateList>
      <explain/>
      <paraID>16FA9D44</paraID>
      <start>22</start>
      <end>27</end>
      <status>ignored</status>
      <modifiedWord/>
      <trackRevisions>false</trackRevisions>
    </reviewItem>
    <reviewItem>
      <errorID>09f815fa-32cc-4195-a300-7f0d05b81bcf</errorID>
      <errorWord>新疆维吾尔自治区实施&lt;中华人民共和国防沙治沙法&gt;办法</errorWord>
      <group>L1_Knowledge</group>
      <groupName>知识性问题</groupName>
      <ability>L2_Knowledge</ability>
      <abilityName>其他知识</abilityName>
      <candidateList>
        <item>新疆维吾尔自治区实施〈中华人民共和国防沙治沙法〉办法</item>
      </candidateList>
      <explain>当前法律法规未收录或尚未生效，注意核查是否正确。</explain>
      <paraID>4232BDBF</paraID>
      <start>4</start>
      <end>30</end>
      <status>ignored</status>
      <modifiedWord/>
      <trackRevisions>false</trackRevisions>
    </reviewItem>
    <reviewItem>
      <errorID>14c30fb2-4a9a-4478-adb0-27d0f7f165dc</errorID>
      <errorWord>（</errorWord>
      <group>L1_Format</group>
      <groupName>格式问题</groupName>
      <ability>L2_HalfPunc_CN</ability>
      <abilityName>全半角问题</abilityName>
      <candidateList>
        <item>(</item>
      </candidateList>
      <explain>文本全半角错误。</explain>
      <paraID>2B5B9768</paraID>
      <start>0</start>
      <end>1</end>
      <status>ignored</status>
      <modifiedWord/>
      <trackRevisions>false</trackRevisions>
    </reviewItem>
    <reviewItem>
      <errorID>f84079dc-f781-4e1a-a075-79b192eb3de5</errorID>
      <errorWord>）</errorWord>
      <group>L1_Format</group>
      <groupName>格式问题</groupName>
      <ability>L2_HalfPunc_CN</ability>
      <abilityName>全半角问题</abilityName>
      <candidateList>
        <item>)</item>
      </candidateList>
      <explain>文本全半角错误。</explain>
      <paraID>2B5B9768</paraID>
      <start>6</start>
      <end>7</end>
      <status>ignored</status>
      <modifiedWord/>
      <trackRevisions>false</trackRevisions>
    </reviewItem>
    <reviewItem>
      <errorID>46b91316-cdf1-4ece-a1e8-9c659a878f8d</errorID>
      <errorWord>，</errorWord>
      <group>L1_Format</group>
      <groupName>格式问题</groupName>
      <ability>L2_HalfPunc_CN</ability>
      <abilityName>全半角问题</abilityName>
      <candidateList>
        <item>,</item>
      </candidateList>
      <explain>文本全半角错误。</explain>
      <paraID>34DC5C78</paraID>
      <start>2</start>
      <end>3</end>
      <status>ignored</status>
      <modifiedWord/>
      <trackRevisions>false</trackRevisions>
    </reviewItem>
    <reviewItem>
      <errorID>d903e541-b0a6-48bd-9d62-bae41539dae8</errorID>
      <errorWord>海拔高度</errorWord>
      <group>L1_Word</group>
      <groupName>字词问题</groupName>
      <ability>L2_Typo</ability>
      <abilityName>字词错误</abilityName>
      <candidateList>
        <item>海拔</item>
      </candidateList>
      <explain/>
      <paraID>6BF0F467</paraID>
      <start>2</start>
      <end>6</end>
      <status>ignored</status>
      <modifiedWord/>
      <trackRevisions>false</trackRevisions>
    </reviewItem>
    <reviewItem>
      <errorID>ec3a6abc-b89f-48bb-9ad7-433ae1c86411</errorID>
      <errorWord>（</errorWord>
      <group>L1_Format</group>
      <groupName>格式问题</groupName>
      <ability>L2_HalfPunc_CN</ability>
      <abilityName>全半角问题</abilityName>
      <candidateList>
        <item>(</item>
      </candidateList>
      <explain>文本全半角错误。</explain>
      <paraID>564F4A94</paraID>
      <start>4</start>
      <end>5</end>
      <status>ignored</status>
      <modifiedWord/>
      <trackRevisions>false</trackRevisions>
    </reviewItem>
    <reviewItem>
      <errorID>b67ddacb-1d02-4225-919d-34aa72a7792d</errorID>
      <errorWord>）</errorWord>
      <group>L1_Format</group>
      <groupName>格式问题</groupName>
      <ability>L2_HalfPunc_CN</ability>
      <abilityName>全半角问题</abilityName>
      <candidateList>
        <item>)</item>
      </candidateList>
      <explain>文本全半角错误。</explain>
      <paraID>564F4A94</paraID>
      <start>6</start>
      <end>7</end>
      <status>ignored</status>
      <modifiedWord/>
      <trackRevisions>false</trackRevisions>
    </reviewItem>
    <reviewItem>
      <errorID>dd5f07ed-7e8c-4952-ba62-4c620382b1f2</errorID>
      <errorWord>（</errorWord>
      <group>L1_Format</group>
      <groupName>格式问题</groupName>
      <ability>L2_HalfPunc_CN</ability>
      <abilityName>全半角问题</abilityName>
      <candidateList>
        <item>(</item>
      </candidateList>
      <explain>文本全半角错误。</explain>
      <paraID>342093D0</paraID>
      <start>4</start>
      <end>5</end>
      <status>ignored</status>
      <modifiedWord/>
      <trackRevisions>false</trackRevisions>
    </reviewItem>
    <reviewItem>
      <errorID>33b19739-65a0-4f41-acc4-2f3c063ddc30</errorID>
      <errorWord>）</errorWord>
      <group>L1_Format</group>
      <groupName>格式问题</groupName>
      <ability>L2_HalfPunc_CN</ability>
      <abilityName>全半角问题</abilityName>
      <candidateList>
        <item>)</item>
      </candidateList>
      <explain>文本全半角错误。</explain>
      <paraID>342093D0</paraID>
      <start>6</start>
      <end>7</end>
      <status>ignored</status>
      <modifiedWord/>
      <trackRevisions>false</trackRevisions>
    </reviewItem>
    <reviewItem>
      <errorID>1c9148ec-79f7-49bc-bbb3-af7e30e78c88</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270CEF80</paraID>
      <start>0</start>
      <end>3</end>
      <status>ignored</status>
      <modifiedWord/>
      <trackRevisions>false</trackRevisions>
    </reviewItem>
    <reviewItem>
      <errorID>d5426a83-6a1c-46f3-a480-d14fac880ccd</errorID>
      <errorWord>、和</errorWord>
      <group>L1_Punc</group>
      <groupName>标点问题</groupName>
      <ability>L2_Punc_CN</ability>
      <abilityName>标点符号问题</abilityName>
      <candidateList>
        <item>和</item>
      </candidateList>
      <explain>“及”“和”“等”连词前不宜使用顿号，建议删除（或使用逗号）。</explain>
      <paraID>4A1ADEA3</paraID>
      <start>79</start>
      <end>81</end>
      <status>ignored</status>
      <modifiedWord/>
      <trackRevisions>false</trackRevisions>
    </reviewItem>
    <reviewItem>
      <errorID>76d52315-9b41-48a6-8431-23f44f39f97d</errorID>
      <errorWord>"</errorWord>
      <group>L1_Format</group>
      <groupName>格式问题</groupName>
      <ability>L2_HalfPunc_CN</ability>
      <abilityName>全半角问题</abilityName>
      <candidateList/>
      <explain>文本全半角错误。</explain>
      <paraID>248D970A</paraID>
      <start>54</start>
      <end>55</end>
      <status>ignored</status>
      <modifiedWord/>
      <trackRevisions>false</trackRevisions>
    </reviewItem>
    <reviewItem>
      <errorID>25cc5e59-a7d7-49b2-b09b-f10ca88b3c6f</errorID>
      <errorWord>"</errorWord>
      <group>L1_Format</group>
      <groupName>格式问题</groupName>
      <ability>L2_HalfPunc_CN</ability>
      <abilityName>全半角问题</abilityName>
      <candidateList>
        <item>”</item>
      </candidateList>
      <explain>文本全半角错误。</explain>
      <paraID>248D970A</paraID>
      <start>68</start>
      <end>69</end>
      <status>modified</status>
      <modifiedWord>”</modifiedWord>
      <trackRevisions>false</trackRevisions>
    </reviewItem>
    <reviewItem>
      <errorID>beb2d00d-174b-420c-a6ba-da9c6ce81f8a</errorID>
      <errorWord>，</errorWord>
      <group>L1_Format</group>
      <groupName>格式问题</groupName>
      <ability>L2_HalfPunc_CN</ability>
      <abilityName>全半角问题</abilityName>
      <candidateList>
        <item>,</item>
      </candidateList>
      <explain>文本全半角错误。</explain>
      <paraID>55F6B40A</paraID>
      <start>1</start>
      <end>2</end>
      <status>ignored</status>
      <modifiedWord/>
      <trackRevisions>false</trackRevisions>
    </reviewItem>
    <reviewItem>
      <errorID>47f24e4e-6c01-4819-afae-7624ccb45297</errorID>
      <errorWord>其它</errorWord>
      <group>L1_Word</group>
      <groupName>字词问题</groupName>
      <ability>L2_Alias</ability>
      <abilityName>也作/曾用词</abilityName>
      <candidateList>
        <item>其他</item>
      </candidateList>
      <explain>词汇[其它]为不规范表述或旧称，其规范书面表述为[其他]。</explain>
      <paraID>5D4A0AFB</paraID>
      <start>118</start>
      <end>120</end>
      <status>ignored</status>
      <modifiedWord/>
      <trackRevisions>false</trackRevisions>
    </reviewItem>
    <reviewItem>
      <errorID>0610899d-1f38-4355-9989-6c379b2d9d0a</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34A3D599</paraID>
      <start>210</start>
      <end>216</end>
      <status>ignored</status>
      <modifiedWord/>
      <trackRevisions>false</trackRevisions>
    </reviewItem>
    <reviewItem>
      <errorID>7c73e446-b279-42b0-9235-8505104594b2</errorID>
      <errorWord>：</errorWord>
      <group>L1_Format</group>
      <groupName>格式问题</groupName>
      <ability>L2_HalfPunc_CN</ability>
      <abilityName>全半角问题</abilityName>
      <candidateList>
        <item>:</item>
      </candidateList>
      <explain>文本全半角错误。</explain>
      <paraID>266FB1EC</paraID>
      <start>3</start>
      <end>4</end>
      <status>ignored</status>
      <modifiedWord/>
      <trackRevisions>false</trackRevisions>
    </reviewItem>
    <reviewItem>
      <errorID>78821b90-c801-40d6-aeab-6f9d52ef90f3</errorID>
      <errorWord>：</errorWord>
      <group>L1_Format</group>
      <groupName>格式问题</groupName>
      <ability>L2_HalfPunc_CN</ability>
      <abilityName>全半角问题</abilityName>
      <candidateList>
        <item>:</item>
      </candidateList>
      <explain>文本全半角错误。</explain>
      <paraID>1A923354</paraID>
      <start>3</start>
      <end>4</end>
      <status>ignored</status>
      <modifiedWord/>
      <trackRevisions>false</trackRevisions>
    </reviewItem>
    <reviewItem>
      <errorID>2c60784b-ffb8-4925-a49b-39b678d75aa5</errorID>
      <errorWord>：</errorWord>
      <group>L1_Format</group>
      <groupName>格式问题</groupName>
      <ability>L2_HalfPunc_CN</ability>
      <abilityName>全半角问题</abilityName>
      <candidateList>
        <item>:</item>
      </candidateList>
      <explain>文本全半角错误。</explain>
      <paraID>750C1AD8</paraID>
      <start>3</start>
      <end>4</end>
      <status>ignored</status>
      <modifiedWord/>
      <trackRevisions>false</trackRevisions>
    </reviewItem>
    <reviewItem>
      <errorID>b0be8533-7828-49cc-a6d1-365ec340b817</errorID>
      <errorWord>：</errorWord>
      <group>L1_Format</group>
      <groupName>格式问题</groupName>
      <ability>L2_HalfPunc_CN</ability>
      <abilityName>全半角问题</abilityName>
      <candidateList>
        <item>:</item>
      </candidateList>
      <explain>文本全半角错误。</explain>
      <paraID>53E663C4</paraID>
      <start>3</start>
      <end>4</end>
      <status>ignored</status>
      <modifiedWord/>
      <trackRevisions>false</trackRevisions>
    </reviewItem>
    <reviewItem>
      <errorID>05cbf597-43ce-4f40-a8e1-a5d9d1b9a0da</errorID>
      <errorWord>（</errorWord>
      <group>L1_Format</group>
      <groupName>格式问题</groupName>
      <ability>L2_HalfPunc_CN</ability>
      <abilityName>全半角问题</abilityName>
      <candidateList>
        <item>(</item>
      </candidateList>
      <explain>文本全半角错误。</explain>
      <paraID>3A10E1A0</paraID>
      <start>1</start>
      <end>2</end>
      <status>ignored</status>
      <modifiedWord/>
      <trackRevisions>false</trackRevisions>
    </reviewItem>
    <reviewItem>
      <errorID>7da3e5e8-8b11-4500-ad6d-200a5d044b04</errorID>
      <errorWord>）</errorWord>
      <group>L1_Format</group>
      <groupName>格式问题</groupName>
      <ability>L2_HalfPunc_CN</ability>
      <abilityName>全半角问题</abilityName>
      <candidateList>
        <item>)</item>
      </candidateList>
      <explain>文本全半角错误。</explain>
      <paraID>3A10E1A0</paraID>
      <start>3</start>
      <end>4</end>
      <status>ignored</status>
      <modifiedWord/>
      <trackRevisions>false</trackRevisions>
    </reviewItem>
    <reviewItem>
      <errorID>0a78c59b-c79e-4ddd-94d1-2188d0879498</errorID>
      <errorWord>（</errorWord>
      <group>L1_Format</group>
      <groupName>格式问题</groupName>
      <ability>L2_HalfPunc_CN</ability>
      <abilityName>全半角问题</abilityName>
      <candidateList>
        <item>(</item>
      </candidateList>
      <explain>文本全半角错误。</explain>
      <paraID>3CD867D1</paraID>
      <start>1</start>
      <end>2</end>
      <status>ignored</status>
      <modifiedWord/>
      <trackRevisions>false</trackRevisions>
    </reviewItem>
    <reviewItem>
      <errorID>b1a6bce8-bcdd-4bd5-bb7b-dc97a1c7aa02</errorID>
      <errorWord>）</errorWord>
      <group>L1_Format</group>
      <groupName>格式问题</groupName>
      <ability>L2_HalfPunc_CN</ability>
      <abilityName>全半角问题</abilityName>
      <candidateList>
        <item>)</item>
      </candidateList>
      <explain>文本全半角错误。</explain>
      <paraID>3CD867D1</paraID>
      <start>3</start>
      <end>4</end>
      <status>ignored</status>
      <modifiedWord/>
      <trackRevisions>false</trackRevisions>
    </reviewItem>
    <reviewItem>
      <errorID>6b3924e6-9d92-4060-9fa6-29061b353636</errorID>
      <errorWord>（</errorWord>
      <group>L1_Format</group>
      <groupName>格式问题</groupName>
      <ability>L2_HalfPunc_CN</ability>
      <abilityName>全半角问题</abilityName>
      <candidateList>
        <item>(</item>
      </candidateList>
      <explain>文本全半角错误。</explain>
      <paraID>1784E090</paraID>
      <start>1</start>
      <end>2</end>
      <status>ignored</status>
      <modifiedWord/>
      <trackRevisions>false</trackRevisions>
    </reviewItem>
    <reviewItem>
      <errorID>a11b73b7-ab7a-4577-b91e-d68e00dac06b</errorID>
      <errorWord>）</errorWord>
      <group>L1_Format</group>
      <groupName>格式问题</groupName>
      <ability>L2_HalfPunc_CN</ability>
      <abilityName>全半角问题</abilityName>
      <candidateList>
        <item>)</item>
      </candidateList>
      <explain>文本全半角错误。</explain>
      <paraID>1784E090</paraID>
      <start>3</start>
      <end>4</end>
      <status>ignored</status>
      <modifiedWord/>
      <trackRevisions>false</trackRevisions>
    </reviewItem>
    <reviewItem>
      <errorID>11c6e578-fa2b-4392-9414-01b9186d9d0b</errorID>
      <errorWord>（</errorWord>
      <group>L1_Format</group>
      <groupName>格式问题</groupName>
      <ability>L2_HalfPunc_CN</ability>
      <abilityName>全半角问题</abilityName>
      <candidateList>
        <item>(</item>
      </candidateList>
      <explain>文本全半角错误。</explain>
      <paraID>4057D039</paraID>
      <start>0</start>
      <end>1</end>
      <status>ignored</status>
      <modifiedWord/>
      <trackRevisions>false</trackRevisions>
    </reviewItem>
    <reviewItem>
      <errorID>c3b74fc4-c48a-494b-b13e-e2a1c09c46b9</errorID>
      <errorWord>）</errorWord>
      <group>L1_Format</group>
      <groupName>格式问题</groupName>
      <ability>L2_HalfPunc_CN</ability>
      <abilityName>全半角问题</abilityName>
      <candidateList>
        <item>)</item>
      </candidateList>
      <explain>文本全半角错误。</explain>
      <paraID>4057D039</paraID>
      <start>2</start>
      <end>3</end>
      <status>ignored</status>
      <modifiedWord/>
      <trackRevisions>false</trackRevisions>
    </reviewItem>
    <reviewItem>
      <errorID>460328ad-d7ba-436c-9078-d7efccee8ee7</errorID>
      <errorWord>（</errorWord>
      <group>L1_Format</group>
      <groupName>格式问题</groupName>
      <ability>L2_HalfPunc_CN</ability>
      <abilityName>全半角问题</abilityName>
      <candidateList>
        <item>(</item>
      </candidateList>
      <explain>文本全半角错误。</explain>
      <paraID>71A2A8DF</paraID>
      <start>0</start>
      <end>1</end>
      <status>ignored</status>
      <modifiedWord/>
      <trackRevisions>false</trackRevisions>
    </reviewItem>
    <reviewItem>
      <errorID>6cf8e74a-2941-4c68-bc30-d7d21ca8a7de</errorID>
      <errorWord>）</errorWord>
      <group>L1_Format</group>
      <groupName>格式问题</groupName>
      <ability>L2_HalfPunc_CN</ability>
      <abilityName>全半角问题</abilityName>
      <candidateList>
        <item>)</item>
      </candidateList>
      <explain>文本全半角错误。</explain>
      <paraID>71A2A8DF</paraID>
      <start>2</start>
      <end>3</end>
      <status>ignored</status>
      <modifiedWord/>
      <trackRevisions>false</trackRevisions>
    </reviewItem>
    <reviewItem>
      <errorID>3727f36e-ed54-473b-b639-c2d1503150e7</errorID>
      <errorWord>（</errorWord>
      <group>L1_Format</group>
      <groupName>格式问题</groupName>
      <ability>L2_HalfPunc_CN</ability>
      <abilityName>全半角问题</abilityName>
      <candidateList>
        <item>(</item>
      </candidateList>
      <explain>文本全半角错误。</explain>
      <paraID>4AB43D86</paraID>
      <start>0</start>
      <end>1</end>
      <status>ignored</status>
      <modifiedWord/>
      <trackRevisions>false</trackRevisions>
    </reviewItem>
    <reviewItem>
      <errorID>2d9f72a0-924e-4c55-a39f-4e64b80647f8</errorID>
      <errorWord>）</errorWord>
      <group>L1_Format</group>
      <groupName>格式问题</groupName>
      <ability>L2_HalfPunc_CN</ability>
      <abilityName>全半角问题</abilityName>
      <candidateList>
        <item>)</item>
      </candidateList>
      <explain>文本全半角错误。</explain>
      <paraID>4AB43D86</paraID>
      <start>2</start>
      <end>3</end>
      <status>ignored</status>
      <modifiedWord/>
      <trackRevisions>false</trackRevisions>
    </reviewItem>
    <reviewItem>
      <errorID>546fea81-905e-44c1-8885-67907d4faff9</errorID>
      <errorWord>（</errorWord>
      <group>L1_Format</group>
      <groupName>格式问题</groupName>
      <ability>L2_HalfPunc_CN</ability>
      <abilityName>全半角问题</abilityName>
      <candidateList>
        <item>(</item>
      </candidateList>
      <explain>文本全半角错误。</explain>
      <paraID>20E420C3</paraID>
      <start>0</start>
      <end>1</end>
      <status>ignored</status>
      <modifiedWord/>
      <trackRevisions>false</trackRevisions>
    </reviewItem>
    <reviewItem>
      <errorID>d2bf0113-f4b4-4f4c-992e-fafc7970bf01</errorID>
      <errorWord>）</errorWord>
      <group>L1_Format</group>
      <groupName>格式问题</groupName>
      <ability>L2_HalfPunc_CN</ability>
      <abilityName>全半角问题</abilityName>
      <candidateList>
        <item>)</item>
      </candidateList>
      <explain>文本全半角错误。</explain>
      <paraID>20E420C3</paraID>
      <start>4</start>
      <end>5</end>
      <status>ignored</status>
      <modifiedWord/>
      <trackRevisions>false</trackRevisions>
    </reviewItem>
    <reviewItem>
      <errorID>54c485fe-2a45-41cb-b71b-9af7d9131f55</errorID>
      <errorWord>（</errorWord>
      <group>L1_Format</group>
      <groupName>格式问题</groupName>
      <ability>L2_HalfPunc_CN</ability>
      <abilityName>全半角问题</abilityName>
      <candidateList>
        <item>(</item>
      </candidateList>
      <explain>文本全半角错误。</explain>
      <paraID>55C50F2A</paraID>
      <start>0</start>
      <end>1</end>
      <status>ignored</status>
      <modifiedWord/>
      <trackRevisions>false</trackRevisions>
    </reviewItem>
    <reviewItem>
      <errorID>ce37ebb5-9710-4e21-ad87-879bf69cbe36</errorID>
      <errorWord>）</errorWord>
      <group>L1_Format</group>
      <groupName>格式问题</groupName>
      <ability>L2_HalfPunc_CN</ability>
      <abilityName>全半角问题</abilityName>
      <candidateList>
        <item>)</item>
      </candidateList>
      <explain>文本全半角错误。</explain>
      <paraID>55C50F2A</paraID>
      <start>4</start>
      <end>5</end>
      <status>ignored</status>
      <modifiedWord/>
      <trackRevisions>false</trackRevisions>
    </reviewItem>
    <reviewItem>
      <errorID>7e077024-d6ce-4ea8-bd64-9b48d7cde2ef</errorID>
      <errorWord>之后</errorWord>
      <group>L1_Word</group>
      <groupName>字词问题</groupName>
      <ability>L2_Typo</ability>
      <abilityName>字词错误</abilityName>
      <candidateList>
        <item>滞后</item>
      </candidateList>
      <explain/>
      <paraID>77CEF4A5</paraID>
      <start>12</start>
      <end>14</end>
      <status>ignored</status>
      <modifiedWord/>
      <trackRevisions>false</trackRevisions>
    </reviewItem>
    <reviewItem>
      <errorID>c84e84a9-b1ef-48f3-8e27-2a3bd8a20e9a</errorID>
      <errorWord>赛厂</errorWord>
      <group>L1_Word</group>
      <groupName>字词问题</groupName>
      <ability>L2_Typo</ability>
      <abilityName>字词错误</abilityName>
      <candidateList>
        <item>赛场</item>
      </candidateList>
      <explain/>
      <paraID>1642673F</paraID>
      <start>12</start>
      <end>14</end>
      <status>ignored</status>
      <modifiedWord/>
      <trackRevisions>false</trackRevisions>
    </reviewItem>
    <reviewItem>
      <errorID>03ac3d5d-f4cb-456c-a38b-1117123fb291</errorID>
      <errorWord>（</errorWord>
      <group>L1_Format</group>
      <groupName>格式问题</groupName>
      <ability>L2_HalfPunc_CN</ability>
      <abilityName>全半角问题</abilityName>
      <candidateList>
        <item>(</item>
      </candidateList>
      <explain>文本全半角错误。</explain>
      <paraID>15A1F1D9</paraID>
      <start>0</start>
      <end>1</end>
      <status>ignored</status>
      <modifiedWord/>
      <trackRevisions>false</trackRevisions>
    </reviewItem>
    <reviewItem>
      <errorID>40cd6255-0644-4dbb-94c1-2890fe0cc9b5</errorID>
      <errorWord>）</errorWord>
      <group>L1_Format</group>
      <groupName>格式问题</groupName>
      <ability>L2_HalfPunc_CN</ability>
      <abilityName>全半角问题</abilityName>
      <candidateList>
        <item>)</item>
      </candidateList>
      <explain>文本全半角错误。</explain>
      <paraID>15A1F1D9</paraID>
      <start>6</start>
      <end>7</end>
      <status>ignored</status>
      <modifiedWord/>
      <trackRevisions>false</trackRevisions>
    </reviewItem>
    <reviewItem>
      <errorID>4d04f358-88ba-499b-a955-e282bf3ad1cd</errorID>
      <errorWord>赛厂</errorWord>
      <group>L1_Word</group>
      <groupName>字词问题</groupName>
      <ability>L2_Typo</ability>
      <abilityName>字词错误</abilityName>
      <candidateList>
        <item>赛场</item>
      </candidateList>
      <explain/>
      <paraID> 780FC91</paraID>
      <start>12</start>
      <end>14</end>
      <status>ignored</status>
      <modifiedWord/>
      <trackRevisions>false</trackRevisions>
    </reviewItem>
    <reviewItem>
      <errorID>48c640fe-d596-4a3f-a710-d5b9a5b247b0</errorID>
      <errorWord>~</errorWord>
      <group>L1_Format</group>
      <groupName>格式问题</groupName>
      <ability>L2_HalfPunc_CN</ability>
      <abilityName>全半角问题</abilityName>
      <candidateList>
        <item>～</item>
      </candidateList>
      <explain>文本全半角错误。</explain>
      <paraID>5A2469BD</paraID>
      <start>99</start>
      <end>100</end>
      <status>ignored</status>
      <modifiedWord/>
      <trackRevisions>false</trackRevisions>
    </reviewItem>
    <reviewItem>
      <errorID>8574727a-0af9-44a3-bb59-dfd47aeff02e</errorID>
      <errorWord>：</errorWord>
      <group>L1_Format</group>
      <groupName>格式问题</groupName>
      <ability>L2_HalfPunc_CN</ability>
      <abilityName>全半角问题</abilityName>
      <candidateList>
        <item>:</item>
      </candidateList>
      <explain>文本全半角错误。</explain>
      <paraID>6281D63E</paraID>
      <start>1</start>
      <end>2</end>
      <status>ignored</status>
      <modifiedWord/>
      <trackRevisions>false</trackRevisions>
    </reviewItem>
    <reviewItem>
      <errorID>f5aca61c-8a1a-4a89-a929-db967a4b7ce8</errorID>
      <errorWord>：</errorWord>
      <group>L1_Format</group>
      <groupName>格式问题</groupName>
      <ability>L2_HalfPunc_CN</ability>
      <abilityName>全半角问题</abilityName>
      <candidateList>
        <item>:</item>
      </candidateList>
      <explain>文本全半角错误。</explain>
      <paraID>52178C7F</paraID>
      <start>1</start>
      <end>2</end>
      <status>ignored</status>
      <modifiedWord/>
      <trackRevisions>false</trackRevisions>
    </reviewItem>
    <reviewItem>
      <errorID>17f4d252-868b-48ff-af30-f738c0fe8c6e</errorID>
      <errorWord>：</errorWord>
      <group>L1_Format</group>
      <groupName>格式问题</groupName>
      <ability>L2_HalfPunc_CN</ability>
      <abilityName>全半角问题</abilityName>
      <candidateList>
        <item>:</item>
      </candidateList>
      <explain>文本全半角错误。</explain>
      <paraID>3DEBEDF4</paraID>
      <start>1</start>
      <end>2</end>
      <status>ignored</status>
      <modifiedWord/>
      <trackRevisions>false</trackRevisions>
    </reviewItem>
    <reviewItem>
      <errorID>fd379c26-9388-4adb-a152-4ce9dd778c74</errorID>
      <errorWord>：</errorWord>
      <group>L1_Format</group>
      <groupName>格式问题</groupName>
      <ability>L2_HalfPunc_CN</ability>
      <abilityName>全半角问题</abilityName>
      <candidateList>
        <item>:</item>
      </candidateList>
      <explain>文本全半角错误。</explain>
      <paraID>5774EE7B</paraID>
      <start>1</start>
      <end>2</end>
      <status>ignored</status>
      <modifiedWord/>
      <trackRevisions>false</trackRevisions>
    </reviewItem>
    <reviewItem>
      <errorID>887cf943-bdc7-4127-abf1-da1543ef344a</errorID>
      <errorWord>＜</errorWord>
      <group>L1_Format</group>
      <groupName>格式问题</groupName>
      <ability>L2_HalfPunc_CN</ability>
      <abilityName>全半角问题</abilityName>
      <candidateList>
        <item>&lt;</item>
      </candidateList>
      <explain>文本全半角错误。</explain>
      <paraID>25A60467</paraID>
      <start>0</start>
      <end>1</end>
      <status>ignored</status>
      <modifiedWord/>
      <trackRevisions>false</trackRevisions>
    </reviewItem>
    <reviewItem>
      <errorID>d52d9c12-ce42-45b0-a551-287bb234bbdd</errorID>
      <errorWord>＜</errorWord>
      <group>L1_Format</group>
      <groupName>格式问题</groupName>
      <ability>L2_HalfPunc_CN</ability>
      <abilityName>全半角问题</abilityName>
      <candidateList>
        <item>&lt;</item>
      </candidateList>
      <explain>文本全半角错误。</explain>
      <paraID>25D1062B</paraID>
      <start>0</start>
      <end>1</end>
      <status>ignored</status>
      <modifiedWord/>
      <trackRevisions>false</trackRevisions>
    </reviewItem>
    <reviewItem>
      <errorID>ef9feb82-ac09-4d12-9044-27a7dd72ce0a</errorID>
      <errorWord>＜</errorWord>
      <group>L1_Format</group>
      <groupName>格式问题</groupName>
      <ability>L2_HalfPunc_CN</ability>
      <abilityName>全半角问题</abilityName>
      <candidateList>
        <item>&lt;</item>
      </candidateList>
      <explain>文本全半角错误。</explain>
      <paraID>564448AA</paraID>
      <start>0</start>
      <end>1</end>
      <status>ignored</status>
      <modifiedWord/>
      <trackRevisions>false</trackRevisions>
    </reviewItem>
    <reviewItem>
      <errorID>cd0ac79c-1761-454e-85e1-9a0ec522646a</errorID>
      <errorWord>＜</errorWord>
      <group>L1_Format</group>
      <groupName>格式问题</groupName>
      <ability>L2_HalfPunc_CN</ability>
      <abilityName>全半角问题</abilityName>
      <candidateList>
        <item>&lt;</item>
      </candidateList>
      <explain>文本全半角错误。</explain>
      <paraID>4A53A088</paraID>
      <start>0</start>
      <end>1</end>
      <status>ignored</status>
      <modifiedWord/>
      <trackRevisions>false</trackRevisions>
    </reviewItem>
    <reviewItem>
      <errorID>a8fb7931-94d1-4ed1-bcf7-8601cccb52e8</errorID>
      <errorWord>＜</errorWord>
      <group>L1_Format</group>
      <groupName>格式问题</groupName>
      <ability>L2_HalfPunc_CN</ability>
      <abilityName>全半角问题</abilityName>
      <candidateList>
        <item>&lt;</item>
      </candidateList>
      <explain>文本全半角错误。</explain>
      <paraID>286EA573</paraID>
      <start>0</start>
      <end>1</end>
      <status>ignored</status>
      <modifiedWord/>
      <trackRevisions>false</trackRevisions>
    </reviewItem>
    <reviewItem>
      <errorID>c5bf8c54-bc7a-4a5b-8434-fc7e99abc9c9</errorID>
      <errorWord>＜</errorWord>
      <group>L1_Format</group>
      <groupName>格式问题</groupName>
      <ability>L2_HalfPunc_CN</ability>
      <abilityName>全半角问题</abilityName>
      <candidateList>
        <item>&lt;</item>
      </candidateList>
      <explain>文本全半角错误。</explain>
      <paraID>10DA6057</paraID>
      <start>0</start>
      <end>1</end>
      <status>ignored</status>
      <modifiedWord/>
      <trackRevisions>false</trackRevisions>
    </reviewItem>
    <reviewItem>
      <errorID>b9614137-b0fb-4458-8518-58b59382d6b8</errorID>
      <errorWord>＜</errorWord>
      <group>L1_Format</group>
      <groupName>格式问题</groupName>
      <ability>L2_HalfPunc_CN</ability>
      <abilityName>全半角问题</abilityName>
      <candidateList>
        <item>&lt;</item>
      </candidateList>
      <explain>文本全半角错误。</explain>
      <paraID>10936823</paraID>
      <start>0</start>
      <end>1</end>
      <status>ignored</status>
      <modifiedWord/>
      <trackRevisions>false</trackRevisions>
    </reviewItem>
    <reviewItem>
      <errorID>8739e098-e7ea-4bdc-b478-701f531fa7bc</errorID>
      <errorWord>＜</errorWord>
      <group>L1_Format</group>
      <groupName>格式问题</groupName>
      <ability>L2_HalfPunc_CN</ability>
      <abilityName>全半角问题</abilityName>
      <candidateList>
        <item>&lt;</item>
      </candidateList>
      <explain>文本全半角错误。</explain>
      <paraID>1B4FEB7D</paraID>
      <start>0</start>
      <end>1</end>
      <status>ignored</status>
      <modifiedWord/>
      <trackRevisions>false</trackRevisions>
    </reviewItem>
    <reviewItem>
      <errorID>89252466-ca70-4b25-a157-d291e25a5de1</errorID>
      <errorWord>＜</errorWord>
      <group>L1_Format</group>
      <groupName>格式问题</groupName>
      <ability>L2_HalfPunc_CN</ability>
      <abilityName>全半角问题</abilityName>
      <candidateList>
        <item>&lt;</item>
      </candidateList>
      <explain>文本全半角错误。</explain>
      <paraID> E9EBD45</paraID>
      <start>0</start>
      <end>1</end>
      <status>ignored</status>
      <modifiedWord/>
      <trackRevisions>false</trackRevisions>
    </reviewItem>
    <reviewItem>
      <errorID>b28b06bf-b74e-421f-ae73-f3010be1efe7</errorID>
      <errorWord>＜</errorWord>
      <group>L1_Format</group>
      <groupName>格式问题</groupName>
      <ability>L2_HalfPunc_CN</ability>
      <abilityName>全半角问题</abilityName>
      <candidateList>
        <item>&lt;</item>
      </candidateList>
      <explain>文本全半角错误。</explain>
      <paraID>6F4C0F63</paraID>
      <start>0</start>
      <end>1</end>
      <status>ignored</status>
      <modifiedWord/>
      <trackRevisions>false</trackRevisions>
    </reviewItem>
    <reviewItem>
      <errorID>9ab698a0-17d5-46eb-90ce-7e31f712191d</errorID>
      <errorWord>＜</errorWord>
      <group>L1_Format</group>
      <groupName>格式问题</groupName>
      <ability>L2_HalfPunc_CN</ability>
      <abilityName>全半角问题</abilityName>
      <candidateList>
        <item>&lt;</item>
      </candidateList>
      <explain>文本全半角错误。</explain>
      <paraID>5D2DEBE4</paraID>
      <start>0</start>
      <end>1</end>
      <status>ignored</status>
      <modifiedWord/>
      <trackRevisions>false</trackRevisions>
    </reviewItem>
    <reviewItem>
      <errorID>340b84e6-7494-45fb-a9a3-da46c4ffc57d</errorID>
      <errorWord>＜</errorWord>
      <group>L1_Format</group>
      <groupName>格式问题</groupName>
      <ability>L2_HalfPunc_CN</ability>
      <abilityName>全半角问题</abilityName>
      <candidateList>
        <item>&lt;</item>
      </candidateList>
      <explain>文本全半角错误。</explain>
      <paraID>1D4C126E</paraID>
      <start>0</start>
      <end>1</end>
      <status>ignored</status>
      <modifiedWord/>
      <trackRevisions>false</trackRevisions>
    </reviewItem>
    <reviewItem>
      <errorID>6f41a980-47a1-432e-bb03-acc522b5edbd</errorID>
      <errorWord>＜</errorWord>
      <group>L1_Format</group>
      <groupName>格式问题</groupName>
      <ability>L2_HalfPunc_CN</ability>
      <abilityName>全半角问题</abilityName>
      <candidateList>
        <item>&lt;</item>
      </candidateList>
      <explain>文本全半角错误。</explain>
      <paraID>3D9ADC6E</paraID>
      <start>0</start>
      <end>1</end>
      <status>ignored</status>
      <modifiedWord/>
      <trackRevisions>false</trackRevisions>
    </reviewItem>
    <reviewItem>
      <errorID>64299ba0-dcfd-4b2e-aafd-100b4fa917ab</errorID>
      <errorWord>＜</errorWord>
      <group>L1_Format</group>
      <groupName>格式问题</groupName>
      <ability>L2_HalfPunc_CN</ability>
      <abilityName>全半角问题</abilityName>
      <candidateList>
        <item>&lt;</item>
      </candidateList>
      <explain>文本全半角错误。</explain>
      <paraID>19C43BE9</paraID>
      <start>0</start>
      <end>1</end>
      <status>ignored</status>
      <modifiedWord/>
      <trackRevisions>false</trackRevisions>
    </reviewItem>
    <reviewItem>
      <errorID>27963de9-1eb9-4f09-af53-ae2a60611731</errorID>
      <errorWord>＜</errorWord>
      <group>L1_Format</group>
      <groupName>格式问题</groupName>
      <ability>L2_HalfPunc_CN</ability>
      <abilityName>全半角问题</abilityName>
      <candidateList>
        <item>&lt;</item>
      </candidateList>
      <explain>文本全半角错误。</explain>
      <paraID>1D36642B</paraID>
      <start>0</start>
      <end>1</end>
      <status>ignored</status>
      <modifiedWord/>
      <trackRevisions>false</trackRevisions>
    </reviewItem>
    <reviewItem>
      <errorID>481db49c-9daa-4a83-9dee-e87950c3d766</errorID>
      <errorWord>＜</errorWord>
      <group>L1_Format</group>
      <groupName>格式问题</groupName>
      <ability>L2_HalfPunc_CN</ability>
      <abilityName>全半角问题</abilityName>
      <candidateList>
        <item>&lt;</item>
      </candidateList>
      <explain>文本全半角错误。</explain>
      <paraID>7C0E8444</paraID>
      <start>0</start>
      <end>1</end>
      <status>ignored</status>
      <modifiedWord/>
      <trackRevisions>false</trackRevisions>
    </reviewItem>
    <reviewItem>
      <errorID>135f2c8d-a21c-4837-b5d6-9025e1d4f95f</errorID>
      <errorWord>＜</errorWord>
      <group>L1_Format</group>
      <groupName>格式问题</groupName>
      <ability>L2_HalfPunc_CN</ability>
      <abilityName>全半角问题</abilityName>
      <candidateList>
        <item>&lt;</item>
      </candidateList>
      <explain>文本全半角错误。</explain>
      <paraID> 22FBEAD</paraID>
      <start>0</start>
      <end>1</end>
      <status>ignored</status>
      <modifiedWord/>
      <trackRevisions>false</trackRevisions>
    </reviewItem>
    <reviewItem>
      <errorID>3845c4c2-dae9-4120-a780-ee667799ad17</errorID>
      <errorWord>＜</errorWord>
      <group>L1_Format</group>
      <groupName>格式问题</groupName>
      <ability>L2_HalfPunc_CN</ability>
      <abilityName>全半角问题</abilityName>
      <candidateList>
        <item>&lt;</item>
      </candidateList>
      <explain>文本全半角错误。</explain>
      <paraID>69EC23E9</paraID>
      <start>0</start>
      <end>1</end>
      <status>ignored</status>
      <modifiedWord/>
      <trackRevisions>false</trackRevisions>
    </reviewItem>
    <reviewItem>
      <errorID>870de8db-b9e4-42f3-8026-1dbb732aac49</errorID>
      <errorWord>＜</errorWord>
      <group>L1_Format</group>
      <groupName>格式问题</groupName>
      <ability>L2_HalfPunc_CN</ability>
      <abilityName>全半角问题</abilityName>
      <candidateList>
        <item>&lt;</item>
      </candidateList>
      <explain>文本全半角错误。</explain>
      <paraID>7E0085A0</paraID>
      <start>0</start>
      <end>1</end>
      <status>ignored</status>
      <modifiedWord/>
      <trackRevisions>false</trackRevisions>
    </reviewItem>
    <reviewItem>
      <errorID>4d23abdc-04ee-4363-b0c0-a116b4f6facc</errorID>
      <errorWord>＜</errorWord>
      <group>L1_Format</group>
      <groupName>格式问题</groupName>
      <ability>L2_HalfPunc_CN</ability>
      <abilityName>全半角问题</abilityName>
      <candidateList>
        <item>&lt;</item>
      </candidateList>
      <explain>文本全半角错误。</explain>
      <paraID>25CDC21C</paraID>
      <start>0</start>
      <end>1</end>
      <status>ignored</status>
      <modifiedWord/>
      <trackRevisions>false</trackRevisions>
    </reviewItem>
    <reviewItem>
      <errorID>f9b7c969-1643-4d02-8ea9-a05376a54550</errorID>
      <errorWord>＜</errorWord>
      <group>L1_Format</group>
      <groupName>格式问题</groupName>
      <ability>L2_HalfPunc_CN</ability>
      <abilityName>全半角问题</abilityName>
      <candidateList>
        <item>&lt;</item>
      </candidateList>
      <explain>文本全半角错误。</explain>
      <paraID>2917B61A</paraID>
      <start>0</start>
      <end>1</end>
      <status>ignored</status>
      <modifiedWord/>
      <trackRevisions>false</trackRevisions>
    </reviewItem>
    <reviewItem>
      <errorID>b835587c-5dba-46b1-8a76-98e34f55be36</errorID>
      <errorWord>＜</errorWord>
      <group>L1_Format</group>
      <groupName>格式问题</groupName>
      <ability>L2_HalfPunc_CN</ability>
      <abilityName>全半角问题</abilityName>
      <candidateList>
        <item>&lt;</item>
      </candidateList>
      <explain>文本全半角错误。</explain>
      <paraID>24D11FC9</paraID>
      <start>0</start>
      <end>1</end>
      <status>ignored</status>
      <modifiedWord/>
      <trackRevisions>false</trackRevisions>
    </reviewItem>
    <reviewItem>
      <errorID>abef91c8-2cb9-4938-ac64-b72f74a22169</errorID>
      <errorWord>＜</errorWord>
      <group>L1_Format</group>
      <groupName>格式问题</groupName>
      <ability>L2_HalfPunc_CN</ability>
      <abilityName>全半角问题</abilityName>
      <candidateList>
        <item>&lt;</item>
      </candidateList>
      <explain>文本全半角错误。</explain>
      <paraID>5425AD08</paraID>
      <start>0</start>
      <end>1</end>
      <status>ignored</status>
      <modifiedWord/>
      <trackRevisions>false</trackRevisions>
    </reviewItem>
    <reviewItem>
      <errorID>0c3c810f-68d0-4c75-a4b2-0ecbcc72fa7f</errorID>
      <errorWord>＜</errorWord>
      <group>L1_Format</group>
      <groupName>格式问题</groupName>
      <ability>L2_HalfPunc_CN</ability>
      <abilityName>全半角问题</abilityName>
      <candidateList>
        <item>&lt;</item>
      </candidateList>
      <explain>文本全半角错误。</explain>
      <paraID>16D0D486</paraID>
      <start>0</start>
      <end>1</end>
      <status>ignored</status>
      <modifiedWord/>
      <trackRevisions>false</trackRevisions>
    </reviewItem>
    <reviewItem>
      <errorID>4aa49af0-062f-49bf-a465-db01da9f045e</errorID>
      <errorWord>＜</errorWord>
      <group>L1_Format</group>
      <groupName>格式问题</groupName>
      <ability>L2_HalfPunc_CN</ability>
      <abilityName>全半角问题</abilityName>
      <candidateList>
        <item>&lt;</item>
      </candidateList>
      <explain>文本全半角错误。</explain>
      <paraID>6F2DA9ED</paraID>
      <start>0</start>
      <end>1</end>
      <status>ignored</status>
      <modifiedWord/>
      <trackRevisions>false</trackRevisions>
    </reviewItem>
    <reviewItem>
      <errorID>4327421c-8275-4445-8bb2-df5074e3b0bb</errorID>
      <errorWord>＜</errorWord>
      <group>L1_Format</group>
      <groupName>格式问题</groupName>
      <ability>L2_HalfPunc_CN</ability>
      <abilityName>全半角问题</abilityName>
      <candidateList>
        <item>&lt;</item>
      </candidateList>
      <explain>文本全半角错误。</explain>
      <paraID>167F1980</paraID>
      <start>0</start>
      <end>1</end>
      <status>ignored</status>
      <modifiedWord/>
      <trackRevisions>false</trackRevisions>
    </reviewItem>
    <reviewItem>
      <errorID>d9144ba9-290c-4304-93ca-132547976d49</errorID>
      <errorWord>＜</errorWord>
      <group>L1_Format</group>
      <groupName>格式问题</groupName>
      <ability>L2_HalfPunc_CN</ability>
      <abilityName>全半角问题</abilityName>
      <candidateList>
        <item>&lt;</item>
      </candidateList>
      <explain>文本全半角错误。</explain>
      <paraID> 1EAC581</paraID>
      <start>0</start>
      <end>1</end>
      <status>ignored</status>
      <modifiedWord/>
      <trackRevisions>false</trackRevisions>
    </reviewItem>
    <reviewItem>
      <errorID>2d5cbb86-2ce1-476e-b707-39735a239ebf</errorID>
      <errorWord>＜</errorWord>
      <group>L1_Format</group>
      <groupName>格式问题</groupName>
      <ability>L2_HalfPunc_CN</ability>
      <abilityName>全半角问题</abilityName>
      <candidateList>
        <item>&lt;</item>
      </candidateList>
      <explain>文本全半角错误。</explain>
      <paraID>53BC262D</paraID>
      <start>0</start>
      <end>1</end>
      <status>ignored</status>
      <modifiedWord/>
      <trackRevisions>false</trackRevisions>
    </reviewItem>
    <reviewItem>
      <errorID>bd646b17-d2a4-4585-8650-091905a8985f</errorID>
      <errorWord>＜</errorWord>
      <group>L1_Format</group>
      <groupName>格式问题</groupName>
      <ability>L2_HalfPunc_CN</ability>
      <abilityName>全半角问题</abilityName>
      <candidateList>
        <item>&lt;</item>
      </candidateList>
      <explain>文本全半角错误。</explain>
      <paraID>159A6CA6</paraID>
      <start>0</start>
      <end>1</end>
      <status>ignored</status>
      <modifiedWord/>
      <trackRevisions>false</trackRevisions>
    </reviewItem>
    <reviewItem>
      <errorID>b43cb351-51cc-43d6-ace5-ed21a9f40249</errorID>
      <errorWord>＜</errorWord>
      <group>L1_Format</group>
      <groupName>格式问题</groupName>
      <ability>L2_HalfPunc_CN</ability>
      <abilityName>全半角问题</abilityName>
      <candidateList>
        <item>&lt;</item>
      </candidateList>
      <explain>文本全半角错误。</explain>
      <paraID>4504B68E</paraID>
      <start>0</start>
      <end>1</end>
      <status>ignored</status>
      <modifiedWord/>
      <trackRevisions>false</trackRevisions>
    </reviewItem>
    <reviewItem>
      <errorID>2b60998c-2429-44c1-b1ab-5eb687578004</errorID>
      <errorWord>＜</errorWord>
      <group>L1_Format</group>
      <groupName>格式问题</groupName>
      <ability>L2_HalfPunc_CN</ability>
      <abilityName>全半角问题</abilityName>
      <candidateList>
        <item>&lt;</item>
      </candidateList>
      <explain>文本全半角错误。</explain>
      <paraID>300AE708</paraID>
      <start>0</start>
      <end>1</end>
      <status>ignored</status>
      <modifiedWord/>
      <trackRevisions>false</trackRevisions>
    </reviewItem>
    <reviewItem>
      <errorID>19fc7b34-32d4-4091-b991-fe643018ef9b</errorID>
      <errorWord>＜</errorWord>
      <group>L1_Format</group>
      <groupName>格式问题</groupName>
      <ability>L2_HalfPunc_CN</ability>
      <abilityName>全半角问题</abilityName>
      <candidateList>
        <item>&lt;</item>
      </candidateList>
      <explain>文本全半角错误。</explain>
      <paraID>5FA21D56</paraID>
      <start>0</start>
      <end>1</end>
      <status>ignored</status>
      <modifiedWord/>
      <trackRevisions>false</trackRevisions>
    </reviewItem>
    <reviewItem>
      <errorID>af58f3cd-dbeb-4835-b6a9-c66c2763ddda</errorID>
      <errorWord>＜</errorWord>
      <group>L1_Format</group>
      <groupName>格式问题</groupName>
      <ability>L2_HalfPunc_CN</ability>
      <abilityName>全半角问题</abilityName>
      <candidateList>
        <item>&lt;</item>
      </candidateList>
      <explain>文本全半角错误。</explain>
      <paraID>65FFE0F2</paraID>
      <start>0</start>
      <end>1</end>
      <status>ignored</status>
      <modifiedWord/>
      <trackRevisions>false</trackRevisions>
    </reviewItem>
    <reviewItem>
      <errorID>254c2311-dfd5-4372-aa93-7f4ab87066cc</errorID>
      <errorWord>＜</errorWord>
      <group>L1_Format</group>
      <groupName>格式问题</groupName>
      <ability>L2_HalfPunc_CN</ability>
      <abilityName>全半角问题</abilityName>
      <candidateList>
        <item>&lt;</item>
      </candidateList>
      <explain>文本全半角错误。</explain>
      <paraID>5E1CD73C</paraID>
      <start>0</start>
      <end>1</end>
      <status>ignored</status>
      <modifiedWord/>
      <trackRevisions>false</trackRevisions>
    </reviewItem>
    <reviewItem>
      <errorID>77732372-94c5-40d8-b3cb-5a787406aaa7</errorID>
      <errorWord>＜</errorWord>
      <group>L1_Format</group>
      <groupName>格式问题</groupName>
      <ability>L2_HalfPunc_CN</ability>
      <abilityName>全半角问题</abilityName>
      <candidateList>
        <item>&lt;</item>
      </candidateList>
      <explain>文本全半角错误。</explain>
      <paraID> B927B4C</paraID>
      <start>0</start>
      <end>1</end>
      <status>ignored</status>
      <modifiedWord/>
      <trackRevisions>false</trackRevisions>
    </reviewItem>
    <reviewItem>
      <errorID>24121faa-a0cf-419e-b70b-f5874976fd54</errorID>
      <errorWord>＜</errorWord>
      <group>L1_Format</group>
      <groupName>格式问题</groupName>
      <ability>L2_HalfPunc_CN</ability>
      <abilityName>全半角问题</abilityName>
      <candidateList>
        <item>&lt;</item>
      </candidateList>
      <explain>文本全半角错误。</explain>
      <paraID>5AC1C3F7</paraID>
      <start>0</start>
      <end>1</end>
      <status>ignored</status>
      <modifiedWord/>
      <trackRevisions>false</trackRevisions>
    </reviewItem>
    <reviewItem>
      <errorID>7795c101-bf84-4b8f-8f6c-1f3993dc7fa9</errorID>
      <errorWord>＜</errorWord>
      <group>L1_Format</group>
      <groupName>格式问题</groupName>
      <ability>L2_HalfPunc_CN</ability>
      <abilityName>全半角问题</abilityName>
      <candidateList>
        <item>&lt;</item>
      </candidateList>
      <explain>文本全半角错误。</explain>
      <paraID>460DBAFB</paraID>
      <start>0</start>
      <end>1</end>
      <status>ignored</status>
      <modifiedWord/>
      <trackRevisions>false</trackRevisions>
    </reviewItem>
    <reviewItem>
      <errorID>f1c9bd90-f313-47b3-9f0a-a1a548b6449e</errorID>
      <errorWord>＜</errorWord>
      <group>L1_Format</group>
      <groupName>格式问题</groupName>
      <ability>L2_HalfPunc_CN</ability>
      <abilityName>全半角问题</abilityName>
      <candidateList>
        <item>&lt;</item>
      </candidateList>
      <explain>文本全半角错误。</explain>
      <paraID>154A6000</paraID>
      <start>0</start>
      <end>1</end>
      <status>ignored</status>
      <modifiedWord/>
      <trackRevisions>false</trackRevisions>
    </reviewItem>
    <reviewItem>
      <errorID>3054888a-d377-4297-9c8e-d62817810723</errorID>
      <errorWord>＜</errorWord>
      <group>L1_Format</group>
      <groupName>格式问题</groupName>
      <ability>L2_HalfPunc_CN</ability>
      <abilityName>全半角问题</abilityName>
      <candidateList>
        <item>&lt;</item>
      </candidateList>
      <explain>文本全半角错误。</explain>
      <paraID> 9F331A6</paraID>
      <start>0</start>
      <end>1</end>
      <status>ignored</status>
      <modifiedWord/>
      <trackRevisions>false</trackRevisions>
    </reviewItem>
    <reviewItem>
      <errorID>f931be55-cd92-406b-8484-d6c845bad8a4</errorID>
      <errorWord>＜</errorWord>
      <group>L1_Format</group>
      <groupName>格式问题</groupName>
      <ability>L2_HalfPunc_CN</ability>
      <abilityName>全半角问题</abilityName>
      <candidateList>
        <item>&lt;</item>
      </candidateList>
      <explain>文本全半角错误。</explain>
      <paraID>7AE5AAAF</paraID>
      <start>0</start>
      <end>1</end>
      <status>ignored</status>
      <modifiedWord/>
      <trackRevisions>false</trackRevisions>
    </reviewItem>
    <reviewItem>
      <errorID>8423172c-d448-4260-a14c-ec26dc3ca2ef</errorID>
      <errorWord>＜</errorWord>
      <group>L1_Format</group>
      <groupName>格式问题</groupName>
      <ability>L2_HalfPunc_CN</ability>
      <abilityName>全半角问题</abilityName>
      <candidateList>
        <item>&lt;</item>
      </candidateList>
      <explain>文本全半角错误。</explain>
      <paraID>3E08A798</paraID>
      <start>0</start>
      <end>1</end>
      <status>ignored</status>
      <modifiedWord/>
      <trackRevisions>false</trackRevisions>
    </reviewItem>
    <reviewItem>
      <errorID>9c9e6363-bd39-49cc-8263-7621caa404df</errorID>
      <errorWord>＜</errorWord>
      <group>L1_Format</group>
      <groupName>格式问题</groupName>
      <ability>L2_HalfPunc_CN</ability>
      <abilityName>全半角问题</abilityName>
      <candidateList>
        <item>&lt;</item>
      </candidateList>
      <explain>文本全半角错误。</explain>
      <paraID>4D35EDA8</paraID>
      <start>0</start>
      <end>1</end>
      <status>ignored</status>
      <modifiedWord/>
      <trackRevisions>false</trackRevisions>
    </reviewItem>
    <reviewItem>
      <errorID>7600d68b-6153-4ec7-9e9b-0e7ae2234f9c</errorID>
      <errorWord>＜</errorWord>
      <group>L1_Format</group>
      <groupName>格式问题</groupName>
      <ability>L2_HalfPunc_CN</ability>
      <abilityName>全半角问题</abilityName>
      <candidateList>
        <item>&lt;</item>
      </candidateList>
      <explain>文本全半角错误。</explain>
      <paraID>356C68EF</paraID>
      <start>0</start>
      <end>1</end>
      <status>ignored</status>
      <modifiedWord/>
      <trackRevisions>false</trackRevisions>
    </reviewItem>
    <reviewItem>
      <errorID>43404c56-fdb9-4b92-9555-aa93c85c0980</errorID>
      <errorWord>＜</errorWord>
      <group>L1_Format</group>
      <groupName>格式问题</groupName>
      <ability>L2_HalfPunc_CN</ability>
      <abilityName>全半角问题</abilityName>
      <candidateList>
        <item>&lt;</item>
      </candidateList>
      <explain>文本全半角错误。</explain>
      <paraID>6D90C1B2</paraID>
      <start>0</start>
      <end>1</end>
      <status>ignored</status>
      <modifiedWord/>
      <trackRevisions>false</trackRevisions>
    </reviewItem>
    <reviewItem>
      <errorID>15457013-7fea-473a-a9ab-15df4e92f61f</errorID>
      <errorWord>＜</errorWord>
      <group>L1_Format</group>
      <groupName>格式问题</groupName>
      <ability>L2_HalfPunc_CN</ability>
      <abilityName>全半角问题</abilityName>
      <candidateList>
        <item>&lt;</item>
      </candidateList>
      <explain>文本全半角错误。</explain>
      <paraID>47C953EC</paraID>
      <start>0</start>
      <end>1</end>
      <status>ignored</status>
      <modifiedWord/>
      <trackRevisions>false</trackRevisions>
    </reviewItem>
    <reviewItem>
      <errorID>a04a91af-2150-46b7-b5c7-7acafc802741</errorID>
      <errorWord>＜</errorWord>
      <group>L1_Format</group>
      <groupName>格式问题</groupName>
      <ability>L2_HalfPunc_CN</ability>
      <abilityName>全半角问题</abilityName>
      <candidateList>
        <item>&lt;</item>
      </candidateList>
      <explain>文本全半角错误。</explain>
      <paraID>7CFB2114</paraID>
      <start>0</start>
      <end>1</end>
      <status>ignored</status>
      <modifiedWord/>
      <trackRevisions>false</trackRevisions>
    </reviewItem>
    <reviewItem>
      <errorID>5fa4d8bc-c855-45e8-83a1-005789dab0fb</errorID>
      <errorWord>＜</errorWord>
      <group>L1_Format</group>
      <groupName>格式问题</groupName>
      <ability>L2_HalfPunc_CN</ability>
      <abilityName>全半角问题</abilityName>
      <candidateList>
        <item>&lt;</item>
      </candidateList>
      <explain>文本全半角错误。</explain>
      <paraID>14D30043</paraID>
      <start>0</start>
      <end>1</end>
      <status>ignored</status>
      <modifiedWord/>
      <trackRevisions>false</trackRevisions>
    </reviewItem>
    <reviewItem>
      <errorID>6ff6d74e-3cff-421e-acb2-103de9280f96</errorID>
      <errorWord>＜</errorWord>
      <group>L1_Format</group>
      <groupName>格式问题</groupName>
      <ability>L2_HalfPunc_CN</ability>
      <abilityName>全半角问题</abilityName>
      <candidateList>
        <item>&lt;</item>
      </candidateList>
      <explain>文本全半角错误。</explain>
      <paraID>389ED2A9</paraID>
      <start>0</start>
      <end>1</end>
      <status>ignored</status>
      <modifiedWord/>
      <trackRevisions>false</trackRevisions>
    </reviewItem>
    <reviewItem>
      <errorID>f92e12b2-562f-4373-a3e0-4073039a5949</errorID>
      <errorWord>＜</errorWord>
      <group>L1_Format</group>
      <groupName>格式问题</groupName>
      <ability>L2_HalfPunc_CN</ability>
      <abilityName>全半角问题</abilityName>
      <candidateList>
        <item>&lt;</item>
      </candidateList>
      <explain>文本全半角错误。</explain>
      <paraID>2AADB0CB</paraID>
      <start>0</start>
      <end>1</end>
      <status>ignored</status>
      <modifiedWord/>
      <trackRevisions>false</trackRevisions>
    </reviewItem>
    <reviewItem>
      <errorID>f8e2d190-71bf-4a8e-b756-9e8daf1e67f2</errorID>
      <errorWord>＜</errorWord>
      <group>L1_Format</group>
      <groupName>格式问题</groupName>
      <ability>L2_HalfPunc_CN</ability>
      <abilityName>全半角问题</abilityName>
      <candidateList>
        <item>&lt;</item>
      </candidateList>
      <explain>文本全半角错误。</explain>
      <paraID>7136D7DE</paraID>
      <start>0</start>
      <end>1</end>
      <status>ignored</status>
      <modifiedWord/>
      <trackRevisions>false</trackRevisions>
    </reviewItem>
    <reviewItem>
      <errorID>2c090c5d-7307-47f0-bc1f-43f04c212b72</errorID>
      <errorWord>＜</errorWord>
      <group>L1_Format</group>
      <groupName>格式问题</groupName>
      <ability>L2_HalfPunc_CN</ability>
      <abilityName>全半角问题</abilityName>
      <candidateList>
        <item>&lt;</item>
      </candidateList>
      <explain>文本全半角错误。</explain>
      <paraID>70848934</paraID>
      <start>0</start>
      <end>1</end>
      <status>ignored</status>
      <modifiedWord/>
      <trackRevisions>false</trackRevisions>
    </reviewItem>
    <reviewItem>
      <errorID>05738d8d-98f2-4489-8cff-2f0256096055</errorID>
      <errorWord>＜</errorWord>
      <group>L1_Format</group>
      <groupName>格式问题</groupName>
      <ability>L2_HalfPunc_CN</ability>
      <abilityName>全半角问题</abilityName>
      <candidateList>
        <item>&lt;</item>
      </candidateList>
      <explain>文本全半角错误。</explain>
      <paraID>1946BA78</paraID>
      <start>0</start>
      <end>1</end>
      <status>ignored</status>
      <modifiedWord/>
      <trackRevisions>false</trackRevisions>
    </reviewItem>
    <reviewItem>
      <errorID>a8483b72-d8fe-41e1-be77-2c54a2fef6da</errorID>
      <errorWord>＜</errorWord>
      <group>L1_Format</group>
      <groupName>格式问题</groupName>
      <ability>L2_HalfPunc_CN</ability>
      <abilityName>全半角问题</abilityName>
      <candidateList>
        <item>&lt;</item>
      </candidateList>
      <explain>文本全半角错误。</explain>
      <paraID>40CEC824</paraID>
      <start>0</start>
      <end>1</end>
      <status>ignored</status>
      <modifiedWord/>
      <trackRevisions>false</trackRevisions>
    </reviewItem>
    <reviewItem>
      <errorID>145bb998-5467-46c5-9856-d40b4f239315</errorID>
      <errorWord>~</errorWord>
      <group>L1_Format</group>
      <groupName>格式问题</groupName>
      <ability>L2_HalfPunc_CN</ability>
      <abilityName>全半角问题</abilityName>
      <candidateList>
        <item>～</item>
      </candidateList>
      <explain>文本全半角错误。</explain>
      <paraID>7E29C48D</paraID>
      <start>10</start>
      <end>11</end>
      <status>ignored</status>
      <modifiedWord/>
      <trackRevisions>false</trackRevisions>
    </reviewItem>
    <reviewItem>
      <errorID>f1992991-fd06-42fb-951c-9444ed22296d</errorID>
      <errorWord>~</errorWord>
      <group>L1_Format</group>
      <groupName>格式问题</groupName>
      <ability>L2_HalfPunc_CN</ability>
      <abilityName>全半角问题</abilityName>
      <candidateList>
        <item>～</item>
      </candidateList>
      <explain>文本全半角错误。</explain>
      <paraID>7E29C48D</paraID>
      <start>19</start>
      <end>20</end>
      <status>ignored</status>
      <modifiedWord/>
      <trackRevisions>false</trackRevisions>
    </reviewItem>
    <reviewItem>
      <errorID>e38c210b-3c3b-4419-8019-6650b550c41d</errorID>
      <errorWord>~</errorWord>
      <group>L1_Format</group>
      <groupName>格式问题</groupName>
      <ability>L2_HalfPunc_CN</ability>
      <abilityName>全半角问题</abilityName>
      <candidateList>
        <item>～</item>
      </candidateList>
      <explain>文本全半角错误。</explain>
      <paraID>5D061367</paraID>
      <start>10</start>
      <end>11</end>
      <status>ignored</status>
      <modifiedWord/>
      <trackRevisions>false</trackRevisions>
    </reviewItem>
    <reviewItem>
      <errorID>f75135a1-dc64-4e43-aabb-e15915dae312</errorID>
      <errorWord>~</errorWord>
      <group>L1_Format</group>
      <groupName>格式问题</groupName>
      <ability>L2_HalfPunc_CN</ability>
      <abilityName>全半角问题</abilityName>
      <candidateList>
        <item>～</item>
      </candidateList>
      <explain>文本全半角错误。</explain>
      <paraID>5D061367</paraID>
      <start>19</start>
      <end>20</end>
      <status>ignored</status>
      <modifiedWord/>
      <trackRevisions>false</trackRevisions>
    </reviewItem>
    <reviewItem>
      <errorID>ccb94114-0b30-48fc-80ca-c8c6b27ca8d3</errorID>
      <errorWord>＋</errorWord>
      <group>L1_Format</group>
      <groupName>格式问题</groupName>
      <ability>L2_HalfPunc_CN</ability>
      <abilityName>全半角问题</abilityName>
      <candidateList>
        <item>+</item>
      </candidateList>
      <explain>文本全半角错误。</explain>
      <paraID>7318668E</paraID>
      <start>7</start>
      <end>8</end>
      <status>ignored</status>
      <modifiedWord/>
      <trackRevisions>false</trackRevisions>
    </reviewItem>
    <reviewItem>
      <errorID>e76019e8-fdcf-40ac-9e35-0ac60f292ba7</errorID>
      <errorWord>：</errorWord>
      <group>L1_Format</group>
      <groupName>格式问题</groupName>
      <ability>L2_HalfPunc_CN</ability>
      <abilityName>全半角问题</abilityName>
      <candidateList>
        <item>:</item>
      </candidateList>
      <explain>文本全半角错误。</explain>
      <paraID>622B6F5F</paraID>
      <start>1</start>
      <end>2</end>
      <status>ignored</status>
      <modifiedWord/>
      <trackRevisions>false</trackRevisions>
    </reviewItem>
    <reviewItem>
      <errorID>f7641760-3ce3-48cc-902f-51230c5d873b</errorID>
      <errorWord>，</errorWord>
      <group>L1_Format</group>
      <groupName>格式问题</groupName>
      <ability>L2_HalfPunc_CN</ability>
      <abilityName>全半角问题</abilityName>
      <candidateList>
        <item>, </item>
      </candidateList>
      <explain>文本全半角错误。</explain>
      <paraID>622B6F5F</paraID>
      <start>14</start>
      <end>15</end>
      <status>ignored</status>
      <modifiedWord/>
      <trackRevisions>false</trackRevisions>
    </reviewItem>
    <reviewItem>
      <errorID>ffd24fa4-821d-43b5-bfd2-683ecaea57e8</errorID>
      <errorWord>：</errorWord>
      <group>L1_Format</group>
      <groupName>格式问题</groupName>
      <ability>L2_HalfPunc_CN</ability>
      <abilityName>全半角问题</abilityName>
      <candidateList>
        <item>:</item>
      </candidateList>
      <explain>文本全半角错误。</explain>
      <paraID>622B6F5F</paraID>
      <start>16</start>
      <end>17</end>
      <status>ignored</status>
      <modifiedWord/>
      <trackRevisions>false</trackRevisions>
    </reviewItem>
    <reviewItem>
      <errorID>3361d3e0-1a07-46c0-b102-96cf33f69777</errorID>
      <errorWord>其它</errorWord>
      <group>L1_Word</group>
      <groupName>字词问题</groupName>
      <ability>L2_Alias</ability>
      <abilityName>也作/曾用词</abilityName>
      <candidateList>
        <item>其他</item>
      </candidateList>
      <explain>词汇[其它]为不规范表述或旧称，其规范书面表述为[其他]。</explain>
      <paraID> A8E5A50</paraID>
      <start>118</start>
      <end>120</end>
      <status>ignored</status>
      <modifiedWord/>
      <trackRevisions>false</trackRevisions>
    </reviewItem>
    <reviewItem>
      <errorID>9217f0cd-7e21-44eb-944e-4986d87d7bd2</errorID>
      <errorWord>（</errorWord>
      <group>L1_Format</group>
      <groupName>格式问题</groupName>
      <ability>L2_HalfPunc_CN</ability>
      <abilityName>全半角问题</abilityName>
      <candidateList>
        <item>(</item>
      </candidateList>
      <explain>文本全半角错误。</explain>
      <paraID>26428B5C</paraID>
      <start>1</start>
      <end>2</end>
      <status>ignored</status>
      <modifiedWord/>
      <trackRevisions>false</trackRevisions>
    </reviewItem>
    <reviewItem>
      <errorID>d007c103-d71d-4718-9d0d-0ec8adc86d7b</errorID>
      <errorWord>）</errorWord>
      <group>L1_Format</group>
      <groupName>格式问题</groupName>
      <ability>L2_HalfPunc_CN</ability>
      <abilityName>全半角问题</abilityName>
      <candidateList>
        <item>)</item>
      </candidateList>
      <explain>文本全半角错误。</explain>
      <paraID>26428B5C</paraID>
      <start>6</start>
      <end>7</end>
      <status>ignored</status>
      <modifiedWord/>
      <trackRevisions>false</trackRevisions>
    </reviewItem>
    <reviewItem>
      <errorID>d8d880a6-697d-4ee7-9ad6-47b3bd994a93</errorID>
      <errorWord>（</errorWord>
      <group>L1_Format</group>
      <groupName>格式问题</groupName>
      <ability>L2_HalfPunc_CN</ability>
      <abilityName>全半角问题</abilityName>
      <candidateList>
        <item>(</item>
      </candidateList>
      <explain>文本全半角错误。</explain>
      <paraID>7BC852D4</paraID>
      <start>2</start>
      <end>3</end>
      <status>ignored</status>
      <modifiedWord/>
      <trackRevisions>false</trackRevisions>
    </reviewItem>
    <reviewItem>
      <errorID>fec44b81-6718-47f4-b488-25c637eaf387</errorID>
      <errorWord>）</errorWord>
      <group>L1_Format</group>
      <groupName>格式问题</groupName>
      <ability>L2_HalfPunc_CN</ability>
      <abilityName>全半角问题</abilityName>
      <candidateList>
        <item>)</item>
      </candidateList>
      <explain>文本全半角错误。</explain>
      <paraID>7BC852D4</paraID>
      <start>7</start>
      <end>8</end>
      <status>ignored</status>
      <modifiedWord/>
      <trackRevisions>false</trackRevisions>
    </reviewItem>
    <reviewItem>
      <errorID>fadc726f-b6db-4d7b-bc22-e78fea8202af</errorID>
      <errorWord>（</errorWord>
      <group>L1_Format</group>
      <groupName>格式问题</groupName>
      <ability>L2_HalfPunc_CN</ability>
      <abilityName>全半角问题</abilityName>
      <candidateList>
        <item>(</item>
      </candidateList>
      <explain>文本全半角错误。</explain>
      <paraID>359BAE34</paraID>
      <start>2</start>
      <end>3</end>
      <status>ignored</status>
      <modifiedWord/>
      <trackRevisions>false</trackRevisions>
    </reviewItem>
    <reviewItem>
      <errorID>01403920-45a0-4645-82e1-99551c96b568</errorID>
      <errorWord>）</errorWord>
      <group>L1_Format</group>
      <groupName>格式问题</groupName>
      <ability>L2_HalfPunc_CN</ability>
      <abilityName>全半角问题</abilityName>
      <candidateList>
        <item>)</item>
      </candidateList>
      <explain>文本全半角错误。</explain>
      <paraID>359BAE34</paraID>
      <start>7</start>
      <end>8</end>
      <status>ignored</status>
      <modifiedWord/>
      <trackRevisions>false</trackRevisions>
    </reviewItem>
    <reviewItem>
      <errorID>10b8ca24-2435-4c8c-bf8d-2c5e13adace3</errorID>
      <errorWord>（</errorWord>
      <group>L1_Format</group>
      <groupName>格式问题</groupName>
      <ability>L2_HalfPunc_CN</ability>
      <abilityName>全半角问题</abilityName>
      <candidateList>
        <item>(</item>
      </candidateList>
      <explain>文本全半角错误。</explain>
      <paraID> 81B8334</paraID>
      <start>2</start>
      <end>3</end>
      <status>ignored</status>
      <modifiedWord/>
      <trackRevisions>false</trackRevisions>
    </reviewItem>
    <reviewItem>
      <errorID>08bd78e4-0250-4a8e-aa35-71ccf6b5f39e</errorID>
      <errorWord>）</errorWord>
      <group>L1_Format</group>
      <groupName>格式问题</groupName>
      <ability>L2_HalfPunc_CN</ability>
      <abilityName>全半角问题</abilityName>
      <candidateList>
        <item>)</item>
      </candidateList>
      <explain>文本全半角错误。</explain>
      <paraID> 81B8334</paraID>
      <start>7</start>
      <end>8</end>
      <status>ignored</status>
      <modifiedWord/>
      <trackRevisions>false</trackRevisions>
    </reviewItem>
    <reviewItem>
      <errorID>5ab8b1dc-952d-4b2d-ae3b-8def55a402af</errorID>
      <errorWord>～</errorWord>
      <group>L1_Format</group>
      <groupName>格式问题</groupName>
      <ability>L2_HalfPunc_CN</ability>
      <abilityName>全半角问题</abilityName>
      <candidateList>
        <item>~</item>
      </candidateList>
      <explain>文本全半角错误。</explain>
      <paraID> B4DB5A9</paraID>
      <start>2</start>
      <end>3</end>
      <status>ignored</status>
      <modifiedWord/>
      <trackRevisions>false</trackRevisions>
    </reviewItem>
    <reviewItem>
      <errorID>302bb05f-4d9d-4af8-a55d-5253d51c30ae</errorID>
      <errorWord>～</errorWord>
      <group>L1_Format</group>
      <groupName>格式问题</groupName>
      <ability>L2_HalfPunc_CN</ability>
      <abilityName>全半角问题</abilityName>
      <candidateList>
        <item>~</item>
      </candidateList>
      <explain>文本全半角错误。</explain>
      <paraID>5FF95FE7</paraID>
      <start>2</start>
      <end>3</end>
      <status>ignored</status>
      <modifiedWord/>
      <trackRevisions>false</trackRevisions>
    </reviewItem>
    <reviewItem>
      <errorID>63072cca-0b18-402d-97b8-cac5bec1ede4</errorID>
      <errorWord>～</errorWord>
      <group>L1_Format</group>
      <groupName>格式问题</groupName>
      <ability>L2_HalfPunc_CN</ability>
      <abilityName>全半角问题</abilityName>
      <candidateList>
        <item>~</item>
      </candidateList>
      <explain>文本全半角错误。</explain>
      <paraID>170E53F4</paraID>
      <start>2</start>
      <end>3</end>
      <status>ignored</status>
      <modifiedWord/>
      <trackRevisions>false</trackRevisions>
    </reviewItem>
    <reviewItem>
      <errorID>4b62c345-db9d-474d-a560-22f3379b6a79</errorID>
      <errorWord>～</errorWord>
      <group>L1_Format</group>
      <groupName>格式问题</groupName>
      <ability>L2_HalfPunc_CN</ability>
      <abilityName>全半角问题</abilityName>
      <candidateList>
        <item>~</item>
      </candidateList>
      <explain>文本全半角错误。</explain>
      <paraID>2F84AC46</paraID>
      <start>2</start>
      <end>3</end>
      <status>ignored</status>
      <modifiedWord/>
      <trackRevisions>false</trackRevisions>
    </reviewItem>
    <reviewItem>
      <errorID>ff8460a2-c621-44d1-8643-258313928970</errorID>
      <errorWord>～</errorWord>
      <group>L1_Format</group>
      <groupName>格式问题</groupName>
      <ability>L2_HalfPunc_CN</ability>
      <abilityName>全半角问题</abilityName>
      <candidateList>
        <item>~</item>
      </candidateList>
      <explain>文本全半角错误。</explain>
      <paraID>493625A1</paraID>
      <start>2</start>
      <end>3</end>
      <status>ignored</status>
      <modifiedWord/>
      <trackRevisions>false</trackRevisions>
    </reviewItem>
    <reviewItem>
      <errorID>1a0fee0d-9b12-49a7-99ab-1572c760b0d1</errorID>
      <errorWord>～</errorWord>
      <group>L1_Format</group>
      <groupName>格式问题</groupName>
      <ability>L2_HalfPunc_CN</ability>
      <abilityName>全半角问题</abilityName>
      <candidateList>
        <item>~</item>
      </candidateList>
      <explain>文本全半角错误。</explain>
      <paraID>1E2BD701</paraID>
      <start>2</start>
      <end>3</end>
      <status>ignored</status>
      <modifiedWord/>
      <trackRevisions>false</trackRevisions>
    </reviewItem>
    <reviewItem>
      <errorID>10196e34-edf4-495f-a33e-7961a80e7ed6</errorID>
      <errorWord>～</errorWord>
      <group>L1_Format</group>
      <groupName>格式问题</groupName>
      <ability>L2_HalfPunc_CN</ability>
      <abilityName>全半角问题</abilityName>
      <candidateList>
        <item>~</item>
      </candidateList>
      <explain>文本全半角错误。</explain>
      <paraID>545E69D9</paraID>
      <start>3</start>
      <end>4</end>
      <status>ignored</status>
      <modifiedWord/>
      <trackRevisions>false</trackRevisions>
    </reviewItem>
    <reviewItem>
      <errorID>ffd58a21-1fac-4d91-97bb-c53e182660b9</errorID>
      <errorWord>～</errorWord>
      <group>L1_Format</group>
      <groupName>格式问题</groupName>
      <ability>L2_HalfPunc_CN</ability>
      <abilityName>全半角问题</abilityName>
      <candidateList>
        <item>~</item>
      </candidateList>
      <explain>文本全半角错误。</explain>
      <paraID>55796F7C</paraID>
      <start>2</start>
      <end>3</end>
      <status>ignored</status>
      <modifiedWord/>
      <trackRevisions>false</trackRevisions>
    </reviewItem>
    <reviewItem>
      <errorID>2261004a-bc02-4736-9b3b-c6e80eca45bb</errorID>
      <errorWord>～</errorWord>
      <group>L1_Format</group>
      <groupName>格式问题</groupName>
      <ability>L2_HalfPunc_CN</ability>
      <abilityName>全半角问题</abilityName>
      <candidateList>
        <item>~</item>
      </candidateList>
      <explain>文本全半角错误。</explain>
      <paraID>542BEFA8</paraID>
      <start>2</start>
      <end>3</end>
      <status>ignored</status>
      <modifiedWord/>
      <trackRevisions>false</trackRevisions>
    </reviewItem>
    <reviewItem>
      <errorID>eb112ec1-da4e-4cac-bbf3-7d4fd15f2b7a</errorID>
      <errorWord>～</errorWord>
      <group>L1_Format</group>
      <groupName>格式问题</groupName>
      <ability>L2_HalfPunc_CN</ability>
      <abilityName>全半角问题</abilityName>
      <candidateList>
        <item>~</item>
      </candidateList>
      <explain>文本全半角错误。</explain>
      <paraID>1D1AF7B6</paraID>
      <start>2</start>
      <end>3</end>
      <status>ignored</status>
      <modifiedWord/>
      <trackRevisions>false</trackRevisions>
    </reviewItem>
    <reviewItem>
      <errorID>07045744-d734-424b-a16f-4b439a9dca95</errorID>
      <errorWord>～</errorWord>
      <group>L1_Format</group>
      <groupName>格式问题</groupName>
      <ability>L2_HalfPunc_CN</ability>
      <abilityName>全半角问题</abilityName>
      <candidateList>
        <item>~</item>
      </candidateList>
      <explain>文本全半角错误。</explain>
      <paraID>75258C66</paraID>
      <start>2</start>
      <end>3</end>
      <status>ignored</status>
      <modifiedWord/>
      <trackRevisions>false</trackRevisions>
    </reviewItem>
    <reviewItem>
      <errorID>103a2bec-af12-43bd-8095-4479b4f35db8</errorID>
      <errorWord>～</errorWord>
      <group>L1_Format</group>
      <groupName>格式问题</groupName>
      <ability>L2_HalfPunc_CN</ability>
      <abilityName>全半角问题</abilityName>
      <candidateList>
        <item>~</item>
      </candidateList>
      <explain>文本全半角错误。</explain>
      <paraID>5D59ED4A</paraID>
      <start>2</start>
      <end>3</end>
      <status>ignored</status>
      <modifiedWord/>
      <trackRevisions>false</trackRevisions>
    </reviewItem>
    <reviewItem>
      <errorID>9c3226e5-b979-4457-8b7b-6ef385f59995</errorID>
      <errorWord>～</errorWord>
      <group>L1_Format</group>
      <groupName>格式问题</groupName>
      <ability>L2_HalfPunc_CN</ability>
      <abilityName>全半角问题</abilityName>
      <candidateList>
        <item>~</item>
      </candidateList>
      <explain>文本全半角错误。</explain>
      <paraID>3180B19D</paraID>
      <start>2</start>
      <end>3</end>
      <status>ignored</status>
      <modifiedWord/>
      <trackRevisions>false</trackRevisions>
    </reviewItem>
    <reviewItem>
      <errorID>ab093881-e197-49f4-8f11-ae9a5e448e3e</errorID>
      <errorWord>～</errorWord>
      <group>L1_Format</group>
      <groupName>格式问题</groupName>
      <ability>L2_HalfPunc_CN</ability>
      <abilityName>全半角问题</abilityName>
      <candidateList>
        <item>~</item>
      </candidateList>
      <explain>文本全半角错误。</explain>
      <paraID>15906D21</paraID>
      <start>2</start>
      <end>3</end>
      <status>ignored</status>
      <modifiedWord/>
      <trackRevisions>false</trackRevisions>
    </reviewItem>
    <reviewItem>
      <errorID>8a5ceb20-01bd-4f3c-a294-ea119dd2315c</errorID>
      <errorWord>～</errorWord>
      <group>L1_Format</group>
      <groupName>格式问题</groupName>
      <ability>L2_HalfPunc_CN</ability>
      <abilityName>全半角问题</abilityName>
      <candidateList>
        <item>~</item>
      </candidateList>
      <explain>文本全半角错误。</explain>
      <paraID>423D48EA</paraID>
      <start>2</start>
      <end>3</end>
      <status>ignored</status>
      <modifiedWord/>
      <trackRevisions>false</trackRevisions>
    </reviewItem>
    <reviewItem>
      <errorID>82559104-6a04-48b7-b71b-2611a9933970</errorID>
      <errorWord>～</errorWord>
      <group>L1_Format</group>
      <groupName>格式问题</groupName>
      <ability>L2_HalfPunc_CN</ability>
      <abilityName>全半角问题</abilityName>
      <candidateList>
        <item>~</item>
      </candidateList>
      <explain>文本全半角错误。</explain>
      <paraID>31155297</paraID>
      <start>2</start>
      <end>3</end>
      <status>ignored</status>
      <modifiedWord/>
      <trackRevisions>false</trackRevisions>
    </reviewItem>
    <reviewItem>
      <errorID>d0691f32-a033-49d0-9d90-37434071c585</errorID>
      <errorWord>～</errorWord>
      <group>L1_Format</group>
      <groupName>格式问题</groupName>
      <ability>L2_HalfPunc_CN</ability>
      <abilityName>全半角问题</abilityName>
      <candidateList>
        <item>~</item>
      </candidateList>
      <explain>文本全半角错误。</explain>
      <paraID>3131F0AE</paraID>
      <start>2</start>
      <end>3</end>
      <status>ignored</status>
      <modifiedWord/>
      <trackRevisions>false</trackRevisions>
    </reviewItem>
    <reviewItem>
      <errorID>6e65f2c4-5e78-4c42-9571-76c58062d26c</errorID>
      <errorWord>～</errorWord>
      <group>L1_Format</group>
      <groupName>格式问题</groupName>
      <ability>L2_HalfPunc_CN</ability>
      <abilityName>全半角问题</abilityName>
      <candidateList>
        <item>~</item>
      </candidateList>
      <explain>文本全半角错误。</explain>
      <paraID>5E0627A2</paraID>
      <start>2</start>
      <end>3</end>
      <status>ignored</status>
      <modifiedWord/>
      <trackRevisions>false</trackRevisions>
    </reviewItem>
    <reviewItem>
      <errorID>521ec210-7fea-49b7-9426-44eed62ea853</errorID>
      <errorWord>～</errorWord>
      <group>L1_Format</group>
      <groupName>格式问题</groupName>
      <ability>L2_HalfPunc_CN</ability>
      <abilityName>全半角问题</abilityName>
      <candidateList>
        <item>~</item>
      </candidateList>
      <explain>文本全半角错误。</explain>
      <paraID> FA0AA50</paraID>
      <start>2</start>
      <end>3</end>
      <status>ignored</status>
      <modifiedWord/>
      <trackRevisions>false</trackRevisions>
    </reviewItem>
    <reviewItem>
      <errorID>f6a1b58d-da90-45b9-9a5b-63a8afbb6463</errorID>
      <errorWord>～</errorWord>
      <group>L1_Format</group>
      <groupName>格式问题</groupName>
      <ability>L2_HalfPunc_CN</ability>
      <abilityName>全半角问题</abilityName>
      <candidateList>
        <item>~</item>
      </candidateList>
      <explain>文本全半角错误。</explain>
      <paraID>42847B92</paraID>
      <start>2</start>
      <end>3</end>
      <status>ignored</status>
      <modifiedWord/>
      <trackRevisions>false</trackRevisions>
    </reviewItem>
    <reviewItem>
      <errorID>26814baa-6aa3-4510-b7b3-90e889c8602a</errorID>
      <errorWord>～</errorWord>
      <group>L1_Format</group>
      <groupName>格式问题</groupName>
      <ability>L2_HalfPunc_CN</ability>
      <abilityName>全半角问题</abilityName>
      <candidateList>
        <item>~</item>
      </candidateList>
      <explain>文本全半角错误。</explain>
      <paraID>1D323738</paraID>
      <start>2</start>
      <end>3</end>
      <status>ignored</status>
      <modifiedWord/>
      <trackRevisions>false</trackRevisions>
    </reviewItem>
    <reviewItem>
      <errorID>e9346745-99e8-4369-8889-715654e60098</errorID>
      <errorWord>～</errorWord>
      <group>L1_Format</group>
      <groupName>格式问题</groupName>
      <ability>L2_HalfPunc_CN</ability>
      <abilityName>全半角问题</abilityName>
      <candidateList>
        <item>~</item>
      </candidateList>
      <explain>文本全半角错误。</explain>
      <paraID>31907F69</paraID>
      <start>2</start>
      <end>3</end>
      <status>ignored</status>
      <modifiedWord/>
      <trackRevisions>false</trackRevisions>
    </reviewItem>
    <reviewItem>
      <errorID>039634df-d542-4152-bc86-1b249eb641e2</errorID>
      <errorWord>～</errorWord>
      <group>L1_Format</group>
      <groupName>格式问题</groupName>
      <ability>L2_HalfPunc_CN</ability>
      <abilityName>全半角问题</abilityName>
      <candidateList>
        <item>~</item>
      </candidateList>
      <explain>文本全半角错误。</explain>
      <paraID>162DB313</paraID>
      <start>2</start>
      <end>3</end>
      <status>ignored</status>
      <modifiedWord/>
      <trackRevisions>false</trackRevisions>
    </reviewItem>
    <reviewItem>
      <errorID>e9d47c3d-9aff-4c91-914e-41116a8ddba4</errorID>
      <errorWord>～</errorWord>
      <group>L1_Format</group>
      <groupName>格式问题</groupName>
      <ability>L2_HalfPunc_CN</ability>
      <abilityName>全半角问题</abilityName>
      <candidateList>
        <item>~</item>
      </candidateList>
      <explain>文本全半角错误。</explain>
      <paraID>24DA9F7C</paraID>
      <start>2</start>
      <end>3</end>
      <status>ignored</status>
      <modifiedWord/>
      <trackRevisions>false</trackRevisions>
    </reviewItem>
    <reviewItem>
      <errorID>0fb3dee4-fed6-4666-8abd-3fe6a85b7179</errorID>
      <errorWord>～</errorWord>
      <group>L1_Format</group>
      <groupName>格式问题</groupName>
      <ability>L2_HalfPunc_CN</ability>
      <abilityName>全半角问题</abilityName>
      <candidateList>
        <item>~</item>
      </candidateList>
      <explain>文本全半角错误。</explain>
      <paraID>507B9964</paraID>
      <start>2</start>
      <end>3</end>
      <status>ignored</status>
      <modifiedWord/>
      <trackRevisions>false</trackRevisions>
    </reviewItem>
    <reviewItem>
      <errorID>c81b0f86-5c76-4698-b0f8-827b96a5efc9</errorID>
      <errorWord>～</errorWord>
      <group>L1_Format</group>
      <groupName>格式问题</groupName>
      <ability>L2_HalfPunc_CN</ability>
      <abilityName>全半角问题</abilityName>
      <candidateList>
        <item>~</item>
      </candidateList>
      <explain>文本全半角错误。</explain>
      <paraID>607EDAF8</paraID>
      <start>2</start>
      <end>3</end>
      <status>ignored</status>
      <modifiedWord/>
      <trackRevisions>false</trackRevisions>
    </reviewItem>
    <reviewItem>
      <errorID>e31c209f-359a-41ce-b54a-7834b2e44d2f</errorID>
      <errorWord>～</errorWord>
      <group>L1_Format</group>
      <groupName>格式问题</groupName>
      <ability>L2_HalfPunc_CN</ability>
      <abilityName>全半角问题</abilityName>
      <candidateList>
        <item>~</item>
      </candidateList>
      <explain>文本全半角错误。</explain>
      <paraID>3F529E45</paraID>
      <start>2</start>
      <end>3</end>
      <status>ignored</status>
      <modifiedWord/>
      <trackRevisions>false</trackRevisions>
    </reviewItem>
    <reviewItem>
      <errorID>5bff139c-e50f-44de-8e41-9f5a471ad8c3</errorID>
      <errorWord>～</errorWord>
      <group>L1_Format</group>
      <groupName>格式问题</groupName>
      <ability>L2_HalfPunc_CN</ability>
      <abilityName>全半角问题</abilityName>
      <candidateList>
        <item>~</item>
      </candidateList>
      <explain>文本全半角错误。</explain>
      <paraID>5EE58F19</paraID>
      <start>2</start>
      <end>3</end>
      <status>ignored</status>
      <modifiedWord/>
      <trackRevisions>false</trackRevisions>
    </reviewItem>
    <reviewItem>
      <errorID>2d3f9c71-c173-482e-9b32-aff41e69b313</errorID>
      <errorWord>～</errorWord>
      <group>L1_Format</group>
      <groupName>格式问题</groupName>
      <ability>L2_HalfPunc_CN</ability>
      <abilityName>全半角问题</abilityName>
      <candidateList>
        <item>~</item>
      </candidateList>
      <explain>文本全半角错误。</explain>
      <paraID>4AC07D98</paraID>
      <start>2</start>
      <end>3</end>
      <status>ignored</status>
      <modifiedWord/>
      <trackRevisions>false</trackRevisions>
    </reviewItem>
    <reviewItem>
      <errorID>06cf9d1c-7145-4098-b81d-cb17cea34883</errorID>
      <errorWord>～</errorWord>
      <group>L1_Format</group>
      <groupName>格式问题</groupName>
      <ability>L2_HalfPunc_CN</ability>
      <abilityName>全半角问题</abilityName>
      <candidateList>
        <item>~</item>
      </candidateList>
      <explain>文本全半角错误。</explain>
      <paraID> 441C613</paraID>
      <start>2</start>
      <end>3</end>
      <status>ignored</status>
      <modifiedWord/>
      <trackRevisions>false</trackRevisions>
    </reviewItem>
    <reviewItem>
      <errorID>dd0b2481-76da-4a66-99ab-cbc9d2468b09</errorID>
      <errorWord>～</errorWord>
      <group>L1_Format</group>
      <groupName>格式问题</groupName>
      <ability>L2_HalfPunc_CN</ability>
      <abilityName>全半角问题</abilityName>
      <candidateList>
        <item>~</item>
      </candidateList>
      <explain>文本全半角错误。</explain>
      <paraID> 66CFA8C</paraID>
      <start>2</start>
      <end>3</end>
      <status>ignored</status>
      <modifiedWord/>
      <trackRevisions>false</trackRevisions>
    </reviewItem>
    <reviewItem>
      <errorID>3bcd33a6-1e94-46ed-8746-047f2b257ed6</errorID>
      <errorWord>～</errorWord>
      <group>L1_Format</group>
      <groupName>格式问题</groupName>
      <ability>L2_HalfPunc_CN</ability>
      <abilityName>全半角问题</abilityName>
      <candidateList>
        <item>~</item>
      </candidateList>
      <explain>文本全半角错误。</explain>
      <paraID>67D5D643</paraID>
      <start>2</start>
      <end>3</end>
      <status>ignored</status>
      <modifiedWord/>
      <trackRevisions>false</trackRevisions>
    </reviewItem>
    <reviewItem>
      <errorID>ca9aacb7-474e-4f0e-bbe0-28d0490f8050</errorID>
      <errorWord>～</errorWord>
      <group>L1_Format</group>
      <groupName>格式问题</groupName>
      <ability>L2_HalfPunc_CN</ability>
      <abilityName>全半角问题</abilityName>
      <candidateList>
        <item>~</item>
      </candidateList>
      <explain>文本全半角错误。</explain>
      <paraID> 9DCBA64</paraID>
      <start>3</start>
      <end>4</end>
      <status>ignored</status>
      <modifiedWord/>
      <trackRevisions>false</trackRevisions>
    </reviewItem>
    <reviewItem>
      <errorID>0dbb84a8-d114-4331-ba66-5bb7d568881b</errorID>
      <errorWord>～</errorWord>
      <group>L1_Format</group>
      <groupName>格式问题</groupName>
      <ability>L2_HalfPunc_CN</ability>
      <abilityName>全半角问题</abilityName>
      <candidateList>
        <item>~</item>
      </candidateList>
      <explain>文本全半角错误。</explain>
      <paraID>52EB68CE</paraID>
      <start>2</start>
      <end>3</end>
      <status>ignored</status>
      <modifiedWord/>
      <trackRevisions>false</trackRevisions>
    </reviewItem>
    <reviewItem>
      <errorID>9eb76ac8-96df-444e-bc3d-52014a933f39</errorID>
      <errorWord>～</errorWord>
      <group>L1_Format</group>
      <groupName>格式问题</groupName>
      <ability>L2_HalfPunc_CN</ability>
      <abilityName>全半角问题</abilityName>
      <candidateList>
        <item>~</item>
      </candidateList>
      <explain>文本全半角错误。</explain>
      <paraID>43E4B474</paraID>
      <start>2</start>
      <end>3</end>
      <status>ignored</status>
      <modifiedWord/>
      <trackRevisions>false</trackRevisions>
    </reviewItem>
    <reviewItem>
      <errorID>e5a99e78-61d3-41e1-bdc5-90cbdcf4bf28</errorID>
      <errorWord>～</errorWord>
      <group>L1_Format</group>
      <groupName>格式问题</groupName>
      <ability>L2_HalfPunc_CN</ability>
      <abilityName>全半角问题</abilityName>
      <candidateList>
        <item>~</item>
      </candidateList>
      <explain>文本全半角错误。</explain>
      <paraID>61000568</paraID>
      <start>2</start>
      <end>3</end>
      <status>ignored</status>
      <modifiedWord/>
      <trackRevisions>false</trackRevisions>
    </reviewItem>
    <reviewItem>
      <errorID>e03df02b-96b6-49a1-ad23-d0f993e2f1d5</errorID>
      <errorWord>其它</errorWord>
      <group>L1_Word</group>
      <groupName>字词问题</groupName>
      <ability>L2_Alias</ability>
      <abilityName>也作/曾用词</abilityName>
      <candidateList>
        <item>其他</item>
      </candidateList>
      <explain>词汇[其它]为不规范表述或旧称，其规范书面表述为[其他]。</explain>
      <paraID>40339177</paraID>
      <start>5</start>
      <end>7</end>
      <status>ignored</status>
      <modifiedWord/>
      <trackRevisions>false</trackRevisions>
    </reviewItem>
    <reviewItem>
      <errorID>b60c57b0-3290-4565-8abc-42a011e440a3</errorID>
      <errorWord>，</errorWord>
      <group>L1_Format</group>
      <groupName>格式问题</groupName>
      <ability>L2_HalfPunc_CN</ability>
      <abilityName>全半角问题</abilityName>
      <candidateList>
        <item>,</item>
      </candidateList>
      <explain>文本全半角错误。</explain>
      <paraID>6753345E</paraID>
      <start>1</start>
      <end>2</end>
      <status>ignored</status>
      <modifiedWord/>
      <trackRevisions>false</trackRevisions>
    </reviewItem>
    <reviewItem>
      <errorID>1b996dfe-9d2a-4376-8b31-bee57516c1e8</errorID>
      <errorWord>必需</errorWord>
      <group>L1_Word</group>
      <groupName>字词问题</groupName>
      <ability>L2_Typo</ability>
      <abilityName>字词错误</abilityName>
      <candidateList>
        <item>必须</item>
      </candidateList>
      <explain/>
      <paraID>5E398C8C</paraID>
      <start>74</start>
      <end>76</end>
      <status>ignored</status>
      <modifiedWord/>
      <trackRevisions>false</trackRevisions>
    </reviewItem>
    <reviewItem>
      <errorID>cbebec36-4de8-494b-9140-17696c3c938f</errorID>
      <errorWord>海拔高度</errorWord>
      <group>L1_Word</group>
      <groupName>字词问题</groupName>
      <ability>L2_Typo</ability>
      <abilityName>字词错误</abilityName>
      <candidateList>
        <item>海拔</item>
      </candidateList>
      <explain/>
      <paraID>75016DAD</paraID>
      <start>2</start>
      <end>6</end>
      <status>ignored</status>
      <modifiedWord/>
      <trackRevisions>false</trackRevisions>
    </reviewItem>
    <reviewItem>
      <errorID>a6f15c5f-e627-413c-a66d-e8590949c030</errorID>
      <errorWord>（</errorWord>
      <group>L1_Format</group>
      <groupName>格式问题</groupName>
      <ability>L2_HalfPunc_CN</ability>
      <abilityName>全半角问题</abilityName>
      <candidateList>
        <item>(</item>
      </candidateList>
      <explain>文本全半角错误。</explain>
      <paraID>62C73EE5</paraID>
      <start>0</start>
      <end>1</end>
      <status>ignored</status>
      <modifiedWord/>
      <trackRevisions>false</trackRevisions>
    </reviewItem>
    <reviewItem>
      <errorID>e848ccc7-4f0c-4868-9684-9238961e6534</errorID>
      <errorWord>）</errorWord>
      <group>L1_Format</group>
      <groupName>格式问题</groupName>
      <ability>L2_HalfPunc_CN</ability>
      <abilityName>全半角问题</abilityName>
      <candidateList>
        <item>)</item>
      </candidateList>
      <explain>文本全半角错误。</explain>
      <paraID>62C73EE5</paraID>
      <start>5</start>
      <end>6</end>
      <status>ignored</status>
      <modifiedWord/>
      <trackRevisions>false</trackRevisions>
    </reviewItem>
    <reviewItem>
      <errorID>cc878b9b-1c96-451c-9353-e2ae174be975</errorID>
      <errorWord>其它</errorWord>
      <group>L1_Word</group>
      <groupName>字词问题</groupName>
      <ability>L2_Alias</ability>
      <abilityName>也作/曾用词</abilityName>
      <candidateList>
        <item>其他</item>
      </candidateList>
      <explain>词汇[其它]为不规范表述或旧称，其规范书面表述为[其他]。</explain>
      <paraID>73C54DA0</paraID>
      <start>23</start>
      <end>25</end>
      <status>ignored</status>
      <modifiedWord/>
      <trackRevisions>false</trackRevisions>
    </reviewItem>
    <reviewItem>
      <errorID>e0f7e529-70b4-4de2-9224-6a86b601f084</errorID>
      <errorWord>：</errorWord>
      <group>L1_Format</group>
      <groupName>格式问题</groupName>
      <ability>L2_HalfPunc_CN</ability>
      <abilityName>全半角问题</abilityName>
      <candidateList>
        <item>:</item>
      </candidateList>
      <explain>文本全半角错误。</explain>
      <paraID>783B94AA</paraID>
      <start>4</start>
      <end>5</end>
      <status>ignored</status>
      <modifiedWord/>
      <trackRevisions>false</trackRevisions>
    </reviewItem>
    <reviewItem>
      <errorID>f3cc75d6-6cee-42af-91df-9c247115719a</errorID>
      <errorWord>：</errorWord>
      <group>L1_Format</group>
      <groupName>格式问题</groupName>
      <ability>L2_HalfPunc_CN</ability>
      <abilityName>全半角问题</abilityName>
      <candidateList>
        <item>:</item>
      </candidateList>
      <explain>文本全半角错误。</explain>
      <paraID>517A1496</paraID>
      <start>5</start>
      <end>6</end>
      <status>ignored</status>
      <modifiedWord/>
      <trackRevisions>false</trackRevisions>
    </reviewItem>
    <reviewItem>
      <errorID>ad3bdd8d-8f39-4855-a433-1f63f76d5e78</errorID>
      <errorWord>：</errorWord>
      <group>L1_Format</group>
      <groupName>格式问题</groupName>
      <ability>L2_HalfPunc_CN</ability>
      <abilityName>全半角问题</abilityName>
      <candidateList>
        <item>:</item>
      </candidateList>
      <explain>文本全半角错误。</explain>
      <paraID> 4DAF8E9</paraID>
      <start>4</start>
      <end>5</end>
      <status>ignored</status>
      <modifiedWord/>
      <trackRevisions>false</trackRevisions>
    </reviewItem>
    <reviewItem>
      <errorID>a01308ca-4b04-4737-a6e4-400e67f25f3b</errorID>
      <errorWord>：</errorWord>
      <group>L1_Format</group>
      <groupName>格式问题</groupName>
      <ability>L2_HalfPunc_CN</ability>
      <abilityName>全半角问题</abilityName>
      <candidateList>
        <item>:</item>
      </candidateList>
      <explain>文本全半角错误。</explain>
      <paraID>48DAB72E</paraID>
      <start>3</start>
      <end>4</end>
      <status>ignored</status>
      <modifiedWord/>
      <trackRevisions>false</trackRevisions>
    </reviewItem>
    <reviewItem>
      <errorID>d21da0fc-1d26-4d1a-a0a6-ebc86b0bc5cb</errorID>
      <errorWord>：</errorWord>
      <group>L1_Format</group>
      <groupName>格式问题</groupName>
      <ability>L2_HalfPunc_CN</ability>
      <abilityName>全半角问题</abilityName>
      <candidateList>
        <item>:</item>
      </candidateList>
      <explain>文本全半角错误。</explain>
      <paraID>6128F12D</paraID>
      <start>3</start>
      <end>4</end>
      <status>ignored</status>
      <modifiedWord/>
      <trackRevisions>false</trackRevisions>
    </reviewItem>
    <reviewItem>
      <errorID>5716a11f-76c5-431d-8642-dfe7362e84c6</errorID>
      <errorWord>：</errorWord>
      <group>L1_Format</group>
      <groupName>格式问题</groupName>
      <ability>L2_HalfPunc_CN</ability>
      <abilityName>全半角问题</abilityName>
      <candidateList>
        <item>:</item>
      </candidateList>
      <explain>文本全半角错误。</explain>
      <paraID>32F4DB06</paraID>
      <start>4</start>
      <end>5</end>
      <status>ignored</status>
      <modifiedWord/>
      <trackRevisions>false</trackRevisions>
    </reviewItem>
    <reviewItem>
      <errorID>526ddffb-343f-4a29-b742-fafacad9a43f</errorID>
      <errorWord>：</errorWord>
      <group>L1_Format</group>
      <groupName>格式问题</groupName>
      <ability>L2_HalfPunc_CN</ability>
      <abilityName>全半角问题</abilityName>
      <candidateList>
        <item>:</item>
      </candidateList>
      <explain>文本全半角错误。</explain>
      <paraID>586AB79A</paraID>
      <start>5</start>
      <end>6</end>
      <status>ignored</status>
      <modifiedWord/>
      <trackRevisions>false</trackRevisions>
    </reviewItem>
    <reviewItem>
      <errorID>4f2fb54d-0ed3-434b-addd-379965766884</errorID>
      <errorWord>：</errorWord>
      <group>L1_Format</group>
      <groupName>格式问题</groupName>
      <ability>L2_HalfPunc_CN</ability>
      <abilityName>全半角问题</abilityName>
      <candidateList>
        <item>:</item>
      </candidateList>
      <explain>文本全半角错误。</explain>
      <paraID>7C80F399</paraID>
      <start>4</start>
      <end>5</end>
      <status>ignored</status>
      <modifiedWord/>
      <trackRevisions>false</trackRevisions>
    </reviewItem>
    <reviewItem>
      <errorID>32005b9f-5267-4817-aa05-64c9aa1bf2e1</errorID>
      <errorWord>：</errorWord>
      <group>L1_Format</group>
      <groupName>格式问题</groupName>
      <ability>L2_HalfPunc_CN</ability>
      <abilityName>全半角问题</abilityName>
      <candidateList>
        <item>:</item>
      </candidateList>
      <explain>文本全半角错误。</explain>
      <paraID>75E1F29B</paraID>
      <start>3</start>
      <end>4</end>
      <status>ignored</status>
      <modifiedWord/>
      <trackRevisions>false</trackRevisions>
    </reviewItem>
    <reviewItem>
      <errorID>a2682e77-753a-477a-91cb-6ed5859108e1</errorID>
      <errorWord>：</errorWord>
      <group>L1_Format</group>
      <groupName>格式问题</groupName>
      <ability>L2_HalfPunc_CN</ability>
      <abilityName>全半角问题</abilityName>
      <candidateList>
        <item>:</item>
      </candidateList>
      <explain>文本全半角错误。</explain>
      <paraID>5B69D2E6</paraID>
      <start>3</start>
      <end>4</end>
      <status>ignored</status>
      <modifiedWord/>
      <trackRevisions>false</trackRevisions>
    </reviewItem>
    <reviewItem>
      <errorID>ec546e1c-f3f5-4715-adaf-5a13f8fd99d8</errorID>
      <errorWord>：</errorWord>
      <group>L1_Format</group>
      <groupName>格式问题</groupName>
      <ability>L2_HalfPunc_CN</ability>
      <abilityName>全半角问题</abilityName>
      <candidateList>
        <item>:</item>
      </candidateList>
      <explain>文本全半角错误。</explain>
      <paraID> E41F311</paraID>
      <start>4</start>
      <end>5</end>
      <status>ignored</status>
      <modifiedWord/>
      <trackRevisions>false</trackRevisions>
    </reviewItem>
    <reviewItem>
      <errorID>0ce28571-934a-41c7-876e-90938ad2c89f</errorID>
      <errorWord>：</errorWord>
      <group>L1_Format</group>
      <groupName>格式问题</groupName>
      <ability>L2_HalfPunc_CN</ability>
      <abilityName>全半角问题</abilityName>
      <candidateList>
        <item>:</item>
      </candidateList>
      <explain>文本全半角错误。</explain>
      <paraID> D0A886D</paraID>
      <start>4</start>
      <end>5</end>
      <status>ignored</status>
      <modifiedWord/>
      <trackRevisions>false</trackRevisions>
    </reviewItem>
    <reviewItem>
      <errorID>915206bd-21ac-4622-8568-a72233da9b52</errorID>
      <errorWord>：</errorWord>
      <group>L1_Format</group>
      <groupName>格式问题</groupName>
      <ability>L2_HalfPunc_CN</ability>
      <abilityName>全半角问题</abilityName>
      <candidateList>
        <item>:</item>
      </candidateList>
      <explain>文本全半角错误。</explain>
      <paraID> 1C46B93</paraID>
      <start>4</start>
      <end>5</end>
      <status>ignored</status>
      <modifiedWord/>
      <trackRevisions>false</trackRevisions>
    </reviewItem>
    <reviewItem>
      <errorID>9771a270-3c9a-41fd-91da-9911a66c3bd0</errorID>
      <errorWord>：</errorWord>
      <group>L1_Format</group>
      <groupName>格式问题</groupName>
      <ability>L2_HalfPunc_CN</ability>
      <abilityName>全半角问题</abilityName>
      <candidateList>
        <item>:</item>
      </candidateList>
      <explain>文本全半角错误。</explain>
      <paraID>3E3A4744</paraID>
      <start>5</start>
      <end>6</end>
      <status>ignored</status>
      <modifiedWord/>
      <trackRevisions>false</trackRevisions>
    </reviewItem>
    <reviewItem>
      <errorID>ff0ffefd-5199-4eda-972b-38c886968437</errorID>
      <errorWord>：</errorWord>
      <group>L1_Format</group>
      <groupName>格式问题</groupName>
      <ability>L2_HalfPunc_CN</ability>
      <abilityName>全半角问题</abilityName>
      <candidateList>
        <item>:</item>
      </candidateList>
      <explain>文本全半角错误。</explain>
      <paraID>711CB389</paraID>
      <start>4</start>
      <end>5</end>
      <status>ignored</status>
      <modifiedWord/>
      <trackRevisions>false</trackRevisions>
    </reviewItem>
    <reviewItem>
      <errorID>7e627359-d410-47ab-9e4e-aa29f116586f</errorID>
      <errorWord>：</errorWord>
      <group>L1_Format</group>
      <groupName>格式问题</groupName>
      <ability>L2_HalfPunc_CN</ability>
      <abilityName>全半角问题</abilityName>
      <candidateList>
        <item>:</item>
      </candidateList>
      <explain>文本全半角错误。</explain>
      <paraID>6A22946A</paraID>
      <start>5</start>
      <end>6</end>
      <status>ignored</status>
      <modifiedWord/>
      <trackRevisions>false</trackRevisions>
    </reviewItem>
    <reviewItem>
      <errorID>cc722b91-9836-48dd-9819-e9f4fe64aff4</errorID>
      <errorWord>：</errorWord>
      <group>L1_Format</group>
      <groupName>格式问题</groupName>
      <ability>L2_HalfPunc_CN</ability>
      <abilityName>全半角问题</abilityName>
      <candidateList>
        <item>:</item>
      </candidateList>
      <explain>文本全半角错误。</explain>
      <paraID>15F0BA18</paraID>
      <start>3</start>
      <end>4</end>
      <status>ignored</status>
      <modifiedWord/>
      <trackRevisions>false</trackRevisions>
    </reviewItem>
    <reviewItem>
      <errorID>9b3d038a-376c-4abd-9687-9ad403775d37</errorID>
      <errorWord>：</errorWord>
      <group>L1_Format</group>
      <groupName>格式问题</groupName>
      <ability>L2_HalfPunc_CN</ability>
      <abilityName>全半角问题</abilityName>
      <candidateList>
        <item>:</item>
      </candidateList>
      <explain>文本全半角错误。</explain>
      <paraID> 6B14396</paraID>
      <start>3</start>
      <end>4</end>
      <status>ignored</status>
      <modifiedWord/>
      <trackRevisions>false</trackRevisions>
    </reviewItem>
    <reviewItem>
      <errorID>b15c1ef8-164d-4e8c-a3f4-133965eea60b</errorID>
      <errorWord>：</errorWord>
      <group>L1_Format</group>
      <groupName>格式问题</groupName>
      <ability>L2_HalfPunc_CN</ability>
      <abilityName>全半角问题</abilityName>
      <candidateList>
        <item>:</item>
      </candidateList>
      <explain>文本全半角错误。</explain>
      <paraID>14024D50</paraID>
      <start>4</start>
      <end>5</end>
      <status>ignored</status>
      <modifiedWord/>
      <trackRevisions>false</trackRevisions>
    </reviewItem>
    <reviewItem>
      <errorID>56119823-6d34-4a3c-a98d-9412cb180785</errorID>
      <errorWord>：</errorWord>
      <group>L1_Format</group>
      <groupName>格式问题</groupName>
      <ability>L2_HalfPunc_CN</ability>
      <abilityName>全半角问题</abilityName>
      <candidateList>
        <item>:</item>
      </candidateList>
      <explain>文本全半角错误。</explain>
      <paraID>4510015D</paraID>
      <start>5</start>
      <end>6</end>
      <status>ignored</status>
      <modifiedWord/>
      <trackRevisions>false</trackRevisions>
    </reviewItem>
    <reviewItem>
      <errorID>03ca6390-1f5d-49e6-92ca-450445be7329</errorID>
      <errorWord>（</errorWord>
      <group>L1_Format</group>
      <groupName>格式问题</groupName>
      <ability>L2_HalfPunc_CN</ability>
      <abilityName>全半角问题</abilityName>
      <candidateList>
        <item>(</item>
      </candidateList>
      <explain>文本全半角错误。</explain>
      <paraID>53805EF6</paraID>
      <start>1</start>
      <end>2</end>
      <status>ignored</status>
      <modifiedWord/>
      <trackRevisions>false</trackRevisions>
    </reviewItem>
    <reviewItem>
      <errorID>c148bcf1-c73a-446c-9ef1-a11bfd0adae6</errorID>
      <errorWord>）</errorWord>
      <group>L1_Format</group>
      <groupName>格式问题</groupName>
      <ability>L2_HalfPunc_CN</ability>
      <abilityName>全半角问题</abilityName>
      <candidateList>
        <item>)</item>
      </candidateList>
      <explain>文本全半角错误。</explain>
      <paraID>53805EF6</paraID>
      <start>3</start>
      <end>4</end>
      <status>ignored</status>
      <modifiedWord/>
      <trackRevisions>false</trackRevisions>
    </reviewItem>
    <reviewItem>
      <errorID>2085dd96-8613-4823-b983-3793cbe9616c</errorID>
      <errorWord>（</errorWord>
      <group>L1_Format</group>
      <groupName>格式问题</groupName>
      <ability>L2_HalfPunc_CN</ability>
      <abilityName>全半角问题</abilityName>
      <candidateList>
        <item>(</item>
      </candidateList>
      <explain>文本全半角错误。</explain>
      <paraID>6DBD23B6</paraID>
      <start>1</start>
      <end>2</end>
      <status>ignored</status>
      <modifiedWord/>
      <trackRevisions>false</trackRevisions>
    </reviewItem>
    <reviewItem>
      <errorID>52d9c4b6-e562-458d-ac5d-ef2b2a0eaaeb</errorID>
      <errorWord>）</errorWord>
      <group>L1_Format</group>
      <groupName>格式问题</groupName>
      <ability>L2_HalfPunc_CN</ability>
      <abilityName>全半角问题</abilityName>
      <candidateList>
        <item>)</item>
      </candidateList>
      <explain>文本全半角错误。</explain>
      <paraID>6DBD23B6</paraID>
      <start>3</start>
      <end>4</end>
      <status>ignored</status>
      <modifiedWord/>
      <trackRevisions>false</trackRevisions>
    </reviewItem>
    <reviewItem>
      <errorID>c2b2821d-bad1-484c-9927-08c6b4e4a47f</errorID>
      <errorWord>（</errorWord>
      <group>L1_Format</group>
      <groupName>格式问题</groupName>
      <ability>L2_HalfPunc_CN</ability>
      <abilityName>全半角问题</abilityName>
      <candidateList>
        <item>(</item>
      </candidateList>
      <explain>文本全半角错误。</explain>
      <paraID>303C048D</paraID>
      <start>1</start>
      <end>2</end>
      <status>ignored</status>
      <modifiedWord/>
      <trackRevisions>false</trackRevisions>
    </reviewItem>
    <reviewItem>
      <errorID>df5282fa-69ae-494f-b612-733e9876b74b</errorID>
      <errorWord>）</errorWord>
      <group>L1_Format</group>
      <groupName>格式问题</groupName>
      <ability>L2_HalfPunc_CN</ability>
      <abilityName>全半角问题</abilityName>
      <candidateList>
        <item>)</item>
      </candidateList>
      <explain>文本全半角错误。</explain>
      <paraID>303C048D</paraID>
      <start>3</start>
      <end>4</end>
      <status>ignored</status>
      <modifiedWord/>
      <trackRevisions>false</trackRevisions>
    </reviewItem>
    <reviewItem>
      <errorID>e1f97d6b-afc3-47bb-9461-b3eaece3fd75</errorID>
      <errorWord>（</errorWord>
      <group>L1_Format</group>
      <groupName>格式问题</groupName>
      <ability>L2_HalfPunc_CN</ability>
      <abilityName>全半角问题</abilityName>
      <candidateList>
        <item>(</item>
      </candidateList>
      <explain>文本全半角错误。</explain>
      <paraID> 4B41ED0</paraID>
      <start>0</start>
      <end>1</end>
      <status>ignored</status>
      <modifiedWord/>
      <trackRevisions>false</trackRevisions>
    </reviewItem>
    <reviewItem>
      <errorID>c781826e-a578-4526-89c8-c6afb700730b</errorID>
      <errorWord>）</errorWord>
      <group>L1_Format</group>
      <groupName>格式问题</groupName>
      <ability>L2_HalfPunc_CN</ability>
      <abilityName>全半角问题</abilityName>
      <candidateList>
        <item>)</item>
      </candidateList>
      <explain>文本全半角错误。</explain>
      <paraID> 4B41ED0</paraID>
      <start>2</start>
      <end>3</end>
      <status>ignored</status>
      <modifiedWord/>
      <trackRevisions>false</trackRevisions>
    </reviewItem>
    <reviewItem>
      <errorID>0ac325ce-e3b5-495b-ae96-f48aadee883c</errorID>
      <errorWord>（</errorWord>
      <group>L1_Format</group>
      <groupName>格式问题</groupName>
      <ability>L2_HalfPunc_CN</ability>
      <abilityName>全半角问题</abilityName>
      <candidateList>
        <item>(</item>
      </candidateList>
      <explain>文本全半角错误。</explain>
      <paraID> 7269770</paraID>
      <start>0</start>
      <end>1</end>
      <status>ignored</status>
      <modifiedWord/>
      <trackRevisions>false</trackRevisions>
    </reviewItem>
    <reviewItem>
      <errorID>b7271bed-a1c2-4fbf-99a9-bb048572068c</errorID>
      <errorWord>）</errorWord>
      <group>L1_Format</group>
      <groupName>格式问题</groupName>
      <ability>L2_HalfPunc_CN</ability>
      <abilityName>全半角问题</abilityName>
      <candidateList>
        <item>)</item>
      </candidateList>
      <explain>文本全半角错误。</explain>
      <paraID> 7269770</paraID>
      <start>2</start>
      <end>3</end>
      <status>ignored</status>
      <modifiedWord/>
      <trackRevisions>false</trackRevisions>
    </reviewItem>
    <reviewItem>
      <errorID>21b081b3-d446-4240-93a7-4ddc6feb25da</errorID>
      <errorWord>（</errorWord>
      <group>L1_Format</group>
      <groupName>格式问题</groupName>
      <ability>L2_HalfPunc_CN</ability>
      <abilityName>全半角问题</abilityName>
      <candidateList>
        <item>(</item>
      </candidateList>
      <explain>文本全半角错误。</explain>
      <paraID>2CCF275F</paraID>
      <start>0</start>
      <end>1</end>
      <status>ignored</status>
      <modifiedWord/>
      <trackRevisions>false</trackRevisions>
    </reviewItem>
    <reviewItem>
      <errorID>452bdc7c-2332-43c2-bd59-568025d2b007</errorID>
      <errorWord>）</errorWord>
      <group>L1_Format</group>
      <groupName>格式问题</groupName>
      <ability>L2_HalfPunc_CN</ability>
      <abilityName>全半角问题</abilityName>
      <candidateList>
        <item>)</item>
      </candidateList>
      <explain>文本全半角错误。</explain>
      <paraID>2CCF275F</paraID>
      <start>2</start>
      <end>3</end>
      <status>ignored</status>
      <modifiedWord/>
      <trackRevisions>false</trackRevisions>
    </reviewItem>
    <reviewItem>
      <errorID>56adc1a2-4e38-4b23-948a-b800b1b1b36e</errorID>
      <errorWord>（</errorWord>
      <group>L1_Format</group>
      <groupName>格式问题</groupName>
      <ability>L2_HalfPunc_CN</ability>
      <abilityName>全半角问题</abilityName>
      <candidateList>
        <item>(</item>
      </candidateList>
      <explain>文本全半角错误。</explain>
      <paraID>36A493C2</paraID>
      <start>0</start>
      <end>1</end>
      <status>ignored</status>
      <modifiedWord/>
      <trackRevisions>false</trackRevisions>
    </reviewItem>
    <reviewItem>
      <errorID>96784a39-d28f-497b-aac8-94ed5eb3ae74</errorID>
      <errorWord>，</errorWord>
      <group>L1_Format</group>
      <groupName>格式问题</groupName>
      <ability>L2_HalfPunc_CN</ability>
      <abilityName>全半角问题</abilityName>
      <candidateList>
        <item>, </item>
      </candidateList>
      <explain>文本全半角错误。</explain>
      <paraID>36A493C2</paraID>
      <start>2</start>
      <end>3</end>
      <status>ignored</status>
      <modifiedWord/>
      <trackRevisions>false</trackRevisions>
    </reviewItem>
    <reviewItem>
      <errorID>e2aad7df-e1fd-4706-8d26-96ca9efeeb8d</errorID>
      <errorWord>）</errorWord>
      <group>L1_Format</group>
      <groupName>格式问题</groupName>
      <ability>L2_HalfPunc_CN</ability>
      <abilityName>全半角问题</abilityName>
      <candidateList>
        <item>)</item>
      </candidateList>
      <explain>文本全半角错误。</explain>
      <paraID>36A493C2</paraID>
      <start>4</start>
      <end>5</end>
      <status>ignored</status>
      <modifiedWord/>
      <trackRevisions>false</trackRevisions>
    </reviewItem>
    <reviewItem>
      <errorID>72940bfd-2842-40ad-9212-5d317390ad25</errorID>
      <errorWord>（</errorWord>
      <group>L1_Format</group>
      <groupName>格式问题</groupName>
      <ability>L2_HalfPunc_CN</ability>
      <abilityName>全半角问题</abilityName>
      <candidateList>
        <item>(</item>
      </candidateList>
      <explain>文本全半角错误。</explain>
      <paraID>16006360</paraID>
      <start>0</start>
      <end>1</end>
      <status>ignored</status>
      <modifiedWord/>
      <trackRevisions>false</trackRevisions>
    </reviewItem>
    <reviewItem>
      <errorID>b2fd6fc8-41c8-456b-ab2b-7235e779526b</errorID>
      <errorWord>）</errorWord>
      <group>L1_Format</group>
      <groupName>格式问题</groupName>
      <ability>L2_HalfPunc_CN</ability>
      <abilityName>全半角问题</abilityName>
      <candidateList>
        <item>)</item>
      </candidateList>
      <explain>文本全半角错误。</explain>
      <paraID>16006360</paraID>
      <start>6</start>
      <end>7</end>
      <status>ignored</status>
      <modifiedWord/>
      <trackRevisions>false</trackRevisions>
    </reviewItem>
    <reviewItem>
      <errorID>a85eda97-f12d-4b20-acdf-edc68e4fedfd</errorID>
      <errorWord>（</errorWord>
      <group>L1_Format</group>
      <groupName>格式问题</groupName>
      <ability>L2_HalfPunc_CN</ability>
      <abilityName>全半角问题</abilityName>
      <candidateList>
        <item>(</item>
      </candidateList>
      <explain>文本全半角错误。</explain>
      <paraID>2B2DCF36</paraID>
      <start>0</start>
      <end>1</end>
      <status>ignored</status>
      <modifiedWord/>
      <trackRevisions>false</trackRevisions>
    </reviewItem>
    <reviewItem>
      <errorID>28205e6c-55f6-4ace-a065-632e839f63f4</errorID>
      <errorWord>）</errorWord>
      <group>L1_Format</group>
      <groupName>格式问题</groupName>
      <ability>L2_HalfPunc_CN</ability>
      <abilityName>全半角问题</abilityName>
      <candidateList>
        <item>)</item>
      </candidateList>
      <explain>文本全半角错误。</explain>
      <paraID>2B2DCF36</paraID>
      <start>9</start>
      <end>10</end>
      <status>ignored</status>
      <modifiedWord/>
      <trackRevisions>false</trackRevisions>
    </reviewItem>
    <reviewItem>
      <errorID>83de483d-22d0-4f26-b593-61bb254addeb</errorID>
      <errorWord>（</errorWord>
      <group>L1_Format</group>
      <groupName>格式问题</groupName>
      <ability>L2_HalfPunc_CN</ability>
      <abilityName>全半角问题</abilityName>
      <candidateList>
        <item>(</item>
      </candidateList>
      <explain>文本全半角错误。</explain>
      <paraID> 88E7BF1</paraID>
      <start>0</start>
      <end>1</end>
      <status>ignored</status>
      <modifiedWord/>
      <trackRevisions>false</trackRevisions>
    </reviewItem>
    <reviewItem>
      <errorID>10cdcfb4-bc19-41c1-a788-66c8a9bedf39</errorID>
      <errorWord>）</errorWord>
      <group>L1_Format</group>
      <groupName>格式问题</groupName>
      <ability>L2_HalfPunc_CN</ability>
      <abilityName>全半角问题</abilityName>
      <candidateList>
        <item>)</item>
      </candidateList>
      <explain>文本全半角错误。</explain>
      <paraID> 88E7BF1</paraID>
      <start>6</start>
      <end>7</end>
      <status>ignored</status>
      <modifiedWord/>
      <trackRevisions>false</trackRevisions>
    </reviewItem>
    <reviewItem>
      <errorID>35a3dd09-74ac-4e15-a984-8e49a0133048</errorID>
      <errorWord>（</errorWord>
      <group>L1_Format</group>
      <groupName>格式问题</groupName>
      <ability>L2_HalfPunc_CN</ability>
      <abilityName>全半角问题</abilityName>
      <candidateList>
        <item>(</item>
      </candidateList>
      <explain>文本全半角错误。</explain>
      <paraID>75F09D0F</paraID>
      <start>0</start>
      <end>1</end>
      <status>ignored</status>
      <modifiedWord/>
      <trackRevisions>false</trackRevisions>
    </reviewItem>
    <reviewItem>
      <errorID>9a9ee2f3-0d61-47ae-8f31-4d26f8ec8c89</errorID>
      <errorWord>，</errorWord>
      <group>L1_Format</group>
      <groupName>格式问题</groupName>
      <ability>L2_HalfPunc_CN</ability>
      <abilityName>全半角问题</abilityName>
      <candidateList>
        <item>,</item>
      </candidateList>
      <explain>文本全半角错误。</explain>
      <paraID>75F09D0F</paraID>
      <start>6</start>
      <end>7</end>
      <status>ignored</status>
      <modifiedWord/>
      <trackRevisions>false</trackRevisions>
    </reviewItem>
    <reviewItem>
      <errorID>6d656633-5097-497a-8f77-b97422b9e1e9</errorID>
      <errorWord>）</errorWord>
      <group>L1_Format</group>
      <groupName>格式问题</groupName>
      <ability>L2_HalfPunc_CN</ability>
      <abilityName>全半角问题</abilityName>
      <candidateList>
        <item>)</item>
      </candidateList>
      <explain>文本全半角错误。</explain>
      <paraID>75F09D0F</paraID>
      <start>11</start>
      <end>12</end>
      <status>ignored</status>
      <modifiedWord/>
      <trackRevisions>false</trackRevisions>
    </reviewItem>
    <reviewItem>
      <errorID>8e22ee5c-8eb6-451f-ac67-6074efcf23a2</errorID>
      <errorWord>（</errorWord>
      <group>L1_Format</group>
      <groupName>格式问题</groupName>
      <ability>L2_HalfPunc_CN</ability>
      <abilityName>全半角问题</abilityName>
      <candidateList>
        <item>(</item>
      </candidateList>
      <explain>文本全半角错误。</explain>
      <paraID>74D109EA</paraID>
      <start>0</start>
      <end>1</end>
      <status>ignored</status>
      <modifiedWord/>
      <trackRevisions>false</trackRevisions>
    </reviewItem>
    <reviewItem>
      <errorID>9f0bf9c1-98de-47e0-b6be-aadb21c3d22c</errorID>
      <errorWord>，</errorWord>
      <group>L1_Format</group>
      <groupName>格式问题</groupName>
      <ability>L2_HalfPunc_CN</ability>
      <abilityName>全半角问题</abilityName>
      <candidateList>
        <item>,</item>
      </candidateList>
      <explain>文本全半角错误。</explain>
      <paraID>74D109EA</paraID>
      <start>3</start>
      <end>4</end>
      <status>ignored</status>
      <modifiedWord/>
      <trackRevisions>false</trackRevisions>
    </reviewItem>
    <reviewItem>
      <errorID>15a912ee-4cf0-43bd-873f-b142a426d6ed</errorID>
      <errorWord>）</errorWord>
      <group>L1_Format</group>
      <groupName>格式问题</groupName>
      <ability>L2_HalfPunc_CN</ability>
      <abilityName>全半角问题</abilityName>
      <candidateList>
        <item>)</item>
      </candidateList>
      <explain>文本全半角错误。</explain>
      <paraID>74D109EA</paraID>
      <start>6</start>
      <end>7</end>
      <status>ignored</status>
      <modifiedWord/>
      <trackRevisions>false</trackRevisions>
    </reviewItem>
    <reviewItem>
      <errorID>40d6ce99-b0e7-4735-9329-e1c1f761c9b8</errorID>
      <errorWord>（</errorWord>
      <group>L1_Format</group>
      <groupName>格式问题</groupName>
      <ability>L2_HalfPunc_CN</ability>
      <abilityName>全半角问题</abilityName>
      <candidateList>
        <item>(</item>
      </candidateList>
      <explain>文本全半角错误。</explain>
      <paraID>7E7533D5</paraID>
      <start>0</start>
      <end>1</end>
      <status>ignored</status>
      <modifiedWord/>
      <trackRevisions>false</trackRevisions>
    </reviewItem>
    <reviewItem>
      <errorID>84f8dd74-0a97-4801-a850-3db02fe61194</errorID>
      <errorWord>，</errorWord>
      <group>L1_Format</group>
      <groupName>格式问题</groupName>
      <ability>L2_HalfPunc_CN</ability>
      <abilityName>全半角问题</abilityName>
      <candidateList>
        <item>,</item>
      </candidateList>
      <explain>文本全半角错误。</explain>
      <paraID>7E7533D5</paraID>
      <start>4</start>
      <end>5</end>
      <status>ignored</status>
      <modifiedWord/>
      <trackRevisions>false</trackRevisions>
    </reviewItem>
    <reviewItem>
      <errorID>be84de26-5205-4449-abd2-c408031b7d3f</errorID>
      <errorWord>）</errorWord>
      <group>L1_Format</group>
      <groupName>格式问题</groupName>
      <ability>L2_HalfPunc_CN</ability>
      <abilityName>全半角问题</abilityName>
      <candidateList>
        <item>)</item>
      </candidateList>
      <explain>文本全半角错误。</explain>
      <paraID>7E7533D5</paraID>
      <start>8</start>
      <end>9</end>
      <status>ignored</status>
      <modifiedWord/>
      <trackRevisions>false</trackRevisions>
    </reviewItem>
    <reviewItem>
      <errorID>ab8b24c1-0afb-45a3-a9d0-cf53c432493c</errorID>
      <errorWord>（</errorWord>
      <group>L1_Format</group>
      <groupName>格式问题</groupName>
      <ability>L2_HalfPunc_CN</ability>
      <abilityName>全半角问题</abilityName>
      <candidateList>
        <item>(</item>
      </candidateList>
      <explain>文本全半角错误。</explain>
      <paraID>476627CF</paraID>
      <start>0</start>
      <end>1</end>
      <status>ignored</status>
      <modifiedWord/>
      <trackRevisions>false</trackRevisions>
    </reviewItem>
    <reviewItem>
      <errorID>76d22e25-664f-4299-9abd-85411c8a2e56</errorID>
      <errorWord>，</errorWord>
      <group>L1_Format</group>
      <groupName>格式问题</groupName>
      <ability>L2_HalfPunc_CN</ability>
      <abilityName>全半角问题</abilityName>
      <candidateList>
        <item>,</item>
      </candidateList>
      <explain>文本全半角错误。</explain>
      <paraID>476627CF</paraID>
      <start>4</start>
      <end>5</end>
      <status>ignored</status>
      <modifiedWord/>
      <trackRevisions>false</trackRevisions>
    </reviewItem>
    <reviewItem>
      <errorID>68e320c4-ffd4-4ac6-ac4c-3a3368f208a4</errorID>
      <errorWord>）</errorWord>
      <group>L1_Format</group>
      <groupName>格式问题</groupName>
      <ability>L2_HalfPunc_CN</ability>
      <abilityName>全半角问题</abilityName>
      <candidateList>
        <item>)</item>
      </candidateList>
      <explain>文本全半角错误。</explain>
      <paraID>476627CF</paraID>
      <start>9</start>
      <end>10</end>
      <status>ignored</status>
      <modifiedWord/>
      <trackRevisions>false</trackRevisions>
    </reviewItem>
    <reviewItem>
      <errorID>044ff952-1f8b-49dd-b55f-0bd454f4b28c</errorID>
      <errorWord>（</errorWord>
      <group>L1_Format</group>
      <groupName>格式问题</groupName>
      <ability>L2_HalfPunc_CN</ability>
      <abilityName>全半角问题</abilityName>
      <candidateList>
        <item>(</item>
      </candidateList>
      <explain>文本全半角错误。</explain>
      <paraID>7794D911</paraID>
      <start>0</start>
      <end>1</end>
      <status>ignored</status>
      <modifiedWord/>
      <trackRevisions>false</trackRevisions>
    </reviewItem>
    <reviewItem>
      <errorID>c36ae403-c85a-4523-aa8b-a5b8141d47ad</errorID>
      <errorWord>，</errorWord>
      <group>L1_Format</group>
      <groupName>格式问题</groupName>
      <ability>L2_HalfPunc_CN</ability>
      <abilityName>全半角问题</abilityName>
      <candidateList>
        <item>,</item>
      </candidateList>
      <explain>文本全半角错误。</explain>
      <paraID>7794D911</paraID>
      <start>6</start>
      <end>7</end>
      <status>ignored</status>
      <modifiedWord/>
      <trackRevisions>false</trackRevisions>
    </reviewItem>
    <reviewItem>
      <errorID>1032d42f-7a34-4ab4-a5e4-d4ec75500641</errorID>
      <errorWord>）</errorWord>
      <group>L1_Format</group>
      <groupName>格式问题</groupName>
      <ability>L2_HalfPunc_CN</ability>
      <abilityName>全半角问题</abilityName>
      <candidateList>
        <item>)</item>
      </candidateList>
      <explain>文本全半角错误。</explain>
      <paraID>7794D911</paraID>
      <start>11</start>
      <end>12</end>
      <status>ignored</status>
      <modifiedWord/>
      <trackRevisions>false</trackRevisions>
    </reviewItem>
    <reviewItem>
      <errorID>159079cd-45b8-4436-b261-6ade5fa87e81</errorID>
      <errorWord>（</errorWord>
      <group>L1_Format</group>
      <groupName>格式问题</groupName>
      <ability>L2_HalfPunc_CN</ability>
      <abilityName>全半角问题</abilityName>
      <candidateList>
        <item>(</item>
      </candidateList>
      <explain>文本全半角错误。</explain>
      <paraID>5F33DF6B</paraID>
      <start>0</start>
      <end>1</end>
      <status>ignored</status>
      <modifiedWord/>
      <trackRevisions>false</trackRevisions>
    </reviewItem>
    <reviewItem>
      <errorID>8b40153d-bbca-431c-8086-d580555792d6</errorID>
      <errorWord>，</errorWord>
      <group>L1_Format</group>
      <groupName>格式问题</groupName>
      <ability>L2_HalfPunc_CN</ability>
      <abilityName>全半角问题</abilityName>
      <candidateList>
        <item>,</item>
      </candidateList>
      <explain>文本全半角错误。</explain>
      <paraID>5F33DF6B</paraID>
      <start>3</start>
      <end>4</end>
      <status>ignored</status>
      <modifiedWord/>
      <trackRevisions>false</trackRevisions>
    </reviewItem>
    <reviewItem>
      <errorID>697a9bea-33bd-4308-8885-3940faf2bab7</errorID>
      <errorWord>）</errorWord>
      <group>L1_Format</group>
      <groupName>格式问题</groupName>
      <ability>L2_HalfPunc_CN</ability>
      <abilityName>全半角问题</abilityName>
      <candidateList>
        <item>)</item>
      </candidateList>
      <explain>文本全半角错误。</explain>
      <paraID>5F33DF6B</paraID>
      <start>6</start>
      <end>7</end>
      <status>ignored</status>
      <modifiedWord/>
      <trackRevisions>false</trackRevisions>
    </reviewItem>
    <reviewItem>
      <errorID>aea49e33-ec6b-4bf6-9b41-5abab27eb5aa</errorID>
      <errorWord>（</errorWord>
      <group>L1_Format</group>
      <groupName>格式问题</groupName>
      <ability>L2_HalfPunc_CN</ability>
      <abilityName>全半角问题</abilityName>
      <candidateList>
        <item>(</item>
      </candidateList>
      <explain>文本全半角错误。</explain>
      <paraID>7B36F240</paraID>
      <start>0</start>
      <end>1</end>
      <status>ignored</status>
      <modifiedWord/>
      <trackRevisions>false</trackRevisions>
    </reviewItem>
    <reviewItem>
      <errorID>deac9e47-4e05-49e6-9ba0-e58590bd025d</errorID>
      <errorWord>，</errorWord>
      <group>L1_Format</group>
      <groupName>格式问题</groupName>
      <ability>L2_HalfPunc_CN</ability>
      <abilityName>全半角问题</abilityName>
      <candidateList>
        <item>,</item>
      </candidateList>
      <explain>文本全半角错误。</explain>
      <paraID>7B36F240</paraID>
      <start>4</start>
      <end>5</end>
      <status>ignored</status>
      <modifiedWord/>
      <trackRevisions>false</trackRevisions>
    </reviewItem>
    <reviewItem>
      <errorID>e88f9083-33b6-4843-a82a-57283d74f70f</errorID>
      <errorWord>）</errorWord>
      <group>L1_Format</group>
      <groupName>格式问题</groupName>
      <ability>L2_HalfPunc_CN</ability>
      <abilityName>全半角问题</abilityName>
      <candidateList>
        <item>)</item>
      </candidateList>
      <explain>文本全半角错误。</explain>
      <paraID>7B36F240</paraID>
      <start>8</start>
      <end>9</end>
      <status>ignored</status>
      <modifiedWord/>
      <trackRevisions>false</trackRevisions>
    </reviewItem>
    <reviewItem>
      <errorID>8aa0d502-5f1d-40a4-8251-61325c78e158</errorID>
      <errorWord>（</errorWord>
      <group>L1_Format</group>
      <groupName>格式问题</groupName>
      <ability>L2_HalfPunc_CN</ability>
      <abilityName>全半角问题</abilityName>
      <candidateList>
        <item>(</item>
      </candidateList>
      <explain>文本全半角错误。</explain>
      <paraID>484F7D59</paraID>
      <start>0</start>
      <end>1</end>
      <status>ignored</status>
      <modifiedWord/>
      <trackRevisions>false</trackRevisions>
    </reviewItem>
    <reviewItem>
      <errorID>77f422dd-56d4-41a6-88ac-d2e7a12f5936</errorID>
      <errorWord>，</errorWord>
      <group>L1_Format</group>
      <groupName>格式问题</groupName>
      <ability>L2_HalfPunc_CN</ability>
      <abilityName>全半角问题</abilityName>
      <candidateList>
        <item>,</item>
      </candidateList>
      <explain>文本全半角错误。</explain>
      <paraID>484F7D59</paraID>
      <start>4</start>
      <end>5</end>
      <status>ignored</status>
      <modifiedWord/>
      <trackRevisions>false</trackRevisions>
    </reviewItem>
    <reviewItem>
      <errorID>f02a55c3-a692-4554-90e2-cd9ca7433084</errorID>
      <errorWord>）</errorWord>
      <group>L1_Format</group>
      <groupName>格式问题</groupName>
      <ability>L2_HalfPunc_CN</ability>
      <abilityName>全半角问题</abilityName>
      <candidateList>
        <item>)</item>
      </candidateList>
      <explain>文本全半角错误。</explain>
      <paraID>484F7D59</paraID>
      <start>9</start>
      <end>10</end>
      <status>ignored</status>
      <modifiedWord/>
      <trackRevisions>false</trackRevisions>
    </reviewItem>
    <reviewItem>
      <errorID>fb65080c-18fa-4b19-8738-a7aeb9e16f27</errorID>
      <errorWord>（</errorWord>
      <group>L1_Format</group>
      <groupName>格式问题</groupName>
      <ability>L2_HalfPunc_CN</ability>
      <abilityName>全半角问题</abilityName>
      <candidateList>
        <item>(</item>
      </candidateList>
      <explain>文本全半角错误。</explain>
      <paraID> D50A88E</paraID>
      <start>0</start>
      <end>1</end>
      <status>ignored</status>
      <modifiedWord/>
      <trackRevisions>false</trackRevisions>
    </reviewItem>
    <reviewItem>
      <errorID>2008a1d6-603b-4c66-9758-5aa3469a7a5f</errorID>
      <errorWord>，</errorWord>
      <group>L1_Format</group>
      <groupName>格式问题</groupName>
      <ability>L2_HalfPunc_CN</ability>
      <abilityName>全半角问题</abilityName>
      <candidateList>
        <item>,</item>
      </candidateList>
      <explain>文本全半角错误。</explain>
      <paraID> D50A88E</paraID>
      <start>6</start>
      <end>7</end>
      <status>ignored</status>
      <modifiedWord/>
      <trackRevisions>false</trackRevisions>
    </reviewItem>
    <reviewItem>
      <errorID>a7596a78-c33b-493a-822e-51c163a4a1a3</errorID>
      <errorWord>）</errorWord>
      <group>L1_Format</group>
      <groupName>格式问题</groupName>
      <ability>L2_HalfPunc_CN</ability>
      <abilityName>全半角问题</abilityName>
      <candidateList>
        <item>)</item>
      </candidateList>
      <explain>文本全半角错误。</explain>
      <paraID> D50A88E</paraID>
      <start>11</start>
      <end>12</end>
      <status>ignored</status>
      <modifiedWord/>
      <trackRevisions>false</trackRevisions>
    </reviewItem>
    <reviewItem>
      <errorID>4244067a-cb83-476d-a4fc-d4e311bf571b</errorID>
      <errorWord>（</errorWord>
      <group>L1_Format</group>
      <groupName>格式问题</groupName>
      <ability>L2_HalfPunc_CN</ability>
      <abilityName>全半角问题</abilityName>
      <candidateList>
        <item>(</item>
      </candidateList>
      <explain>文本全半角错误。</explain>
      <paraID>12F41C0B</paraID>
      <start>0</start>
      <end>1</end>
      <status>ignored</status>
      <modifiedWord/>
      <trackRevisions>false</trackRevisions>
    </reviewItem>
    <reviewItem>
      <errorID>e770c47d-44a2-473b-abba-9f76848d12da</errorID>
      <errorWord>，</errorWord>
      <group>L1_Format</group>
      <groupName>格式问题</groupName>
      <ability>L2_HalfPunc_CN</ability>
      <abilityName>全半角问题</abilityName>
      <candidateList>
        <item>,</item>
      </candidateList>
      <explain>文本全半角错误。</explain>
      <paraID>12F41C0B</paraID>
      <start>4</start>
      <end>5</end>
      <status>ignored</status>
      <modifiedWord/>
      <trackRevisions>false</trackRevisions>
    </reviewItem>
    <reviewItem>
      <errorID>fe2f20cb-41cb-451f-9148-8ebc71478a6f</errorID>
      <errorWord>）</errorWord>
      <group>L1_Format</group>
      <groupName>格式问题</groupName>
      <ability>L2_HalfPunc_CN</ability>
      <abilityName>全半角问题</abilityName>
      <candidateList>
        <item>)</item>
      </candidateList>
      <explain>文本全半角错误。</explain>
      <paraID>12F41C0B</paraID>
      <start>8</start>
      <end>9</end>
      <status>ignored</status>
      <modifiedWord/>
      <trackRevisions>false</trackRevisions>
    </reviewItem>
    <reviewItem>
      <errorID>468141d8-f603-48fd-af14-a15fded3e1e6</errorID>
      <errorWord>（</errorWord>
      <group>L1_Format</group>
      <groupName>格式问题</groupName>
      <ability>L2_HalfPunc_CN</ability>
      <abilityName>全半角问题</abilityName>
      <candidateList>
        <item>(</item>
      </candidateList>
      <explain>文本全半角错误。</explain>
      <paraID>71B9B0D3</paraID>
      <start>0</start>
      <end>1</end>
      <status>ignored</status>
      <modifiedWord/>
      <trackRevisions>false</trackRevisions>
    </reviewItem>
    <reviewItem>
      <errorID>86edc23d-fce8-4efc-bff7-49381680d078</errorID>
      <errorWord>，</errorWord>
      <group>L1_Format</group>
      <groupName>格式问题</groupName>
      <ability>L2_HalfPunc_CN</ability>
      <abilityName>全半角问题</abilityName>
      <candidateList>
        <item>,</item>
      </candidateList>
      <explain>文本全半角错误。</explain>
      <paraID>71B9B0D3</paraID>
      <start>4</start>
      <end>5</end>
      <status>ignored</status>
      <modifiedWord/>
      <trackRevisions>false</trackRevisions>
    </reviewItem>
    <reviewItem>
      <errorID>4b1a039e-ec62-47d5-ab59-2f9669b6b6dc</errorID>
      <errorWord>）</errorWord>
      <group>L1_Format</group>
      <groupName>格式问题</groupName>
      <ability>L2_HalfPunc_CN</ability>
      <abilityName>全半角问题</abilityName>
      <candidateList>
        <item>)</item>
      </candidateList>
      <explain>文本全半角错误。</explain>
      <paraID>71B9B0D3</paraID>
      <start>9</start>
      <end>10</end>
      <status>ignored</status>
      <modifiedWord/>
      <trackRevisions>false</trackRevisions>
    </reviewItem>
    <reviewItem>
      <errorID>99f1c539-aa3f-47c1-afe9-06ad282bc79f</errorID>
      <errorWord>（</errorWord>
      <group>L1_Format</group>
      <groupName>格式问题</groupName>
      <ability>L2_HalfPunc_CN</ability>
      <abilityName>全半角问题</abilityName>
      <candidateList>
        <item>(</item>
      </candidateList>
      <explain>文本全半角错误。</explain>
      <paraID>12746A20</paraID>
      <start>0</start>
      <end>1</end>
      <status>ignored</status>
      <modifiedWord/>
      <trackRevisions>false</trackRevisions>
    </reviewItem>
    <reviewItem>
      <errorID>a9298e07-ab64-4e45-8e73-d49642acb38d</errorID>
      <errorWord>，</errorWord>
      <group>L1_Format</group>
      <groupName>格式问题</groupName>
      <ability>L2_HalfPunc_CN</ability>
      <abilityName>全半角问题</abilityName>
      <candidateList>
        <item>,</item>
      </candidateList>
      <explain>文本全半角错误。</explain>
      <paraID>12746A20</paraID>
      <start>6</start>
      <end>7</end>
      <status>ignored</status>
      <modifiedWord/>
      <trackRevisions>false</trackRevisions>
    </reviewItem>
    <reviewItem>
      <errorID>ec406329-f8d8-419f-8664-b84ce497db7e</errorID>
      <errorWord>）</errorWord>
      <group>L1_Format</group>
      <groupName>格式问题</groupName>
      <ability>L2_HalfPunc_CN</ability>
      <abilityName>全半角问题</abilityName>
      <candidateList>
        <item>)</item>
      </candidateList>
      <explain>文本全半角错误。</explain>
      <paraID>12746A20</paraID>
      <start>11</start>
      <end>12</end>
      <status>ignored</status>
      <modifiedWord/>
      <trackRevisions>false</trackRevisions>
    </reviewItem>
    <reviewItem>
      <errorID>ccb77f49-2362-4de6-9d90-fb3dffc356fd</errorID>
      <errorWord>（</errorWord>
      <group>L1_Format</group>
      <groupName>格式问题</groupName>
      <ability>L2_HalfPunc_CN</ability>
      <abilityName>全半角问题</abilityName>
      <candidateList>
        <item>(</item>
      </candidateList>
      <explain>文本全半角错误。</explain>
      <paraID>62ED24DA</paraID>
      <start>0</start>
      <end>1</end>
      <status>ignored</status>
      <modifiedWord/>
      <trackRevisions>false</trackRevisions>
    </reviewItem>
    <reviewItem>
      <errorID>96c2e7cc-a4a8-4267-aa38-8db3bd0fcc5a</errorID>
      <errorWord>，</errorWord>
      <group>L1_Format</group>
      <groupName>格式问题</groupName>
      <ability>L2_HalfPunc_CN</ability>
      <abilityName>全半角问题</abilityName>
      <candidateList>
        <item>,</item>
      </candidateList>
      <explain>文本全半角错误。</explain>
      <paraID>62ED24DA</paraID>
      <start>4</start>
      <end>5</end>
      <status>ignored</status>
      <modifiedWord/>
      <trackRevisions>false</trackRevisions>
    </reviewItem>
    <reviewItem>
      <errorID>5cb8edd8-a1a6-4385-8108-6e3c8f267459</errorID>
      <errorWord>）</errorWord>
      <group>L1_Format</group>
      <groupName>格式问题</groupName>
      <ability>L2_HalfPunc_CN</ability>
      <abilityName>全半角问题</abilityName>
      <candidateList>
        <item>)</item>
      </candidateList>
      <explain>文本全半角错误。</explain>
      <paraID>62ED24DA</paraID>
      <start>8</start>
      <end>9</end>
      <status>ignored</status>
      <modifiedWord/>
      <trackRevisions>false</trackRevisions>
    </reviewItem>
    <reviewItem>
      <errorID>e5c593cd-6ee5-4444-aa6a-fb5d83e88105</errorID>
      <errorWord>（</errorWord>
      <group>L1_Format</group>
      <groupName>格式问题</groupName>
      <ability>L2_HalfPunc_CN</ability>
      <abilityName>全半角问题</abilityName>
      <candidateList>
        <item>(</item>
      </candidateList>
      <explain>文本全半角错误。</explain>
      <paraID>3ACD5D3F</paraID>
      <start>0</start>
      <end>1</end>
      <status>ignored</status>
      <modifiedWord/>
      <trackRevisions>false</trackRevisions>
    </reviewItem>
    <reviewItem>
      <errorID>d711b9d6-60a2-453f-862a-367712292b12</errorID>
      <errorWord>，</errorWord>
      <group>L1_Format</group>
      <groupName>格式问题</groupName>
      <ability>L2_HalfPunc_CN</ability>
      <abilityName>全半角问题</abilityName>
      <candidateList>
        <item>,</item>
      </candidateList>
      <explain>文本全半角错误。</explain>
      <paraID>3ACD5D3F</paraID>
      <start>4</start>
      <end>5</end>
      <status>ignored</status>
      <modifiedWord/>
      <trackRevisions>false</trackRevisions>
    </reviewItem>
    <reviewItem>
      <errorID>3b2cc0f5-3d3b-40d0-9e68-2de12085e51f</errorID>
      <errorWord>）</errorWord>
      <group>L1_Format</group>
      <groupName>格式问题</groupName>
      <ability>L2_HalfPunc_CN</ability>
      <abilityName>全半角问题</abilityName>
      <candidateList>
        <item>)</item>
      </candidateList>
      <explain>文本全半角错误。</explain>
      <paraID>3ACD5D3F</paraID>
      <start>9</start>
      <end>10</end>
      <status>ignored</status>
      <modifiedWord/>
      <trackRevisions>false</trackRevisions>
    </reviewItem>
    <reviewItem>
      <errorID>d07788db-5222-4b3d-859c-c31d8dc32a56</errorID>
      <errorWord>（</errorWord>
      <group>L1_Format</group>
      <groupName>格式问题</groupName>
      <ability>L2_HalfPunc_CN</ability>
      <abilityName>全半角问题</abilityName>
      <candidateList>
        <item>(</item>
      </candidateList>
      <explain>文本全半角错误。</explain>
      <paraID>127654FE</paraID>
      <start>0</start>
      <end>1</end>
      <status>ignored</status>
      <modifiedWord/>
      <trackRevisions>false</trackRevisions>
    </reviewItem>
    <reviewItem>
      <errorID>d56de92d-7a14-465d-8b70-d51373d86d09</errorID>
      <errorWord>，</errorWord>
      <group>L1_Format</group>
      <groupName>格式问题</groupName>
      <ability>L2_HalfPunc_CN</ability>
      <abilityName>全半角问题</abilityName>
      <candidateList>
        <item>,</item>
      </candidateList>
      <explain>文本全半角错误。</explain>
      <paraID>127654FE</paraID>
      <start>6</start>
      <end>7</end>
      <status>ignored</status>
      <modifiedWord/>
      <trackRevisions>false</trackRevisions>
    </reviewItem>
    <reviewItem>
      <errorID>fa5386ab-0c88-4a4e-bf54-04f21323f832</errorID>
      <errorWord>）</errorWord>
      <group>L1_Format</group>
      <groupName>格式问题</groupName>
      <ability>L2_HalfPunc_CN</ability>
      <abilityName>全半角问题</abilityName>
      <candidateList>
        <item>)</item>
      </candidateList>
      <explain>文本全半角错误。</explain>
      <paraID>127654FE</paraID>
      <start>11</start>
      <end>12</end>
      <status>ignored</status>
      <modifiedWord/>
      <trackRevisions>false</trackRevisions>
    </reviewItem>
    <reviewItem>
      <errorID>3c81f22e-c22d-4f57-97ee-04d948ab8f0c</errorID>
      <errorWord>（</errorWord>
      <group>L1_Format</group>
      <groupName>格式问题</groupName>
      <ability>L2_HalfPunc_CN</ability>
      <abilityName>全半角问题</abilityName>
      <candidateList>
        <item>(</item>
      </candidateList>
      <explain>文本全半角错误。</explain>
      <paraID>23CB3FA9</paraID>
      <start>0</start>
      <end>1</end>
      <status>ignored</status>
      <modifiedWord/>
      <trackRevisions>false</trackRevisions>
    </reviewItem>
    <reviewItem>
      <errorID>e50959eb-57d2-42a1-9d2b-0368ea573c47</errorID>
      <errorWord>，</errorWord>
      <group>L1_Format</group>
      <groupName>格式问题</groupName>
      <ability>L2_HalfPunc_CN</ability>
      <abilityName>全半角问题</abilityName>
      <candidateList>
        <item>,</item>
      </candidateList>
      <explain>文本全半角错误。</explain>
      <paraID>23CB3FA9</paraID>
      <start>5</start>
      <end>6</end>
      <status>ignored</status>
      <modifiedWord/>
      <trackRevisions>false</trackRevisions>
    </reviewItem>
    <reviewItem>
      <errorID>9aa2ec3f-e2d1-456e-a180-d4e617298706</errorID>
      <errorWord>）</errorWord>
      <group>L1_Format</group>
      <groupName>格式问题</groupName>
      <ability>L2_HalfPunc_CN</ability>
      <abilityName>全半角问题</abilityName>
      <candidateList>
        <item>)</item>
      </candidateList>
      <explain>文本全半角错误。</explain>
      <paraID>23CB3FA9</paraID>
      <start>10</start>
      <end>11</end>
      <status>ignored</status>
      <modifiedWord/>
      <trackRevisions>false</trackRevisions>
    </reviewItem>
    <reviewItem>
      <errorID>c33d6071-38df-48ae-8c54-7182ed14da18</errorID>
      <errorWord>（</errorWord>
      <group>L1_Format</group>
      <groupName>格式问题</groupName>
      <ability>L2_HalfPunc_CN</ability>
      <abilityName>全半角问题</abilityName>
      <candidateList>
        <item>(</item>
      </candidateList>
      <explain>文本全半角错误。</explain>
      <paraID>3CD760A6</paraID>
      <start>0</start>
      <end>1</end>
      <status>ignored</status>
      <modifiedWord/>
      <trackRevisions>false</trackRevisions>
    </reviewItem>
    <reviewItem>
      <errorID>d3e71778-8478-4a4c-857e-173a29c022bb</errorID>
      <errorWord>，</errorWord>
      <group>L1_Format</group>
      <groupName>格式问题</groupName>
      <ability>L2_HalfPunc_CN</ability>
      <abilityName>全半角问题</abilityName>
      <candidateList>
        <item>,</item>
      </candidateList>
      <explain>文本全半角错误。</explain>
      <paraID>3CD760A6</paraID>
      <start>6</start>
      <end>7</end>
      <status>ignored</status>
      <modifiedWord/>
      <trackRevisions>false</trackRevisions>
    </reviewItem>
    <reviewItem>
      <errorID>590cae56-5794-461a-a4a3-7774244a9d15</errorID>
      <errorWord>）</errorWord>
      <group>L1_Format</group>
      <groupName>格式问题</groupName>
      <ability>L2_HalfPunc_CN</ability>
      <abilityName>全半角问题</abilityName>
      <candidateList>
        <item>)</item>
      </candidateList>
      <explain>文本全半角错误。</explain>
      <paraID>3CD760A6</paraID>
      <start>11</start>
      <end>12</end>
      <status>ignored</status>
      <modifiedWord/>
      <trackRevisions>false</trackRevisions>
    </reviewItem>
    <reviewItem>
      <errorID>92e7f2f5-fac0-4572-aa92-57bafc938f54</errorID>
      <errorWord>（</errorWord>
      <group>L1_Format</group>
      <groupName>格式问题</groupName>
      <ability>L2_HalfPunc_CN</ability>
      <abilityName>全半角问题</abilityName>
      <candidateList>
        <item>(</item>
      </candidateList>
      <explain>文本全半角错误。</explain>
      <paraID>32CA5226</paraID>
      <start>0</start>
      <end>1</end>
      <status>ignored</status>
      <modifiedWord/>
      <trackRevisions>false</trackRevisions>
    </reviewItem>
    <reviewItem>
      <errorID>c13bfa17-1ff2-41ff-8b7d-0d75a58dc29f</errorID>
      <errorWord>，</errorWord>
      <group>L1_Format</group>
      <groupName>格式问题</groupName>
      <ability>L2_HalfPunc_CN</ability>
      <abilityName>全半角问题</abilityName>
      <candidateList>
        <item>,</item>
      </candidateList>
      <explain>文本全半角错误。</explain>
      <paraID>32CA5226</paraID>
      <start>5</start>
      <end>6</end>
      <status>ignored</status>
      <modifiedWord/>
      <trackRevisions>false</trackRevisions>
    </reviewItem>
    <reviewItem>
      <errorID>65243ea9-bcb5-4f94-a53a-b7a3199ce907</errorID>
      <errorWord>）</errorWord>
      <group>L1_Format</group>
      <groupName>格式问题</groupName>
      <ability>L2_HalfPunc_CN</ability>
      <abilityName>全半角问题</abilityName>
      <candidateList>
        <item>)</item>
      </candidateList>
      <explain>文本全半角错误。</explain>
      <paraID>32CA5226</paraID>
      <start>10</start>
      <end>11</end>
      <status>ignored</status>
      <modifiedWord/>
      <trackRevisions>false</trackRevisions>
    </reviewItem>
    <reviewItem>
      <errorID>8e3af24f-84bf-4a9c-a706-dd3fbac25ffd</errorID>
      <errorWord>（</errorWord>
      <group>L1_Format</group>
      <groupName>格式问题</groupName>
      <ability>L2_HalfPunc_CN</ability>
      <abilityName>全半角问题</abilityName>
      <candidateList>
        <item>(</item>
      </candidateList>
      <explain>文本全半角错误。</explain>
      <paraID>  AD7D68</paraID>
      <start>0</start>
      <end>1</end>
      <status>ignored</status>
      <modifiedWord/>
      <trackRevisions>false</trackRevisions>
    </reviewItem>
    <reviewItem>
      <errorID>e11f883a-08d2-4123-9de1-68dce8cd2332</errorID>
      <errorWord>，</errorWord>
      <group>L1_Format</group>
      <groupName>格式问题</groupName>
      <ability>L2_HalfPunc_CN</ability>
      <abilityName>全半角问题</abilityName>
      <candidateList>
        <item>,</item>
      </candidateList>
      <explain>文本全半角错误。</explain>
      <paraID>  AD7D68</paraID>
      <start>6</start>
      <end>7</end>
      <status>ignored</status>
      <modifiedWord/>
      <trackRevisions>false</trackRevisions>
    </reviewItem>
    <reviewItem>
      <errorID>3cce3a2e-c048-45eb-8840-f8e1b434ee9a</errorID>
      <errorWord>）</errorWord>
      <group>L1_Format</group>
      <groupName>格式问题</groupName>
      <ability>L2_HalfPunc_CN</ability>
      <abilityName>全半角问题</abilityName>
      <candidateList>
        <item>)</item>
      </candidateList>
      <explain>文本全半角错误。</explain>
      <paraID>  AD7D68</paraID>
      <start>11</start>
      <end>12</end>
      <status>ignored</status>
      <modifiedWord/>
      <trackRevisions>false</trackRevisions>
    </reviewItem>
    <reviewItem>
      <errorID>3f721e69-6648-48f5-a7ee-39e62f202fc8</errorID>
      <errorWord>（</errorWord>
      <group>L1_Format</group>
      <groupName>格式问题</groupName>
      <ability>L2_HalfPunc_CN</ability>
      <abilityName>全半角问题</abilityName>
      <candidateList>
        <item>(</item>
      </candidateList>
      <explain>文本全半角错误。</explain>
      <paraID>175299D4</paraID>
      <start>0</start>
      <end>1</end>
      <status>ignored</status>
      <modifiedWord/>
      <trackRevisions>false</trackRevisions>
    </reviewItem>
    <reviewItem>
      <errorID>fff1bfaa-a090-42d1-950c-1f58f4a05d30</errorID>
      <errorWord>，</errorWord>
      <group>L1_Format</group>
      <groupName>格式问题</groupName>
      <ability>L2_HalfPunc_CN</ability>
      <abilityName>全半角问题</abilityName>
      <candidateList>
        <item>,</item>
      </candidateList>
      <explain>文本全半角错误。</explain>
      <paraID>175299D4</paraID>
      <start>4</start>
      <end>5</end>
      <status>ignored</status>
      <modifiedWord/>
      <trackRevisions>false</trackRevisions>
    </reviewItem>
    <reviewItem>
      <errorID>bf372814-83a9-4087-b7b9-141091ddb703</errorID>
      <errorWord>）</errorWord>
      <group>L1_Format</group>
      <groupName>格式问题</groupName>
      <ability>L2_HalfPunc_CN</ability>
      <abilityName>全半角问题</abilityName>
      <candidateList>
        <item>)</item>
      </candidateList>
      <explain>文本全半角错误。</explain>
      <paraID>175299D4</paraID>
      <start>9</start>
      <end>10</end>
      <status>ignored</status>
      <modifiedWord/>
      <trackRevisions>false</trackRevisions>
    </reviewItem>
    <reviewItem>
      <errorID>ec0f819f-13c4-464b-9a6a-cad0207f4b08</errorID>
      <errorWord>（</errorWord>
      <group>L1_Format</group>
      <groupName>格式问题</groupName>
      <ability>L2_HalfPunc_CN</ability>
      <abilityName>全半角问题</abilityName>
      <candidateList>
        <item>(</item>
      </candidateList>
      <explain>文本全半角错误。</explain>
      <paraID>7302C84B</paraID>
      <start>0</start>
      <end>1</end>
      <status>ignored</status>
      <modifiedWord/>
      <trackRevisions>false</trackRevisions>
    </reviewItem>
    <reviewItem>
      <errorID>3c2f65f6-2afb-4821-97a8-b23732f4f2eb</errorID>
      <errorWord>，</errorWord>
      <group>L1_Format</group>
      <groupName>格式问题</groupName>
      <ability>L2_HalfPunc_CN</ability>
      <abilityName>全半角问题</abilityName>
      <candidateList>
        <item>,</item>
      </candidateList>
      <explain>文本全半角错误。</explain>
      <paraID>7302C84B</paraID>
      <start>6</start>
      <end>7</end>
      <status>ignored</status>
      <modifiedWord/>
      <trackRevisions>false</trackRevisions>
    </reviewItem>
    <reviewItem>
      <errorID>037e0a7c-8014-40fe-9607-7106dffc91b1</errorID>
      <errorWord>）</errorWord>
      <group>L1_Format</group>
      <groupName>格式问题</groupName>
      <ability>L2_HalfPunc_CN</ability>
      <abilityName>全半角问题</abilityName>
      <candidateList>
        <item>)</item>
      </candidateList>
      <explain>文本全半角错误。</explain>
      <paraID>7302C84B</paraID>
      <start>11</start>
      <end>12</end>
      <status>ignored</status>
      <modifiedWord/>
      <trackRevisions>false</trackRevisions>
    </reviewItem>
    <reviewItem>
      <errorID>2d18cd2c-bec5-40ab-821a-aa469265331b</errorID>
      <errorWord>（</errorWord>
      <group>L1_Format</group>
      <groupName>格式问题</groupName>
      <ability>L2_HalfPunc_CN</ability>
      <abilityName>全半角问题</abilityName>
      <candidateList>
        <item>(</item>
      </candidateList>
      <explain>文本全半角错误。</explain>
      <paraID>1E0072AB</paraID>
      <start>0</start>
      <end>1</end>
      <status>ignored</status>
      <modifiedWord/>
      <trackRevisions>false</trackRevisions>
    </reviewItem>
    <reviewItem>
      <errorID>f8fdea8c-4e86-4ebc-9111-8975c0828de6</errorID>
      <errorWord>，</errorWord>
      <group>L1_Format</group>
      <groupName>格式问题</groupName>
      <ability>L2_HalfPunc_CN</ability>
      <abilityName>全半角问题</abilityName>
      <candidateList>
        <item>,</item>
      </candidateList>
      <explain>文本全半角错误。</explain>
      <paraID>1E0072AB</paraID>
      <start>4</start>
      <end>5</end>
      <status>ignored</status>
      <modifiedWord/>
      <trackRevisions>false</trackRevisions>
    </reviewItem>
    <reviewItem>
      <errorID>b0da816d-9ef6-44a2-8942-0a11d1fcfa72</errorID>
      <errorWord>）</errorWord>
      <group>L1_Format</group>
      <groupName>格式问题</groupName>
      <ability>L2_HalfPunc_CN</ability>
      <abilityName>全半角问题</abilityName>
      <candidateList>
        <item>)</item>
      </candidateList>
      <explain>文本全半角错误。</explain>
      <paraID>1E0072AB</paraID>
      <start>7</start>
      <end>8</end>
      <status>ignored</status>
      <modifiedWord/>
      <trackRevisions>false</trackRevisions>
    </reviewItem>
    <reviewItem>
      <errorID>42760659-7232-4882-b586-db494d669b85</errorID>
      <errorWord>（</errorWord>
      <group>L1_Format</group>
      <groupName>格式问题</groupName>
      <ability>L2_HalfPunc_CN</ability>
      <abilityName>全半角问题</abilityName>
      <candidateList>
        <item>(</item>
      </candidateList>
      <explain>文本全半角错误。</explain>
      <paraID>2AFD1817</paraID>
      <start>0</start>
      <end>1</end>
      <status>ignored</status>
      <modifiedWord/>
      <trackRevisions>false</trackRevisions>
    </reviewItem>
    <reviewItem>
      <errorID>c50f7126-46f7-42e7-b40b-e11fa86becc3</errorID>
      <errorWord>，</errorWord>
      <group>L1_Format</group>
      <groupName>格式问题</groupName>
      <ability>L2_HalfPunc_CN</ability>
      <abilityName>全半角问题</abilityName>
      <candidateList>
        <item>, </item>
      </candidateList>
      <explain>文本全半角错误。</explain>
      <paraID>2AFD1817</paraID>
      <start>2</start>
      <end>3</end>
      <status>ignored</status>
      <modifiedWord/>
      <trackRevisions>false</trackRevisions>
    </reviewItem>
    <reviewItem>
      <errorID>763e35a0-4970-4c02-956f-b4a32e0f6e81</errorID>
      <errorWord>）</errorWord>
      <group>L1_Format</group>
      <groupName>格式问题</groupName>
      <ability>L2_HalfPunc_CN</ability>
      <abilityName>全半角问题</abilityName>
      <candidateList>
        <item>)</item>
      </candidateList>
      <explain>文本全半角错误。</explain>
      <paraID>2AFD1817</paraID>
      <start>4</start>
      <end>5</end>
      <status>ignored</status>
      <modifiedWord/>
      <trackRevisions>false</trackRevisions>
    </reviewItem>
    <reviewItem>
      <errorID>285dddbf-aa09-4461-9ec4-ac8b692f4382</errorID>
      <errorWord>（</errorWord>
      <group>L1_Format</group>
      <groupName>格式问题</groupName>
      <ability>L2_HalfPunc_CN</ability>
      <abilityName>全半角问题</abilityName>
      <candidateList>
        <item>(</item>
      </candidateList>
      <explain>文本全半角错误。</explain>
      <paraID>606F0261</paraID>
      <start>0</start>
      <end>1</end>
      <status>ignored</status>
      <modifiedWord/>
      <trackRevisions>false</trackRevisions>
    </reviewItem>
    <reviewItem>
      <errorID>c88f4c1c-f718-40f6-8982-5fbd6a6f0c44</errorID>
      <errorWord>）</errorWord>
      <group>L1_Format</group>
      <groupName>格式问题</groupName>
      <ability>L2_HalfPunc_CN</ability>
      <abilityName>全半角问题</abilityName>
      <candidateList>
        <item>)</item>
      </candidateList>
      <explain>文本全半角错误。</explain>
      <paraID>606F0261</paraID>
      <start>6</start>
      <end>7</end>
      <status>ignored</status>
      <modifiedWord/>
      <trackRevisions>false</trackRevisions>
    </reviewItem>
    <reviewItem>
      <errorID>0b4d6c1b-b54b-4be3-bc07-de41a6286ed4</errorID>
      <errorWord>（</errorWord>
      <group>L1_Format</group>
      <groupName>格式问题</groupName>
      <ability>L2_HalfPunc_CN</ability>
      <abilityName>全半角问题</abilityName>
      <candidateList>
        <item>(</item>
      </candidateList>
      <explain>文本全半角错误。</explain>
      <paraID>7C78D850</paraID>
      <start>0</start>
      <end>1</end>
      <status>ignored</status>
      <modifiedWord/>
      <trackRevisions>false</trackRevisions>
    </reviewItem>
    <reviewItem>
      <errorID>fb6ea69b-d6df-439e-9591-2d20de6b64ea</errorID>
      <errorWord>）</errorWord>
      <group>L1_Format</group>
      <groupName>格式问题</groupName>
      <ability>L2_HalfPunc_CN</ability>
      <abilityName>全半角问题</abilityName>
      <candidateList>
        <item>)</item>
      </candidateList>
      <explain>文本全半角错误。</explain>
      <paraID>7C78D850</paraID>
      <start>9</start>
      <end>10</end>
      <status>ignored</status>
      <modifiedWord/>
      <trackRevisions>false</trackRevisions>
    </reviewItem>
    <reviewItem>
      <errorID>80effa86-3f6f-4739-abcd-64d0a7f1c460</errorID>
      <errorWord>（</errorWord>
      <group>L1_Format</group>
      <groupName>格式问题</groupName>
      <ability>L2_HalfPunc_CN</ability>
      <abilityName>全半角问题</abilityName>
      <candidateList>
        <item>(</item>
      </candidateList>
      <explain>文本全半角错误。</explain>
      <paraID>7BEAA325</paraID>
      <start>0</start>
      <end>1</end>
      <status>ignored</status>
      <modifiedWord/>
      <trackRevisions>false</trackRevisions>
    </reviewItem>
    <reviewItem>
      <errorID>10e65b70-04df-4534-b307-03cdab0b9d6b</errorID>
      <errorWord>）</errorWord>
      <group>L1_Format</group>
      <groupName>格式问题</groupName>
      <ability>L2_HalfPunc_CN</ability>
      <abilityName>全半角问题</abilityName>
      <candidateList>
        <item>)</item>
      </candidateList>
      <explain>文本全半角错误。</explain>
      <paraID>7BEAA325</paraID>
      <start>6</start>
      <end>7</end>
      <status>ignored</status>
      <modifiedWord/>
      <trackRevisions>false</trackRevisions>
    </reviewItem>
    <reviewItem>
      <errorID>eecdf341-c7dd-4d05-913d-248ba88482ab</errorID>
      <errorWord>（</errorWord>
      <group>L1_Format</group>
      <groupName>格式问题</groupName>
      <ability>L2_HalfPunc_CN</ability>
      <abilityName>全半角问题</abilityName>
      <candidateList>
        <item>(</item>
      </candidateList>
      <explain>文本全半角错误。</explain>
      <paraID>2C1AC42D</paraID>
      <start>0</start>
      <end>1</end>
      <status>ignored</status>
      <modifiedWord/>
      <trackRevisions>false</trackRevisions>
    </reviewItem>
    <reviewItem>
      <errorID>a7509615-cdaa-4c7c-babc-bb54d54cf8ce</errorID>
      <errorWord>）</errorWord>
      <group>L1_Format</group>
      <groupName>格式问题</groupName>
      <ability>L2_HalfPunc_CN</ability>
      <abilityName>全半角问题</abilityName>
      <candidateList>
        <item>)</item>
      </candidateList>
      <explain>文本全半角错误。</explain>
      <paraID>2C1AC42D</paraID>
      <start>6</start>
      <end>7</end>
      <status>ignored</status>
      <modifiedWord/>
      <trackRevisions>false</trackRevisions>
    </reviewItem>
    <reviewItem>
      <errorID>63d2573e-7ba3-4d85-b1e2-dc1154ffb365</errorID>
      <errorWord>（</errorWord>
      <group>L1_Format</group>
      <groupName>格式问题</groupName>
      <ability>L2_HalfPunc_CN</ability>
      <abilityName>全半角问题</abilityName>
      <candidateList>
        <item>(</item>
      </candidateList>
      <explain>文本全半角错误。</explain>
      <paraID>239B8084</paraID>
      <start>0</start>
      <end>1</end>
      <status>ignored</status>
      <modifiedWord/>
      <trackRevisions>false</trackRevisions>
    </reviewItem>
    <reviewItem>
      <errorID>88f07ef5-feaf-4f4d-8c32-a3536fed7b28</errorID>
      <errorWord>）</errorWord>
      <group>L1_Format</group>
      <groupName>格式问题</groupName>
      <ability>L2_HalfPunc_CN</ability>
      <abilityName>全半角问题</abilityName>
      <candidateList>
        <item>)</item>
      </candidateList>
      <explain>文本全半角错误。</explain>
      <paraID>239B8084</paraID>
      <start>6</start>
      <end>7</end>
      <status>ignored</status>
      <modifiedWord/>
      <trackRevisions>false</trackRevisions>
    </reviewItem>
    <reviewItem>
      <errorID>0e5bcc08-642f-4ec3-8964-e75f3ab972f7</errorID>
      <errorWord>（</errorWord>
      <group>L1_Format</group>
      <groupName>格式问题</groupName>
      <ability>L2_HalfPunc_CN</ability>
      <abilityName>全半角问题</abilityName>
      <candidateList>
        <item>(</item>
      </candidateList>
      <explain>文本全半角错误。</explain>
      <paraID>751E67EA</paraID>
      <start>0</start>
      <end>1</end>
      <status>ignored</status>
      <modifiedWord/>
      <trackRevisions>false</trackRevisions>
    </reviewItem>
    <reviewItem>
      <errorID>1acf424f-bca4-4b54-9373-032a2f4e1db2</errorID>
      <errorWord>，</errorWord>
      <group>L1_Format</group>
      <groupName>格式问题</groupName>
      <ability>L2_HalfPunc_CN</ability>
      <abilityName>全半角问题</abilityName>
      <candidateList>
        <item>,</item>
      </candidateList>
      <explain>文本全半角错误。</explain>
      <paraID>751E67EA</paraID>
      <start>6</start>
      <end>7</end>
      <status>ignored</status>
      <modifiedWord/>
      <trackRevisions>false</trackRevisions>
    </reviewItem>
    <reviewItem>
      <errorID>ca4d53e7-d909-40e4-96e8-4ef8fb9b0eec</errorID>
      <errorWord>）</errorWord>
      <group>L1_Format</group>
      <groupName>格式问题</groupName>
      <ability>L2_HalfPunc_CN</ability>
      <abilityName>全半角问题</abilityName>
      <candidateList>
        <item>)</item>
      </candidateList>
      <explain>文本全半角错误。</explain>
      <paraID>751E67EA</paraID>
      <start>11</start>
      <end>12</end>
      <status>ignored</status>
      <modifiedWord/>
      <trackRevisions>false</trackRevisions>
    </reviewItem>
    <reviewItem>
      <errorID>a1a08c51-b550-46fd-b724-f4ae448d0f1f</errorID>
      <errorWord>（</errorWord>
      <group>L1_Format</group>
      <groupName>格式问题</groupName>
      <ability>L2_HalfPunc_CN</ability>
      <abilityName>全半角问题</abilityName>
      <candidateList>
        <item>(</item>
      </candidateList>
      <explain>文本全半角错误。</explain>
      <paraID>1E888ACF</paraID>
      <start>0</start>
      <end>1</end>
      <status>ignored</status>
      <modifiedWord/>
      <trackRevisions>false</trackRevisions>
    </reviewItem>
    <reviewItem>
      <errorID>6fc7499f-87c8-440a-93f9-2b8477d2833e</errorID>
      <errorWord>，</errorWord>
      <group>L1_Format</group>
      <groupName>格式问题</groupName>
      <ability>L2_HalfPunc_CN</ability>
      <abilityName>全半角问题</abilityName>
      <candidateList>
        <item>,</item>
      </candidateList>
      <explain>文本全半角错误。</explain>
      <paraID>1E888ACF</paraID>
      <start>4</start>
      <end>5</end>
      <status>ignored</status>
      <modifiedWord/>
      <trackRevisions>false</trackRevisions>
    </reviewItem>
    <reviewItem>
      <errorID>12d30850-cad9-449c-b561-76c5de95274a</errorID>
      <errorWord>）</errorWord>
      <group>L1_Format</group>
      <groupName>格式问题</groupName>
      <ability>L2_HalfPunc_CN</ability>
      <abilityName>全半角问题</abilityName>
      <candidateList>
        <item>)</item>
      </candidateList>
      <explain>文本全半角错误。</explain>
      <paraID>1E888ACF</paraID>
      <start>8</start>
      <end>9</end>
      <status>ignored</status>
      <modifiedWord/>
      <trackRevisions>false</trackRevisions>
    </reviewItem>
    <reviewItem>
      <errorID>15bb7062-47ab-4ab8-8050-a6bb8dc622c0</errorID>
      <errorWord>（</errorWord>
      <group>L1_Format</group>
      <groupName>格式问题</groupName>
      <ability>L2_HalfPunc_CN</ability>
      <abilityName>全半角问题</abilityName>
      <candidateList>
        <item>(</item>
      </candidateList>
      <explain>文本全半角错误。</explain>
      <paraID>3CB6B611</paraID>
      <start>0</start>
      <end>1</end>
      <status>ignored</status>
      <modifiedWord/>
      <trackRevisions>false</trackRevisions>
    </reviewItem>
    <reviewItem>
      <errorID>e5f44001-bd1c-40e7-a4c1-54eb579969f4</errorID>
      <errorWord>，</errorWord>
      <group>L1_Format</group>
      <groupName>格式问题</groupName>
      <ability>L2_HalfPunc_CN</ability>
      <abilityName>全半角问题</abilityName>
      <candidateList>
        <item>,</item>
      </candidateList>
      <explain>文本全半角错误。</explain>
      <paraID>3CB6B611</paraID>
      <start>4</start>
      <end>5</end>
      <status>ignored</status>
      <modifiedWord/>
      <trackRevisions>false</trackRevisions>
    </reviewItem>
    <reviewItem>
      <errorID>207a993c-45bc-4e93-a5f6-0605d3ab7c7e</errorID>
      <errorWord>）</errorWord>
      <group>L1_Format</group>
      <groupName>格式问题</groupName>
      <ability>L2_HalfPunc_CN</ability>
      <abilityName>全半角问题</abilityName>
      <candidateList>
        <item>)</item>
      </candidateList>
      <explain>文本全半角错误。</explain>
      <paraID>3CB6B611</paraID>
      <start>9</start>
      <end>10</end>
      <status>ignored</status>
      <modifiedWord/>
      <trackRevisions>false</trackRevisions>
    </reviewItem>
    <reviewItem>
      <errorID>8852f946-36fa-49ae-8000-2949a5fe32ce</errorID>
      <errorWord>（</errorWord>
      <group>L1_Format</group>
      <groupName>格式问题</groupName>
      <ability>L2_HalfPunc_CN</ability>
      <abilityName>全半角问题</abilityName>
      <candidateList>
        <item>(</item>
      </candidateList>
      <explain>文本全半角错误。</explain>
      <paraID>6E9B2A85</paraID>
      <start>0</start>
      <end>1</end>
      <status>ignored</status>
      <modifiedWord/>
      <trackRevisions>false</trackRevisions>
    </reviewItem>
    <reviewItem>
      <errorID>3d873f54-8c62-47ad-8a3b-38a39b29641a</errorID>
      <errorWord>，</errorWord>
      <group>L1_Format</group>
      <groupName>格式问题</groupName>
      <ability>L2_HalfPunc_CN</ability>
      <abilityName>全半角问题</abilityName>
      <candidateList>
        <item>,</item>
      </candidateList>
      <explain>文本全半角错误。</explain>
      <paraID>6E9B2A85</paraID>
      <start>6</start>
      <end>7</end>
      <status>ignored</status>
      <modifiedWord/>
      <trackRevisions>false</trackRevisions>
    </reviewItem>
    <reviewItem>
      <errorID>19130191-2992-47bd-a004-c01c7ac0350e</errorID>
      <errorWord>）</errorWord>
      <group>L1_Format</group>
      <groupName>格式问题</groupName>
      <ability>L2_HalfPunc_CN</ability>
      <abilityName>全半角问题</abilityName>
      <candidateList>
        <item>)</item>
      </candidateList>
      <explain>文本全半角错误。</explain>
      <paraID>6E9B2A85</paraID>
      <start>11</start>
      <end>12</end>
      <status>ignored</status>
      <modifiedWord/>
      <trackRevisions>false</trackRevisions>
    </reviewItem>
    <reviewItem>
      <errorID>3682e87e-0383-4ccd-b4a8-3b42cfe2a7e7</errorID>
      <errorWord>（</errorWord>
      <group>L1_Format</group>
      <groupName>格式问题</groupName>
      <ability>L2_HalfPunc_CN</ability>
      <abilityName>全半角问题</abilityName>
      <candidateList>
        <item>(</item>
      </candidateList>
      <explain>文本全半角错误。</explain>
      <paraID>7EB1C34C</paraID>
      <start>0</start>
      <end>1</end>
      <status>ignored</status>
      <modifiedWord/>
      <trackRevisions>false</trackRevisions>
    </reviewItem>
    <reviewItem>
      <errorID>3ceca752-eda5-4cb2-8256-2332d326c84c</errorID>
      <errorWord>，</errorWord>
      <group>L1_Format</group>
      <groupName>格式问题</groupName>
      <ability>L2_HalfPunc_CN</ability>
      <abilityName>全半角问题</abilityName>
      <candidateList>
        <item>,</item>
      </candidateList>
      <explain>文本全半角错误。</explain>
      <paraID>7EB1C34C</paraID>
      <start>4</start>
      <end>5</end>
      <status>ignored</status>
      <modifiedWord/>
      <trackRevisions>false</trackRevisions>
    </reviewItem>
    <reviewItem>
      <errorID>423c32b4-cde1-4b65-8425-3b9592bc8e7b</errorID>
      <errorWord>）</errorWord>
      <group>L1_Format</group>
      <groupName>格式问题</groupName>
      <ability>L2_HalfPunc_CN</ability>
      <abilityName>全半角问题</abilityName>
      <candidateList>
        <item>)</item>
      </candidateList>
      <explain>文本全半角错误。</explain>
      <paraID>7EB1C34C</paraID>
      <start>9</start>
      <end>10</end>
      <status>ignored</status>
      <modifiedWord/>
      <trackRevisions>false</trackRevisions>
    </reviewItem>
    <reviewItem>
      <errorID>b74733c8-6c00-46c2-88c6-51ad5d59a78f</errorID>
      <errorWord>（</errorWord>
      <group>L1_Format</group>
      <groupName>格式问题</groupName>
      <ability>L2_HalfPunc_CN</ability>
      <abilityName>全半角问题</abilityName>
      <candidateList>
        <item>(</item>
      </candidateList>
      <explain>文本全半角错误。</explain>
      <paraID> 81677D9</paraID>
      <start>0</start>
      <end>1</end>
      <status>ignored</status>
      <modifiedWord/>
      <trackRevisions>false</trackRevisions>
    </reviewItem>
    <reviewItem>
      <errorID>268cc125-9d1a-46f7-8c0b-a3becfbba9a5</errorID>
      <errorWord>，</errorWord>
      <group>L1_Format</group>
      <groupName>格式问题</groupName>
      <ability>L2_HalfPunc_CN</ability>
      <abilityName>全半角问题</abilityName>
      <candidateList>
        <item>,</item>
      </candidateList>
      <explain>文本全半角错误。</explain>
      <paraID> 81677D9</paraID>
      <start>4</start>
      <end>5</end>
      <status>ignored</status>
      <modifiedWord/>
      <trackRevisions>false</trackRevisions>
    </reviewItem>
    <reviewItem>
      <errorID>a8e071be-5448-4d93-8072-4726f97c40b1</errorID>
      <errorWord>）</errorWord>
      <group>L1_Format</group>
      <groupName>格式问题</groupName>
      <ability>L2_HalfPunc_CN</ability>
      <abilityName>全半角问题</abilityName>
      <candidateList>
        <item>)</item>
      </candidateList>
      <explain>文本全半角错误。</explain>
      <paraID> 81677D9</paraID>
      <start>9</start>
      <end>10</end>
      <status>ignored</status>
      <modifiedWord/>
      <trackRevisions>false</trackRevisions>
    </reviewItem>
    <reviewItem>
      <errorID>2aba7bdf-c2f9-4780-aaf0-2f10ec15d979</errorID>
      <errorWord>（</errorWord>
      <group>L1_Format</group>
      <groupName>格式问题</groupName>
      <ability>L2_HalfPunc_CN</ability>
      <abilityName>全半角问题</abilityName>
      <candidateList>
        <item>(</item>
      </candidateList>
      <explain>文本全半角错误。</explain>
      <paraID>5139BE02</paraID>
      <start>0</start>
      <end>1</end>
      <status>ignored</status>
      <modifiedWord/>
      <trackRevisions>false</trackRevisions>
    </reviewItem>
    <reviewItem>
      <errorID>1a598fea-68c3-46bf-add9-247535610432</errorID>
      <errorWord>，</errorWord>
      <group>L1_Format</group>
      <groupName>格式问题</groupName>
      <ability>L2_HalfPunc_CN</ability>
      <abilityName>全半角问题</abilityName>
      <candidateList>
        <item>,</item>
      </candidateList>
      <explain>文本全半角错误。</explain>
      <paraID>5139BE02</paraID>
      <start>6</start>
      <end>7</end>
      <status>ignored</status>
      <modifiedWord/>
      <trackRevisions>false</trackRevisions>
    </reviewItem>
    <reviewItem>
      <errorID>d6b45ac8-a284-4032-a1af-b7464ab24746</errorID>
      <errorWord>）</errorWord>
      <group>L1_Format</group>
      <groupName>格式问题</groupName>
      <ability>L2_HalfPunc_CN</ability>
      <abilityName>全半角问题</abilityName>
      <candidateList>
        <item>)</item>
      </candidateList>
      <explain>文本全半角错误。</explain>
      <paraID>5139BE02</paraID>
      <start>11</start>
      <end>12</end>
      <status>ignored</status>
      <modifiedWord/>
      <trackRevisions>false</trackRevisions>
    </reviewItem>
    <reviewItem>
      <errorID>a057aa7b-5aa2-41ce-a9f4-e9c9186bdcd0</errorID>
      <errorWord>（</errorWord>
      <group>L1_Format</group>
      <groupName>格式问题</groupName>
      <ability>L2_HalfPunc_CN</ability>
      <abilityName>全半角问题</abilityName>
      <candidateList>
        <item>(</item>
      </candidateList>
      <explain>文本全半角错误。</explain>
      <paraID>6069DD39</paraID>
      <start>0</start>
      <end>1</end>
      <status>ignored</status>
      <modifiedWord/>
      <trackRevisions>false</trackRevisions>
    </reviewItem>
    <reviewItem>
      <errorID>843267f2-7c0d-42bf-94d4-01db58c302d2</errorID>
      <errorWord>，</errorWord>
      <group>L1_Format</group>
      <groupName>格式问题</groupName>
      <ability>L2_HalfPunc_CN</ability>
      <abilityName>全半角问题</abilityName>
      <candidateList>
        <item>,</item>
      </candidateList>
      <explain>文本全半角错误。</explain>
      <paraID>6069DD39</paraID>
      <start>4</start>
      <end>5</end>
      <status>ignored</status>
      <modifiedWord/>
      <trackRevisions>false</trackRevisions>
    </reviewItem>
    <reviewItem>
      <errorID>e93703b2-f7ef-4c53-885f-b833b1e5a07d</errorID>
      <errorWord>）</errorWord>
      <group>L1_Format</group>
      <groupName>格式问题</groupName>
      <ability>L2_HalfPunc_CN</ability>
      <abilityName>全半角问题</abilityName>
      <candidateList>
        <item>)</item>
      </candidateList>
      <explain>文本全半角错误。</explain>
      <paraID>6069DD39</paraID>
      <start>9</start>
      <end>10</end>
      <status>ignored</status>
      <modifiedWord/>
      <trackRevisions>false</trackRevisions>
    </reviewItem>
    <reviewItem>
      <errorID>1c5318d3-3314-462f-ae46-29d215128a89</errorID>
      <errorWord>（</errorWord>
      <group>L1_Format</group>
      <groupName>格式问题</groupName>
      <ability>L2_HalfPunc_CN</ability>
      <abilityName>全半角问题</abilityName>
      <candidateList>
        <item>(</item>
      </candidateList>
      <explain>文本全半角错误。</explain>
      <paraID>7B71AC02</paraID>
      <start>0</start>
      <end>1</end>
      <status>ignored</status>
      <modifiedWord/>
      <trackRevisions>false</trackRevisions>
    </reviewItem>
    <reviewItem>
      <errorID>17bae4df-f802-475f-b7d1-dbc192e7ed2e</errorID>
      <errorWord>，</errorWord>
      <group>L1_Format</group>
      <groupName>格式问题</groupName>
      <ability>L2_HalfPunc_CN</ability>
      <abilityName>全半角问题</abilityName>
      <candidateList>
        <item>,</item>
      </candidateList>
      <explain>文本全半角错误。</explain>
      <paraID>7B71AC02</paraID>
      <start>6</start>
      <end>7</end>
      <status>ignored</status>
      <modifiedWord/>
      <trackRevisions>false</trackRevisions>
    </reviewItem>
    <reviewItem>
      <errorID>940b883b-d771-4adf-b6aa-2f0b1d2d14ef</errorID>
      <errorWord>）</errorWord>
      <group>L1_Format</group>
      <groupName>格式问题</groupName>
      <ability>L2_HalfPunc_CN</ability>
      <abilityName>全半角问题</abilityName>
      <candidateList>
        <item>)</item>
      </candidateList>
      <explain>文本全半角错误。</explain>
      <paraID>7B71AC02</paraID>
      <start>11</start>
      <end>12</end>
      <status>ignored</status>
      <modifiedWord/>
      <trackRevisions>false</trackRevisions>
    </reviewItem>
    <reviewItem>
      <errorID>1f1148f4-7b75-4b65-a7c2-f1e2932efced</errorID>
      <errorWord>（</errorWord>
      <group>L1_Format</group>
      <groupName>格式问题</groupName>
      <ability>L2_HalfPunc_CN</ability>
      <abilityName>全半角问题</abilityName>
      <candidateList>
        <item>(</item>
      </candidateList>
      <explain>文本全半角错误。</explain>
      <paraID>5C8B661B</paraID>
      <start>0</start>
      <end>1</end>
      <status>ignored</status>
      <modifiedWord/>
      <trackRevisions>false</trackRevisions>
    </reviewItem>
    <reviewItem>
      <errorID>173b6922-8810-47dc-89a9-979fdd0ed5f2</errorID>
      <errorWord>，</errorWord>
      <group>L1_Format</group>
      <groupName>格式问题</groupName>
      <ability>L2_HalfPunc_CN</ability>
      <abilityName>全半角问题</abilityName>
      <candidateList>
        <item>,</item>
      </candidateList>
      <explain>文本全半角错误。</explain>
      <paraID>5C8B661B</paraID>
      <start>4</start>
      <end>5</end>
      <status>ignored</status>
      <modifiedWord/>
      <trackRevisions>false</trackRevisions>
    </reviewItem>
    <reviewItem>
      <errorID>772817a7-548d-439a-9fdc-a051f1d363bf</errorID>
      <errorWord>）</errorWord>
      <group>L1_Format</group>
      <groupName>格式问题</groupName>
      <ability>L2_HalfPunc_CN</ability>
      <abilityName>全半角问题</abilityName>
      <candidateList>
        <item>)</item>
      </candidateList>
      <explain>文本全半角错误。</explain>
      <paraID>5C8B661B</paraID>
      <start>8</start>
      <end>9</end>
      <status>ignored</status>
      <modifiedWord/>
      <trackRevisions>false</trackRevisions>
    </reviewItem>
    <reviewItem>
      <errorID>1989779f-03e0-4e5b-a086-1a9bb469d625</errorID>
      <errorWord>（</errorWord>
      <group>L1_Format</group>
      <groupName>格式问题</groupName>
      <ability>L2_HalfPunc_CN</ability>
      <abilityName>全半角问题</abilityName>
      <candidateList>
        <item>(</item>
      </candidateList>
      <explain>文本全半角错误。</explain>
      <paraID>289123AB</paraID>
      <start>0</start>
      <end>1</end>
      <status>ignored</status>
      <modifiedWord/>
      <trackRevisions>false</trackRevisions>
    </reviewItem>
    <reviewItem>
      <errorID>031cdbb1-2a82-4239-a34f-96d3274d895d</errorID>
      <errorWord>，</errorWord>
      <group>L1_Format</group>
      <groupName>格式问题</groupName>
      <ability>L2_HalfPunc_CN</ability>
      <abilityName>全半角问题</abilityName>
      <candidateList>
        <item>,</item>
      </candidateList>
      <explain>文本全半角错误。</explain>
      <paraID>289123AB</paraID>
      <start>6</start>
      <end>7</end>
      <status>ignored</status>
      <modifiedWord/>
      <trackRevisions>false</trackRevisions>
    </reviewItem>
    <reviewItem>
      <errorID>d2d59509-69b3-45e6-8f6f-fb13d674a4c6</errorID>
      <errorWord>）</errorWord>
      <group>L1_Format</group>
      <groupName>格式问题</groupName>
      <ability>L2_HalfPunc_CN</ability>
      <abilityName>全半角问题</abilityName>
      <candidateList>
        <item>)</item>
      </candidateList>
      <explain>文本全半角错误。</explain>
      <paraID>289123AB</paraID>
      <start>11</start>
      <end>12</end>
      <status>ignored</status>
      <modifiedWord/>
      <trackRevisions>false</trackRevisions>
    </reviewItem>
    <reviewItem>
      <errorID>233204b5-279e-40f1-bffd-e18799e2dd6d</errorID>
      <errorWord>（</errorWord>
      <group>L1_Format</group>
      <groupName>格式问题</groupName>
      <ability>L2_HalfPunc_CN</ability>
      <abilityName>全半角问题</abilityName>
      <candidateList>
        <item>(</item>
      </candidateList>
      <explain>文本全半角错误。</explain>
      <paraID>793D37E2</paraID>
      <start>0</start>
      <end>1</end>
      <status>ignored</status>
      <modifiedWord/>
      <trackRevisions>false</trackRevisions>
    </reviewItem>
    <reviewItem>
      <errorID>ba351016-cc86-48a1-92e9-ae6de46b1e00</errorID>
      <errorWord>，</errorWord>
      <group>L1_Format</group>
      <groupName>格式问题</groupName>
      <ability>L2_HalfPunc_CN</ability>
      <abilityName>全半角问题</abilityName>
      <candidateList>
        <item>,</item>
      </candidateList>
      <explain>文本全半角错误。</explain>
      <paraID>793D37E2</paraID>
      <start>4</start>
      <end>5</end>
      <status>ignored</status>
      <modifiedWord/>
      <trackRevisions>false</trackRevisions>
    </reviewItem>
    <reviewItem>
      <errorID>f4b6a483-0136-4a42-b132-f8bab15d64a6</errorID>
      <errorWord>）</errorWord>
      <group>L1_Format</group>
      <groupName>格式问题</groupName>
      <ability>L2_HalfPunc_CN</ability>
      <abilityName>全半角问题</abilityName>
      <candidateList>
        <item>)</item>
      </candidateList>
      <explain>文本全半角错误。</explain>
      <paraID>793D37E2</paraID>
      <start>9</start>
      <end>10</end>
      <status>ignored</status>
      <modifiedWord/>
      <trackRevisions>false</trackRevisions>
    </reviewItem>
    <reviewItem>
      <errorID>3d2a9452-5a7e-46cf-98d1-02bebded297d</errorID>
      <errorWord>（</errorWord>
      <group>L1_Format</group>
      <groupName>格式问题</groupName>
      <ability>L2_HalfPunc_CN</ability>
      <abilityName>全半角问题</abilityName>
      <candidateList>
        <item>(</item>
      </candidateList>
      <explain>文本全半角错误。</explain>
      <paraID>44DCDFFD</paraID>
      <start>0</start>
      <end>1</end>
      <status>ignored</status>
      <modifiedWord/>
      <trackRevisions>false</trackRevisions>
    </reviewItem>
    <reviewItem>
      <errorID>024149a6-af21-436d-be20-7edf506409b6</errorID>
      <errorWord>，</errorWord>
      <group>L1_Format</group>
      <groupName>格式问题</groupName>
      <ability>L2_HalfPunc_CN</ability>
      <abilityName>全半角问题</abilityName>
      <candidateList>
        <item>,</item>
      </candidateList>
      <explain>文本全半角错误。</explain>
      <paraID>44DCDFFD</paraID>
      <start>6</start>
      <end>7</end>
      <status>ignored</status>
      <modifiedWord/>
      <trackRevisions>false</trackRevisions>
    </reviewItem>
    <reviewItem>
      <errorID>2e6d1f34-6d9b-4223-83e3-d95f852b1c12</errorID>
      <errorWord>）</errorWord>
      <group>L1_Format</group>
      <groupName>格式问题</groupName>
      <ability>L2_HalfPunc_CN</ability>
      <abilityName>全半角问题</abilityName>
      <candidateList>
        <item>)</item>
      </candidateList>
      <explain>文本全半角错误。</explain>
      <paraID>44DCDFFD</paraID>
      <start>11</start>
      <end>12</end>
      <status>ignored</status>
      <modifiedWord/>
      <trackRevisions>false</trackRevisions>
    </reviewItem>
    <reviewItem>
      <errorID>24f50ea4-a008-41ff-b68a-a3e7b766252b</errorID>
      <errorWord>（</errorWord>
      <group>L1_Format</group>
      <groupName>格式问题</groupName>
      <ability>L2_HalfPunc_CN</ability>
      <abilityName>全半角问题</abilityName>
      <candidateList>
        <item>(</item>
      </candidateList>
      <explain>文本全半角错误。</explain>
      <paraID> AFC23ED</paraID>
      <start>0</start>
      <end>1</end>
      <status>ignored</status>
      <modifiedWord/>
      <trackRevisions>false</trackRevisions>
    </reviewItem>
    <reviewItem>
      <errorID>0498daf0-94e6-4e08-876c-70a4e95a1240</errorID>
      <errorWord>，</errorWord>
      <group>L1_Format</group>
      <groupName>格式问题</groupName>
      <ability>L2_HalfPunc_CN</ability>
      <abilityName>全半角问题</abilityName>
      <candidateList>
        <item>,</item>
      </candidateList>
      <explain>文本全半角错误。</explain>
      <paraID> AFC23ED</paraID>
      <start>5</start>
      <end>6</end>
      <status>ignored</status>
      <modifiedWord/>
      <trackRevisions>false</trackRevisions>
    </reviewItem>
    <reviewItem>
      <errorID>64dd9489-1c2d-432b-90ab-4103818b731f</errorID>
      <errorWord>）</errorWord>
      <group>L1_Format</group>
      <groupName>格式问题</groupName>
      <ability>L2_HalfPunc_CN</ability>
      <abilityName>全半角问题</abilityName>
      <candidateList>
        <item>)</item>
      </candidateList>
      <explain>文本全半角错误。</explain>
      <paraID> AFC23ED</paraID>
      <start>10</start>
      <end>11</end>
      <status>ignored</status>
      <modifiedWord/>
      <trackRevisions>false</trackRevisions>
    </reviewItem>
    <reviewItem>
      <errorID>25474e56-d0c4-4c51-9979-b2fe3f2fa303</errorID>
      <errorWord>（</errorWord>
      <group>L1_Format</group>
      <groupName>格式问题</groupName>
      <ability>L2_HalfPunc_CN</ability>
      <abilityName>全半角问题</abilityName>
      <candidateList>
        <item>(</item>
      </candidateList>
      <explain>文本全半角错误。</explain>
      <paraID>2E717CD7</paraID>
      <start>0</start>
      <end>1</end>
      <status>ignored</status>
      <modifiedWord/>
      <trackRevisions>false</trackRevisions>
    </reviewItem>
    <reviewItem>
      <errorID>65d74f97-d48f-4763-b1a4-3edc43cf0d11</errorID>
      <errorWord>，</errorWord>
      <group>L1_Format</group>
      <groupName>格式问题</groupName>
      <ability>L2_HalfPunc_CN</ability>
      <abilityName>全半角问题</abilityName>
      <candidateList>
        <item>,</item>
      </candidateList>
      <explain>文本全半角错误。</explain>
      <paraID>2E717CD7</paraID>
      <start>6</start>
      <end>7</end>
      <status>ignored</status>
      <modifiedWord/>
      <trackRevisions>false</trackRevisions>
    </reviewItem>
    <reviewItem>
      <errorID>4bdb2a0a-ef1a-4613-aa0c-65650a8f9726</errorID>
      <errorWord>）</errorWord>
      <group>L1_Format</group>
      <groupName>格式问题</groupName>
      <ability>L2_HalfPunc_CN</ability>
      <abilityName>全半角问题</abilityName>
      <candidateList>
        <item>)</item>
      </candidateList>
      <explain>文本全半角错误。</explain>
      <paraID>2E717CD7</paraID>
      <start>11</start>
      <end>12</end>
      <status>ignored</status>
      <modifiedWord/>
      <trackRevisions>false</trackRevisions>
    </reviewItem>
    <reviewItem>
      <errorID>1f3f5bfe-d738-4d49-bd47-bc1bf926adb8</errorID>
      <errorWord>，</errorWord>
      <group>L1_Format</group>
      <groupName>格式问题</groupName>
      <ability>L2_HalfPunc_CN</ability>
      <abilityName>全半角问题</abilityName>
      <candidateList>
        <item>,</item>
      </candidateList>
      <explain>文本全半角错误。</explain>
      <paraID>179D1E4B</paraID>
      <start>5</start>
      <end>6</end>
      <status>ignored</status>
      <modifiedWord/>
      <trackRevisions>false</trackRevisions>
    </reviewItem>
    <reviewItem>
      <errorID>d55f62f6-46fa-45fd-bf31-febca9e078be</errorID>
      <errorWord>（</errorWord>
      <group>L1_Format</group>
      <groupName>格式问题</groupName>
      <ability>L2_HalfPunc_CN</ability>
      <abilityName>全半角问题</abilityName>
      <candidateList>
        <item>(</item>
      </candidateList>
      <explain>文本全半角错误。</explain>
      <paraID>55B2FF91</paraID>
      <start>0</start>
      <end>1</end>
      <status>ignored</status>
      <modifiedWord/>
      <trackRevisions>false</trackRevisions>
    </reviewItem>
    <reviewItem>
      <errorID>f82f2c22-2d01-46eb-ab0d-82ef4a9a0956</errorID>
      <errorWord>，</errorWord>
      <group>L1_Format</group>
      <groupName>格式问题</groupName>
      <ability>L2_HalfPunc_CN</ability>
      <abilityName>全半角问题</abilityName>
      <candidateList>
        <item>,</item>
      </candidateList>
      <explain>文本全半角错误。</explain>
      <paraID>55B2FF91</paraID>
      <start>6</start>
      <end>7</end>
      <status>ignored</status>
      <modifiedWord/>
      <trackRevisions>false</trackRevisions>
    </reviewItem>
    <reviewItem>
      <errorID>69ee1cd5-34dd-4faa-9c6f-9abc96fd88b9</errorID>
      <errorWord>）</errorWord>
      <group>L1_Format</group>
      <groupName>格式问题</groupName>
      <ability>L2_HalfPunc_CN</ability>
      <abilityName>全半角问题</abilityName>
      <candidateList>
        <item>)</item>
      </candidateList>
      <explain>文本全半角错误。</explain>
      <paraID>55B2FF91</paraID>
      <start>11</start>
      <end>12</end>
      <status>ignored</status>
      <modifiedWord/>
      <trackRevisions>false</trackRevisions>
    </reviewItem>
    <reviewItem>
      <errorID>e8805e04-b17f-4b75-af48-0591c848ebf9</errorID>
      <errorWord>，</errorWord>
      <group>L1_Format</group>
      <groupName>格式问题</groupName>
      <ability>L2_HalfPunc_CN</ability>
      <abilityName>全半角问题</abilityName>
      <candidateList>
        <item>,</item>
      </candidateList>
      <explain>文本全半角错误。</explain>
      <paraID>35EBC3DB</paraID>
      <start>5</start>
      <end>6</end>
      <status>ignored</status>
      <modifiedWord/>
      <trackRevisions>false</trackRevisions>
    </reviewItem>
    <reviewItem>
      <errorID>aaebfdfa-435d-44d9-9f63-7d6e3b55abac</errorID>
      <errorWord>&lt;</errorWord>
      <group>L1_Format</group>
      <groupName>格式问题</groupName>
      <ability>L2_HalfPunc_CN</ability>
      <abilityName>全半角问题</abilityName>
      <candidateList>
        <item>〈</item>
      </candidateList>
      <explain>文本全半角错误。</explain>
      <paraID> E5B4BA5</paraID>
      <start>39</start>
      <end>40</end>
      <status>ignored</status>
      <modifiedWord/>
      <trackRevisions>false</trackRevisions>
    </reviewItem>
    <reviewItem>
      <errorID>17148913-e5fb-4d10-b93e-7ded918f7b27</errorID>
      <errorWord>保证率</errorWord>
      <group>L1_Word</group>
      <groupName>字词问题</groupName>
      <ability>L2_Typo</ability>
      <abilityName>字词错误</abilityName>
      <candidateList>
        <item>保证</item>
      </candidateList>
      <explain/>
      <paraID>5BE1B609</paraID>
      <start>28</start>
      <end>31</end>
      <status>ignored</status>
      <modifiedWord/>
      <trackRevisions>false</trackRevisions>
    </reviewItem>
    <reviewItem>
      <errorID>7334d138-ffae-4dab-867a-2e3515f3648e</errorID>
      <errorWord>&lt;</errorWord>
      <group>L1_Format</group>
      <groupName>格式问题</groupName>
      <ability>L2_HalfPunc_CN</ability>
      <abilityName>全半角问题</abilityName>
      <candidateList>
        <item>〈</item>
      </candidateList>
      <explain>文本全半角错误。</explain>
      <paraID> 141C2C1</paraID>
      <start>64</start>
      <end>65</end>
      <status>ignored</status>
      <modifiedWord/>
      <trackRevisions>false</trackRevisions>
    </reviewItem>
    <reviewItem>
      <errorID>2280e67d-20bb-47d3-9434-915a6e1a5131</errorID>
      <errorWord>~</errorWord>
      <group>L1_Format</group>
      <groupName>格式问题</groupName>
      <ability>L2_HalfPunc_CN</ability>
      <abilityName>全半角问题</abilityName>
      <candidateList>
        <item>～</item>
      </candidateList>
      <explain>文本全半角错误。</explain>
      <paraID>7E6365FF</paraID>
      <start>3</start>
      <end>4</end>
      <status>ignored</status>
      <modifiedWord/>
      <trackRevisions>false</trackRevisions>
    </reviewItem>
    <reviewItem>
      <errorID>dd6280d1-a687-40f8-ad95-db591389d719</errorID>
      <errorWord>：</errorWord>
      <group>L1_Format</group>
      <groupName>格式问题</groupName>
      <ability>L2_HalfPunc_CN</ability>
      <abilityName>全半角问题</abilityName>
      <candidateList>
        <item>:</item>
      </candidateList>
      <explain>文本全半角错误。</explain>
      <paraID> 1317B50</paraID>
      <start>3</start>
      <end>4</end>
      <status>ignored</status>
      <modifiedWord/>
      <trackRevisions>false</trackRevisions>
    </reviewItem>
    <reviewItem>
      <errorID>620c9d9f-f2cd-4edf-9cdf-cffad3ff5842</errorID>
      <errorWord>：</errorWord>
      <group>L1_Format</group>
      <groupName>格式问题</groupName>
      <ability>L2_HalfPunc_CN</ability>
      <abilityName>全半角问题</abilityName>
      <candidateList>
        <item>:</item>
      </candidateList>
      <explain>文本全半角错误。</explain>
      <paraID>1A12BAD0</paraID>
      <start>3</start>
      <end>4</end>
      <status>ignored</status>
      <modifiedWord/>
      <trackRevisions>false</trackRevisions>
    </reviewItem>
    <reviewItem>
      <errorID>203a4e0f-ed18-4204-8063-c4c7a087e797</errorID>
      <errorWord>：</errorWord>
      <group>L1_Format</group>
      <groupName>格式问题</groupName>
      <ability>L2_HalfPunc_CN</ability>
      <abilityName>全半角问题</abilityName>
      <candidateList>
        <item>:</item>
      </candidateList>
      <explain>文本全半角错误。</explain>
      <paraID>757F8255</paraID>
      <start>3</start>
      <end>4</end>
      <status>ignored</status>
      <modifiedWord/>
      <trackRevisions>false</trackRevisions>
    </reviewItem>
    <reviewItem>
      <errorID>523e5f14-7ad6-4991-b3b8-dc91d2efc3fe</errorID>
      <errorWord>：</errorWord>
      <group>L1_Format</group>
      <groupName>格式问题</groupName>
      <ability>L2_HalfPunc_CN</ability>
      <abilityName>全半角问题</abilityName>
      <candidateList>
        <item>:</item>
      </candidateList>
      <explain>文本全半角错误。</explain>
      <paraID>5969CC82</paraID>
      <start>3</start>
      <end>4</end>
      <status>ignored</status>
      <modifiedWord/>
      <trackRevisions>false</trackRevisions>
    </reviewItem>
    <reviewItem>
      <errorID>4cb3020e-b0d0-48a4-aadd-8fb4b1507d84</errorID>
      <errorWord>：</errorWord>
      <group>L1_Format</group>
      <groupName>格式问题</groupName>
      <ability>L2_HalfPunc_CN</ability>
      <abilityName>全半角问题</abilityName>
      <candidateList>
        <item>:</item>
      </candidateList>
      <explain>文本全半角错误。</explain>
      <paraID>14E56CF7</paraID>
      <start>5</start>
      <end>6</end>
      <status>ignored</status>
      <modifiedWord/>
      <trackRevisions>false</trackRevisions>
    </reviewItem>
    <reviewItem>
      <errorID>ab7f0b24-ebf1-4352-8500-4d7c51a5a73b</errorID>
      <errorWord>：</errorWord>
      <group>L1_Format</group>
      <groupName>格式问题</groupName>
      <ability>L2_HalfPunc_CN</ability>
      <abilityName>全半角问题</abilityName>
      <candidateList>
        <item>:</item>
      </candidateList>
      <explain>文本全半角错误。</explain>
      <paraID> 8E1A5D3</paraID>
      <start>4</start>
      <end>5</end>
      <status>ignored</status>
      <modifiedWord/>
      <trackRevisions>false</trackRevisions>
    </reviewItem>
    <reviewItem>
      <errorID>ee03602f-78b9-4f69-82c0-ec87f895980f</errorID>
      <errorWord>（/</errorWord>
      <group>L1_Punc</group>
      <groupName>标点问题</groupName>
      <ability>L2_Punc_CN</ability>
      <abilityName>标点符号问题</abilityName>
      <candidateList>
        <item>（</item>
      </candidateList>
      <explain/>
      <paraID>79110FE6</paraID>
      <start>0</start>
      <end>2</end>
      <status>ignored</status>
      <modifiedWord/>
      <trackRevisions>false</trackRevisions>
    </reviewItem>
    <reviewItem>
      <errorID>cecb66db-4319-471f-b00f-78113ac96ae2</errorID>
      <errorWord>（/</errorWord>
      <group>L1_Punc</group>
      <groupName>标点问题</groupName>
      <ability>L2_Punc_CN</ability>
      <abilityName>标点符号问题</abilityName>
      <candidateList>
        <item>（</item>
      </candidateList>
      <explain/>
      <paraID>6DEEC300</paraID>
      <start>9</start>
      <end>11</end>
      <status>ignored</status>
      <modifiedWord/>
      <trackRevisions>false</trackRevisions>
    </reviewItem>
    <reviewItem>
      <errorID>cab8b0cf-80c7-448d-b744-bfede1ee04e0</errorID>
      <errorWord>（/</errorWord>
      <group>L1_Punc</group>
      <groupName>标点问题</groupName>
      <ability>L2_Punc_CN</ability>
      <abilityName>标点符号问题</abilityName>
      <candidateList>
        <item>（</item>
      </candidateList>
      <explain/>
      <paraID>6645A01D</paraID>
      <start>5</start>
      <end>7</end>
      <status>ignored</status>
      <modifiedWord/>
      <trackRevisions>false</trackRevisions>
    </reviewItem>
    <reviewItem>
      <errorID>f9c6dc93-95fb-4cc7-a337-cb7f91d0f995</errorID>
      <errorWord>（/</errorWord>
      <group>L1_Punc</group>
      <groupName>标点问题</groupName>
      <ability>L2_Punc_CN</ability>
      <abilityName>标点符号问题</abilityName>
      <candidateList>
        <item>（</item>
      </candidateList>
      <explain/>
      <paraID>6645A01D</paraID>
      <start>24</start>
      <end>26</end>
      <status>ignored</status>
      <modifiedWord/>
      <trackRevisions>false</trackRevisions>
    </reviewItem>
    <reviewItem>
      <errorID>71da3e49-ed65-4238-bc1b-8190db48ecbc</errorID>
      <errorWord>（/</errorWord>
      <group>L1_Punc</group>
      <groupName>标点问题</groupName>
      <ability>L2_Punc_CN</ability>
      <abilityName>标点符号问题</abilityName>
      <candidateList>
        <item>（</item>
      </candidateList>
      <explain/>
      <paraID>7555A4EA</paraID>
      <start>7</start>
      <end>9</end>
      <status>ignored</status>
      <modifiedWord/>
      <trackRevisions>false</trackRevisions>
    </reviewItem>
    <reviewItem>
      <errorID>d6d4a952-0db7-4159-8738-35ade2f3cae4</errorID>
      <errorWord>（/</errorWord>
      <group>L1_Punc</group>
      <groupName>标点问题</groupName>
      <ability>L2_Punc_CN</ability>
      <abilityName>标点符号问题</abilityName>
      <candidateList>
        <item>（</item>
      </candidateList>
      <explain/>
      <paraID>5F3EAE8B</paraID>
      <start>5</start>
      <end>7</end>
      <status>ignored</status>
      <modifiedWord/>
      <trackRevisions>false</trackRevisions>
    </reviewItem>
    <reviewItem>
      <errorID>4bf1862a-7e9b-46a2-8597-d38da9cbc108</errorID>
      <errorWord>（/</errorWord>
      <group>L1_Punc</group>
      <groupName>标点问题</groupName>
      <ability>L2_Punc_CN</ability>
      <abilityName>标点符号问题</abilityName>
      <candidateList>
        <item>（</item>
      </candidateList>
      <explain/>
      <paraID>5F3EAE8B</paraID>
      <start>24</start>
      <end>26</end>
      <status>ignored</status>
      <modifiedWord/>
      <trackRevisions>false</trackRevisions>
    </reviewItem>
    <reviewItem>
      <errorID>a446f323-61cf-4f6f-a846-be95d65ce2c1</errorID>
      <errorWord>（/</errorWord>
      <group>L1_Punc</group>
      <groupName>标点问题</groupName>
      <ability>L2_Punc_CN</ability>
      <abilityName>标点符号问题</abilityName>
      <candidateList>
        <item>（</item>
      </candidateList>
      <explain/>
      <paraID> BBE02E3</paraID>
      <start>0</start>
      <end>2</end>
      <status>ignored</status>
      <modifiedWord/>
      <trackRevisions>false</trackRevisions>
    </reviewItem>
    <reviewItem>
      <errorID>fac7a643-7f8e-43a0-8566-c14206f38849</errorID>
      <errorWord>（/</errorWord>
      <group>L1_Punc</group>
      <groupName>标点问题</groupName>
      <ability>L2_Punc_CN</ability>
      <abilityName>标点符号问题</abilityName>
      <candidateList>
        <item>（</item>
      </candidateList>
      <explain/>
      <paraID> 1FC23A6</paraID>
      <start>0</start>
      <end>2</end>
      <status>ignored</status>
      <modifiedWord/>
      <trackRevisions>false</trackRevisions>
    </reviewItem>
    <reviewItem>
      <errorID>90aa6a7a-4c3b-4e4e-bc16-d74a55bff214</errorID>
      <errorWord>（/</errorWord>
      <group>L1_Punc</group>
      <groupName>标点问题</groupName>
      <ability>L2_Punc_CN</ability>
      <abilityName>标点符号问题</abilityName>
      <candidateList>
        <item>（</item>
      </candidateList>
      <explain/>
      <paraID> E244318</paraID>
      <start>0</start>
      <end>2</end>
      <status>ignored</status>
      <modifiedWord/>
      <trackRevisions>false</trackRevisions>
    </reviewItem>
    <reviewItem>
      <errorID>fd6de99a-dbf4-4981-bce1-e7e2df67812f</errorID>
      <errorWord>（/</errorWord>
      <group>L1_Punc</group>
      <groupName>标点问题</groupName>
      <ability>L2_Punc_CN</ability>
      <abilityName>标点符号问题</abilityName>
      <candidateList>
        <item>（</item>
      </candidateList>
      <explain/>
      <paraID> B4AAA73</paraID>
      <start>0</start>
      <end>2</end>
      <status>ignored</status>
      <modifiedWord/>
      <trackRevisions>false</trackRevisions>
    </reviewItem>
    <reviewItem>
      <errorID>e2830f3c-3fe3-4184-a20d-abba8a54d75c</errorID>
      <errorWord>（/</errorWord>
      <group>L1_Punc</group>
      <groupName>标点问题</groupName>
      <ability>L2_Punc_CN</ability>
      <abilityName>标点符号问题</abilityName>
      <candidateList>
        <item>（</item>
      </candidateList>
      <explain/>
      <paraID>2899B012</paraID>
      <start>9</start>
      <end>11</end>
      <status>ignored</status>
      <modifiedWord/>
      <trackRevisions>false</trackRevisions>
    </reviewItem>
    <reviewItem>
      <errorID>2fe0277d-58c8-4aa3-a55e-d4cc9795a3e1</errorID>
      <errorWord>（/</errorWord>
      <group>L1_Punc</group>
      <groupName>标点问题</groupName>
      <ability>L2_Punc_CN</ability>
      <abilityName>标点符号问题</abilityName>
      <candidateList>
        <item>（</item>
      </candidateList>
      <explain/>
      <paraID>2899B012</paraID>
      <start>22</start>
      <end>24</end>
      <status>ignored</status>
      <modifiedWord/>
      <trackRevisions>false</trackRevisions>
    </reviewItem>
    <reviewItem>
      <errorID>ed4e5b45-38f2-4c9c-85ee-bdbc9dc26ffa</errorID>
      <errorWord>（/</errorWord>
      <group>L1_Punc</group>
      <groupName>标点问题</groupName>
      <ability>L2_Punc_CN</ability>
      <abilityName>标点符号问题</abilityName>
      <candidateList>
        <item>（</item>
      </candidateList>
      <explain/>
      <paraID>2899B012</paraID>
      <start>32</start>
      <end>34</end>
      <status>ignored</status>
      <modifiedWord/>
      <trackRevisions>false</trackRevisions>
    </reviewItem>
    <reviewItem>
      <errorID>1538aeda-3798-44c6-811f-94bce1316c57</errorID>
      <errorWord>（/</errorWord>
      <group>L1_Punc</group>
      <groupName>标点问题</groupName>
      <ability>L2_Punc_CN</ability>
      <abilityName>标点符号问题</abilityName>
      <candidateList>
        <item>（</item>
      </candidateList>
      <explain/>
      <paraID>6C137A62</paraID>
      <start>9</start>
      <end>11</end>
      <status>ignored</status>
      <modifiedWord/>
      <trackRevisions>false</trackRevisions>
    </reviewItem>
    <reviewItem>
      <errorID>37f2778a-4774-4a1f-a845-ae6bb6951509</errorID>
      <errorWord>（/</errorWord>
      <group>L1_Punc</group>
      <groupName>标点问题</groupName>
      <ability>L2_Punc_CN</ability>
      <abilityName>标点符号问题</abilityName>
      <candidateList>
        <item>（</item>
      </candidateList>
      <explain/>
      <paraID>6C137A62</paraID>
      <start>19</start>
      <end>21</end>
      <status>ignored</status>
      <modifiedWord/>
      <trackRevisions>false</trackRevisions>
    </reviewItem>
    <reviewItem>
      <errorID>e69d1fcd-8579-41c2-9e6e-e2defac2cf4d</errorID>
      <errorWord>（/</errorWord>
      <group>L1_Punc</group>
      <groupName>标点问题</groupName>
      <ability>L2_Punc_CN</ability>
      <abilityName>标点符号问题</abilityName>
      <candidateList>
        <item>（</item>
      </candidateList>
      <explain/>
      <paraID>6C137A62</paraID>
      <start>26</start>
      <end>28</end>
      <status>ignored</status>
      <modifiedWord/>
      <trackRevisions>false</trackRevisions>
    </reviewItem>
    <reviewItem>
      <errorID>9a4b13f7-e71e-4a96-8518-f42913f8ec35</errorID>
      <errorWord>（/</errorWord>
      <group>L1_Punc</group>
      <groupName>标点问题</groupName>
      <ability>L2_Punc_CN</ability>
      <abilityName>标点符号问题</abilityName>
      <candidateList>
        <item>（</item>
      </candidateList>
      <explain/>
      <paraID>1BA34168</paraID>
      <start>0</start>
      <end>2</end>
      <status>ignored</status>
      <modifiedWord/>
      <trackRevisions>false</trackRevisions>
    </reviewItem>
    <reviewItem>
      <errorID>3f89d44f-eb90-47b2-aa43-bdba1888e3a3</errorID>
      <errorWord>（/</errorWord>
      <group>L1_Punc</group>
      <groupName>标点问题</groupName>
      <ability>L2_Punc_CN</ability>
      <abilityName>标点符号问题</abilityName>
      <candidateList>
        <item>（</item>
      </candidateList>
      <explain/>
      <paraID>77AE4A4C</paraID>
      <start>0</start>
      <end>2</end>
      <status>ignored</status>
      <modifiedWord/>
      <trackRevisions>false</trackRevisions>
    </reviewItem>
    <reviewItem>
      <errorID>b5534f1f-584e-4e4b-aeb5-9ad0cc938d7f</errorID>
      <errorWord>（/</errorWord>
      <group>L1_Punc</group>
      <groupName>标点问题</groupName>
      <ability>L2_Punc_CN</ability>
      <abilityName>标点符号问题</abilityName>
      <candidateList>
        <item>（</item>
      </candidateList>
      <explain/>
      <paraID>39857387</paraID>
      <start>0</start>
      <end>2</end>
      <status>ignored</status>
      <modifiedWord/>
      <trackRevisions>false</trackRevisions>
    </reviewItem>
    <reviewItem>
      <errorID>1b59e270-f157-4d3a-b710-1415420c43b2</errorID>
      <errorWord>（/</errorWord>
      <group>L1_Punc</group>
      <groupName>标点问题</groupName>
      <ability>L2_Punc_CN</ability>
      <abilityName>标点符号问题</abilityName>
      <candidateList>
        <item>（</item>
      </candidateList>
      <explain/>
      <paraID>272EE414</paraID>
      <start>0</start>
      <end>2</end>
      <status>ignored</status>
      <modifiedWord/>
      <trackRevisions>false</trackRevisions>
    </reviewItem>
    <reviewItem>
      <errorID>faadcd5f-7729-4c6c-9212-3cee01f257f5</errorID>
      <errorWord>（</errorWord>
      <group>L1_Format</group>
      <groupName>格式问题</groupName>
      <ability>L2_HalfPunc_CN</ability>
      <abilityName>全半角问题</abilityName>
      <candidateList>
        <item>(</item>
      </candidateList>
      <explain>文本全半角错误。</explain>
      <paraID>5395437E</paraID>
      <start>0</start>
      <end>1</end>
      <status>ignored</status>
      <modifiedWord/>
      <trackRevisions>false</trackRevisions>
    </reviewItem>
    <reviewItem>
      <errorID>21ead963-0d26-4211-8671-cd7219cc63ba</errorID>
      <errorWord>）</errorWord>
      <group>L1_Format</group>
      <groupName>格式问题</groupName>
      <ability>L2_HalfPunc_CN</ability>
      <abilityName>全半角问题</abilityName>
      <candidateList>
        <item>)</item>
      </candidateList>
      <explain>文本全半角错误。</explain>
      <paraID>5395437E</paraID>
      <start>4</start>
      <end>5</end>
      <status>ignored</status>
      <modifiedWord/>
      <trackRevisions>false</trackRevisions>
    </reviewItem>
    <reviewItem>
      <errorID>4b620332-74cb-4f17-bcdf-6242e1ec2a1e</errorID>
      <errorWord>（</errorWord>
      <group>L1_Format</group>
      <groupName>格式问题</groupName>
      <ability>L2_HalfPunc_CN</ability>
      <abilityName>全半角问题</abilityName>
      <candidateList>
        <item>(</item>
      </candidateList>
      <explain>文本全半角错误。</explain>
      <paraID>76BFB295</paraID>
      <start>0</start>
      <end>1</end>
      <status>ignored</status>
      <modifiedWord/>
      <trackRevisions>false</trackRevisions>
    </reviewItem>
    <reviewItem>
      <errorID>b50f3632-7bf9-4fe4-b14d-cb28f288e97d</errorID>
      <errorWord>）</errorWord>
      <group>L1_Format</group>
      <groupName>格式问题</groupName>
      <ability>L2_HalfPunc_CN</ability>
      <abilityName>全半角问题</abilityName>
      <candidateList>
        <item>)</item>
      </candidateList>
      <explain>文本全半角错误。</explain>
      <paraID>76BFB295</paraID>
      <start>2</start>
      <end>3</end>
      <status>ignored</status>
      <modifiedWord/>
      <trackRevisions>false</trackRevisions>
    </reviewItem>
    <reviewItem>
      <errorID>d10ae35b-d519-4071-906f-591742841748</errorID>
      <errorWord>~</errorWord>
      <group>L1_Format</group>
      <groupName>格式问题</groupName>
      <ability>L2_HalfPunc_CN</ability>
      <abilityName>全半角问题</abilityName>
      <candidateList>
        <item>～</item>
      </candidateList>
      <explain>文本全半角错误。</explain>
      <paraID> D9B6898</paraID>
      <start>169</start>
      <end>170</end>
      <status>ignored</status>
      <modifiedWord/>
      <trackRevisions>false</trackRevisions>
    </reviewItem>
    <reviewItem>
      <errorID>ad8e3dbc-095e-4e15-8fe7-5c432bff4565</errorID>
      <errorWord>~</errorWord>
      <group>L1_Format</group>
      <groupName>格式问题</groupName>
      <ability>L2_HalfPunc_CN</ability>
      <abilityName>全半角问题</abilityName>
      <candidateList>
        <item>～</item>
      </candidateList>
      <explain>文本全半角错误。</explain>
      <paraID> D9B6898</paraID>
      <start>178</start>
      <end>179</end>
      <status>ignored</status>
      <modifiedWord/>
      <trackRevisions>false</trackRevisions>
    </reviewItem>
    <reviewItem>
      <errorID>6436d6a0-34da-4b75-8a2a-edc9024d1f1c</errorID>
      <errorWord>~</errorWord>
      <group>L1_Format</group>
      <groupName>格式问题</groupName>
      <ability>L2_HalfPunc_CN</ability>
      <abilityName>全半角问题</abilityName>
      <candidateList>
        <item>～</item>
      </candidateList>
      <explain>文本全半角错误。</explain>
      <paraID>6DFBB166</paraID>
      <start>165</start>
      <end>166</end>
      <status>ignored</status>
      <modifiedWord/>
      <trackRevisions>false</trackRevisions>
    </reviewItem>
    <reviewItem>
      <errorID>7f87ba9e-9882-4adc-8f7c-85e8aab6322d</errorID>
      <errorWord>~</errorWord>
      <group>L1_Format</group>
      <groupName>格式问题</groupName>
      <ability>L2_HalfPunc_CN</ability>
      <abilityName>全半角问题</abilityName>
      <candidateList>
        <item>～</item>
      </candidateList>
      <explain>文本全半角错误。</explain>
      <paraID>6DFBB166</paraID>
      <start>174</start>
      <end>175</end>
      <status>ignored</status>
      <modifiedWord/>
      <trackRevisions>false</trackRevisions>
    </reviewItem>
    <reviewItem>
      <errorID>048972fa-3327-4f06-8bb8-8c66439652f9</errorID>
      <errorWord>～</errorWord>
      <group>L1_Format</group>
      <groupName>格式问题</groupName>
      <ability>L2_HalfPunc_CN</ability>
      <abilityName>全半角问题</abilityName>
      <candidateList>
        <item>~</item>
      </candidateList>
      <explain>文本全半角错误。</explain>
      <paraID>41D002F4</paraID>
      <start>2</start>
      <end>3</end>
      <status>ignored</status>
      <modifiedWord/>
      <trackRevisions>false</trackRevisions>
    </reviewItem>
    <reviewItem>
      <errorID>07ae7a26-5cee-4e16-92a5-d7885042a5b6</errorID>
      <errorWord>～</errorWord>
      <group>L1_Format</group>
      <groupName>格式问题</groupName>
      <ability>L2_HalfPunc_CN</ability>
      <abilityName>全半角问题</abilityName>
      <candidateList>
        <item>~</item>
      </candidateList>
      <explain>文本全半角错误。</explain>
      <paraID> 4156E09</paraID>
      <start>2</start>
      <end>3</end>
      <status>ignored</status>
      <modifiedWord/>
      <trackRevisions>false</trackRevisions>
    </reviewItem>
    <reviewItem>
      <errorID>82a45226-6f2f-4b33-9221-90d18fe47e31</errorID>
      <errorWord>～</errorWord>
      <group>L1_Format</group>
      <groupName>格式问题</groupName>
      <ability>L2_HalfPunc_CN</ability>
      <abilityName>全半角问题</abilityName>
      <candidateList>
        <item>~</item>
      </candidateList>
      <explain>文本全半角错误。</explain>
      <paraID>324259FC</paraID>
      <start>3</start>
      <end>4</end>
      <status>ignored</status>
      <modifiedWord/>
      <trackRevisions>false</trackRevisions>
    </reviewItem>
    <reviewItem>
      <errorID>666b0115-20d4-43dd-af74-4206ee5b66ec</errorID>
      <errorWord>～</errorWord>
      <group>L1_Format</group>
      <groupName>格式问题</groupName>
      <ability>L2_HalfPunc_CN</ability>
      <abilityName>全半角问题</abilityName>
      <candidateList>
        <item>~</item>
      </candidateList>
      <explain>文本全半角错误。</explain>
      <paraID>4F523ECC</paraID>
      <start>3</start>
      <end>4</end>
      <status>ignored</status>
      <modifiedWord/>
      <trackRevisions>false</trackRevisions>
    </reviewItem>
    <reviewItem>
      <errorID>0d3aa5b4-20f5-4e4f-a7bc-a6318caa6353</errorID>
      <errorWord>（</errorWord>
      <group>L1_Punc</group>
      <groupName>标点问题</groupName>
      <ability>L2_Punc_CN</ability>
      <abilityName>标点符号问题</abilityName>
      <candidateList/>
      <explain>同一形式括号套用。</explain>
      <paraID> F744C65</paraID>
      <start>66</start>
      <end>67</end>
      <status>ignored</status>
      <modifiedWord/>
      <trackRevisions>false</trackRevisions>
    </reviewItem>
    <reviewItem>
      <errorID>ac7a3e58-cccb-4ebd-b535-9bfb26f65646</errorID>
      <errorWord>）</errorWord>
      <group>L1_Punc</group>
      <groupName>标点问题</groupName>
      <ability>L2_Punc_CN</ability>
      <abilityName>标点符号问题</abilityName>
      <candidateList/>
      <explain>同一形式括号套用。</explain>
      <paraID> F744C65</paraID>
      <start>68</start>
      <end>69</end>
      <status>ignored</status>
      <modifiedWord/>
      <trackRevisions>false</trackRevisions>
    </reviewItem>
    <reviewItem>
      <errorID>d640cfae-cefd-4859-acbf-71727142f917</errorID>
      <errorWord>（</errorWord>
      <group>L1_Punc</group>
      <groupName>标点问题</groupName>
      <ability>L2_Punc_CN</ability>
      <abilityName>标点符号问题</abilityName>
      <candidateList/>
      <explain>同一形式括号套用。</explain>
      <paraID> F744C65</paraID>
      <start>76</start>
      <end>77</end>
      <status>ignored</status>
      <modifiedWord/>
      <trackRevisions>false</trackRevisions>
    </reviewItem>
    <reviewItem>
      <errorID>3b187cb2-e750-46c9-8075-5e0427822a00</errorID>
      <errorWord>）</errorWord>
      <group>L1_Punc</group>
      <groupName>标点问题</groupName>
      <ability>L2_Punc_CN</ability>
      <abilityName>标点符号问题</abilityName>
      <candidateList/>
      <explain>同一形式括号套用。</explain>
      <paraID> F744C65</paraID>
      <start>78</start>
      <end>79</end>
      <status>ignored</status>
      <modifiedWord/>
      <trackRevisions>false</trackRevisions>
    </reviewItem>
    <reviewItem>
      <errorID>51cd3ae3-4d9e-483c-8e57-bb0eb19c6dff</errorID>
      <errorWord>（</errorWord>
      <group>L1_Punc</group>
      <groupName>标点问题</groupName>
      <ability>L2_Punc_CN</ability>
      <abilityName>标点符号问题</abilityName>
      <candidateList/>
      <explain>同一形式括号套用。</explain>
      <paraID> F744C65</paraID>
      <start>143</start>
      <end>144</end>
      <status>ignored</status>
      <modifiedWord/>
      <trackRevisions>false</trackRevisions>
    </reviewItem>
    <reviewItem>
      <errorID>43a82b97-8039-444b-9ee5-79dfdceaf086</errorID>
      <errorWord>）</errorWord>
      <group>L1_Punc</group>
      <groupName>标点问题</groupName>
      <ability>L2_Punc_CN</ability>
      <abilityName>标点符号问题</abilityName>
      <candidateList/>
      <explain>同一形式括号套用。</explain>
      <paraID> F744C65</paraID>
      <start>145</start>
      <end>146</end>
      <status>ignored</status>
      <modifiedWord/>
      <trackRevisions>false</trackRevisions>
    </reviewItem>
    <reviewItem>
      <errorID>0e0c831e-d1e4-4d0f-a1e6-80242600819f</errorID>
      <errorWord>（</errorWord>
      <group>L1_Punc</group>
      <groupName>标点问题</groupName>
      <ability>L2_Punc_CN</ability>
      <abilityName>标点符号问题</abilityName>
      <candidateList/>
      <explain>同一形式括号套用。</explain>
      <paraID> F744C65</paraID>
      <start>153</start>
      <end>154</end>
      <status>ignored</status>
      <modifiedWord/>
      <trackRevisions>false</trackRevisions>
    </reviewItem>
    <reviewItem>
      <errorID>8ca6d92f-f707-42f9-9e2f-4994061cde30</errorID>
      <errorWord>）</errorWord>
      <group>L1_Punc</group>
      <groupName>标点问题</groupName>
      <ability>L2_Punc_CN</ability>
      <abilityName>标点符号问题</abilityName>
      <candidateList/>
      <explain>同一形式括号套用。</explain>
      <paraID> F744C65</paraID>
      <start>155</start>
      <end>156</end>
      <status>ignored</status>
      <modifiedWord/>
      <trackRevisions>false</trackRevisions>
    </reviewItem>
    <reviewItem>
      <errorID>9fb6fbc6-d2db-4400-9700-dbab952530dd</errorID>
      <errorWord>（/</errorWord>
      <group>L1_Punc</group>
      <groupName>标点问题</groupName>
      <ability>L2_Punc_CN</ability>
      <abilityName>标点符号问题</abilityName>
      <candidateList>
        <item>（</item>
      </candidateList>
      <explain/>
      <paraID> BC4D017</paraID>
      <start>5</start>
      <end>7</end>
      <status>ignored</status>
      <modifiedWord/>
      <trackRevisions>false</trackRevisions>
    </reviewItem>
    <reviewItem>
      <errorID>eabae7ee-5283-4f2e-a09d-ab4b4f1f7c83</errorID>
      <errorWord>（/</errorWord>
      <group>L1_Punc</group>
      <groupName>标点问题</groupName>
      <ability>L2_Punc_CN</ability>
      <abilityName>标点符号问题</abilityName>
      <candidateList>
        <item>（</item>
      </candidateList>
      <explain/>
      <paraID>1ADA870D</paraID>
      <start>5</start>
      <end>7</end>
      <status>ignored</status>
      <modifiedWord/>
      <trackRevisions>false</trackRevisions>
    </reviewItem>
    <reviewItem>
      <errorID>0400702c-c40b-43c8-bc48-142ec6d422a9</errorID>
      <errorWord>、</errorWord>
      <group>L1_Punc</group>
      <groupName>标点问题</groupName>
      <ability>L2_Punc_CN</ability>
      <abilityName>标点符号问题</abilityName>
      <candidateList>
        <item>.</item>
      </candidateList>
      <explain/>
      <paraID>78358213</paraID>
      <start>1</start>
      <end>2</end>
      <status>ignored</status>
      <modifiedWord/>
      <trackRevisions>false</trackRevisions>
    </reviewItem>
    <reviewItem>
      <errorID>48804fbf-d1f1-494b-b6e0-1469d96cb5bb</errorID>
      <errorWord>、</errorWord>
      <group>L1_Punc</group>
      <groupName>标点问题</groupName>
      <ability>L2_Punc_CN</ability>
      <abilityName>标点符号问题</abilityName>
      <candidateList>
        <item>.</item>
      </candidateList>
      <explain/>
      <paraID>626D2168</paraID>
      <start>1</start>
      <end>2</end>
      <status>ignored</status>
      <modifiedWord/>
      <trackRevisions>false</trackRevisions>
    </reviewItem>
    <reviewItem>
      <errorID>2a0ca4e7-8648-4898-869e-8e05b8684877</errorID>
      <errorWord>）</errorWord>
      <group>L1_Format</group>
      <groupName>格式问题</groupName>
      <ability>L2_HalfPunc_CN</ability>
      <abilityName>全半角问题</abilityName>
      <candidateList>
        <item>)</item>
      </candidateList>
      <explain>文本全半角错误。</explain>
      <paraID> EF05109</paraID>
      <start>1</start>
      <end>2</end>
      <status>ignored</status>
      <modifiedWord/>
      <trackRevisions>false</trackRevisions>
    </reviewItem>
    <reviewItem>
      <errorID>a7f1fb80-3b13-4377-99ba-30a233d9ca1f</errorID>
      <errorWord>；</errorWord>
      <group>L1_Format</group>
      <groupName>格式问题</groupName>
      <ability>L2_HalfPunc_CN</ability>
      <abilityName>全半角问题</abilityName>
      <candidateList>
        <item>; </item>
      </candidateList>
      <explain>文本全半角错误。</explain>
      <paraID> EF05109</paraID>
      <start>3</start>
      <end>4</end>
      <status>ignored</status>
      <modifiedWord/>
      <trackRevisions>false</trackRevisions>
    </reviewItem>
    <reviewItem>
      <errorID>790ab1b0-c3cb-4dc5-8a5c-9cadba3e8999</errorID>
      <errorWord>）</errorWord>
      <group>L1_Format</group>
      <groupName>格式问题</groupName>
      <ability>L2_HalfPunc_CN</ability>
      <abilityName>全半角问题</abilityName>
      <candidateList>
        <item>)</item>
      </candidateList>
      <explain>文本全半角错误。</explain>
      <paraID> EF05109</paraID>
      <start>5</start>
      <end>6</end>
      <status>ignored</status>
      <modifiedWord/>
      <trackRevisions>false</trackRevisions>
    </reviewItem>
    <reviewItem>
      <errorID>2755071a-d6b6-4189-a908-bc9bf6e2f24f</errorID>
      <errorWord>；</errorWord>
      <group>L1_Format</group>
      <groupName>格式问题</groupName>
      <ability>L2_HalfPunc_CN</ability>
      <abilityName>全半角问题</abilityName>
      <candidateList>
        <item>; </item>
      </candidateList>
      <explain>文本全半角错误。</explain>
      <paraID> EF05109</paraID>
      <start>7</start>
      <end>8</end>
      <status>ignored</status>
      <modifiedWord/>
      <trackRevisions>false</trackRevisions>
    </reviewItem>
    <reviewItem>
      <errorID>62ac0209-0ada-4f69-9a60-ce93080fabb2</errorID>
      <errorWord>）</errorWord>
      <group>L1_Format</group>
      <groupName>格式问题</groupName>
      <ability>L2_HalfPunc_CN</ability>
      <abilityName>全半角问题</abilityName>
      <candidateList>
        <item>)</item>
      </candidateList>
      <explain>文本全半角错误。</explain>
      <paraID> EF05109</paraID>
      <start>9</start>
      <end>10</end>
      <status>ignored</status>
      <modifiedWord/>
      <trackRevisions>false</trackRevisions>
    </reviewItem>
    <reviewItem>
      <errorID>a51e3ee5-c39e-4d8f-9a3e-9ab0856a1c6a</errorID>
      <errorWord>；</errorWord>
      <group>L1_Format</group>
      <groupName>格式问题</groupName>
      <ability>L2_HalfPunc_CN</ability>
      <abilityName>全半角问题</abilityName>
      <candidateList>
        <item>; </item>
      </candidateList>
      <explain>文本全半角错误。</explain>
      <paraID> EF05109</paraID>
      <start>11</start>
      <end>12</end>
      <status>ignored</status>
      <modifiedWord/>
      <trackRevisions>false</trackRevisions>
    </reviewItem>
    <reviewItem>
      <errorID>43276533-01bc-4588-a3ed-e3895d60c237</errorID>
      <errorWord>）</errorWord>
      <group>L1_Format</group>
      <groupName>格式问题</groupName>
      <ability>L2_HalfPunc_CN</ability>
      <abilityName>全半角问题</abilityName>
      <candidateList>
        <item>)</item>
      </candidateList>
      <explain>文本全半角错误。</explain>
      <paraID> EF05109</paraID>
      <start>13</start>
      <end>14</end>
      <status>ignored</status>
      <modifiedWord/>
      <trackRevisions>false</trackRevisions>
    </reviewItem>
    <reviewItem>
      <errorID>0baa61bc-f98d-47da-9ba9-51cb49e8b7ed</errorID>
      <errorWord>~</errorWord>
      <group>L1_Format</group>
      <groupName>格式问题</groupName>
      <ability>L2_HalfPunc_CN</ability>
      <abilityName>全半角问题</abilityName>
      <candidateList>
        <item>～</item>
      </candidateList>
      <explain>文本全半角错误。</explain>
      <paraID>4BDDCE4A</paraID>
      <start>10</start>
      <end>11</end>
      <status>ignored</status>
      <modifiedWord/>
      <trackRevisions>false</trackRevisions>
    </reviewItem>
    <reviewItem>
      <errorID>680732f1-a3f5-4b8c-a439-ea03f754ea70</errorID>
      <errorWord>~</errorWord>
      <group>L1_Format</group>
      <groupName>格式问题</groupName>
      <ability>L2_HalfPunc_CN</ability>
      <abilityName>全半角问题</abilityName>
      <candidateList>
        <item>～</item>
      </candidateList>
      <explain>文本全半角错误。</explain>
      <paraID>4BDDCE4A</paraID>
      <start>19</start>
      <end>20</end>
      <status>ignored</status>
      <modifiedWord/>
      <trackRevisions>false</trackRevisions>
    </reviewItem>
    <reviewItem>
      <errorID>8e009b59-fcbe-4547-a5da-76659b5f2dfd</errorID>
      <errorWord>浓</errorWord>
      <group>L1_Word</group>
      <groupName>字词问题</groupName>
      <ability>L2_Typo</ability>
      <abilityName>字词错误</abilityName>
      <candidateList>
        <item>浓度</item>
      </candidateList>
      <explain/>
      <paraID>6DC170A3</paraID>
      <start>34</start>
      <end>35</end>
      <status>ignored</status>
      <modifiedWord/>
      <trackRevisions>false</trackRevisions>
    </reviewItem>
    <reviewItem>
      <errorID>304c51e4-4d55-4109-9e64-063ade179757</errorID>
      <errorWord>，...，</errorWord>
      <group>L1_Punc</group>
      <groupName>标点问题</groupName>
      <ability>L2_Punc_CN</ability>
      <abilityName>标点符号问题</abilityName>
      <candidateList>
        <item>，</item>
      </candidateList>
      <explain/>
      <paraID>4B649E39</paraID>
      <start>8</start>
      <end>13</end>
      <status>ignored</status>
      <modifiedWord/>
      <trackRevisions>false</trackRevisions>
    </reviewItem>
    <reviewItem>
      <errorID>03912ec3-d3ca-40e7-85d8-34538b74b32f</errorID>
      <errorWord>，...，</errorWord>
      <group>L1_Punc</group>
      <groupName>标点问题</groupName>
      <ability>L2_Punc_CN</ability>
      <abilityName>标点符号问题</abilityName>
      <candidateList>
        <item>，</item>
      </candidateList>
      <explain/>
      <paraID> DBB1A53</paraID>
      <start>11</start>
      <end>16</end>
      <status>ignored</status>
      <modifiedWord/>
      <trackRevisions>false</trackRevisions>
    </reviewItem>
    <reviewItem>
      <errorID>dac066c0-9a8d-4c13-9f2b-de1bef24cbbd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6FE35248</paraID>
      <start>0</start>
      <end>2</end>
      <status>ignored</status>
      <modifiedWord/>
      <trackRevisions>false</trackRevisions>
    </reviewItem>
    <reviewItem>
      <errorID>401c1df2-6201-44f5-915b-8bfa85a8c080</errorID>
      <errorWord>饮用水水源准保护区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词汇“饮用水水源保护区”在特定场景下为固定表述形式，请确认此处的“饮用水水源准保护区”是否存在不当。</explain>
      <paraID>1813169C</paraID>
      <start>29</start>
      <end>38</end>
      <status>ignored</status>
      <modifiedWord/>
      <trackRevisions>false</trackRevisions>
    </reviewItem>
    <reviewItem>
      <errorID>686cb41c-9729-4044-a014-e4cc026a67c2</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5E1EEC81</paraID>
      <start>75</start>
      <end>78</end>
      <status>ignored</status>
      <modifiedWord/>
      <trackRevisions>false</trackRevisions>
    </reviewItem>
    <reviewItem>
      <errorID>f263328a-7c01-4715-85fd-25625bb6123a</errorID>
      <errorWord>（</errorWord>
      <group>L1_Format</group>
      <groupName>格式问题</groupName>
      <ability>L2_HalfPunc_CN</ability>
      <abilityName>全半角问题</abilityName>
      <candidateList>
        <item>(</item>
      </candidateList>
      <explain>文本全半角错误。</explain>
      <paraID>43E511FD</paraID>
      <start>10</start>
      <end>11</end>
      <status>ignored</status>
      <modifiedWord/>
      <trackRevisions>false</trackRevisions>
    </reviewItem>
    <reviewItem>
      <errorID>c3c7b137-641d-4d73-9758-27b151d48b96</errorID>
      <errorWord>）</errorWord>
      <group>L1_Format</group>
      <groupName>格式问题</groupName>
      <ability>L2_HalfPunc_CN</ability>
      <abilityName>全半角问题</abilityName>
      <candidateList>
        <item>)</item>
      </candidateList>
      <explain>文本全半角错误。</explain>
      <paraID>43E511FD</paraID>
      <start>14</start>
      <end>15</end>
      <status>ignored</status>
      <modifiedWord/>
      <trackRevisions>false</trackRevisions>
    </reviewItem>
    <reviewItem>
      <errorID>7b4ee3a4-fbfb-4660-85a7-ed54b6040726</errorID>
      <errorWord>（</errorWord>
      <group>L1_Format</group>
      <groupName>格式问题</groupName>
      <ability>L2_HalfPunc_CN</ability>
      <abilityName>全半角问题</abilityName>
      <candidateList>
        <item>(</item>
      </candidateList>
      <explain>文本全半角错误。</explain>
      <paraID>763735BF</paraID>
      <start>10</start>
      <end>11</end>
      <status>ignored</status>
      <modifiedWord/>
      <trackRevisions>false</trackRevisions>
    </reviewItem>
    <reviewItem>
      <errorID>ebdba8e2-a221-4d94-951b-bb5460547bcc</errorID>
      <errorWord>）</errorWord>
      <group>L1_Format</group>
      <groupName>格式问题</groupName>
      <ability>L2_HalfPunc_CN</ability>
      <abilityName>全半角问题</abilityName>
      <candidateList>
        <item>)</item>
      </candidateList>
      <explain>文本全半角错误。</explain>
      <paraID>763735BF</paraID>
      <start>14</start>
      <end>15</end>
      <status>ignored</status>
      <modifiedWord/>
      <trackRevisions>false</trackRevisions>
    </reviewItem>
    <reviewItem>
      <errorID>c0b2a7ad-7fee-4610-8d76-00ca1ee250cc</errorID>
      <errorWord>（</errorWord>
      <group>L1_Format</group>
      <groupName>格式问题</groupName>
      <ability>L2_HalfPunc_CN</ability>
      <abilityName>全半角问题</abilityName>
      <candidateList>
        <item>(</item>
      </candidateList>
      <explain>文本全半角错误。</explain>
      <paraID>5E439A7D</paraID>
      <start>10</start>
      <end>11</end>
      <status>ignored</status>
      <modifiedWord/>
      <trackRevisions>false</trackRevisions>
    </reviewItem>
    <reviewItem>
      <errorID>865053be-4379-40d0-820e-531cfbf415b0</errorID>
      <errorWord>）</errorWord>
      <group>L1_Format</group>
      <groupName>格式问题</groupName>
      <ability>L2_HalfPunc_CN</ability>
      <abilityName>全半角问题</abilityName>
      <candidateList>
        <item>)</item>
      </candidateList>
      <explain>文本全半角错误。</explain>
      <paraID>5E439A7D</paraID>
      <start>14</start>
      <end>15</end>
      <status>ignored</status>
      <modifiedWord/>
      <trackRevisions>false</trackRevisions>
    </reviewItem>
    <reviewItem>
      <errorID>ac172cde-34d6-4bfc-9116-4734c2ec18a9</errorID>
      <errorWord>（</errorWord>
      <group>L1_Format</group>
      <groupName>格式问题</groupName>
      <ability>L2_HalfPunc_CN</ability>
      <abilityName>全半角问题</abilityName>
      <candidateList>
        <item>(</item>
      </candidateList>
      <explain>文本全半角错误。</explain>
      <paraID>747A87A5</paraID>
      <start>9</start>
      <end>10</end>
      <status>ignored</status>
      <modifiedWord/>
      <trackRevisions>false</trackRevisions>
    </reviewItem>
    <reviewItem>
      <errorID>a3bb59ea-0aca-4a1a-b690-9d22fd041af5</errorID>
      <errorWord>）</errorWord>
      <group>L1_Format</group>
      <groupName>格式问题</groupName>
      <ability>L2_HalfPunc_CN</ability>
      <abilityName>全半角问题</abilityName>
      <candidateList>
        <item>)</item>
      </candidateList>
      <explain>文本全半角错误。</explain>
      <paraID>747A87A5</paraID>
      <start>13</start>
      <end>14</end>
      <status>ignored</status>
      <modifiedWord/>
      <trackRevisions>false</trackRevisions>
    </reviewItem>
    <reviewItem>
      <errorID>dca8626b-fbf8-45fd-a47f-7cc8152c813a</errorID>
      <errorWord>（</errorWord>
      <group>L1_Format</group>
      <groupName>格式问题</groupName>
      <ability>L2_HalfPunc_CN</ability>
      <abilityName>全半角问题</abilityName>
      <candidateList>
        <item>(</item>
      </candidateList>
      <explain>文本全半角错误。</explain>
      <paraID> 919ED02</paraID>
      <start>10</start>
      <end>11</end>
      <status>ignored</status>
      <modifiedWord/>
      <trackRevisions>false</trackRevisions>
    </reviewItem>
    <reviewItem>
      <errorID>a1658039-8bac-451e-9b9c-eb18a92e7419</errorID>
      <errorWord>）</errorWord>
      <group>L1_Format</group>
      <groupName>格式问题</groupName>
      <ability>L2_HalfPunc_CN</ability>
      <abilityName>全半角问题</abilityName>
      <candidateList>
        <item>)</item>
      </candidateList>
      <explain>文本全半角错误。</explain>
      <paraID> 919ED02</paraID>
      <start>14</start>
      <end>15</end>
      <status>ignored</status>
      <modifiedWord/>
      <trackRevisions>false</trackRevisions>
    </reviewItem>
    <reviewItem>
      <errorID>e00c7b67-f9c0-440e-abbe-c9efbf9d7ef1</errorID>
      <errorWord>（</errorWord>
      <group>L1_Format</group>
      <groupName>格式问题</groupName>
      <ability>L2_HalfPunc_CN</ability>
      <abilityName>全半角问题</abilityName>
      <candidateList>
        <item>(</item>
      </candidateList>
      <explain>文本全半角错误。</explain>
      <paraID>74B559C6</paraID>
      <start>10</start>
      <end>11</end>
      <status>ignored</status>
      <modifiedWord/>
      <trackRevisions>false</trackRevisions>
    </reviewItem>
    <reviewItem>
      <errorID>d654e097-c76a-4431-9bfa-a03a4f086fc8</errorID>
      <errorWord>）</errorWord>
      <group>L1_Format</group>
      <groupName>格式问题</groupName>
      <ability>L2_HalfPunc_CN</ability>
      <abilityName>全半角问题</abilityName>
      <candidateList>
        <item>)</item>
      </candidateList>
      <explain>文本全半角错误。</explain>
      <paraID>74B559C6</paraID>
      <start>14</start>
      <end>15</end>
      <status>ignored</status>
      <modifiedWord/>
      <trackRevisions>false</trackRevisions>
    </reviewItem>
    <reviewItem>
      <errorID>21baa176-b527-4509-8b8f-e4c8c8830cef</errorID>
      <errorWord>（</errorWord>
      <group>L1_Format</group>
      <groupName>格式问题</groupName>
      <ability>L2_HalfPunc_CN</ability>
      <abilityName>全半角问题</abilityName>
      <candidateList>
        <item>(</item>
      </candidateList>
      <explain>文本全半角错误。</explain>
      <paraID>792AF703</paraID>
      <start>0</start>
      <end>1</end>
      <status>ignored</status>
      <modifiedWord/>
      <trackRevisions>false</trackRevisions>
    </reviewItem>
    <reviewItem>
      <errorID>f31c05c9-d12a-48f1-b040-b2f0a54bf024</errorID>
      <errorWord>）</errorWord>
      <group>L1_Format</group>
      <groupName>格式问题</groupName>
      <ability>L2_HalfPunc_CN</ability>
      <abilityName>全半角问题</abilityName>
      <candidateList>
        <item>)</item>
      </candidateList>
      <explain>文本全半角错误。</explain>
      <paraID>792AF703</paraID>
      <start>4</start>
      <end>5</end>
      <status>ignored</status>
      <modifiedWord/>
      <trackRevisions>false</trackRevisions>
    </reviewItem>
    <reviewItem>
      <errorID>c26412b5-3064-433b-abbf-811c6f92996b</errorID>
      <errorWord>~</errorWord>
      <group>L1_Format</group>
      <groupName>格式问题</groupName>
      <ability>L2_HalfPunc_CN</ability>
      <abilityName>全半角问题</abilityName>
      <candidateList>
        <item>～</item>
      </candidateList>
      <explain>文本全半角错误。</explain>
      <paraID>53230FD1</paraID>
      <start>174</start>
      <end>175</end>
      <status>ignored</status>
      <modifiedWord/>
      <trackRevisions>false</trackRevisions>
    </reviewItem>
    <reviewItem>
      <errorID>bfcf9ecc-ec6d-4c58-ad05-9ceb79f6fdfe</errorID>
      <errorWord>~</errorWord>
      <group>L1_Format</group>
      <groupName>格式问题</groupName>
      <ability>L2_HalfPunc_CN</ability>
      <abilityName>全半角问题</abilityName>
      <candidateList>
        <item>～</item>
      </candidateList>
      <explain>文本全半角错误。</explain>
      <paraID>53230FD1</paraID>
      <start>183</start>
      <end>184</end>
      <status>ignored</status>
      <modifiedWord/>
      <trackRevisions>false</trackRevisions>
    </reviewItem>
    <reviewItem>
      <errorID>23dafc1e-0b42-4c0b-8c6c-b3e68d38b49b</errorID>
      <errorWord>~</errorWord>
      <group>L1_Format</group>
      <groupName>格式问题</groupName>
      <ability>L2_HalfPunc_CN</ability>
      <abilityName>全半角问题</abilityName>
      <candidateList>
        <item>～</item>
      </candidateList>
      <explain>文本全半角错误。</explain>
      <paraID> 63B42D5</paraID>
      <start>165</start>
      <end>166</end>
      <status>ignored</status>
      <modifiedWord/>
      <trackRevisions>false</trackRevisions>
    </reviewItem>
    <reviewItem>
      <errorID>77aa9c97-acfb-4a23-81d2-7d5ca69d86c8</errorID>
      <errorWord>~</errorWord>
      <group>L1_Format</group>
      <groupName>格式问题</groupName>
      <ability>L2_HalfPunc_CN</ability>
      <abilityName>全半角问题</abilityName>
      <candidateList>
        <item>～</item>
      </candidateList>
      <explain>文本全半角错误。</explain>
      <paraID> 63B42D5</paraID>
      <start>174</start>
      <end>175</end>
      <status>ignored</status>
      <modifiedWord/>
      <trackRevisions>false</trackRevisions>
    </reviewItem>
    <reviewItem>
      <errorID>ca1f4dbb-1683-4059-9f72-49d6036cbc8a</errorID>
      <errorWord>；</errorWord>
      <group>L1_Format</group>
      <groupName>格式问题</groupName>
      <ability>L2_HalfPunc_CN</ability>
      <abilityName>全半角问题</abilityName>
      <candidateList>
        <item>;</item>
      </candidateList>
      <explain>文本全半角错误。</explain>
      <paraID>17F824C8</paraID>
      <start>7</start>
      <end>8</end>
      <status>ignored</status>
      <modifiedWord/>
      <trackRevisions>false</trackRevisions>
    </reviewItem>
    <reviewItem>
      <errorID>e671f8cc-bda4-47af-9c68-0e658a49cca7</errorID>
      <errorWord>Mast</errorWord>
      <group>L1_English</group>
      <groupName>英文问题</groupName>
      <ability>L2_Other_Grammar</ability>
      <abilityName>其他语法问题</abilityName>
      <candidateList>
        <item>Mass</item>
      </candidateList>
      <explain>名词使用不当, 建议将Mast修改为Mass</explain>
      <paraID>2E098BE5</paraID>
      <start>0</start>
      <end>4</end>
      <status>ignored</status>
      <modifiedWord/>
      <trackRevisions>false</trackRevisions>
    </reviewItem>
    <reviewItem>
      <errorID>3835350f-ba3c-4fdf-bab4-2c5c5f5a851b</errorID>
      <errorWord>&lt;</errorWord>
      <group>L1_Format</group>
      <groupName>格式问题</groupName>
      <ability>L2_HalfPunc_CN</ability>
      <abilityName>全半角问题</abilityName>
      <candidateList>
        <item>〈</item>
      </candidateList>
      <explain>文本全半角错误。</explain>
      <paraID>728A085F</paraID>
      <start>72</start>
      <end>73</end>
      <status>ignored</status>
      <modifiedWord/>
      <trackRevisions>false</trackRevisions>
    </reviewItem>
    <reviewItem>
      <errorID>708211eb-3063-4b2f-a9ff-47d9a147e352</errorID>
      <errorWord>&gt;</errorWord>
      <group>L1_Format</group>
      <groupName>格式问题</groupName>
      <ability>L2_HalfPunc_CN</ability>
      <abilityName>全半角问题</abilityName>
      <candidateList>
        <item>〉</item>
      </candidateList>
      <explain>文本全半角错误。</explain>
      <paraID>728A085F</paraID>
      <start>93</start>
      <end>94</end>
      <status>ignored</status>
      <modifiedWord/>
      <trackRevisions>false</trackRevisions>
    </reviewItem>
    <reviewItem>
      <errorID>aefa48c3-e903-4e2d-9f44-77cc933421fd</errorID>
      <errorWord>~</errorWord>
      <group>L1_Format</group>
      <groupName>格式问题</groupName>
      <ability>L2_HalfPunc_CN</ability>
      <abilityName>全半角问题</abilityName>
      <candidateList>
        <item>～</item>
      </candidateList>
      <explain>文本全半角错误。</explain>
      <paraID>7B89FF9A</paraID>
      <start>306</start>
      <end>307</end>
      <status>ignored</status>
      <modifiedWord/>
      <trackRevisions>false</trackRevisions>
    </reviewItem>
    <reviewItem>
      <errorID>d84992e7-c5e8-4f11-8c65-02c7a51fc25e</errorID>
      <errorWord>~</errorWord>
      <group>L1_Format</group>
      <groupName>格式问题</groupName>
      <ability>L2_HalfPunc_CN</ability>
      <abilityName>全半角问题</abilityName>
      <candidateList>
        <item>～</item>
      </candidateList>
      <explain>文本全半角错误。</explain>
      <paraID>7B89FF9A</paraID>
      <start>325</start>
      <end>326</end>
      <status>ignored</status>
      <modifiedWord/>
      <trackRevisions>false</trackRevisions>
    </reviewItem>
    <reviewItem>
      <errorID>da4b2ca5-a407-45de-9c82-159c3c5e56b8</errorID>
      <errorWord>~</errorWord>
      <group>L1_Format</group>
      <groupName>格式问题</groupName>
      <ability>L2_HalfPunc_CN</ability>
      <abilityName>全半角问题</abilityName>
      <candidateList>
        <item>～</item>
      </candidateList>
      <explain>文本全半角错误。</explain>
      <paraID>7B89FF9A</paraID>
      <start>339</start>
      <end>340</end>
      <status>ignored</status>
      <modifiedWord/>
      <trackRevisions>false</trackRevisions>
    </reviewItem>
    <reviewItem>
      <errorID>b2fc0305-4294-4f97-9297-b52b7b2b0ef3</errorID>
      <errorWord>&lt;</errorWord>
      <group>L1_Format</group>
      <groupName>格式问题</groupName>
      <ability>L2_HalfPunc_CN</ability>
      <abilityName>全半角问题</abilityName>
      <candidateList>
        <item>〈</item>
      </candidateList>
      <explain>文本全半角错误。</explain>
      <paraID>2843ED3C</paraID>
      <start>224</start>
      <end>225</end>
      <status>ignored</status>
      <modifiedWord/>
      <trackRevisions>false</trackRevisions>
    </reviewItem>
    <reviewItem>
      <errorID>275eea71-5b11-4a6f-84ab-6292cb2febe9</errorID>
      <errorWord>&gt;</errorWord>
      <group>L1_Format</group>
      <groupName>格式问题</groupName>
      <ability>L2_HalfPunc_CN</ability>
      <abilityName>全半角问题</abilityName>
      <candidateList>
        <item>〉</item>
      </candidateList>
      <explain>文本全半角错误。</explain>
      <paraID>2843ED3C</paraID>
      <start>236</start>
      <end>237</end>
      <status>ignored</status>
      <modifiedWord/>
      <trackRevisions>false</trackRevisions>
    </reviewItem>
    <reviewItem>
      <errorID>f236305b-a3f8-40d9-bd34-a26aca6809e5</errorID>
      <errorWord>&lt;</errorWord>
      <group>L1_Format</group>
      <groupName>格式问题</groupName>
      <ability>L2_HalfPunc_CN</ability>
      <abilityName>全半角问题</abilityName>
      <candidateList>
        <item>〈</item>
      </candidateList>
      <explain>文本全半角错误。</explain>
      <paraID>6DFDB4D9</paraID>
      <start>34</start>
      <end>35</end>
      <status>ignored</status>
      <modifiedWord/>
      <trackRevisions>false</trackRevisions>
    </reviewItem>
    <reviewItem>
      <errorID>50092998-592c-4bd7-8374-ef72f62dcaa5</errorID>
      <errorWord>&gt;</errorWord>
      <group>L1_Format</group>
      <groupName>格式问题</groupName>
      <ability>L2_HalfPunc_CN</ability>
      <abilityName>全半角问题</abilityName>
      <candidateList>
        <item>〉</item>
      </candidateList>
      <explain>文本全半角错误。</explain>
      <paraID>6DFDB4D9</paraID>
      <start>64</start>
      <end>65</end>
      <status>ignored</status>
      <modifiedWord/>
      <trackRevisions>false</trackRevisions>
    </reviewItem>
    <reviewItem>
      <errorID>24fdddda-952c-4d33-8ebe-8235137ca67d</errorID>
      <errorWord>（</errorWord>
      <group>L1_Format</group>
      <groupName>格式问题</groupName>
      <ability>L2_HalfPunc_CN</ability>
      <abilityName>全半角问题</abilityName>
      <candidateList>
        <item>(</item>
      </candidateList>
      <explain>文本全半角错误。</explain>
      <paraID>207F58ED</paraID>
      <start>1</start>
      <end>2</end>
      <status>ignored</status>
      <modifiedWord/>
      <trackRevisions>false</trackRevisions>
    </reviewItem>
    <reviewItem>
      <errorID>84171fd0-f796-4612-ad4f-ff1853d097e0</errorID>
      <errorWord>）</errorWord>
      <group>L1_Format</group>
      <groupName>格式问题</groupName>
      <ability>L2_HalfPunc_CN</ability>
      <abilityName>全半角问题</abilityName>
      <candidateList>
        <item>)</item>
      </candidateList>
      <explain>文本全半角错误。</explain>
      <paraID>207F58ED</paraID>
      <start>3</start>
      <end>4</end>
      <status>ignored</status>
      <modifiedWord/>
      <trackRevisions>false</trackRevisions>
    </reviewItem>
    <reviewItem>
      <errorID>ffb3fe61-bf71-4bf0-a895-5a13d9a1aa7c</errorID>
      <errorWord>（</errorWord>
      <group>L1_Format</group>
      <groupName>格式问题</groupName>
      <ability>L2_HalfPunc_CN</ability>
      <abilityName>全半角问题</abilityName>
      <candidateList>
        <item>(</item>
      </candidateList>
      <explain>文本全半角错误。</explain>
      <paraID> 5331DE1</paraID>
      <start>0</start>
      <end>1</end>
      <status>ignored</status>
      <modifiedWord/>
      <trackRevisions>false</trackRevisions>
    </reviewItem>
    <reviewItem>
      <errorID>baea21cc-7d7c-40b7-a0a3-e3755d5f5fee</errorID>
      <errorWord>）</errorWord>
      <group>L1_Format</group>
      <groupName>格式问题</groupName>
      <ability>L2_HalfPunc_CN</ability>
      <abilityName>全半角问题</abilityName>
      <candidateList>
        <item>)</item>
      </candidateList>
      <explain>文本全半角错误。</explain>
      <paraID> 5331DE1</paraID>
      <start>5</start>
      <end>6</end>
      <status>ignored</status>
      <modifiedWord/>
      <trackRevisions>false</trackRevisions>
    </reviewItem>
    <reviewItem>
      <errorID>768e0176-216f-464c-9a48-c4b51972da5b</errorID>
      <errorWord>（</errorWord>
      <group>L1_Format</group>
      <groupName>格式问题</groupName>
      <ability>L2_HalfPunc_CN</ability>
      <abilityName>全半角问题</abilityName>
      <candidateList>
        <item>(</item>
      </candidateList>
      <explain>文本全半角错误。</explain>
      <paraID>4B16E29A</paraID>
      <start>0</start>
      <end>1</end>
      <status>ignored</status>
      <modifiedWord/>
      <trackRevisions>false</trackRevisions>
    </reviewItem>
    <reviewItem>
      <errorID>e893d429-e5c2-41e8-91a9-3494690d0af5</errorID>
      <errorWord>）</errorWord>
      <group>L1_Format</group>
      <groupName>格式问题</groupName>
      <ability>L2_HalfPunc_CN</ability>
      <abilityName>全半角问题</abilityName>
      <candidateList>
        <item>)</item>
      </candidateList>
      <explain>文本全半角错误。</explain>
      <paraID>4B16E29A</paraID>
      <start>5</start>
      <end>6</end>
      <status>ignored</status>
      <modifiedWord/>
      <trackRevisions>false</trackRevisions>
    </reviewItem>
    <reviewItem>
      <errorID>18db7830-a124-4536-9f3b-cd82ef2e87e5</errorID>
      <errorWord>（</errorWord>
      <group>L1_Format</group>
      <groupName>格式问题</groupName>
      <ability>L2_HalfPunc_CN</ability>
      <abilityName>全半角问题</abilityName>
      <candidateList>
        <item>(</item>
      </candidateList>
      <explain>文本全半角错误。</explain>
      <paraID>666A453E</paraID>
      <start>0</start>
      <end>1</end>
      <status>ignored</status>
      <modifiedWord/>
      <trackRevisions>false</trackRevisions>
    </reviewItem>
    <reviewItem>
      <errorID>7bf7aff2-318d-4bc8-836f-a7c4134d24ee</errorID>
      <errorWord>）</errorWord>
      <group>L1_Format</group>
      <groupName>格式问题</groupName>
      <ability>L2_HalfPunc_CN</ability>
      <abilityName>全半角问题</abilityName>
      <candidateList>
        <item>)</item>
      </candidateList>
      <explain>文本全半角错误。</explain>
      <paraID>666A453E</paraID>
      <start>5</start>
      <end>6</end>
      <status>ignored</status>
      <modifiedWord/>
      <trackRevisions>false</trackRevisions>
    </reviewItem>
    <reviewItem>
      <errorID>879fbb09-4830-48f8-a95f-da0ddf29564e</errorID>
      <errorWord>（</errorWord>
      <group>L1_Format</group>
      <groupName>格式问题</groupName>
      <ability>L2_HalfPunc_CN</ability>
      <abilityName>全半角问题</abilityName>
      <candidateList>
        <item>(</item>
      </candidateList>
      <explain>文本全半角错误。</explain>
      <paraID>47DB90FC</paraID>
      <start>0</start>
      <end>1</end>
      <status>ignored</status>
      <modifiedWord/>
      <trackRevisions>false</trackRevisions>
    </reviewItem>
    <reviewItem>
      <errorID>301fd67c-e63f-4545-b37b-d5213bbbce97</errorID>
      <errorWord>）</errorWord>
      <group>L1_Format</group>
      <groupName>格式问题</groupName>
      <ability>L2_HalfPunc_CN</ability>
      <abilityName>全半角问题</abilityName>
      <candidateList>
        <item>)</item>
      </candidateList>
      <explain>文本全半角错误。</explain>
      <paraID>47DB90FC</paraID>
      <start>5</start>
      <end>6</end>
      <status>ignored</status>
      <modifiedWord/>
      <trackRevisions>false</trackRevisions>
    </reviewItem>
    <reviewItem>
      <errorID>60475de5-b013-4844-80a9-a8f5b4158f6c</errorID>
      <errorWord>（</errorWord>
      <group>L1_Format</group>
      <groupName>格式问题</groupName>
      <ability>L2_HalfPunc_CN</ability>
      <abilityName>全半角问题</abilityName>
      <candidateList>
        <item>(</item>
      </candidateList>
      <explain>文本全半角错误。</explain>
      <paraID>290FB2BA</paraID>
      <start>0</start>
      <end>1</end>
      <status>ignored</status>
      <modifiedWord/>
      <trackRevisions>false</trackRevisions>
    </reviewItem>
    <reviewItem>
      <errorID>b7d37915-797b-4e62-a802-f08a47a17c10</errorID>
      <errorWord>）</errorWord>
      <group>L1_Format</group>
      <groupName>格式问题</groupName>
      <ability>L2_HalfPunc_CN</ability>
      <abilityName>全半角问题</abilityName>
      <candidateList>
        <item>)</item>
      </candidateList>
      <explain>文本全半角错误。</explain>
      <paraID>290FB2BA</paraID>
      <start>5</start>
      <end>6</end>
      <status>ignored</status>
      <modifiedWord/>
      <trackRevisions>false</trackRevisions>
    </reviewItem>
    <reviewItem>
      <errorID>95ed2888-492e-4949-ae0a-b663aa1c5f83</errorID>
      <errorWord>（</errorWord>
      <group>L1_Format</group>
      <groupName>格式问题</groupName>
      <ability>L2_HalfPunc_CN</ability>
      <abilityName>全半角问题</abilityName>
      <candidateList>
        <item>(</item>
      </candidateList>
      <explain>文本全半角错误。</explain>
      <paraID>7D52A194</paraID>
      <start>0</start>
      <end>1</end>
      <status>ignored</status>
      <modifiedWord/>
      <trackRevisions>false</trackRevisions>
    </reviewItem>
    <reviewItem>
      <errorID>28960203-c5a9-4ffe-9852-f4608fd9f666</errorID>
      <errorWord>）</errorWord>
      <group>L1_Format</group>
      <groupName>格式问题</groupName>
      <ability>L2_HalfPunc_CN</ability>
      <abilityName>全半角问题</abilityName>
      <candidateList>
        <item>)</item>
      </candidateList>
      <explain>文本全半角错误。</explain>
      <paraID>7D52A194</paraID>
      <start>5</start>
      <end>6</end>
      <status>ignored</status>
      <modifiedWord/>
      <trackRevisions>false</trackRevisions>
    </reviewItem>
    <reviewItem>
      <errorID>2724784d-3655-4b88-b745-ad9eeb16770f</errorID>
      <errorWord>（</errorWord>
      <group>L1_Format</group>
      <groupName>格式问题</groupName>
      <ability>L2_HalfPunc_CN</ability>
      <abilityName>全半角问题</abilityName>
      <candidateList>
        <item>(</item>
      </candidateList>
      <explain>文本全半角错误。</explain>
      <paraID>13382A90</paraID>
      <start>0</start>
      <end>1</end>
      <status>ignored</status>
      <modifiedWord/>
      <trackRevisions>false</trackRevisions>
    </reviewItem>
    <reviewItem>
      <errorID>390099b8-9275-426c-8c52-8a6d1850fde0</errorID>
      <errorWord>）</errorWord>
      <group>L1_Format</group>
      <groupName>格式问题</groupName>
      <ability>L2_HalfPunc_CN</ability>
      <abilityName>全半角问题</abilityName>
      <candidateList>
        <item>)</item>
      </candidateList>
      <explain>文本全半角错误。</explain>
      <paraID>13382A90</paraID>
      <start>5</start>
      <end>6</end>
      <status>ignored</status>
      <modifiedWord/>
      <trackRevisions>false</trackRevisions>
    </reviewItem>
    <reviewItem>
      <errorID>cf6062d5-b931-44a5-b8da-62994030bd66</errorID>
      <errorWord>汽</errorWord>
      <group>L1_Word</group>
      <groupName>字词问题</groupName>
      <ability>L2_Typo</ability>
      <abilityName>字词错误</abilityName>
      <candidateList>
        <item>气</item>
      </candidateList>
      <explain/>
      <paraID> D5579C7</paraID>
      <start>28</start>
      <end>29</end>
      <status>ignored</status>
      <modifiedWord/>
      <trackRevisions>false</trackRevisions>
    </reviewItem>
    <reviewItem>
      <errorID>eee48967-467e-43fc-8a93-5f9e7ae833ef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592241C6</paraID>
      <start>0</start>
      <end>2</end>
      <status>ignored</status>
      <modifiedWord/>
      <trackRevisions>false</trackRevisions>
    </reviewItem>
    <reviewItem>
      <errorID>56a40931-1f4c-425d-a0c8-8b5bfab6d045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15F3C755</paraID>
      <start>0</start>
      <end>2</end>
      <status>ignored</status>
      <modifiedWord/>
      <trackRevisions>false</trackRevisions>
    </reviewItem>
    <reviewItem>
      <errorID>94a0f0c1-e568-4110-882a-70aaecb8814a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BE70AC5</paraID>
      <start>0</start>
      <end>2</end>
      <status>ignored</status>
      <modifiedWord/>
      <trackRevisions>false</trackRevisions>
    </reviewItem>
    <reviewItem>
      <errorID>f09e589b-172a-4719-9d44-a565a6281e17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520B181</paraID>
      <start>0</start>
      <end>2</end>
      <status>ignored</status>
      <modifiedWord/>
      <trackRevisions>false</trackRevisions>
    </reviewItem>
    <reviewItem>
      <errorID>e7fa3341-a6e0-47cd-9f89-374e2c55b378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21F32ADF</paraID>
      <start>0</start>
      <end>2</end>
      <status>ignored</status>
      <modifiedWord/>
      <trackRevisions>false</trackRevisions>
    </reviewItem>
    <reviewItem>
      <errorID>2583ab02-f8e5-478a-a225-3d0d43bace5f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3192DA7F</paraID>
      <start>0</start>
      <end>2</end>
      <status>ignored</status>
      <modifiedWord/>
      <trackRevisions>false</trackRevisions>
    </reviewItem>
    <reviewItem>
      <errorID>3bf07f5e-90b6-426e-ae30-b9ea7cd4a827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35EA2DE3</paraID>
      <start>0</start>
      <end>2</end>
      <status>ignored</status>
      <modifiedWord/>
      <trackRevisions>false</trackRevisions>
    </reviewItem>
    <reviewItem>
      <errorID>f090335f-3315-47d7-beed-3d7672166a21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1A4DEBDD</paraID>
      <start>0</start>
      <end>2</end>
      <status>ignored</status>
      <modifiedWord/>
      <trackRevisions>false</trackRevisions>
    </reviewItem>
    <reviewItem>
      <errorID>6aa388ea-a9e0-428b-9858-911fcd5250b3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7EC967B8</paraID>
      <start>0</start>
      <end>2</end>
      <status>ignored</status>
      <modifiedWord/>
      <trackRevisions>false</trackRevisions>
    </reviewItem>
    <reviewItem>
      <errorID>ee783736-0416-4672-b7a9-bf9f51214b01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24733C54</paraID>
      <start>0</start>
      <end>2</end>
      <status>ignored</status>
      <modifiedWord/>
      <trackRevisions>false</trackRevisions>
    </reviewItem>
    <reviewItem>
      <errorID>26101c12-61c0-48c4-9653-55f66cc120f2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1DCDB799</paraID>
      <start>0</start>
      <end>2</end>
      <status>ignored</status>
      <modifiedWord/>
      <trackRevisions>false</trackRevisions>
    </reviewItem>
    <reviewItem>
      <errorID>f00a1720-ed70-45c3-9870-4d5da164a988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1E140B2A</paraID>
      <start>0</start>
      <end>2</end>
      <status>ignored</status>
      <modifiedWord/>
      <trackRevisions>false</trackRevisions>
    </reviewItem>
    <reviewItem>
      <errorID>f63e91db-7772-46c2-bb34-fec7a73428ab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435E7FA1</paraID>
      <start>0</start>
      <end>2</end>
      <status>ignored</status>
      <modifiedWord/>
      <trackRevisions>false</trackRevisions>
    </reviewItem>
    <reviewItem>
      <errorID>920c5513-a635-4f4c-a52e-ffef52507870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439CCC18</paraID>
      <start>0</start>
      <end>2</end>
      <status>ignored</status>
      <modifiedWord/>
      <trackRevisions>false</trackRevisions>
    </reviewItem>
    <reviewItem>
      <errorID>138f264e-2842-49bf-afd4-82db01815ca6</errorID>
      <errorWord>加</errorWord>
      <group>L1_Word</group>
      <groupName>字词问题</groupName>
      <ability>L2_Typo</ability>
      <abilityName>字词错误</abilityName>
      <candidateList>
        <item>加装</item>
      </candidateList>
      <explain/>
      <paraID>6EDD44AB</paraID>
      <start>12</start>
      <end>14</end>
      <status>modified</status>
      <modifiedWord>加装</modifiedWord>
      <trackRevisions>false</trackRevisions>
    </reviewItem>
    <reviewItem>
      <errorID>f3680eae-6a17-44e6-a0ca-64ea222cef88</errorID>
      <errorWord>须</errorWord>
      <group>L1_Word</group>
      <groupName>字词问题</groupName>
      <ability>L2_Typo</ability>
      <abilityName>字词错误</abilityName>
      <candidateList>
        <item>需</item>
      </candidateList>
      <explain>存在发音相同字词的误用。</explain>
      <paraID>2098B1E3</paraID>
      <start>27</start>
      <end>28</end>
      <status>ignored</status>
      <modifiedWord/>
      <trackRevisions>false</trackRevisions>
    </reviewItem>
    <reviewItem>
      <errorID>5b0c8379-1203-489f-a304-32e44022949d</errorID>
      <errorWord>&lt;</errorWord>
      <group>L1_Format</group>
      <groupName>格式问题</groupName>
      <ability>L2_HalfPunc_CN</ability>
      <abilityName>全半角问题</abilityName>
      <candidateList>
        <item>〈</item>
      </candidateList>
      <explain>文本全半角错误。</explain>
      <paraID>4066EA0A</paraID>
      <start>231</start>
      <end>232</end>
      <status>ignored</status>
      <modifiedWord/>
      <trackRevisions>false</trackRevisions>
    </reviewItem>
    <reviewItem>
      <errorID>0b71b502-202b-4b48-8ed6-c1e19d3f78d7</errorID>
      <errorWord>&gt;</errorWord>
      <group>L1_Format</group>
      <groupName>格式问题</groupName>
      <ability>L2_HalfPunc_CN</ability>
      <abilityName>全半角问题</abilityName>
      <candidateList>
        <item>〉</item>
      </candidateList>
      <explain>文本全半角错误。</explain>
      <paraID>4066EA0A</paraID>
      <start>240</start>
      <end>241</end>
      <status>ignored</status>
      <modifiedWord/>
      <trackRevisions>false</trackRevisions>
    </reviewItem>
    <reviewItem>
      <errorID>f12096e2-5230-4b8a-938f-30e07e85e652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22F7E5A5</paraID>
      <start>0</start>
      <end>2</end>
      <status>ignored</status>
      <modifiedWord/>
      <trackRevisions>false</trackRevisions>
    </reviewItem>
    <reviewItem>
      <errorID>6f6e2a4e-182b-4d28-a8d3-ff86511167fd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23B06BAA</paraID>
      <start>0</start>
      <end>2</end>
      <status>ignored</status>
      <modifiedWord/>
      <trackRevisions>false</trackRevisions>
    </reviewItem>
    <reviewItem>
      <errorID>34f9ae41-597d-4eef-a915-cb10dd48c4a2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2519B898</paraID>
      <start>0</start>
      <end>2</end>
      <status>ignored</status>
      <modifiedWord/>
      <trackRevisions>false</trackRevisions>
    </reviewItem>
    <reviewItem>
      <errorID>e5a17516-f8e6-45cb-b282-93a663ec0074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68056DB4</paraID>
      <start>0</start>
      <end>2</end>
      <status>ignored</status>
      <modifiedWord/>
      <trackRevisions>false</trackRevisions>
    </reviewItem>
    <reviewItem>
      <errorID>5becc55a-0dae-40e1-b643-72600c074336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28E8079E</paraID>
      <start>0</start>
      <end>2</end>
      <status>ignored</status>
      <modifiedWord/>
      <trackRevisions>false</trackRevisions>
    </reviewItem>
    <reviewItem>
      <errorID>a399ada4-7c3c-4b3f-8889-ae2b2287329a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70700C96</paraID>
      <start>0</start>
      <end>2</end>
      <status>ignored</status>
      <modifiedWord/>
      <trackRevisions>false</trackRevisions>
    </reviewItem>
    <reviewItem>
      <errorID>a6421841-066d-47e3-842c-36d9119186cb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2257E5F6</paraID>
      <start>0</start>
      <end>2</end>
      <status>ignored</status>
      <modifiedWord/>
      <trackRevisions>false</trackRevisions>
    </reviewItem>
    <reviewItem>
      <errorID>fca040d8-c856-4eea-8d6a-8cb2aa819f82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36A6BA1F</paraID>
      <start>0</start>
      <end>2</end>
      <status>ignored</status>
      <modifiedWord/>
      <trackRevisions>false</trackRevisions>
    </reviewItem>
    <reviewItem>
      <errorID>aa4a3743-41ef-4b86-87a4-6f7b1f45a662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49764CAD</paraID>
      <start>0</start>
      <end>2</end>
      <status>ignored</status>
      <modifiedWord/>
      <trackRevisions>false</trackRevisions>
    </reviewItem>
    <reviewItem>
      <errorID>9c867395-2ee1-4bbe-838b-7a94f9550b52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1C5D20DD</paraID>
      <start>0</start>
      <end>2</end>
      <status>ignored</status>
      <modifiedWord/>
      <trackRevisions>false</trackRevisions>
    </reviewItem>
    <reviewItem>
      <errorID>676d997a-f603-4abd-88ae-caa42253afd8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3B42D21D</paraID>
      <start>0</start>
      <end>2</end>
      <status>ignored</status>
      <modifiedWord/>
      <trackRevisions>false</trackRevisions>
    </reviewItem>
    <reviewItem>
      <errorID>b0c9fde0-ca82-49f5-9069-dfbfb35a25fc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43D356D8</paraID>
      <start>0</start>
      <end>2</end>
      <status>ignored</status>
      <modifiedWord/>
      <trackRevisions>false</trackRevisions>
    </reviewItem>
    <reviewItem>
      <errorID>d97dd0cc-f21c-488b-a8f0-10cd250559ee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28EDABCA</paraID>
      <start>0</start>
      <end>2</end>
      <status>ignored</status>
      <modifiedWord/>
      <trackRevisions>false</trackRevisions>
    </reviewItem>
    <reviewItem>
      <errorID>afcfdf70-ca2e-480f-8e1b-359c4451bb49</errorID>
      <errorWord>~</errorWord>
      <group>L1_Format</group>
      <groupName>格式问题</groupName>
      <ability>L2_HalfPunc_CN</ability>
      <abilityName>全半角问题</abilityName>
      <candidateList>
        <item>～</item>
      </candidateList>
      <explain>文本全半角错误。</explain>
      <paraID> 785EFCA</paraID>
      <start>107</start>
      <end>108</end>
      <status>ignored</status>
      <modifiedWord/>
      <trackRevisions>false</trackRevisions>
    </reviewItem>
    <reviewItem>
      <errorID>966c17ff-99a6-4520-aa90-0b35f347c38d</errorID>
      <errorWord>（</errorWord>
      <group>L1_Format</group>
      <groupName>格式问题</groupName>
      <ability>L2_HalfPunc_CN</ability>
      <abilityName>全半角问题</abilityName>
      <candidateList>
        <item>(</item>
      </candidateList>
      <explain>文本全半角错误。</explain>
      <paraID>5929E38B</paraID>
      <start>0</start>
      <end>1</end>
      <status>ignored</status>
      <modifiedWord/>
      <trackRevisions>false</trackRevisions>
    </reviewItem>
    <reviewItem>
      <errorID>c6fb53fc-1fe2-4f80-a084-454b0d3ae27a</errorID>
      <errorWord>）</errorWord>
      <group>L1_Format</group>
      <groupName>格式问题</groupName>
      <ability>L2_HalfPunc_CN</ability>
      <abilityName>全半角问题</abilityName>
      <candidateList>
        <item>)</item>
      </candidateList>
      <explain>文本全半角错误。</explain>
      <paraID>5929E38B</paraID>
      <start>6</start>
      <end>7</end>
      <status>ignored</status>
      <modifiedWord/>
      <trackRevisions>false</trackRevisions>
    </reviewItem>
    <reviewItem>
      <errorID>ea5fadc5-48e7-4938-a16e-445fee92f2fe</errorID>
      <errorWord>（</errorWord>
      <group>L1_Format</group>
      <groupName>格式问题</groupName>
      <ability>L2_HalfPunc_CN</ability>
      <abilityName>全半角问题</abilityName>
      <candidateList>
        <item>(</item>
      </candidateList>
      <explain>文本全半角错误。</explain>
      <paraID>6481E82B</paraID>
      <start>0</start>
      <end>1</end>
      <status>ignored</status>
      <modifiedWord/>
      <trackRevisions>false</trackRevisions>
    </reviewItem>
    <reviewItem>
      <errorID>8ffe281f-da74-4498-b2d5-e556890235db</errorID>
      <errorWord>）</errorWord>
      <group>L1_Format</group>
      <groupName>格式问题</groupName>
      <ability>L2_HalfPunc_CN</ability>
      <abilityName>全半角问题</abilityName>
      <candidateList>
        <item>)</item>
      </candidateList>
      <explain>文本全半角错误。</explain>
      <paraID>6481E82B</paraID>
      <start>4</start>
      <end>5</end>
      <status>ignored</status>
      <modifiedWord/>
      <trackRevisions>false</trackRevisions>
    </reviewItem>
    <reviewItem>
      <errorID>c4bf60ab-7b16-45df-867e-fb1e89d2b129</errorID>
      <errorWord>，</errorWord>
      <group>L1_Format</group>
      <groupName>格式问题</groupName>
      <ability>L2_HalfPunc_CN</ability>
      <abilityName>全半角问题</abilityName>
      <candidateList>
        <item>,</item>
      </candidateList>
      <explain>文本全半角错误。</explain>
      <paraID>2B84EB51</paraID>
      <start>2</start>
      <end>3</end>
      <status>ignored</status>
      <modifiedWord/>
      <trackRevisions>false</trackRevisions>
    </reviewItem>
    <reviewItem>
      <errorID>e6b71b15-8a62-4c78-aa13-44d229dfeb02</errorID>
      <errorWord>，</errorWord>
      <group>L1_Format</group>
      <groupName>格式问题</groupName>
      <ability>L2_HalfPunc_CN</ability>
      <abilityName>全半角问题</abilityName>
      <candidateList>
        <item>,</item>
      </candidateList>
      <explain>文本全半角错误。</explain>
      <paraID> E53ED03</paraID>
      <start>2</start>
      <end>3</end>
      <status>ignored</status>
      <modifiedWord/>
      <trackRevisions>false</trackRevisions>
    </reviewItem>
    <reviewItem>
      <errorID>e7c2a86b-2ed1-4444-a5c6-6e1e7e395774</errorID>
      <errorWord>部部</errorWord>
      <group>L1_Word</group>
      <groupName>字词问题</groupName>
      <ability>L2_Typo</ability>
      <abilityName>字词错误</abilityName>
      <candidateList>
        <item>部</item>
      </candidateList>
      <explain/>
      <paraID>7B4CC4F6</paraID>
      <start>23</start>
      <end>25</end>
      <status>ignored</status>
      <modifiedWord/>
      <trackRevisions>false</trackRevisions>
    </reviewItem>
    <reviewItem>
      <errorID>2456a2d3-7ef1-4eff-95a9-6f9d1b69a691</errorID>
      <errorWord>"</errorWord>
      <group>L1_Format</group>
      <groupName>格式问题</groupName>
      <ability>L2_HalfPunc_CN</ability>
      <abilityName>全半角问题</abilityName>
      <candidateList/>
      <explain>文本全半角错误。</explain>
      <paraID>34737190</paraID>
      <start>109</start>
      <end>110</end>
      <status>ignored</status>
      <modifiedWord/>
      <trackRevisions>false</trackRevisions>
    </reviewItem>
    <reviewItem>
      <errorID>b1a93c23-bfb4-4855-995a-087cfd527623</errorID>
      <errorWord>"</errorWord>
      <group>L1_Format</group>
      <groupName>格式问题</groupName>
      <ability>L2_HalfPunc_CN</ability>
      <abilityName>全半角问题</abilityName>
      <candidateList>
        <item>”</item>
      </candidateList>
      <explain>文本全半角错误。</explain>
      <paraID>34737190</paraID>
      <start>124</start>
      <end>125</end>
      <status>modified</status>
      <modifiedWord>”</modifiedWord>
      <trackRevisions>false</trackRevisions>
    </reviewItem>
    <reviewItem>
      <errorID>713105eb-0d4a-4490-b504-5f0fb8a4e56e</errorID>
      <errorWord>（</errorWord>
      <group>L1_Punc</group>
      <groupName>标点问题</groupName>
      <ability>L2_Punc_CN</ability>
      <abilityName>标点符号问题</abilityName>
      <candidateList/>
      <explain>同一形式括号套用。</explain>
      <paraID>3011D987</paraID>
      <start>67</start>
      <end>68</end>
      <status>ignored</status>
      <modifiedWord/>
      <trackRevisions>false</trackRevisions>
    </reviewItem>
    <reviewItem>
      <errorID>dfc6b3f9-3dad-468d-9bf6-dd9281015ca1</errorID>
      <errorWord>）</errorWord>
      <group>L1_Punc</group>
      <groupName>标点问题</groupName>
      <ability>L2_Punc_CN</ability>
      <abilityName>标点符号问题</abilityName>
      <candidateList/>
      <explain>同一形式括号套用。</explain>
      <paraID>3011D987</paraID>
      <start>69</start>
      <end>70</end>
      <status>ignored</status>
      <modifiedWord/>
      <trackRevisions>false</trackRevisions>
    </reviewItem>
    <reviewItem>
      <errorID>c127784b-5930-4172-83db-60bb917a0169</errorID>
      <errorWord>（</errorWord>
      <group>L1_Punc</group>
      <groupName>标点问题</groupName>
      <ability>L2_Punc_CN</ability>
      <abilityName>标点符号问题</abilityName>
      <candidateList/>
      <explain>同一形式括号套用。</explain>
      <paraID>3011D987</paraID>
      <start>77</start>
      <end>78</end>
      <status>ignored</status>
      <modifiedWord/>
      <trackRevisions>false</trackRevisions>
    </reviewItem>
    <reviewItem>
      <errorID>1423ea71-cfb7-4859-909b-c8581dbfcdca</errorID>
      <errorWord>）</errorWord>
      <group>L1_Punc</group>
      <groupName>标点问题</groupName>
      <ability>L2_Punc_CN</ability>
      <abilityName>标点符号问题</abilityName>
      <candidateList/>
      <explain>同一形式括号套用。</explain>
      <paraID>3011D987</paraID>
      <start>79</start>
      <end>80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786152-B390-4520-AF68-5F47C69FFCCE}">
  <ds:schemaRefs/>
</ds:datastoreItem>
</file>

<file path=customXml/itemProps3.xml><?xml version="1.0" encoding="utf-8"?>
<ds:datastoreItem xmlns:ds="http://schemas.openxmlformats.org/officeDocument/2006/customXml" ds:itemID="{96900af7-c065-44e2-afcd-2a6cdd84458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267</Pages>
  <Words>5086</Words>
  <Characters>5558</Characters>
  <Lines>1905</Lines>
  <Paragraphs>536</Paragraphs>
  <TotalTime>12</TotalTime>
  <ScaleCrop>false</ScaleCrop>
  <LinksUpToDate>false</LinksUpToDate>
  <CharactersWithSpaces>5671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2021-10-29T08:06:00Z</dcterms:created>
  <dc:creator>PC</dc:creator>
  <cp:lastModifiedBy>Administrator</cp:lastModifiedBy>
  <cp:lastPrinted>2025-07-18T05:14:00Z</cp:lastPrinted>
  <dcterms:modified xsi:type="dcterms:W3CDTF">2026-10-10T11:14:08Z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EEA09ADCE0A94E4FB6609A0712320334_13</vt:lpwstr>
  </property>
  <property fmtid="{D5CDD505-2E9C-101B-9397-08002B2CF9AE}" pid="4" name="KSOTemplateDocerSaveRecord">
    <vt:lpwstr>eyJoZGlkIjoiMmZhZmYxOTE5NzcyMWI2MjU5ZDBhOTFlNWJhNjk1NmIiLCJ1c2VySWQiOiIxMzE4MzAzNDMzIn0=</vt:lpwstr>
  </property>
</Properties>
</file>